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624D3" w14:textId="50C3AC16" w:rsidR="00A43F85" w:rsidRDefault="00392E7D" w:rsidP="00071A47">
      <w:pPr>
        <w:spacing w:line="240" w:lineRule="auto"/>
        <w:jc w:val="right"/>
        <w:rPr>
          <w:rFonts w:ascii="Arial" w:hAnsi="Arial" w:cs="Arial"/>
          <w:b/>
          <w:sz w:val="36"/>
          <w:szCs w:val="36"/>
        </w:rPr>
      </w:pPr>
      <w:r w:rsidRPr="00071A47">
        <w:rPr>
          <w:rFonts w:ascii="Arial" w:hAnsi="Arial" w:cs="Arial"/>
          <w:b/>
          <w:sz w:val="36"/>
          <w:szCs w:val="36"/>
        </w:rPr>
        <w:t>Optimizing</w:t>
      </w:r>
      <w:r w:rsidR="00071A47" w:rsidRPr="00071A47">
        <w:rPr>
          <w:rFonts w:ascii="Arial" w:hAnsi="Arial" w:cs="Arial"/>
          <w:b/>
          <w:sz w:val="36"/>
          <w:szCs w:val="36"/>
        </w:rPr>
        <w:t xml:space="preserve"> Weed Management in Polythene Nursery-Raised Cashew (</w:t>
      </w:r>
      <w:r w:rsidR="00071A47" w:rsidRPr="00071A47">
        <w:rPr>
          <w:rFonts w:ascii="Arial" w:hAnsi="Arial" w:cs="Arial"/>
          <w:b/>
          <w:i/>
          <w:iCs/>
          <w:sz w:val="36"/>
          <w:szCs w:val="36"/>
        </w:rPr>
        <w:t>Anacardium occidentale</w:t>
      </w:r>
      <w:r w:rsidR="00071A47" w:rsidRPr="00071A47">
        <w:rPr>
          <w:rFonts w:ascii="Arial" w:hAnsi="Arial" w:cs="Arial"/>
          <w:b/>
          <w:sz w:val="36"/>
          <w:szCs w:val="36"/>
        </w:rPr>
        <w:t xml:space="preserve"> L.) Seedlings: Implications for Seedling Morphology, Transplanting </w:t>
      </w:r>
      <w:proofErr w:type="spellStart"/>
      <w:r w:rsidR="00071A47" w:rsidRPr="00071A47">
        <w:rPr>
          <w:rFonts w:ascii="Arial" w:hAnsi="Arial" w:cs="Arial"/>
          <w:b/>
          <w:sz w:val="36"/>
          <w:szCs w:val="36"/>
        </w:rPr>
        <w:t>Vigour</w:t>
      </w:r>
      <w:proofErr w:type="spellEnd"/>
      <w:r w:rsidR="00AE4926">
        <w:rPr>
          <w:rFonts w:ascii="Arial" w:hAnsi="Arial" w:cs="Arial"/>
          <w:b/>
          <w:sz w:val="36"/>
          <w:szCs w:val="36"/>
        </w:rPr>
        <w:t xml:space="preserve"> and </w:t>
      </w:r>
      <w:r w:rsidR="00071A47" w:rsidRPr="00071A47">
        <w:rPr>
          <w:rFonts w:ascii="Arial" w:hAnsi="Arial" w:cs="Arial"/>
          <w:b/>
          <w:sz w:val="36"/>
          <w:szCs w:val="36"/>
        </w:rPr>
        <w:t>Soil Fungal Community Structure</w:t>
      </w:r>
    </w:p>
    <w:p w14:paraId="660B8293" w14:textId="77777777" w:rsidR="00071A47" w:rsidRPr="00071A47" w:rsidRDefault="00071A47" w:rsidP="00071A47">
      <w:pPr>
        <w:spacing w:line="240" w:lineRule="auto"/>
        <w:rPr>
          <w:rFonts w:ascii="Arial" w:hAnsi="Arial" w:cs="Arial"/>
          <w:b/>
          <w:sz w:val="36"/>
          <w:szCs w:val="36"/>
        </w:rPr>
      </w:pPr>
    </w:p>
    <w:p w14:paraId="69DE27FD" w14:textId="7282B618" w:rsidR="00071A47" w:rsidRDefault="00071A47" w:rsidP="00071A47">
      <w:pPr>
        <w:spacing w:after="0" w:line="240" w:lineRule="auto"/>
        <w:rPr>
          <w:rFonts w:ascii="Arial" w:hAnsi="Arial" w:cs="Arial"/>
          <w:b/>
          <w:bCs/>
          <w:sz w:val="24"/>
          <w:szCs w:val="24"/>
        </w:rPr>
      </w:pPr>
    </w:p>
    <w:p w14:paraId="1B90A7DD" w14:textId="1784878E" w:rsidR="00E34BDF" w:rsidRDefault="00E34BDF" w:rsidP="00071A47">
      <w:pPr>
        <w:spacing w:after="0" w:line="240" w:lineRule="auto"/>
        <w:rPr>
          <w:rFonts w:ascii="Arial" w:hAnsi="Arial" w:cs="Arial"/>
          <w:b/>
          <w:bCs/>
          <w:sz w:val="16"/>
          <w:szCs w:val="16"/>
        </w:rPr>
      </w:pPr>
    </w:p>
    <w:p w14:paraId="525103E3" w14:textId="090F093D" w:rsidR="00E34BDF" w:rsidRDefault="00E34BDF" w:rsidP="00071A47">
      <w:pPr>
        <w:spacing w:after="0" w:line="240" w:lineRule="auto"/>
        <w:rPr>
          <w:rFonts w:ascii="Arial" w:hAnsi="Arial" w:cs="Arial"/>
          <w:b/>
          <w:bCs/>
          <w:sz w:val="16"/>
          <w:szCs w:val="16"/>
        </w:rPr>
      </w:pPr>
    </w:p>
    <w:p w14:paraId="20E2209C" w14:textId="77777777" w:rsidR="00E34BDF" w:rsidRPr="00071A47" w:rsidRDefault="00E34BDF" w:rsidP="00071A47">
      <w:pPr>
        <w:spacing w:after="0" w:line="240" w:lineRule="auto"/>
        <w:rPr>
          <w:rFonts w:ascii="Arial" w:hAnsi="Arial" w:cs="Arial"/>
          <w:b/>
          <w:bCs/>
          <w:sz w:val="16"/>
          <w:szCs w:val="16"/>
        </w:rPr>
      </w:pPr>
    </w:p>
    <w:p w14:paraId="305FE936" w14:textId="77777777" w:rsidR="00D306EA" w:rsidRDefault="00770657" w:rsidP="003925AF">
      <w:pPr>
        <w:spacing w:line="240" w:lineRule="auto"/>
        <w:rPr>
          <w:rFonts w:ascii="Arial" w:hAnsi="Arial" w:cs="Arial"/>
          <w:b/>
        </w:rPr>
      </w:pPr>
      <w:r w:rsidRPr="00071A47">
        <w:rPr>
          <w:rFonts w:ascii="Arial" w:hAnsi="Arial" w:cs="Arial"/>
          <w:b/>
        </w:rPr>
        <w:t>ABS</w:t>
      </w:r>
      <w:r w:rsidR="00DF1ADF" w:rsidRPr="00071A47">
        <w:rPr>
          <w:rFonts w:ascii="Arial" w:hAnsi="Arial" w:cs="Arial"/>
          <w:b/>
        </w:rPr>
        <w:t>T</w:t>
      </w:r>
      <w:r w:rsidRPr="00071A47">
        <w:rPr>
          <w:rFonts w:ascii="Arial" w:hAnsi="Arial" w:cs="Arial"/>
          <w:b/>
        </w:rPr>
        <w: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071A47" w:rsidRPr="001E44FE" w14:paraId="0F3CA54E" w14:textId="77777777" w:rsidTr="00B0705C">
        <w:tc>
          <w:tcPr>
            <w:tcW w:w="9576" w:type="dxa"/>
            <w:shd w:val="clear" w:color="auto" w:fill="F2F2F2"/>
          </w:tcPr>
          <w:p w14:paraId="56050D5C" w14:textId="1B6CE14C" w:rsidR="00071A47" w:rsidRPr="00071A47" w:rsidRDefault="00071A47" w:rsidP="00071A47">
            <w:pPr>
              <w:pStyle w:val="Body"/>
              <w:spacing w:after="0"/>
              <w:rPr>
                <w:rFonts w:ascii="Arial" w:eastAsia="Calibri" w:hAnsi="Arial" w:cs="Arial"/>
              </w:rPr>
            </w:pPr>
            <w:r w:rsidRPr="00071A47">
              <w:rPr>
                <w:rFonts w:ascii="Arial" w:eastAsia="Calibri" w:hAnsi="Arial" w:cs="Arial"/>
                <w:b/>
                <w:bCs/>
              </w:rPr>
              <w:t>Aims:</w:t>
            </w:r>
            <w:r w:rsidRPr="00071A47">
              <w:rPr>
                <w:rFonts w:ascii="Arial" w:eastAsia="Calibri" w:hAnsi="Arial" w:cs="Arial"/>
              </w:rPr>
              <w:t xml:space="preserve"> To evaluate the influence of varying manual weeding frequencies on the morphological development, </w:t>
            </w:r>
            <w:proofErr w:type="spellStart"/>
            <w:r w:rsidRPr="00071A47">
              <w:rPr>
                <w:rFonts w:ascii="Arial" w:eastAsia="Calibri" w:hAnsi="Arial" w:cs="Arial"/>
              </w:rPr>
              <w:t>vigour</w:t>
            </w:r>
            <w:proofErr w:type="spellEnd"/>
            <w:r w:rsidRPr="00071A47">
              <w:rPr>
                <w:rFonts w:ascii="Arial" w:eastAsia="Calibri" w:hAnsi="Arial" w:cs="Arial"/>
              </w:rPr>
              <w:t>, root system characteristics</w:t>
            </w:r>
            <w:r w:rsidR="00AE4926">
              <w:rPr>
                <w:rFonts w:ascii="Arial" w:eastAsia="Calibri" w:hAnsi="Arial" w:cs="Arial"/>
              </w:rPr>
              <w:t xml:space="preserve"> and </w:t>
            </w:r>
            <w:r w:rsidRPr="00071A47">
              <w:rPr>
                <w:rFonts w:ascii="Arial" w:eastAsia="Calibri" w:hAnsi="Arial" w:cs="Arial"/>
              </w:rPr>
              <w:t>soil fungal community of cashew (</w:t>
            </w:r>
            <w:r w:rsidRPr="00071A47">
              <w:rPr>
                <w:rFonts w:ascii="Arial" w:eastAsia="Calibri" w:hAnsi="Arial" w:cs="Arial"/>
                <w:i/>
                <w:iCs/>
              </w:rPr>
              <w:t>Anacardium occidentale</w:t>
            </w:r>
            <w:r w:rsidRPr="00071A47">
              <w:rPr>
                <w:rFonts w:ascii="Arial" w:eastAsia="Calibri" w:hAnsi="Arial" w:cs="Arial"/>
              </w:rPr>
              <w:t xml:space="preserve"> L.) seedlings in nursery polythene bags</w:t>
            </w:r>
            <w:r w:rsidR="00AE4926">
              <w:rPr>
                <w:rFonts w:ascii="Arial" w:eastAsia="Calibri" w:hAnsi="Arial" w:cs="Arial"/>
              </w:rPr>
              <w:t xml:space="preserve"> and </w:t>
            </w:r>
            <w:r w:rsidRPr="00071A47">
              <w:rPr>
                <w:rFonts w:ascii="Arial" w:eastAsia="Calibri" w:hAnsi="Arial" w:cs="Arial"/>
              </w:rPr>
              <w:t>to determine the most appropriate weeding frequency for cashew nursery management.</w:t>
            </w:r>
          </w:p>
          <w:p w14:paraId="1ADE554C" w14:textId="52359D40" w:rsidR="00071A47" w:rsidRPr="00071A47" w:rsidRDefault="00071A47" w:rsidP="00071A47">
            <w:pPr>
              <w:pStyle w:val="Body"/>
              <w:spacing w:after="0"/>
              <w:rPr>
                <w:rFonts w:ascii="Arial" w:eastAsia="Calibri" w:hAnsi="Arial" w:cs="Arial"/>
              </w:rPr>
            </w:pPr>
            <w:r w:rsidRPr="00071A47">
              <w:rPr>
                <w:rFonts w:ascii="Arial" w:eastAsia="Calibri" w:hAnsi="Arial" w:cs="Arial"/>
                <w:b/>
                <w:bCs/>
              </w:rPr>
              <w:t>Study Design:</w:t>
            </w:r>
            <w:r w:rsidRPr="00071A47">
              <w:rPr>
                <w:rFonts w:ascii="Arial" w:eastAsia="Calibri" w:hAnsi="Arial" w:cs="Arial"/>
              </w:rPr>
              <w:t xml:space="preserve"> Completely Randomized Design (CRD) with six treatments; weed-free (WF), weedy check (WC), once-weekly (1W), once-in-two-weeks (2W), once-in-three-weeks (3W)</w:t>
            </w:r>
            <w:r w:rsidR="00AE4926">
              <w:rPr>
                <w:rFonts w:ascii="Arial" w:eastAsia="Calibri" w:hAnsi="Arial" w:cs="Arial"/>
              </w:rPr>
              <w:t xml:space="preserve"> and </w:t>
            </w:r>
            <w:r w:rsidRPr="00071A47">
              <w:rPr>
                <w:rFonts w:ascii="Arial" w:eastAsia="Calibri" w:hAnsi="Arial" w:cs="Arial"/>
              </w:rPr>
              <w:t>once-in-four-weeks (4W) weeding were replicated three times.</w:t>
            </w:r>
          </w:p>
          <w:p w14:paraId="5E7AF40A" w14:textId="77777777" w:rsidR="00071A47" w:rsidRPr="00071A47" w:rsidRDefault="00071A47" w:rsidP="00071A47">
            <w:pPr>
              <w:pStyle w:val="Body"/>
              <w:spacing w:after="0"/>
              <w:rPr>
                <w:rFonts w:ascii="Arial" w:eastAsia="Calibri" w:hAnsi="Arial" w:cs="Arial"/>
              </w:rPr>
            </w:pPr>
            <w:r w:rsidRPr="00071A47">
              <w:rPr>
                <w:rFonts w:ascii="Arial" w:eastAsia="Calibri" w:hAnsi="Arial" w:cs="Arial"/>
                <w:b/>
                <w:bCs/>
              </w:rPr>
              <w:t>Place and Duration of Study:</w:t>
            </w:r>
            <w:r w:rsidRPr="00071A47">
              <w:rPr>
                <w:rFonts w:ascii="Arial" w:eastAsia="Calibri" w:hAnsi="Arial" w:cs="Arial"/>
              </w:rPr>
              <w:t xml:space="preserve"> Akinyele Local Government Area, Ibadan, Oyo State, Nigeria; three months.</w:t>
            </w:r>
          </w:p>
          <w:p w14:paraId="2DF0FCA6" w14:textId="0ADEF774" w:rsidR="00071A47" w:rsidRPr="00071A47" w:rsidRDefault="00071A47" w:rsidP="00071A47">
            <w:pPr>
              <w:pStyle w:val="Body"/>
              <w:spacing w:after="0"/>
              <w:rPr>
                <w:rFonts w:ascii="Arial" w:eastAsia="Calibri" w:hAnsi="Arial" w:cs="Arial"/>
              </w:rPr>
            </w:pPr>
            <w:r w:rsidRPr="00071A47">
              <w:rPr>
                <w:rFonts w:ascii="Arial" w:eastAsia="Calibri" w:hAnsi="Arial" w:cs="Arial"/>
                <w:b/>
                <w:bCs/>
              </w:rPr>
              <w:t>Study Methodology:</w:t>
            </w:r>
            <w:r w:rsidRPr="00071A47">
              <w:rPr>
                <w:rFonts w:ascii="Arial" w:eastAsia="Calibri" w:hAnsi="Arial" w:cs="Arial"/>
              </w:rPr>
              <w:t xml:space="preserve"> Medium-sized cashew nut biotypes were sown at 4 cm depth in topsoil-filled polythene bags. Plant height, stem diameter, number of leaves</w:t>
            </w:r>
            <w:r w:rsidR="00AE4926">
              <w:rPr>
                <w:rFonts w:ascii="Arial" w:eastAsia="Calibri" w:hAnsi="Arial" w:cs="Arial"/>
              </w:rPr>
              <w:t xml:space="preserve"> and </w:t>
            </w:r>
            <w:r w:rsidRPr="00071A47">
              <w:rPr>
                <w:rFonts w:ascii="Arial" w:eastAsia="Calibri" w:hAnsi="Arial" w:cs="Arial"/>
              </w:rPr>
              <w:t xml:space="preserve">leaf area were measured biweekly from one month after sowing. Seedling </w:t>
            </w:r>
            <w:proofErr w:type="spellStart"/>
            <w:r w:rsidRPr="00071A47">
              <w:rPr>
                <w:rFonts w:ascii="Arial" w:eastAsia="Calibri" w:hAnsi="Arial" w:cs="Arial"/>
              </w:rPr>
              <w:t>vigour</w:t>
            </w:r>
            <w:proofErr w:type="spellEnd"/>
            <w:r w:rsidRPr="00071A47">
              <w:rPr>
                <w:rFonts w:ascii="Arial" w:eastAsia="Calibri" w:hAnsi="Arial" w:cs="Arial"/>
              </w:rPr>
              <w:t xml:space="preserve"> was assessed at three months after sowing using a five-point rating scale. Destructive sampling at experiment termination provided shoot and root biomass data. Soil fungal load and fungal species were identified.</w:t>
            </w:r>
          </w:p>
          <w:p w14:paraId="11193E0E" w14:textId="2F855088" w:rsidR="00071A47" w:rsidRPr="00071A47" w:rsidRDefault="00071A47" w:rsidP="00071A47">
            <w:pPr>
              <w:pStyle w:val="Body"/>
              <w:spacing w:after="0"/>
              <w:rPr>
                <w:rFonts w:ascii="Arial" w:eastAsia="Calibri" w:hAnsi="Arial" w:cs="Arial"/>
              </w:rPr>
            </w:pPr>
            <w:r w:rsidRPr="00071A47">
              <w:rPr>
                <w:rFonts w:ascii="Arial" w:eastAsia="Calibri" w:hAnsi="Arial" w:cs="Arial"/>
                <w:b/>
                <w:bCs/>
              </w:rPr>
              <w:t>Results:</w:t>
            </w:r>
            <w:r w:rsidRPr="00071A47">
              <w:rPr>
                <w:rFonts w:ascii="Arial" w:eastAsia="Calibri" w:hAnsi="Arial" w:cs="Arial"/>
              </w:rPr>
              <w:t xml:space="preserve"> Leaf area was significantly enhanced under 3W and 4W treatments</w:t>
            </w:r>
            <w:r w:rsidR="00AE4926">
              <w:rPr>
                <w:rFonts w:ascii="Arial" w:eastAsia="Calibri" w:hAnsi="Arial" w:cs="Arial"/>
              </w:rPr>
              <w:t xml:space="preserve"> and </w:t>
            </w:r>
            <w:r w:rsidRPr="00071A47">
              <w:rPr>
                <w:rFonts w:ascii="Arial" w:eastAsia="Calibri" w:hAnsi="Arial" w:cs="Arial"/>
              </w:rPr>
              <w:t>tap root length was greatest under 2W, while plant height, stem diameter, number of leaves</w:t>
            </w:r>
            <w:r w:rsidR="00AE4926">
              <w:rPr>
                <w:rFonts w:ascii="Arial" w:eastAsia="Calibri" w:hAnsi="Arial" w:cs="Arial"/>
              </w:rPr>
              <w:t xml:space="preserve"> and </w:t>
            </w:r>
            <w:r w:rsidRPr="00071A47">
              <w:rPr>
                <w:rFonts w:ascii="Arial" w:eastAsia="Calibri" w:hAnsi="Arial" w:cs="Arial"/>
              </w:rPr>
              <w:t xml:space="preserve">biomass parameters were unaffected by weeding frequency. </w:t>
            </w:r>
            <w:proofErr w:type="spellStart"/>
            <w:r w:rsidRPr="00071A47">
              <w:rPr>
                <w:rFonts w:ascii="Arial" w:eastAsia="Calibri" w:hAnsi="Arial" w:cs="Arial"/>
              </w:rPr>
              <w:t>Unweeded</w:t>
            </w:r>
            <w:proofErr w:type="spellEnd"/>
            <w:r w:rsidRPr="00071A47">
              <w:rPr>
                <w:rFonts w:ascii="Arial" w:eastAsia="Calibri" w:hAnsi="Arial" w:cs="Arial"/>
              </w:rPr>
              <w:t xml:space="preserve"> seedlings (WC) recorded the lowest </w:t>
            </w:r>
            <w:proofErr w:type="spellStart"/>
            <w:r w:rsidRPr="00071A47">
              <w:rPr>
                <w:rFonts w:ascii="Arial" w:eastAsia="Calibri" w:hAnsi="Arial" w:cs="Arial"/>
              </w:rPr>
              <w:t>vigour</w:t>
            </w:r>
            <w:proofErr w:type="spellEnd"/>
            <w:r w:rsidRPr="00071A47">
              <w:rPr>
                <w:rFonts w:ascii="Arial" w:eastAsia="Calibri" w:hAnsi="Arial" w:cs="Arial"/>
              </w:rPr>
              <w:t xml:space="preserve"> scores, significantly different from all weeded treatments. Weed density peaked between 2 and 4 weeks after sowing before declining substantially across all treatments. Soil fungal colony forming units (CFU) and species composition varied with weeding frequency; </w:t>
            </w:r>
            <w:r w:rsidRPr="00071A47">
              <w:rPr>
                <w:rFonts w:ascii="Arial" w:eastAsia="Calibri" w:hAnsi="Arial" w:cs="Arial"/>
                <w:i/>
                <w:iCs/>
              </w:rPr>
              <w:t xml:space="preserve">Aspergillus </w:t>
            </w:r>
            <w:proofErr w:type="spellStart"/>
            <w:r w:rsidRPr="00071A47">
              <w:rPr>
                <w:rFonts w:ascii="Arial" w:eastAsia="Calibri" w:hAnsi="Arial" w:cs="Arial"/>
                <w:i/>
                <w:iCs/>
              </w:rPr>
              <w:t>niger</w:t>
            </w:r>
            <w:proofErr w:type="spellEnd"/>
            <w:r w:rsidRPr="00071A47">
              <w:rPr>
                <w:rFonts w:ascii="Arial" w:eastAsia="Calibri" w:hAnsi="Arial" w:cs="Arial"/>
              </w:rPr>
              <w:t xml:space="preserve"> and </w:t>
            </w:r>
            <w:r w:rsidRPr="00071A47">
              <w:rPr>
                <w:rFonts w:ascii="Arial" w:eastAsia="Calibri" w:hAnsi="Arial" w:cs="Arial"/>
                <w:i/>
                <w:iCs/>
              </w:rPr>
              <w:t>A. fumigatus</w:t>
            </w:r>
            <w:r w:rsidRPr="00071A47">
              <w:rPr>
                <w:rFonts w:ascii="Arial" w:eastAsia="Calibri" w:hAnsi="Arial" w:cs="Arial"/>
              </w:rPr>
              <w:t xml:space="preserve"> were recovered from all treatments, while </w:t>
            </w:r>
            <w:r w:rsidRPr="00071A47">
              <w:rPr>
                <w:rFonts w:ascii="Arial" w:eastAsia="Calibri" w:hAnsi="Arial" w:cs="Arial"/>
                <w:i/>
                <w:iCs/>
              </w:rPr>
              <w:t xml:space="preserve">Fusarium </w:t>
            </w:r>
            <w:proofErr w:type="spellStart"/>
            <w:r w:rsidRPr="00071A47">
              <w:rPr>
                <w:rFonts w:ascii="Arial" w:eastAsia="Calibri" w:hAnsi="Arial" w:cs="Arial"/>
                <w:i/>
                <w:iCs/>
              </w:rPr>
              <w:t>oxysporum</w:t>
            </w:r>
            <w:proofErr w:type="spellEnd"/>
            <w:r w:rsidRPr="00071A47">
              <w:rPr>
                <w:rFonts w:ascii="Arial" w:eastAsia="Calibri" w:hAnsi="Arial" w:cs="Arial"/>
              </w:rPr>
              <w:t xml:space="preserve"> and </w:t>
            </w:r>
            <w:r w:rsidRPr="00071A47">
              <w:rPr>
                <w:rFonts w:ascii="Arial" w:eastAsia="Calibri" w:hAnsi="Arial" w:cs="Arial"/>
                <w:i/>
                <w:iCs/>
              </w:rPr>
              <w:t xml:space="preserve">Trichoderma </w:t>
            </w:r>
            <w:proofErr w:type="spellStart"/>
            <w:r w:rsidRPr="00071A47">
              <w:rPr>
                <w:rFonts w:ascii="Arial" w:eastAsia="Calibri" w:hAnsi="Arial" w:cs="Arial"/>
                <w:i/>
                <w:iCs/>
              </w:rPr>
              <w:t>viride</w:t>
            </w:r>
            <w:proofErr w:type="spellEnd"/>
            <w:r w:rsidRPr="00071A47">
              <w:rPr>
                <w:rFonts w:ascii="Arial" w:eastAsia="Calibri" w:hAnsi="Arial" w:cs="Arial"/>
              </w:rPr>
              <w:t xml:space="preserve"> occurred variably across weeding regimes.</w:t>
            </w:r>
          </w:p>
          <w:p w14:paraId="091895EF" w14:textId="2E5AD40B" w:rsidR="00071A47" w:rsidRPr="00071A47" w:rsidRDefault="00071A47" w:rsidP="00B0705C">
            <w:pPr>
              <w:pStyle w:val="Body"/>
              <w:spacing w:after="0"/>
              <w:rPr>
                <w:rFonts w:ascii="Arial" w:eastAsia="Calibri" w:hAnsi="Arial" w:cs="Arial"/>
              </w:rPr>
            </w:pPr>
            <w:r w:rsidRPr="00071A47">
              <w:rPr>
                <w:rFonts w:ascii="Arial" w:eastAsia="Calibri" w:hAnsi="Arial" w:cs="Arial"/>
                <w:b/>
                <w:bCs/>
              </w:rPr>
              <w:t>Conclusion:</w:t>
            </w:r>
            <w:r w:rsidRPr="00071A47">
              <w:rPr>
                <w:rFonts w:ascii="Arial" w:eastAsia="Calibri" w:hAnsi="Arial" w:cs="Arial"/>
              </w:rPr>
              <w:t xml:space="preserve"> Weed interference in polythene raised seedlings is most critical within the first four weeks after sowing. Once-in-four-weeks manual weeding is recommended as a practical, </w:t>
            </w:r>
            <w:proofErr w:type="spellStart"/>
            <w:r w:rsidRPr="00071A47">
              <w:rPr>
                <w:rFonts w:ascii="Arial" w:eastAsia="Calibri" w:hAnsi="Arial" w:cs="Arial"/>
              </w:rPr>
              <w:t>labour</w:t>
            </w:r>
            <w:proofErr w:type="spellEnd"/>
            <w:r w:rsidRPr="00071A47">
              <w:rPr>
                <w:rFonts w:ascii="Arial" w:eastAsia="Calibri" w:hAnsi="Arial" w:cs="Arial"/>
              </w:rPr>
              <w:t>-efficient strategy for producing vigorous transplant-ready cashew seedlings while sustaining a balanced soil fungal community throughout the nursery phase.</w:t>
            </w:r>
          </w:p>
        </w:tc>
      </w:tr>
    </w:tbl>
    <w:p w14:paraId="233953CC" w14:textId="77777777" w:rsidR="00071A47" w:rsidRPr="00071A47" w:rsidRDefault="00071A47" w:rsidP="003925AF">
      <w:pPr>
        <w:spacing w:line="240" w:lineRule="auto"/>
        <w:rPr>
          <w:rFonts w:ascii="Arial" w:hAnsi="Arial" w:cs="Arial"/>
          <w:b/>
          <w:sz w:val="20"/>
          <w:szCs w:val="20"/>
        </w:rPr>
      </w:pPr>
    </w:p>
    <w:p w14:paraId="2DEA02A7" w14:textId="07CB3F68" w:rsidR="00AA2974" w:rsidRPr="00071A47" w:rsidRDefault="00A4347C" w:rsidP="00071A47">
      <w:pPr>
        <w:spacing w:line="240" w:lineRule="auto"/>
        <w:jc w:val="both"/>
        <w:rPr>
          <w:rFonts w:ascii="Arial" w:hAnsi="Arial" w:cs="Arial"/>
          <w:i/>
          <w:iCs/>
          <w:sz w:val="20"/>
          <w:szCs w:val="20"/>
        </w:rPr>
      </w:pPr>
      <w:r w:rsidRPr="00071A47">
        <w:rPr>
          <w:rFonts w:ascii="Arial" w:hAnsi="Arial" w:cs="Arial"/>
          <w:bCs/>
          <w:i/>
          <w:iCs/>
          <w:sz w:val="20"/>
          <w:szCs w:val="20"/>
        </w:rPr>
        <w:t>Key</w:t>
      </w:r>
      <w:r w:rsidR="00071A47" w:rsidRPr="00071A47">
        <w:rPr>
          <w:rFonts w:ascii="Arial" w:hAnsi="Arial" w:cs="Arial"/>
          <w:bCs/>
          <w:i/>
          <w:iCs/>
          <w:sz w:val="20"/>
          <w:szCs w:val="20"/>
        </w:rPr>
        <w:t>w</w:t>
      </w:r>
      <w:r w:rsidRPr="00071A47">
        <w:rPr>
          <w:rFonts w:ascii="Arial" w:hAnsi="Arial" w:cs="Arial"/>
          <w:bCs/>
          <w:i/>
          <w:iCs/>
          <w:sz w:val="20"/>
          <w:szCs w:val="20"/>
        </w:rPr>
        <w:t>ords: Weeds</w:t>
      </w:r>
      <w:r w:rsidRPr="00071A47">
        <w:rPr>
          <w:rFonts w:ascii="Arial" w:hAnsi="Arial" w:cs="Arial"/>
          <w:i/>
          <w:iCs/>
          <w:sz w:val="20"/>
          <w:szCs w:val="20"/>
        </w:rPr>
        <w:t xml:space="preserve">, Cashew Seedlings, Nursery, Hand </w:t>
      </w:r>
      <w:r w:rsidR="00DF1ADF" w:rsidRPr="00071A47">
        <w:rPr>
          <w:rFonts w:ascii="Arial" w:hAnsi="Arial" w:cs="Arial"/>
          <w:i/>
          <w:iCs/>
          <w:sz w:val="20"/>
          <w:szCs w:val="20"/>
        </w:rPr>
        <w:t>W</w:t>
      </w:r>
      <w:r w:rsidRPr="00071A47">
        <w:rPr>
          <w:rFonts w:ascii="Arial" w:hAnsi="Arial" w:cs="Arial"/>
          <w:i/>
          <w:iCs/>
          <w:sz w:val="20"/>
          <w:szCs w:val="20"/>
        </w:rPr>
        <w:t xml:space="preserve">eeding, </w:t>
      </w:r>
      <w:proofErr w:type="spellStart"/>
      <w:r w:rsidR="005709B9" w:rsidRPr="00071A47">
        <w:rPr>
          <w:rFonts w:ascii="Arial" w:hAnsi="Arial" w:cs="Arial"/>
          <w:i/>
          <w:iCs/>
          <w:sz w:val="20"/>
          <w:szCs w:val="20"/>
        </w:rPr>
        <w:t>Vigour</w:t>
      </w:r>
      <w:proofErr w:type="spellEnd"/>
      <w:r w:rsidR="005709B9" w:rsidRPr="00071A47">
        <w:rPr>
          <w:rFonts w:ascii="Arial" w:hAnsi="Arial" w:cs="Arial"/>
          <w:i/>
          <w:iCs/>
          <w:sz w:val="20"/>
          <w:szCs w:val="20"/>
        </w:rPr>
        <w:t>.</w:t>
      </w:r>
    </w:p>
    <w:p w14:paraId="05748E99" w14:textId="77777777" w:rsidR="00AA2974" w:rsidRPr="003925AF" w:rsidRDefault="00AA2974" w:rsidP="003925AF">
      <w:pPr>
        <w:spacing w:line="240" w:lineRule="auto"/>
        <w:rPr>
          <w:rFonts w:ascii="Arial" w:hAnsi="Arial" w:cs="Arial"/>
          <w:sz w:val="24"/>
          <w:szCs w:val="24"/>
        </w:rPr>
      </w:pPr>
    </w:p>
    <w:p w14:paraId="638F3376" w14:textId="77777777" w:rsidR="00770657" w:rsidRPr="00071A47" w:rsidRDefault="00770657" w:rsidP="003925AF">
      <w:pPr>
        <w:spacing w:line="240" w:lineRule="auto"/>
        <w:rPr>
          <w:rFonts w:ascii="Arial" w:hAnsi="Arial" w:cs="Arial"/>
          <w:b/>
        </w:rPr>
      </w:pPr>
      <w:r w:rsidRPr="00071A47">
        <w:rPr>
          <w:rFonts w:ascii="Arial" w:hAnsi="Arial" w:cs="Arial"/>
          <w:b/>
        </w:rPr>
        <w:t>INTRODUCTION</w:t>
      </w:r>
    </w:p>
    <w:p w14:paraId="07B61255" w14:textId="30654BA9" w:rsidR="00523B2C" w:rsidRPr="00071A47" w:rsidRDefault="00770657" w:rsidP="003925AF">
      <w:pPr>
        <w:spacing w:line="240" w:lineRule="auto"/>
        <w:jc w:val="both"/>
        <w:rPr>
          <w:rFonts w:ascii="Arial" w:hAnsi="Arial" w:cs="Arial"/>
          <w:sz w:val="20"/>
          <w:szCs w:val="20"/>
        </w:rPr>
      </w:pPr>
      <w:r w:rsidRPr="00071A47">
        <w:rPr>
          <w:rFonts w:ascii="Arial" w:hAnsi="Arial" w:cs="Arial"/>
          <w:sz w:val="20"/>
          <w:szCs w:val="20"/>
        </w:rPr>
        <w:t xml:space="preserve">The cashew tree, scientifically known as </w:t>
      </w:r>
      <w:r w:rsidRPr="00071A47">
        <w:rPr>
          <w:rFonts w:ascii="Arial" w:hAnsi="Arial" w:cs="Arial"/>
          <w:i/>
          <w:sz w:val="20"/>
          <w:szCs w:val="20"/>
        </w:rPr>
        <w:t>Anacardium occidentale</w:t>
      </w:r>
      <w:r w:rsidR="00427270" w:rsidRPr="00071A47">
        <w:rPr>
          <w:rFonts w:ascii="Arial" w:hAnsi="Arial" w:cs="Arial"/>
          <w:sz w:val="20"/>
          <w:szCs w:val="20"/>
        </w:rPr>
        <w:t xml:space="preserve"> L belongs to the </w:t>
      </w:r>
      <w:proofErr w:type="spellStart"/>
      <w:r w:rsidR="00427270" w:rsidRPr="00071A47">
        <w:rPr>
          <w:rFonts w:ascii="Arial" w:hAnsi="Arial" w:cs="Arial"/>
          <w:i/>
          <w:sz w:val="20"/>
          <w:szCs w:val="20"/>
        </w:rPr>
        <w:t>Anacardiaceae</w:t>
      </w:r>
      <w:proofErr w:type="spellEnd"/>
      <w:r w:rsidR="00427270" w:rsidRPr="00071A47">
        <w:rPr>
          <w:rFonts w:ascii="Arial" w:hAnsi="Arial" w:cs="Arial"/>
          <w:sz w:val="20"/>
          <w:szCs w:val="20"/>
        </w:rPr>
        <w:t xml:space="preserve"> family of plants as mango (</w:t>
      </w:r>
      <w:proofErr w:type="spellStart"/>
      <w:r w:rsidR="00427270" w:rsidRPr="00071A47">
        <w:rPr>
          <w:rFonts w:ascii="Arial" w:hAnsi="Arial" w:cs="Arial"/>
          <w:sz w:val="20"/>
          <w:szCs w:val="20"/>
        </w:rPr>
        <w:t>Awodun</w:t>
      </w:r>
      <w:proofErr w:type="spellEnd"/>
      <w:r w:rsidR="00427270" w:rsidRPr="00071A47">
        <w:rPr>
          <w:rFonts w:ascii="Arial" w:hAnsi="Arial" w:cs="Arial"/>
          <w:sz w:val="20"/>
          <w:szCs w:val="20"/>
        </w:rPr>
        <w:t xml:space="preserve"> 2015). It is an evergreen tree native to Brazil, but now grown widely in tropical countries of the world</w:t>
      </w:r>
      <w:r w:rsidR="00C255CE" w:rsidRPr="00071A47">
        <w:rPr>
          <w:rFonts w:ascii="Arial" w:hAnsi="Arial" w:cs="Arial"/>
          <w:sz w:val="20"/>
          <w:szCs w:val="20"/>
        </w:rPr>
        <w:t xml:space="preserve"> such as Nigeria</w:t>
      </w:r>
      <w:r w:rsidR="00427270" w:rsidRPr="00071A47">
        <w:rPr>
          <w:rFonts w:ascii="Arial" w:hAnsi="Arial" w:cs="Arial"/>
          <w:sz w:val="20"/>
          <w:szCs w:val="20"/>
        </w:rPr>
        <w:t>.</w:t>
      </w:r>
      <w:r w:rsidR="003D5202" w:rsidRPr="00071A47">
        <w:rPr>
          <w:rFonts w:ascii="Arial" w:hAnsi="Arial" w:cs="Arial"/>
          <w:sz w:val="20"/>
          <w:szCs w:val="20"/>
        </w:rPr>
        <w:t xml:space="preserve"> In Nigeria's agricultural sector, it plays a crucial role and significantly contributes to the country's economic growth (</w:t>
      </w:r>
      <w:proofErr w:type="spellStart"/>
      <w:r w:rsidR="003D5202" w:rsidRPr="00071A47">
        <w:rPr>
          <w:rFonts w:ascii="Arial" w:hAnsi="Arial" w:cs="Arial"/>
          <w:sz w:val="20"/>
          <w:szCs w:val="20"/>
        </w:rPr>
        <w:t>Olukunle</w:t>
      </w:r>
      <w:proofErr w:type="spellEnd"/>
      <w:r w:rsidR="003D5202" w:rsidRPr="00071A47">
        <w:rPr>
          <w:rFonts w:ascii="Arial" w:hAnsi="Arial" w:cs="Arial"/>
          <w:sz w:val="20"/>
          <w:szCs w:val="20"/>
        </w:rPr>
        <w:t xml:space="preserve">, 2022). According to </w:t>
      </w:r>
      <w:proofErr w:type="spellStart"/>
      <w:r w:rsidR="003D5202" w:rsidRPr="00071A47">
        <w:rPr>
          <w:rFonts w:ascii="Arial" w:hAnsi="Arial" w:cs="Arial"/>
          <w:sz w:val="20"/>
          <w:szCs w:val="20"/>
        </w:rPr>
        <w:t>Ogunwolu</w:t>
      </w:r>
      <w:proofErr w:type="spellEnd"/>
      <w:r w:rsidR="003D5202" w:rsidRPr="00071A47">
        <w:rPr>
          <w:rFonts w:ascii="Arial" w:hAnsi="Arial" w:cs="Arial"/>
          <w:sz w:val="20"/>
          <w:szCs w:val="20"/>
        </w:rPr>
        <w:t xml:space="preserve"> </w:t>
      </w:r>
      <w:r w:rsidR="003D5202" w:rsidRPr="00071A47">
        <w:rPr>
          <w:rFonts w:ascii="Arial" w:hAnsi="Arial" w:cs="Arial"/>
          <w:i/>
          <w:sz w:val="20"/>
          <w:szCs w:val="20"/>
        </w:rPr>
        <w:t>et al</w:t>
      </w:r>
      <w:r w:rsidR="003D5202" w:rsidRPr="00071A47">
        <w:rPr>
          <w:rFonts w:ascii="Arial" w:hAnsi="Arial" w:cs="Arial"/>
          <w:sz w:val="20"/>
          <w:szCs w:val="20"/>
        </w:rPr>
        <w:t>., (2020), this non-oil export crop is well-known, lucrative</w:t>
      </w:r>
      <w:r w:rsidR="00AE4926">
        <w:rPr>
          <w:rFonts w:ascii="Arial" w:hAnsi="Arial" w:cs="Arial"/>
          <w:sz w:val="20"/>
          <w:szCs w:val="20"/>
        </w:rPr>
        <w:t xml:space="preserve"> and </w:t>
      </w:r>
      <w:r w:rsidR="003D5202" w:rsidRPr="00071A47">
        <w:rPr>
          <w:rFonts w:ascii="Arial" w:hAnsi="Arial" w:cs="Arial"/>
          <w:sz w:val="20"/>
          <w:szCs w:val="20"/>
        </w:rPr>
        <w:t xml:space="preserve">supports foreign exchange earnings. Many stakeholders </w:t>
      </w:r>
      <w:r w:rsidR="003D5202" w:rsidRPr="00071A47">
        <w:rPr>
          <w:rFonts w:ascii="Arial" w:hAnsi="Arial" w:cs="Arial"/>
          <w:sz w:val="20"/>
          <w:szCs w:val="20"/>
        </w:rPr>
        <w:lastRenderedPageBreak/>
        <w:t>engaged in the production, processing</w:t>
      </w:r>
      <w:r w:rsidR="00AE4926">
        <w:rPr>
          <w:rFonts w:ascii="Arial" w:hAnsi="Arial" w:cs="Arial"/>
          <w:sz w:val="20"/>
          <w:szCs w:val="20"/>
        </w:rPr>
        <w:t xml:space="preserve"> and </w:t>
      </w:r>
      <w:r w:rsidR="003D5202" w:rsidRPr="00071A47">
        <w:rPr>
          <w:rFonts w:ascii="Arial" w:hAnsi="Arial" w:cs="Arial"/>
          <w:sz w:val="20"/>
          <w:szCs w:val="20"/>
        </w:rPr>
        <w:t>other stages of the cashew nut value chain depend financially on exporting the nuts. Its dense foliage makes it useful for controlling erosion, providing windbreaks</w:t>
      </w:r>
      <w:r w:rsidR="00AE4926">
        <w:rPr>
          <w:rFonts w:ascii="Arial" w:hAnsi="Arial" w:cs="Arial"/>
          <w:sz w:val="20"/>
          <w:szCs w:val="20"/>
        </w:rPr>
        <w:t xml:space="preserve"> and </w:t>
      </w:r>
      <w:r w:rsidR="003D5202" w:rsidRPr="00071A47">
        <w:rPr>
          <w:rFonts w:ascii="Arial" w:hAnsi="Arial" w:cs="Arial"/>
          <w:sz w:val="20"/>
          <w:szCs w:val="20"/>
        </w:rPr>
        <w:t>improving degraded soil</w:t>
      </w:r>
      <w:r w:rsidR="00523B2C" w:rsidRPr="00071A47">
        <w:rPr>
          <w:rFonts w:ascii="Arial" w:hAnsi="Arial" w:cs="Arial"/>
          <w:sz w:val="20"/>
          <w:szCs w:val="20"/>
        </w:rPr>
        <w:t xml:space="preserve"> (Nduka </w:t>
      </w:r>
      <w:r w:rsidR="00523B2C" w:rsidRPr="00071A47">
        <w:rPr>
          <w:rFonts w:ascii="Arial" w:hAnsi="Arial" w:cs="Arial"/>
          <w:i/>
          <w:sz w:val="20"/>
          <w:szCs w:val="20"/>
        </w:rPr>
        <w:t>et al</w:t>
      </w:r>
      <w:r w:rsidR="00523B2C" w:rsidRPr="00071A47">
        <w:rPr>
          <w:rFonts w:ascii="Arial" w:hAnsi="Arial" w:cs="Arial"/>
          <w:sz w:val="20"/>
          <w:szCs w:val="20"/>
        </w:rPr>
        <w:t>., 2015).</w:t>
      </w:r>
    </w:p>
    <w:p w14:paraId="6EE9FFE6" w14:textId="77777777" w:rsidR="003D5202" w:rsidRPr="00071A47" w:rsidRDefault="003D5202" w:rsidP="003925AF">
      <w:pPr>
        <w:spacing w:line="240" w:lineRule="auto"/>
        <w:jc w:val="both"/>
        <w:rPr>
          <w:rFonts w:ascii="Arial" w:hAnsi="Arial" w:cs="Arial"/>
          <w:sz w:val="20"/>
          <w:szCs w:val="20"/>
        </w:rPr>
      </w:pPr>
      <w:r w:rsidRPr="00071A47">
        <w:rPr>
          <w:rFonts w:ascii="Arial" w:hAnsi="Arial" w:cs="Arial"/>
          <w:sz w:val="20"/>
          <w:szCs w:val="20"/>
        </w:rPr>
        <w:t xml:space="preserve">According to Essien </w:t>
      </w:r>
      <w:r w:rsidRPr="00071A47">
        <w:rPr>
          <w:rFonts w:ascii="Arial" w:hAnsi="Arial" w:cs="Arial"/>
          <w:i/>
          <w:sz w:val="20"/>
          <w:szCs w:val="20"/>
        </w:rPr>
        <w:t>et al</w:t>
      </w:r>
      <w:r w:rsidRPr="00071A47">
        <w:rPr>
          <w:rFonts w:ascii="Arial" w:hAnsi="Arial" w:cs="Arial"/>
          <w:sz w:val="20"/>
          <w:szCs w:val="20"/>
        </w:rPr>
        <w:t>. (2021), cashew trees are mostly propagated from seeds, which can be seeded directly in the field, in nursery beds or perforated nursery bags. However, cashew growers in Nigeria frequently employ the technique of growing cashew seedlings in nursery polythene bags (</w:t>
      </w:r>
      <w:proofErr w:type="spellStart"/>
      <w:r w:rsidRPr="00071A47">
        <w:rPr>
          <w:rFonts w:ascii="Arial" w:hAnsi="Arial" w:cs="Arial"/>
          <w:sz w:val="20"/>
          <w:szCs w:val="20"/>
        </w:rPr>
        <w:t>Agele</w:t>
      </w:r>
      <w:proofErr w:type="spellEnd"/>
      <w:r w:rsidRPr="00071A47">
        <w:rPr>
          <w:rFonts w:ascii="Arial" w:hAnsi="Arial" w:cs="Arial"/>
          <w:sz w:val="20"/>
          <w:szCs w:val="20"/>
        </w:rPr>
        <w:t xml:space="preserve"> and </w:t>
      </w:r>
      <w:proofErr w:type="spellStart"/>
      <w:r w:rsidRPr="00071A47">
        <w:rPr>
          <w:rFonts w:ascii="Arial" w:hAnsi="Arial" w:cs="Arial"/>
          <w:sz w:val="20"/>
          <w:szCs w:val="20"/>
        </w:rPr>
        <w:t>Agbona</w:t>
      </w:r>
      <w:proofErr w:type="spellEnd"/>
      <w:r w:rsidRPr="00071A47">
        <w:rPr>
          <w:rFonts w:ascii="Arial" w:hAnsi="Arial" w:cs="Arial"/>
          <w:sz w:val="20"/>
          <w:szCs w:val="20"/>
        </w:rPr>
        <w:t>, 2008).</w:t>
      </w:r>
    </w:p>
    <w:p w14:paraId="220AFD2A" w14:textId="5FD987D9" w:rsidR="003C170D" w:rsidRPr="00071A47" w:rsidRDefault="003C170D" w:rsidP="003925AF">
      <w:pPr>
        <w:spacing w:line="240" w:lineRule="auto"/>
        <w:jc w:val="both"/>
        <w:rPr>
          <w:rFonts w:ascii="Arial" w:hAnsi="Arial" w:cs="Arial"/>
          <w:sz w:val="20"/>
          <w:szCs w:val="20"/>
        </w:rPr>
      </w:pPr>
      <w:r w:rsidRPr="00071A47">
        <w:rPr>
          <w:rFonts w:ascii="Arial" w:hAnsi="Arial" w:cs="Arial"/>
          <w:sz w:val="20"/>
          <w:szCs w:val="20"/>
        </w:rPr>
        <w:t xml:space="preserve">One of the major constraints encountered in the nursery is the management of weeds (Yu and Marble, 2022). As a result of an ideal growing environment such as well-drained and moist potting soil, newly potted cashew plants in the nursery tend to be vulnerable to weed infestation (Norcini </w:t>
      </w:r>
      <w:r w:rsidRPr="00071A47">
        <w:rPr>
          <w:rFonts w:ascii="Arial" w:hAnsi="Arial" w:cs="Arial"/>
          <w:i/>
          <w:sz w:val="20"/>
          <w:szCs w:val="20"/>
        </w:rPr>
        <w:t>et al</w:t>
      </w:r>
      <w:r w:rsidRPr="00071A47">
        <w:rPr>
          <w:rFonts w:ascii="Arial" w:hAnsi="Arial" w:cs="Arial"/>
          <w:sz w:val="20"/>
          <w:szCs w:val="20"/>
        </w:rPr>
        <w:t>., 2010). In the nursery setting, weeds compete fiercely with cashew seedlings for vital resources such as light, nutrients</w:t>
      </w:r>
      <w:r w:rsidR="00AE4926">
        <w:rPr>
          <w:rFonts w:ascii="Arial" w:hAnsi="Arial" w:cs="Arial"/>
          <w:sz w:val="20"/>
          <w:szCs w:val="20"/>
        </w:rPr>
        <w:t xml:space="preserve"> and </w:t>
      </w:r>
      <w:r w:rsidRPr="00071A47">
        <w:rPr>
          <w:rFonts w:ascii="Arial" w:hAnsi="Arial" w:cs="Arial"/>
          <w:sz w:val="20"/>
          <w:szCs w:val="20"/>
        </w:rPr>
        <w:t>water, which negatively impacts the seedlings' growth and development. In addition, weeds can also act as possible habitats for pathogens or insects, which raises the possibility of infestation or disease transmission to cashew seedlings.</w:t>
      </w:r>
    </w:p>
    <w:p w14:paraId="1A9EE93C" w14:textId="77777777" w:rsidR="008F02E1" w:rsidRPr="00071A47" w:rsidRDefault="003B43BE" w:rsidP="003925AF">
      <w:pPr>
        <w:spacing w:line="240" w:lineRule="auto"/>
        <w:jc w:val="both"/>
        <w:rPr>
          <w:rFonts w:ascii="Arial" w:hAnsi="Arial" w:cs="Arial"/>
          <w:sz w:val="20"/>
          <w:szCs w:val="20"/>
        </w:rPr>
      </w:pPr>
      <w:r w:rsidRPr="00071A47">
        <w:rPr>
          <w:rFonts w:ascii="Arial" w:hAnsi="Arial" w:cs="Arial"/>
          <w:sz w:val="20"/>
          <w:szCs w:val="20"/>
        </w:rPr>
        <w:t>Crop morphological development has been observed to be impacted by weeds</w:t>
      </w:r>
      <w:r w:rsidR="00B62657" w:rsidRPr="00071A47">
        <w:rPr>
          <w:rFonts w:ascii="Arial" w:hAnsi="Arial" w:cs="Arial"/>
          <w:sz w:val="20"/>
          <w:szCs w:val="20"/>
        </w:rPr>
        <w:t xml:space="preserve"> (Swanton and Murphy, 1996; Siddiqui </w:t>
      </w:r>
      <w:r w:rsidR="00B62657" w:rsidRPr="00071A47">
        <w:rPr>
          <w:rFonts w:ascii="Arial" w:hAnsi="Arial" w:cs="Arial"/>
          <w:i/>
          <w:sz w:val="20"/>
          <w:szCs w:val="20"/>
        </w:rPr>
        <w:t>et al</w:t>
      </w:r>
      <w:r w:rsidR="00B62657" w:rsidRPr="00071A47">
        <w:rPr>
          <w:rFonts w:ascii="Arial" w:hAnsi="Arial" w:cs="Arial"/>
          <w:sz w:val="20"/>
          <w:szCs w:val="20"/>
        </w:rPr>
        <w:t>., 2023)</w:t>
      </w:r>
      <w:r w:rsidR="008F02E1" w:rsidRPr="00071A47">
        <w:rPr>
          <w:rFonts w:ascii="Arial" w:hAnsi="Arial" w:cs="Arial"/>
          <w:sz w:val="20"/>
          <w:szCs w:val="20"/>
        </w:rPr>
        <w:t>. Nevertheless, it is important to recognize that the root systems of crops also play a substantial role in the successful establishment of nursery crops in the field</w:t>
      </w:r>
      <w:r w:rsidR="00B62657" w:rsidRPr="00071A47">
        <w:rPr>
          <w:rFonts w:ascii="Arial" w:hAnsi="Arial" w:cs="Arial"/>
          <w:sz w:val="20"/>
          <w:szCs w:val="20"/>
        </w:rPr>
        <w:t xml:space="preserve"> (Sánchez-Blanco </w:t>
      </w:r>
      <w:r w:rsidR="00B62657" w:rsidRPr="00071A47">
        <w:rPr>
          <w:rFonts w:ascii="Arial" w:hAnsi="Arial" w:cs="Arial"/>
          <w:i/>
          <w:sz w:val="20"/>
          <w:szCs w:val="20"/>
        </w:rPr>
        <w:t>et al</w:t>
      </w:r>
      <w:r w:rsidR="00B62657" w:rsidRPr="00071A47">
        <w:rPr>
          <w:rFonts w:ascii="Arial" w:hAnsi="Arial" w:cs="Arial"/>
          <w:sz w:val="20"/>
          <w:szCs w:val="20"/>
        </w:rPr>
        <w:t>., 2014)</w:t>
      </w:r>
      <w:r w:rsidR="008F02E1" w:rsidRPr="00071A47">
        <w:rPr>
          <w:rFonts w:ascii="Arial" w:hAnsi="Arial" w:cs="Arial"/>
          <w:sz w:val="20"/>
          <w:szCs w:val="20"/>
        </w:rPr>
        <w:t>. Unfortunately, the focus is often directed primarily toward the shoot system, leading to an oversight of the crucial contribution made by the roots.</w:t>
      </w:r>
    </w:p>
    <w:p w14:paraId="5D666661" w14:textId="49EEFE73" w:rsidR="008C0560" w:rsidRPr="00071A47" w:rsidRDefault="00E80446" w:rsidP="003925AF">
      <w:pPr>
        <w:spacing w:line="240" w:lineRule="auto"/>
        <w:jc w:val="both"/>
        <w:rPr>
          <w:rFonts w:ascii="Arial" w:hAnsi="Arial" w:cs="Arial"/>
          <w:sz w:val="20"/>
          <w:szCs w:val="20"/>
        </w:rPr>
      </w:pPr>
      <w:r w:rsidRPr="00071A47">
        <w:rPr>
          <w:rFonts w:ascii="Arial" w:hAnsi="Arial" w:cs="Arial"/>
          <w:sz w:val="20"/>
          <w:szCs w:val="20"/>
        </w:rPr>
        <w:t>Weeds can change the soil environment by competing with crops for nutrients, water</w:t>
      </w:r>
      <w:r w:rsidR="00AE4926">
        <w:rPr>
          <w:rFonts w:ascii="Arial" w:hAnsi="Arial" w:cs="Arial"/>
          <w:sz w:val="20"/>
          <w:szCs w:val="20"/>
        </w:rPr>
        <w:t xml:space="preserve"> and </w:t>
      </w:r>
      <w:r w:rsidRPr="00071A47">
        <w:rPr>
          <w:rFonts w:ascii="Arial" w:hAnsi="Arial" w:cs="Arial"/>
          <w:sz w:val="20"/>
          <w:szCs w:val="20"/>
        </w:rPr>
        <w:t>sunlight, leading to alterations in the composition and activity of the soil microbial community</w:t>
      </w:r>
      <w:r w:rsidR="008B0D83" w:rsidRPr="00071A47">
        <w:rPr>
          <w:rFonts w:ascii="Arial" w:hAnsi="Arial" w:cs="Arial"/>
          <w:sz w:val="20"/>
          <w:szCs w:val="20"/>
        </w:rPr>
        <w:t xml:space="preserve"> (</w:t>
      </w:r>
      <w:proofErr w:type="spellStart"/>
      <w:r w:rsidR="00F87B64" w:rsidRPr="00071A47">
        <w:rPr>
          <w:rFonts w:ascii="Arial" w:hAnsi="Arial" w:cs="Arial"/>
          <w:sz w:val="20"/>
          <w:szCs w:val="20"/>
        </w:rPr>
        <w:t>Massenssini</w:t>
      </w:r>
      <w:proofErr w:type="spellEnd"/>
      <w:r w:rsidR="00F87B64" w:rsidRPr="00071A47">
        <w:rPr>
          <w:rFonts w:ascii="Arial" w:hAnsi="Arial" w:cs="Arial"/>
          <w:sz w:val="20"/>
          <w:szCs w:val="20"/>
        </w:rPr>
        <w:t xml:space="preserve"> </w:t>
      </w:r>
      <w:r w:rsidR="00F87B64" w:rsidRPr="00071A47">
        <w:rPr>
          <w:rFonts w:ascii="Arial" w:hAnsi="Arial" w:cs="Arial"/>
          <w:i/>
          <w:sz w:val="20"/>
          <w:szCs w:val="20"/>
        </w:rPr>
        <w:t>et al</w:t>
      </w:r>
      <w:r w:rsidR="00F87B64" w:rsidRPr="00071A47">
        <w:rPr>
          <w:rFonts w:ascii="Arial" w:hAnsi="Arial" w:cs="Arial"/>
          <w:sz w:val="20"/>
          <w:szCs w:val="20"/>
        </w:rPr>
        <w:t>., 2014</w:t>
      </w:r>
      <w:r w:rsidR="008B0D83" w:rsidRPr="00071A47">
        <w:rPr>
          <w:rFonts w:ascii="Arial" w:hAnsi="Arial" w:cs="Arial"/>
          <w:sz w:val="20"/>
          <w:szCs w:val="20"/>
        </w:rPr>
        <w:t>)</w:t>
      </w:r>
      <w:r w:rsidRPr="00071A47">
        <w:rPr>
          <w:rFonts w:ascii="Arial" w:hAnsi="Arial" w:cs="Arial"/>
          <w:sz w:val="20"/>
          <w:szCs w:val="20"/>
        </w:rPr>
        <w:t xml:space="preserve">. </w:t>
      </w:r>
      <w:r w:rsidR="008C0560" w:rsidRPr="00071A47">
        <w:rPr>
          <w:rFonts w:ascii="Arial" w:hAnsi="Arial" w:cs="Arial"/>
          <w:sz w:val="20"/>
          <w:szCs w:val="20"/>
        </w:rPr>
        <w:t xml:space="preserve">It is therefore important to observe </w:t>
      </w:r>
      <w:r w:rsidRPr="00071A47">
        <w:rPr>
          <w:rFonts w:ascii="Arial" w:hAnsi="Arial" w:cs="Arial"/>
          <w:sz w:val="20"/>
          <w:szCs w:val="20"/>
        </w:rPr>
        <w:t xml:space="preserve">the influence of </w:t>
      </w:r>
      <w:r w:rsidR="008C0560" w:rsidRPr="00071A47">
        <w:rPr>
          <w:rFonts w:ascii="Arial" w:hAnsi="Arial" w:cs="Arial"/>
          <w:sz w:val="20"/>
          <w:szCs w:val="20"/>
        </w:rPr>
        <w:t>weeding periods</w:t>
      </w:r>
      <w:r w:rsidRPr="00071A47">
        <w:rPr>
          <w:rFonts w:ascii="Arial" w:hAnsi="Arial" w:cs="Arial"/>
          <w:sz w:val="20"/>
          <w:szCs w:val="20"/>
        </w:rPr>
        <w:t xml:space="preserve"> on soil microbes.</w:t>
      </w:r>
      <w:r w:rsidR="00CB4231" w:rsidRPr="00071A47">
        <w:rPr>
          <w:rFonts w:ascii="Arial" w:hAnsi="Arial" w:cs="Arial"/>
          <w:sz w:val="20"/>
          <w:szCs w:val="20"/>
        </w:rPr>
        <w:t xml:space="preserve"> </w:t>
      </w:r>
    </w:p>
    <w:p w14:paraId="3C72914C" w14:textId="6CB789EE" w:rsidR="002817D8" w:rsidRPr="00071A47" w:rsidRDefault="00DF1ADF" w:rsidP="003925AF">
      <w:pPr>
        <w:spacing w:line="240" w:lineRule="auto"/>
        <w:jc w:val="both"/>
        <w:rPr>
          <w:rFonts w:ascii="Arial" w:hAnsi="Arial" w:cs="Arial"/>
          <w:sz w:val="20"/>
          <w:szCs w:val="20"/>
        </w:rPr>
      </w:pPr>
      <w:r w:rsidRPr="00071A47">
        <w:rPr>
          <w:rFonts w:ascii="Arial" w:hAnsi="Arial" w:cs="Arial"/>
          <w:sz w:val="20"/>
          <w:szCs w:val="20"/>
        </w:rPr>
        <w:t>T</w:t>
      </w:r>
      <w:r w:rsidR="003B43BE" w:rsidRPr="00071A47">
        <w:rPr>
          <w:rFonts w:ascii="Arial" w:hAnsi="Arial" w:cs="Arial"/>
          <w:sz w:val="20"/>
          <w:szCs w:val="20"/>
        </w:rPr>
        <w:t xml:space="preserve">o protect cashew seedlings, it is critical to manage weed infestation effectively, which calls for prompt and suitable weed management procedures. Some of the measures that </w:t>
      </w:r>
      <w:r w:rsidRPr="00071A47">
        <w:rPr>
          <w:rFonts w:ascii="Arial" w:hAnsi="Arial" w:cs="Arial"/>
          <w:sz w:val="20"/>
          <w:szCs w:val="20"/>
        </w:rPr>
        <w:t>ar</w:t>
      </w:r>
      <w:r w:rsidR="003B43BE" w:rsidRPr="00071A47">
        <w:rPr>
          <w:rFonts w:ascii="Arial" w:hAnsi="Arial" w:cs="Arial"/>
          <w:sz w:val="20"/>
          <w:szCs w:val="20"/>
        </w:rPr>
        <w:t>e effective in reducing weed-related problems in cashew nurseries are mulching, manual weeding</w:t>
      </w:r>
      <w:r w:rsidR="00AE4926">
        <w:rPr>
          <w:rFonts w:ascii="Arial" w:hAnsi="Arial" w:cs="Arial"/>
          <w:sz w:val="20"/>
          <w:szCs w:val="20"/>
        </w:rPr>
        <w:t xml:space="preserve"> and </w:t>
      </w:r>
      <w:r w:rsidR="003B43BE" w:rsidRPr="00071A47">
        <w:rPr>
          <w:rFonts w:ascii="Arial" w:hAnsi="Arial" w:cs="Arial"/>
          <w:sz w:val="20"/>
          <w:szCs w:val="20"/>
        </w:rPr>
        <w:t>regular monitoring.</w:t>
      </w:r>
      <w:r w:rsidR="007A0E3F" w:rsidRPr="00071A47">
        <w:rPr>
          <w:rFonts w:ascii="Arial" w:hAnsi="Arial" w:cs="Arial"/>
          <w:sz w:val="20"/>
          <w:szCs w:val="20"/>
        </w:rPr>
        <w:t xml:space="preserve"> Adopting good weed management </w:t>
      </w:r>
      <w:r w:rsidR="000E28BE" w:rsidRPr="00071A47">
        <w:rPr>
          <w:rFonts w:ascii="Arial" w:hAnsi="Arial" w:cs="Arial"/>
          <w:sz w:val="20"/>
          <w:szCs w:val="20"/>
        </w:rPr>
        <w:t>practices</w:t>
      </w:r>
      <w:r w:rsidR="007A0E3F" w:rsidRPr="00071A47">
        <w:rPr>
          <w:rFonts w:ascii="Arial" w:hAnsi="Arial" w:cs="Arial"/>
          <w:sz w:val="20"/>
          <w:szCs w:val="20"/>
        </w:rPr>
        <w:t xml:space="preserve"> enables cashew growers to raise healthy seedlings, enabling successful establishment and future growth in the field.</w:t>
      </w:r>
      <w:r w:rsidR="003B43BE" w:rsidRPr="00071A47">
        <w:rPr>
          <w:rFonts w:ascii="Arial" w:hAnsi="Arial" w:cs="Arial"/>
          <w:sz w:val="20"/>
          <w:szCs w:val="20"/>
        </w:rPr>
        <w:t xml:space="preserve"> </w:t>
      </w:r>
      <w:r w:rsidR="009646C8" w:rsidRPr="00071A47">
        <w:rPr>
          <w:rFonts w:ascii="Arial" w:hAnsi="Arial" w:cs="Arial"/>
          <w:sz w:val="20"/>
          <w:szCs w:val="20"/>
        </w:rPr>
        <w:t xml:space="preserve">Therefore, it is important to scientifically study the effect of weeds on young cashew seedling morphology, root systems and nursery soil used. </w:t>
      </w:r>
      <w:r w:rsidR="002817D8" w:rsidRPr="00071A47">
        <w:rPr>
          <w:rFonts w:ascii="Arial" w:hAnsi="Arial" w:cs="Arial"/>
          <w:sz w:val="20"/>
          <w:szCs w:val="20"/>
        </w:rPr>
        <w:t xml:space="preserve"> This study's objective is to: </w:t>
      </w:r>
    </w:p>
    <w:p w14:paraId="123CE655" w14:textId="77777777" w:rsidR="009646C8" w:rsidRPr="00071A47" w:rsidRDefault="002817D8" w:rsidP="003925AF">
      <w:pPr>
        <w:pStyle w:val="ListParagraph"/>
        <w:numPr>
          <w:ilvl w:val="0"/>
          <w:numId w:val="1"/>
        </w:numPr>
        <w:spacing w:line="240" w:lineRule="auto"/>
        <w:jc w:val="both"/>
        <w:rPr>
          <w:rFonts w:ascii="Arial" w:hAnsi="Arial" w:cs="Arial"/>
          <w:sz w:val="20"/>
          <w:szCs w:val="20"/>
        </w:rPr>
      </w:pPr>
      <w:r w:rsidRPr="00071A47">
        <w:rPr>
          <w:rFonts w:ascii="Arial" w:hAnsi="Arial" w:cs="Arial"/>
          <w:sz w:val="20"/>
          <w:szCs w:val="20"/>
        </w:rPr>
        <w:t xml:space="preserve">Observe the </w:t>
      </w:r>
      <w:r w:rsidR="00770657" w:rsidRPr="00071A47">
        <w:rPr>
          <w:rFonts w:ascii="Arial" w:hAnsi="Arial" w:cs="Arial"/>
          <w:sz w:val="20"/>
          <w:szCs w:val="20"/>
        </w:rPr>
        <w:t>influence of varying durations of manual weeding on</w:t>
      </w:r>
      <w:r w:rsidR="009646C8" w:rsidRPr="00071A47">
        <w:rPr>
          <w:rFonts w:ascii="Arial" w:hAnsi="Arial" w:cs="Arial"/>
          <w:sz w:val="20"/>
          <w:szCs w:val="20"/>
        </w:rPr>
        <w:t xml:space="preserve"> cashew seedling morphology,</w:t>
      </w:r>
      <w:r w:rsidRPr="00071A47">
        <w:rPr>
          <w:rFonts w:ascii="Arial" w:hAnsi="Arial" w:cs="Arial"/>
          <w:sz w:val="20"/>
          <w:szCs w:val="20"/>
        </w:rPr>
        <w:t xml:space="preserve">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and</w:t>
      </w:r>
      <w:r w:rsidR="009646C8" w:rsidRPr="00071A47">
        <w:rPr>
          <w:rFonts w:ascii="Arial" w:hAnsi="Arial" w:cs="Arial"/>
          <w:sz w:val="20"/>
          <w:szCs w:val="20"/>
        </w:rPr>
        <w:t xml:space="preserve"> root s</w:t>
      </w:r>
      <w:r w:rsidRPr="00071A47">
        <w:rPr>
          <w:rFonts w:ascii="Arial" w:hAnsi="Arial" w:cs="Arial"/>
          <w:sz w:val="20"/>
          <w:szCs w:val="20"/>
        </w:rPr>
        <w:t>ystems</w:t>
      </w:r>
      <w:r w:rsidR="009646C8" w:rsidRPr="00071A47">
        <w:rPr>
          <w:rFonts w:ascii="Arial" w:hAnsi="Arial" w:cs="Arial"/>
          <w:sz w:val="20"/>
          <w:szCs w:val="20"/>
        </w:rPr>
        <w:t>.</w:t>
      </w:r>
    </w:p>
    <w:p w14:paraId="455CF690" w14:textId="142E81C3" w:rsidR="002817D8" w:rsidRPr="00071A47" w:rsidRDefault="002817D8" w:rsidP="003925AF">
      <w:pPr>
        <w:pStyle w:val="ListParagraph"/>
        <w:numPr>
          <w:ilvl w:val="0"/>
          <w:numId w:val="1"/>
        </w:numPr>
        <w:spacing w:line="240" w:lineRule="auto"/>
        <w:jc w:val="both"/>
        <w:rPr>
          <w:rFonts w:ascii="Arial" w:hAnsi="Arial" w:cs="Arial"/>
          <w:sz w:val="20"/>
          <w:szCs w:val="20"/>
        </w:rPr>
      </w:pPr>
      <w:r w:rsidRPr="00071A47">
        <w:rPr>
          <w:rFonts w:ascii="Arial" w:hAnsi="Arial" w:cs="Arial"/>
          <w:sz w:val="20"/>
          <w:szCs w:val="20"/>
        </w:rPr>
        <w:t>Investigate the most appropriate time to weed cashew seedlings in the nursery.</w:t>
      </w:r>
    </w:p>
    <w:p w14:paraId="1A6BC82F" w14:textId="0005EB81" w:rsidR="00CB4231" w:rsidRPr="00071A47" w:rsidRDefault="00CB4231" w:rsidP="003925AF">
      <w:pPr>
        <w:pStyle w:val="ListParagraph"/>
        <w:numPr>
          <w:ilvl w:val="0"/>
          <w:numId w:val="1"/>
        </w:numPr>
        <w:spacing w:line="240" w:lineRule="auto"/>
        <w:jc w:val="both"/>
        <w:rPr>
          <w:rFonts w:ascii="Arial" w:hAnsi="Arial" w:cs="Arial"/>
          <w:sz w:val="20"/>
          <w:szCs w:val="20"/>
        </w:rPr>
      </w:pPr>
      <w:r w:rsidRPr="00071A47">
        <w:rPr>
          <w:rFonts w:ascii="Arial" w:hAnsi="Arial" w:cs="Arial"/>
          <w:sz w:val="20"/>
          <w:szCs w:val="20"/>
        </w:rPr>
        <w:t xml:space="preserve">Observe the effect of different weeding periods on soil </w:t>
      </w:r>
      <w:r w:rsidR="00020007">
        <w:rPr>
          <w:rFonts w:ascii="Arial" w:hAnsi="Arial" w:cs="Arial"/>
          <w:sz w:val="20"/>
          <w:szCs w:val="20"/>
        </w:rPr>
        <w:t>fungal community</w:t>
      </w:r>
      <w:r w:rsidRPr="00071A47">
        <w:rPr>
          <w:rFonts w:ascii="Arial" w:hAnsi="Arial" w:cs="Arial"/>
          <w:sz w:val="20"/>
          <w:szCs w:val="20"/>
        </w:rPr>
        <w:t xml:space="preserve">. </w:t>
      </w:r>
    </w:p>
    <w:p w14:paraId="33EB6CB2" w14:textId="77777777" w:rsidR="00EB3F70" w:rsidRPr="003925AF" w:rsidRDefault="00EB3F70" w:rsidP="003925AF">
      <w:pPr>
        <w:spacing w:line="240" w:lineRule="auto"/>
        <w:jc w:val="both"/>
        <w:rPr>
          <w:rFonts w:ascii="Arial" w:hAnsi="Arial" w:cs="Arial"/>
          <w:sz w:val="24"/>
          <w:szCs w:val="24"/>
        </w:rPr>
      </w:pPr>
    </w:p>
    <w:p w14:paraId="69B5B64A" w14:textId="7ED24077" w:rsidR="00EB3F70" w:rsidRPr="00071A47" w:rsidRDefault="00EB3F70" w:rsidP="003925AF">
      <w:pPr>
        <w:spacing w:line="240" w:lineRule="auto"/>
        <w:jc w:val="both"/>
        <w:rPr>
          <w:rFonts w:ascii="Arial" w:hAnsi="Arial" w:cs="Arial"/>
          <w:b/>
        </w:rPr>
      </w:pPr>
      <w:r w:rsidRPr="00071A47">
        <w:rPr>
          <w:rFonts w:ascii="Arial" w:hAnsi="Arial" w:cs="Arial"/>
          <w:b/>
        </w:rPr>
        <w:t>M</w:t>
      </w:r>
      <w:r w:rsidR="00071A47" w:rsidRPr="00071A47">
        <w:rPr>
          <w:rFonts w:ascii="Arial" w:hAnsi="Arial" w:cs="Arial"/>
          <w:b/>
        </w:rPr>
        <w:t>ETHODOLOGY</w:t>
      </w:r>
    </w:p>
    <w:p w14:paraId="7B1F159D" w14:textId="77777777" w:rsidR="005F56E3" w:rsidRPr="00071A47" w:rsidRDefault="005F56E3" w:rsidP="003925AF">
      <w:pPr>
        <w:spacing w:line="240" w:lineRule="auto"/>
        <w:jc w:val="both"/>
        <w:rPr>
          <w:rFonts w:ascii="Arial" w:hAnsi="Arial" w:cs="Arial"/>
          <w:b/>
        </w:rPr>
      </w:pPr>
      <w:r w:rsidRPr="00071A47">
        <w:rPr>
          <w:rFonts w:ascii="Arial" w:hAnsi="Arial" w:cs="Arial"/>
          <w:b/>
        </w:rPr>
        <w:t xml:space="preserve">Experimental design, weeding treatment and experimental setup </w:t>
      </w:r>
    </w:p>
    <w:p w14:paraId="4A7A7D3B" w14:textId="38217943" w:rsidR="003B0A81" w:rsidRDefault="006B6334" w:rsidP="003B0A81">
      <w:pPr>
        <w:spacing w:line="240" w:lineRule="auto"/>
        <w:jc w:val="both"/>
        <w:rPr>
          <w:rFonts w:ascii="Arial" w:hAnsi="Arial" w:cs="Arial"/>
          <w:sz w:val="20"/>
          <w:szCs w:val="20"/>
        </w:rPr>
      </w:pPr>
      <w:r w:rsidRPr="00071A47">
        <w:rPr>
          <w:rFonts w:ascii="Arial" w:hAnsi="Arial" w:cs="Arial"/>
          <w:sz w:val="20"/>
          <w:szCs w:val="20"/>
        </w:rPr>
        <w:t>The experimental study was conducted in a nursery located within Akinyele Local Government Area, Ibadan, Oyo State, Nigeria within 3 months.</w:t>
      </w:r>
      <w:r w:rsidR="00AD484C" w:rsidRPr="00071A47">
        <w:rPr>
          <w:rFonts w:ascii="Arial" w:hAnsi="Arial" w:cs="Arial"/>
          <w:sz w:val="20"/>
          <w:szCs w:val="20"/>
        </w:rPr>
        <w:t xml:space="preserve"> </w:t>
      </w:r>
      <w:r w:rsidR="003B0A81" w:rsidRPr="00071A47">
        <w:rPr>
          <w:rFonts w:ascii="Arial" w:hAnsi="Arial" w:cs="Arial"/>
          <w:sz w:val="20"/>
          <w:szCs w:val="20"/>
        </w:rPr>
        <w:t>A completely randomized design (CRD) was employed, comprising six treatments each replicated three times. The treatments were: weed-free (WF), weedy check (WC), once-weekly weeding (1W), once-in-two-weeks weeding (2W), once-in-three-weeks weeding (3W)</w:t>
      </w:r>
      <w:r w:rsidR="00AE4926">
        <w:rPr>
          <w:rFonts w:ascii="Arial" w:hAnsi="Arial" w:cs="Arial"/>
          <w:sz w:val="20"/>
          <w:szCs w:val="20"/>
        </w:rPr>
        <w:t xml:space="preserve"> and </w:t>
      </w:r>
      <w:r w:rsidR="003B0A81" w:rsidRPr="00071A47">
        <w:rPr>
          <w:rFonts w:ascii="Arial" w:hAnsi="Arial" w:cs="Arial"/>
          <w:sz w:val="20"/>
          <w:szCs w:val="20"/>
        </w:rPr>
        <w:t>once-in-four-weeks weeding (4W). Medium-sized cashew (</w:t>
      </w:r>
      <w:r w:rsidR="003B0A81" w:rsidRPr="00071A47">
        <w:rPr>
          <w:rFonts w:ascii="Arial" w:hAnsi="Arial" w:cs="Arial"/>
          <w:i/>
          <w:iCs/>
          <w:sz w:val="20"/>
          <w:szCs w:val="20"/>
        </w:rPr>
        <w:t>Anacardium occidentale</w:t>
      </w:r>
      <w:r w:rsidR="003B0A81" w:rsidRPr="00071A47">
        <w:rPr>
          <w:rFonts w:ascii="Arial" w:hAnsi="Arial" w:cs="Arial"/>
          <w:sz w:val="20"/>
          <w:szCs w:val="20"/>
        </w:rPr>
        <w:t xml:space="preserve"> L.) nut biotypes were sown at a depth of 4 cm in polybags measuring 25 cm × 12.5 cm, filled with topsoil sieved to 2 mm fineness. Each polybag was punctured at the base to ensure adequate drainage and prevent waterlogging. Each treatment comprised 10 seedlings per replicate, giving a total of 60 seedlings per replication and 180 seedlings across all three replications. Seedlings were irrigated every two days throughout the experimental period.</w:t>
      </w:r>
    </w:p>
    <w:p w14:paraId="7735D14F" w14:textId="77777777" w:rsidR="009B50EF" w:rsidRPr="00071A47" w:rsidRDefault="009B50EF" w:rsidP="003B0A81">
      <w:pPr>
        <w:spacing w:line="240" w:lineRule="auto"/>
        <w:jc w:val="both"/>
        <w:rPr>
          <w:rFonts w:ascii="Arial" w:hAnsi="Arial" w:cs="Arial"/>
          <w:sz w:val="20"/>
          <w:szCs w:val="20"/>
        </w:rPr>
      </w:pPr>
    </w:p>
    <w:p w14:paraId="58232A28" w14:textId="1C630A52" w:rsidR="003B0A81" w:rsidRPr="00071A47" w:rsidRDefault="003B0A81" w:rsidP="003B0A81">
      <w:pPr>
        <w:spacing w:line="240" w:lineRule="auto"/>
        <w:jc w:val="both"/>
        <w:rPr>
          <w:rFonts w:ascii="Arial" w:hAnsi="Arial" w:cs="Arial"/>
          <w:b/>
          <w:bCs/>
        </w:rPr>
      </w:pPr>
      <w:r w:rsidRPr="00071A47">
        <w:rPr>
          <w:rFonts w:ascii="Arial" w:hAnsi="Arial" w:cs="Arial"/>
          <w:b/>
          <w:bCs/>
        </w:rPr>
        <w:lastRenderedPageBreak/>
        <w:t>Data Collection</w:t>
      </w:r>
    </w:p>
    <w:p w14:paraId="581525AF" w14:textId="2908DA3E"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Growth parameter data collection commenced at one month after sowing (1 MAS) and was conducted at biweekly intervals thereafter. Parameters recorded included plant height (cm), stem diameter (mm), number of leaves per plant</w:t>
      </w:r>
      <w:r w:rsidR="00AE4926">
        <w:rPr>
          <w:rFonts w:ascii="Arial" w:hAnsi="Arial" w:cs="Arial"/>
          <w:sz w:val="20"/>
          <w:szCs w:val="20"/>
        </w:rPr>
        <w:t xml:space="preserve"> and </w:t>
      </w:r>
      <w:r w:rsidRPr="00071A47">
        <w:rPr>
          <w:rFonts w:ascii="Arial" w:hAnsi="Arial" w:cs="Arial"/>
          <w:sz w:val="20"/>
          <w:szCs w:val="20"/>
        </w:rPr>
        <w:t xml:space="preserve">leaf area (cm²). Seedling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was assessed at three months after sowing (3 MAS) using a five-point rating scale ranging from 1 (poor) to 5 (excellent), as previously described by </w:t>
      </w:r>
      <w:proofErr w:type="spellStart"/>
      <w:r w:rsidRPr="00071A47">
        <w:rPr>
          <w:rFonts w:ascii="Arial" w:hAnsi="Arial" w:cs="Arial"/>
          <w:sz w:val="20"/>
          <w:szCs w:val="20"/>
        </w:rPr>
        <w:t>Olasan</w:t>
      </w:r>
      <w:proofErr w:type="spellEnd"/>
      <w:r w:rsidRPr="00071A47">
        <w:rPr>
          <w:rFonts w:ascii="Arial" w:hAnsi="Arial" w:cs="Arial"/>
          <w:sz w:val="20"/>
          <w:szCs w:val="20"/>
        </w:rPr>
        <w:t xml:space="preserve"> </w:t>
      </w:r>
      <w:r w:rsidRPr="00AE4926">
        <w:rPr>
          <w:rFonts w:ascii="Arial" w:hAnsi="Arial" w:cs="Arial"/>
          <w:i/>
          <w:iCs/>
          <w:sz w:val="20"/>
          <w:szCs w:val="20"/>
        </w:rPr>
        <w:t>et al</w:t>
      </w:r>
      <w:r w:rsidRPr="00071A47">
        <w:rPr>
          <w:rFonts w:ascii="Arial" w:hAnsi="Arial" w:cs="Arial"/>
          <w:sz w:val="20"/>
          <w:szCs w:val="20"/>
        </w:rPr>
        <w:t>. (2018). At the termination of the experiment, destructive sampling was carried out on all seedlings. Each plant was carefully uprooted and separated into shoot and root fractions. Fresh shoot weight (FSW) and fresh root weight (FRW) were immediately recorded using a precision balance</w:t>
      </w:r>
      <w:r w:rsidR="00AE4926">
        <w:rPr>
          <w:rFonts w:ascii="Arial" w:hAnsi="Arial" w:cs="Arial"/>
          <w:sz w:val="20"/>
          <w:szCs w:val="20"/>
        </w:rPr>
        <w:t xml:space="preserve"> and </w:t>
      </w:r>
      <w:r w:rsidRPr="00071A47">
        <w:rPr>
          <w:rFonts w:ascii="Arial" w:hAnsi="Arial" w:cs="Arial"/>
          <w:sz w:val="20"/>
          <w:szCs w:val="20"/>
        </w:rPr>
        <w:t xml:space="preserve">tap root length (TRL) was measured with a ruler. Root morphology was scored using a scale adapted and modified from </w:t>
      </w:r>
      <w:proofErr w:type="spellStart"/>
      <w:r w:rsidRPr="00071A47">
        <w:rPr>
          <w:rFonts w:ascii="Arial" w:hAnsi="Arial" w:cs="Arial"/>
          <w:sz w:val="20"/>
          <w:szCs w:val="20"/>
        </w:rPr>
        <w:t>Olasan</w:t>
      </w:r>
      <w:proofErr w:type="spellEnd"/>
      <w:r w:rsidRPr="00071A47">
        <w:rPr>
          <w:rFonts w:ascii="Arial" w:hAnsi="Arial" w:cs="Arial"/>
          <w:sz w:val="20"/>
          <w:szCs w:val="20"/>
        </w:rPr>
        <w:t xml:space="preserve"> </w:t>
      </w:r>
      <w:r w:rsidRPr="00AE4926">
        <w:rPr>
          <w:rFonts w:ascii="Arial" w:hAnsi="Arial" w:cs="Arial"/>
          <w:i/>
          <w:iCs/>
          <w:sz w:val="20"/>
          <w:szCs w:val="20"/>
        </w:rPr>
        <w:t>et al</w:t>
      </w:r>
      <w:r w:rsidRPr="00071A47">
        <w:rPr>
          <w:rFonts w:ascii="Arial" w:hAnsi="Arial" w:cs="Arial"/>
          <w:sz w:val="20"/>
          <w:szCs w:val="20"/>
        </w:rPr>
        <w:t>. (2018), where 1 = scanty, 2 = moderate</w:t>
      </w:r>
      <w:r w:rsidR="00AE4926">
        <w:rPr>
          <w:rFonts w:ascii="Arial" w:hAnsi="Arial" w:cs="Arial"/>
          <w:sz w:val="20"/>
          <w:szCs w:val="20"/>
        </w:rPr>
        <w:t xml:space="preserve"> and </w:t>
      </w:r>
      <w:r w:rsidRPr="00071A47">
        <w:rPr>
          <w:rFonts w:ascii="Arial" w:hAnsi="Arial" w:cs="Arial"/>
          <w:sz w:val="20"/>
          <w:szCs w:val="20"/>
        </w:rPr>
        <w:t>3 = fibrous. Plant material was subsequently oven-dried to constant weight at 70°C to determine dry shoot weight (DSW) and dry root weight (DRW). Weed species present within each polybag were identified and documented throughout the experimental period.</w:t>
      </w:r>
    </w:p>
    <w:p w14:paraId="3E538CA8" w14:textId="1AF55790" w:rsidR="003B0A81" w:rsidRPr="00071A47" w:rsidRDefault="003B0A81" w:rsidP="003B0A81">
      <w:pPr>
        <w:spacing w:line="240" w:lineRule="auto"/>
        <w:jc w:val="both"/>
        <w:rPr>
          <w:rFonts w:ascii="Arial" w:hAnsi="Arial" w:cs="Arial"/>
          <w:b/>
          <w:bCs/>
        </w:rPr>
      </w:pPr>
      <w:r w:rsidRPr="00071A47">
        <w:rPr>
          <w:rFonts w:ascii="Arial" w:hAnsi="Arial" w:cs="Arial"/>
          <w:b/>
          <w:bCs/>
        </w:rPr>
        <w:t>Soil Sampling and Microbial Analysis</w:t>
      </w:r>
    </w:p>
    <w:p w14:paraId="2647D9F5" w14:textId="2057D6FF"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An initial topsoil sample was collected prior to sowing to characterize the baseline physicochemical properties of the experimental soil. At experiment termination (3 MAS), soil samples were collected from each treatment for microbial analysis. For each sample, 1 g of soil was aseptically weighed and suspended in 9 ml of sterile distilled water to produce a uniform soil suspension. The suspension was agitated for 30 minutes to homogenize</w:t>
      </w:r>
      <w:r w:rsidR="00AE4926">
        <w:rPr>
          <w:rFonts w:ascii="Arial" w:hAnsi="Arial" w:cs="Arial"/>
          <w:sz w:val="20"/>
          <w:szCs w:val="20"/>
        </w:rPr>
        <w:t xml:space="preserve"> and </w:t>
      </w:r>
      <w:r w:rsidRPr="00071A47">
        <w:rPr>
          <w:rFonts w:ascii="Arial" w:hAnsi="Arial" w:cs="Arial"/>
          <w:sz w:val="20"/>
          <w:szCs w:val="20"/>
        </w:rPr>
        <w:t>serial dilutions were prepared at 10</w:t>
      </w:r>
      <w:r w:rsidRPr="00071A47">
        <w:rPr>
          <w:rFonts w:ascii="Cambria Math" w:hAnsi="Cambria Math" w:cs="Cambria Math"/>
          <w:sz w:val="20"/>
          <w:szCs w:val="20"/>
        </w:rPr>
        <w:t>⁻</w:t>
      </w:r>
      <w:r w:rsidRPr="00071A47">
        <w:rPr>
          <w:rFonts w:ascii="Arial" w:hAnsi="Arial" w:cs="Arial"/>
          <w:sz w:val="20"/>
          <w:szCs w:val="20"/>
        </w:rPr>
        <w:t>³ and 10</w:t>
      </w:r>
      <w:r w:rsidRPr="00071A47">
        <w:rPr>
          <w:rFonts w:ascii="Cambria Math" w:hAnsi="Cambria Math" w:cs="Cambria Math"/>
          <w:sz w:val="20"/>
          <w:szCs w:val="20"/>
        </w:rPr>
        <w:t>⁻</w:t>
      </w:r>
      <w:r w:rsidRPr="00071A47">
        <w:rPr>
          <w:rFonts w:ascii="Arial" w:hAnsi="Arial" w:cs="Arial"/>
          <w:sz w:val="20"/>
          <w:szCs w:val="20"/>
        </w:rPr>
        <w:t xml:space="preserve">⁵, with each dilution replicated three times. One milliliter </w:t>
      </w:r>
      <w:proofErr w:type="gramStart"/>
      <w:r w:rsidRPr="00071A47">
        <w:rPr>
          <w:rFonts w:ascii="Arial" w:hAnsi="Arial" w:cs="Arial"/>
          <w:sz w:val="20"/>
          <w:szCs w:val="20"/>
        </w:rPr>
        <w:t>aliquots</w:t>
      </w:r>
      <w:proofErr w:type="gramEnd"/>
      <w:r w:rsidRPr="00071A47">
        <w:rPr>
          <w:rFonts w:ascii="Arial" w:hAnsi="Arial" w:cs="Arial"/>
          <w:sz w:val="20"/>
          <w:szCs w:val="20"/>
        </w:rPr>
        <w:t xml:space="preserve"> from each dilution were inoculated onto 15 ml of sterilized, cooled Potato Dextrose Agar (PDA) amended with 10% lactic acid solution to inhibit bacterial contamination. Inoculated plates were incubated at room temperature for 5–7 days to permit fungal colony development, after which colony counts were recorded. Pure cultures of morphologically distinct fungal colonies were </w:t>
      </w:r>
      <w:proofErr w:type="spellStart"/>
      <w:r w:rsidRPr="00071A47">
        <w:rPr>
          <w:rFonts w:ascii="Arial" w:hAnsi="Arial" w:cs="Arial"/>
          <w:sz w:val="20"/>
          <w:szCs w:val="20"/>
        </w:rPr>
        <w:t>subcultured</w:t>
      </w:r>
      <w:proofErr w:type="spellEnd"/>
      <w:r w:rsidRPr="00071A47">
        <w:rPr>
          <w:rFonts w:ascii="Arial" w:hAnsi="Arial" w:cs="Arial"/>
          <w:sz w:val="20"/>
          <w:szCs w:val="20"/>
        </w:rPr>
        <w:t xml:space="preserve"> onto fresh PDA plates for identification.</w:t>
      </w:r>
    </w:p>
    <w:p w14:paraId="2D814613" w14:textId="0DCB22BD" w:rsidR="003B0A81" w:rsidRPr="00071A47" w:rsidRDefault="003B0A81" w:rsidP="003B0A81">
      <w:pPr>
        <w:spacing w:line="240" w:lineRule="auto"/>
        <w:jc w:val="both"/>
        <w:rPr>
          <w:rFonts w:ascii="Arial" w:hAnsi="Arial" w:cs="Arial"/>
          <w:b/>
          <w:bCs/>
        </w:rPr>
      </w:pPr>
      <w:r w:rsidRPr="00071A47">
        <w:rPr>
          <w:rFonts w:ascii="Arial" w:hAnsi="Arial" w:cs="Arial"/>
          <w:b/>
          <w:bCs/>
        </w:rPr>
        <w:t>Statistical Analysis</w:t>
      </w:r>
    </w:p>
    <w:p w14:paraId="0B2181B0" w14:textId="7CE48A71" w:rsidR="008C1136" w:rsidRPr="00071A47" w:rsidRDefault="003B0A81" w:rsidP="003925AF">
      <w:pPr>
        <w:spacing w:line="240" w:lineRule="auto"/>
        <w:jc w:val="both"/>
        <w:rPr>
          <w:rFonts w:ascii="Arial" w:hAnsi="Arial" w:cs="Arial"/>
          <w:sz w:val="20"/>
          <w:szCs w:val="20"/>
        </w:rPr>
      </w:pPr>
      <w:r w:rsidRPr="00071A47">
        <w:rPr>
          <w:rFonts w:ascii="Arial" w:hAnsi="Arial" w:cs="Arial"/>
          <w:sz w:val="20"/>
          <w:szCs w:val="20"/>
        </w:rPr>
        <w:t>All data were subjected to one-way Analysis of Variance (ANOVA) using GenStat statistical software. Treatment means were separated using the Least Significant Difference (LSD) test at a probability level of p ≤ 0.05.</w:t>
      </w:r>
    </w:p>
    <w:p w14:paraId="5AC77688" w14:textId="77777777" w:rsidR="00071A47" w:rsidRDefault="00071A47" w:rsidP="003925AF">
      <w:pPr>
        <w:spacing w:line="240" w:lineRule="auto"/>
        <w:jc w:val="both"/>
        <w:rPr>
          <w:rFonts w:ascii="Arial" w:hAnsi="Arial" w:cs="Arial"/>
          <w:b/>
          <w:sz w:val="24"/>
          <w:szCs w:val="24"/>
        </w:rPr>
      </w:pPr>
    </w:p>
    <w:p w14:paraId="1F78F1C4" w14:textId="65391AD6" w:rsidR="00630FD5" w:rsidRPr="00071A47" w:rsidRDefault="00630FD5" w:rsidP="003925AF">
      <w:pPr>
        <w:spacing w:line="240" w:lineRule="auto"/>
        <w:jc w:val="both"/>
        <w:rPr>
          <w:rFonts w:ascii="Arial" w:hAnsi="Arial" w:cs="Arial"/>
          <w:b/>
        </w:rPr>
      </w:pPr>
      <w:r w:rsidRPr="00071A47">
        <w:rPr>
          <w:rFonts w:ascii="Arial" w:hAnsi="Arial" w:cs="Arial"/>
          <w:b/>
        </w:rPr>
        <w:t>RESULTS AND DISCUSSION</w:t>
      </w:r>
    </w:p>
    <w:p w14:paraId="6406A18D" w14:textId="1D1C6FEC"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 xml:space="preserve">Weed identification is a critical prerequisite for effective weed management, as knowledge of species composition provides insight into the biological characteristics and competitive potential of the weed community (Naidu, 2012). In nursery systems, topsoil used for filling polybags typically contains viable weed seeds originating from the collection site, which germinate and establish under the warm and moist conditions that </w:t>
      </w:r>
      <w:proofErr w:type="spellStart"/>
      <w:r w:rsidRPr="00071A47">
        <w:rPr>
          <w:rFonts w:ascii="Arial" w:hAnsi="Arial" w:cs="Arial"/>
          <w:bCs/>
          <w:sz w:val="20"/>
          <w:szCs w:val="20"/>
        </w:rPr>
        <w:t>favour</w:t>
      </w:r>
      <w:proofErr w:type="spellEnd"/>
      <w:r w:rsidRPr="00071A47">
        <w:rPr>
          <w:rFonts w:ascii="Arial" w:hAnsi="Arial" w:cs="Arial"/>
          <w:bCs/>
          <w:sz w:val="20"/>
          <w:szCs w:val="20"/>
        </w:rPr>
        <w:t xml:space="preserve"> seedling production. The weed species recorded in the polybag nursery during this study are presented in Table 1. The identified species comprised </w:t>
      </w:r>
      <w:proofErr w:type="spellStart"/>
      <w:r w:rsidRPr="00071A47">
        <w:rPr>
          <w:rFonts w:ascii="Arial" w:hAnsi="Arial" w:cs="Arial"/>
          <w:bCs/>
          <w:i/>
          <w:iCs/>
          <w:sz w:val="20"/>
          <w:szCs w:val="20"/>
        </w:rPr>
        <w:t>Synedrella</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nodiflora</w:t>
      </w:r>
      <w:proofErr w:type="spellEnd"/>
      <w:r w:rsidRPr="00071A47">
        <w:rPr>
          <w:rFonts w:ascii="Arial" w:hAnsi="Arial" w:cs="Arial"/>
          <w:bCs/>
          <w:sz w:val="20"/>
          <w:szCs w:val="20"/>
        </w:rPr>
        <w:t xml:space="preserve">, </w:t>
      </w:r>
      <w:proofErr w:type="spellStart"/>
      <w:r w:rsidRPr="00071A47">
        <w:rPr>
          <w:rFonts w:ascii="Arial" w:hAnsi="Arial" w:cs="Arial"/>
          <w:bCs/>
          <w:i/>
          <w:iCs/>
          <w:sz w:val="20"/>
          <w:szCs w:val="20"/>
        </w:rPr>
        <w:t>Portulaca</w:t>
      </w:r>
      <w:proofErr w:type="spellEnd"/>
      <w:r w:rsidRPr="00071A47">
        <w:rPr>
          <w:rFonts w:ascii="Arial" w:hAnsi="Arial" w:cs="Arial"/>
          <w:bCs/>
          <w:i/>
          <w:iCs/>
          <w:sz w:val="20"/>
          <w:szCs w:val="20"/>
        </w:rPr>
        <w:t xml:space="preserve"> oleracea</w:t>
      </w:r>
      <w:r w:rsidRPr="00071A47">
        <w:rPr>
          <w:rFonts w:ascii="Arial" w:hAnsi="Arial" w:cs="Arial"/>
          <w:bCs/>
          <w:sz w:val="20"/>
          <w:szCs w:val="20"/>
        </w:rPr>
        <w:t xml:space="preserve">, </w:t>
      </w:r>
      <w:r w:rsidRPr="00071A47">
        <w:rPr>
          <w:rFonts w:ascii="Arial" w:hAnsi="Arial" w:cs="Arial"/>
          <w:bCs/>
          <w:i/>
          <w:iCs/>
          <w:sz w:val="20"/>
          <w:szCs w:val="20"/>
        </w:rPr>
        <w:t xml:space="preserve">Talinum </w:t>
      </w:r>
      <w:proofErr w:type="spellStart"/>
      <w:r w:rsidRPr="00071A47">
        <w:rPr>
          <w:rFonts w:ascii="Arial" w:hAnsi="Arial" w:cs="Arial"/>
          <w:bCs/>
          <w:i/>
          <w:iCs/>
          <w:sz w:val="20"/>
          <w:szCs w:val="20"/>
        </w:rPr>
        <w:t>triangulare</w:t>
      </w:r>
      <w:proofErr w:type="spellEnd"/>
      <w:r w:rsidRPr="00071A47">
        <w:rPr>
          <w:rFonts w:ascii="Arial" w:hAnsi="Arial" w:cs="Arial"/>
          <w:bCs/>
          <w:sz w:val="20"/>
          <w:szCs w:val="20"/>
        </w:rPr>
        <w:t xml:space="preserve">, </w:t>
      </w:r>
      <w:proofErr w:type="spellStart"/>
      <w:r w:rsidRPr="00071A47">
        <w:rPr>
          <w:rFonts w:ascii="Arial" w:hAnsi="Arial" w:cs="Arial"/>
          <w:bCs/>
          <w:i/>
          <w:iCs/>
          <w:sz w:val="20"/>
          <w:szCs w:val="20"/>
        </w:rPr>
        <w:t>Laportea</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aestuans</w:t>
      </w:r>
      <w:proofErr w:type="spellEnd"/>
      <w:r w:rsidRPr="00071A47">
        <w:rPr>
          <w:rFonts w:ascii="Arial" w:hAnsi="Arial" w:cs="Arial"/>
          <w:bCs/>
          <w:sz w:val="20"/>
          <w:szCs w:val="20"/>
        </w:rPr>
        <w:t xml:space="preserve">, </w:t>
      </w:r>
      <w:proofErr w:type="spellStart"/>
      <w:r w:rsidRPr="00071A47">
        <w:rPr>
          <w:rFonts w:ascii="Arial" w:hAnsi="Arial" w:cs="Arial"/>
          <w:bCs/>
          <w:i/>
          <w:iCs/>
          <w:sz w:val="20"/>
          <w:szCs w:val="20"/>
        </w:rPr>
        <w:t>Chromolaena</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odorata</w:t>
      </w:r>
      <w:proofErr w:type="spellEnd"/>
      <w:r w:rsidR="00AE4926">
        <w:rPr>
          <w:rFonts w:ascii="Arial" w:hAnsi="Arial" w:cs="Arial"/>
          <w:bCs/>
          <w:sz w:val="20"/>
          <w:szCs w:val="20"/>
        </w:rPr>
        <w:t xml:space="preserve"> and </w:t>
      </w:r>
      <w:proofErr w:type="spellStart"/>
      <w:r w:rsidRPr="00071A47">
        <w:rPr>
          <w:rFonts w:ascii="Arial" w:hAnsi="Arial" w:cs="Arial"/>
          <w:bCs/>
          <w:i/>
          <w:iCs/>
          <w:sz w:val="20"/>
          <w:szCs w:val="20"/>
        </w:rPr>
        <w:t>Tridax</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procumbens</w:t>
      </w:r>
      <w:proofErr w:type="spellEnd"/>
      <w:r w:rsidRPr="00071A47">
        <w:rPr>
          <w:rFonts w:ascii="Arial" w:hAnsi="Arial" w:cs="Arial"/>
          <w:bCs/>
          <w:sz w:val="20"/>
          <w:szCs w:val="20"/>
        </w:rPr>
        <w:t>, all classified as broadleaf weeds</w:t>
      </w:r>
      <w:r w:rsidR="00AE4926">
        <w:rPr>
          <w:rFonts w:ascii="Arial" w:hAnsi="Arial" w:cs="Arial"/>
          <w:bCs/>
          <w:sz w:val="20"/>
          <w:szCs w:val="20"/>
        </w:rPr>
        <w:t xml:space="preserve"> and </w:t>
      </w:r>
      <w:proofErr w:type="spellStart"/>
      <w:r w:rsidRPr="00071A47">
        <w:rPr>
          <w:rFonts w:ascii="Arial" w:hAnsi="Arial" w:cs="Arial"/>
          <w:bCs/>
          <w:i/>
          <w:iCs/>
          <w:sz w:val="20"/>
          <w:szCs w:val="20"/>
        </w:rPr>
        <w:t>Eragrostis</w:t>
      </w:r>
      <w:proofErr w:type="spellEnd"/>
      <w:r w:rsidRPr="00071A47">
        <w:rPr>
          <w:rFonts w:ascii="Arial" w:hAnsi="Arial" w:cs="Arial"/>
          <w:bCs/>
          <w:i/>
          <w:iCs/>
          <w:sz w:val="20"/>
          <w:szCs w:val="20"/>
        </w:rPr>
        <w:t xml:space="preserve"> </w:t>
      </w:r>
      <w:proofErr w:type="spellStart"/>
      <w:r w:rsidRPr="00071A47">
        <w:rPr>
          <w:rFonts w:ascii="Arial" w:hAnsi="Arial" w:cs="Arial"/>
          <w:bCs/>
          <w:i/>
          <w:iCs/>
          <w:sz w:val="20"/>
          <w:szCs w:val="20"/>
        </w:rPr>
        <w:t>tremula</w:t>
      </w:r>
      <w:proofErr w:type="spellEnd"/>
      <w:r w:rsidRPr="00071A47">
        <w:rPr>
          <w:rFonts w:ascii="Arial" w:hAnsi="Arial" w:cs="Arial"/>
          <w:bCs/>
          <w:sz w:val="20"/>
          <w:szCs w:val="20"/>
        </w:rPr>
        <w:t xml:space="preserve">, classified as a grass weed. All species identified are </w:t>
      </w:r>
      <w:r w:rsidR="003B0A81" w:rsidRPr="00071A47">
        <w:rPr>
          <w:rFonts w:ascii="Arial" w:hAnsi="Arial" w:cs="Arial"/>
          <w:bCs/>
          <w:sz w:val="20"/>
          <w:szCs w:val="20"/>
        </w:rPr>
        <w:t>recognized</w:t>
      </w:r>
      <w:r w:rsidRPr="00071A47">
        <w:rPr>
          <w:rFonts w:ascii="Arial" w:hAnsi="Arial" w:cs="Arial"/>
          <w:bCs/>
          <w:sz w:val="20"/>
          <w:szCs w:val="20"/>
        </w:rPr>
        <w:t xml:space="preserve"> as tropical weeds (</w:t>
      </w:r>
      <w:proofErr w:type="spellStart"/>
      <w:r w:rsidRPr="00071A47">
        <w:rPr>
          <w:rFonts w:ascii="Arial" w:hAnsi="Arial" w:cs="Arial"/>
          <w:bCs/>
          <w:sz w:val="20"/>
          <w:szCs w:val="20"/>
        </w:rPr>
        <w:t>Agyakwa</w:t>
      </w:r>
      <w:proofErr w:type="spellEnd"/>
      <w:r w:rsidRPr="00071A47">
        <w:rPr>
          <w:rFonts w:ascii="Arial" w:hAnsi="Arial" w:cs="Arial"/>
          <w:bCs/>
          <w:sz w:val="20"/>
          <w:szCs w:val="20"/>
        </w:rPr>
        <w:t xml:space="preserve"> and </w:t>
      </w:r>
      <w:proofErr w:type="spellStart"/>
      <w:r w:rsidRPr="00071A47">
        <w:rPr>
          <w:rFonts w:ascii="Arial" w:hAnsi="Arial" w:cs="Arial"/>
          <w:bCs/>
          <w:sz w:val="20"/>
          <w:szCs w:val="20"/>
        </w:rPr>
        <w:t>Akobundu</w:t>
      </w:r>
      <w:proofErr w:type="spellEnd"/>
      <w:r w:rsidRPr="00071A47">
        <w:rPr>
          <w:rFonts w:ascii="Arial" w:hAnsi="Arial" w:cs="Arial"/>
          <w:bCs/>
          <w:sz w:val="20"/>
          <w:szCs w:val="20"/>
        </w:rPr>
        <w:t>, 1998). Tropical weed species are well documented as aggressive competitors with crop plants for essential resources including light, water</w:t>
      </w:r>
      <w:r w:rsidR="00AE4926">
        <w:rPr>
          <w:rFonts w:ascii="Arial" w:hAnsi="Arial" w:cs="Arial"/>
          <w:bCs/>
          <w:sz w:val="20"/>
          <w:szCs w:val="20"/>
        </w:rPr>
        <w:t xml:space="preserve"> and </w:t>
      </w:r>
      <w:r w:rsidRPr="00071A47">
        <w:rPr>
          <w:rFonts w:ascii="Arial" w:hAnsi="Arial" w:cs="Arial"/>
          <w:bCs/>
          <w:sz w:val="20"/>
          <w:szCs w:val="20"/>
        </w:rPr>
        <w:t>soil nutrients (Zimdahl, 2007; Hakim, 2013). Their co-occurrence with cashew seedlings in the polybags therefore underscores the necessity for timely and effective weed control measures in the nursery, particularly during the early stages of seedling establishment when competition pressure is most detrimental to growth.</w:t>
      </w:r>
    </w:p>
    <w:p w14:paraId="07510423" w14:textId="6D646E46" w:rsidR="008C1136" w:rsidRPr="00071A47" w:rsidRDefault="008C1136" w:rsidP="003925AF">
      <w:pPr>
        <w:spacing w:line="240" w:lineRule="auto"/>
        <w:rPr>
          <w:rFonts w:ascii="Arial" w:hAnsi="Arial" w:cs="Arial"/>
          <w:b/>
          <w:sz w:val="20"/>
          <w:szCs w:val="20"/>
        </w:rPr>
      </w:pPr>
      <w:r w:rsidRPr="00071A47">
        <w:rPr>
          <w:rFonts w:ascii="Arial" w:hAnsi="Arial" w:cs="Arial"/>
          <w:b/>
          <w:sz w:val="20"/>
          <w:szCs w:val="20"/>
        </w:rPr>
        <w:t>Table 1</w:t>
      </w:r>
      <w:r w:rsidR="00071A47" w:rsidRPr="00071A47">
        <w:rPr>
          <w:rFonts w:ascii="Arial" w:hAnsi="Arial" w:cs="Arial"/>
          <w:b/>
          <w:sz w:val="20"/>
          <w:szCs w:val="20"/>
        </w:rPr>
        <w:t>.</w:t>
      </w:r>
      <w:r w:rsidRPr="00071A47">
        <w:rPr>
          <w:rFonts w:ascii="Arial" w:hAnsi="Arial" w:cs="Arial"/>
          <w:b/>
          <w:sz w:val="20"/>
          <w:szCs w:val="20"/>
        </w:rPr>
        <w:t xml:space="preserve"> </w:t>
      </w:r>
      <w:r w:rsidR="003925AF" w:rsidRPr="00071A47">
        <w:rPr>
          <w:rFonts w:ascii="Arial" w:hAnsi="Arial" w:cs="Arial"/>
          <w:b/>
          <w:sz w:val="20"/>
          <w:szCs w:val="20"/>
        </w:rPr>
        <w:t>W</w:t>
      </w:r>
      <w:r w:rsidRPr="00071A47">
        <w:rPr>
          <w:rFonts w:ascii="Arial" w:hAnsi="Arial" w:cs="Arial"/>
          <w:b/>
          <w:sz w:val="20"/>
          <w:szCs w:val="20"/>
        </w:rPr>
        <w:t>eeds identified during the experiment</w:t>
      </w:r>
      <w:r w:rsidR="004F424A" w:rsidRPr="00071A47">
        <w:rPr>
          <w:rFonts w:ascii="Arial" w:hAnsi="Arial" w:cs="Arial"/>
          <w:b/>
          <w:sz w:val="20"/>
          <w:szCs w:val="20"/>
        </w:rPr>
        <w:t>.</w:t>
      </w:r>
    </w:p>
    <w:tbl>
      <w:tblPr>
        <w:tblW w:w="9015" w:type="dxa"/>
        <w:tblLook w:val="04A0" w:firstRow="1" w:lastRow="0" w:firstColumn="1" w:lastColumn="0" w:noHBand="0" w:noVBand="1"/>
      </w:tblPr>
      <w:tblGrid>
        <w:gridCol w:w="960"/>
        <w:gridCol w:w="2460"/>
        <w:gridCol w:w="2700"/>
        <w:gridCol w:w="2895"/>
      </w:tblGrid>
      <w:tr w:rsidR="00D1758A" w:rsidRPr="00071A47" w14:paraId="28637D59" w14:textId="77777777" w:rsidTr="003925AF">
        <w:trPr>
          <w:trHeight w:val="315"/>
        </w:trPr>
        <w:tc>
          <w:tcPr>
            <w:tcW w:w="960" w:type="dxa"/>
            <w:vMerge w:val="restart"/>
            <w:tcBorders>
              <w:top w:val="single" w:sz="4" w:space="0" w:color="auto"/>
              <w:left w:val="nil"/>
              <w:bottom w:val="single" w:sz="4" w:space="0" w:color="000000"/>
              <w:right w:val="nil"/>
            </w:tcBorders>
            <w:noWrap/>
            <w:vAlign w:val="center"/>
            <w:hideMark/>
          </w:tcPr>
          <w:p w14:paraId="4A186165"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S/N</w:t>
            </w:r>
          </w:p>
        </w:tc>
        <w:tc>
          <w:tcPr>
            <w:tcW w:w="8051" w:type="dxa"/>
            <w:gridSpan w:val="3"/>
            <w:tcBorders>
              <w:top w:val="single" w:sz="4" w:space="0" w:color="auto"/>
              <w:left w:val="nil"/>
              <w:bottom w:val="nil"/>
              <w:right w:val="nil"/>
            </w:tcBorders>
            <w:noWrap/>
            <w:vAlign w:val="bottom"/>
            <w:hideMark/>
          </w:tcPr>
          <w:p w14:paraId="245D3FC0"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WEED SPECIES</w:t>
            </w:r>
          </w:p>
        </w:tc>
      </w:tr>
      <w:tr w:rsidR="00D1758A" w:rsidRPr="00071A47" w14:paraId="230E7359" w14:textId="77777777" w:rsidTr="003925AF">
        <w:trPr>
          <w:trHeight w:val="315"/>
        </w:trPr>
        <w:tc>
          <w:tcPr>
            <w:tcW w:w="960" w:type="dxa"/>
            <w:vMerge/>
            <w:tcBorders>
              <w:top w:val="single" w:sz="4" w:space="0" w:color="auto"/>
              <w:left w:val="nil"/>
              <w:bottom w:val="single" w:sz="4" w:space="0" w:color="000000"/>
              <w:right w:val="nil"/>
            </w:tcBorders>
            <w:vAlign w:val="center"/>
            <w:hideMark/>
          </w:tcPr>
          <w:p w14:paraId="0BCC7595" w14:textId="77777777" w:rsidR="00D1758A" w:rsidRPr="00071A47" w:rsidRDefault="00D1758A" w:rsidP="003925AF">
            <w:pPr>
              <w:spacing w:after="0" w:line="240" w:lineRule="auto"/>
              <w:rPr>
                <w:rFonts w:ascii="Arial" w:eastAsia="Times New Roman" w:hAnsi="Arial" w:cs="Arial"/>
                <w:b/>
                <w:bCs/>
                <w:color w:val="000000"/>
                <w:sz w:val="20"/>
                <w:szCs w:val="20"/>
              </w:rPr>
            </w:pPr>
          </w:p>
        </w:tc>
        <w:tc>
          <w:tcPr>
            <w:tcW w:w="2460" w:type="dxa"/>
            <w:tcBorders>
              <w:top w:val="nil"/>
              <w:left w:val="nil"/>
              <w:bottom w:val="single" w:sz="4" w:space="0" w:color="auto"/>
              <w:right w:val="nil"/>
            </w:tcBorders>
            <w:noWrap/>
            <w:vAlign w:val="bottom"/>
            <w:hideMark/>
          </w:tcPr>
          <w:p w14:paraId="3DC79C16"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Common Name</w:t>
            </w:r>
          </w:p>
        </w:tc>
        <w:tc>
          <w:tcPr>
            <w:tcW w:w="2700" w:type="dxa"/>
            <w:tcBorders>
              <w:top w:val="nil"/>
              <w:left w:val="nil"/>
              <w:bottom w:val="single" w:sz="4" w:space="0" w:color="auto"/>
              <w:right w:val="nil"/>
            </w:tcBorders>
            <w:noWrap/>
            <w:vAlign w:val="bottom"/>
            <w:hideMark/>
          </w:tcPr>
          <w:p w14:paraId="2DBBD25B"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Scientific Name</w:t>
            </w:r>
          </w:p>
        </w:tc>
        <w:tc>
          <w:tcPr>
            <w:tcW w:w="2895" w:type="dxa"/>
            <w:tcBorders>
              <w:top w:val="nil"/>
              <w:left w:val="nil"/>
              <w:bottom w:val="single" w:sz="4" w:space="0" w:color="auto"/>
              <w:right w:val="nil"/>
            </w:tcBorders>
          </w:tcPr>
          <w:p w14:paraId="1981C926" w14:textId="77777777" w:rsidR="00D1758A" w:rsidRPr="00071A47" w:rsidRDefault="00D1758A"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Life Cycle</w:t>
            </w:r>
          </w:p>
        </w:tc>
      </w:tr>
      <w:tr w:rsidR="00D1758A" w:rsidRPr="00071A47" w14:paraId="0193AD20" w14:textId="77777777" w:rsidTr="003925AF">
        <w:trPr>
          <w:trHeight w:val="315"/>
        </w:trPr>
        <w:tc>
          <w:tcPr>
            <w:tcW w:w="960" w:type="dxa"/>
            <w:tcBorders>
              <w:top w:val="nil"/>
              <w:left w:val="nil"/>
              <w:bottom w:val="nil"/>
              <w:right w:val="nil"/>
            </w:tcBorders>
            <w:noWrap/>
            <w:vAlign w:val="bottom"/>
            <w:hideMark/>
          </w:tcPr>
          <w:p w14:paraId="7C6BEE2D"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w:t>
            </w:r>
          </w:p>
        </w:tc>
        <w:tc>
          <w:tcPr>
            <w:tcW w:w="2460" w:type="dxa"/>
            <w:tcBorders>
              <w:top w:val="single" w:sz="4" w:space="0" w:color="auto"/>
              <w:left w:val="nil"/>
              <w:right w:val="nil"/>
            </w:tcBorders>
            <w:noWrap/>
            <w:vAlign w:val="bottom"/>
          </w:tcPr>
          <w:p w14:paraId="539D342D" w14:textId="77777777" w:rsidR="00D1758A" w:rsidRPr="00071A47" w:rsidRDefault="00D1758A" w:rsidP="003925AF">
            <w:pPr>
              <w:spacing w:after="0" w:line="240" w:lineRule="auto"/>
              <w:jc w:val="center"/>
              <w:rPr>
                <w:rFonts w:ascii="Arial" w:eastAsia="Times New Roman" w:hAnsi="Arial" w:cs="Arial"/>
                <w:color w:val="000000"/>
                <w:sz w:val="20"/>
                <w:szCs w:val="20"/>
              </w:rPr>
            </w:pPr>
            <w:proofErr w:type="spellStart"/>
            <w:r w:rsidRPr="00071A47">
              <w:rPr>
                <w:rFonts w:ascii="Arial" w:eastAsia="Times New Roman" w:hAnsi="Arial" w:cs="Arial"/>
                <w:color w:val="000000"/>
                <w:sz w:val="20"/>
                <w:szCs w:val="20"/>
              </w:rPr>
              <w:t>Synedrella</w:t>
            </w:r>
            <w:proofErr w:type="spellEnd"/>
          </w:p>
        </w:tc>
        <w:tc>
          <w:tcPr>
            <w:tcW w:w="2700" w:type="dxa"/>
            <w:tcBorders>
              <w:top w:val="single" w:sz="4" w:space="0" w:color="auto"/>
              <w:left w:val="nil"/>
              <w:right w:val="nil"/>
            </w:tcBorders>
            <w:noWrap/>
            <w:vAlign w:val="bottom"/>
          </w:tcPr>
          <w:p w14:paraId="50E777B1"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Synedrella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nodiflora</w:t>
            </w:r>
            <w:proofErr w:type="spellEnd"/>
          </w:p>
        </w:tc>
        <w:tc>
          <w:tcPr>
            <w:tcW w:w="2895" w:type="dxa"/>
            <w:tcBorders>
              <w:top w:val="single" w:sz="4" w:space="0" w:color="auto"/>
              <w:left w:val="nil"/>
              <w:right w:val="nil"/>
            </w:tcBorders>
          </w:tcPr>
          <w:p w14:paraId="5AE796DE" w14:textId="77777777" w:rsidR="00D1758A" w:rsidRPr="00071A47" w:rsidRDefault="00182466"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3BCAB43D" w14:textId="77777777" w:rsidTr="003925AF">
        <w:trPr>
          <w:trHeight w:val="315"/>
        </w:trPr>
        <w:tc>
          <w:tcPr>
            <w:tcW w:w="960" w:type="dxa"/>
            <w:tcBorders>
              <w:top w:val="nil"/>
              <w:left w:val="nil"/>
              <w:bottom w:val="nil"/>
              <w:right w:val="nil"/>
            </w:tcBorders>
            <w:noWrap/>
            <w:vAlign w:val="bottom"/>
            <w:hideMark/>
          </w:tcPr>
          <w:p w14:paraId="19655C60"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w:t>
            </w:r>
          </w:p>
        </w:tc>
        <w:tc>
          <w:tcPr>
            <w:tcW w:w="2460" w:type="dxa"/>
            <w:tcBorders>
              <w:left w:val="nil"/>
              <w:bottom w:val="nil"/>
              <w:right w:val="nil"/>
            </w:tcBorders>
            <w:noWrap/>
            <w:vAlign w:val="bottom"/>
          </w:tcPr>
          <w:p w14:paraId="609587BF"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Common Purslane</w:t>
            </w:r>
          </w:p>
        </w:tc>
        <w:tc>
          <w:tcPr>
            <w:tcW w:w="2700" w:type="dxa"/>
            <w:tcBorders>
              <w:left w:val="nil"/>
              <w:bottom w:val="nil"/>
              <w:right w:val="nil"/>
            </w:tcBorders>
            <w:noWrap/>
            <w:vAlign w:val="bottom"/>
          </w:tcPr>
          <w:p w14:paraId="63858A8E"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r w:rsidRPr="00071A47">
              <w:rPr>
                <w:rFonts w:ascii="Arial" w:eastAsia="Times New Roman" w:hAnsi="Arial" w:cs="Arial"/>
                <w:i/>
                <w:iCs/>
                <w:color w:val="000000"/>
                <w:sz w:val="20"/>
                <w:szCs w:val="20"/>
              </w:rPr>
              <w:t>Portulaca oleracea</w:t>
            </w:r>
          </w:p>
        </w:tc>
        <w:tc>
          <w:tcPr>
            <w:tcW w:w="2895" w:type="dxa"/>
            <w:tcBorders>
              <w:left w:val="nil"/>
              <w:bottom w:val="nil"/>
              <w:right w:val="nil"/>
            </w:tcBorders>
          </w:tcPr>
          <w:p w14:paraId="15215BC8" w14:textId="77777777" w:rsidR="00D1758A" w:rsidRPr="00071A47" w:rsidRDefault="00182466"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67D42016" w14:textId="77777777" w:rsidTr="003925AF">
        <w:trPr>
          <w:trHeight w:val="315"/>
        </w:trPr>
        <w:tc>
          <w:tcPr>
            <w:tcW w:w="960" w:type="dxa"/>
            <w:tcBorders>
              <w:top w:val="nil"/>
              <w:left w:val="nil"/>
              <w:bottom w:val="nil"/>
              <w:right w:val="nil"/>
            </w:tcBorders>
            <w:noWrap/>
            <w:vAlign w:val="bottom"/>
            <w:hideMark/>
          </w:tcPr>
          <w:p w14:paraId="6A7164EB"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lastRenderedPageBreak/>
              <w:t>3</w:t>
            </w:r>
          </w:p>
        </w:tc>
        <w:tc>
          <w:tcPr>
            <w:tcW w:w="2460" w:type="dxa"/>
            <w:tcBorders>
              <w:top w:val="nil"/>
              <w:left w:val="nil"/>
              <w:bottom w:val="nil"/>
              <w:right w:val="nil"/>
            </w:tcBorders>
            <w:noWrap/>
            <w:vAlign w:val="bottom"/>
          </w:tcPr>
          <w:p w14:paraId="1B3986A1"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Water leaf</w:t>
            </w:r>
          </w:p>
        </w:tc>
        <w:tc>
          <w:tcPr>
            <w:tcW w:w="2700" w:type="dxa"/>
            <w:tcBorders>
              <w:top w:val="nil"/>
              <w:left w:val="nil"/>
              <w:bottom w:val="nil"/>
              <w:right w:val="nil"/>
            </w:tcBorders>
            <w:noWrap/>
            <w:vAlign w:val="bottom"/>
          </w:tcPr>
          <w:p w14:paraId="08EEA09D"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r w:rsidRPr="00071A47">
              <w:rPr>
                <w:rFonts w:ascii="Arial" w:eastAsia="Times New Roman" w:hAnsi="Arial" w:cs="Arial"/>
                <w:i/>
                <w:iCs/>
                <w:color w:val="000000"/>
                <w:sz w:val="20"/>
                <w:szCs w:val="20"/>
              </w:rPr>
              <w:t xml:space="preserve">Talinum </w:t>
            </w:r>
            <w:proofErr w:type="spellStart"/>
            <w:r w:rsidRPr="00071A47">
              <w:rPr>
                <w:rFonts w:ascii="Arial" w:eastAsia="Times New Roman" w:hAnsi="Arial" w:cs="Arial"/>
                <w:i/>
                <w:iCs/>
                <w:color w:val="000000"/>
                <w:sz w:val="20"/>
                <w:szCs w:val="20"/>
              </w:rPr>
              <w:t>triangulare</w:t>
            </w:r>
            <w:proofErr w:type="spellEnd"/>
          </w:p>
        </w:tc>
        <w:tc>
          <w:tcPr>
            <w:tcW w:w="2895" w:type="dxa"/>
            <w:tcBorders>
              <w:top w:val="nil"/>
              <w:left w:val="nil"/>
              <w:bottom w:val="nil"/>
              <w:right w:val="nil"/>
            </w:tcBorders>
          </w:tcPr>
          <w:p w14:paraId="45945D82" w14:textId="77777777" w:rsidR="00D1758A" w:rsidRPr="00071A47" w:rsidRDefault="00E50212"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Perennial</w:t>
            </w:r>
          </w:p>
        </w:tc>
      </w:tr>
      <w:tr w:rsidR="00D1758A" w:rsidRPr="00071A47" w14:paraId="26275539" w14:textId="77777777" w:rsidTr="003925AF">
        <w:trPr>
          <w:trHeight w:val="315"/>
        </w:trPr>
        <w:tc>
          <w:tcPr>
            <w:tcW w:w="960" w:type="dxa"/>
            <w:tcBorders>
              <w:top w:val="nil"/>
              <w:left w:val="nil"/>
              <w:bottom w:val="nil"/>
              <w:right w:val="nil"/>
            </w:tcBorders>
            <w:noWrap/>
            <w:vAlign w:val="bottom"/>
            <w:hideMark/>
          </w:tcPr>
          <w:p w14:paraId="4FDFE05B"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w:t>
            </w:r>
          </w:p>
        </w:tc>
        <w:tc>
          <w:tcPr>
            <w:tcW w:w="2460" w:type="dxa"/>
            <w:tcBorders>
              <w:top w:val="nil"/>
              <w:left w:val="nil"/>
              <w:bottom w:val="nil"/>
              <w:right w:val="nil"/>
            </w:tcBorders>
            <w:noWrap/>
            <w:vAlign w:val="bottom"/>
          </w:tcPr>
          <w:p w14:paraId="5AAEE045"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Tropical </w:t>
            </w:r>
            <w:proofErr w:type="spellStart"/>
            <w:r w:rsidRPr="00071A47">
              <w:rPr>
                <w:rFonts w:ascii="Arial" w:eastAsia="Times New Roman" w:hAnsi="Arial" w:cs="Arial"/>
                <w:color w:val="000000"/>
                <w:sz w:val="20"/>
                <w:szCs w:val="20"/>
              </w:rPr>
              <w:t>Nettleweed</w:t>
            </w:r>
            <w:proofErr w:type="spellEnd"/>
          </w:p>
        </w:tc>
        <w:tc>
          <w:tcPr>
            <w:tcW w:w="2700" w:type="dxa"/>
            <w:tcBorders>
              <w:top w:val="nil"/>
              <w:left w:val="nil"/>
              <w:bottom w:val="nil"/>
              <w:right w:val="nil"/>
            </w:tcBorders>
            <w:noWrap/>
            <w:vAlign w:val="bottom"/>
          </w:tcPr>
          <w:p w14:paraId="01DE8F69"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Laportea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aestuans</w:t>
            </w:r>
            <w:proofErr w:type="spellEnd"/>
          </w:p>
        </w:tc>
        <w:tc>
          <w:tcPr>
            <w:tcW w:w="2895" w:type="dxa"/>
            <w:tcBorders>
              <w:top w:val="nil"/>
              <w:left w:val="nil"/>
              <w:bottom w:val="nil"/>
              <w:right w:val="nil"/>
            </w:tcBorders>
          </w:tcPr>
          <w:p w14:paraId="5230688A" w14:textId="77777777" w:rsidR="00D1758A" w:rsidRPr="00071A47" w:rsidRDefault="002D45B7"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61928340" w14:textId="77777777" w:rsidTr="003925AF">
        <w:trPr>
          <w:trHeight w:val="315"/>
        </w:trPr>
        <w:tc>
          <w:tcPr>
            <w:tcW w:w="960" w:type="dxa"/>
            <w:tcBorders>
              <w:top w:val="nil"/>
              <w:left w:val="nil"/>
              <w:bottom w:val="nil"/>
              <w:right w:val="nil"/>
            </w:tcBorders>
            <w:noWrap/>
            <w:vAlign w:val="bottom"/>
            <w:hideMark/>
          </w:tcPr>
          <w:p w14:paraId="4DFD2314"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w:t>
            </w:r>
          </w:p>
        </w:tc>
        <w:tc>
          <w:tcPr>
            <w:tcW w:w="2460" w:type="dxa"/>
            <w:tcBorders>
              <w:top w:val="nil"/>
              <w:left w:val="nil"/>
              <w:bottom w:val="nil"/>
              <w:right w:val="nil"/>
            </w:tcBorders>
            <w:noWrap/>
            <w:vAlign w:val="bottom"/>
          </w:tcPr>
          <w:p w14:paraId="03379906"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Siam Weed</w:t>
            </w:r>
          </w:p>
        </w:tc>
        <w:tc>
          <w:tcPr>
            <w:tcW w:w="2700" w:type="dxa"/>
            <w:tcBorders>
              <w:top w:val="nil"/>
              <w:left w:val="nil"/>
              <w:bottom w:val="nil"/>
              <w:right w:val="nil"/>
            </w:tcBorders>
            <w:noWrap/>
            <w:vAlign w:val="bottom"/>
          </w:tcPr>
          <w:p w14:paraId="06F63E18"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Chromolaena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odorata</w:t>
            </w:r>
            <w:proofErr w:type="spellEnd"/>
          </w:p>
        </w:tc>
        <w:tc>
          <w:tcPr>
            <w:tcW w:w="2895" w:type="dxa"/>
            <w:tcBorders>
              <w:top w:val="nil"/>
              <w:left w:val="nil"/>
              <w:bottom w:val="nil"/>
              <w:right w:val="nil"/>
            </w:tcBorders>
          </w:tcPr>
          <w:p w14:paraId="2FB8DA11" w14:textId="77777777" w:rsidR="00D1758A" w:rsidRPr="00071A47" w:rsidRDefault="00CB47EA"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Perennial</w:t>
            </w:r>
          </w:p>
        </w:tc>
      </w:tr>
      <w:tr w:rsidR="00D1758A" w:rsidRPr="00071A47" w14:paraId="4FE86614" w14:textId="77777777" w:rsidTr="003925AF">
        <w:trPr>
          <w:trHeight w:val="315"/>
        </w:trPr>
        <w:tc>
          <w:tcPr>
            <w:tcW w:w="960" w:type="dxa"/>
            <w:tcBorders>
              <w:top w:val="nil"/>
              <w:left w:val="nil"/>
              <w:bottom w:val="nil"/>
              <w:right w:val="nil"/>
            </w:tcBorders>
            <w:noWrap/>
            <w:vAlign w:val="bottom"/>
            <w:hideMark/>
          </w:tcPr>
          <w:p w14:paraId="4CC20AF9"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w:t>
            </w:r>
          </w:p>
        </w:tc>
        <w:tc>
          <w:tcPr>
            <w:tcW w:w="2460" w:type="dxa"/>
            <w:tcBorders>
              <w:top w:val="nil"/>
              <w:left w:val="nil"/>
              <w:bottom w:val="nil"/>
              <w:right w:val="nil"/>
            </w:tcBorders>
            <w:noWrap/>
            <w:vAlign w:val="bottom"/>
          </w:tcPr>
          <w:p w14:paraId="4B2BD703"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Love grass</w:t>
            </w:r>
          </w:p>
        </w:tc>
        <w:tc>
          <w:tcPr>
            <w:tcW w:w="2700" w:type="dxa"/>
            <w:tcBorders>
              <w:top w:val="nil"/>
              <w:left w:val="nil"/>
              <w:bottom w:val="nil"/>
              <w:right w:val="nil"/>
            </w:tcBorders>
            <w:noWrap/>
            <w:vAlign w:val="bottom"/>
          </w:tcPr>
          <w:p w14:paraId="6BE45EC9"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Eragrostis</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tremula</w:t>
            </w:r>
            <w:proofErr w:type="spellEnd"/>
          </w:p>
        </w:tc>
        <w:tc>
          <w:tcPr>
            <w:tcW w:w="2895" w:type="dxa"/>
            <w:tcBorders>
              <w:top w:val="nil"/>
              <w:left w:val="nil"/>
              <w:bottom w:val="nil"/>
              <w:right w:val="nil"/>
            </w:tcBorders>
          </w:tcPr>
          <w:p w14:paraId="331536E9" w14:textId="77777777" w:rsidR="00D1758A" w:rsidRPr="00071A47" w:rsidRDefault="002D45B7"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7F46BD4F" w14:textId="77777777" w:rsidTr="003925AF">
        <w:trPr>
          <w:trHeight w:val="315"/>
        </w:trPr>
        <w:tc>
          <w:tcPr>
            <w:tcW w:w="960" w:type="dxa"/>
            <w:tcBorders>
              <w:top w:val="nil"/>
              <w:left w:val="nil"/>
              <w:bottom w:val="nil"/>
              <w:right w:val="nil"/>
            </w:tcBorders>
            <w:noWrap/>
            <w:vAlign w:val="bottom"/>
          </w:tcPr>
          <w:p w14:paraId="21A0FA83"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w:t>
            </w:r>
          </w:p>
        </w:tc>
        <w:tc>
          <w:tcPr>
            <w:tcW w:w="2460" w:type="dxa"/>
            <w:tcBorders>
              <w:top w:val="nil"/>
              <w:left w:val="nil"/>
              <w:right w:val="nil"/>
            </w:tcBorders>
            <w:noWrap/>
            <w:vAlign w:val="bottom"/>
          </w:tcPr>
          <w:p w14:paraId="37B746FC" w14:textId="77777777" w:rsidR="00D1758A" w:rsidRPr="00071A47" w:rsidRDefault="00D1758A" w:rsidP="003925AF">
            <w:pPr>
              <w:spacing w:after="0" w:line="240" w:lineRule="auto"/>
              <w:jc w:val="center"/>
              <w:rPr>
                <w:rFonts w:ascii="Arial" w:eastAsia="Times New Roman" w:hAnsi="Arial" w:cs="Arial"/>
                <w:color w:val="000000"/>
                <w:sz w:val="20"/>
                <w:szCs w:val="20"/>
              </w:rPr>
            </w:pPr>
            <w:proofErr w:type="spellStart"/>
            <w:r w:rsidRPr="00071A47">
              <w:rPr>
                <w:rFonts w:ascii="Arial" w:eastAsia="Times New Roman" w:hAnsi="Arial" w:cs="Arial"/>
                <w:color w:val="000000"/>
                <w:sz w:val="20"/>
                <w:szCs w:val="20"/>
              </w:rPr>
              <w:t>Tridax</w:t>
            </w:r>
            <w:proofErr w:type="spellEnd"/>
          </w:p>
        </w:tc>
        <w:tc>
          <w:tcPr>
            <w:tcW w:w="2700" w:type="dxa"/>
            <w:tcBorders>
              <w:top w:val="nil"/>
              <w:left w:val="nil"/>
              <w:right w:val="nil"/>
            </w:tcBorders>
            <w:noWrap/>
            <w:vAlign w:val="bottom"/>
          </w:tcPr>
          <w:p w14:paraId="0D2B11C2"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Tridax</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procumbens</w:t>
            </w:r>
            <w:proofErr w:type="spellEnd"/>
          </w:p>
        </w:tc>
        <w:tc>
          <w:tcPr>
            <w:tcW w:w="2895" w:type="dxa"/>
            <w:tcBorders>
              <w:top w:val="nil"/>
              <w:left w:val="nil"/>
              <w:right w:val="nil"/>
            </w:tcBorders>
          </w:tcPr>
          <w:p w14:paraId="4854FBA5" w14:textId="77777777" w:rsidR="00D1758A" w:rsidRPr="00071A47" w:rsidRDefault="00E50212"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r w:rsidR="00D1758A" w:rsidRPr="00071A47" w14:paraId="32FC6432" w14:textId="77777777" w:rsidTr="003925AF">
        <w:trPr>
          <w:trHeight w:val="315"/>
        </w:trPr>
        <w:tc>
          <w:tcPr>
            <w:tcW w:w="960" w:type="dxa"/>
            <w:tcBorders>
              <w:top w:val="nil"/>
              <w:left w:val="nil"/>
              <w:bottom w:val="single" w:sz="4" w:space="0" w:color="auto"/>
              <w:right w:val="nil"/>
            </w:tcBorders>
            <w:noWrap/>
            <w:vAlign w:val="bottom"/>
          </w:tcPr>
          <w:p w14:paraId="57D96DC5"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8</w:t>
            </w:r>
          </w:p>
        </w:tc>
        <w:tc>
          <w:tcPr>
            <w:tcW w:w="2460" w:type="dxa"/>
            <w:tcBorders>
              <w:top w:val="nil"/>
              <w:left w:val="nil"/>
              <w:bottom w:val="single" w:sz="4" w:space="0" w:color="auto"/>
              <w:right w:val="nil"/>
            </w:tcBorders>
            <w:noWrap/>
            <w:vAlign w:val="bottom"/>
          </w:tcPr>
          <w:p w14:paraId="4B54F1F6" w14:textId="77777777" w:rsidR="00D1758A" w:rsidRPr="00071A47" w:rsidRDefault="00D1758A"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Worm Bush</w:t>
            </w:r>
          </w:p>
        </w:tc>
        <w:tc>
          <w:tcPr>
            <w:tcW w:w="2700" w:type="dxa"/>
            <w:tcBorders>
              <w:top w:val="nil"/>
              <w:left w:val="nil"/>
              <w:bottom w:val="single" w:sz="4" w:space="0" w:color="auto"/>
              <w:right w:val="nil"/>
            </w:tcBorders>
            <w:noWrap/>
            <w:vAlign w:val="bottom"/>
          </w:tcPr>
          <w:p w14:paraId="14D34A94" w14:textId="77777777" w:rsidR="00D1758A" w:rsidRPr="00071A47" w:rsidRDefault="00D1758A" w:rsidP="003925AF">
            <w:pPr>
              <w:spacing w:after="0" w:line="240" w:lineRule="auto"/>
              <w:jc w:val="center"/>
              <w:rPr>
                <w:rFonts w:ascii="Arial" w:eastAsia="Times New Roman" w:hAnsi="Arial" w:cs="Arial"/>
                <w:i/>
                <w:iCs/>
                <w:color w:val="000000"/>
                <w:sz w:val="20"/>
                <w:szCs w:val="20"/>
              </w:rPr>
            </w:pPr>
            <w:proofErr w:type="spellStart"/>
            <w:r w:rsidRPr="00071A47">
              <w:rPr>
                <w:rFonts w:ascii="Arial" w:eastAsia="Times New Roman" w:hAnsi="Arial" w:cs="Arial"/>
                <w:i/>
                <w:iCs/>
                <w:color w:val="000000"/>
                <w:sz w:val="20"/>
                <w:szCs w:val="20"/>
              </w:rPr>
              <w:t>Spigelia</w:t>
            </w:r>
            <w:proofErr w:type="spellEnd"/>
            <w:r w:rsidRPr="00071A47">
              <w:rPr>
                <w:rFonts w:ascii="Arial" w:eastAsia="Times New Roman" w:hAnsi="Arial" w:cs="Arial"/>
                <w:i/>
                <w:iCs/>
                <w:color w:val="000000"/>
                <w:sz w:val="20"/>
                <w:szCs w:val="20"/>
              </w:rPr>
              <w:t xml:space="preserve"> </w:t>
            </w:r>
            <w:proofErr w:type="spellStart"/>
            <w:r w:rsidRPr="00071A47">
              <w:rPr>
                <w:rFonts w:ascii="Arial" w:eastAsia="Times New Roman" w:hAnsi="Arial" w:cs="Arial"/>
                <w:i/>
                <w:iCs/>
                <w:color w:val="000000"/>
                <w:sz w:val="20"/>
                <w:szCs w:val="20"/>
              </w:rPr>
              <w:t>antelmia</w:t>
            </w:r>
            <w:proofErr w:type="spellEnd"/>
          </w:p>
        </w:tc>
        <w:tc>
          <w:tcPr>
            <w:tcW w:w="2895" w:type="dxa"/>
            <w:tcBorders>
              <w:top w:val="nil"/>
              <w:left w:val="nil"/>
              <w:bottom w:val="single" w:sz="4" w:space="0" w:color="auto"/>
              <w:right w:val="nil"/>
            </w:tcBorders>
          </w:tcPr>
          <w:p w14:paraId="08E0CBF0" w14:textId="77777777" w:rsidR="00D1758A" w:rsidRPr="00071A47" w:rsidRDefault="00E50212" w:rsidP="003925AF">
            <w:pPr>
              <w:spacing w:after="0" w:line="240" w:lineRule="auto"/>
              <w:jc w:val="center"/>
              <w:rPr>
                <w:rFonts w:ascii="Arial" w:eastAsia="Times New Roman" w:hAnsi="Arial" w:cs="Arial"/>
                <w:iCs/>
                <w:color w:val="000000"/>
                <w:sz w:val="20"/>
                <w:szCs w:val="20"/>
              </w:rPr>
            </w:pPr>
            <w:r w:rsidRPr="00071A47">
              <w:rPr>
                <w:rFonts w:ascii="Arial" w:eastAsia="Times New Roman" w:hAnsi="Arial" w:cs="Arial"/>
                <w:iCs/>
                <w:color w:val="000000"/>
                <w:sz w:val="20"/>
                <w:szCs w:val="20"/>
              </w:rPr>
              <w:t>Annual</w:t>
            </w:r>
          </w:p>
        </w:tc>
      </w:tr>
    </w:tbl>
    <w:p w14:paraId="179C99E0" w14:textId="77777777" w:rsidR="008C1136" w:rsidRPr="003925AF" w:rsidRDefault="008C1136" w:rsidP="003925AF">
      <w:pPr>
        <w:spacing w:line="240" w:lineRule="auto"/>
        <w:jc w:val="both"/>
        <w:rPr>
          <w:rFonts w:ascii="Arial" w:hAnsi="Arial" w:cs="Arial"/>
          <w:b/>
          <w:sz w:val="24"/>
          <w:szCs w:val="24"/>
        </w:rPr>
      </w:pPr>
    </w:p>
    <w:p w14:paraId="18F85A0F" w14:textId="2330D635"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Characterization of the physical and chemical properties of nursery soil prior to use is essential for informed management decisions regarding seedling production. The physicochemical properties of the soil used in this study, determined before sowing and treatment application, are presented in Table 2. Textural analysis classified the soil as sandy clay loam</w:t>
      </w:r>
      <w:r w:rsidR="00AE4926">
        <w:rPr>
          <w:rFonts w:ascii="Arial" w:hAnsi="Arial" w:cs="Arial"/>
          <w:sz w:val="20"/>
          <w:szCs w:val="20"/>
        </w:rPr>
        <w:t xml:space="preserve"> and </w:t>
      </w:r>
      <w:r w:rsidRPr="00071A47">
        <w:rPr>
          <w:rFonts w:ascii="Arial" w:hAnsi="Arial" w:cs="Arial"/>
          <w:sz w:val="20"/>
          <w:szCs w:val="20"/>
        </w:rPr>
        <w:t xml:space="preserve">the pH value of 4.36 indicated a strongly acidic reaction. Using the soil fertility rating criteria of </w:t>
      </w:r>
      <w:proofErr w:type="spellStart"/>
      <w:r w:rsidRPr="00071A47">
        <w:rPr>
          <w:rFonts w:ascii="Arial" w:hAnsi="Arial" w:cs="Arial"/>
          <w:sz w:val="20"/>
          <w:szCs w:val="20"/>
        </w:rPr>
        <w:t>Chude</w:t>
      </w:r>
      <w:proofErr w:type="spellEnd"/>
      <w:r w:rsidRPr="00071A47">
        <w:rPr>
          <w:rFonts w:ascii="Arial" w:hAnsi="Arial" w:cs="Arial"/>
          <w:sz w:val="20"/>
          <w:szCs w:val="20"/>
        </w:rPr>
        <w:t xml:space="preserve"> </w:t>
      </w:r>
      <w:r w:rsidRPr="000272AF">
        <w:rPr>
          <w:rFonts w:ascii="Arial" w:hAnsi="Arial" w:cs="Arial"/>
          <w:i/>
          <w:iCs/>
          <w:sz w:val="20"/>
          <w:szCs w:val="20"/>
        </w:rPr>
        <w:t>et al</w:t>
      </w:r>
      <w:r w:rsidRPr="00071A47">
        <w:rPr>
          <w:rFonts w:ascii="Arial" w:hAnsi="Arial" w:cs="Arial"/>
          <w:sz w:val="20"/>
          <w:szCs w:val="20"/>
        </w:rPr>
        <w:t>. (2012), the soil's organic carbon and total nitrogen contents were found to be very low, available phosphorus (P) was low, while exchangeable potassium (K), magnesium (Mg)</w:t>
      </w:r>
      <w:r w:rsidR="00AE4926">
        <w:rPr>
          <w:rFonts w:ascii="Arial" w:hAnsi="Arial" w:cs="Arial"/>
          <w:sz w:val="20"/>
          <w:szCs w:val="20"/>
        </w:rPr>
        <w:t xml:space="preserve"> and </w:t>
      </w:r>
      <w:r w:rsidRPr="00071A47">
        <w:rPr>
          <w:rFonts w:ascii="Arial" w:hAnsi="Arial" w:cs="Arial"/>
          <w:sz w:val="20"/>
          <w:szCs w:val="20"/>
        </w:rPr>
        <w:t>calcium (Ca) were rated very high.</w:t>
      </w:r>
    </w:p>
    <w:p w14:paraId="0AA3B410" w14:textId="1F004598"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The low levels of organic carbon, nitrogen</w:t>
      </w:r>
      <w:r w:rsidR="00AE4926">
        <w:rPr>
          <w:rFonts w:ascii="Arial" w:hAnsi="Arial" w:cs="Arial"/>
          <w:sz w:val="20"/>
          <w:szCs w:val="20"/>
        </w:rPr>
        <w:t xml:space="preserve"> and </w:t>
      </w:r>
      <w:r w:rsidRPr="00071A47">
        <w:rPr>
          <w:rFonts w:ascii="Arial" w:hAnsi="Arial" w:cs="Arial"/>
          <w:sz w:val="20"/>
          <w:szCs w:val="20"/>
        </w:rPr>
        <w:t>available phosphorus recorded in this soil have direct implications for seedling nutrition and weed management. Weeds are well documented as deep-rooted, aggressive scavengers of soil nutrients, capable of depleting available nutrient reserves rapidly when left uncontrolled (</w:t>
      </w:r>
      <w:proofErr w:type="spellStart"/>
      <w:r w:rsidRPr="00071A47">
        <w:rPr>
          <w:rFonts w:ascii="Arial" w:hAnsi="Arial" w:cs="Arial"/>
          <w:sz w:val="20"/>
          <w:szCs w:val="20"/>
        </w:rPr>
        <w:t>Cocannouer</w:t>
      </w:r>
      <w:proofErr w:type="spellEnd"/>
      <w:r w:rsidRPr="00071A47">
        <w:rPr>
          <w:rFonts w:ascii="Arial" w:hAnsi="Arial" w:cs="Arial"/>
          <w:sz w:val="20"/>
          <w:szCs w:val="20"/>
        </w:rPr>
        <w:t xml:space="preserve">, 1980). Given the already limiting levels of key nutrients recorded in the pre-sowing soil analysis, competition from weeds would further compromise the nutrient availability to cashew seedlings. These findings therefore provide a strong agronomic justification for the implementation of timely and effective weed management practices in the nursery, to </w:t>
      </w:r>
      <w:r w:rsidR="00AE4926" w:rsidRPr="00071A47">
        <w:rPr>
          <w:rFonts w:ascii="Arial" w:hAnsi="Arial" w:cs="Arial"/>
          <w:sz w:val="20"/>
          <w:szCs w:val="20"/>
        </w:rPr>
        <w:t>minimize</w:t>
      </w:r>
      <w:r w:rsidRPr="00071A47">
        <w:rPr>
          <w:rFonts w:ascii="Arial" w:hAnsi="Arial" w:cs="Arial"/>
          <w:sz w:val="20"/>
          <w:szCs w:val="20"/>
        </w:rPr>
        <w:t xml:space="preserve"> weed-crop competition for the limited nutrient resources present in the soil.</w:t>
      </w:r>
    </w:p>
    <w:p w14:paraId="44989D08" w14:textId="77777777" w:rsidR="003925AF" w:rsidRPr="00071A47" w:rsidRDefault="003925AF" w:rsidP="003925AF">
      <w:pPr>
        <w:spacing w:line="240" w:lineRule="auto"/>
        <w:jc w:val="both"/>
        <w:rPr>
          <w:rFonts w:ascii="Arial" w:hAnsi="Arial" w:cs="Arial"/>
          <w:sz w:val="20"/>
          <w:szCs w:val="20"/>
        </w:rPr>
      </w:pPr>
    </w:p>
    <w:p w14:paraId="26033D1F" w14:textId="2A109B59" w:rsidR="008C1136" w:rsidRPr="00071A47" w:rsidRDefault="008C1136" w:rsidP="003925AF">
      <w:pPr>
        <w:spacing w:line="240" w:lineRule="auto"/>
        <w:jc w:val="both"/>
        <w:rPr>
          <w:rFonts w:ascii="Arial" w:hAnsi="Arial" w:cs="Arial"/>
          <w:b/>
          <w:sz w:val="20"/>
          <w:szCs w:val="20"/>
        </w:rPr>
      </w:pPr>
      <w:r w:rsidRPr="00071A47">
        <w:rPr>
          <w:rFonts w:ascii="Arial" w:hAnsi="Arial" w:cs="Arial"/>
          <w:b/>
          <w:sz w:val="20"/>
          <w:szCs w:val="20"/>
        </w:rPr>
        <w:t>Table 2</w:t>
      </w:r>
      <w:r w:rsidR="00071A47" w:rsidRPr="00071A47">
        <w:rPr>
          <w:rFonts w:ascii="Arial" w:hAnsi="Arial" w:cs="Arial"/>
          <w:b/>
          <w:sz w:val="20"/>
          <w:szCs w:val="20"/>
        </w:rPr>
        <w:t>.</w:t>
      </w:r>
      <w:r w:rsidRPr="00071A47">
        <w:rPr>
          <w:rFonts w:ascii="Arial" w:hAnsi="Arial" w:cs="Arial"/>
          <w:b/>
          <w:sz w:val="20"/>
          <w:szCs w:val="20"/>
        </w:rPr>
        <w:t xml:space="preserve"> Physicochemical properties of the topsoil.</w:t>
      </w:r>
    </w:p>
    <w:tbl>
      <w:tblPr>
        <w:tblW w:w="8660" w:type="dxa"/>
        <w:tblLook w:val="04A0" w:firstRow="1" w:lastRow="0" w:firstColumn="1" w:lastColumn="0" w:noHBand="0" w:noVBand="1"/>
      </w:tblPr>
      <w:tblGrid>
        <w:gridCol w:w="3690"/>
        <w:gridCol w:w="1960"/>
        <w:gridCol w:w="3010"/>
      </w:tblGrid>
      <w:tr w:rsidR="008C1136" w:rsidRPr="00071A47" w14:paraId="18144F2C" w14:textId="77777777" w:rsidTr="008B10CE">
        <w:trPr>
          <w:trHeight w:val="315"/>
        </w:trPr>
        <w:tc>
          <w:tcPr>
            <w:tcW w:w="3690" w:type="dxa"/>
            <w:tcBorders>
              <w:top w:val="single" w:sz="4" w:space="0" w:color="auto"/>
              <w:left w:val="nil"/>
              <w:bottom w:val="single" w:sz="4" w:space="0" w:color="auto"/>
              <w:right w:val="nil"/>
            </w:tcBorders>
            <w:noWrap/>
            <w:vAlign w:val="bottom"/>
            <w:hideMark/>
          </w:tcPr>
          <w:p w14:paraId="654C8EA0" w14:textId="77777777" w:rsidR="008C1136" w:rsidRPr="00071A47" w:rsidRDefault="008C1136"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Parameters</w:t>
            </w:r>
          </w:p>
        </w:tc>
        <w:tc>
          <w:tcPr>
            <w:tcW w:w="1960" w:type="dxa"/>
            <w:tcBorders>
              <w:top w:val="single" w:sz="4" w:space="0" w:color="auto"/>
              <w:left w:val="nil"/>
              <w:bottom w:val="single" w:sz="4" w:space="0" w:color="auto"/>
              <w:right w:val="nil"/>
            </w:tcBorders>
            <w:noWrap/>
            <w:vAlign w:val="bottom"/>
            <w:hideMark/>
          </w:tcPr>
          <w:p w14:paraId="45086B17" w14:textId="77777777" w:rsidR="008C1136" w:rsidRPr="00071A47" w:rsidRDefault="008C1136"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 xml:space="preserve"> Values</w:t>
            </w:r>
          </w:p>
        </w:tc>
        <w:tc>
          <w:tcPr>
            <w:tcW w:w="3010" w:type="dxa"/>
            <w:tcBorders>
              <w:top w:val="single" w:sz="4" w:space="0" w:color="auto"/>
              <w:left w:val="nil"/>
              <w:bottom w:val="single" w:sz="4" w:space="0" w:color="auto"/>
              <w:right w:val="nil"/>
            </w:tcBorders>
            <w:noWrap/>
            <w:vAlign w:val="bottom"/>
            <w:hideMark/>
          </w:tcPr>
          <w:p w14:paraId="6F011876" w14:textId="77777777" w:rsidR="008C1136" w:rsidRPr="00071A47" w:rsidRDefault="00827E21"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 xml:space="preserve"> Class/</w:t>
            </w:r>
            <w:r w:rsidR="008C1136" w:rsidRPr="00071A47">
              <w:rPr>
                <w:rFonts w:ascii="Arial" w:eastAsia="Times New Roman" w:hAnsi="Arial" w:cs="Arial"/>
                <w:b/>
                <w:bCs/>
                <w:color w:val="000000"/>
                <w:sz w:val="20"/>
                <w:szCs w:val="20"/>
              </w:rPr>
              <w:t>Level</w:t>
            </w:r>
          </w:p>
        </w:tc>
      </w:tr>
      <w:tr w:rsidR="007255DC" w:rsidRPr="00071A47" w14:paraId="574853AF" w14:textId="77777777" w:rsidTr="008B10CE">
        <w:trPr>
          <w:trHeight w:val="315"/>
        </w:trPr>
        <w:tc>
          <w:tcPr>
            <w:tcW w:w="3690" w:type="dxa"/>
            <w:tcBorders>
              <w:top w:val="nil"/>
              <w:left w:val="nil"/>
              <w:bottom w:val="nil"/>
              <w:right w:val="nil"/>
            </w:tcBorders>
            <w:noWrap/>
            <w:vAlign w:val="bottom"/>
          </w:tcPr>
          <w:p w14:paraId="5E2DF877" w14:textId="77777777" w:rsidR="007255DC" w:rsidRPr="00071A47" w:rsidRDefault="007255DC" w:rsidP="003925AF">
            <w:pPr>
              <w:spacing w:after="0" w:line="240" w:lineRule="auto"/>
              <w:rPr>
                <w:rFonts w:ascii="Arial" w:eastAsia="Times New Roman" w:hAnsi="Arial" w:cs="Arial"/>
                <w:b/>
                <w:color w:val="000000"/>
                <w:sz w:val="20"/>
                <w:szCs w:val="20"/>
              </w:rPr>
            </w:pPr>
            <w:r w:rsidRPr="00071A47">
              <w:rPr>
                <w:rFonts w:ascii="Arial" w:eastAsia="Times New Roman" w:hAnsi="Arial" w:cs="Arial"/>
                <w:b/>
                <w:color w:val="000000"/>
                <w:sz w:val="20"/>
                <w:szCs w:val="20"/>
              </w:rPr>
              <w:t>Chemical Properties</w:t>
            </w:r>
          </w:p>
        </w:tc>
        <w:tc>
          <w:tcPr>
            <w:tcW w:w="1960" w:type="dxa"/>
            <w:tcBorders>
              <w:top w:val="nil"/>
              <w:left w:val="nil"/>
              <w:bottom w:val="nil"/>
              <w:right w:val="nil"/>
            </w:tcBorders>
            <w:noWrap/>
            <w:vAlign w:val="bottom"/>
          </w:tcPr>
          <w:p w14:paraId="24A1D0E3" w14:textId="77777777" w:rsidR="007255DC" w:rsidRPr="00071A47" w:rsidRDefault="007255DC"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6ED75E44" w14:textId="77777777" w:rsidR="007255DC" w:rsidRPr="00071A47" w:rsidRDefault="007255DC" w:rsidP="003925AF">
            <w:pPr>
              <w:spacing w:after="0" w:line="240" w:lineRule="auto"/>
              <w:jc w:val="center"/>
              <w:rPr>
                <w:rFonts w:ascii="Arial" w:eastAsia="Times New Roman" w:hAnsi="Arial" w:cs="Arial"/>
                <w:color w:val="000000"/>
                <w:sz w:val="20"/>
                <w:szCs w:val="20"/>
              </w:rPr>
            </w:pPr>
          </w:p>
        </w:tc>
      </w:tr>
      <w:tr w:rsidR="008C1136" w:rsidRPr="00071A47" w14:paraId="71566D3C" w14:textId="77777777" w:rsidTr="008B10CE">
        <w:trPr>
          <w:trHeight w:val="315"/>
        </w:trPr>
        <w:tc>
          <w:tcPr>
            <w:tcW w:w="3690" w:type="dxa"/>
            <w:tcBorders>
              <w:top w:val="nil"/>
              <w:left w:val="nil"/>
              <w:bottom w:val="nil"/>
              <w:right w:val="nil"/>
            </w:tcBorders>
            <w:noWrap/>
            <w:vAlign w:val="bottom"/>
            <w:hideMark/>
          </w:tcPr>
          <w:p w14:paraId="0CBF3984" w14:textId="77777777" w:rsidR="008C1136" w:rsidRPr="00071A47" w:rsidRDefault="008C1136"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pH (1:2 H</w:t>
            </w:r>
            <w:r w:rsidRPr="00071A47">
              <w:rPr>
                <w:rFonts w:ascii="Arial" w:eastAsia="Times New Roman" w:hAnsi="Arial" w:cs="Arial"/>
                <w:color w:val="000000"/>
                <w:sz w:val="20"/>
                <w:szCs w:val="20"/>
                <w:vertAlign w:val="subscript"/>
              </w:rPr>
              <w:t>2</w:t>
            </w:r>
            <w:r w:rsidRPr="00071A47">
              <w:rPr>
                <w:rFonts w:ascii="Arial" w:eastAsia="Times New Roman" w:hAnsi="Arial" w:cs="Arial"/>
                <w:color w:val="000000"/>
                <w:sz w:val="20"/>
                <w:szCs w:val="20"/>
              </w:rPr>
              <w:t>0)</w:t>
            </w:r>
          </w:p>
        </w:tc>
        <w:tc>
          <w:tcPr>
            <w:tcW w:w="1960" w:type="dxa"/>
            <w:tcBorders>
              <w:top w:val="nil"/>
              <w:left w:val="nil"/>
              <w:bottom w:val="nil"/>
              <w:right w:val="nil"/>
            </w:tcBorders>
            <w:noWrap/>
            <w:vAlign w:val="bottom"/>
            <w:hideMark/>
          </w:tcPr>
          <w:p w14:paraId="1F0E47BC" w14:textId="77777777" w:rsidR="008C1136" w:rsidRPr="00071A47" w:rsidRDefault="008C1136"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4.36</w:t>
            </w:r>
          </w:p>
        </w:tc>
        <w:tc>
          <w:tcPr>
            <w:tcW w:w="3010" w:type="dxa"/>
            <w:tcBorders>
              <w:top w:val="nil"/>
              <w:left w:val="nil"/>
              <w:bottom w:val="nil"/>
              <w:right w:val="nil"/>
            </w:tcBorders>
            <w:noWrap/>
            <w:vAlign w:val="bottom"/>
            <w:hideMark/>
          </w:tcPr>
          <w:p w14:paraId="01E2B56B" w14:textId="77777777" w:rsidR="008C1136" w:rsidRPr="00071A47" w:rsidRDefault="00331EA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Strongly </w:t>
            </w:r>
            <w:r w:rsidR="00827E21" w:rsidRPr="00071A47">
              <w:rPr>
                <w:rFonts w:ascii="Arial" w:eastAsia="Times New Roman" w:hAnsi="Arial" w:cs="Arial"/>
                <w:color w:val="000000"/>
                <w:sz w:val="20"/>
                <w:szCs w:val="20"/>
              </w:rPr>
              <w:t>Acidic</w:t>
            </w:r>
          </w:p>
        </w:tc>
      </w:tr>
      <w:tr w:rsidR="007C5857" w:rsidRPr="00071A47" w14:paraId="515B8F75" w14:textId="77777777" w:rsidTr="008B10CE">
        <w:trPr>
          <w:trHeight w:val="315"/>
        </w:trPr>
        <w:tc>
          <w:tcPr>
            <w:tcW w:w="3690" w:type="dxa"/>
            <w:tcBorders>
              <w:top w:val="nil"/>
              <w:left w:val="nil"/>
              <w:bottom w:val="nil"/>
              <w:right w:val="nil"/>
            </w:tcBorders>
            <w:noWrap/>
            <w:vAlign w:val="bottom"/>
          </w:tcPr>
          <w:p w14:paraId="1BA98CD0"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Organic Carbon (gkg-1)</w:t>
            </w:r>
          </w:p>
        </w:tc>
        <w:tc>
          <w:tcPr>
            <w:tcW w:w="1960" w:type="dxa"/>
            <w:tcBorders>
              <w:top w:val="nil"/>
              <w:left w:val="nil"/>
              <w:bottom w:val="nil"/>
              <w:right w:val="nil"/>
            </w:tcBorders>
            <w:noWrap/>
            <w:vAlign w:val="bottom"/>
          </w:tcPr>
          <w:p w14:paraId="528BD543"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1.74</w:t>
            </w:r>
          </w:p>
        </w:tc>
        <w:tc>
          <w:tcPr>
            <w:tcW w:w="3010" w:type="dxa"/>
            <w:tcBorders>
              <w:top w:val="nil"/>
              <w:left w:val="nil"/>
              <w:bottom w:val="nil"/>
              <w:right w:val="nil"/>
            </w:tcBorders>
            <w:noWrap/>
            <w:vAlign w:val="bottom"/>
          </w:tcPr>
          <w:p w14:paraId="5981530A"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Low</w:t>
            </w:r>
          </w:p>
        </w:tc>
      </w:tr>
      <w:tr w:rsidR="007C5857" w:rsidRPr="00071A47" w14:paraId="2E012249" w14:textId="77777777" w:rsidTr="008B10CE">
        <w:trPr>
          <w:trHeight w:val="315"/>
        </w:trPr>
        <w:tc>
          <w:tcPr>
            <w:tcW w:w="3690" w:type="dxa"/>
            <w:tcBorders>
              <w:top w:val="nil"/>
              <w:left w:val="nil"/>
              <w:bottom w:val="nil"/>
              <w:right w:val="nil"/>
            </w:tcBorders>
            <w:noWrap/>
            <w:vAlign w:val="bottom"/>
            <w:hideMark/>
          </w:tcPr>
          <w:p w14:paraId="409B59C4" w14:textId="77777777" w:rsidR="007C5857" w:rsidRPr="00071A47" w:rsidRDefault="005547F2"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Total Nitrogen (g/kg</w:t>
            </w:r>
            <w:r w:rsidR="007C5857" w:rsidRPr="00071A47">
              <w:rPr>
                <w:rFonts w:ascii="Arial" w:eastAsia="Times New Roman" w:hAnsi="Arial" w:cs="Arial"/>
                <w:color w:val="000000"/>
                <w:sz w:val="20"/>
                <w:szCs w:val="20"/>
              </w:rPr>
              <w:t>)</w:t>
            </w:r>
          </w:p>
        </w:tc>
        <w:tc>
          <w:tcPr>
            <w:tcW w:w="1960" w:type="dxa"/>
            <w:tcBorders>
              <w:top w:val="nil"/>
              <w:left w:val="nil"/>
              <w:bottom w:val="nil"/>
              <w:right w:val="nil"/>
            </w:tcBorders>
            <w:noWrap/>
            <w:vAlign w:val="bottom"/>
            <w:hideMark/>
          </w:tcPr>
          <w:p w14:paraId="22CF7B03"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0.36</w:t>
            </w:r>
          </w:p>
        </w:tc>
        <w:tc>
          <w:tcPr>
            <w:tcW w:w="3010" w:type="dxa"/>
            <w:tcBorders>
              <w:top w:val="nil"/>
              <w:left w:val="nil"/>
              <w:bottom w:val="nil"/>
              <w:right w:val="nil"/>
            </w:tcBorders>
            <w:noWrap/>
            <w:vAlign w:val="bottom"/>
            <w:hideMark/>
          </w:tcPr>
          <w:p w14:paraId="0CAEEE85"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 Very Low </w:t>
            </w:r>
          </w:p>
        </w:tc>
      </w:tr>
      <w:tr w:rsidR="007C5857" w:rsidRPr="00071A47" w14:paraId="26A40FF6" w14:textId="77777777" w:rsidTr="008B10CE">
        <w:trPr>
          <w:trHeight w:val="315"/>
        </w:trPr>
        <w:tc>
          <w:tcPr>
            <w:tcW w:w="3690" w:type="dxa"/>
            <w:tcBorders>
              <w:top w:val="nil"/>
              <w:left w:val="nil"/>
              <w:bottom w:val="nil"/>
              <w:right w:val="nil"/>
            </w:tcBorders>
            <w:noWrap/>
            <w:vAlign w:val="bottom"/>
            <w:hideMark/>
          </w:tcPr>
          <w:p w14:paraId="7C8D064F"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Available P (mgkg-1)</w:t>
            </w:r>
          </w:p>
        </w:tc>
        <w:tc>
          <w:tcPr>
            <w:tcW w:w="1960" w:type="dxa"/>
            <w:tcBorders>
              <w:top w:val="nil"/>
              <w:left w:val="nil"/>
              <w:bottom w:val="nil"/>
              <w:right w:val="nil"/>
            </w:tcBorders>
            <w:noWrap/>
            <w:vAlign w:val="bottom"/>
            <w:hideMark/>
          </w:tcPr>
          <w:p w14:paraId="493802F4"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5.13</w:t>
            </w:r>
          </w:p>
        </w:tc>
        <w:tc>
          <w:tcPr>
            <w:tcW w:w="3010" w:type="dxa"/>
            <w:tcBorders>
              <w:top w:val="nil"/>
              <w:left w:val="nil"/>
              <w:bottom w:val="nil"/>
              <w:right w:val="nil"/>
            </w:tcBorders>
            <w:noWrap/>
            <w:vAlign w:val="bottom"/>
            <w:hideMark/>
          </w:tcPr>
          <w:p w14:paraId="04D62708"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xml:space="preserve"> Low </w:t>
            </w:r>
          </w:p>
        </w:tc>
      </w:tr>
      <w:tr w:rsidR="007C5857" w:rsidRPr="00071A47" w14:paraId="3E9AB170" w14:textId="77777777" w:rsidTr="008B10CE">
        <w:trPr>
          <w:trHeight w:val="315"/>
        </w:trPr>
        <w:tc>
          <w:tcPr>
            <w:tcW w:w="3690" w:type="dxa"/>
            <w:tcBorders>
              <w:top w:val="nil"/>
              <w:left w:val="nil"/>
              <w:bottom w:val="nil"/>
              <w:right w:val="nil"/>
            </w:tcBorders>
            <w:noWrap/>
            <w:vAlign w:val="bottom"/>
            <w:hideMark/>
          </w:tcPr>
          <w:p w14:paraId="7F0510BA"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K (</w:t>
            </w:r>
            <w:proofErr w:type="spellStart"/>
            <w:r w:rsidRPr="00071A47">
              <w:rPr>
                <w:rFonts w:ascii="Arial" w:eastAsia="Times New Roman" w:hAnsi="Arial" w:cs="Arial"/>
                <w:color w:val="000000"/>
                <w:sz w:val="20"/>
                <w:szCs w:val="20"/>
              </w:rPr>
              <w:t>cmol</w:t>
            </w:r>
            <w:proofErr w:type="spellEnd"/>
            <w:r w:rsidRPr="00071A47">
              <w:rPr>
                <w:rFonts w:ascii="Arial" w:eastAsia="Times New Roman" w:hAnsi="Arial" w:cs="Arial"/>
                <w:color w:val="000000"/>
                <w:sz w:val="20"/>
                <w:szCs w:val="20"/>
              </w:rPr>
              <w:t xml:space="preserve"> kg-1)</w:t>
            </w:r>
          </w:p>
        </w:tc>
        <w:tc>
          <w:tcPr>
            <w:tcW w:w="1960" w:type="dxa"/>
            <w:tcBorders>
              <w:top w:val="nil"/>
              <w:left w:val="nil"/>
              <w:bottom w:val="nil"/>
              <w:right w:val="nil"/>
            </w:tcBorders>
            <w:noWrap/>
            <w:vAlign w:val="bottom"/>
            <w:hideMark/>
          </w:tcPr>
          <w:p w14:paraId="005FB0E7"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1.01</w:t>
            </w:r>
          </w:p>
        </w:tc>
        <w:tc>
          <w:tcPr>
            <w:tcW w:w="3010" w:type="dxa"/>
            <w:tcBorders>
              <w:top w:val="nil"/>
              <w:left w:val="nil"/>
              <w:bottom w:val="nil"/>
              <w:right w:val="nil"/>
            </w:tcBorders>
            <w:noWrap/>
            <w:vAlign w:val="bottom"/>
            <w:hideMark/>
          </w:tcPr>
          <w:p w14:paraId="72122ECF"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High</w:t>
            </w:r>
          </w:p>
        </w:tc>
      </w:tr>
      <w:tr w:rsidR="007C5857" w:rsidRPr="00071A47" w14:paraId="4E1A01A4" w14:textId="77777777" w:rsidTr="008B10CE">
        <w:trPr>
          <w:trHeight w:val="315"/>
        </w:trPr>
        <w:tc>
          <w:tcPr>
            <w:tcW w:w="3690" w:type="dxa"/>
            <w:tcBorders>
              <w:top w:val="nil"/>
              <w:left w:val="nil"/>
              <w:bottom w:val="nil"/>
              <w:right w:val="nil"/>
            </w:tcBorders>
            <w:noWrap/>
            <w:vAlign w:val="bottom"/>
            <w:hideMark/>
          </w:tcPr>
          <w:p w14:paraId="4F95EFAD"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Mg (cmolkg-1)</w:t>
            </w:r>
          </w:p>
        </w:tc>
        <w:tc>
          <w:tcPr>
            <w:tcW w:w="1960" w:type="dxa"/>
            <w:tcBorders>
              <w:top w:val="nil"/>
              <w:left w:val="nil"/>
              <w:bottom w:val="nil"/>
              <w:right w:val="nil"/>
            </w:tcBorders>
            <w:noWrap/>
            <w:vAlign w:val="bottom"/>
            <w:hideMark/>
          </w:tcPr>
          <w:p w14:paraId="46189F75"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2.60</w:t>
            </w:r>
          </w:p>
        </w:tc>
        <w:tc>
          <w:tcPr>
            <w:tcW w:w="3010" w:type="dxa"/>
            <w:tcBorders>
              <w:top w:val="nil"/>
              <w:left w:val="nil"/>
              <w:bottom w:val="nil"/>
              <w:right w:val="nil"/>
            </w:tcBorders>
            <w:noWrap/>
            <w:vAlign w:val="bottom"/>
            <w:hideMark/>
          </w:tcPr>
          <w:p w14:paraId="39AA1CA7" w14:textId="77777777" w:rsidR="007C5857" w:rsidRPr="00071A47" w:rsidRDefault="001E1DA8"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High</w:t>
            </w:r>
          </w:p>
        </w:tc>
      </w:tr>
      <w:tr w:rsidR="007C5857" w:rsidRPr="00071A47" w14:paraId="1EC6D654" w14:textId="77777777" w:rsidTr="008B10CE">
        <w:trPr>
          <w:trHeight w:val="315"/>
        </w:trPr>
        <w:tc>
          <w:tcPr>
            <w:tcW w:w="3690" w:type="dxa"/>
            <w:tcBorders>
              <w:top w:val="nil"/>
              <w:left w:val="nil"/>
              <w:bottom w:val="nil"/>
              <w:right w:val="nil"/>
            </w:tcBorders>
            <w:noWrap/>
            <w:vAlign w:val="bottom"/>
          </w:tcPr>
          <w:p w14:paraId="56BDDBA6"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Ca (cmolkg-1)</w:t>
            </w:r>
          </w:p>
        </w:tc>
        <w:tc>
          <w:tcPr>
            <w:tcW w:w="1960" w:type="dxa"/>
            <w:tcBorders>
              <w:top w:val="nil"/>
              <w:left w:val="nil"/>
              <w:bottom w:val="nil"/>
              <w:right w:val="nil"/>
            </w:tcBorders>
            <w:noWrap/>
            <w:vAlign w:val="bottom"/>
          </w:tcPr>
          <w:p w14:paraId="4CA05ECC"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5.40</w:t>
            </w:r>
          </w:p>
        </w:tc>
        <w:tc>
          <w:tcPr>
            <w:tcW w:w="3010" w:type="dxa"/>
            <w:tcBorders>
              <w:top w:val="nil"/>
              <w:left w:val="nil"/>
              <w:bottom w:val="nil"/>
              <w:right w:val="nil"/>
            </w:tcBorders>
            <w:noWrap/>
            <w:vAlign w:val="bottom"/>
          </w:tcPr>
          <w:p w14:paraId="3F619CBD" w14:textId="77777777" w:rsidR="007C5857" w:rsidRPr="00071A47" w:rsidRDefault="001E1DA8"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Very High</w:t>
            </w:r>
          </w:p>
        </w:tc>
      </w:tr>
      <w:tr w:rsidR="007C5857" w:rsidRPr="00071A47" w14:paraId="518E297F" w14:textId="77777777" w:rsidTr="008B10CE">
        <w:trPr>
          <w:trHeight w:val="315"/>
        </w:trPr>
        <w:tc>
          <w:tcPr>
            <w:tcW w:w="3690" w:type="dxa"/>
            <w:tcBorders>
              <w:top w:val="nil"/>
              <w:left w:val="nil"/>
              <w:bottom w:val="nil"/>
              <w:right w:val="nil"/>
            </w:tcBorders>
            <w:noWrap/>
            <w:vAlign w:val="bottom"/>
          </w:tcPr>
          <w:p w14:paraId="4D191BEC" w14:textId="77777777" w:rsidR="007C5857" w:rsidRPr="00071A47" w:rsidRDefault="007C5857" w:rsidP="003925AF">
            <w:pPr>
              <w:spacing w:after="0" w:line="240" w:lineRule="auto"/>
              <w:rPr>
                <w:rFonts w:ascii="Arial" w:eastAsia="Times New Roman" w:hAnsi="Arial" w:cs="Arial"/>
                <w:color w:val="000000"/>
                <w:sz w:val="20"/>
                <w:szCs w:val="20"/>
              </w:rPr>
            </w:pPr>
            <w:r w:rsidRPr="00071A47">
              <w:rPr>
                <w:rFonts w:ascii="Arial" w:eastAsia="Times New Roman" w:hAnsi="Arial" w:cs="Arial"/>
                <w:b/>
                <w:color w:val="000000"/>
                <w:sz w:val="20"/>
                <w:szCs w:val="20"/>
              </w:rPr>
              <w:t>Soil Properties</w:t>
            </w:r>
          </w:p>
        </w:tc>
        <w:tc>
          <w:tcPr>
            <w:tcW w:w="1960" w:type="dxa"/>
            <w:tcBorders>
              <w:top w:val="nil"/>
              <w:left w:val="nil"/>
              <w:bottom w:val="nil"/>
              <w:right w:val="nil"/>
            </w:tcBorders>
            <w:noWrap/>
            <w:vAlign w:val="bottom"/>
          </w:tcPr>
          <w:p w14:paraId="57510A8B"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5B0E6038"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11BEE4CA" w14:textId="77777777" w:rsidTr="008B10CE">
        <w:trPr>
          <w:trHeight w:val="315"/>
        </w:trPr>
        <w:tc>
          <w:tcPr>
            <w:tcW w:w="3690" w:type="dxa"/>
            <w:tcBorders>
              <w:top w:val="nil"/>
              <w:left w:val="nil"/>
              <w:bottom w:val="nil"/>
              <w:right w:val="nil"/>
            </w:tcBorders>
            <w:noWrap/>
            <w:vAlign w:val="bottom"/>
          </w:tcPr>
          <w:p w14:paraId="55DACF38"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Sand</w:t>
            </w:r>
          </w:p>
        </w:tc>
        <w:tc>
          <w:tcPr>
            <w:tcW w:w="1960" w:type="dxa"/>
            <w:tcBorders>
              <w:top w:val="nil"/>
              <w:left w:val="nil"/>
              <w:bottom w:val="nil"/>
              <w:right w:val="nil"/>
            </w:tcBorders>
            <w:noWrap/>
            <w:vAlign w:val="bottom"/>
          </w:tcPr>
          <w:p w14:paraId="464C6844"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7C48D922"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369E93DD" w14:textId="77777777" w:rsidTr="008B10CE">
        <w:trPr>
          <w:trHeight w:val="315"/>
        </w:trPr>
        <w:tc>
          <w:tcPr>
            <w:tcW w:w="3690" w:type="dxa"/>
            <w:tcBorders>
              <w:top w:val="nil"/>
              <w:left w:val="nil"/>
              <w:bottom w:val="nil"/>
              <w:right w:val="nil"/>
            </w:tcBorders>
            <w:noWrap/>
            <w:vAlign w:val="bottom"/>
          </w:tcPr>
          <w:p w14:paraId="635BE189" w14:textId="77777777" w:rsidR="007C5857" w:rsidRPr="00071A47" w:rsidRDefault="007C5857" w:rsidP="003925AF">
            <w:pPr>
              <w:spacing w:after="0" w:line="240" w:lineRule="auto"/>
              <w:jc w:val="center"/>
              <w:rPr>
                <w:rFonts w:ascii="Arial" w:eastAsia="Times New Roman" w:hAnsi="Arial" w:cs="Arial"/>
                <w:b/>
                <w:color w:val="000000"/>
                <w:sz w:val="20"/>
                <w:szCs w:val="20"/>
              </w:rPr>
            </w:pPr>
            <w:r w:rsidRPr="00071A47">
              <w:rPr>
                <w:rFonts w:ascii="Arial" w:eastAsia="Times New Roman" w:hAnsi="Arial" w:cs="Arial"/>
                <w:color w:val="000000"/>
                <w:sz w:val="20"/>
                <w:szCs w:val="20"/>
              </w:rPr>
              <w:t>Clay</w:t>
            </w:r>
          </w:p>
        </w:tc>
        <w:tc>
          <w:tcPr>
            <w:tcW w:w="1960" w:type="dxa"/>
            <w:tcBorders>
              <w:top w:val="nil"/>
              <w:left w:val="nil"/>
              <w:bottom w:val="nil"/>
              <w:right w:val="nil"/>
            </w:tcBorders>
            <w:noWrap/>
            <w:vAlign w:val="bottom"/>
          </w:tcPr>
          <w:p w14:paraId="56E841E6"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2734FB6F"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6B9C0E0B" w14:textId="77777777" w:rsidTr="008B10CE">
        <w:trPr>
          <w:trHeight w:val="315"/>
        </w:trPr>
        <w:tc>
          <w:tcPr>
            <w:tcW w:w="3690" w:type="dxa"/>
            <w:tcBorders>
              <w:top w:val="nil"/>
              <w:left w:val="nil"/>
              <w:bottom w:val="nil"/>
              <w:right w:val="nil"/>
            </w:tcBorders>
            <w:noWrap/>
            <w:vAlign w:val="bottom"/>
          </w:tcPr>
          <w:p w14:paraId="7C9B4426"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Silt</w:t>
            </w:r>
          </w:p>
        </w:tc>
        <w:tc>
          <w:tcPr>
            <w:tcW w:w="1960" w:type="dxa"/>
            <w:tcBorders>
              <w:top w:val="nil"/>
              <w:left w:val="nil"/>
              <w:bottom w:val="nil"/>
              <w:right w:val="nil"/>
            </w:tcBorders>
            <w:noWrap/>
            <w:vAlign w:val="bottom"/>
          </w:tcPr>
          <w:p w14:paraId="6B924EDA"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c>
          <w:tcPr>
            <w:tcW w:w="3010" w:type="dxa"/>
            <w:tcBorders>
              <w:top w:val="nil"/>
              <w:left w:val="nil"/>
              <w:bottom w:val="nil"/>
              <w:right w:val="nil"/>
            </w:tcBorders>
            <w:noWrap/>
            <w:vAlign w:val="bottom"/>
          </w:tcPr>
          <w:p w14:paraId="66E7F482" w14:textId="77777777" w:rsidR="007C5857" w:rsidRPr="00071A47" w:rsidRDefault="007C5857" w:rsidP="003925AF">
            <w:pPr>
              <w:spacing w:after="0" w:line="240" w:lineRule="auto"/>
              <w:jc w:val="center"/>
              <w:rPr>
                <w:rFonts w:ascii="Arial" w:eastAsia="Times New Roman" w:hAnsi="Arial" w:cs="Arial"/>
                <w:color w:val="000000"/>
                <w:sz w:val="20"/>
                <w:szCs w:val="20"/>
              </w:rPr>
            </w:pPr>
          </w:p>
        </w:tc>
      </w:tr>
      <w:tr w:rsidR="007C5857" w:rsidRPr="00071A47" w14:paraId="1AF8DFAE" w14:textId="77777777" w:rsidTr="007C5857">
        <w:trPr>
          <w:trHeight w:val="315"/>
        </w:trPr>
        <w:tc>
          <w:tcPr>
            <w:tcW w:w="3690" w:type="dxa"/>
            <w:tcBorders>
              <w:top w:val="nil"/>
              <w:left w:val="nil"/>
              <w:bottom w:val="single" w:sz="4" w:space="0" w:color="auto"/>
              <w:right w:val="nil"/>
            </w:tcBorders>
            <w:noWrap/>
            <w:vAlign w:val="bottom"/>
          </w:tcPr>
          <w:p w14:paraId="5CD3AEA3"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Textural Class</w:t>
            </w:r>
          </w:p>
        </w:tc>
        <w:tc>
          <w:tcPr>
            <w:tcW w:w="1960" w:type="dxa"/>
            <w:tcBorders>
              <w:top w:val="nil"/>
              <w:left w:val="nil"/>
              <w:bottom w:val="single" w:sz="4" w:space="0" w:color="auto"/>
              <w:right w:val="nil"/>
            </w:tcBorders>
            <w:noWrap/>
            <w:vAlign w:val="bottom"/>
          </w:tcPr>
          <w:p w14:paraId="3FDF79C2"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Sandy Clay Loam</w:t>
            </w:r>
          </w:p>
        </w:tc>
        <w:tc>
          <w:tcPr>
            <w:tcW w:w="3010" w:type="dxa"/>
            <w:tcBorders>
              <w:top w:val="nil"/>
              <w:left w:val="nil"/>
              <w:bottom w:val="single" w:sz="4" w:space="0" w:color="auto"/>
              <w:right w:val="nil"/>
            </w:tcBorders>
            <w:noWrap/>
            <w:vAlign w:val="bottom"/>
          </w:tcPr>
          <w:p w14:paraId="7B4ED972" w14:textId="77777777" w:rsidR="007C5857" w:rsidRPr="00071A47" w:rsidRDefault="007C5857"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 </w:t>
            </w:r>
          </w:p>
        </w:tc>
      </w:tr>
    </w:tbl>
    <w:p w14:paraId="58A9D407" w14:textId="77777777" w:rsidR="008C1136" w:rsidRPr="00071A47" w:rsidRDefault="008C1136" w:rsidP="003925AF">
      <w:pPr>
        <w:spacing w:line="240" w:lineRule="auto"/>
        <w:jc w:val="both"/>
        <w:rPr>
          <w:rFonts w:ascii="Arial" w:hAnsi="Arial" w:cs="Arial"/>
          <w:b/>
          <w:sz w:val="20"/>
          <w:szCs w:val="20"/>
        </w:rPr>
      </w:pPr>
    </w:p>
    <w:p w14:paraId="56FD5B60" w14:textId="20BBC076"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The effects of weed management treatments on the growth parameters of cashew seedlings are presented in Table 3. No significant differences were observed among treatments for plant height, number of leaves</w:t>
      </w:r>
      <w:r w:rsidR="00AE4926">
        <w:rPr>
          <w:rFonts w:ascii="Arial" w:hAnsi="Arial" w:cs="Arial"/>
          <w:bCs/>
          <w:sz w:val="20"/>
          <w:szCs w:val="20"/>
        </w:rPr>
        <w:t xml:space="preserve"> and </w:t>
      </w:r>
      <w:r w:rsidRPr="00071A47">
        <w:rPr>
          <w:rFonts w:ascii="Arial" w:hAnsi="Arial" w:cs="Arial"/>
          <w:bCs/>
          <w:sz w:val="20"/>
          <w:szCs w:val="20"/>
        </w:rPr>
        <w:t>stem diameter throughout the observation period. However, a notable difference was recorded in leaf area at 12 weeks after sowing (WAS), where the Weedy Check (WC) treatment produced the smallest mean leaf area (31.39 cm²) compared to the once-in-three-weeks weeding (3W; 43.56 cm²) and once-in-</w:t>
      </w:r>
      <w:r w:rsidRPr="00071A47">
        <w:rPr>
          <w:rFonts w:ascii="Arial" w:hAnsi="Arial" w:cs="Arial"/>
          <w:bCs/>
          <w:sz w:val="20"/>
          <w:szCs w:val="20"/>
        </w:rPr>
        <w:lastRenderedPageBreak/>
        <w:t>four-weeks weeding (4W; 45.77 cm²) treatments, indicating that even infrequent weeding intervals positively influenced leaf area development in cashew seedlings.</w:t>
      </w:r>
    </w:p>
    <w:p w14:paraId="50A75EF8" w14:textId="77777777"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Although no significant difference in plant height was recorded among treatments, WC recorded the shortest mean plant height (25.50 cm) at 12 WAS, suggesting a suppressive trend attributable to uncontrolled weed competition. Interestingly, WC recorded the highest number of leaves (18.8) at the same period; however, the corresponding leaf area data indicate that these leaves were considerably smaller than those produced under weeded treatments. This pattern suggests that prolonged weed interference promoted the production of numerous but poorly developed leaves, likely as a stress response to resource competition.</w:t>
      </w:r>
    </w:p>
    <w:p w14:paraId="3FF33BEA" w14:textId="77777777" w:rsidR="003925AF" w:rsidRPr="00071A47" w:rsidRDefault="003925AF" w:rsidP="003925AF">
      <w:pPr>
        <w:spacing w:line="240" w:lineRule="auto"/>
        <w:jc w:val="both"/>
        <w:rPr>
          <w:rFonts w:ascii="Arial" w:hAnsi="Arial" w:cs="Arial"/>
          <w:bCs/>
          <w:sz w:val="20"/>
          <w:szCs w:val="20"/>
        </w:rPr>
      </w:pPr>
      <w:r w:rsidRPr="00071A47">
        <w:rPr>
          <w:rFonts w:ascii="Arial" w:hAnsi="Arial" w:cs="Arial"/>
          <w:bCs/>
          <w:sz w:val="20"/>
          <w:szCs w:val="20"/>
        </w:rPr>
        <w:t xml:space="preserve">These observations are consistent with documented evidence that weed competition adversely affects both the morphological and physiological development of crop plants (Hakim, 2013). In the context of nursery management, the suppression of plant height and leaf area in </w:t>
      </w:r>
      <w:proofErr w:type="spellStart"/>
      <w:r w:rsidRPr="00071A47">
        <w:rPr>
          <w:rFonts w:ascii="Arial" w:hAnsi="Arial" w:cs="Arial"/>
          <w:bCs/>
          <w:sz w:val="20"/>
          <w:szCs w:val="20"/>
        </w:rPr>
        <w:t>unweeded</w:t>
      </w:r>
      <w:proofErr w:type="spellEnd"/>
      <w:r w:rsidRPr="00071A47">
        <w:rPr>
          <w:rFonts w:ascii="Arial" w:hAnsi="Arial" w:cs="Arial"/>
          <w:bCs/>
          <w:sz w:val="20"/>
          <w:szCs w:val="20"/>
        </w:rPr>
        <w:t xml:space="preserve"> cashew seedlings is of particular concern, as these parameters are direct indicators of seedling </w:t>
      </w:r>
      <w:proofErr w:type="spellStart"/>
      <w:r w:rsidRPr="00071A47">
        <w:rPr>
          <w:rFonts w:ascii="Arial" w:hAnsi="Arial" w:cs="Arial"/>
          <w:bCs/>
          <w:sz w:val="20"/>
          <w:szCs w:val="20"/>
        </w:rPr>
        <w:t>vigour</w:t>
      </w:r>
      <w:proofErr w:type="spellEnd"/>
      <w:r w:rsidRPr="00071A47">
        <w:rPr>
          <w:rFonts w:ascii="Arial" w:hAnsi="Arial" w:cs="Arial"/>
          <w:bCs/>
          <w:sz w:val="20"/>
          <w:szCs w:val="20"/>
        </w:rPr>
        <w:t xml:space="preserve"> and transplanting readiness. Furthermore, given the established interrelationships among plant growth parameters (Sher, 2013), early suppression of height and leaf area development in </w:t>
      </w:r>
      <w:proofErr w:type="spellStart"/>
      <w:r w:rsidRPr="00071A47">
        <w:rPr>
          <w:rFonts w:ascii="Arial" w:hAnsi="Arial" w:cs="Arial"/>
          <w:bCs/>
          <w:sz w:val="20"/>
          <w:szCs w:val="20"/>
        </w:rPr>
        <w:t>unweeded</w:t>
      </w:r>
      <w:proofErr w:type="spellEnd"/>
      <w:r w:rsidRPr="00071A47">
        <w:rPr>
          <w:rFonts w:ascii="Arial" w:hAnsi="Arial" w:cs="Arial"/>
          <w:bCs/>
          <w:sz w:val="20"/>
          <w:szCs w:val="20"/>
        </w:rPr>
        <w:t xml:space="preserve"> seedlings may have cascading negative effects on other growth attributes over time.</w:t>
      </w:r>
    </w:p>
    <w:p w14:paraId="4EA728C4" w14:textId="77777777" w:rsidR="003925AF" w:rsidRPr="00071A47" w:rsidRDefault="003925AF" w:rsidP="003925AF">
      <w:pPr>
        <w:spacing w:line="240" w:lineRule="auto"/>
        <w:rPr>
          <w:rFonts w:ascii="Arial" w:hAnsi="Arial" w:cs="Arial"/>
          <w:bCs/>
          <w:sz w:val="20"/>
          <w:szCs w:val="20"/>
        </w:rPr>
      </w:pPr>
    </w:p>
    <w:p w14:paraId="294FECF9" w14:textId="759D76B1" w:rsidR="00C107CE" w:rsidRPr="00071A47" w:rsidRDefault="008C1136" w:rsidP="003925AF">
      <w:pPr>
        <w:spacing w:line="240" w:lineRule="auto"/>
        <w:rPr>
          <w:rFonts w:ascii="Arial" w:hAnsi="Arial" w:cs="Arial"/>
          <w:b/>
          <w:sz w:val="20"/>
          <w:szCs w:val="20"/>
        </w:rPr>
      </w:pPr>
      <w:r w:rsidRPr="00071A47">
        <w:rPr>
          <w:rFonts w:ascii="Arial" w:hAnsi="Arial" w:cs="Arial"/>
          <w:b/>
          <w:sz w:val="20"/>
          <w:szCs w:val="20"/>
        </w:rPr>
        <w:t>Table 3</w:t>
      </w:r>
      <w:r w:rsidR="00C107CE" w:rsidRPr="00071A47">
        <w:rPr>
          <w:rFonts w:ascii="Arial" w:hAnsi="Arial" w:cs="Arial"/>
          <w:b/>
          <w:sz w:val="20"/>
          <w:szCs w:val="20"/>
        </w:rPr>
        <w:t xml:space="preserve">: </w:t>
      </w:r>
      <w:r w:rsidR="004528F1" w:rsidRPr="00071A47">
        <w:rPr>
          <w:rFonts w:ascii="Arial" w:hAnsi="Arial" w:cs="Arial"/>
          <w:b/>
          <w:sz w:val="20"/>
          <w:szCs w:val="20"/>
        </w:rPr>
        <w:t>Growth parameters of cashew seedlings as influenced by weeding periods</w:t>
      </w:r>
    </w:p>
    <w:tbl>
      <w:tblPr>
        <w:tblW w:w="11004" w:type="dxa"/>
        <w:tblInd w:w="-812" w:type="dxa"/>
        <w:tblLook w:val="04A0" w:firstRow="1" w:lastRow="0" w:firstColumn="1" w:lastColumn="0" w:noHBand="0" w:noVBand="1"/>
      </w:tblPr>
      <w:tblGrid>
        <w:gridCol w:w="720"/>
        <w:gridCol w:w="804"/>
        <w:gridCol w:w="804"/>
        <w:gridCol w:w="963"/>
        <w:gridCol w:w="804"/>
        <w:gridCol w:w="804"/>
        <w:gridCol w:w="963"/>
        <w:gridCol w:w="804"/>
        <w:gridCol w:w="804"/>
        <w:gridCol w:w="963"/>
        <w:gridCol w:w="804"/>
        <w:gridCol w:w="804"/>
        <w:gridCol w:w="963"/>
      </w:tblGrid>
      <w:tr w:rsidR="00C107CE" w:rsidRPr="00071A47" w14:paraId="6F68FE1A" w14:textId="77777777" w:rsidTr="00C107CE">
        <w:trPr>
          <w:trHeight w:val="300"/>
        </w:trPr>
        <w:tc>
          <w:tcPr>
            <w:tcW w:w="720" w:type="dxa"/>
            <w:vMerge w:val="restart"/>
            <w:tcBorders>
              <w:top w:val="single" w:sz="4" w:space="0" w:color="auto"/>
              <w:left w:val="nil"/>
              <w:bottom w:val="single" w:sz="4" w:space="0" w:color="000000"/>
              <w:right w:val="nil"/>
            </w:tcBorders>
            <w:noWrap/>
            <w:vAlign w:val="center"/>
            <w:hideMark/>
          </w:tcPr>
          <w:p w14:paraId="7A42E804"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Treat</w:t>
            </w:r>
          </w:p>
        </w:tc>
        <w:tc>
          <w:tcPr>
            <w:tcW w:w="10284" w:type="dxa"/>
            <w:gridSpan w:val="12"/>
            <w:tcBorders>
              <w:top w:val="single" w:sz="4" w:space="0" w:color="auto"/>
              <w:left w:val="nil"/>
              <w:bottom w:val="nil"/>
              <w:right w:val="nil"/>
            </w:tcBorders>
            <w:noWrap/>
            <w:vAlign w:val="bottom"/>
            <w:hideMark/>
          </w:tcPr>
          <w:p w14:paraId="73CBE04E"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Growth Parameters</w:t>
            </w:r>
          </w:p>
        </w:tc>
      </w:tr>
      <w:tr w:rsidR="00C107CE" w:rsidRPr="00071A47" w14:paraId="035119E0" w14:textId="77777777" w:rsidTr="00C107CE">
        <w:trPr>
          <w:trHeight w:val="300"/>
        </w:trPr>
        <w:tc>
          <w:tcPr>
            <w:tcW w:w="720" w:type="dxa"/>
            <w:vMerge/>
            <w:tcBorders>
              <w:top w:val="single" w:sz="4" w:space="0" w:color="auto"/>
              <w:left w:val="nil"/>
              <w:bottom w:val="single" w:sz="4" w:space="0" w:color="000000"/>
              <w:right w:val="nil"/>
            </w:tcBorders>
            <w:vAlign w:val="center"/>
            <w:hideMark/>
          </w:tcPr>
          <w:p w14:paraId="29E92FB2" w14:textId="77777777" w:rsidR="00C107CE" w:rsidRPr="00071A47" w:rsidRDefault="00C107CE" w:rsidP="003925AF">
            <w:pPr>
              <w:spacing w:after="0" w:line="240" w:lineRule="auto"/>
              <w:rPr>
                <w:rFonts w:ascii="Arial" w:eastAsia="Times New Roman" w:hAnsi="Arial" w:cs="Arial"/>
                <w:b/>
                <w:bCs/>
                <w:color w:val="000000"/>
                <w:sz w:val="20"/>
                <w:szCs w:val="20"/>
              </w:rPr>
            </w:pPr>
          </w:p>
        </w:tc>
        <w:tc>
          <w:tcPr>
            <w:tcW w:w="2571" w:type="dxa"/>
            <w:gridSpan w:val="3"/>
            <w:tcBorders>
              <w:top w:val="nil"/>
              <w:left w:val="nil"/>
              <w:bottom w:val="nil"/>
              <w:right w:val="nil"/>
            </w:tcBorders>
            <w:noWrap/>
            <w:vAlign w:val="bottom"/>
            <w:hideMark/>
          </w:tcPr>
          <w:p w14:paraId="71D78A11"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Plant Height (cm)</w:t>
            </w:r>
          </w:p>
        </w:tc>
        <w:tc>
          <w:tcPr>
            <w:tcW w:w="2571" w:type="dxa"/>
            <w:gridSpan w:val="3"/>
            <w:tcBorders>
              <w:top w:val="nil"/>
              <w:left w:val="nil"/>
              <w:bottom w:val="nil"/>
              <w:right w:val="nil"/>
            </w:tcBorders>
            <w:noWrap/>
            <w:vAlign w:val="bottom"/>
            <w:hideMark/>
          </w:tcPr>
          <w:p w14:paraId="74D8962C"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No. of Leaves</w:t>
            </w:r>
          </w:p>
        </w:tc>
        <w:tc>
          <w:tcPr>
            <w:tcW w:w="2571" w:type="dxa"/>
            <w:gridSpan w:val="3"/>
            <w:tcBorders>
              <w:top w:val="nil"/>
              <w:left w:val="nil"/>
              <w:bottom w:val="nil"/>
              <w:right w:val="nil"/>
            </w:tcBorders>
            <w:noWrap/>
            <w:vAlign w:val="bottom"/>
            <w:hideMark/>
          </w:tcPr>
          <w:p w14:paraId="34061AAF"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Stem Diameter (mm)</w:t>
            </w:r>
          </w:p>
        </w:tc>
        <w:tc>
          <w:tcPr>
            <w:tcW w:w="2571" w:type="dxa"/>
            <w:gridSpan w:val="3"/>
            <w:tcBorders>
              <w:top w:val="nil"/>
              <w:left w:val="nil"/>
              <w:bottom w:val="nil"/>
              <w:right w:val="nil"/>
            </w:tcBorders>
            <w:noWrap/>
            <w:vAlign w:val="bottom"/>
            <w:hideMark/>
          </w:tcPr>
          <w:p w14:paraId="693A796C" w14:textId="77777777" w:rsidR="00C107CE" w:rsidRPr="00071A47" w:rsidRDefault="00C107CE" w:rsidP="003925AF">
            <w:pPr>
              <w:spacing w:after="0" w:line="240" w:lineRule="auto"/>
              <w:jc w:val="center"/>
              <w:rPr>
                <w:rFonts w:ascii="Arial" w:eastAsia="Times New Roman" w:hAnsi="Arial" w:cs="Arial"/>
                <w:b/>
                <w:bCs/>
                <w:color w:val="000000"/>
                <w:sz w:val="20"/>
                <w:szCs w:val="20"/>
                <w:u w:val="single"/>
              </w:rPr>
            </w:pPr>
            <w:r w:rsidRPr="00071A47">
              <w:rPr>
                <w:rFonts w:ascii="Arial" w:eastAsia="Times New Roman" w:hAnsi="Arial" w:cs="Arial"/>
                <w:b/>
                <w:bCs/>
                <w:color w:val="000000"/>
                <w:sz w:val="20"/>
                <w:szCs w:val="20"/>
                <w:u w:val="single"/>
              </w:rPr>
              <w:t>Leaf Area (cm</w:t>
            </w:r>
            <w:r w:rsidRPr="00071A47">
              <w:rPr>
                <w:rFonts w:ascii="Arial" w:eastAsia="Times New Roman" w:hAnsi="Arial" w:cs="Arial"/>
                <w:b/>
                <w:bCs/>
                <w:color w:val="000000"/>
                <w:sz w:val="20"/>
                <w:szCs w:val="20"/>
                <w:u w:val="single"/>
                <w:vertAlign w:val="superscript"/>
              </w:rPr>
              <w:t>2</w:t>
            </w:r>
            <w:r w:rsidRPr="00071A47">
              <w:rPr>
                <w:rFonts w:ascii="Arial" w:eastAsia="Times New Roman" w:hAnsi="Arial" w:cs="Arial"/>
                <w:b/>
                <w:bCs/>
                <w:color w:val="000000"/>
                <w:sz w:val="20"/>
                <w:szCs w:val="20"/>
                <w:u w:val="single"/>
              </w:rPr>
              <w:t>)</w:t>
            </w:r>
          </w:p>
        </w:tc>
      </w:tr>
      <w:tr w:rsidR="00C107CE" w:rsidRPr="00071A47" w14:paraId="7D6D1960" w14:textId="77777777" w:rsidTr="00C107CE">
        <w:trPr>
          <w:trHeight w:val="300"/>
        </w:trPr>
        <w:tc>
          <w:tcPr>
            <w:tcW w:w="720" w:type="dxa"/>
            <w:vMerge/>
            <w:tcBorders>
              <w:top w:val="single" w:sz="4" w:space="0" w:color="auto"/>
              <w:left w:val="nil"/>
              <w:bottom w:val="single" w:sz="4" w:space="0" w:color="000000"/>
              <w:right w:val="nil"/>
            </w:tcBorders>
            <w:vAlign w:val="center"/>
            <w:hideMark/>
          </w:tcPr>
          <w:p w14:paraId="595A6098" w14:textId="77777777" w:rsidR="00C107CE" w:rsidRPr="00071A47" w:rsidRDefault="00C107CE" w:rsidP="003925AF">
            <w:pPr>
              <w:spacing w:after="0" w:line="240" w:lineRule="auto"/>
              <w:rPr>
                <w:rFonts w:ascii="Arial" w:eastAsia="Times New Roman" w:hAnsi="Arial" w:cs="Arial"/>
                <w:b/>
                <w:bCs/>
                <w:color w:val="000000"/>
                <w:sz w:val="20"/>
                <w:szCs w:val="20"/>
              </w:rPr>
            </w:pPr>
          </w:p>
        </w:tc>
        <w:tc>
          <w:tcPr>
            <w:tcW w:w="804" w:type="dxa"/>
            <w:tcBorders>
              <w:top w:val="nil"/>
              <w:left w:val="nil"/>
              <w:bottom w:val="single" w:sz="4" w:space="0" w:color="auto"/>
              <w:right w:val="nil"/>
            </w:tcBorders>
            <w:noWrap/>
            <w:vAlign w:val="bottom"/>
            <w:hideMark/>
          </w:tcPr>
          <w:p w14:paraId="7B38863A"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42825C3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1E17F78E"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c>
          <w:tcPr>
            <w:tcW w:w="804" w:type="dxa"/>
            <w:tcBorders>
              <w:top w:val="nil"/>
              <w:left w:val="nil"/>
              <w:bottom w:val="single" w:sz="4" w:space="0" w:color="auto"/>
              <w:right w:val="nil"/>
            </w:tcBorders>
            <w:noWrap/>
            <w:vAlign w:val="bottom"/>
            <w:hideMark/>
          </w:tcPr>
          <w:p w14:paraId="1880D310"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212DC370"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73AF631F"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c>
          <w:tcPr>
            <w:tcW w:w="804" w:type="dxa"/>
            <w:tcBorders>
              <w:top w:val="nil"/>
              <w:left w:val="nil"/>
              <w:bottom w:val="single" w:sz="4" w:space="0" w:color="auto"/>
              <w:right w:val="nil"/>
            </w:tcBorders>
            <w:noWrap/>
            <w:vAlign w:val="bottom"/>
            <w:hideMark/>
          </w:tcPr>
          <w:p w14:paraId="2A7A886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39CEF5A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53B2467B"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c>
          <w:tcPr>
            <w:tcW w:w="804" w:type="dxa"/>
            <w:tcBorders>
              <w:top w:val="nil"/>
              <w:left w:val="nil"/>
              <w:bottom w:val="single" w:sz="4" w:space="0" w:color="auto"/>
              <w:right w:val="nil"/>
            </w:tcBorders>
            <w:noWrap/>
            <w:vAlign w:val="bottom"/>
            <w:hideMark/>
          </w:tcPr>
          <w:p w14:paraId="7946B578"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4WAS</w:t>
            </w:r>
          </w:p>
        </w:tc>
        <w:tc>
          <w:tcPr>
            <w:tcW w:w="804" w:type="dxa"/>
            <w:tcBorders>
              <w:top w:val="nil"/>
              <w:left w:val="nil"/>
              <w:bottom w:val="single" w:sz="4" w:space="0" w:color="auto"/>
              <w:right w:val="nil"/>
            </w:tcBorders>
            <w:noWrap/>
            <w:vAlign w:val="bottom"/>
            <w:hideMark/>
          </w:tcPr>
          <w:p w14:paraId="28ACC62A"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8WAS</w:t>
            </w:r>
          </w:p>
        </w:tc>
        <w:tc>
          <w:tcPr>
            <w:tcW w:w="963" w:type="dxa"/>
            <w:tcBorders>
              <w:top w:val="nil"/>
              <w:left w:val="nil"/>
              <w:bottom w:val="single" w:sz="4" w:space="0" w:color="auto"/>
              <w:right w:val="nil"/>
            </w:tcBorders>
            <w:noWrap/>
            <w:vAlign w:val="bottom"/>
            <w:hideMark/>
          </w:tcPr>
          <w:p w14:paraId="073AFF9F"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12WAS</w:t>
            </w:r>
          </w:p>
        </w:tc>
      </w:tr>
      <w:tr w:rsidR="00C107CE" w:rsidRPr="00071A47" w14:paraId="096C7209" w14:textId="77777777" w:rsidTr="00C107CE">
        <w:trPr>
          <w:trHeight w:val="300"/>
        </w:trPr>
        <w:tc>
          <w:tcPr>
            <w:tcW w:w="720" w:type="dxa"/>
            <w:tcBorders>
              <w:top w:val="nil"/>
              <w:left w:val="nil"/>
              <w:bottom w:val="nil"/>
              <w:right w:val="nil"/>
            </w:tcBorders>
            <w:noWrap/>
            <w:vAlign w:val="bottom"/>
            <w:hideMark/>
          </w:tcPr>
          <w:p w14:paraId="5D7374E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WF</w:t>
            </w:r>
          </w:p>
        </w:tc>
        <w:tc>
          <w:tcPr>
            <w:tcW w:w="804" w:type="dxa"/>
            <w:tcBorders>
              <w:top w:val="nil"/>
              <w:left w:val="nil"/>
              <w:bottom w:val="nil"/>
              <w:right w:val="nil"/>
            </w:tcBorders>
            <w:noWrap/>
            <w:vAlign w:val="bottom"/>
            <w:hideMark/>
          </w:tcPr>
          <w:p w14:paraId="3159AE7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20.62</w:t>
            </w:r>
          </w:p>
        </w:tc>
        <w:tc>
          <w:tcPr>
            <w:tcW w:w="804" w:type="dxa"/>
            <w:tcBorders>
              <w:top w:val="nil"/>
              <w:left w:val="nil"/>
              <w:bottom w:val="nil"/>
              <w:right w:val="nil"/>
            </w:tcBorders>
            <w:noWrap/>
            <w:vAlign w:val="bottom"/>
            <w:hideMark/>
          </w:tcPr>
          <w:p w14:paraId="5886190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24.65</w:t>
            </w:r>
          </w:p>
        </w:tc>
        <w:tc>
          <w:tcPr>
            <w:tcW w:w="963" w:type="dxa"/>
            <w:tcBorders>
              <w:top w:val="nil"/>
              <w:left w:val="nil"/>
              <w:bottom w:val="nil"/>
              <w:right w:val="nil"/>
            </w:tcBorders>
            <w:noWrap/>
            <w:vAlign w:val="bottom"/>
            <w:hideMark/>
          </w:tcPr>
          <w:p w14:paraId="2B7B755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27.37</w:t>
            </w:r>
          </w:p>
        </w:tc>
        <w:tc>
          <w:tcPr>
            <w:tcW w:w="804" w:type="dxa"/>
            <w:tcBorders>
              <w:top w:val="nil"/>
              <w:left w:val="nil"/>
              <w:bottom w:val="nil"/>
              <w:right w:val="nil"/>
            </w:tcBorders>
            <w:noWrap/>
            <w:vAlign w:val="bottom"/>
            <w:hideMark/>
          </w:tcPr>
          <w:p w14:paraId="3A525DB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7.3</w:t>
            </w:r>
          </w:p>
        </w:tc>
        <w:tc>
          <w:tcPr>
            <w:tcW w:w="804" w:type="dxa"/>
            <w:tcBorders>
              <w:top w:val="nil"/>
              <w:left w:val="nil"/>
              <w:bottom w:val="nil"/>
              <w:right w:val="nil"/>
            </w:tcBorders>
            <w:noWrap/>
            <w:vAlign w:val="bottom"/>
            <w:hideMark/>
          </w:tcPr>
          <w:p w14:paraId="04E2ACD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9.8</w:t>
            </w:r>
          </w:p>
        </w:tc>
        <w:tc>
          <w:tcPr>
            <w:tcW w:w="963" w:type="dxa"/>
            <w:tcBorders>
              <w:top w:val="nil"/>
              <w:left w:val="nil"/>
              <w:bottom w:val="nil"/>
              <w:right w:val="nil"/>
            </w:tcBorders>
            <w:noWrap/>
            <w:vAlign w:val="bottom"/>
            <w:hideMark/>
          </w:tcPr>
          <w:p w14:paraId="070CBE9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14.0</w:t>
            </w:r>
          </w:p>
        </w:tc>
        <w:tc>
          <w:tcPr>
            <w:tcW w:w="804" w:type="dxa"/>
            <w:tcBorders>
              <w:top w:val="nil"/>
              <w:left w:val="nil"/>
              <w:bottom w:val="nil"/>
              <w:right w:val="nil"/>
            </w:tcBorders>
            <w:noWrap/>
            <w:vAlign w:val="bottom"/>
            <w:hideMark/>
          </w:tcPr>
          <w:p w14:paraId="0EF9946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4.90</w:t>
            </w:r>
          </w:p>
        </w:tc>
        <w:tc>
          <w:tcPr>
            <w:tcW w:w="804" w:type="dxa"/>
            <w:tcBorders>
              <w:top w:val="nil"/>
              <w:left w:val="nil"/>
              <w:bottom w:val="nil"/>
              <w:right w:val="nil"/>
            </w:tcBorders>
            <w:noWrap/>
            <w:vAlign w:val="bottom"/>
            <w:hideMark/>
          </w:tcPr>
          <w:p w14:paraId="17C0226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5.00</w:t>
            </w:r>
          </w:p>
        </w:tc>
        <w:tc>
          <w:tcPr>
            <w:tcW w:w="963" w:type="dxa"/>
            <w:tcBorders>
              <w:top w:val="nil"/>
              <w:left w:val="nil"/>
              <w:bottom w:val="nil"/>
              <w:right w:val="nil"/>
            </w:tcBorders>
            <w:noWrap/>
            <w:vAlign w:val="bottom"/>
            <w:hideMark/>
          </w:tcPr>
          <w:p w14:paraId="40F5304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5.50</w:t>
            </w:r>
          </w:p>
        </w:tc>
        <w:tc>
          <w:tcPr>
            <w:tcW w:w="804" w:type="dxa"/>
            <w:tcBorders>
              <w:top w:val="nil"/>
              <w:left w:val="nil"/>
              <w:bottom w:val="nil"/>
              <w:right w:val="nil"/>
            </w:tcBorders>
            <w:noWrap/>
            <w:vAlign w:val="bottom"/>
            <w:hideMark/>
          </w:tcPr>
          <w:p w14:paraId="1949B94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38.34</w:t>
            </w:r>
          </w:p>
        </w:tc>
        <w:tc>
          <w:tcPr>
            <w:tcW w:w="804" w:type="dxa"/>
            <w:tcBorders>
              <w:top w:val="nil"/>
              <w:left w:val="nil"/>
              <w:bottom w:val="nil"/>
              <w:right w:val="nil"/>
            </w:tcBorders>
            <w:noWrap/>
            <w:vAlign w:val="bottom"/>
            <w:hideMark/>
          </w:tcPr>
          <w:p w14:paraId="3C54EBE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39.89</w:t>
            </w:r>
          </w:p>
        </w:tc>
        <w:tc>
          <w:tcPr>
            <w:tcW w:w="963" w:type="dxa"/>
            <w:tcBorders>
              <w:top w:val="nil"/>
              <w:left w:val="nil"/>
              <w:bottom w:val="nil"/>
              <w:right w:val="nil"/>
            </w:tcBorders>
            <w:noWrap/>
            <w:vAlign w:val="bottom"/>
            <w:hideMark/>
          </w:tcPr>
          <w:p w14:paraId="20EB997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38.59</w:t>
            </w:r>
          </w:p>
        </w:tc>
      </w:tr>
      <w:tr w:rsidR="00C107CE" w:rsidRPr="00071A47" w14:paraId="1FCB47A0" w14:textId="77777777" w:rsidTr="00C107CE">
        <w:trPr>
          <w:trHeight w:val="300"/>
        </w:trPr>
        <w:tc>
          <w:tcPr>
            <w:tcW w:w="720" w:type="dxa"/>
            <w:tcBorders>
              <w:top w:val="nil"/>
              <w:left w:val="nil"/>
              <w:bottom w:val="nil"/>
              <w:right w:val="nil"/>
            </w:tcBorders>
            <w:noWrap/>
            <w:vAlign w:val="bottom"/>
            <w:hideMark/>
          </w:tcPr>
          <w:p w14:paraId="205F6F0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WC</w:t>
            </w:r>
          </w:p>
        </w:tc>
        <w:tc>
          <w:tcPr>
            <w:tcW w:w="804" w:type="dxa"/>
            <w:tcBorders>
              <w:top w:val="nil"/>
              <w:left w:val="nil"/>
              <w:bottom w:val="nil"/>
              <w:right w:val="nil"/>
            </w:tcBorders>
            <w:noWrap/>
            <w:vAlign w:val="bottom"/>
            <w:hideMark/>
          </w:tcPr>
          <w:p w14:paraId="08333C6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19.90</w:t>
            </w:r>
          </w:p>
        </w:tc>
        <w:tc>
          <w:tcPr>
            <w:tcW w:w="804" w:type="dxa"/>
            <w:tcBorders>
              <w:top w:val="nil"/>
              <w:left w:val="nil"/>
              <w:bottom w:val="nil"/>
              <w:right w:val="nil"/>
            </w:tcBorders>
            <w:noWrap/>
            <w:vAlign w:val="bottom"/>
            <w:hideMark/>
          </w:tcPr>
          <w:p w14:paraId="30A0311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23.22</w:t>
            </w:r>
          </w:p>
        </w:tc>
        <w:tc>
          <w:tcPr>
            <w:tcW w:w="963" w:type="dxa"/>
            <w:tcBorders>
              <w:top w:val="nil"/>
              <w:left w:val="nil"/>
              <w:bottom w:val="nil"/>
              <w:right w:val="nil"/>
            </w:tcBorders>
            <w:noWrap/>
            <w:vAlign w:val="bottom"/>
            <w:hideMark/>
          </w:tcPr>
          <w:p w14:paraId="0C88807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25.50</w:t>
            </w:r>
          </w:p>
        </w:tc>
        <w:tc>
          <w:tcPr>
            <w:tcW w:w="804" w:type="dxa"/>
            <w:tcBorders>
              <w:top w:val="nil"/>
              <w:left w:val="nil"/>
              <w:bottom w:val="nil"/>
              <w:right w:val="nil"/>
            </w:tcBorders>
            <w:noWrap/>
            <w:vAlign w:val="bottom"/>
            <w:hideMark/>
          </w:tcPr>
          <w:p w14:paraId="6BB4729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8.5</w:t>
            </w:r>
          </w:p>
        </w:tc>
        <w:tc>
          <w:tcPr>
            <w:tcW w:w="804" w:type="dxa"/>
            <w:tcBorders>
              <w:top w:val="nil"/>
              <w:left w:val="nil"/>
              <w:bottom w:val="nil"/>
              <w:right w:val="nil"/>
            </w:tcBorders>
            <w:noWrap/>
            <w:vAlign w:val="bottom"/>
            <w:hideMark/>
          </w:tcPr>
          <w:p w14:paraId="049E3C7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12.5</w:t>
            </w:r>
          </w:p>
        </w:tc>
        <w:tc>
          <w:tcPr>
            <w:tcW w:w="963" w:type="dxa"/>
            <w:tcBorders>
              <w:top w:val="nil"/>
              <w:left w:val="nil"/>
              <w:bottom w:val="nil"/>
              <w:right w:val="nil"/>
            </w:tcBorders>
            <w:noWrap/>
            <w:vAlign w:val="bottom"/>
            <w:hideMark/>
          </w:tcPr>
          <w:p w14:paraId="4582811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18.8</w:t>
            </w:r>
          </w:p>
        </w:tc>
        <w:tc>
          <w:tcPr>
            <w:tcW w:w="804" w:type="dxa"/>
            <w:tcBorders>
              <w:top w:val="nil"/>
              <w:left w:val="nil"/>
              <w:bottom w:val="nil"/>
              <w:right w:val="nil"/>
            </w:tcBorders>
            <w:noWrap/>
            <w:vAlign w:val="bottom"/>
            <w:hideMark/>
          </w:tcPr>
          <w:p w14:paraId="3A9E28D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4.30</w:t>
            </w:r>
          </w:p>
        </w:tc>
        <w:tc>
          <w:tcPr>
            <w:tcW w:w="804" w:type="dxa"/>
            <w:tcBorders>
              <w:top w:val="nil"/>
              <w:left w:val="nil"/>
              <w:bottom w:val="nil"/>
              <w:right w:val="nil"/>
            </w:tcBorders>
            <w:noWrap/>
            <w:vAlign w:val="bottom"/>
            <w:hideMark/>
          </w:tcPr>
          <w:p w14:paraId="60928F4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5.13</w:t>
            </w:r>
          </w:p>
        </w:tc>
        <w:tc>
          <w:tcPr>
            <w:tcW w:w="963" w:type="dxa"/>
            <w:tcBorders>
              <w:top w:val="nil"/>
              <w:left w:val="nil"/>
              <w:bottom w:val="nil"/>
              <w:right w:val="nil"/>
            </w:tcBorders>
            <w:noWrap/>
            <w:vAlign w:val="bottom"/>
            <w:hideMark/>
          </w:tcPr>
          <w:p w14:paraId="718EC32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5.50</w:t>
            </w:r>
          </w:p>
        </w:tc>
        <w:tc>
          <w:tcPr>
            <w:tcW w:w="804" w:type="dxa"/>
            <w:tcBorders>
              <w:top w:val="nil"/>
              <w:left w:val="nil"/>
              <w:bottom w:val="nil"/>
              <w:right w:val="nil"/>
            </w:tcBorders>
            <w:noWrap/>
            <w:vAlign w:val="bottom"/>
            <w:hideMark/>
          </w:tcPr>
          <w:p w14:paraId="0CE253E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44.32</w:t>
            </w:r>
          </w:p>
        </w:tc>
        <w:tc>
          <w:tcPr>
            <w:tcW w:w="804" w:type="dxa"/>
            <w:tcBorders>
              <w:top w:val="nil"/>
              <w:left w:val="nil"/>
              <w:bottom w:val="nil"/>
              <w:right w:val="nil"/>
            </w:tcBorders>
            <w:noWrap/>
            <w:vAlign w:val="bottom"/>
            <w:hideMark/>
          </w:tcPr>
          <w:p w14:paraId="61BA054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43.90</w:t>
            </w:r>
          </w:p>
        </w:tc>
        <w:tc>
          <w:tcPr>
            <w:tcW w:w="963" w:type="dxa"/>
            <w:tcBorders>
              <w:top w:val="nil"/>
              <w:left w:val="nil"/>
              <w:bottom w:val="nil"/>
              <w:right w:val="nil"/>
            </w:tcBorders>
            <w:noWrap/>
            <w:vAlign w:val="bottom"/>
            <w:hideMark/>
          </w:tcPr>
          <w:p w14:paraId="3868993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31.39</w:t>
            </w:r>
          </w:p>
        </w:tc>
      </w:tr>
      <w:tr w:rsidR="00C107CE" w:rsidRPr="00071A47" w14:paraId="0B6E47CF" w14:textId="77777777" w:rsidTr="00C107CE">
        <w:trPr>
          <w:trHeight w:val="300"/>
        </w:trPr>
        <w:tc>
          <w:tcPr>
            <w:tcW w:w="720" w:type="dxa"/>
            <w:tcBorders>
              <w:top w:val="nil"/>
              <w:left w:val="nil"/>
              <w:bottom w:val="nil"/>
              <w:right w:val="nil"/>
            </w:tcBorders>
            <w:noWrap/>
            <w:vAlign w:val="bottom"/>
            <w:hideMark/>
          </w:tcPr>
          <w:p w14:paraId="54877AC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1W</w:t>
            </w:r>
          </w:p>
        </w:tc>
        <w:tc>
          <w:tcPr>
            <w:tcW w:w="804" w:type="dxa"/>
            <w:tcBorders>
              <w:top w:val="nil"/>
              <w:left w:val="nil"/>
              <w:bottom w:val="nil"/>
              <w:right w:val="nil"/>
            </w:tcBorders>
            <w:noWrap/>
            <w:vAlign w:val="bottom"/>
            <w:hideMark/>
          </w:tcPr>
          <w:p w14:paraId="6C7DD9D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18.58</w:t>
            </w:r>
          </w:p>
        </w:tc>
        <w:tc>
          <w:tcPr>
            <w:tcW w:w="804" w:type="dxa"/>
            <w:tcBorders>
              <w:top w:val="nil"/>
              <w:left w:val="nil"/>
              <w:bottom w:val="nil"/>
              <w:right w:val="nil"/>
            </w:tcBorders>
            <w:noWrap/>
            <w:vAlign w:val="bottom"/>
            <w:hideMark/>
          </w:tcPr>
          <w:p w14:paraId="331BEE9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23.25</w:t>
            </w:r>
          </w:p>
        </w:tc>
        <w:tc>
          <w:tcPr>
            <w:tcW w:w="963" w:type="dxa"/>
            <w:tcBorders>
              <w:top w:val="nil"/>
              <w:left w:val="nil"/>
              <w:bottom w:val="nil"/>
              <w:right w:val="nil"/>
            </w:tcBorders>
            <w:noWrap/>
            <w:vAlign w:val="bottom"/>
            <w:hideMark/>
          </w:tcPr>
          <w:p w14:paraId="519DFCA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25.88</w:t>
            </w:r>
          </w:p>
        </w:tc>
        <w:tc>
          <w:tcPr>
            <w:tcW w:w="804" w:type="dxa"/>
            <w:tcBorders>
              <w:top w:val="nil"/>
              <w:left w:val="nil"/>
              <w:bottom w:val="nil"/>
              <w:right w:val="nil"/>
            </w:tcBorders>
            <w:noWrap/>
            <w:vAlign w:val="bottom"/>
            <w:hideMark/>
          </w:tcPr>
          <w:p w14:paraId="34F1DFD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7.2</w:t>
            </w:r>
          </w:p>
        </w:tc>
        <w:tc>
          <w:tcPr>
            <w:tcW w:w="804" w:type="dxa"/>
            <w:tcBorders>
              <w:top w:val="nil"/>
              <w:left w:val="nil"/>
              <w:bottom w:val="nil"/>
              <w:right w:val="nil"/>
            </w:tcBorders>
            <w:noWrap/>
            <w:vAlign w:val="bottom"/>
            <w:hideMark/>
          </w:tcPr>
          <w:p w14:paraId="3E261BA5"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9.8</w:t>
            </w:r>
          </w:p>
        </w:tc>
        <w:tc>
          <w:tcPr>
            <w:tcW w:w="963" w:type="dxa"/>
            <w:tcBorders>
              <w:top w:val="nil"/>
              <w:left w:val="nil"/>
              <w:bottom w:val="nil"/>
              <w:right w:val="nil"/>
            </w:tcBorders>
            <w:noWrap/>
            <w:vAlign w:val="bottom"/>
            <w:hideMark/>
          </w:tcPr>
          <w:p w14:paraId="56FF542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17.2</w:t>
            </w:r>
          </w:p>
        </w:tc>
        <w:tc>
          <w:tcPr>
            <w:tcW w:w="804" w:type="dxa"/>
            <w:tcBorders>
              <w:top w:val="nil"/>
              <w:left w:val="nil"/>
              <w:bottom w:val="nil"/>
              <w:right w:val="nil"/>
            </w:tcBorders>
            <w:noWrap/>
            <w:vAlign w:val="bottom"/>
            <w:hideMark/>
          </w:tcPr>
          <w:p w14:paraId="1C4CDD8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4.73</w:t>
            </w:r>
          </w:p>
        </w:tc>
        <w:tc>
          <w:tcPr>
            <w:tcW w:w="804" w:type="dxa"/>
            <w:tcBorders>
              <w:top w:val="nil"/>
              <w:left w:val="nil"/>
              <w:bottom w:val="nil"/>
              <w:right w:val="nil"/>
            </w:tcBorders>
            <w:noWrap/>
            <w:vAlign w:val="bottom"/>
            <w:hideMark/>
          </w:tcPr>
          <w:p w14:paraId="4BDC1B3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5.12</w:t>
            </w:r>
          </w:p>
        </w:tc>
        <w:tc>
          <w:tcPr>
            <w:tcW w:w="963" w:type="dxa"/>
            <w:tcBorders>
              <w:top w:val="nil"/>
              <w:left w:val="nil"/>
              <w:bottom w:val="nil"/>
              <w:right w:val="nil"/>
            </w:tcBorders>
            <w:noWrap/>
            <w:vAlign w:val="bottom"/>
            <w:hideMark/>
          </w:tcPr>
          <w:p w14:paraId="560D51F7"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5.90</w:t>
            </w:r>
          </w:p>
        </w:tc>
        <w:tc>
          <w:tcPr>
            <w:tcW w:w="804" w:type="dxa"/>
            <w:tcBorders>
              <w:top w:val="nil"/>
              <w:left w:val="nil"/>
              <w:bottom w:val="nil"/>
              <w:right w:val="nil"/>
            </w:tcBorders>
            <w:noWrap/>
            <w:vAlign w:val="bottom"/>
            <w:hideMark/>
          </w:tcPr>
          <w:p w14:paraId="580E5F0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37.14</w:t>
            </w:r>
          </w:p>
        </w:tc>
        <w:tc>
          <w:tcPr>
            <w:tcW w:w="804" w:type="dxa"/>
            <w:tcBorders>
              <w:top w:val="nil"/>
              <w:left w:val="nil"/>
              <w:bottom w:val="nil"/>
              <w:right w:val="nil"/>
            </w:tcBorders>
            <w:noWrap/>
            <w:vAlign w:val="bottom"/>
            <w:hideMark/>
          </w:tcPr>
          <w:p w14:paraId="3A60516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38.51</w:t>
            </w:r>
          </w:p>
        </w:tc>
        <w:tc>
          <w:tcPr>
            <w:tcW w:w="963" w:type="dxa"/>
            <w:tcBorders>
              <w:top w:val="nil"/>
              <w:left w:val="nil"/>
              <w:bottom w:val="nil"/>
              <w:right w:val="nil"/>
            </w:tcBorders>
            <w:noWrap/>
            <w:vAlign w:val="bottom"/>
            <w:hideMark/>
          </w:tcPr>
          <w:p w14:paraId="1C1FCFA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37.94</w:t>
            </w:r>
          </w:p>
        </w:tc>
      </w:tr>
      <w:tr w:rsidR="00C107CE" w:rsidRPr="00071A47" w14:paraId="7A61A260" w14:textId="77777777" w:rsidTr="00C107CE">
        <w:trPr>
          <w:trHeight w:val="300"/>
        </w:trPr>
        <w:tc>
          <w:tcPr>
            <w:tcW w:w="720" w:type="dxa"/>
            <w:tcBorders>
              <w:top w:val="nil"/>
              <w:left w:val="nil"/>
              <w:bottom w:val="nil"/>
              <w:right w:val="nil"/>
            </w:tcBorders>
            <w:noWrap/>
            <w:vAlign w:val="bottom"/>
            <w:hideMark/>
          </w:tcPr>
          <w:p w14:paraId="20C599A2"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2W</w:t>
            </w:r>
          </w:p>
        </w:tc>
        <w:tc>
          <w:tcPr>
            <w:tcW w:w="804" w:type="dxa"/>
            <w:tcBorders>
              <w:top w:val="nil"/>
              <w:left w:val="nil"/>
              <w:bottom w:val="nil"/>
              <w:right w:val="nil"/>
            </w:tcBorders>
            <w:noWrap/>
            <w:vAlign w:val="bottom"/>
            <w:hideMark/>
          </w:tcPr>
          <w:p w14:paraId="57A38FA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21.63</w:t>
            </w:r>
          </w:p>
        </w:tc>
        <w:tc>
          <w:tcPr>
            <w:tcW w:w="804" w:type="dxa"/>
            <w:tcBorders>
              <w:top w:val="nil"/>
              <w:left w:val="nil"/>
              <w:bottom w:val="nil"/>
              <w:right w:val="nil"/>
            </w:tcBorders>
            <w:noWrap/>
            <w:vAlign w:val="bottom"/>
            <w:hideMark/>
          </w:tcPr>
          <w:p w14:paraId="38C9DAA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24.82</w:t>
            </w:r>
          </w:p>
        </w:tc>
        <w:tc>
          <w:tcPr>
            <w:tcW w:w="963" w:type="dxa"/>
            <w:tcBorders>
              <w:top w:val="nil"/>
              <w:left w:val="nil"/>
              <w:bottom w:val="nil"/>
              <w:right w:val="nil"/>
            </w:tcBorders>
            <w:noWrap/>
            <w:vAlign w:val="bottom"/>
            <w:hideMark/>
          </w:tcPr>
          <w:p w14:paraId="32D6C164"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27.18</w:t>
            </w:r>
          </w:p>
        </w:tc>
        <w:tc>
          <w:tcPr>
            <w:tcW w:w="804" w:type="dxa"/>
            <w:tcBorders>
              <w:top w:val="nil"/>
              <w:left w:val="nil"/>
              <w:bottom w:val="nil"/>
              <w:right w:val="nil"/>
            </w:tcBorders>
            <w:noWrap/>
            <w:vAlign w:val="bottom"/>
            <w:hideMark/>
          </w:tcPr>
          <w:p w14:paraId="73C5E90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8.3</w:t>
            </w:r>
          </w:p>
        </w:tc>
        <w:tc>
          <w:tcPr>
            <w:tcW w:w="804" w:type="dxa"/>
            <w:tcBorders>
              <w:top w:val="nil"/>
              <w:left w:val="nil"/>
              <w:bottom w:val="nil"/>
              <w:right w:val="nil"/>
            </w:tcBorders>
            <w:noWrap/>
            <w:vAlign w:val="bottom"/>
            <w:hideMark/>
          </w:tcPr>
          <w:p w14:paraId="0A8A7BC1"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10.0</w:t>
            </w:r>
          </w:p>
        </w:tc>
        <w:tc>
          <w:tcPr>
            <w:tcW w:w="963" w:type="dxa"/>
            <w:tcBorders>
              <w:top w:val="nil"/>
              <w:left w:val="nil"/>
              <w:bottom w:val="nil"/>
              <w:right w:val="nil"/>
            </w:tcBorders>
            <w:noWrap/>
            <w:vAlign w:val="bottom"/>
            <w:hideMark/>
          </w:tcPr>
          <w:p w14:paraId="7DBA617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13.3</w:t>
            </w:r>
          </w:p>
        </w:tc>
        <w:tc>
          <w:tcPr>
            <w:tcW w:w="804" w:type="dxa"/>
            <w:tcBorders>
              <w:top w:val="nil"/>
              <w:left w:val="nil"/>
              <w:bottom w:val="nil"/>
              <w:right w:val="nil"/>
            </w:tcBorders>
            <w:noWrap/>
            <w:vAlign w:val="bottom"/>
            <w:hideMark/>
          </w:tcPr>
          <w:p w14:paraId="723A27E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4.72</w:t>
            </w:r>
          </w:p>
        </w:tc>
        <w:tc>
          <w:tcPr>
            <w:tcW w:w="804" w:type="dxa"/>
            <w:tcBorders>
              <w:top w:val="nil"/>
              <w:left w:val="nil"/>
              <w:bottom w:val="nil"/>
              <w:right w:val="nil"/>
            </w:tcBorders>
            <w:noWrap/>
            <w:vAlign w:val="bottom"/>
            <w:hideMark/>
          </w:tcPr>
          <w:p w14:paraId="3C1AF90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5.17</w:t>
            </w:r>
          </w:p>
        </w:tc>
        <w:tc>
          <w:tcPr>
            <w:tcW w:w="963" w:type="dxa"/>
            <w:tcBorders>
              <w:top w:val="nil"/>
              <w:left w:val="nil"/>
              <w:bottom w:val="nil"/>
              <w:right w:val="nil"/>
            </w:tcBorders>
            <w:noWrap/>
            <w:vAlign w:val="bottom"/>
            <w:hideMark/>
          </w:tcPr>
          <w:p w14:paraId="71D06F7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5.57</w:t>
            </w:r>
          </w:p>
        </w:tc>
        <w:tc>
          <w:tcPr>
            <w:tcW w:w="804" w:type="dxa"/>
            <w:tcBorders>
              <w:top w:val="nil"/>
              <w:left w:val="nil"/>
              <w:bottom w:val="nil"/>
              <w:right w:val="nil"/>
            </w:tcBorders>
            <w:noWrap/>
            <w:vAlign w:val="bottom"/>
            <w:hideMark/>
          </w:tcPr>
          <w:p w14:paraId="6450ED9D"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42.80</w:t>
            </w:r>
          </w:p>
        </w:tc>
        <w:tc>
          <w:tcPr>
            <w:tcW w:w="804" w:type="dxa"/>
            <w:tcBorders>
              <w:top w:val="nil"/>
              <w:left w:val="nil"/>
              <w:bottom w:val="nil"/>
              <w:right w:val="nil"/>
            </w:tcBorders>
            <w:noWrap/>
            <w:vAlign w:val="bottom"/>
            <w:hideMark/>
          </w:tcPr>
          <w:p w14:paraId="0FB881A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43.46</w:t>
            </w:r>
          </w:p>
        </w:tc>
        <w:tc>
          <w:tcPr>
            <w:tcW w:w="963" w:type="dxa"/>
            <w:tcBorders>
              <w:top w:val="nil"/>
              <w:left w:val="nil"/>
              <w:bottom w:val="nil"/>
              <w:right w:val="nil"/>
            </w:tcBorders>
            <w:noWrap/>
            <w:vAlign w:val="bottom"/>
            <w:hideMark/>
          </w:tcPr>
          <w:p w14:paraId="34534A9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39.02</w:t>
            </w:r>
          </w:p>
        </w:tc>
      </w:tr>
      <w:tr w:rsidR="00C107CE" w:rsidRPr="00071A47" w14:paraId="48B88F7C" w14:textId="77777777" w:rsidTr="00C107CE">
        <w:trPr>
          <w:trHeight w:val="300"/>
        </w:trPr>
        <w:tc>
          <w:tcPr>
            <w:tcW w:w="720" w:type="dxa"/>
            <w:tcBorders>
              <w:top w:val="nil"/>
              <w:left w:val="nil"/>
              <w:bottom w:val="nil"/>
              <w:right w:val="nil"/>
            </w:tcBorders>
            <w:noWrap/>
            <w:vAlign w:val="bottom"/>
            <w:hideMark/>
          </w:tcPr>
          <w:p w14:paraId="0E9F3211"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3W</w:t>
            </w:r>
          </w:p>
        </w:tc>
        <w:tc>
          <w:tcPr>
            <w:tcW w:w="804" w:type="dxa"/>
            <w:tcBorders>
              <w:top w:val="nil"/>
              <w:left w:val="nil"/>
              <w:bottom w:val="nil"/>
              <w:right w:val="nil"/>
            </w:tcBorders>
            <w:noWrap/>
            <w:vAlign w:val="bottom"/>
            <w:hideMark/>
          </w:tcPr>
          <w:p w14:paraId="0C506CF4"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21.02</w:t>
            </w:r>
          </w:p>
        </w:tc>
        <w:tc>
          <w:tcPr>
            <w:tcW w:w="804" w:type="dxa"/>
            <w:tcBorders>
              <w:top w:val="nil"/>
              <w:left w:val="nil"/>
              <w:bottom w:val="nil"/>
              <w:right w:val="nil"/>
            </w:tcBorders>
            <w:noWrap/>
            <w:vAlign w:val="bottom"/>
            <w:hideMark/>
          </w:tcPr>
          <w:p w14:paraId="047077A7"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25.23</w:t>
            </w:r>
          </w:p>
        </w:tc>
        <w:tc>
          <w:tcPr>
            <w:tcW w:w="963" w:type="dxa"/>
            <w:tcBorders>
              <w:top w:val="nil"/>
              <w:left w:val="nil"/>
              <w:bottom w:val="nil"/>
              <w:right w:val="nil"/>
            </w:tcBorders>
            <w:noWrap/>
            <w:vAlign w:val="bottom"/>
            <w:hideMark/>
          </w:tcPr>
          <w:p w14:paraId="69AAFF2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27.60</w:t>
            </w:r>
          </w:p>
        </w:tc>
        <w:tc>
          <w:tcPr>
            <w:tcW w:w="804" w:type="dxa"/>
            <w:tcBorders>
              <w:top w:val="nil"/>
              <w:left w:val="nil"/>
              <w:bottom w:val="nil"/>
              <w:right w:val="nil"/>
            </w:tcBorders>
            <w:noWrap/>
            <w:vAlign w:val="bottom"/>
            <w:hideMark/>
          </w:tcPr>
          <w:p w14:paraId="600C8CC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7.0</w:t>
            </w:r>
          </w:p>
        </w:tc>
        <w:tc>
          <w:tcPr>
            <w:tcW w:w="804" w:type="dxa"/>
            <w:tcBorders>
              <w:top w:val="nil"/>
              <w:left w:val="nil"/>
              <w:bottom w:val="nil"/>
              <w:right w:val="nil"/>
            </w:tcBorders>
            <w:noWrap/>
            <w:vAlign w:val="bottom"/>
            <w:hideMark/>
          </w:tcPr>
          <w:p w14:paraId="5C81C54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9.3</w:t>
            </w:r>
          </w:p>
        </w:tc>
        <w:tc>
          <w:tcPr>
            <w:tcW w:w="963" w:type="dxa"/>
            <w:tcBorders>
              <w:top w:val="nil"/>
              <w:left w:val="nil"/>
              <w:bottom w:val="nil"/>
              <w:right w:val="nil"/>
            </w:tcBorders>
            <w:noWrap/>
            <w:vAlign w:val="bottom"/>
            <w:hideMark/>
          </w:tcPr>
          <w:p w14:paraId="7979E87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13.7</w:t>
            </w:r>
          </w:p>
        </w:tc>
        <w:tc>
          <w:tcPr>
            <w:tcW w:w="804" w:type="dxa"/>
            <w:tcBorders>
              <w:top w:val="nil"/>
              <w:left w:val="nil"/>
              <w:bottom w:val="nil"/>
              <w:right w:val="nil"/>
            </w:tcBorders>
            <w:noWrap/>
            <w:vAlign w:val="bottom"/>
            <w:hideMark/>
          </w:tcPr>
          <w:p w14:paraId="54D9105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4.25</w:t>
            </w:r>
          </w:p>
        </w:tc>
        <w:tc>
          <w:tcPr>
            <w:tcW w:w="804" w:type="dxa"/>
            <w:tcBorders>
              <w:top w:val="nil"/>
              <w:left w:val="nil"/>
              <w:bottom w:val="nil"/>
              <w:right w:val="nil"/>
            </w:tcBorders>
            <w:noWrap/>
            <w:vAlign w:val="bottom"/>
            <w:hideMark/>
          </w:tcPr>
          <w:p w14:paraId="265519CC"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4.47</w:t>
            </w:r>
          </w:p>
        </w:tc>
        <w:tc>
          <w:tcPr>
            <w:tcW w:w="963" w:type="dxa"/>
            <w:tcBorders>
              <w:top w:val="nil"/>
              <w:left w:val="nil"/>
              <w:bottom w:val="nil"/>
              <w:right w:val="nil"/>
            </w:tcBorders>
            <w:noWrap/>
            <w:vAlign w:val="bottom"/>
            <w:hideMark/>
          </w:tcPr>
          <w:p w14:paraId="29CB7D6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5.12</w:t>
            </w:r>
          </w:p>
        </w:tc>
        <w:tc>
          <w:tcPr>
            <w:tcW w:w="804" w:type="dxa"/>
            <w:tcBorders>
              <w:top w:val="nil"/>
              <w:left w:val="nil"/>
              <w:bottom w:val="nil"/>
              <w:right w:val="nil"/>
            </w:tcBorders>
            <w:noWrap/>
            <w:vAlign w:val="bottom"/>
            <w:hideMark/>
          </w:tcPr>
          <w:p w14:paraId="7E97A206"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42.77</w:t>
            </w:r>
          </w:p>
        </w:tc>
        <w:tc>
          <w:tcPr>
            <w:tcW w:w="804" w:type="dxa"/>
            <w:tcBorders>
              <w:top w:val="nil"/>
              <w:left w:val="nil"/>
              <w:bottom w:val="nil"/>
              <w:right w:val="nil"/>
            </w:tcBorders>
            <w:noWrap/>
            <w:vAlign w:val="bottom"/>
            <w:hideMark/>
          </w:tcPr>
          <w:p w14:paraId="1A2FC1CF"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42.70</w:t>
            </w:r>
          </w:p>
        </w:tc>
        <w:tc>
          <w:tcPr>
            <w:tcW w:w="963" w:type="dxa"/>
            <w:tcBorders>
              <w:top w:val="nil"/>
              <w:left w:val="nil"/>
              <w:bottom w:val="nil"/>
              <w:right w:val="nil"/>
            </w:tcBorders>
            <w:noWrap/>
            <w:vAlign w:val="bottom"/>
            <w:hideMark/>
          </w:tcPr>
          <w:p w14:paraId="352ADEF8"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43.56</w:t>
            </w:r>
          </w:p>
        </w:tc>
      </w:tr>
      <w:tr w:rsidR="00C107CE" w:rsidRPr="00071A47" w14:paraId="4E7C8D38" w14:textId="77777777" w:rsidTr="00C107CE">
        <w:trPr>
          <w:trHeight w:val="300"/>
        </w:trPr>
        <w:tc>
          <w:tcPr>
            <w:tcW w:w="720" w:type="dxa"/>
            <w:tcBorders>
              <w:top w:val="nil"/>
              <w:left w:val="nil"/>
              <w:bottom w:val="nil"/>
              <w:right w:val="nil"/>
            </w:tcBorders>
            <w:noWrap/>
            <w:vAlign w:val="bottom"/>
            <w:hideMark/>
          </w:tcPr>
          <w:p w14:paraId="6B655525"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4W</w:t>
            </w:r>
          </w:p>
        </w:tc>
        <w:tc>
          <w:tcPr>
            <w:tcW w:w="804" w:type="dxa"/>
            <w:tcBorders>
              <w:top w:val="nil"/>
              <w:left w:val="nil"/>
              <w:bottom w:val="nil"/>
              <w:right w:val="nil"/>
            </w:tcBorders>
            <w:noWrap/>
            <w:vAlign w:val="bottom"/>
            <w:hideMark/>
          </w:tcPr>
          <w:p w14:paraId="2980692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21.37</w:t>
            </w:r>
          </w:p>
        </w:tc>
        <w:tc>
          <w:tcPr>
            <w:tcW w:w="804" w:type="dxa"/>
            <w:tcBorders>
              <w:top w:val="nil"/>
              <w:left w:val="nil"/>
              <w:bottom w:val="nil"/>
              <w:right w:val="nil"/>
            </w:tcBorders>
            <w:noWrap/>
            <w:vAlign w:val="bottom"/>
            <w:hideMark/>
          </w:tcPr>
          <w:p w14:paraId="3E4DADB1"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26.00</w:t>
            </w:r>
          </w:p>
        </w:tc>
        <w:tc>
          <w:tcPr>
            <w:tcW w:w="963" w:type="dxa"/>
            <w:tcBorders>
              <w:top w:val="nil"/>
              <w:left w:val="nil"/>
              <w:bottom w:val="nil"/>
              <w:right w:val="nil"/>
            </w:tcBorders>
            <w:noWrap/>
            <w:vAlign w:val="bottom"/>
            <w:hideMark/>
          </w:tcPr>
          <w:p w14:paraId="450D3A9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28.97</w:t>
            </w:r>
          </w:p>
        </w:tc>
        <w:tc>
          <w:tcPr>
            <w:tcW w:w="804" w:type="dxa"/>
            <w:tcBorders>
              <w:top w:val="nil"/>
              <w:left w:val="nil"/>
              <w:bottom w:val="nil"/>
              <w:right w:val="nil"/>
            </w:tcBorders>
            <w:noWrap/>
            <w:vAlign w:val="bottom"/>
            <w:hideMark/>
          </w:tcPr>
          <w:p w14:paraId="278C894B"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6.7</w:t>
            </w:r>
          </w:p>
        </w:tc>
        <w:tc>
          <w:tcPr>
            <w:tcW w:w="804" w:type="dxa"/>
            <w:tcBorders>
              <w:top w:val="nil"/>
              <w:left w:val="nil"/>
              <w:bottom w:val="nil"/>
              <w:right w:val="nil"/>
            </w:tcBorders>
            <w:noWrap/>
            <w:vAlign w:val="bottom"/>
            <w:hideMark/>
          </w:tcPr>
          <w:p w14:paraId="557BDA10"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9.0</w:t>
            </w:r>
          </w:p>
        </w:tc>
        <w:tc>
          <w:tcPr>
            <w:tcW w:w="963" w:type="dxa"/>
            <w:tcBorders>
              <w:top w:val="nil"/>
              <w:left w:val="nil"/>
              <w:bottom w:val="nil"/>
              <w:right w:val="nil"/>
            </w:tcBorders>
            <w:noWrap/>
            <w:vAlign w:val="bottom"/>
            <w:hideMark/>
          </w:tcPr>
          <w:p w14:paraId="0B696D2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11.5</w:t>
            </w:r>
          </w:p>
        </w:tc>
        <w:tc>
          <w:tcPr>
            <w:tcW w:w="804" w:type="dxa"/>
            <w:tcBorders>
              <w:top w:val="nil"/>
              <w:left w:val="nil"/>
              <w:bottom w:val="nil"/>
              <w:right w:val="nil"/>
            </w:tcBorders>
            <w:noWrap/>
            <w:vAlign w:val="bottom"/>
            <w:hideMark/>
          </w:tcPr>
          <w:p w14:paraId="668D6D19"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4.58</w:t>
            </w:r>
          </w:p>
        </w:tc>
        <w:tc>
          <w:tcPr>
            <w:tcW w:w="804" w:type="dxa"/>
            <w:tcBorders>
              <w:top w:val="nil"/>
              <w:left w:val="nil"/>
              <w:bottom w:val="nil"/>
              <w:right w:val="nil"/>
            </w:tcBorders>
            <w:noWrap/>
            <w:vAlign w:val="bottom"/>
            <w:hideMark/>
          </w:tcPr>
          <w:p w14:paraId="5A9F428E"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5.03</w:t>
            </w:r>
          </w:p>
        </w:tc>
        <w:tc>
          <w:tcPr>
            <w:tcW w:w="963" w:type="dxa"/>
            <w:tcBorders>
              <w:top w:val="nil"/>
              <w:left w:val="nil"/>
              <w:bottom w:val="nil"/>
              <w:right w:val="nil"/>
            </w:tcBorders>
            <w:noWrap/>
            <w:vAlign w:val="bottom"/>
            <w:hideMark/>
          </w:tcPr>
          <w:p w14:paraId="2AC91FB3"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5.63</w:t>
            </w:r>
          </w:p>
        </w:tc>
        <w:tc>
          <w:tcPr>
            <w:tcW w:w="804" w:type="dxa"/>
            <w:tcBorders>
              <w:top w:val="nil"/>
              <w:left w:val="nil"/>
              <w:bottom w:val="nil"/>
              <w:right w:val="nil"/>
            </w:tcBorders>
            <w:noWrap/>
            <w:vAlign w:val="bottom"/>
            <w:hideMark/>
          </w:tcPr>
          <w:p w14:paraId="00D1CEE7"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4.01</w:t>
            </w:r>
          </w:p>
        </w:tc>
        <w:tc>
          <w:tcPr>
            <w:tcW w:w="804" w:type="dxa"/>
            <w:tcBorders>
              <w:top w:val="nil"/>
              <w:left w:val="nil"/>
              <w:bottom w:val="nil"/>
              <w:right w:val="nil"/>
            </w:tcBorders>
            <w:noWrap/>
            <w:vAlign w:val="bottom"/>
            <w:hideMark/>
          </w:tcPr>
          <w:p w14:paraId="0BFB223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40.78</w:t>
            </w:r>
          </w:p>
        </w:tc>
        <w:tc>
          <w:tcPr>
            <w:tcW w:w="963" w:type="dxa"/>
            <w:tcBorders>
              <w:top w:val="nil"/>
              <w:left w:val="nil"/>
              <w:bottom w:val="nil"/>
              <w:right w:val="nil"/>
            </w:tcBorders>
            <w:noWrap/>
            <w:vAlign w:val="bottom"/>
            <w:hideMark/>
          </w:tcPr>
          <w:p w14:paraId="3C5CC84A" w14:textId="77777777" w:rsidR="00C107CE" w:rsidRPr="00071A47" w:rsidRDefault="00C107C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45.77</w:t>
            </w:r>
          </w:p>
        </w:tc>
      </w:tr>
      <w:tr w:rsidR="00C107CE" w:rsidRPr="00071A47" w14:paraId="1F767594" w14:textId="77777777" w:rsidTr="00C107CE">
        <w:trPr>
          <w:trHeight w:val="300"/>
        </w:trPr>
        <w:tc>
          <w:tcPr>
            <w:tcW w:w="720" w:type="dxa"/>
            <w:tcBorders>
              <w:top w:val="nil"/>
              <w:left w:val="nil"/>
              <w:bottom w:val="single" w:sz="4" w:space="0" w:color="auto"/>
              <w:right w:val="nil"/>
            </w:tcBorders>
            <w:noWrap/>
            <w:vAlign w:val="bottom"/>
            <w:hideMark/>
          </w:tcPr>
          <w:p w14:paraId="1B4286B2"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LSD</w:t>
            </w:r>
          </w:p>
        </w:tc>
        <w:tc>
          <w:tcPr>
            <w:tcW w:w="804" w:type="dxa"/>
            <w:tcBorders>
              <w:top w:val="nil"/>
              <w:left w:val="nil"/>
              <w:bottom w:val="single" w:sz="4" w:space="0" w:color="auto"/>
              <w:right w:val="nil"/>
            </w:tcBorders>
            <w:noWrap/>
            <w:vAlign w:val="bottom"/>
            <w:hideMark/>
          </w:tcPr>
          <w:p w14:paraId="62361CF9" w14:textId="05C1D90E" w:rsidR="00C107CE" w:rsidRPr="00071A47" w:rsidRDefault="003925AF"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w:t>
            </w:r>
            <w:r w:rsidR="00C107CE" w:rsidRPr="00071A47">
              <w:rPr>
                <w:rFonts w:ascii="Arial" w:eastAsia="Times New Roman" w:hAnsi="Arial" w:cs="Arial"/>
                <w:b/>
                <w:bCs/>
                <w:color w:val="000000"/>
                <w:sz w:val="20"/>
                <w:szCs w:val="20"/>
              </w:rPr>
              <w:t>s</w:t>
            </w:r>
          </w:p>
        </w:tc>
        <w:tc>
          <w:tcPr>
            <w:tcW w:w="804" w:type="dxa"/>
            <w:tcBorders>
              <w:top w:val="nil"/>
              <w:left w:val="nil"/>
              <w:bottom w:val="single" w:sz="4" w:space="0" w:color="auto"/>
              <w:right w:val="nil"/>
            </w:tcBorders>
            <w:noWrap/>
            <w:vAlign w:val="bottom"/>
            <w:hideMark/>
          </w:tcPr>
          <w:p w14:paraId="51027325" w14:textId="77777777" w:rsidR="00C107CE" w:rsidRPr="00071A47" w:rsidRDefault="00AB300D"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w:t>
            </w:r>
            <w:r w:rsidR="00C107CE" w:rsidRPr="00071A47">
              <w:rPr>
                <w:rFonts w:ascii="Arial" w:eastAsia="Times New Roman" w:hAnsi="Arial" w:cs="Arial"/>
                <w:b/>
                <w:bCs/>
                <w:color w:val="000000"/>
                <w:sz w:val="20"/>
                <w:szCs w:val="20"/>
              </w:rPr>
              <w:t>s</w:t>
            </w:r>
          </w:p>
        </w:tc>
        <w:tc>
          <w:tcPr>
            <w:tcW w:w="963" w:type="dxa"/>
            <w:tcBorders>
              <w:top w:val="nil"/>
              <w:left w:val="nil"/>
              <w:bottom w:val="single" w:sz="4" w:space="0" w:color="auto"/>
              <w:right w:val="nil"/>
            </w:tcBorders>
            <w:noWrap/>
            <w:vAlign w:val="bottom"/>
            <w:hideMark/>
          </w:tcPr>
          <w:p w14:paraId="6608217D" w14:textId="77777777" w:rsidR="00C107CE" w:rsidRPr="00071A47" w:rsidRDefault="00BF093D"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w:t>
            </w:r>
            <w:r w:rsidR="00C107CE" w:rsidRPr="00071A47">
              <w:rPr>
                <w:rFonts w:ascii="Arial" w:eastAsia="Times New Roman" w:hAnsi="Arial" w:cs="Arial"/>
                <w:b/>
                <w:bCs/>
                <w:color w:val="000000"/>
                <w:sz w:val="20"/>
                <w:szCs w:val="20"/>
              </w:rPr>
              <w:t>s</w:t>
            </w:r>
          </w:p>
        </w:tc>
        <w:tc>
          <w:tcPr>
            <w:tcW w:w="804" w:type="dxa"/>
            <w:tcBorders>
              <w:top w:val="nil"/>
              <w:left w:val="nil"/>
              <w:bottom w:val="single" w:sz="4" w:space="0" w:color="auto"/>
              <w:right w:val="nil"/>
            </w:tcBorders>
            <w:noWrap/>
            <w:vAlign w:val="bottom"/>
            <w:hideMark/>
          </w:tcPr>
          <w:p w14:paraId="60F9AA7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650CE926"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963" w:type="dxa"/>
            <w:tcBorders>
              <w:top w:val="nil"/>
              <w:left w:val="nil"/>
              <w:bottom w:val="single" w:sz="4" w:space="0" w:color="auto"/>
              <w:right w:val="nil"/>
            </w:tcBorders>
            <w:noWrap/>
            <w:vAlign w:val="bottom"/>
            <w:hideMark/>
          </w:tcPr>
          <w:p w14:paraId="3B593BCF"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69584857"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7ADC3121"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963" w:type="dxa"/>
            <w:tcBorders>
              <w:top w:val="nil"/>
              <w:left w:val="nil"/>
              <w:bottom w:val="single" w:sz="4" w:space="0" w:color="auto"/>
              <w:right w:val="nil"/>
            </w:tcBorders>
            <w:noWrap/>
            <w:vAlign w:val="bottom"/>
            <w:hideMark/>
          </w:tcPr>
          <w:p w14:paraId="6C55C508"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3174C276"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04" w:type="dxa"/>
            <w:tcBorders>
              <w:top w:val="nil"/>
              <w:left w:val="nil"/>
              <w:bottom w:val="single" w:sz="4" w:space="0" w:color="auto"/>
              <w:right w:val="nil"/>
            </w:tcBorders>
            <w:noWrap/>
            <w:vAlign w:val="bottom"/>
            <w:hideMark/>
          </w:tcPr>
          <w:p w14:paraId="6754FAC3"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963" w:type="dxa"/>
            <w:tcBorders>
              <w:top w:val="nil"/>
              <w:left w:val="nil"/>
              <w:bottom w:val="single" w:sz="4" w:space="0" w:color="auto"/>
              <w:right w:val="nil"/>
            </w:tcBorders>
            <w:noWrap/>
            <w:vAlign w:val="bottom"/>
            <w:hideMark/>
          </w:tcPr>
          <w:p w14:paraId="4224F922" w14:textId="77777777" w:rsidR="00C107CE" w:rsidRPr="00071A47" w:rsidRDefault="00C107C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9.9</w:t>
            </w:r>
            <w:r w:rsidR="00BF093D" w:rsidRPr="00071A47">
              <w:rPr>
                <w:rFonts w:ascii="Arial" w:eastAsia="Times New Roman" w:hAnsi="Arial" w:cs="Arial"/>
                <w:b/>
                <w:bCs/>
                <w:color w:val="000000"/>
                <w:sz w:val="20"/>
                <w:szCs w:val="20"/>
              </w:rPr>
              <w:t>00</w:t>
            </w:r>
          </w:p>
        </w:tc>
      </w:tr>
    </w:tbl>
    <w:p w14:paraId="7A504067" w14:textId="34DF5682" w:rsidR="003925AF" w:rsidRDefault="005709B9" w:rsidP="003925AF">
      <w:pPr>
        <w:spacing w:line="240" w:lineRule="auto"/>
        <w:rPr>
          <w:rFonts w:ascii="Arial" w:hAnsi="Arial" w:cs="Arial"/>
          <w:sz w:val="20"/>
          <w:szCs w:val="20"/>
        </w:rPr>
      </w:pPr>
      <w:r w:rsidRPr="00071A47">
        <w:rPr>
          <w:rFonts w:ascii="Arial" w:hAnsi="Arial" w:cs="Arial"/>
          <w:sz w:val="20"/>
          <w:szCs w:val="20"/>
        </w:rPr>
        <w:t>Note: ns= Not significant; WAS= Weeks after sowing;</w:t>
      </w:r>
      <w:r w:rsidR="00DD4E4F" w:rsidRPr="00071A47">
        <w:rPr>
          <w:rFonts w:ascii="Arial" w:hAnsi="Arial" w:cs="Arial"/>
          <w:sz w:val="20"/>
          <w:szCs w:val="20"/>
        </w:rPr>
        <w:t xml:space="preserve"> WF= Weed-free; WC= </w:t>
      </w:r>
      <w:r w:rsidRPr="00071A47">
        <w:rPr>
          <w:rFonts w:ascii="Arial" w:hAnsi="Arial" w:cs="Arial"/>
          <w:sz w:val="20"/>
          <w:szCs w:val="20"/>
        </w:rPr>
        <w:t>Weedy check; 1W= Once in a week weeding; 2W= Once in two weeks weeding; 3W= Once in three weeks weeding; 4W= Once in 4 weeks weeding.</w:t>
      </w:r>
    </w:p>
    <w:p w14:paraId="50A6D778" w14:textId="77777777" w:rsidR="00071A47" w:rsidRPr="00071A47" w:rsidRDefault="00071A47" w:rsidP="003925AF">
      <w:pPr>
        <w:spacing w:line="240" w:lineRule="auto"/>
        <w:rPr>
          <w:rFonts w:ascii="Arial" w:hAnsi="Arial" w:cs="Arial"/>
          <w:sz w:val="20"/>
          <w:szCs w:val="20"/>
        </w:rPr>
      </w:pPr>
    </w:p>
    <w:p w14:paraId="44A01872" w14:textId="103FBCA0"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Beyond the assessment of individual growth parameters, the overall performance of seedlings under different weed management treatments was evaluated visually using a seedling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scoring scale, which provides a holistic measure of plant growth and general condition. While no significant differences were recorded among treatments for plant height, number of leaves, stem diameter</w:t>
      </w:r>
      <w:r w:rsidR="00AE4926">
        <w:rPr>
          <w:rFonts w:ascii="Arial" w:hAnsi="Arial" w:cs="Arial"/>
          <w:sz w:val="20"/>
          <w:szCs w:val="20"/>
        </w:rPr>
        <w:t xml:space="preserve"> and </w:t>
      </w:r>
      <w:r w:rsidRPr="00071A47">
        <w:rPr>
          <w:rFonts w:ascii="Arial" w:hAnsi="Arial" w:cs="Arial"/>
          <w:sz w:val="20"/>
          <w:szCs w:val="20"/>
        </w:rPr>
        <w:t xml:space="preserve">leaf area throughout the experimental period with the exception of leaf area at 12 weeks after sowing (WAS) (Table 3), visual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assessment conducted at 12 WAS prior to transplanting revealed notable treatment-related differences (Fig. 1). Using the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scoring scale adopted from </w:t>
      </w:r>
      <w:proofErr w:type="spellStart"/>
      <w:r w:rsidRPr="00071A47">
        <w:rPr>
          <w:rFonts w:ascii="Arial" w:hAnsi="Arial" w:cs="Arial"/>
          <w:sz w:val="20"/>
          <w:szCs w:val="20"/>
        </w:rPr>
        <w:t>Olasan</w:t>
      </w:r>
      <w:proofErr w:type="spellEnd"/>
      <w:r w:rsidRPr="00071A47">
        <w:rPr>
          <w:rFonts w:ascii="Arial" w:hAnsi="Arial" w:cs="Arial"/>
          <w:sz w:val="20"/>
          <w:szCs w:val="20"/>
        </w:rPr>
        <w:t xml:space="preserve"> </w:t>
      </w:r>
      <w:r w:rsidRPr="00AE4926">
        <w:rPr>
          <w:rFonts w:ascii="Arial" w:hAnsi="Arial" w:cs="Arial"/>
          <w:i/>
          <w:iCs/>
          <w:sz w:val="20"/>
          <w:szCs w:val="20"/>
        </w:rPr>
        <w:t>et al</w:t>
      </w:r>
      <w:r w:rsidRPr="00071A47">
        <w:rPr>
          <w:rFonts w:ascii="Arial" w:hAnsi="Arial" w:cs="Arial"/>
          <w:sz w:val="20"/>
          <w:szCs w:val="20"/>
        </w:rPr>
        <w:t xml:space="preserve">. (2018), the Weedy Check (WC) treatment recorded the lowest mean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score of 2.8, rated as below fair</w:t>
      </w:r>
      <w:r w:rsidR="00AE4926">
        <w:rPr>
          <w:rFonts w:ascii="Arial" w:hAnsi="Arial" w:cs="Arial"/>
          <w:sz w:val="20"/>
          <w:szCs w:val="20"/>
        </w:rPr>
        <w:t xml:space="preserve"> and </w:t>
      </w:r>
      <w:r w:rsidRPr="00071A47">
        <w:rPr>
          <w:rFonts w:ascii="Arial" w:hAnsi="Arial" w:cs="Arial"/>
          <w:sz w:val="20"/>
          <w:szCs w:val="20"/>
        </w:rPr>
        <w:t>was significantly different from all weeded treatments, namely Weed-free (WF; 4.8), once-weekly weeding (1W; 4.7), once-in-two-weeks weeding (2W; 4.8), once-in-three-weeks weeding (3W; 4.7)</w:t>
      </w:r>
      <w:r w:rsidR="00AE4926">
        <w:rPr>
          <w:rFonts w:ascii="Arial" w:hAnsi="Arial" w:cs="Arial"/>
          <w:sz w:val="20"/>
          <w:szCs w:val="20"/>
        </w:rPr>
        <w:t xml:space="preserve"> and </w:t>
      </w:r>
      <w:r w:rsidRPr="00071A47">
        <w:rPr>
          <w:rFonts w:ascii="Arial" w:hAnsi="Arial" w:cs="Arial"/>
          <w:sz w:val="20"/>
          <w:szCs w:val="20"/>
        </w:rPr>
        <w:t>once-in-four-weeks weeding (4W; 4.8), all of which approached an excellent rating.</w:t>
      </w:r>
    </w:p>
    <w:p w14:paraId="4CD6ADFF" w14:textId="7EB8C783"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These results demonstrate that sustained weed interference from sowing to the point of transplanting significantly compromised the overall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of cashew seedlings, even in instances where individual growth parameter measurements did not reflect statistically significant differences among treatments. This underscores the sensitivity of holistic visual assessment in detecting subtle but biologically meaningful </w:t>
      </w:r>
      <w:r w:rsidRPr="00071A47">
        <w:rPr>
          <w:rFonts w:ascii="Arial" w:hAnsi="Arial" w:cs="Arial"/>
          <w:sz w:val="20"/>
          <w:szCs w:val="20"/>
        </w:rPr>
        <w:lastRenderedPageBreak/>
        <w:t xml:space="preserve">treatment effects that may be overlooked by individual parameter analysis alone. Seedling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is a critical determinant of post-transplanting establishment and field survival</w:t>
      </w:r>
      <w:r w:rsidR="00AE4926">
        <w:rPr>
          <w:rFonts w:ascii="Arial" w:hAnsi="Arial" w:cs="Arial"/>
          <w:sz w:val="20"/>
          <w:szCs w:val="20"/>
        </w:rPr>
        <w:t xml:space="preserve"> and </w:t>
      </w:r>
      <w:r w:rsidRPr="00071A47">
        <w:rPr>
          <w:rFonts w:ascii="Arial" w:hAnsi="Arial" w:cs="Arial"/>
          <w:sz w:val="20"/>
          <w:szCs w:val="20"/>
        </w:rPr>
        <w:t xml:space="preserve">poor </w:t>
      </w:r>
      <w:proofErr w:type="spellStart"/>
      <w:r w:rsidRPr="00071A47">
        <w:rPr>
          <w:rFonts w:ascii="Arial" w:hAnsi="Arial" w:cs="Arial"/>
          <w:sz w:val="20"/>
          <w:szCs w:val="20"/>
        </w:rPr>
        <w:t>vigour</w:t>
      </w:r>
      <w:proofErr w:type="spellEnd"/>
      <w:r w:rsidRPr="00071A47">
        <w:rPr>
          <w:rFonts w:ascii="Arial" w:hAnsi="Arial" w:cs="Arial"/>
          <w:sz w:val="20"/>
          <w:szCs w:val="20"/>
        </w:rPr>
        <w:t xml:space="preserve"> at the nursery stage has been associated with reduced crop stand and diminished early growth performance in the field (Farooq </w:t>
      </w:r>
      <w:r w:rsidRPr="000272AF">
        <w:rPr>
          <w:rFonts w:ascii="Arial" w:hAnsi="Arial" w:cs="Arial"/>
          <w:i/>
          <w:iCs/>
          <w:sz w:val="20"/>
          <w:szCs w:val="20"/>
        </w:rPr>
        <w:t>et al</w:t>
      </w:r>
      <w:r w:rsidRPr="00071A47">
        <w:rPr>
          <w:rFonts w:ascii="Arial" w:hAnsi="Arial" w:cs="Arial"/>
          <w:sz w:val="20"/>
          <w:szCs w:val="20"/>
        </w:rPr>
        <w:t xml:space="preserve">., 2007; Sarangi </w:t>
      </w:r>
      <w:r w:rsidRPr="000272AF">
        <w:rPr>
          <w:rFonts w:ascii="Arial" w:hAnsi="Arial" w:cs="Arial"/>
          <w:i/>
          <w:iCs/>
          <w:sz w:val="20"/>
          <w:szCs w:val="20"/>
        </w:rPr>
        <w:t>et al</w:t>
      </w:r>
      <w:r w:rsidRPr="00071A47">
        <w:rPr>
          <w:rFonts w:ascii="Arial" w:hAnsi="Arial" w:cs="Arial"/>
          <w:sz w:val="20"/>
          <w:szCs w:val="20"/>
        </w:rPr>
        <w:t>., 2015). Representative photographs of WC and WF seedlings at 12 WAS are presented in Plates 1, 2</w:t>
      </w:r>
      <w:r w:rsidR="00AE4926">
        <w:rPr>
          <w:rFonts w:ascii="Arial" w:hAnsi="Arial" w:cs="Arial"/>
          <w:sz w:val="20"/>
          <w:szCs w:val="20"/>
        </w:rPr>
        <w:t xml:space="preserve"> and </w:t>
      </w:r>
      <w:r w:rsidRPr="00071A47">
        <w:rPr>
          <w:rFonts w:ascii="Arial" w:hAnsi="Arial" w:cs="Arial"/>
          <w:sz w:val="20"/>
          <w:szCs w:val="20"/>
        </w:rPr>
        <w:t>3.</w:t>
      </w:r>
    </w:p>
    <w:p w14:paraId="64762A1E" w14:textId="77777777" w:rsidR="003925AF" w:rsidRPr="00071A47" w:rsidRDefault="003925AF" w:rsidP="003925AF">
      <w:pPr>
        <w:spacing w:line="240" w:lineRule="auto"/>
        <w:rPr>
          <w:rFonts w:ascii="Arial" w:hAnsi="Arial" w:cs="Arial"/>
          <w:sz w:val="20"/>
          <w:szCs w:val="20"/>
        </w:rPr>
      </w:pPr>
    </w:p>
    <w:p w14:paraId="02C4CB8E" w14:textId="10FAA062" w:rsidR="00E8260C" w:rsidRDefault="00E63A73" w:rsidP="003925AF">
      <w:pPr>
        <w:spacing w:line="240" w:lineRule="auto"/>
        <w:jc w:val="center"/>
        <w:rPr>
          <w:rFonts w:ascii="Arial" w:hAnsi="Arial" w:cs="Arial"/>
          <w:sz w:val="20"/>
          <w:szCs w:val="20"/>
        </w:rPr>
      </w:pPr>
      <w:r w:rsidRPr="00071A47">
        <w:rPr>
          <w:rFonts w:ascii="Arial" w:hAnsi="Arial" w:cs="Arial"/>
          <w:noProof/>
          <w:sz w:val="20"/>
          <w:szCs w:val="20"/>
        </w:rPr>
        <w:drawing>
          <wp:inline distT="0" distB="0" distL="0" distR="0" wp14:anchorId="153FD8F0" wp14:editId="26B40969">
            <wp:extent cx="2775005" cy="2256818"/>
            <wp:effectExtent l="0" t="0" r="635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B84B041" w14:textId="40C3C33F" w:rsidR="00071A47" w:rsidRDefault="00071A47" w:rsidP="00071A47">
      <w:pPr>
        <w:spacing w:after="0" w:line="240" w:lineRule="auto"/>
        <w:jc w:val="center"/>
        <w:rPr>
          <w:rFonts w:ascii="Arial" w:hAnsi="Arial" w:cs="Arial"/>
          <w:b/>
          <w:sz w:val="20"/>
          <w:szCs w:val="20"/>
        </w:rPr>
      </w:pPr>
      <w:r w:rsidRPr="00071A47">
        <w:rPr>
          <w:rFonts w:ascii="Arial" w:hAnsi="Arial" w:cs="Arial"/>
          <w:b/>
          <w:sz w:val="20"/>
          <w:szCs w:val="20"/>
        </w:rPr>
        <w:t xml:space="preserve">Fig 1. Cashew seedling </w:t>
      </w:r>
      <w:proofErr w:type="spellStart"/>
      <w:r w:rsidRPr="00071A47">
        <w:rPr>
          <w:rFonts w:ascii="Arial" w:hAnsi="Arial" w:cs="Arial"/>
          <w:b/>
          <w:sz w:val="20"/>
          <w:szCs w:val="20"/>
        </w:rPr>
        <w:t>vigour</w:t>
      </w:r>
      <w:proofErr w:type="spellEnd"/>
      <w:r w:rsidRPr="00071A47">
        <w:rPr>
          <w:rFonts w:ascii="Arial" w:hAnsi="Arial" w:cs="Arial"/>
          <w:b/>
          <w:sz w:val="20"/>
          <w:szCs w:val="20"/>
        </w:rPr>
        <w:t xml:space="preserve"> per treatment at 12 weeks after sowing.</w:t>
      </w:r>
    </w:p>
    <w:p w14:paraId="61EE8C36" w14:textId="77777777" w:rsidR="001A1B8C" w:rsidRPr="00071A47" w:rsidRDefault="001A1B8C" w:rsidP="00071A47">
      <w:pPr>
        <w:spacing w:after="0" w:line="240" w:lineRule="auto"/>
        <w:jc w:val="center"/>
        <w:rPr>
          <w:rFonts w:ascii="Arial" w:hAnsi="Arial" w:cs="Arial"/>
          <w:b/>
          <w:sz w:val="20"/>
          <w:szCs w:val="20"/>
        </w:rPr>
      </w:pPr>
    </w:p>
    <w:p w14:paraId="52C1A767" w14:textId="77777777" w:rsidR="00E8260C" w:rsidRPr="00071A47" w:rsidRDefault="00E8260C" w:rsidP="00071A47">
      <w:pPr>
        <w:spacing w:after="0" w:line="240" w:lineRule="auto"/>
        <w:rPr>
          <w:rFonts w:ascii="Arial" w:hAnsi="Arial" w:cs="Arial"/>
          <w:sz w:val="20"/>
          <w:szCs w:val="20"/>
        </w:rPr>
      </w:pPr>
      <w:r w:rsidRPr="00071A47">
        <w:rPr>
          <w:rFonts w:ascii="Arial" w:hAnsi="Arial" w:cs="Arial"/>
          <w:sz w:val="20"/>
          <w:szCs w:val="20"/>
        </w:rPr>
        <w:t xml:space="preserve">Note: WF= Weed-free; WC= Weedy check; 1W= Once in a week weeding; 2W= Once in two weeks weeding; 3W= Once in three weeks weeding; 4W= Once in 4 weeks weeding. </w:t>
      </w:r>
      <w:r w:rsidR="00E86E02" w:rsidRPr="00071A47">
        <w:rPr>
          <w:rFonts w:ascii="Arial" w:hAnsi="Arial" w:cs="Arial"/>
          <w:sz w:val="20"/>
          <w:szCs w:val="20"/>
        </w:rPr>
        <w:t>Treatment(s) with the same letter are not significantly different.</w:t>
      </w:r>
    </w:p>
    <w:p w14:paraId="6A4009B0" w14:textId="46E1D6E0" w:rsidR="00C03336" w:rsidRPr="00071A47" w:rsidRDefault="00EF4213" w:rsidP="003925AF">
      <w:pPr>
        <w:spacing w:line="240" w:lineRule="auto"/>
        <w:rPr>
          <w:rFonts w:ascii="Arial" w:hAnsi="Arial" w:cs="Arial"/>
          <w:b/>
          <w:sz w:val="20"/>
          <w:szCs w:val="20"/>
        </w:rPr>
      </w:pP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r w:rsidRPr="00071A47">
        <w:rPr>
          <w:rFonts w:ascii="Arial" w:hAnsi="Arial" w:cs="Arial"/>
          <w:sz w:val="20"/>
          <w:szCs w:val="20"/>
        </w:rPr>
        <w:tab/>
      </w:r>
    </w:p>
    <w:p w14:paraId="35C08BAA" w14:textId="77777777" w:rsidR="00350A87" w:rsidRPr="00071A47" w:rsidRDefault="00350A87" w:rsidP="003925AF">
      <w:pPr>
        <w:spacing w:line="240" w:lineRule="auto"/>
        <w:jc w:val="both"/>
        <w:rPr>
          <w:rFonts w:ascii="Arial" w:hAnsi="Arial" w:cs="Arial"/>
          <w:sz w:val="20"/>
          <w:szCs w:val="20"/>
        </w:rPr>
      </w:pPr>
    </w:p>
    <w:p w14:paraId="36BAD3B9" w14:textId="6DDE9CD8" w:rsidR="00350A87" w:rsidRPr="00071A47" w:rsidRDefault="000571D9" w:rsidP="003925AF">
      <w:pPr>
        <w:spacing w:line="240" w:lineRule="auto"/>
        <w:jc w:val="both"/>
        <w:rPr>
          <w:rFonts w:ascii="Arial" w:hAnsi="Arial" w:cs="Arial"/>
          <w:sz w:val="20"/>
          <w:szCs w:val="20"/>
        </w:rPr>
      </w:pPr>
      <w:r>
        <w:rPr>
          <w:rFonts w:ascii="Arial" w:hAnsi="Arial" w:cs="Arial"/>
          <w:sz w:val="20"/>
          <w:szCs w:val="20"/>
        </w:rPr>
        <w:pict w14:anchorId="307D3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91pt">
            <v:imagedata r:id="rId8" o:title="IMG_20230622_183315-removebg-preview" cropbottom="6291f"/>
          </v:shape>
        </w:pict>
      </w:r>
    </w:p>
    <w:p w14:paraId="38592751" w14:textId="32F56EFF" w:rsidR="00350A87" w:rsidRPr="00071A47" w:rsidRDefault="00350A87" w:rsidP="003925AF">
      <w:pPr>
        <w:spacing w:line="240" w:lineRule="auto"/>
        <w:jc w:val="both"/>
        <w:rPr>
          <w:rFonts w:ascii="Arial" w:hAnsi="Arial" w:cs="Arial"/>
          <w:b/>
          <w:sz w:val="20"/>
          <w:szCs w:val="20"/>
        </w:rPr>
      </w:pPr>
      <w:r w:rsidRPr="00071A47">
        <w:rPr>
          <w:rFonts w:ascii="Arial" w:hAnsi="Arial" w:cs="Arial"/>
          <w:b/>
          <w:sz w:val="20"/>
          <w:szCs w:val="20"/>
        </w:rPr>
        <w:t>Plate 1</w:t>
      </w:r>
      <w:r w:rsidR="00071A47">
        <w:rPr>
          <w:rFonts w:ascii="Arial" w:hAnsi="Arial" w:cs="Arial"/>
          <w:b/>
          <w:sz w:val="20"/>
          <w:szCs w:val="20"/>
        </w:rPr>
        <w:t>.</w:t>
      </w:r>
      <w:r w:rsidRPr="00071A47">
        <w:rPr>
          <w:rFonts w:ascii="Arial" w:hAnsi="Arial" w:cs="Arial"/>
          <w:b/>
          <w:sz w:val="20"/>
          <w:szCs w:val="20"/>
        </w:rPr>
        <w:t xml:space="preserve"> </w:t>
      </w:r>
      <w:proofErr w:type="spellStart"/>
      <w:r w:rsidRPr="00071A47">
        <w:rPr>
          <w:rFonts w:ascii="Arial" w:hAnsi="Arial" w:cs="Arial"/>
          <w:b/>
          <w:sz w:val="20"/>
          <w:szCs w:val="20"/>
        </w:rPr>
        <w:t>Unweeded</w:t>
      </w:r>
      <w:proofErr w:type="spellEnd"/>
      <w:r w:rsidRPr="00071A47">
        <w:rPr>
          <w:rFonts w:ascii="Arial" w:hAnsi="Arial" w:cs="Arial"/>
          <w:b/>
          <w:sz w:val="20"/>
          <w:szCs w:val="20"/>
        </w:rPr>
        <w:t xml:space="preserve"> cashew seedlings overgrown with weeds at 12 weeks after sowing in the nursery.</w:t>
      </w:r>
    </w:p>
    <w:p w14:paraId="4F46105D" w14:textId="77777777" w:rsidR="00350A87" w:rsidRPr="00071A47" w:rsidRDefault="00350A87" w:rsidP="003925AF">
      <w:pPr>
        <w:spacing w:line="240" w:lineRule="auto"/>
        <w:jc w:val="both"/>
        <w:rPr>
          <w:rFonts w:ascii="Arial" w:hAnsi="Arial" w:cs="Arial"/>
          <w:sz w:val="20"/>
          <w:szCs w:val="20"/>
        </w:rPr>
      </w:pPr>
    </w:p>
    <w:p w14:paraId="4DEE93A1" w14:textId="7999490A" w:rsidR="00350A87" w:rsidRPr="00071A47" w:rsidRDefault="000571D9" w:rsidP="003925AF">
      <w:pPr>
        <w:spacing w:line="240" w:lineRule="auto"/>
        <w:jc w:val="both"/>
        <w:rPr>
          <w:rFonts w:ascii="Arial" w:hAnsi="Arial" w:cs="Arial"/>
          <w:sz w:val="20"/>
          <w:szCs w:val="20"/>
        </w:rPr>
      </w:pPr>
      <w:r>
        <w:rPr>
          <w:rFonts w:ascii="Arial" w:hAnsi="Arial" w:cs="Arial"/>
          <w:sz w:val="20"/>
          <w:szCs w:val="20"/>
        </w:rPr>
        <w:lastRenderedPageBreak/>
        <w:pict w14:anchorId="4DB4B287">
          <v:shape id="_x0000_i1026" type="#_x0000_t75" style="width:146pt;height:194.5pt">
            <v:imagedata r:id="rId9" o:title="IMG_20230622_183527_1-removebg-preview"/>
          </v:shape>
        </w:pict>
      </w:r>
    </w:p>
    <w:p w14:paraId="54A26B24" w14:textId="3250AE7E" w:rsidR="00350A87" w:rsidRPr="00071A47" w:rsidRDefault="00350A87" w:rsidP="003925AF">
      <w:pPr>
        <w:spacing w:line="240" w:lineRule="auto"/>
        <w:jc w:val="both"/>
        <w:rPr>
          <w:rFonts w:ascii="Arial" w:hAnsi="Arial" w:cs="Arial"/>
          <w:b/>
          <w:bCs/>
          <w:sz w:val="20"/>
          <w:szCs w:val="20"/>
        </w:rPr>
      </w:pPr>
      <w:r w:rsidRPr="00071A47">
        <w:rPr>
          <w:rFonts w:ascii="Arial" w:hAnsi="Arial" w:cs="Arial"/>
          <w:b/>
          <w:bCs/>
          <w:sz w:val="20"/>
          <w:szCs w:val="20"/>
        </w:rPr>
        <w:t>Plate 2</w:t>
      </w:r>
      <w:r w:rsidR="00071A47">
        <w:rPr>
          <w:rFonts w:ascii="Arial" w:hAnsi="Arial" w:cs="Arial"/>
          <w:b/>
          <w:bCs/>
          <w:sz w:val="20"/>
          <w:szCs w:val="20"/>
        </w:rPr>
        <w:t>.</w:t>
      </w:r>
      <w:r w:rsidRPr="00071A47">
        <w:rPr>
          <w:rFonts w:ascii="Arial" w:hAnsi="Arial" w:cs="Arial"/>
          <w:b/>
          <w:bCs/>
          <w:sz w:val="20"/>
          <w:szCs w:val="20"/>
        </w:rPr>
        <w:t xml:space="preserve"> Healthy weed</w:t>
      </w:r>
      <w:r w:rsidR="00DF1ADF" w:rsidRPr="00071A47">
        <w:rPr>
          <w:rFonts w:ascii="Arial" w:hAnsi="Arial" w:cs="Arial"/>
          <w:b/>
          <w:bCs/>
          <w:sz w:val="20"/>
          <w:szCs w:val="20"/>
        </w:rPr>
        <w:t>-</w:t>
      </w:r>
      <w:r w:rsidRPr="00071A47">
        <w:rPr>
          <w:rFonts w:ascii="Arial" w:hAnsi="Arial" w:cs="Arial"/>
          <w:b/>
          <w:bCs/>
          <w:sz w:val="20"/>
          <w:szCs w:val="20"/>
        </w:rPr>
        <w:t>free cashew seedlings at 12 weeks after sowing in the nursery</w:t>
      </w:r>
    </w:p>
    <w:p w14:paraId="75F5343E" w14:textId="24F59FAB" w:rsidR="00350A87" w:rsidRPr="00071A47" w:rsidRDefault="000571D9" w:rsidP="003925AF">
      <w:pPr>
        <w:spacing w:line="240" w:lineRule="auto"/>
        <w:jc w:val="both"/>
        <w:rPr>
          <w:rFonts w:ascii="Arial" w:hAnsi="Arial" w:cs="Arial"/>
          <w:sz w:val="20"/>
          <w:szCs w:val="20"/>
        </w:rPr>
      </w:pPr>
      <w:r>
        <w:rPr>
          <w:rFonts w:ascii="Arial" w:hAnsi="Arial" w:cs="Arial"/>
          <w:sz w:val="20"/>
          <w:szCs w:val="20"/>
        </w:rPr>
        <w:pict w14:anchorId="2831C9F9">
          <v:shape id="_x0000_i1027" type="#_x0000_t75" style="width:171pt;height:204pt">
            <v:imagedata r:id="rId10" o:title="IMG_20230622_183434_1-removebg-preview" croptop="6913f"/>
          </v:shape>
        </w:pict>
      </w:r>
    </w:p>
    <w:p w14:paraId="5AE22B81" w14:textId="27CC38A8" w:rsidR="004C6F53" w:rsidRPr="00071A47" w:rsidRDefault="004C6F53" w:rsidP="003925AF">
      <w:pPr>
        <w:spacing w:line="240" w:lineRule="auto"/>
        <w:jc w:val="both"/>
        <w:rPr>
          <w:rFonts w:ascii="Arial" w:hAnsi="Arial" w:cs="Arial"/>
          <w:b/>
          <w:sz w:val="20"/>
          <w:szCs w:val="20"/>
        </w:rPr>
      </w:pPr>
      <w:r w:rsidRPr="00071A47">
        <w:rPr>
          <w:rFonts w:ascii="Arial" w:hAnsi="Arial" w:cs="Arial"/>
          <w:b/>
          <w:sz w:val="20"/>
          <w:szCs w:val="20"/>
        </w:rPr>
        <w:t>Plate 3</w:t>
      </w:r>
      <w:r w:rsidR="00071A47" w:rsidRPr="00071A47">
        <w:rPr>
          <w:rFonts w:ascii="Arial" w:hAnsi="Arial" w:cs="Arial"/>
          <w:b/>
          <w:sz w:val="20"/>
          <w:szCs w:val="20"/>
        </w:rPr>
        <w:t>.</w:t>
      </w:r>
      <w:r w:rsidRPr="00071A47">
        <w:rPr>
          <w:rFonts w:ascii="Arial" w:hAnsi="Arial" w:cs="Arial"/>
          <w:b/>
          <w:sz w:val="20"/>
          <w:szCs w:val="20"/>
        </w:rPr>
        <w:t xml:space="preserve"> Healthy weed</w:t>
      </w:r>
      <w:r w:rsidR="00DF1ADF" w:rsidRPr="00071A47">
        <w:rPr>
          <w:rFonts w:ascii="Arial" w:hAnsi="Arial" w:cs="Arial"/>
          <w:b/>
          <w:sz w:val="20"/>
          <w:szCs w:val="20"/>
        </w:rPr>
        <w:t>-</w:t>
      </w:r>
      <w:r w:rsidRPr="00071A47">
        <w:rPr>
          <w:rFonts w:ascii="Arial" w:hAnsi="Arial" w:cs="Arial"/>
          <w:b/>
          <w:sz w:val="20"/>
          <w:szCs w:val="20"/>
        </w:rPr>
        <w:t xml:space="preserve">free cashew seedling (A) and </w:t>
      </w:r>
      <w:proofErr w:type="spellStart"/>
      <w:r w:rsidRPr="00071A47">
        <w:rPr>
          <w:rFonts w:ascii="Arial" w:hAnsi="Arial" w:cs="Arial"/>
          <w:b/>
          <w:sz w:val="20"/>
          <w:szCs w:val="20"/>
        </w:rPr>
        <w:t>unweeded</w:t>
      </w:r>
      <w:proofErr w:type="spellEnd"/>
      <w:r w:rsidRPr="00071A47">
        <w:rPr>
          <w:rFonts w:ascii="Arial" w:hAnsi="Arial" w:cs="Arial"/>
          <w:b/>
          <w:sz w:val="20"/>
          <w:szCs w:val="20"/>
        </w:rPr>
        <w:t xml:space="preserve"> cashew see</w:t>
      </w:r>
      <w:r w:rsidR="00036415" w:rsidRPr="00071A47">
        <w:rPr>
          <w:rFonts w:ascii="Arial" w:hAnsi="Arial" w:cs="Arial"/>
          <w:b/>
          <w:sz w:val="20"/>
          <w:szCs w:val="20"/>
        </w:rPr>
        <w:t>dling at 12 weeks after sowing</w:t>
      </w:r>
      <w:r w:rsidRPr="00071A47">
        <w:rPr>
          <w:rFonts w:ascii="Arial" w:hAnsi="Arial" w:cs="Arial"/>
          <w:b/>
          <w:sz w:val="20"/>
          <w:szCs w:val="20"/>
        </w:rPr>
        <w:t xml:space="preserve"> (B).</w:t>
      </w:r>
    </w:p>
    <w:p w14:paraId="31ABCCCE" w14:textId="77777777" w:rsidR="00036415" w:rsidRPr="00071A47" w:rsidRDefault="00036415" w:rsidP="003925AF">
      <w:pPr>
        <w:spacing w:line="240" w:lineRule="auto"/>
        <w:jc w:val="both"/>
        <w:rPr>
          <w:rFonts w:ascii="Arial" w:hAnsi="Arial" w:cs="Arial"/>
          <w:sz w:val="20"/>
          <w:szCs w:val="20"/>
        </w:rPr>
      </w:pPr>
    </w:p>
    <w:p w14:paraId="7494971B" w14:textId="52DE21C7"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At 12 WAS, seedlings were carefully uprooted and separated into shoot and root fractions for destructive sampling and biomass assessment. The results of the measured destructive parameters are presented in Table 4. The Weedy Check (WC) treatment recorded the lowest values across all measured parameters, including tap root length (TRL; 14.6 cm), fresh shoot weight (FSW; 6.14 g), dry shoot weight (DSW; 1.92 g), fresh root weight (FRW; 1.43 g)</w:t>
      </w:r>
      <w:r w:rsidR="00AE4926">
        <w:rPr>
          <w:rFonts w:ascii="Arial" w:hAnsi="Arial" w:cs="Arial"/>
          <w:sz w:val="20"/>
          <w:szCs w:val="20"/>
        </w:rPr>
        <w:t xml:space="preserve"> and </w:t>
      </w:r>
      <w:r w:rsidRPr="00071A47">
        <w:rPr>
          <w:rFonts w:ascii="Arial" w:hAnsi="Arial" w:cs="Arial"/>
          <w:sz w:val="20"/>
          <w:szCs w:val="20"/>
        </w:rPr>
        <w:t>dry root weight (DRW; 0.59 g). However, no significant differences were observed between WC and the other treatments for most parameters, with the exception of TRL, where the once-in-two-weeks weeding treatment (2W; 18.2 cm) recorded a significantly greater tap root length than WC (14.6 cm). No significant differences were observed among WF, 1W, 2W, 3W</w:t>
      </w:r>
      <w:r w:rsidR="00AE4926">
        <w:rPr>
          <w:rFonts w:ascii="Arial" w:hAnsi="Arial" w:cs="Arial"/>
          <w:sz w:val="20"/>
          <w:szCs w:val="20"/>
        </w:rPr>
        <w:t xml:space="preserve"> and </w:t>
      </w:r>
      <w:r w:rsidRPr="00071A47">
        <w:rPr>
          <w:rFonts w:ascii="Arial" w:hAnsi="Arial" w:cs="Arial"/>
          <w:sz w:val="20"/>
          <w:szCs w:val="20"/>
        </w:rPr>
        <w:t>4W for any of the shoot or root destructive parameters assessed.</w:t>
      </w:r>
    </w:p>
    <w:p w14:paraId="0375D568" w14:textId="78BCF6AE"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Of additional note, WC produced the most fibrous root system among all treatments, although the difference was not statistically significant. This observation may be attributed to the response of cashew seedlings to sustained nutrient competition imposed by the co-existing weed community. Increased fibrous root proliferation under competitive conditions is a </w:t>
      </w:r>
      <w:r w:rsidR="003B0A81" w:rsidRPr="00071A47">
        <w:rPr>
          <w:rFonts w:ascii="Arial" w:hAnsi="Arial" w:cs="Arial"/>
          <w:sz w:val="20"/>
          <w:szCs w:val="20"/>
        </w:rPr>
        <w:t>recognized</w:t>
      </w:r>
      <w:r w:rsidRPr="00071A47">
        <w:rPr>
          <w:rFonts w:ascii="Arial" w:hAnsi="Arial" w:cs="Arial"/>
          <w:sz w:val="20"/>
          <w:szCs w:val="20"/>
        </w:rPr>
        <w:t xml:space="preserve"> plant adaptation strategy, as competition for </w:t>
      </w:r>
      <w:r w:rsidRPr="00071A47">
        <w:rPr>
          <w:rFonts w:ascii="Arial" w:hAnsi="Arial" w:cs="Arial"/>
          <w:sz w:val="20"/>
          <w:szCs w:val="20"/>
        </w:rPr>
        <w:lastRenderedPageBreak/>
        <w:t xml:space="preserve">limited soil nutrients has been shown to stimulate lateral and fibrous root development as plants seek to expand their nutrient acquisition capacity (Brassard </w:t>
      </w:r>
      <w:r w:rsidRPr="00071A47">
        <w:rPr>
          <w:rFonts w:ascii="Arial" w:hAnsi="Arial" w:cs="Arial"/>
          <w:i/>
          <w:iCs/>
          <w:sz w:val="20"/>
          <w:szCs w:val="20"/>
        </w:rPr>
        <w:t>et al</w:t>
      </w:r>
      <w:r w:rsidRPr="00071A47">
        <w:rPr>
          <w:rFonts w:ascii="Arial" w:hAnsi="Arial" w:cs="Arial"/>
          <w:sz w:val="20"/>
          <w:szCs w:val="20"/>
        </w:rPr>
        <w:t xml:space="preserve">., 2009). Furthermore, prolonged physiological stress resulting from resource competition has also been implicated in altered root architecture and biomass partitioning (Franco </w:t>
      </w:r>
      <w:r w:rsidRPr="00071A47">
        <w:rPr>
          <w:rFonts w:ascii="Arial" w:hAnsi="Arial" w:cs="Arial"/>
          <w:i/>
          <w:iCs/>
          <w:sz w:val="20"/>
          <w:szCs w:val="20"/>
        </w:rPr>
        <w:t>et a</w:t>
      </w:r>
      <w:r w:rsidRPr="00071A47">
        <w:rPr>
          <w:rFonts w:ascii="Arial" w:hAnsi="Arial" w:cs="Arial"/>
          <w:sz w:val="20"/>
          <w:szCs w:val="20"/>
        </w:rPr>
        <w:t xml:space="preserve">l., 2011). Collectively, these findings confirm that extended periods of uncontrolled weed interference can significantly impair the root and shoot development of cashew seedlings, with implications for transplanting success and early field establishment (Hakim </w:t>
      </w:r>
      <w:r w:rsidRPr="00071A47">
        <w:rPr>
          <w:rFonts w:ascii="Arial" w:hAnsi="Arial" w:cs="Arial"/>
          <w:i/>
          <w:iCs/>
          <w:sz w:val="20"/>
          <w:szCs w:val="20"/>
        </w:rPr>
        <w:t>et al</w:t>
      </w:r>
      <w:r w:rsidRPr="00071A47">
        <w:rPr>
          <w:rFonts w:ascii="Arial" w:hAnsi="Arial" w:cs="Arial"/>
          <w:sz w:val="20"/>
          <w:szCs w:val="20"/>
        </w:rPr>
        <w:t>., 2013).</w:t>
      </w:r>
    </w:p>
    <w:p w14:paraId="6A0BDD79" w14:textId="77777777" w:rsidR="003925AF" w:rsidRPr="00071A47" w:rsidRDefault="003925AF" w:rsidP="003925AF">
      <w:pPr>
        <w:spacing w:line="240" w:lineRule="auto"/>
        <w:jc w:val="both"/>
        <w:rPr>
          <w:rFonts w:ascii="Arial" w:hAnsi="Arial" w:cs="Arial"/>
          <w:sz w:val="20"/>
          <w:szCs w:val="20"/>
        </w:rPr>
      </w:pPr>
    </w:p>
    <w:p w14:paraId="7E95FC83" w14:textId="24BE8360" w:rsidR="00C107CE" w:rsidRPr="00071A47" w:rsidRDefault="008C1136" w:rsidP="003925AF">
      <w:pPr>
        <w:spacing w:line="240" w:lineRule="auto"/>
        <w:rPr>
          <w:rFonts w:ascii="Arial" w:hAnsi="Arial" w:cs="Arial"/>
          <w:b/>
          <w:sz w:val="20"/>
          <w:szCs w:val="20"/>
        </w:rPr>
      </w:pPr>
      <w:r w:rsidRPr="00071A47">
        <w:rPr>
          <w:rFonts w:ascii="Arial" w:hAnsi="Arial" w:cs="Arial"/>
          <w:b/>
          <w:sz w:val="20"/>
          <w:szCs w:val="20"/>
        </w:rPr>
        <w:t>Table 4</w:t>
      </w:r>
      <w:r w:rsidR="00071A47" w:rsidRPr="00071A47">
        <w:rPr>
          <w:rFonts w:ascii="Arial" w:hAnsi="Arial" w:cs="Arial"/>
          <w:b/>
          <w:sz w:val="20"/>
          <w:szCs w:val="20"/>
        </w:rPr>
        <w:t xml:space="preserve">. </w:t>
      </w:r>
      <w:r w:rsidR="00E47B2B" w:rsidRPr="00071A47">
        <w:rPr>
          <w:rFonts w:ascii="Arial" w:hAnsi="Arial" w:cs="Arial"/>
          <w:b/>
          <w:sz w:val="20"/>
          <w:szCs w:val="20"/>
        </w:rPr>
        <w:t>Cashew seedling destructive sampling at 12 weeks after sowing.</w:t>
      </w:r>
      <w:r w:rsidR="00C107CE" w:rsidRPr="00071A47">
        <w:rPr>
          <w:rFonts w:ascii="Arial" w:hAnsi="Arial" w:cs="Arial"/>
          <w:b/>
          <w:sz w:val="20"/>
          <w:szCs w:val="20"/>
        </w:rPr>
        <w:t xml:space="preserve"> </w:t>
      </w:r>
    </w:p>
    <w:tbl>
      <w:tblPr>
        <w:tblW w:w="6857" w:type="dxa"/>
        <w:tblLook w:val="04A0" w:firstRow="1" w:lastRow="0" w:firstColumn="1" w:lastColumn="0" w:noHBand="0" w:noVBand="1"/>
      </w:tblPr>
      <w:tblGrid>
        <w:gridCol w:w="960"/>
        <w:gridCol w:w="601"/>
        <w:gridCol w:w="896"/>
        <w:gridCol w:w="1048"/>
        <w:gridCol w:w="1116"/>
        <w:gridCol w:w="1085"/>
        <w:gridCol w:w="1151"/>
      </w:tblGrid>
      <w:tr w:rsidR="00775DE9" w:rsidRPr="00071A47" w14:paraId="240671C5" w14:textId="77777777" w:rsidTr="00775DE9">
        <w:trPr>
          <w:trHeight w:val="300"/>
        </w:trPr>
        <w:tc>
          <w:tcPr>
            <w:tcW w:w="960" w:type="dxa"/>
            <w:vMerge w:val="restart"/>
            <w:tcBorders>
              <w:top w:val="single" w:sz="4" w:space="0" w:color="auto"/>
              <w:left w:val="nil"/>
              <w:bottom w:val="single" w:sz="4" w:space="0" w:color="000000"/>
              <w:right w:val="nil"/>
            </w:tcBorders>
            <w:noWrap/>
            <w:vAlign w:val="center"/>
            <w:hideMark/>
          </w:tcPr>
          <w:p w14:paraId="5B051DAE" w14:textId="77777777" w:rsidR="00775DE9" w:rsidRPr="00071A47" w:rsidRDefault="00775DE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Treat</w:t>
            </w:r>
          </w:p>
        </w:tc>
        <w:tc>
          <w:tcPr>
            <w:tcW w:w="5897" w:type="dxa"/>
            <w:gridSpan w:val="6"/>
            <w:tcBorders>
              <w:top w:val="single" w:sz="4" w:space="0" w:color="auto"/>
              <w:left w:val="nil"/>
              <w:bottom w:val="nil"/>
            </w:tcBorders>
            <w:noWrap/>
            <w:vAlign w:val="bottom"/>
            <w:hideMark/>
          </w:tcPr>
          <w:p w14:paraId="6E509238" w14:textId="77777777" w:rsidR="00775DE9" w:rsidRPr="00071A47" w:rsidRDefault="00775DE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Destructive Sampling</w:t>
            </w:r>
          </w:p>
        </w:tc>
      </w:tr>
      <w:tr w:rsidR="000E28BE" w:rsidRPr="00071A47" w14:paraId="35B13E12" w14:textId="77777777" w:rsidTr="00775DE9">
        <w:trPr>
          <w:trHeight w:val="300"/>
        </w:trPr>
        <w:tc>
          <w:tcPr>
            <w:tcW w:w="960" w:type="dxa"/>
            <w:vMerge/>
            <w:tcBorders>
              <w:top w:val="single" w:sz="4" w:space="0" w:color="000000"/>
              <w:left w:val="nil"/>
              <w:bottom w:val="single" w:sz="4" w:space="0" w:color="000000"/>
              <w:right w:val="nil"/>
            </w:tcBorders>
            <w:vAlign w:val="center"/>
            <w:hideMark/>
          </w:tcPr>
          <w:p w14:paraId="26475D1F" w14:textId="77777777" w:rsidR="000E28BE" w:rsidRPr="00071A47" w:rsidRDefault="000E28BE" w:rsidP="003925AF">
            <w:pPr>
              <w:spacing w:after="0" w:line="240" w:lineRule="auto"/>
              <w:rPr>
                <w:rFonts w:ascii="Arial" w:eastAsia="Times New Roman" w:hAnsi="Arial" w:cs="Arial"/>
                <w:b/>
                <w:bCs/>
                <w:color w:val="000000"/>
                <w:sz w:val="20"/>
                <w:szCs w:val="20"/>
              </w:rPr>
            </w:pPr>
          </w:p>
        </w:tc>
        <w:tc>
          <w:tcPr>
            <w:tcW w:w="601" w:type="dxa"/>
            <w:tcBorders>
              <w:top w:val="nil"/>
              <w:left w:val="nil"/>
              <w:bottom w:val="single" w:sz="4" w:space="0" w:color="auto"/>
              <w:right w:val="nil"/>
            </w:tcBorders>
            <w:noWrap/>
            <w:vAlign w:val="bottom"/>
            <w:hideMark/>
          </w:tcPr>
          <w:p w14:paraId="1ACC3DD7"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R</w:t>
            </w:r>
            <w:r w:rsidR="000E28BE" w:rsidRPr="00071A47">
              <w:rPr>
                <w:rFonts w:ascii="Arial" w:eastAsia="Times New Roman" w:hAnsi="Arial" w:cs="Arial"/>
                <w:b/>
                <w:bCs/>
                <w:color w:val="000000"/>
                <w:sz w:val="20"/>
                <w:szCs w:val="20"/>
              </w:rPr>
              <w:t>S</w:t>
            </w:r>
          </w:p>
          <w:p w14:paraId="286D10D6"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p>
        </w:tc>
        <w:tc>
          <w:tcPr>
            <w:tcW w:w="896" w:type="dxa"/>
            <w:tcBorders>
              <w:top w:val="nil"/>
              <w:left w:val="nil"/>
              <w:bottom w:val="single" w:sz="4" w:space="0" w:color="auto"/>
              <w:right w:val="nil"/>
            </w:tcBorders>
            <w:noWrap/>
            <w:vAlign w:val="bottom"/>
            <w:hideMark/>
          </w:tcPr>
          <w:p w14:paraId="7B2BB044"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w:t>
            </w:r>
            <w:r w:rsidR="000E28BE" w:rsidRPr="00071A47">
              <w:rPr>
                <w:rFonts w:ascii="Arial" w:eastAsia="Times New Roman" w:hAnsi="Arial" w:cs="Arial"/>
                <w:b/>
                <w:bCs/>
                <w:color w:val="000000"/>
                <w:sz w:val="20"/>
                <w:szCs w:val="20"/>
              </w:rPr>
              <w:t>L</w:t>
            </w:r>
          </w:p>
          <w:p w14:paraId="56160854"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(cm)</w:t>
            </w:r>
          </w:p>
        </w:tc>
        <w:tc>
          <w:tcPr>
            <w:tcW w:w="1048" w:type="dxa"/>
            <w:tcBorders>
              <w:top w:val="nil"/>
              <w:left w:val="nil"/>
              <w:bottom w:val="single" w:sz="4" w:space="0" w:color="auto"/>
              <w:right w:val="nil"/>
            </w:tcBorders>
            <w:noWrap/>
            <w:vAlign w:val="bottom"/>
            <w:hideMark/>
          </w:tcPr>
          <w:p w14:paraId="264A6073"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FS</w:t>
            </w:r>
            <w:r w:rsidR="000E28BE" w:rsidRPr="00071A47">
              <w:rPr>
                <w:rFonts w:ascii="Arial" w:eastAsia="Times New Roman" w:hAnsi="Arial" w:cs="Arial"/>
                <w:b/>
                <w:bCs/>
                <w:color w:val="000000"/>
                <w:sz w:val="20"/>
                <w:szCs w:val="20"/>
              </w:rPr>
              <w:t>W</w:t>
            </w:r>
          </w:p>
          <w:p w14:paraId="0E62DEC4"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c>
          <w:tcPr>
            <w:tcW w:w="1116" w:type="dxa"/>
            <w:tcBorders>
              <w:top w:val="nil"/>
              <w:left w:val="nil"/>
              <w:bottom w:val="single" w:sz="4" w:space="0" w:color="auto"/>
              <w:right w:val="nil"/>
            </w:tcBorders>
            <w:noWrap/>
            <w:vAlign w:val="bottom"/>
            <w:hideMark/>
          </w:tcPr>
          <w:p w14:paraId="0208C785"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DS</w:t>
            </w:r>
            <w:r w:rsidR="000E28BE" w:rsidRPr="00071A47">
              <w:rPr>
                <w:rFonts w:ascii="Arial" w:eastAsia="Times New Roman" w:hAnsi="Arial" w:cs="Arial"/>
                <w:b/>
                <w:bCs/>
                <w:color w:val="000000"/>
                <w:sz w:val="20"/>
                <w:szCs w:val="20"/>
              </w:rPr>
              <w:t>W</w:t>
            </w:r>
          </w:p>
          <w:p w14:paraId="25DAE347"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c>
          <w:tcPr>
            <w:tcW w:w="1085" w:type="dxa"/>
            <w:tcBorders>
              <w:top w:val="nil"/>
              <w:left w:val="nil"/>
              <w:bottom w:val="single" w:sz="4" w:space="0" w:color="auto"/>
              <w:right w:val="nil"/>
            </w:tcBorders>
            <w:noWrap/>
            <w:vAlign w:val="bottom"/>
            <w:hideMark/>
          </w:tcPr>
          <w:p w14:paraId="594DE9D8"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FR</w:t>
            </w:r>
            <w:r w:rsidR="000E28BE" w:rsidRPr="00071A47">
              <w:rPr>
                <w:rFonts w:ascii="Arial" w:eastAsia="Times New Roman" w:hAnsi="Arial" w:cs="Arial"/>
                <w:b/>
                <w:bCs/>
                <w:color w:val="000000"/>
                <w:sz w:val="20"/>
                <w:szCs w:val="20"/>
              </w:rPr>
              <w:t>W</w:t>
            </w:r>
          </w:p>
          <w:p w14:paraId="1D10E627"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c>
          <w:tcPr>
            <w:tcW w:w="1151" w:type="dxa"/>
            <w:tcBorders>
              <w:top w:val="nil"/>
              <w:left w:val="nil"/>
              <w:bottom w:val="single" w:sz="4" w:space="0" w:color="auto"/>
              <w:right w:val="nil"/>
            </w:tcBorders>
            <w:noWrap/>
            <w:vAlign w:val="bottom"/>
            <w:hideMark/>
          </w:tcPr>
          <w:p w14:paraId="2C5A221D" w14:textId="77777777" w:rsidR="00DF2DD3"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DR</w:t>
            </w:r>
            <w:r w:rsidR="000E28BE" w:rsidRPr="00071A47">
              <w:rPr>
                <w:rFonts w:ascii="Arial" w:eastAsia="Times New Roman" w:hAnsi="Arial" w:cs="Arial"/>
                <w:b/>
                <w:bCs/>
                <w:color w:val="000000"/>
                <w:sz w:val="20"/>
                <w:szCs w:val="20"/>
              </w:rPr>
              <w:t>W</w:t>
            </w:r>
          </w:p>
          <w:p w14:paraId="18DB7201" w14:textId="77777777" w:rsidR="000E28BE" w:rsidRPr="00071A47" w:rsidRDefault="00DF2DD3"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(g)</w:t>
            </w:r>
          </w:p>
        </w:tc>
      </w:tr>
      <w:tr w:rsidR="000E28BE" w:rsidRPr="00071A47" w14:paraId="0315E676" w14:textId="77777777" w:rsidTr="00775DE9">
        <w:trPr>
          <w:trHeight w:val="300"/>
        </w:trPr>
        <w:tc>
          <w:tcPr>
            <w:tcW w:w="960" w:type="dxa"/>
            <w:tcBorders>
              <w:top w:val="nil"/>
              <w:left w:val="nil"/>
              <w:bottom w:val="nil"/>
              <w:right w:val="nil"/>
            </w:tcBorders>
            <w:noWrap/>
            <w:vAlign w:val="bottom"/>
            <w:hideMark/>
          </w:tcPr>
          <w:p w14:paraId="6BA70ABC"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WF</w:t>
            </w:r>
          </w:p>
        </w:tc>
        <w:tc>
          <w:tcPr>
            <w:tcW w:w="601" w:type="dxa"/>
            <w:tcBorders>
              <w:top w:val="nil"/>
              <w:left w:val="nil"/>
              <w:bottom w:val="nil"/>
              <w:right w:val="nil"/>
            </w:tcBorders>
            <w:noWrap/>
            <w:vAlign w:val="bottom"/>
            <w:hideMark/>
          </w:tcPr>
          <w:p w14:paraId="0253B21B"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w:t>
            </w:r>
          </w:p>
        </w:tc>
        <w:tc>
          <w:tcPr>
            <w:tcW w:w="896" w:type="dxa"/>
            <w:tcBorders>
              <w:top w:val="nil"/>
              <w:left w:val="nil"/>
              <w:bottom w:val="nil"/>
              <w:right w:val="nil"/>
            </w:tcBorders>
            <w:noWrap/>
            <w:vAlign w:val="bottom"/>
            <w:hideMark/>
          </w:tcPr>
          <w:p w14:paraId="5FE4672F"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17.2</w:t>
            </w:r>
          </w:p>
        </w:tc>
        <w:tc>
          <w:tcPr>
            <w:tcW w:w="1048" w:type="dxa"/>
            <w:tcBorders>
              <w:top w:val="nil"/>
              <w:left w:val="nil"/>
              <w:bottom w:val="nil"/>
              <w:right w:val="nil"/>
            </w:tcBorders>
            <w:noWrap/>
            <w:vAlign w:val="bottom"/>
            <w:hideMark/>
          </w:tcPr>
          <w:p w14:paraId="58576AD0" w14:textId="77777777" w:rsidR="000E28BE" w:rsidRPr="00071A47" w:rsidRDefault="00713D9C"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6.2</w:t>
            </w:r>
            <w:r w:rsidR="000E28BE" w:rsidRPr="00071A47">
              <w:rPr>
                <w:rFonts w:ascii="Arial" w:eastAsia="Times New Roman" w:hAnsi="Arial" w:cs="Arial"/>
                <w:color w:val="000000"/>
                <w:sz w:val="20"/>
                <w:szCs w:val="20"/>
              </w:rPr>
              <w:t>4</w:t>
            </w:r>
          </w:p>
        </w:tc>
        <w:tc>
          <w:tcPr>
            <w:tcW w:w="1116" w:type="dxa"/>
            <w:tcBorders>
              <w:top w:val="nil"/>
              <w:left w:val="nil"/>
              <w:bottom w:val="nil"/>
              <w:right w:val="nil"/>
            </w:tcBorders>
            <w:noWrap/>
            <w:vAlign w:val="bottom"/>
            <w:hideMark/>
          </w:tcPr>
          <w:p w14:paraId="2CA99E42"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2.58</w:t>
            </w:r>
          </w:p>
        </w:tc>
        <w:tc>
          <w:tcPr>
            <w:tcW w:w="1085" w:type="dxa"/>
            <w:tcBorders>
              <w:top w:val="nil"/>
              <w:left w:val="nil"/>
              <w:bottom w:val="nil"/>
              <w:right w:val="nil"/>
            </w:tcBorders>
            <w:noWrap/>
            <w:vAlign w:val="bottom"/>
            <w:hideMark/>
          </w:tcPr>
          <w:p w14:paraId="022904A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1.54</w:t>
            </w:r>
          </w:p>
        </w:tc>
        <w:tc>
          <w:tcPr>
            <w:tcW w:w="1151" w:type="dxa"/>
            <w:tcBorders>
              <w:top w:val="nil"/>
              <w:left w:val="nil"/>
              <w:bottom w:val="nil"/>
              <w:right w:val="nil"/>
            </w:tcBorders>
            <w:noWrap/>
            <w:vAlign w:val="bottom"/>
            <w:hideMark/>
          </w:tcPr>
          <w:p w14:paraId="7AA4106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0.75</w:t>
            </w:r>
          </w:p>
        </w:tc>
      </w:tr>
      <w:tr w:rsidR="000E28BE" w:rsidRPr="00071A47" w14:paraId="5145049F" w14:textId="77777777" w:rsidTr="00775DE9">
        <w:trPr>
          <w:trHeight w:val="300"/>
        </w:trPr>
        <w:tc>
          <w:tcPr>
            <w:tcW w:w="960" w:type="dxa"/>
            <w:tcBorders>
              <w:top w:val="nil"/>
              <w:left w:val="nil"/>
              <w:bottom w:val="nil"/>
              <w:right w:val="nil"/>
            </w:tcBorders>
            <w:noWrap/>
            <w:vAlign w:val="bottom"/>
            <w:hideMark/>
          </w:tcPr>
          <w:p w14:paraId="7A36F95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WC</w:t>
            </w:r>
          </w:p>
        </w:tc>
        <w:tc>
          <w:tcPr>
            <w:tcW w:w="601" w:type="dxa"/>
            <w:tcBorders>
              <w:top w:val="nil"/>
              <w:left w:val="nil"/>
              <w:bottom w:val="nil"/>
              <w:right w:val="nil"/>
            </w:tcBorders>
            <w:noWrap/>
            <w:vAlign w:val="bottom"/>
            <w:hideMark/>
          </w:tcPr>
          <w:p w14:paraId="2A08222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2.7</w:t>
            </w:r>
          </w:p>
        </w:tc>
        <w:tc>
          <w:tcPr>
            <w:tcW w:w="896" w:type="dxa"/>
            <w:tcBorders>
              <w:top w:val="nil"/>
              <w:left w:val="nil"/>
              <w:bottom w:val="nil"/>
              <w:right w:val="nil"/>
            </w:tcBorders>
            <w:noWrap/>
            <w:vAlign w:val="bottom"/>
            <w:hideMark/>
          </w:tcPr>
          <w:p w14:paraId="1511F3E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14.6</w:t>
            </w:r>
          </w:p>
        </w:tc>
        <w:tc>
          <w:tcPr>
            <w:tcW w:w="1048" w:type="dxa"/>
            <w:tcBorders>
              <w:top w:val="nil"/>
              <w:left w:val="nil"/>
              <w:bottom w:val="nil"/>
              <w:right w:val="nil"/>
            </w:tcBorders>
            <w:noWrap/>
            <w:vAlign w:val="bottom"/>
            <w:hideMark/>
          </w:tcPr>
          <w:p w14:paraId="6CC79DD1" w14:textId="77777777" w:rsidR="000E28BE" w:rsidRPr="00071A47" w:rsidRDefault="00713D9C"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6.1</w:t>
            </w:r>
            <w:r w:rsidR="000E28BE" w:rsidRPr="00071A47">
              <w:rPr>
                <w:rFonts w:ascii="Arial" w:eastAsia="Times New Roman" w:hAnsi="Arial" w:cs="Arial"/>
                <w:color w:val="000000"/>
                <w:sz w:val="20"/>
                <w:szCs w:val="20"/>
              </w:rPr>
              <w:t>4</w:t>
            </w:r>
          </w:p>
        </w:tc>
        <w:tc>
          <w:tcPr>
            <w:tcW w:w="1116" w:type="dxa"/>
            <w:tcBorders>
              <w:top w:val="nil"/>
              <w:left w:val="nil"/>
              <w:bottom w:val="nil"/>
              <w:right w:val="nil"/>
            </w:tcBorders>
            <w:noWrap/>
            <w:vAlign w:val="bottom"/>
            <w:hideMark/>
          </w:tcPr>
          <w:p w14:paraId="40FE492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1.93</w:t>
            </w:r>
          </w:p>
        </w:tc>
        <w:tc>
          <w:tcPr>
            <w:tcW w:w="1085" w:type="dxa"/>
            <w:tcBorders>
              <w:top w:val="nil"/>
              <w:left w:val="nil"/>
              <w:bottom w:val="nil"/>
              <w:right w:val="nil"/>
            </w:tcBorders>
            <w:noWrap/>
            <w:vAlign w:val="bottom"/>
            <w:hideMark/>
          </w:tcPr>
          <w:p w14:paraId="7648F1C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1.43</w:t>
            </w:r>
          </w:p>
        </w:tc>
        <w:tc>
          <w:tcPr>
            <w:tcW w:w="1151" w:type="dxa"/>
            <w:tcBorders>
              <w:top w:val="nil"/>
              <w:left w:val="nil"/>
              <w:bottom w:val="nil"/>
              <w:right w:val="nil"/>
            </w:tcBorders>
            <w:noWrap/>
            <w:vAlign w:val="bottom"/>
            <w:hideMark/>
          </w:tcPr>
          <w:p w14:paraId="677010E5"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0.59</w:t>
            </w:r>
          </w:p>
        </w:tc>
      </w:tr>
      <w:tr w:rsidR="000E28BE" w:rsidRPr="00071A47" w14:paraId="2A764A94" w14:textId="77777777" w:rsidTr="00775DE9">
        <w:trPr>
          <w:trHeight w:val="300"/>
        </w:trPr>
        <w:tc>
          <w:tcPr>
            <w:tcW w:w="960" w:type="dxa"/>
            <w:tcBorders>
              <w:top w:val="nil"/>
              <w:left w:val="nil"/>
              <w:bottom w:val="nil"/>
              <w:right w:val="nil"/>
            </w:tcBorders>
            <w:noWrap/>
            <w:vAlign w:val="bottom"/>
            <w:hideMark/>
          </w:tcPr>
          <w:p w14:paraId="5FCF230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1W</w:t>
            </w:r>
          </w:p>
        </w:tc>
        <w:tc>
          <w:tcPr>
            <w:tcW w:w="601" w:type="dxa"/>
            <w:tcBorders>
              <w:top w:val="nil"/>
              <w:left w:val="nil"/>
              <w:bottom w:val="nil"/>
              <w:right w:val="nil"/>
            </w:tcBorders>
            <w:noWrap/>
            <w:vAlign w:val="bottom"/>
            <w:hideMark/>
          </w:tcPr>
          <w:p w14:paraId="287F8029"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w:t>
            </w:r>
          </w:p>
        </w:tc>
        <w:tc>
          <w:tcPr>
            <w:tcW w:w="896" w:type="dxa"/>
            <w:tcBorders>
              <w:top w:val="nil"/>
              <w:left w:val="nil"/>
              <w:bottom w:val="nil"/>
              <w:right w:val="nil"/>
            </w:tcBorders>
            <w:noWrap/>
            <w:vAlign w:val="bottom"/>
            <w:hideMark/>
          </w:tcPr>
          <w:p w14:paraId="3E647CB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14.9</w:t>
            </w:r>
          </w:p>
        </w:tc>
        <w:tc>
          <w:tcPr>
            <w:tcW w:w="1048" w:type="dxa"/>
            <w:tcBorders>
              <w:top w:val="nil"/>
              <w:left w:val="nil"/>
              <w:bottom w:val="nil"/>
              <w:right w:val="nil"/>
            </w:tcBorders>
            <w:noWrap/>
            <w:vAlign w:val="bottom"/>
            <w:hideMark/>
          </w:tcPr>
          <w:p w14:paraId="3011277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7.55</w:t>
            </w:r>
          </w:p>
        </w:tc>
        <w:tc>
          <w:tcPr>
            <w:tcW w:w="1116" w:type="dxa"/>
            <w:tcBorders>
              <w:top w:val="nil"/>
              <w:left w:val="nil"/>
              <w:bottom w:val="nil"/>
              <w:right w:val="nil"/>
            </w:tcBorders>
            <w:noWrap/>
            <w:vAlign w:val="bottom"/>
            <w:hideMark/>
          </w:tcPr>
          <w:p w14:paraId="1D23AF7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2.65</w:t>
            </w:r>
          </w:p>
        </w:tc>
        <w:tc>
          <w:tcPr>
            <w:tcW w:w="1085" w:type="dxa"/>
            <w:tcBorders>
              <w:top w:val="nil"/>
              <w:left w:val="nil"/>
              <w:bottom w:val="nil"/>
              <w:right w:val="nil"/>
            </w:tcBorders>
            <w:noWrap/>
            <w:vAlign w:val="bottom"/>
            <w:hideMark/>
          </w:tcPr>
          <w:p w14:paraId="7D0E1FCB"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1.71</w:t>
            </w:r>
          </w:p>
        </w:tc>
        <w:tc>
          <w:tcPr>
            <w:tcW w:w="1151" w:type="dxa"/>
            <w:tcBorders>
              <w:top w:val="nil"/>
              <w:left w:val="nil"/>
              <w:bottom w:val="nil"/>
              <w:right w:val="nil"/>
            </w:tcBorders>
            <w:noWrap/>
            <w:vAlign w:val="bottom"/>
            <w:hideMark/>
          </w:tcPr>
          <w:p w14:paraId="21E6B339"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0.76</w:t>
            </w:r>
          </w:p>
        </w:tc>
      </w:tr>
      <w:tr w:rsidR="000E28BE" w:rsidRPr="00071A47" w14:paraId="0543906E" w14:textId="77777777" w:rsidTr="00775DE9">
        <w:trPr>
          <w:trHeight w:val="300"/>
        </w:trPr>
        <w:tc>
          <w:tcPr>
            <w:tcW w:w="960" w:type="dxa"/>
            <w:tcBorders>
              <w:top w:val="nil"/>
              <w:left w:val="nil"/>
              <w:bottom w:val="nil"/>
              <w:right w:val="nil"/>
            </w:tcBorders>
            <w:noWrap/>
            <w:vAlign w:val="bottom"/>
            <w:hideMark/>
          </w:tcPr>
          <w:p w14:paraId="1717E47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2W</w:t>
            </w:r>
          </w:p>
        </w:tc>
        <w:tc>
          <w:tcPr>
            <w:tcW w:w="601" w:type="dxa"/>
            <w:tcBorders>
              <w:top w:val="nil"/>
              <w:left w:val="nil"/>
              <w:bottom w:val="nil"/>
              <w:right w:val="nil"/>
            </w:tcBorders>
            <w:noWrap/>
            <w:vAlign w:val="bottom"/>
            <w:hideMark/>
          </w:tcPr>
          <w:p w14:paraId="0AA359E8"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2.2</w:t>
            </w:r>
          </w:p>
        </w:tc>
        <w:tc>
          <w:tcPr>
            <w:tcW w:w="896" w:type="dxa"/>
            <w:tcBorders>
              <w:top w:val="nil"/>
              <w:left w:val="nil"/>
              <w:bottom w:val="nil"/>
              <w:right w:val="nil"/>
            </w:tcBorders>
            <w:noWrap/>
            <w:vAlign w:val="bottom"/>
            <w:hideMark/>
          </w:tcPr>
          <w:p w14:paraId="37BCDC1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18.2</w:t>
            </w:r>
          </w:p>
        </w:tc>
        <w:tc>
          <w:tcPr>
            <w:tcW w:w="1048" w:type="dxa"/>
            <w:tcBorders>
              <w:top w:val="nil"/>
              <w:left w:val="nil"/>
              <w:bottom w:val="nil"/>
              <w:right w:val="nil"/>
            </w:tcBorders>
            <w:noWrap/>
            <w:vAlign w:val="bottom"/>
            <w:hideMark/>
          </w:tcPr>
          <w:p w14:paraId="635545A3"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7.09</w:t>
            </w:r>
          </w:p>
        </w:tc>
        <w:tc>
          <w:tcPr>
            <w:tcW w:w="1116" w:type="dxa"/>
            <w:tcBorders>
              <w:top w:val="nil"/>
              <w:left w:val="nil"/>
              <w:bottom w:val="nil"/>
              <w:right w:val="nil"/>
            </w:tcBorders>
            <w:noWrap/>
            <w:vAlign w:val="bottom"/>
            <w:hideMark/>
          </w:tcPr>
          <w:p w14:paraId="595D56C7"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2.60</w:t>
            </w:r>
          </w:p>
        </w:tc>
        <w:tc>
          <w:tcPr>
            <w:tcW w:w="1085" w:type="dxa"/>
            <w:tcBorders>
              <w:top w:val="nil"/>
              <w:left w:val="nil"/>
              <w:bottom w:val="nil"/>
              <w:right w:val="nil"/>
            </w:tcBorders>
            <w:noWrap/>
            <w:vAlign w:val="bottom"/>
            <w:hideMark/>
          </w:tcPr>
          <w:p w14:paraId="6CD704F4"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1.76</w:t>
            </w:r>
          </w:p>
        </w:tc>
        <w:tc>
          <w:tcPr>
            <w:tcW w:w="1151" w:type="dxa"/>
            <w:tcBorders>
              <w:top w:val="nil"/>
              <w:left w:val="nil"/>
              <w:bottom w:val="nil"/>
              <w:right w:val="nil"/>
            </w:tcBorders>
            <w:noWrap/>
            <w:vAlign w:val="bottom"/>
            <w:hideMark/>
          </w:tcPr>
          <w:p w14:paraId="0FE5FDBA"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0.79</w:t>
            </w:r>
          </w:p>
        </w:tc>
      </w:tr>
      <w:tr w:rsidR="000E28BE" w:rsidRPr="00071A47" w14:paraId="2852612F" w14:textId="77777777" w:rsidTr="00775DE9">
        <w:trPr>
          <w:trHeight w:val="300"/>
        </w:trPr>
        <w:tc>
          <w:tcPr>
            <w:tcW w:w="960" w:type="dxa"/>
            <w:tcBorders>
              <w:top w:val="nil"/>
              <w:left w:val="nil"/>
              <w:bottom w:val="nil"/>
              <w:right w:val="nil"/>
            </w:tcBorders>
            <w:noWrap/>
            <w:vAlign w:val="bottom"/>
            <w:hideMark/>
          </w:tcPr>
          <w:p w14:paraId="0C0886DC"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3W</w:t>
            </w:r>
          </w:p>
        </w:tc>
        <w:tc>
          <w:tcPr>
            <w:tcW w:w="601" w:type="dxa"/>
            <w:tcBorders>
              <w:top w:val="nil"/>
              <w:left w:val="nil"/>
              <w:bottom w:val="nil"/>
              <w:right w:val="nil"/>
            </w:tcBorders>
            <w:noWrap/>
            <w:vAlign w:val="bottom"/>
            <w:hideMark/>
          </w:tcPr>
          <w:p w14:paraId="3E2A508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2.0</w:t>
            </w:r>
          </w:p>
        </w:tc>
        <w:tc>
          <w:tcPr>
            <w:tcW w:w="896" w:type="dxa"/>
            <w:tcBorders>
              <w:top w:val="nil"/>
              <w:left w:val="nil"/>
              <w:bottom w:val="nil"/>
              <w:right w:val="nil"/>
            </w:tcBorders>
            <w:noWrap/>
            <w:vAlign w:val="bottom"/>
            <w:hideMark/>
          </w:tcPr>
          <w:p w14:paraId="78613EFC"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15.8</w:t>
            </w:r>
          </w:p>
        </w:tc>
        <w:tc>
          <w:tcPr>
            <w:tcW w:w="1048" w:type="dxa"/>
            <w:tcBorders>
              <w:top w:val="nil"/>
              <w:left w:val="nil"/>
              <w:bottom w:val="nil"/>
              <w:right w:val="nil"/>
            </w:tcBorders>
            <w:noWrap/>
            <w:vAlign w:val="bottom"/>
            <w:hideMark/>
          </w:tcPr>
          <w:p w14:paraId="45BA3CDD"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7.63</w:t>
            </w:r>
          </w:p>
        </w:tc>
        <w:tc>
          <w:tcPr>
            <w:tcW w:w="1116" w:type="dxa"/>
            <w:tcBorders>
              <w:top w:val="nil"/>
              <w:left w:val="nil"/>
              <w:bottom w:val="nil"/>
              <w:right w:val="nil"/>
            </w:tcBorders>
            <w:noWrap/>
            <w:vAlign w:val="bottom"/>
            <w:hideMark/>
          </w:tcPr>
          <w:p w14:paraId="14BDB2B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2.84</w:t>
            </w:r>
          </w:p>
        </w:tc>
        <w:tc>
          <w:tcPr>
            <w:tcW w:w="1085" w:type="dxa"/>
            <w:tcBorders>
              <w:top w:val="nil"/>
              <w:left w:val="nil"/>
              <w:bottom w:val="nil"/>
              <w:right w:val="nil"/>
            </w:tcBorders>
            <w:noWrap/>
            <w:vAlign w:val="bottom"/>
            <w:hideMark/>
          </w:tcPr>
          <w:p w14:paraId="4C7EEF4D"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1.61</w:t>
            </w:r>
          </w:p>
        </w:tc>
        <w:tc>
          <w:tcPr>
            <w:tcW w:w="1151" w:type="dxa"/>
            <w:tcBorders>
              <w:top w:val="nil"/>
              <w:left w:val="nil"/>
              <w:bottom w:val="nil"/>
              <w:right w:val="nil"/>
            </w:tcBorders>
            <w:noWrap/>
            <w:vAlign w:val="bottom"/>
            <w:hideMark/>
          </w:tcPr>
          <w:p w14:paraId="3CAF335E"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0.78</w:t>
            </w:r>
          </w:p>
        </w:tc>
      </w:tr>
      <w:tr w:rsidR="000E28BE" w:rsidRPr="00071A47" w14:paraId="3E75602F" w14:textId="77777777" w:rsidTr="00775DE9">
        <w:trPr>
          <w:trHeight w:val="300"/>
        </w:trPr>
        <w:tc>
          <w:tcPr>
            <w:tcW w:w="960" w:type="dxa"/>
            <w:tcBorders>
              <w:top w:val="nil"/>
              <w:left w:val="nil"/>
              <w:bottom w:val="nil"/>
              <w:right w:val="nil"/>
            </w:tcBorders>
            <w:noWrap/>
            <w:vAlign w:val="bottom"/>
            <w:hideMark/>
          </w:tcPr>
          <w:p w14:paraId="7B671F3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4W</w:t>
            </w:r>
          </w:p>
        </w:tc>
        <w:tc>
          <w:tcPr>
            <w:tcW w:w="601" w:type="dxa"/>
            <w:tcBorders>
              <w:top w:val="nil"/>
              <w:left w:val="nil"/>
              <w:bottom w:val="nil"/>
              <w:right w:val="nil"/>
            </w:tcBorders>
            <w:noWrap/>
            <w:vAlign w:val="bottom"/>
            <w:hideMark/>
          </w:tcPr>
          <w:p w14:paraId="3E25645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2.3</w:t>
            </w:r>
          </w:p>
        </w:tc>
        <w:tc>
          <w:tcPr>
            <w:tcW w:w="896" w:type="dxa"/>
            <w:tcBorders>
              <w:top w:val="nil"/>
              <w:left w:val="nil"/>
              <w:bottom w:val="nil"/>
              <w:right w:val="nil"/>
            </w:tcBorders>
            <w:noWrap/>
            <w:vAlign w:val="bottom"/>
            <w:hideMark/>
          </w:tcPr>
          <w:p w14:paraId="3B870BB0"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17.4</w:t>
            </w:r>
          </w:p>
        </w:tc>
        <w:tc>
          <w:tcPr>
            <w:tcW w:w="1048" w:type="dxa"/>
            <w:tcBorders>
              <w:top w:val="nil"/>
              <w:left w:val="nil"/>
              <w:bottom w:val="nil"/>
              <w:right w:val="nil"/>
            </w:tcBorders>
            <w:noWrap/>
            <w:vAlign w:val="bottom"/>
            <w:hideMark/>
          </w:tcPr>
          <w:p w14:paraId="46D82D9D"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6.88</w:t>
            </w:r>
          </w:p>
        </w:tc>
        <w:tc>
          <w:tcPr>
            <w:tcW w:w="1116" w:type="dxa"/>
            <w:tcBorders>
              <w:top w:val="nil"/>
              <w:left w:val="nil"/>
              <w:bottom w:val="nil"/>
              <w:right w:val="nil"/>
            </w:tcBorders>
            <w:noWrap/>
            <w:vAlign w:val="bottom"/>
            <w:hideMark/>
          </w:tcPr>
          <w:p w14:paraId="6E5AAF3B"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2.65</w:t>
            </w:r>
          </w:p>
        </w:tc>
        <w:tc>
          <w:tcPr>
            <w:tcW w:w="1085" w:type="dxa"/>
            <w:tcBorders>
              <w:top w:val="nil"/>
              <w:left w:val="nil"/>
              <w:bottom w:val="nil"/>
              <w:right w:val="nil"/>
            </w:tcBorders>
            <w:noWrap/>
            <w:vAlign w:val="bottom"/>
            <w:hideMark/>
          </w:tcPr>
          <w:p w14:paraId="28016A6A"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1.52</w:t>
            </w:r>
          </w:p>
        </w:tc>
        <w:tc>
          <w:tcPr>
            <w:tcW w:w="1151" w:type="dxa"/>
            <w:tcBorders>
              <w:top w:val="nil"/>
              <w:left w:val="nil"/>
              <w:bottom w:val="nil"/>
              <w:right w:val="nil"/>
            </w:tcBorders>
            <w:noWrap/>
            <w:vAlign w:val="bottom"/>
            <w:hideMark/>
          </w:tcPr>
          <w:p w14:paraId="595C2146" w14:textId="77777777" w:rsidR="000E28BE" w:rsidRPr="00071A47" w:rsidRDefault="000E28BE"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0.72</w:t>
            </w:r>
          </w:p>
        </w:tc>
      </w:tr>
      <w:tr w:rsidR="000E28BE" w:rsidRPr="00071A47" w14:paraId="04375615" w14:textId="77777777" w:rsidTr="00775DE9">
        <w:trPr>
          <w:trHeight w:val="300"/>
        </w:trPr>
        <w:tc>
          <w:tcPr>
            <w:tcW w:w="960" w:type="dxa"/>
            <w:tcBorders>
              <w:top w:val="nil"/>
              <w:left w:val="nil"/>
              <w:bottom w:val="single" w:sz="4" w:space="0" w:color="auto"/>
              <w:right w:val="nil"/>
            </w:tcBorders>
            <w:noWrap/>
            <w:vAlign w:val="bottom"/>
            <w:hideMark/>
          </w:tcPr>
          <w:p w14:paraId="37F7B82D"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LSD</w:t>
            </w:r>
          </w:p>
        </w:tc>
        <w:tc>
          <w:tcPr>
            <w:tcW w:w="601" w:type="dxa"/>
            <w:tcBorders>
              <w:top w:val="nil"/>
              <w:left w:val="nil"/>
              <w:bottom w:val="single" w:sz="4" w:space="0" w:color="auto"/>
              <w:right w:val="nil"/>
            </w:tcBorders>
            <w:noWrap/>
            <w:vAlign w:val="bottom"/>
            <w:hideMark/>
          </w:tcPr>
          <w:p w14:paraId="35616CAB"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896" w:type="dxa"/>
            <w:tcBorders>
              <w:top w:val="nil"/>
              <w:left w:val="nil"/>
              <w:bottom w:val="single" w:sz="4" w:space="0" w:color="auto"/>
              <w:right w:val="nil"/>
            </w:tcBorders>
            <w:noWrap/>
            <w:vAlign w:val="bottom"/>
            <w:hideMark/>
          </w:tcPr>
          <w:p w14:paraId="7592992F"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2.87</w:t>
            </w:r>
          </w:p>
        </w:tc>
        <w:tc>
          <w:tcPr>
            <w:tcW w:w="1048" w:type="dxa"/>
            <w:tcBorders>
              <w:top w:val="nil"/>
              <w:left w:val="nil"/>
              <w:bottom w:val="single" w:sz="4" w:space="0" w:color="auto"/>
              <w:right w:val="nil"/>
            </w:tcBorders>
            <w:noWrap/>
            <w:vAlign w:val="bottom"/>
            <w:hideMark/>
          </w:tcPr>
          <w:p w14:paraId="140BA1B4"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1116" w:type="dxa"/>
            <w:tcBorders>
              <w:top w:val="nil"/>
              <w:left w:val="nil"/>
              <w:bottom w:val="single" w:sz="4" w:space="0" w:color="auto"/>
              <w:right w:val="nil"/>
            </w:tcBorders>
            <w:noWrap/>
            <w:vAlign w:val="bottom"/>
            <w:hideMark/>
          </w:tcPr>
          <w:p w14:paraId="1D473329"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1085" w:type="dxa"/>
            <w:tcBorders>
              <w:top w:val="nil"/>
              <w:left w:val="nil"/>
              <w:bottom w:val="single" w:sz="4" w:space="0" w:color="auto"/>
              <w:right w:val="nil"/>
            </w:tcBorders>
            <w:noWrap/>
            <w:vAlign w:val="bottom"/>
            <w:hideMark/>
          </w:tcPr>
          <w:p w14:paraId="4F826B49"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c>
          <w:tcPr>
            <w:tcW w:w="1151" w:type="dxa"/>
            <w:tcBorders>
              <w:top w:val="nil"/>
              <w:left w:val="nil"/>
              <w:bottom w:val="single" w:sz="4" w:space="0" w:color="auto"/>
              <w:right w:val="nil"/>
            </w:tcBorders>
            <w:noWrap/>
            <w:vAlign w:val="bottom"/>
            <w:hideMark/>
          </w:tcPr>
          <w:p w14:paraId="595A9C9F" w14:textId="77777777" w:rsidR="000E28BE" w:rsidRPr="00071A47" w:rsidRDefault="000E28BE"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ns</w:t>
            </w:r>
          </w:p>
        </w:tc>
      </w:tr>
    </w:tbl>
    <w:p w14:paraId="59EE20B2" w14:textId="77777777" w:rsidR="00E86E02" w:rsidRPr="00071A47" w:rsidRDefault="00E86E02" w:rsidP="003925AF">
      <w:pPr>
        <w:spacing w:line="240" w:lineRule="auto"/>
        <w:rPr>
          <w:rFonts w:ascii="Arial" w:hAnsi="Arial" w:cs="Arial"/>
          <w:sz w:val="20"/>
          <w:szCs w:val="20"/>
        </w:rPr>
      </w:pPr>
      <w:r w:rsidRPr="00071A47">
        <w:rPr>
          <w:rFonts w:ascii="Arial" w:hAnsi="Arial" w:cs="Arial"/>
          <w:sz w:val="20"/>
          <w:szCs w:val="20"/>
        </w:rPr>
        <w:t>Note: ns= Not significant; WF= Weed-free; WC= Weedy check; 1W= Once in a week weeding; 2W= Once in two weeks weeding; 3W= Once in three weeks weeding; 4W= Once in 4 weeks weeding; RS= Root score; TRL= Tap root length; FSW= Fresh shoot weight; DSW= Dry shoot weight; DRW= Dry root weight.</w:t>
      </w:r>
    </w:p>
    <w:p w14:paraId="1F6927EE" w14:textId="77777777" w:rsidR="00C107CE" w:rsidRPr="00071A47" w:rsidRDefault="00C107CE" w:rsidP="003925AF">
      <w:pPr>
        <w:spacing w:line="240" w:lineRule="auto"/>
        <w:rPr>
          <w:rFonts w:ascii="Arial" w:hAnsi="Arial" w:cs="Arial"/>
          <w:sz w:val="20"/>
          <w:szCs w:val="20"/>
        </w:rPr>
      </w:pPr>
    </w:p>
    <w:p w14:paraId="74A49A04" w14:textId="77777777"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Weed count is a quantitative measure of weed density within a defined sampling unit. In conventional field studies, weed enumeration is typically conducted using a quadrat; however, given the individual polybag format of this nursery experiment, weeds were manually counted per polybag at each sampling interval to obtain accurate weed density data.</w:t>
      </w:r>
    </w:p>
    <w:p w14:paraId="69B583DC" w14:textId="7CA011DD"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The mean weed count recorded in the Weedy Check (WC) treatment across the observation period is presented in Fig. 2. Peak weed density was recorded at four weeks after sowing (4 WAS) with a mean of 13 weeds per polybag, followed by a progressive decline at 5 WAS (11), 6 WAS (9)</w:t>
      </w:r>
      <w:r w:rsidR="00AE4926">
        <w:rPr>
          <w:rFonts w:ascii="Arial" w:hAnsi="Arial" w:cs="Arial"/>
          <w:sz w:val="20"/>
          <w:szCs w:val="20"/>
        </w:rPr>
        <w:t xml:space="preserve"> and </w:t>
      </w:r>
      <w:r w:rsidRPr="00071A47">
        <w:rPr>
          <w:rFonts w:ascii="Arial" w:hAnsi="Arial" w:cs="Arial"/>
          <w:sz w:val="20"/>
          <w:szCs w:val="20"/>
        </w:rPr>
        <w:t xml:space="preserve">7 WAS (8), before </w:t>
      </w:r>
      <w:r w:rsidR="00071A47" w:rsidRPr="00071A47">
        <w:rPr>
          <w:rFonts w:ascii="Arial" w:hAnsi="Arial" w:cs="Arial"/>
          <w:sz w:val="20"/>
          <w:szCs w:val="20"/>
        </w:rPr>
        <w:t>stabilizing</w:t>
      </w:r>
      <w:r w:rsidRPr="00071A47">
        <w:rPr>
          <w:rFonts w:ascii="Arial" w:hAnsi="Arial" w:cs="Arial"/>
          <w:sz w:val="20"/>
          <w:szCs w:val="20"/>
        </w:rPr>
        <w:t xml:space="preserve"> at a mean count of 7 from 8 WAS through to 12 WAS. Two principal factors are attributed to this observed decline in weed density in the </w:t>
      </w:r>
      <w:proofErr w:type="spellStart"/>
      <w:r w:rsidRPr="00071A47">
        <w:rPr>
          <w:rFonts w:ascii="Arial" w:hAnsi="Arial" w:cs="Arial"/>
          <w:sz w:val="20"/>
          <w:szCs w:val="20"/>
        </w:rPr>
        <w:t>unweeded</w:t>
      </w:r>
      <w:proofErr w:type="spellEnd"/>
      <w:r w:rsidRPr="00071A47">
        <w:rPr>
          <w:rFonts w:ascii="Arial" w:hAnsi="Arial" w:cs="Arial"/>
          <w:sz w:val="20"/>
          <w:szCs w:val="20"/>
        </w:rPr>
        <w:t xml:space="preserve"> treatment. First, the mechanical force of irrigation water displaced young, tender weed seedlings during the early establishment phase. Second, canopy formation by the developing cashew seedlings progressively shaded the soil surface, suppressing weed emergence and survival at later growth stages. This observation is consistent with documented evidence that weed establishment and growth are significantly suppressed under developing crop canopies (Dass </w:t>
      </w:r>
      <w:r w:rsidRPr="00071A47">
        <w:rPr>
          <w:rFonts w:ascii="Arial" w:hAnsi="Arial" w:cs="Arial"/>
          <w:i/>
          <w:iCs/>
          <w:sz w:val="20"/>
          <w:szCs w:val="20"/>
        </w:rPr>
        <w:t>et al</w:t>
      </w:r>
      <w:r w:rsidRPr="00071A47">
        <w:rPr>
          <w:rFonts w:ascii="Arial" w:hAnsi="Arial" w:cs="Arial"/>
          <w:sz w:val="20"/>
          <w:szCs w:val="20"/>
        </w:rPr>
        <w:t>., 2017).</w:t>
      </w:r>
    </w:p>
    <w:p w14:paraId="73908B3A" w14:textId="68602B6E"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Mean weed counts for the periodically weeded treatments are presented in Figs. 3–6. In the once-weekly weeding treatment (1W; Fig. 3), weed density remained consistently low throughout the observation period, with a maximum mean of 2 weeds recorded at 2 WAS and a mean of 1 weed at 12 WAS. In the once-in-two-weeks weeding treatment (2W; Fig. 4), the highest mean weed count of 7 was recorded at 2 WAS, declining to 2 at both 4 and 6 WAS, 1 at 8 and 10 WAS</w:t>
      </w:r>
      <w:r w:rsidR="00AE4926">
        <w:rPr>
          <w:rFonts w:ascii="Arial" w:hAnsi="Arial" w:cs="Arial"/>
          <w:sz w:val="20"/>
          <w:szCs w:val="20"/>
        </w:rPr>
        <w:t xml:space="preserve"> and </w:t>
      </w:r>
      <w:r w:rsidRPr="00071A47">
        <w:rPr>
          <w:rFonts w:ascii="Arial" w:hAnsi="Arial" w:cs="Arial"/>
          <w:sz w:val="20"/>
          <w:szCs w:val="20"/>
        </w:rPr>
        <w:t>zero at 12 WAS. The once-in-three-weeks weeding treatment (3W; Fig. 5) recorded a peak mean weed count of 12 at 3 WAS, declining sharply to 2 at 6 and 9 WAS</w:t>
      </w:r>
      <w:r w:rsidR="00AE4926">
        <w:rPr>
          <w:rFonts w:ascii="Arial" w:hAnsi="Arial" w:cs="Arial"/>
          <w:sz w:val="20"/>
          <w:szCs w:val="20"/>
        </w:rPr>
        <w:t xml:space="preserve"> and </w:t>
      </w:r>
      <w:r w:rsidRPr="00071A47">
        <w:rPr>
          <w:rFonts w:ascii="Arial" w:hAnsi="Arial" w:cs="Arial"/>
          <w:sz w:val="20"/>
          <w:szCs w:val="20"/>
        </w:rPr>
        <w:t>1 at 12 WAS. The once-in-four-weeks weeding treatment (4W; Fig. 6) recorded a peak mean of 9 weeds at 4 WAS, with no weeds recorded at 8 WAS and a mean of 1 at 12 WAS.</w:t>
      </w:r>
    </w:p>
    <w:p w14:paraId="76404DA6" w14:textId="59FFAAFE" w:rsidR="00A6024A" w:rsidRPr="00071A47" w:rsidRDefault="003925AF" w:rsidP="00071A47">
      <w:pPr>
        <w:spacing w:line="240" w:lineRule="auto"/>
        <w:jc w:val="both"/>
        <w:rPr>
          <w:rFonts w:ascii="Arial" w:hAnsi="Arial" w:cs="Arial"/>
          <w:sz w:val="20"/>
          <w:szCs w:val="20"/>
        </w:rPr>
      </w:pPr>
      <w:r w:rsidRPr="00071A47">
        <w:rPr>
          <w:rFonts w:ascii="Arial" w:hAnsi="Arial" w:cs="Arial"/>
          <w:sz w:val="20"/>
          <w:szCs w:val="20"/>
        </w:rPr>
        <w:t xml:space="preserve">A consistent pattern was observed across all treatments (Figs. 2–6): peak weed density occurred between 2 and 4 WAS, followed by a marked and sustained decline in subsequent weeks regardless of weeding frequency. Notably, this decline was also recorded in the </w:t>
      </w:r>
      <w:proofErr w:type="spellStart"/>
      <w:r w:rsidRPr="00071A47">
        <w:rPr>
          <w:rFonts w:ascii="Arial" w:hAnsi="Arial" w:cs="Arial"/>
          <w:sz w:val="20"/>
          <w:szCs w:val="20"/>
        </w:rPr>
        <w:t>unweeded</w:t>
      </w:r>
      <w:proofErr w:type="spellEnd"/>
      <w:r w:rsidRPr="00071A47">
        <w:rPr>
          <w:rFonts w:ascii="Arial" w:hAnsi="Arial" w:cs="Arial"/>
          <w:sz w:val="20"/>
          <w:szCs w:val="20"/>
        </w:rPr>
        <w:t xml:space="preserve"> WC treatment following 4 WAS, indicating that factors beyond mechanical weeding including canopy suppression and intraspecific weed competition contributed to natural weed density reduction over time. These findings collectively indicate </w:t>
      </w:r>
      <w:r w:rsidRPr="00071A47">
        <w:rPr>
          <w:rFonts w:ascii="Arial" w:hAnsi="Arial" w:cs="Arial"/>
          <w:sz w:val="20"/>
          <w:szCs w:val="20"/>
        </w:rPr>
        <w:lastRenderedPageBreak/>
        <w:t>that the critical period of weed interference in cashew nursery polybags occurs between 2 and 4 WAS. Effective weed management within this window is therefore essential to minimize competitive pressure on cashew seedlings from emergence through to transplanting, which typically occurs at a maximum of 12 WAS.</w:t>
      </w:r>
    </w:p>
    <w:p w14:paraId="1BEFDDC8" w14:textId="77777777" w:rsidR="00C107CE" w:rsidRPr="00071A47" w:rsidRDefault="00C107CE"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191E22A3" wp14:editId="0FD3B84E">
            <wp:extent cx="2830664" cy="2203478"/>
            <wp:effectExtent l="0" t="0" r="825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266D66" w14:textId="6D2C603C"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t>Fig 2. Weedy check mean weed count</w:t>
      </w:r>
    </w:p>
    <w:p w14:paraId="5C1BFA87" w14:textId="0F19A6F3" w:rsidR="00E86E02" w:rsidRDefault="00E86E02" w:rsidP="00071A47">
      <w:pPr>
        <w:spacing w:after="0" w:line="240" w:lineRule="auto"/>
        <w:rPr>
          <w:rFonts w:ascii="Arial" w:hAnsi="Arial" w:cs="Arial"/>
          <w:sz w:val="20"/>
          <w:szCs w:val="20"/>
        </w:rPr>
      </w:pPr>
      <w:r w:rsidRPr="00071A47">
        <w:rPr>
          <w:rFonts w:ascii="Arial" w:hAnsi="Arial" w:cs="Arial"/>
          <w:sz w:val="20"/>
          <w:szCs w:val="20"/>
        </w:rPr>
        <w:t>Note: W= week</w:t>
      </w:r>
    </w:p>
    <w:p w14:paraId="4E3F314C" w14:textId="77777777" w:rsidR="00071A47" w:rsidRPr="00071A47" w:rsidRDefault="00071A47" w:rsidP="003925AF">
      <w:pPr>
        <w:spacing w:line="240" w:lineRule="auto"/>
        <w:rPr>
          <w:rFonts w:ascii="Arial" w:hAnsi="Arial" w:cs="Arial"/>
          <w:sz w:val="20"/>
          <w:szCs w:val="20"/>
        </w:rPr>
      </w:pPr>
    </w:p>
    <w:p w14:paraId="5DEDE6B2"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50AAE406" wp14:editId="4368674E">
            <wp:extent cx="2775005" cy="2007290"/>
            <wp:effectExtent l="0" t="0" r="635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715DA2" w14:textId="6ED64913"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t>Fig 3. Once per week mean weed count</w:t>
      </w:r>
    </w:p>
    <w:p w14:paraId="0AB823DE" w14:textId="2925AD2D" w:rsidR="00E86E02" w:rsidRPr="00071A47" w:rsidRDefault="00E86E02" w:rsidP="00071A47">
      <w:pPr>
        <w:spacing w:after="0" w:line="240" w:lineRule="auto"/>
        <w:rPr>
          <w:rFonts w:ascii="Arial" w:hAnsi="Arial" w:cs="Arial"/>
          <w:sz w:val="20"/>
          <w:szCs w:val="20"/>
        </w:rPr>
      </w:pPr>
      <w:r w:rsidRPr="00071A47">
        <w:rPr>
          <w:rFonts w:ascii="Arial" w:hAnsi="Arial" w:cs="Arial"/>
          <w:sz w:val="20"/>
          <w:szCs w:val="20"/>
        </w:rPr>
        <w:t>Note: W= week</w:t>
      </w:r>
    </w:p>
    <w:p w14:paraId="4721AEBF" w14:textId="77777777" w:rsidR="00F60B47" w:rsidRPr="00071A47" w:rsidRDefault="00F60B47" w:rsidP="003925AF">
      <w:pPr>
        <w:spacing w:line="240" w:lineRule="auto"/>
        <w:rPr>
          <w:rFonts w:ascii="Arial" w:hAnsi="Arial" w:cs="Arial"/>
          <w:sz w:val="20"/>
          <w:szCs w:val="20"/>
        </w:rPr>
      </w:pPr>
    </w:p>
    <w:p w14:paraId="7239A3AF"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16525263" wp14:editId="0A46D255">
            <wp:extent cx="2639833" cy="1805250"/>
            <wp:effectExtent l="0" t="0" r="825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A7BDD0" w14:textId="6AD82A80"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lastRenderedPageBreak/>
        <w:t>Fig 4. Once in two weeks mean weed count</w:t>
      </w:r>
    </w:p>
    <w:p w14:paraId="284969A9" w14:textId="4EB541BD" w:rsidR="00E86E02" w:rsidRPr="00071A47" w:rsidRDefault="00E86E02" w:rsidP="00071A47">
      <w:pPr>
        <w:spacing w:after="0" w:line="240" w:lineRule="auto"/>
        <w:rPr>
          <w:rFonts w:ascii="Arial" w:hAnsi="Arial" w:cs="Arial"/>
          <w:sz w:val="20"/>
          <w:szCs w:val="20"/>
        </w:rPr>
      </w:pPr>
      <w:r w:rsidRPr="00071A47">
        <w:rPr>
          <w:rFonts w:ascii="Arial" w:hAnsi="Arial" w:cs="Arial"/>
          <w:sz w:val="20"/>
          <w:szCs w:val="20"/>
        </w:rPr>
        <w:t>Note: W= week</w:t>
      </w:r>
    </w:p>
    <w:p w14:paraId="4B18B882" w14:textId="77777777" w:rsidR="00F60B47" w:rsidRPr="00071A47" w:rsidRDefault="00F60B47" w:rsidP="003925AF">
      <w:pPr>
        <w:spacing w:line="240" w:lineRule="auto"/>
        <w:rPr>
          <w:rFonts w:ascii="Arial" w:hAnsi="Arial" w:cs="Arial"/>
          <w:sz w:val="20"/>
          <w:szCs w:val="20"/>
        </w:rPr>
      </w:pPr>
    </w:p>
    <w:p w14:paraId="0E6B243A"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07FC8C91" wp14:editId="7EA95AA2">
            <wp:extent cx="2933700" cy="2052084"/>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11B964" w14:textId="31950537" w:rsidR="00071A47" w:rsidRPr="00071A47" w:rsidRDefault="00071A47" w:rsidP="003925AF">
      <w:pPr>
        <w:spacing w:line="240" w:lineRule="auto"/>
        <w:rPr>
          <w:rFonts w:ascii="Arial" w:hAnsi="Arial" w:cs="Arial"/>
          <w:b/>
          <w:sz w:val="20"/>
          <w:szCs w:val="20"/>
        </w:rPr>
      </w:pPr>
      <w:r w:rsidRPr="00071A47">
        <w:rPr>
          <w:rFonts w:ascii="Arial" w:hAnsi="Arial" w:cs="Arial"/>
          <w:b/>
          <w:sz w:val="20"/>
          <w:szCs w:val="20"/>
        </w:rPr>
        <w:t>Fig 5. Once in three weeks mean weed count</w:t>
      </w:r>
    </w:p>
    <w:p w14:paraId="3F59861C" w14:textId="21D62337" w:rsidR="00FC6999" w:rsidRPr="00071A47" w:rsidRDefault="00FC6999" w:rsidP="003925AF">
      <w:pPr>
        <w:spacing w:line="240" w:lineRule="auto"/>
        <w:rPr>
          <w:rFonts w:ascii="Arial" w:hAnsi="Arial" w:cs="Arial"/>
          <w:sz w:val="20"/>
          <w:szCs w:val="20"/>
        </w:rPr>
      </w:pPr>
      <w:r w:rsidRPr="00071A47">
        <w:rPr>
          <w:rFonts w:ascii="Arial" w:hAnsi="Arial" w:cs="Arial"/>
          <w:sz w:val="20"/>
          <w:szCs w:val="20"/>
        </w:rPr>
        <w:t>Note: W= week</w:t>
      </w:r>
    </w:p>
    <w:p w14:paraId="45506D01" w14:textId="77777777" w:rsidR="00F60B47" w:rsidRPr="00071A47" w:rsidRDefault="00F60B47" w:rsidP="003925AF">
      <w:pPr>
        <w:spacing w:line="240" w:lineRule="auto"/>
        <w:rPr>
          <w:rFonts w:ascii="Arial" w:hAnsi="Arial" w:cs="Arial"/>
          <w:sz w:val="20"/>
          <w:szCs w:val="20"/>
        </w:rPr>
      </w:pPr>
      <w:r w:rsidRPr="00071A47">
        <w:rPr>
          <w:rFonts w:ascii="Arial" w:hAnsi="Arial" w:cs="Arial"/>
          <w:noProof/>
          <w:sz w:val="20"/>
          <w:szCs w:val="20"/>
        </w:rPr>
        <w:drawing>
          <wp:inline distT="0" distB="0" distL="0" distR="0" wp14:anchorId="4206EF63" wp14:editId="1F1A9098">
            <wp:extent cx="3056890" cy="2434856"/>
            <wp:effectExtent l="0" t="0" r="1016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DC309F" w14:textId="3A669F33" w:rsidR="00071A47" w:rsidRPr="00071A47" w:rsidRDefault="00071A47" w:rsidP="00071A47">
      <w:pPr>
        <w:spacing w:after="0" w:line="240" w:lineRule="auto"/>
        <w:rPr>
          <w:rFonts w:ascii="Arial" w:hAnsi="Arial" w:cs="Arial"/>
          <w:b/>
          <w:sz w:val="20"/>
          <w:szCs w:val="20"/>
        </w:rPr>
      </w:pPr>
      <w:r w:rsidRPr="00071A47">
        <w:rPr>
          <w:rFonts w:ascii="Arial" w:hAnsi="Arial" w:cs="Arial"/>
          <w:b/>
          <w:sz w:val="20"/>
          <w:szCs w:val="20"/>
        </w:rPr>
        <w:t>Fig 6. Once in four weeks mean weed count</w:t>
      </w:r>
    </w:p>
    <w:p w14:paraId="3972AB09" w14:textId="3DFAB41A" w:rsidR="00FC6999" w:rsidRPr="00071A47" w:rsidRDefault="00FC6999" w:rsidP="00071A47">
      <w:pPr>
        <w:spacing w:after="0" w:line="240" w:lineRule="auto"/>
        <w:rPr>
          <w:rFonts w:ascii="Arial" w:hAnsi="Arial" w:cs="Arial"/>
          <w:sz w:val="20"/>
          <w:szCs w:val="20"/>
        </w:rPr>
      </w:pPr>
      <w:r w:rsidRPr="00071A47">
        <w:rPr>
          <w:rFonts w:ascii="Arial" w:hAnsi="Arial" w:cs="Arial"/>
          <w:sz w:val="20"/>
          <w:szCs w:val="20"/>
        </w:rPr>
        <w:t>Note: W= week</w:t>
      </w:r>
    </w:p>
    <w:p w14:paraId="632CACAE" w14:textId="77777777" w:rsidR="00761CF0" w:rsidRPr="00071A47" w:rsidRDefault="00761CF0" w:rsidP="003925AF">
      <w:pPr>
        <w:spacing w:line="240" w:lineRule="auto"/>
        <w:rPr>
          <w:rFonts w:ascii="Arial" w:hAnsi="Arial" w:cs="Arial"/>
          <w:sz w:val="20"/>
          <w:szCs w:val="20"/>
        </w:rPr>
      </w:pPr>
    </w:p>
    <w:p w14:paraId="402E7706" w14:textId="781FE109"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The Initial Topsoil (IS) recorded the highest fungal CFU at both dilution levels (19.4 × 10⁴ and 8.4 × 10⁶), reflecting the undisturbed, organic-matter-rich state of the soil prior to nursery management. Saprotrophic fungi are most closely associated with higher soil nutrient levels due to their functional role in organic matter decomposition and nutrient cycling (Wu </w:t>
      </w:r>
      <w:r w:rsidRPr="00071A47">
        <w:rPr>
          <w:rFonts w:ascii="Arial" w:hAnsi="Arial" w:cs="Arial"/>
          <w:i/>
          <w:iCs/>
          <w:sz w:val="20"/>
          <w:szCs w:val="20"/>
        </w:rPr>
        <w:t>et al</w:t>
      </w:r>
      <w:r w:rsidRPr="00071A47">
        <w:rPr>
          <w:rFonts w:ascii="Arial" w:hAnsi="Arial" w:cs="Arial"/>
          <w:sz w:val="20"/>
          <w:szCs w:val="20"/>
        </w:rPr>
        <w:t>., 2019). Once soil was transferred into polybags and subjected to weeding, fungal populations declined across all treatments, consistent with the disruptive effect of management on established fungal communities.</w:t>
      </w:r>
    </w:p>
    <w:p w14:paraId="51990954" w14:textId="0C501F41" w:rsidR="003925AF" w:rsidRPr="00071A47" w:rsidRDefault="003925AF" w:rsidP="003925AF">
      <w:pPr>
        <w:spacing w:line="240" w:lineRule="auto"/>
        <w:jc w:val="both"/>
        <w:rPr>
          <w:rFonts w:ascii="Arial" w:hAnsi="Arial" w:cs="Arial"/>
          <w:sz w:val="20"/>
          <w:szCs w:val="20"/>
        </w:rPr>
      </w:pPr>
      <w:r w:rsidRPr="00071A47">
        <w:rPr>
          <w:rFonts w:ascii="Arial" w:hAnsi="Arial" w:cs="Arial"/>
          <w:sz w:val="20"/>
          <w:szCs w:val="20"/>
        </w:rPr>
        <w:t xml:space="preserve">Among weeding regimes, the Weed-free (WF) treatment recorded the lowest CFU at ×10⁴ (6.8), as the absence of weeds eliminated organic inputs from root exudates and decomposing biomass that sustain soil fungi. Weeds tend to have positive interactions with soil microorganisms through their </w:t>
      </w:r>
      <w:proofErr w:type="spellStart"/>
      <w:r w:rsidRPr="00071A47">
        <w:rPr>
          <w:rFonts w:ascii="Arial" w:hAnsi="Arial" w:cs="Arial"/>
          <w:sz w:val="20"/>
          <w:szCs w:val="20"/>
        </w:rPr>
        <w:t>rhizospheric</w:t>
      </w:r>
      <w:proofErr w:type="spellEnd"/>
      <w:r w:rsidRPr="00071A47">
        <w:rPr>
          <w:rFonts w:ascii="Arial" w:hAnsi="Arial" w:cs="Arial"/>
          <w:sz w:val="20"/>
          <w:szCs w:val="20"/>
        </w:rPr>
        <w:t xml:space="preserve"> contributions (</w:t>
      </w:r>
      <w:proofErr w:type="spellStart"/>
      <w:r w:rsidRPr="00071A47">
        <w:rPr>
          <w:rFonts w:ascii="Arial" w:hAnsi="Arial" w:cs="Arial"/>
          <w:sz w:val="20"/>
          <w:szCs w:val="20"/>
        </w:rPr>
        <w:t>Massenssini</w:t>
      </w:r>
      <w:proofErr w:type="spellEnd"/>
      <w:r w:rsidRPr="00071A47">
        <w:rPr>
          <w:rFonts w:ascii="Arial" w:hAnsi="Arial" w:cs="Arial"/>
          <w:sz w:val="20"/>
          <w:szCs w:val="20"/>
        </w:rPr>
        <w:t xml:space="preserve"> </w:t>
      </w:r>
      <w:r w:rsidRPr="00071A47">
        <w:rPr>
          <w:rFonts w:ascii="Arial" w:hAnsi="Arial" w:cs="Arial"/>
          <w:i/>
          <w:iCs/>
          <w:sz w:val="20"/>
          <w:szCs w:val="20"/>
        </w:rPr>
        <w:t>et al</w:t>
      </w:r>
      <w:r w:rsidRPr="00071A47">
        <w:rPr>
          <w:rFonts w:ascii="Arial" w:hAnsi="Arial" w:cs="Arial"/>
          <w:sz w:val="20"/>
          <w:szCs w:val="20"/>
        </w:rPr>
        <w:t xml:space="preserve">., 2014). The Weedy Check (WC) correspondingly recorded higher counts (8.2 × 10⁴; 5.2 × 10⁶) than WF, confirming weed-driven microbial stimulation. Periodically weeded treatments (1W–4W) recorded intermediate values, suggesting moderate weeding frequency better </w:t>
      </w:r>
      <w:r w:rsidRPr="00071A47">
        <w:rPr>
          <w:rFonts w:ascii="Arial" w:hAnsi="Arial" w:cs="Arial"/>
          <w:sz w:val="20"/>
          <w:szCs w:val="20"/>
        </w:rPr>
        <w:lastRenderedPageBreak/>
        <w:t xml:space="preserve">preserved a functional soil fungal community. Soil physical disturbance from weeding significantly alters fungal community structure and reduces nutrient levels supporting fungal establishment (Wang </w:t>
      </w:r>
      <w:r w:rsidRPr="00071A47">
        <w:rPr>
          <w:rFonts w:ascii="Arial" w:hAnsi="Arial" w:cs="Arial"/>
          <w:i/>
          <w:iCs/>
          <w:sz w:val="20"/>
          <w:szCs w:val="20"/>
        </w:rPr>
        <w:t>et al</w:t>
      </w:r>
      <w:r w:rsidRPr="00071A47">
        <w:rPr>
          <w:rFonts w:ascii="Arial" w:hAnsi="Arial" w:cs="Arial"/>
          <w:sz w:val="20"/>
          <w:szCs w:val="20"/>
        </w:rPr>
        <w:t xml:space="preserve">., 2017). </w:t>
      </w:r>
      <w:r w:rsidR="00AE4926">
        <w:rPr>
          <w:rFonts w:ascii="Arial" w:hAnsi="Arial" w:cs="Arial"/>
          <w:sz w:val="20"/>
          <w:szCs w:val="20"/>
        </w:rPr>
        <w:t>C</w:t>
      </w:r>
      <w:r w:rsidRPr="00071A47">
        <w:rPr>
          <w:rFonts w:ascii="Arial" w:hAnsi="Arial" w:cs="Arial"/>
          <w:sz w:val="20"/>
          <w:szCs w:val="20"/>
        </w:rPr>
        <w:t xml:space="preserve">onfined nursery conditions with repeated soil disturbance discourage beneficial fungal communities, potentially selecting for opportunistic species (Marčiulynienė </w:t>
      </w:r>
      <w:r w:rsidRPr="00071A47">
        <w:rPr>
          <w:rFonts w:ascii="Arial" w:hAnsi="Arial" w:cs="Arial"/>
          <w:i/>
          <w:iCs/>
          <w:sz w:val="20"/>
          <w:szCs w:val="20"/>
        </w:rPr>
        <w:t>et al</w:t>
      </w:r>
      <w:r w:rsidRPr="00071A47">
        <w:rPr>
          <w:rFonts w:ascii="Arial" w:hAnsi="Arial" w:cs="Arial"/>
          <w:sz w:val="20"/>
          <w:szCs w:val="20"/>
        </w:rPr>
        <w:t>., 2021) that may compromise cashew seedling health.</w:t>
      </w:r>
    </w:p>
    <w:p w14:paraId="6C9267D7" w14:textId="77777777" w:rsidR="001B5402" w:rsidRPr="00071A47" w:rsidRDefault="001B5402" w:rsidP="003925AF">
      <w:pPr>
        <w:spacing w:line="240" w:lineRule="auto"/>
        <w:rPr>
          <w:rFonts w:ascii="Arial" w:hAnsi="Arial" w:cs="Arial"/>
          <w:sz w:val="20"/>
          <w:szCs w:val="20"/>
        </w:rPr>
      </w:pPr>
    </w:p>
    <w:p w14:paraId="47A697C5" w14:textId="3E9064C2" w:rsidR="001B5402" w:rsidRPr="00071A47" w:rsidRDefault="001B5402" w:rsidP="003925AF">
      <w:pPr>
        <w:spacing w:line="240" w:lineRule="auto"/>
        <w:jc w:val="both"/>
        <w:rPr>
          <w:rFonts w:ascii="Arial" w:hAnsi="Arial" w:cs="Arial"/>
          <w:b/>
          <w:sz w:val="20"/>
          <w:szCs w:val="20"/>
        </w:rPr>
      </w:pPr>
      <w:r w:rsidRPr="00071A47">
        <w:rPr>
          <w:rFonts w:ascii="Arial" w:hAnsi="Arial" w:cs="Arial"/>
          <w:b/>
          <w:sz w:val="20"/>
          <w:szCs w:val="20"/>
        </w:rPr>
        <w:t>Table 5</w:t>
      </w:r>
      <w:r w:rsidR="00071A47">
        <w:rPr>
          <w:rFonts w:ascii="Arial" w:hAnsi="Arial" w:cs="Arial"/>
          <w:b/>
          <w:sz w:val="20"/>
          <w:szCs w:val="20"/>
        </w:rPr>
        <w:t>.</w:t>
      </w:r>
      <w:r w:rsidRPr="00071A47">
        <w:rPr>
          <w:rFonts w:ascii="Arial" w:hAnsi="Arial" w:cs="Arial"/>
          <w:b/>
          <w:sz w:val="20"/>
          <w:szCs w:val="20"/>
        </w:rPr>
        <w:t xml:space="preserve"> Colony forming unit of fungi in </w:t>
      </w:r>
      <w:r w:rsidR="00B67829" w:rsidRPr="00071A47">
        <w:rPr>
          <w:rFonts w:ascii="Arial" w:hAnsi="Arial" w:cs="Arial"/>
          <w:b/>
          <w:sz w:val="20"/>
          <w:szCs w:val="20"/>
        </w:rPr>
        <w:t>the treatments soil sample.</w:t>
      </w:r>
    </w:p>
    <w:tbl>
      <w:tblPr>
        <w:tblW w:w="7012" w:type="dxa"/>
        <w:tblLook w:val="04A0" w:firstRow="1" w:lastRow="0" w:firstColumn="1" w:lastColumn="0" w:noHBand="0" w:noVBand="1"/>
      </w:tblPr>
      <w:tblGrid>
        <w:gridCol w:w="3618"/>
        <w:gridCol w:w="1684"/>
        <w:gridCol w:w="1710"/>
      </w:tblGrid>
      <w:tr w:rsidR="001B5402" w:rsidRPr="00071A47" w14:paraId="2AFF2C93" w14:textId="77777777" w:rsidTr="0063161C">
        <w:trPr>
          <w:cantSplit/>
          <w:tblHeader/>
        </w:trPr>
        <w:tc>
          <w:tcPr>
            <w:tcW w:w="3618" w:type="dxa"/>
            <w:tcBorders>
              <w:top w:val="single" w:sz="4" w:space="0" w:color="auto"/>
              <w:bottom w:val="single" w:sz="4" w:space="0" w:color="auto"/>
            </w:tcBorders>
            <w:tcMar>
              <w:top w:w="0" w:type="dxa"/>
              <w:left w:w="108" w:type="dxa"/>
              <w:bottom w:w="0" w:type="dxa"/>
              <w:right w:w="108" w:type="dxa"/>
            </w:tcMar>
          </w:tcPr>
          <w:p w14:paraId="5D19335C"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b/>
                <w:bCs/>
                <w:sz w:val="20"/>
                <w:szCs w:val="20"/>
              </w:rPr>
              <w:t>Treatments</w:t>
            </w:r>
          </w:p>
        </w:tc>
        <w:tc>
          <w:tcPr>
            <w:tcW w:w="1684" w:type="dxa"/>
            <w:tcBorders>
              <w:top w:val="single" w:sz="4" w:space="0" w:color="auto"/>
              <w:bottom w:val="single" w:sz="4" w:space="0" w:color="auto"/>
            </w:tcBorders>
            <w:tcMar>
              <w:top w:w="0" w:type="dxa"/>
              <w:left w:w="108" w:type="dxa"/>
              <w:bottom w:w="0" w:type="dxa"/>
              <w:right w:w="108" w:type="dxa"/>
            </w:tcMar>
          </w:tcPr>
          <w:p w14:paraId="2AD4459D" w14:textId="77777777" w:rsidR="001B5402" w:rsidRPr="00071A47" w:rsidRDefault="001B5402" w:rsidP="003925AF">
            <w:pPr>
              <w:spacing w:line="240" w:lineRule="auto"/>
              <w:jc w:val="both"/>
              <w:rPr>
                <w:rFonts w:ascii="Arial" w:hAnsi="Arial" w:cs="Arial"/>
                <w:sz w:val="20"/>
                <w:szCs w:val="20"/>
              </w:rPr>
            </w:pPr>
            <w:proofErr w:type="spellStart"/>
            <w:r w:rsidRPr="00071A47">
              <w:rPr>
                <w:rFonts w:ascii="Arial" w:hAnsi="Arial" w:cs="Arial"/>
                <w:b/>
                <w:bCs/>
                <w:sz w:val="20"/>
                <w:szCs w:val="20"/>
              </w:rPr>
              <w:t>Cfu</w:t>
            </w:r>
            <w:proofErr w:type="spellEnd"/>
            <w:r w:rsidRPr="00071A47">
              <w:rPr>
                <w:rFonts w:ascii="Arial" w:hAnsi="Arial" w:cs="Arial"/>
                <w:b/>
                <w:bCs/>
                <w:sz w:val="20"/>
                <w:szCs w:val="20"/>
              </w:rPr>
              <w:t xml:space="preserve"> x10</w:t>
            </w:r>
            <w:r w:rsidRPr="00071A47">
              <w:rPr>
                <w:rFonts w:ascii="Arial" w:hAnsi="Arial" w:cs="Arial"/>
                <w:b/>
                <w:bCs/>
                <w:sz w:val="20"/>
                <w:szCs w:val="20"/>
                <w:vertAlign w:val="superscript"/>
              </w:rPr>
              <w:t>4</w:t>
            </w:r>
          </w:p>
        </w:tc>
        <w:tc>
          <w:tcPr>
            <w:tcW w:w="1710" w:type="dxa"/>
            <w:tcBorders>
              <w:top w:val="single" w:sz="4" w:space="0" w:color="auto"/>
              <w:bottom w:val="single" w:sz="4" w:space="0" w:color="auto"/>
            </w:tcBorders>
            <w:tcMar>
              <w:top w:w="0" w:type="dxa"/>
              <w:left w:w="108" w:type="dxa"/>
              <w:bottom w:w="0" w:type="dxa"/>
              <w:right w:w="108" w:type="dxa"/>
            </w:tcMar>
          </w:tcPr>
          <w:p w14:paraId="2C7F4ECF" w14:textId="77777777" w:rsidR="001B5402" w:rsidRPr="00071A47" w:rsidRDefault="001B5402" w:rsidP="003925AF">
            <w:pPr>
              <w:spacing w:line="240" w:lineRule="auto"/>
              <w:jc w:val="both"/>
              <w:rPr>
                <w:rFonts w:ascii="Arial" w:hAnsi="Arial" w:cs="Arial"/>
                <w:sz w:val="20"/>
                <w:szCs w:val="20"/>
              </w:rPr>
            </w:pPr>
            <w:proofErr w:type="spellStart"/>
            <w:r w:rsidRPr="00071A47">
              <w:rPr>
                <w:rFonts w:ascii="Arial" w:hAnsi="Arial" w:cs="Arial"/>
                <w:b/>
                <w:bCs/>
                <w:sz w:val="20"/>
                <w:szCs w:val="20"/>
              </w:rPr>
              <w:t>Cfu</w:t>
            </w:r>
            <w:proofErr w:type="spellEnd"/>
            <w:r w:rsidRPr="00071A47">
              <w:rPr>
                <w:rFonts w:ascii="Arial" w:hAnsi="Arial" w:cs="Arial"/>
                <w:b/>
                <w:bCs/>
                <w:sz w:val="20"/>
                <w:szCs w:val="20"/>
              </w:rPr>
              <w:t xml:space="preserve"> x10</w:t>
            </w:r>
            <w:r w:rsidRPr="00071A47">
              <w:rPr>
                <w:rFonts w:ascii="Arial" w:hAnsi="Arial" w:cs="Arial"/>
                <w:b/>
                <w:bCs/>
                <w:sz w:val="20"/>
                <w:szCs w:val="20"/>
                <w:vertAlign w:val="superscript"/>
              </w:rPr>
              <w:t>6</w:t>
            </w:r>
          </w:p>
        </w:tc>
      </w:tr>
      <w:tr w:rsidR="001B5402" w:rsidRPr="00071A47" w14:paraId="1246912B" w14:textId="77777777" w:rsidTr="0063161C">
        <w:trPr>
          <w:cantSplit/>
          <w:tblHeader/>
        </w:trPr>
        <w:tc>
          <w:tcPr>
            <w:tcW w:w="3618" w:type="dxa"/>
            <w:tcBorders>
              <w:top w:val="single" w:sz="4" w:space="0" w:color="auto"/>
            </w:tcBorders>
            <w:tcMar>
              <w:top w:w="0" w:type="dxa"/>
              <w:left w:w="108" w:type="dxa"/>
              <w:bottom w:w="0" w:type="dxa"/>
              <w:right w:w="108" w:type="dxa"/>
            </w:tcMar>
          </w:tcPr>
          <w:p w14:paraId="1A5DC0EC"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1W</w:t>
            </w:r>
          </w:p>
        </w:tc>
        <w:tc>
          <w:tcPr>
            <w:tcW w:w="1684" w:type="dxa"/>
            <w:tcBorders>
              <w:top w:val="single" w:sz="4" w:space="0" w:color="auto"/>
            </w:tcBorders>
            <w:tcMar>
              <w:top w:w="0" w:type="dxa"/>
              <w:left w:w="108" w:type="dxa"/>
              <w:bottom w:w="0" w:type="dxa"/>
              <w:right w:w="108" w:type="dxa"/>
            </w:tcMar>
          </w:tcPr>
          <w:p w14:paraId="19BED615"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10.2</w:t>
            </w:r>
          </w:p>
        </w:tc>
        <w:tc>
          <w:tcPr>
            <w:tcW w:w="1710" w:type="dxa"/>
            <w:tcBorders>
              <w:top w:val="single" w:sz="4" w:space="0" w:color="auto"/>
            </w:tcBorders>
            <w:tcMar>
              <w:top w:w="0" w:type="dxa"/>
              <w:left w:w="108" w:type="dxa"/>
              <w:bottom w:w="0" w:type="dxa"/>
              <w:right w:w="108" w:type="dxa"/>
            </w:tcMar>
          </w:tcPr>
          <w:p w14:paraId="4927ADE2"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4.4</w:t>
            </w:r>
          </w:p>
        </w:tc>
      </w:tr>
      <w:tr w:rsidR="001B5402" w:rsidRPr="00071A47" w14:paraId="32C420A3" w14:textId="77777777" w:rsidTr="0063161C">
        <w:trPr>
          <w:cantSplit/>
          <w:tblHeader/>
        </w:trPr>
        <w:tc>
          <w:tcPr>
            <w:tcW w:w="3618" w:type="dxa"/>
            <w:tcMar>
              <w:top w:w="0" w:type="dxa"/>
              <w:left w:w="108" w:type="dxa"/>
              <w:bottom w:w="0" w:type="dxa"/>
              <w:right w:w="108" w:type="dxa"/>
            </w:tcMar>
          </w:tcPr>
          <w:p w14:paraId="383BDED6"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2W</w:t>
            </w:r>
          </w:p>
        </w:tc>
        <w:tc>
          <w:tcPr>
            <w:tcW w:w="1684" w:type="dxa"/>
            <w:tcMar>
              <w:top w:w="0" w:type="dxa"/>
              <w:left w:w="108" w:type="dxa"/>
              <w:bottom w:w="0" w:type="dxa"/>
              <w:right w:w="108" w:type="dxa"/>
            </w:tcMar>
          </w:tcPr>
          <w:p w14:paraId="6BE084C4"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8.0</w:t>
            </w:r>
          </w:p>
        </w:tc>
        <w:tc>
          <w:tcPr>
            <w:tcW w:w="1710" w:type="dxa"/>
            <w:tcMar>
              <w:top w:w="0" w:type="dxa"/>
              <w:left w:w="108" w:type="dxa"/>
              <w:bottom w:w="0" w:type="dxa"/>
              <w:right w:w="108" w:type="dxa"/>
            </w:tcMar>
          </w:tcPr>
          <w:p w14:paraId="1F5248EB"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4.4</w:t>
            </w:r>
          </w:p>
        </w:tc>
      </w:tr>
      <w:tr w:rsidR="001B5402" w:rsidRPr="00071A47" w14:paraId="5937CCC1" w14:textId="77777777" w:rsidTr="0063161C">
        <w:trPr>
          <w:cantSplit/>
          <w:tblHeader/>
        </w:trPr>
        <w:tc>
          <w:tcPr>
            <w:tcW w:w="3618" w:type="dxa"/>
            <w:tcMar>
              <w:top w:w="0" w:type="dxa"/>
              <w:left w:w="108" w:type="dxa"/>
              <w:bottom w:w="0" w:type="dxa"/>
              <w:right w:w="108" w:type="dxa"/>
            </w:tcMar>
          </w:tcPr>
          <w:p w14:paraId="2924C8B6"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3W</w:t>
            </w:r>
          </w:p>
        </w:tc>
        <w:tc>
          <w:tcPr>
            <w:tcW w:w="1684" w:type="dxa"/>
            <w:tcMar>
              <w:top w:w="0" w:type="dxa"/>
              <w:left w:w="108" w:type="dxa"/>
              <w:bottom w:w="0" w:type="dxa"/>
              <w:right w:w="108" w:type="dxa"/>
            </w:tcMar>
          </w:tcPr>
          <w:p w14:paraId="0334AA24"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10.0</w:t>
            </w:r>
          </w:p>
        </w:tc>
        <w:tc>
          <w:tcPr>
            <w:tcW w:w="1710" w:type="dxa"/>
            <w:tcMar>
              <w:top w:w="0" w:type="dxa"/>
              <w:left w:w="108" w:type="dxa"/>
              <w:bottom w:w="0" w:type="dxa"/>
              <w:right w:w="108" w:type="dxa"/>
            </w:tcMar>
          </w:tcPr>
          <w:p w14:paraId="166FC726"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4.2</w:t>
            </w:r>
          </w:p>
        </w:tc>
      </w:tr>
      <w:tr w:rsidR="001B5402" w:rsidRPr="00071A47" w14:paraId="16FC0FF3" w14:textId="77777777" w:rsidTr="0063161C">
        <w:trPr>
          <w:cantSplit/>
          <w:tblHeader/>
        </w:trPr>
        <w:tc>
          <w:tcPr>
            <w:tcW w:w="3618" w:type="dxa"/>
            <w:tcMar>
              <w:top w:w="0" w:type="dxa"/>
              <w:left w:w="108" w:type="dxa"/>
              <w:bottom w:w="0" w:type="dxa"/>
              <w:right w:w="108" w:type="dxa"/>
            </w:tcMar>
          </w:tcPr>
          <w:p w14:paraId="4CB6F1B0"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4W</w:t>
            </w:r>
          </w:p>
        </w:tc>
        <w:tc>
          <w:tcPr>
            <w:tcW w:w="1684" w:type="dxa"/>
            <w:tcMar>
              <w:top w:w="0" w:type="dxa"/>
              <w:left w:w="108" w:type="dxa"/>
              <w:bottom w:w="0" w:type="dxa"/>
              <w:right w:w="108" w:type="dxa"/>
            </w:tcMar>
          </w:tcPr>
          <w:p w14:paraId="2162C428"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9.2</w:t>
            </w:r>
          </w:p>
        </w:tc>
        <w:tc>
          <w:tcPr>
            <w:tcW w:w="1710" w:type="dxa"/>
            <w:tcMar>
              <w:top w:w="0" w:type="dxa"/>
              <w:left w:w="108" w:type="dxa"/>
              <w:bottom w:w="0" w:type="dxa"/>
              <w:right w:w="108" w:type="dxa"/>
            </w:tcMar>
          </w:tcPr>
          <w:p w14:paraId="650BF67D"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4.4</w:t>
            </w:r>
          </w:p>
        </w:tc>
      </w:tr>
      <w:tr w:rsidR="001B5402" w:rsidRPr="00071A47" w14:paraId="3586DC46" w14:textId="77777777" w:rsidTr="0063161C">
        <w:trPr>
          <w:cantSplit/>
          <w:tblHeader/>
        </w:trPr>
        <w:tc>
          <w:tcPr>
            <w:tcW w:w="3618" w:type="dxa"/>
            <w:tcMar>
              <w:top w:w="0" w:type="dxa"/>
              <w:left w:w="108" w:type="dxa"/>
              <w:bottom w:w="0" w:type="dxa"/>
              <w:right w:w="108" w:type="dxa"/>
            </w:tcMar>
          </w:tcPr>
          <w:p w14:paraId="5EFC9E63"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WF</w:t>
            </w:r>
          </w:p>
        </w:tc>
        <w:tc>
          <w:tcPr>
            <w:tcW w:w="1684" w:type="dxa"/>
            <w:tcMar>
              <w:top w:w="0" w:type="dxa"/>
              <w:left w:w="108" w:type="dxa"/>
              <w:bottom w:w="0" w:type="dxa"/>
              <w:right w:w="108" w:type="dxa"/>
            </w:tcMar>
          </w:tcPr>
          <w:p w14:paraId="1C553640"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6.8</w:t>
            </w:r>
          </w:p>
        </w:tc>
        <w:tc>
          <w:tcPr>
            <w:tcW w:w="1710" w:type="dxa"/>
            <w:tcMar>
              <w:top w:w="0" w:type="dxa"/>
              <w:left w:w="108" w:type="dxa"/>
              <w:bottom w:w="0" w:type="dxa"/>
              <w:right w:w="108" w:type="dxa"/>
            </w:tcMar>
          </w:tcPr>
          <w:p w14:paraId="0C0EF983"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6.6</w:t>
            </w:r>
          </w:p>
        </w:tc>
      </w:tr>
      <w:tr w:rsidR="001B5402" w:rsidRPr="00071A47" w14:paraId="3BF88C3E" w14:textId="77777777" w:rsidTr="0063161C">
        <w:trPr>
          <w:cantSplit/>
          <w:tblHeader/>
        </w:trPr>
        <w:tc>
          <w:tcPr>
            <w:tcW w:w="3618" w:type="dxa"/>
            <w:tcMar>
              <w:top w:w="0" w:type="dxa"/>
              <w:left w:w="108" w:type="dxa"/>
              <w:bottom w:w="0" w:type="dxa"/>
              <w:right w:w="108" w:type="dxa"/>
            </w:tcMar>
          </w:tcPr>
          <w:p w14:paraId="11BD406D"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WC</w:t>
            </w:r>
          </w:p>
        </w:tc>
        <w:tc>
          <w:tcPr>
            <w:tcW w:w="1684" w:type="dxa"/>
            <w:tcMar>
              <w:top w:w="0" w:type="dxa"/>
              <w:left w:w="108" w:type="dxa"/>
              <w:bottom w:w="0" w:type="dxa"/>
              <w:right w:w="108" w:type="dxa"/>
            </w:tcMar>
          </w:tcPr>
          <w:p w14:paraId="245D44A8"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8.2</w:t>
            </w:r>
          </w:p>
        </w:tc>
        <w:tc>
          <w:tcPr>
            <w:tcW w:w="1710" w:type="dxa"/>
            <w:tcMar>
              <w:top w:w="0" w:type="dxa"/>
              <w:left w:w="108" w:type="dxa"/>
              <w:bottom w:w="0" w:type="dxa"/>
              <w:right w:w="108" w:type="dxa"/>
            </w:tcMar>
          </w:tcPr>
          <w:p w14:paraId="291F9735"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5.2</w:t>
            </w:r>
          </w:p>
        </w:tc>
      </w:tr>
      <w:tr w:rsidR="001B5402" w:rsidRPr="00071A47" w14:paraId="416551FD" w14:textId="77777777" w:rsidTr="0063161C">
        <w:trPr>
          <w:cantSplit/>
          <w:tblHeader/>
        </w:trPr>
        <w:tc>
          <w:tcPr>
            <w:tcW w:w="3618" w:type="dxa"/>
            <w:tcBorders>
              <w:bottom w:val="single" w:sz="4" w:space="0" w:color="auto"/>
            </w:tcBorders>
            <w:tcMar>
              <w:top w:w="0" w:type="dxa"/>
              <w:left w:w="108" w:type="dxa"/>
              <w:bottom w:w="0" w:type="dxa"/>
              <w:right w:w="108" w:type="dxa"/>
            </w:tcMar>
          </w:tcPr>
          <w:p w14:paraId="49290502" w14:textId="77777777" w:rsidR="001B5402" w:rsidRPr="00071A47" w:rsidRDefault="001B5402" w:rsidP="003925AF">
            <w:pPr>
              <w:spacing w:line="240" w:lineRule="auto"/>
              <w:jc w:val="center"/>
              <w:rPr>
                <w:rFonts w:ascii="Arial" w:hAnsi="Arial" w:cs="Arial"/>
                <w:sz w:val="20"/>
                <w:szCs w:val="20"/>
              </w:rPr>
            </w:pPr>
            <w:r w:rsidRPr="00071A47">
              <w:rPr>
                <w:rFonts w:ascii="Arial" w:hAnsi="Arial" w:cs="Arial"/>
                <w:sz w:val="20"/>
                <w:szCs w:val="20"/>
              </w:rPr>
              <w:t>IS (Control)</w:t>
            </w:r>
          </w:p>
        </w:tc>
        <w:tc>
          <w:tcPr>
            <w:tcW w:w="1684" w:type="dxa"/>
            <w:tcBorders>
              <w:bottom w:val="single" w:sz="4" w:space="0" w:color="auto"/>
            </w:tcBorders>
            <w:tcMar>
              <w:top w:w="0" w:type="dxa"/>
              <w:left w:w="108" w:type="dxa"/>
              <w:bottom w:w="0" w:type="dxa"/>
              <w:right w:w="108" w:type="dxa"/>
            </w:tcMar>
          </w:tcPr>
          <w:p w14:paraId="45B1F970"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19.4</w:t>
            </w:r>
          </w:p>
        </w:tc>
        <w:tc>
          <w:tcPr>
            <w:tcW w:w="1710" w:type="dxa"/>
            <w:tcBorders>
              <w:bottom w:val="single" w:sz="4" w:space="0" w:color="auto"/>
            </w:tcBorders>
            <w:tcMar>
              <w:top w:w="0" w:type="dxa"/>
              <w:left w:w="108" w:type="dxa"/>
              <w:bottom w:w="0" w:type="dxa"/>
              <w:right w:w="108" w:type="dxa"/>
            </w:tcMar>
          </w:tcPr>
          <w:p w14:paraId="57BB241D" w14:textId="77777777" w:rsidR="001B5402" w:rsidRPr="00071A47" w:rsidRDefault="001B5402" w:rsidP="003925AF">
            <w:pPr>
              <w:spacing w:line="240" w:lineRule="auto"/>
              <w:jc w:val="both"/>
              <w:rPr>
                <w:rFonts w:ascii="Arial" w:hAnsi="Arial" w:cs="Arial"/>
                <w:sz w:val="20"/>
                <w:szCs w:val="20"/>
              </w:rPr>
            </w:pPr>
            <w:r w:rsidRPr="00071A47">
              <w:rPr>
                <w:rFonts w:ascii="Arial" w:hAnsi="Arial" w:cs="Arial"/>
                <w:sz w:val="20"/>
                <w:szCs w:val="20"/>
              </w:rPr>
              <w:t>8.4</w:t>
            </w:r>
          </w:p>
        </w:tc>
      </w:tr>
    </w:tbl>
    <w:p w14:paraId="67072E80"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 xml:space="preserve">Note: </w:t>
      </w:r>
      <w:proofErr w:type="spellStart"/>
      <w:r w:rsidRPr="00071A47">
        <w:rPr>
          <w:rFonts w:ascii="Arial" w:hAnsi="Arial" w:cs="Arial"/>
          <w:sz w:val="20"/>
          <w:szCs w:val="20"/>
        </w:rPr>
        <w:t>Cfu</w:t>
      </w:r>
      <w:proofErr w:type="spellEnd"/>
      <w:r w:rsidRPr="00071A47">
        <w:rPr>
          <w:rFonts w:ascii="Arial" w:hAnsi="Arial" w:cs="Arial"/>
          <w:sz w:val="20"/>
          <w:szCs w:val="20"/>
        </w:rPr>
        <w:t xml:space="preserve"> = colony forming unit; WF= Weed-free; WC= Weedy check; </w:t>
      </w:r>
    </w:p>
    <w:p w14:paraId="198FCB4E"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1W= Once in a week weeding; 2W= Once in two weeks weeding; 3W=</w:t>
      </w:r>
    </w:p>
    <w:p w14:paraId="3C772AE8"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 xml:space="preserve"> Once in three weeks weeding; 4W= Once in 4 weeks weeding; IS= Initial</w:t>
      </w:r>
    </w:p>
    <w:p w14:paraId="42B5C944" w14:textId="77777777" w:rsidR="001B5402" w:rsidRPr="00071A47" w:rsidRDefault="001B5402" w:rsidP="003925AF">
      <w:pPr>
        <w:spacing w:after="0" w:line="240" w:lineRule="auto"/>
        <w:rPr>
          <w:rFonts w:ascii="Arial" w:hAnsi="Arial" w:cs="Arial"/>
          <w:sz w:val="20"/>
          <w:szCs w:val="20"/>
        </w:rPr>
      </w:pPr>
      <w:r w:rsidRPr="00071A47">
        <w:rPr>
          <w:rFonts w:ascii="Arial" w:hAnsi="Arial" w:cs="Arial"/>
          <w:sz w:val="20"/>
          <w:szCs w:val="20"/>
        </w:rPr>
        <w:t xml:space="preserve"> topsoil sample (Control).</w:t>
      </w:r>
    </w:p>
    <w:p w14:paraId="52F71E61" w14:textId="77777777" w:rsidR="005F56E3" w:rsidRPr="00071A47" w:rsidRDefault="005F56E3" w:rsidP="003925AF">
      <w:pPr>
        <w:spacing w:line="240" w:lineRule="auto"/>
        <w:rPr>
          <w:rFonts w:ascii="Arial" w:hAnsi="Arial" w:cs="Arial"/>
          <w:sz w:val="20"/>
          <w:szCs w:val="20"/>
        </w:rPr>
      </w:pPr>
    </w:p>
    <w:p w14:paraId="6D553F8F" w14:textId="78CBA8EC" w:rsidR="00B67829" w:rsidRPr="00071A47" w:rsidRDefault="00B67829" w:rsidP="003925AF">
      <w:pPr>
        <w:spacing w:line="240" w:lineRule="auto"/>
        <w:jc w:val="both"/>
        <w:rPr>
          <w:rFonts w:ascii="Arial" w:hAnsi="Arial" w:cs="Arial"/>
          <w:sz w:val="20"/>
          <w:szCs w:val="20"/>
          <w:shd w:val="clear" w:color="auto" w:fill="FFFFFF"/>
        </w:rPr>
      </w:pPr>
      <w:r w:rsidRPr="00071A47">
        <w:rPr>
          <w:rFonts w:ascii="Arial" w:hAnsi="Arial" w:cs="Arial"/>
          <w:sz w:val="20"/>
          <w:szCs w:val="20"/>
        </w:rPr>
        <w:t xml:space="preserve">From Table 6, it is evident that </w:t>
      </w:r>
      <w:r w:rsidRPr="00071A47">
        <w:rPr>
          <w:rFonts w:ascii="Arial" w:hAnsi="Arial" w:cs="Arial"/>
          <w:i/>
          <w:sz w:val="20"/>
          <w:szCs w:val="20"/>
        </w:rPr>
        <w:t xml:space="preserve">Aspergillus </w:t>
      </w:r>
      <w:proofErr w:type="spellStart"/>
      <w:r w:rsidRPr="00071A47">
        <w:rPr>
          <w:rFonts w:ascii="Arial" w:hAnsi="Arial" w:cs="Arial"/>
          <w:i/>
          <w:sz w:val="20"/>
          <w:szCs w:val="20"/>
        </w:rPr>
        <w:t>niger</w:t>
      </w:r>
      <w:proofErr w:type="spellEnd"/>
      <w:r w:rsidRPr="00071A47">
        <w:rPr>
          <w:rFonts w:ascii="Arial" w:hAnsi="Arial" w:cs="Arial"/>
          <w:sz w:val="20"/>
          <w:szCs w:val="20"/>
        </w:rPr>
        <w:t xml:space="preserve"> and </w:t>
      </w:r>
      <w:r w:rsidRPr="00071A47">
        <w:rPr>
          <w:rFonts w:ascii="Arial" w:hAnsi="Arial" w:cs="Arial"/>
          <w:i/>
          <w:sz w:val="20"/>
          <w:szCs w:val="20"/>
        </w:rPr>
        <w:t>A. fumigatus</w:t>
      </w:r>
      <w:r w:rsidRPr="00071A47">
        <w:rPr>
          <w:rFonts w:ascii="Arial" w:hAnsi="Arial" w:cs="Arial"/>
          <w:sz w:val="20"/>
          <w:szCs w:val="20"/>
        </w:rPr>
        <w:t xml:space="preserve"> are present across all treatments, highlighting their resilience and adaptabilit</w:t>
      </w:r>
      <w:r w:rsidR="00BA4F18" w:rsidRPr="00071A47">
        <w:rPr>
          <w:rFonts w:ascii="Arial" w:hAnsi="Arial" w:cs="Arial"/>
          <w:sz w:val="20"/>
          <w:szCs w:val="20"/>
        </w:rPr>
        <w:t xml:space="preserve">y to different weeding regimes as they have also been observed to influence good soil health when present in moderate form (Nayak </w:t>
      </w:r>
      <w:r w:rsidR="00BA4F18" w:rsidRPr="00071A47">
        <w:rPr>
          <w:rFonts w:ascii="Arial" w:hAnsi="Arial" w:cs="Arial"/>
          <w:i/>
          <w:sz w:val="20"/>
          <w:szCs w:val="20"/>
        </w:rPr>
        <w:t>et al</w:t>
      </w:r>
      <w:r w:rsidR="00BA4F18" w:rsidRPr="00071A47">
        <w:rPr>
          <w:rFonts w:ascii="Arial" w:hAnsi="Arial" w:cs="Arial"/>
          <w:sz w:val="20"/>
          <w:szCs w:val="20"/>
        </w:rPr>
        <w:t xml:space="preserve">., 2020). </w:t>
      </w:r>
      <w:r w:rsidRPr="00071A47">
        <w:rPr>
          <w:rFonts w:ascii="Arial" w:hAnsi="Arial" w:cs="Arial"/>
          <w:sz w:val="20"/>
          <w:szCs w:val="20"/>
        </w:rPr>
        <w:t xml:space="preserve">Other fungi such as </w:t>
      </w:r>
      <w:r w:rsidRPr="00071A47">
        <w:rPr>
          <w:rFonts w:ascii="Arial" w:hAnsi="Arial" w:cs="Arial"/>
          <w:i/>
          <w:sz w:val="20"/>
          <w:szCs w:val="20"/>
        </w:rPr>
        <w:t xml:space="preserve">A. </w:t>
      </w:r>
      <w:proofErr w:type="spellStart"/>
      <w:r w:rsidRPr="00071A47">
        <w:rPr>
          <w:rFonts w:ascii="Arial" w:hAnsi="Arial" w:cs="Arial"/>
          <w:i/>
          <w:sz w:val="20"/>
          <w:szCs w:val="20"/>
        </w:rPr>
        <w:t>tamarii</w:t>
      </w:r>
      <w:proofErr w:type="spellEnd"/>
      <w:r w:rsidRPr="00071A47">
        <w:rPr>
          <w:rFonts w:ascii="Arial" w:hAnsi="Arial" w:cs="Arial"/>
          <w:sz w:val="20"/>
          <w:szCs w:val="20"/>
        </w:rPr>
        <w:t xml:space="preserve"> and </w:t>
      </w:r>
      <w:r w:rsidRPr="00071A47">
        <w:rPr>
          <w:rFonts w:ascii="Arial" w:hAnsi="Arial" w:cs="Arial"/>
          <w:i/>
          <w:sz w:val="20"/>
          <w:szCs w:val="20"/>
        </w:rPr>
        <w:t xml:space="preserve">A. </w:t>
      </w:r>
      <w:proofErr w:type="spellStart"/>
      <w:r w:rsidRPr="00071A47">
        <w:rPr>
          <w:rFonts w:ascii="Arial" w:hAnsi="Arial" w:cs="Arial"/>
          <w:i/>
          <w:sz w:val="20"/>
          <w:szCs w:val="20"/>
        </w:rPr>
        <w:t>nidulans</w:t>
      </w:r>
      <w:proofErr w:type="spellEnd"/>
      <w:r w:rsidRPr="00071A47">
        <w:rPr>
          <w:rFonts w:ascii="Arial" w:hAnsi="Arial" w:cs="Arial"/>
          <w:sz w:val="20"/>
          <w:szCs w:val="20"/>
        </w:rPr>
        <w:t xml:space="preserve"> show varied presence depending on the treatment, indicating the influence of specific weeding practices on fungal diversity in the soil. </w:t>
      </w:r>
      <w:r w:rsidRPr="00071A47">
        <w:rPr>
          <w:rFonts w:ascii="Arial" w:hAnsi="Arial" w:cs="Arial"/>
          <w:i/>
          <w:sz w:val="20"/>
          <w:szCs w:val="20"/>
        </w:rPr>
        <w:t>Aspergillus</w:t>
      </w:r>
      <w:r w:rsidRPr="00071A47">
        <w:rPr>
          <w:rFonts w:ascii="Arial" w:hAnsi="Arial" w:cs="Arial"/>
          <w:sz w:val="20"/>
          <w:szCs w:val="20"/>
        </w:rPr>
        <w:t xml:space="preserve"> spp</w:t>
      </w:r>
      <w:r w:rsidR="00AE4926">
        <w:rPr>
          <w:rFonts w:ascii="Arial" w:hAnsi="Arial" w:cs="Arial"/>
          <w:sz w:val="20"/>
          <w:szCs w:val="20"/>
        </w:rPr>
        <w:t>.</w:t>
      </w:r>
      <w:r w:rsidRPr="00071A47">
        <w:rPr>
          <w:rFonts w:ascii="Arial" w:hAnsi="Arial" w:cs="Arial"/>
          <w:sz w:val="20"/>
          <w:szCs w:val="20"/>
        </w:rPr>
        <w:t xml:space="preserve"> which belongs to the phylum </w:t>
      </w:r>
      <w:r w:rsidRPr="00071A47">
        <w:rPr>
          <w:rFonts w:ascii="Arial" w:hAnsi="Arial" w:cs="Arial"/>
          <w:i/>
          <w:sz w:val="20"/>
          <w:szCs w:val="20"/>
        </w:rPr>
        <w:t>Ascomycota</w:t>
      </w:r>
      <w:r w:rsidRPr="00071A47">
        <w:rPr>
          <w:rFonts w:ascii="Arial" w:hAnsi="Arial" w:cs="Arial"/>
          <w:sz w:val="20"/>
          <w:szCs w:val="20"/>
        </w:rPr>
        <w:t xml:space="preserve"> is the most dominant microorganism in this study which is related to the findings of </w:t>
      </w:r>
      <w:r w:rsidRPr="00071A47">
        <w:rPr>
          <w:rFonts w:ascii="Arial" w:hAnsi="Arial" w:cs="Arial"/>
          <w:sz w:val="20"/>
          <w:szCs w:val="20"/>
          <w:shd w:val="clear" w:color="auto" w:fill="FFFFFF"/>
        </w:rPr>
        <w:t xml:space="preserve">Xiao </w:t>
      </w:r>
      <w:r w:rsidRPr="00071A47">
        <w:rPr>
          <w:rFonts w:ascii="Arial" w:hAnsi="Arial" w:cs="Arial"/>
          <w:i/>
          <w:sz w:val="20"/>
          <w:szCs w:val="20"/>
          <w:shd w:val="clear" w:color="auto" w:fill="FFFFFF"/>
        </w:rPr>
        <w:t>et al</w:t>
      </w:r>
      <w:r w:rsidRPr="00071A47">
        <w:rPr>
          <w:rFonts w:ascii="Arial" w:hAnsi="Arial" w:cs="Arial"/>
          <w:sz w:val="20"/>
          <w:szCs w:val="20"/>
          <w:shd w:val="clear" w:color="auto" w:fill="FFFFFF"/>
        </w:rPr>
        <w:t xml:space="preserve">., </w:t>
      </w:r>
      <w:r w:rsidR="00BA4F18" w:rsidRPr="00071A47">
        <w:rPr>
          <w:rFonts w:ascii="Arial" w:hAnsi="Arial" w:cs="Arial"/>
          <w:sz w:val="20"/>
          <w:szCs w:val="20"/>
          <w:shd w:val="clear" w:color="auto" w:fill="FFFFFF"/>
        </w:rPr>
        <w:t>(</w:t>
      </w:r>
      <w:r w:rsidRPr="00071A47">
        <w:rPr>
          <w:rFonts w:ascii="Arial" w:hAnsi="Arial" w:cs="Arial"/>
          <w:sz w:val="20"/>
          <w:szCs w:val="20"/>
          <w:shd w:val="clear" w:color="auto" w:fill="FFFFFF"/>
        </w:rPr>
        <w:t>2022</w:t>
      </w:r>
      <w:r w:rsidR="00BA4F18" w:rsidRPr="00071A47">
        <w:rPr>
          <w:rFonts w:ascii="Arial" w:hAnsi="Arial" w:cs="Arial"/>
          <w:sz w:val="20"/>
          <w:szCs w:val="20"/>
          <w:shd w:val="clear" w:color="auto" w:fill="FFFFFF"/>
        </w:rPr>
        <w:t>)</w:t>
      </w:r>
      <w:r w:rsidRPr="00071A47">
        <w:rPr>
          <w:rFonts w:ascii="Arial" w:hAnsi="Arial" w:cs="Arial"/>
          <w:sz w:val="20"/>
          <w:szCs w:val="20"/>
          <w:shd w:val="clear" w:color="auto" w:fill="FFFFFF"/>
        </w:rPr>
        <w:t xml:space="preserve"> who stated that fungi that belong to </w:t>
      </w:r>
      <w:r w:rsidRPr="00071A47">
        <w:rPr>
          <w:rFonts w:ascii="Arial" w:hAnsi="Arial" w:cs="Arial"/>
          <w:i/>
          <w:sz w:val="20"/>
          <w:szCs w:val="20"/>
          <w:shd w:val="clear" w:color="auto" w:fill="FFFFFF"/>
        </w:rPr>
        <w:t>Ascomycetes, Basidiomycetes</w:t>
      </w:r>
      <w:r w:rsidRPr="00071A47">
        <w:rPr>
          <w:rFonts w:ascii="Arial" w:hAnsi="Arial" w:cs="Arial"/>
          <w:sz w:val="20"/>
          <w:szCs w:val="20"/>
          <w:shd w:val="clear" w:color="auto" w:fill="FFFFFF"/>
        </w:rPr>
        <w:t xml:space="preserve"> are predominant in soils under different weeding regimes.</w:t>
      </w:r>
    </w:p>
    <w:p w14:paraId="7A74465C" w14:textId="0990BDF4" w:rsidR="00B67829" w:rsidRPr="00071A47" w:rsidRDefault="005B2772" w:rsidP="003925AF">
      <w:pPr>
        <w:spacing w:line="240" w:lineRule="auto"/>
        <w:jc w:val="both"/>
        <w:rPr>
          <w:rFonts w:ascii="Arial" w:hAnsi="Arial" w:cs="Arial"/>
          <w:b/>
          <w:bCs/>
          <w:sz w:val="20"/>
          <w:szCs w:val="20"/>
        </w:rPr>
      </w:pPr>
      <w:r w:rsidRPr="00071A47">
        <w:rPr>
          <w:rFonts w:ascii="Arial" w:hAnsi="Arial" w:cs="Arial"/>
          <w:b/>
          <w:bCs/>
          <w:sz w:val="20"/>
          <w:szCs w:val="20"/>
        </w:rPr>
        <w:t>Table 6</w:t>
      </w:r>
      <w:r w:rsidR="00071A47">
        <w:rPr>
          <w:rFonts w:ascii="Arial" w:hAnsi="Arial" w:cs="Arial"/>
          <w:b/>
          <w:bCs/>
          <w:sz w:val="20"/>
          <w:szCs w:val="20"/>
        </w:rPr>
        <w:t>.</w:t>
      </w:r>
      <w:r w:rsidR="00B67829" w:rsidRPr="00071A47">
        <w:rPr>
          <w:rFonts w:ascii="Arial" w:hAnsi="Arial" w:cs="Arial"/>
          <w:b/>
          <w:bCs/>
          <w:sz w:val="20"/>
          <w:szCs w:val="20"/>
        </w:rPr>
        <w:t xml:space="preserve"> Occurrence of Fungi across Treatment</w:t>
      </w:r>
    </w:p>
    <w:tbl>
      <w:tblPr>
        <w:tblW w:w="6570" w:type="dxa"/>
        <w:tblInd w:w="108" w:type="dxa"/>
        <w:tblLook w:val="04A0" w:firstRow="1" w:lastRow="0" w:firstColumn="1" w:lastColumn="0" w:noHBand="0" w:noVBand="1"/>
      </w:tblPr>
      <w:tblGrid>
        <w:gridCol w:w="1569"/>
        <w:gridCol w:w="771"/>
        <w:gridCol w:w="576"/>
        <w:gridCol w:w="576"/>
        <w:gridCol w:w="576"/>
        <w:gridCol w:w="603"/>
        <w:gridCol w:w="630"/>
        <w:gridCol w:w="1269"/>
      </w:tblGrid>
      <w:tr w:rsidR="00B67829" w:rsidRPr="00071A47" w14:paraId="645A75EC" w14:textId="77777777" w:rsidTr="0063161C">
        <w:trPr>
          <w:trHeight w:val="315"/>
        </w:trPr>
        <w:tc>
          <w:tcPr>
            <w:tcW w:w="1569" w:type="dxa"/>
            <w:vMerge w:val="restart"/>
            <w:tcBorders>
              <w:top w:val="single" w:sz="4" w:space="0" w:color="auto"/>
              <w:left w:val="nil"/>
              <w:bottom w:val="single" w:sz="4" w:space="0" w:color="000000"/>
              <w:right w:val="nil"/>
            </w:tcBorders>
            <w:vAlign w:val="center"/>
            <w:hideMark/>
          </w:tcPr>
          <w:p w14:paraId="59BC2989"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Fungi</w:t>
            </w:r>
          </w:p>
        </w:tc>
        <w:tc>
          <w:tcPr>
            <w:tcW w:w="5001" w:type="dxa"/>
            <w:gridSpan w:val="7"/>
            <w:tcBorders>
              <w:top w:val="single" w:sz="4" w:space="0" w:color="auto"/>
              <w:left w:val="nil"/>
              <w:bottom w:val="nil"/>
              <w:right w:val="nil"/>
            </w:tcBorders>
            <w:vAlign w:val="bottom"/>
            <w:hideMark/>
          </w:tcPr>
          <w:p w14:paraId="22925F30"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Treatments</w:t>
            </w:r>
          </w:p>
        </w:tc>
      </w:tr>
      <w:tr w:rsidR="00B67829" w:rsidRPr="00071A47" w14:paraId="1B540D93" w14:textId="77777777" w:rsidTr="0063161C">
        <w:trPr>
          <w:trHeight w:val="315"/>
        </w:trPr>
        <w:tc>
          <w:tcPr>
            <w:tcW w:w="1569" w:type="dxa"/>
            <w:vMerge/>
            <w:tcBorders>
              <w:top w:val="single" w:sz="4" w:space="0" w:color="auto"/>
              <w:left w:val="nil"/>
              <w:bottom w:val="single" w:sz="4" w:space="0" w:color="000000"/>
              <w:right w:val="nil"/>
            </w:tcBorders>
            <w:vAlign w:val="center"/>
            <w:hideMark/>
          </w:tcPr>
          <w:p w14:paraId="7D6AD57E" w14:textId="77777777" w:rsidR="00B67829" w:rsidRPr="00071A47" w:rsidRDefault="00B67829" w:rsidP="003925AF">
            <w:pPr>
              <w:spacing w:after="0" w:line="240" w:lineRule="auto"/>
              <w:rPr>
                <w:rFonts w:ascii="Arial" w:eastAsia="Times New Roman" w:hAnsi="Arial" w:cs="Arial"/>
                <w:b/>
                <w:bCs/>
                <w:color w:val="000000"/>
                <w:sz w:val="20"/>
                <w:szCs w:val="20"/>
              </w:rPr>
            </w:pPr>
          </w:p>
        </w:tc>
        <w:tc>
          <w:tcPr>
            <w:tcW w:w="771" w:type="dxa"/>
            <w:tcBorders>
              <w:top w:val="nil"/>
              <w:left w:val="nil"/>
              <w:bottom w:val="single" w:sz="4" w:space="0" w:color="auto"/>
              <w:right w:val="nil"/>
            </w:tcBorders>
            <w:noWrap/>
            <w:vAlign w:val="bottom"/>
            <w:hideMark/>
          </w:tcPr>
          <w:p w14:paraId="068D3F29"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W1</w:t>
            </w:r>
          </w:p>
        </w:tc>
        <w:tc>
          <w:tcPr>
            <w:tcW w:w="576" w:type="dxa"/>
            <w:tcBorders>
              <w:top w:val="nil"/>
              <w:left w:val="nil"/>
              <w:bottom w:val="single" w:sz="4" w:space="0" w:color="auto"/>
              <w:right w:val="nil"/>
            </w:tcBorders>
            <w:noWrap/>
            <w:vAlign w:val="bottom"/>
            <w:hideMark/>
          </w:tcPr>
          <w:p w14:paraId="73BCA916"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W2</w:t>
            </w:r>
          </w:p>
        </w:tc>
        <w:tc>
          <w:tcPr>
            <w:tcW w:w="576" w:type="dxa"/>
            <w:tcBorders>
              <w:top w:val="nil"/>
              <w:left w:val="nil"/>
              <w:bottom w:val="single" w:sz="4" w:space="0" w:color="auto"/>
              <w:right w:val="nil"/>
            </w:tcBorders>
            <w:noWrap/>
            <w:vAlign w:val="bottom"/>
            <w:hideMark/>
          </w:tcPr>
          <w:p w14:paraId="27AF9CBE"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W3</w:t>
            </w:r>
          </w:p>
        </w:tc>
        <w:tc>
          <w:tcPr>
            <w:tcW w:w="576" w:type="dxa"/>
            <w:tcBorders>
              <w:top w:val="nil"/>
              <w:left w:val="nil"/>
              <w:bottom w:val="single" w:sz="4" w:space="0" w:color="auto"/>
              <w:right w:val="nil"/>
            </w:tcBorders>
            <w:noWrap/>
            <w:vAlign w:val="bottom"/>
            <w:hideMark/>
          </w:tcPr>
          <w:p w14:paraId="171CE04B"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W4</w:t>
            </w:r>
          </w:p>
        </w:tc>
        <w:tc>
          <w:tcPr>
            <w:tcW w:w="603" w:type="dxa"/>
            <w:tcBorders>
              <w:top w:val="nil"/>
              <w:left w:val="nil"/>
              <w:bottom w:val="single" w:sz="4" w:space="0" w:color="auto"/>
              <w:right w:val="nil"/>
            </w:tcBorders>
            <w:noWrap/>
            <w:vAlign w:val="bottom"/>
            <w:hideMark/>
          </w:tcPr>
          <w:p w14:paraId="49D56AB9"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WF</w:t>
            </w:r>
          </w:p>
        </w:tc>
        <w:tc>
          <w:tcPr>
            <w:tcW w:w="630" w:type="dxa"/>
            <w:tcBorders>
              <w:top w:val="nil"/>
              <w:left w:val="nil"/>
              <w:bottom w:val="single" w:sz="4" w:space="0" w:color="auto"/>
              <w:right w:val="nil"/>
            </w:tcBorders>
            <w:noWrap/>
            <w:vAlign w:val="bottom"/>
            <w:hideMark/>
          </w:tcPr>
          <w:p w14:paraId="1B6C0E01"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WC</w:t>
            </w:r>
          </w:p>
        </w:tc>
        <w:tc>
          <w:tcPr>
            <w:tcW w:w="1269" w:type="dxa"/>
            <w:tcBorders>
              <w:top w:val="nil"/>
              <w:left w:val="nil"/>
              <w:bottom w:val="single" w:sz="4" w:space="0" w:color="auto"/>
              <w:right w:val="nil"/>
            </w:tcBorders>
            <w:noWrap/>
            <w:vAlign w:val="bottom"/>
            <w:hideMark/>
          </w:tcPr>
          <w:p w14:paraId="1B620B31" w14:textId="77777777" w:rsidR="00B67829" w:rsidRPr="00071A47" w:rsidRDefault="00B67829" w:rsidP="003925AF">
            <w:pPr>
              <w:spacing w:after="0" w:line="240" w:lineRule="auto"/>
              <w:jc w:val="center"/>
              <w:rPr>
                <w:rFonts w:ascii="Arial" w:eastAsia="Times New Roman" w:hAnsi="Arial" w:cs="Arial"/>
                <w:b/>
                <w:bCs/>
                <w:color w:val="000000"/>
                <w:sz w:val="20"/>
                <w:szCs w:val="20"/>
              </w:rPr>
            </w:pPr>
            <w:r w:rsidRPr="00071A47">
              <w:rPr>
                <w:rFonts w:ascii="Arial" w:eastAsia="Times New Roman" w:hAnsi="Arial" w:cs="Arial"/>
                <w:b/>
                <w:bCs/>
                <w:color w:val="000000"/>
                <w:sz w:val="20"/>
                <w:szCs w:val="20"/>
              </w:rPr>
              <w:t>IS (Cont.)</w:t>
            </w:r>
          </w:p>
        </w:tc>
      </w:tr>
      <w:tr w:rsidR="00B67829" w:rsidRPr="00071A47" w14:paraId="614432BD" w14:textId="77777777" w:rsidTr="0063161C">
        <w:trPr>
          <w:trHeight w:val="315"/>
        </w:trPr>
        <w:tc>
          <w:tcPr>
            <w:tcW w:w="1569" w:type="dxa"/>
            <w:tcBorders>
              <w:top w:val="nil"/>
              <w:left w:val="nil"/>
              <w:bottom w:val="nil"/>
              <w:right w:val="nil"/>
            </w:tcBorders>
            <w:noWrap/>
            <w:vAlign w:val="bottom"/>
            <w:hideMark/>
          </w:tcPr>
          <w:p w14:paraId="029991C7"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A.niger</w:t>
            </w:r>
            <w:proofErr w:type="spellEnd"/>
            <w:proofErr w:type="gramEnd"/>
          </w:p>
        </w:tc>
        <w:tc>
          <w:tcPr>
            <w:tcW w:w="771" w:type="dxa"/>
            <w:tcBorders>
              <w:top w:val="nil"/>
              <w:left w:val="nil"/>
              <w:bottom w:val="nil"/>
              <w:right w:val="nil"/>
            </w:tcBorders>
            <w:noWrap/>
            <w:vAlign w:val="bottom"/>
            <w:hideMark/>
          </w:tcPr>
          <w:p w14:paraId="587A3CC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47BAFE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8185EE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9FD94E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7046BC7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64B9B4F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360525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76FC86F6" w14:textId="77777777" w:rsidTr="0063161C">
        <w:trPr>
          <w:trHeight w:val="315"/>
        </w:trPr>
        <w:tc>
          <w:tcPr>
            <w:tcW w:w="1569" w:type="dxa"/>
            <w:tcBorders>
              <w:top w:val="nil"/>
              <w:left w:val="nil"/>
              <w:bottom w:val="nil"/>
              <w:right w:val="nil"/>
            </w:tcBorders>
            <w:noWrap/>
            <w:vAlign w:val="bottom"/>
            <w:hideMark/>
          </w:tcPr>
          <w:p w14:paraId="105B7A05"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A.fumigatus</w:t>
            </w:r>
            <w:proofErr w:type="spellEnd"/>
            <w:proofErr w:type="gramEnd"/>
          </w:p>
        </w:tc>
        <w:tc>
          <w:tcPr>
            <w:tcW w:w="771" w:type="dxa"/>
            <w:tcBorders>
              <w:top w:val="nil"/>
              <w:left w:val="nil"/>
              <w:bottom w:val="nil"/>
              <w:right w:val="nil"/>
            </w:tcBorders>
            <w:noWrap/>
            <w:vAlign w:val="bottom"/>
            <w:hideMark/>
          </w:tcPr>
          <w:p w14:paraId="2064C0E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448078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A566C3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082321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6DC8EB2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4FF243F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1C25F38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21DB5451" w14:textId="77777777" w:rsidTr="0063161C">
        <w:trPr>
          <w:trHeight w:val="315"/>
        </w:trPr>
        <w:tc>
          <w:tcPr>
            <w:tcW w:w="1569" w:type="dxa"/>
            <w:tcBorders>
              <w:top w:val="nil"/>
              <w:left w:val="nil"/>
              <w:bottom w:val="nil"/>
              <w:right w:val="nil"/>
            </w:tcBorders>
            <w:noWrap/>
            <w:vAlign w:val="bottom"/>
            <w:hideMark/>
          </w:tcPr>
          <w:p w14:paraId="50D29469"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A.nidulans</w:t>
            </w:r>
            <w:proofErr w:type="spellEnd"/>
            <w:proofErr w:type="gramEnd"/>
          </w:p>
        </w:tc>
        <w:tc>
          <w:tcPr>
            <w:tcW w:w="771" w:type="dxa"/>
            <w:tcBorders>
              <w:top w:val="nil"/>
              <w:left w:val="nil"/>
              <w:bottom w:val="nil"/>
              <w:right w:val="nil"/>
            </w:tcBorders>
            <w:noWrap/>
            <w:vAlign w:val="bottom"/>
            <w:hideMark/>
          </w:tcPr>
          <w:p w14:paraId="3994628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0C949B7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C1D674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F0F94A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23C6118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009A1EA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3396237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706E8C9D" w14:textId="77777777" w:rsidTr="0063161C">
        <w:trPr>
          <w:trHeight w:val="315"/>
        </w:trPr>
        <w:tc>
          <w:tcPr>
            <w:tcW w:w="1569" w:type="dxa"/>
            <w:tcBorders>
              <w:top w:val="nil"/>
              <w:left w:val="nil"/>
              <w:bottom w:val="nil"/>
              <w:right w:val="nil"/>
            </w:tcBorders>
            <w:noWrap/>
            <w:vAlign w:val="bottom"/>
            <w:hideMark/>
          </w:tcPr>
          <w:p w14:paraId="763E5C5C"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A.flavus</w:t>
            </w:r>
            <w:proofErr w:type="spellEnd"/>
            <w:proofErr w:type="gramEnd"/>
          </w:p>
        </w:tc>
        <w:tc>
          <w:tcPr>
            <w:tcW w:w="771" w:type="dxa"/>
            <w:tcBorders>
              <w:top w:val="nil"/>
              <w:left w:val="nil"/>
              <w:bottom w:val="nil"/>
              <w:right w:val="nil"/>
            </w:tcBorders>
            <w:noWrap/>
            <w:vAlign w:val="bottom"/>
            <w:hideMark/>
          </w:tcPr>
          <w:p w14:paraId="516A2F1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19C882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D20060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09312E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554A01A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32DA7A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985788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5D46F29A" w14:textId="77777777" w:rsidTr="0063161C">
        <w:trPr>
          <w:trHeight w:val="315"/>
        </w:trPr>
        <w:tc>
          <w:tcPr>
            <w:tcW w:w="1569" w:type="dxa"/>
            <w:tcBorders>
              <w:top w:val="nil"/>
              <w:left w:val="nil"/>
              <w:bottom w:val="nil"/>
              <w:right w:val="nil"/>
            </w:tcBorders>
            <w:noWrap/>
            <w:vAlign w:val="bottom"/>
            <w:hideMark/>
          </w:tcPr>
          <w:p w14:paraId="5C15699B"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A.tamarii</w:t>
            </w:r>
            <w:proofErr w:type="spellEnd"/>
            <w:proofErr w:type="gramEnd"/>
          </w:p>
        </w:tc>
        <w:tc>
          <w:tcPr>
            <w:tcW w:w="771" w:type="dxa"/>
            <w:tcBorders>
              <w:top w:val="nil"/>
              <w:left w:val="nil"/>
              <w:bottom w:val="nil"/>
              <w:right w:val="nil"/>
            </w:tcBorders>
            <w:noWrap/>
            <w:vAlign w:val="bottom"/>
            <w:hideMark/>
          </w:tcPr>
          <w:p w14:paraId="3C8141D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5C7A97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7BD750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A3F60D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4C73D78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320165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1058ED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11D252E2" w14:textId="77777777" w:rsidTr="0063161C">
        <w:trPr>
          <w:trHeight w:val="315"/>
        </w:trPr>
        <w:tc>
          <w:tcPr>
            <w:tcW w:w="1569" w:type="dxa"/>
            <w:tcBorders>
              <w:top w:val="nil"/>
              <w:left w:val="nil"/>
              <w:bottom w:val="nil"/>
              <w:right w:val="nil"/>
            </w:tcBorders>
            <w:noWrap/>
            <w:vAlign w:val="bottom"/>
            <w:hideMark/>
          </w:tcPr>
          <w:p w14:paraId="05D5E5E0"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A.terreus</w:t>
            </w:r>
            <w:proofErr w:type="spellEnd"/>
            <w:proofErr w:type="gramEnd"/>
          </w:p>
        </w:tc>
        <w:tc>
          <w:tcPr>
            <w:tcW w:w="771" w:type="dxa"/>
            <w:tcBorders>
              <w:top w:val="nil"/>
              <w:left w:val="nil"/>
              <w:bottom w:val="nil"/>
              <w:right w:val="nil"/>
            </w:tcBorders>
            <w:noWrap/>
            <w:vAlign w:val="bottom"/>
            <w:hideMark/>
          </w:tcPr>
          <w:p w14:paraId="79E0736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2B7222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6A560B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017C620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1BC9E26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2AFED81E"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0DB5C85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133CBBFB" w14:textId="77777777" w:rsidTr="0063161C">
        <w:trPr>
          <w:trHeight w:val="315"/>
        </w:trPr>
        <w:tc>
          <w:tcPr>
            <w:tcW w:w="1569" w:type="dxa"/>
            <w:tcBorders>
              <w:top w:val="nil"/>
              <w:left w:val="nil"/>
              <w:bottom w:val="nil"/>
              <w:right w:val="nil"/>
            </w:tcBorders>
            <w:noWrap/>
            <w:vAlign w:val="bottom"/>
            <w:hideMark/>
          </w:tcPr>
          <w:p w14:paraId="4CC27191"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A.carbonarius</w:t>
            </w:r>
            <w:proofErr w:type="spellEnd"/>
            <w:proofErr w:type="gramEnd"/>
          </w:p>
        </w:tc>
        <w:tc>
          <w:tcPr>
            <w:tcW w:w="771" w:type="dxa"/>
            <w:tcBorders>
              <w:top w:val="nil"/>
              <w:left w:val="nil"/>
              <w:bottom w:val="nil"/>
              <w:right w:val="nil"/>
            </w:tcBorders>
            <w:noWrap/>
            <w:vAlign w:val="bottom"/>
            <w:hideMark/>
          </w:tcPr>
          <w:p w14:paraId="5A8BB87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D311EF3"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207D2912"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C9D546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3ABAF9F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32141B6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86CDBE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2949D52A" w14:textId="77777777" w:rsidTr="0063161C">
        <w:trPr>
          <w:trHeight w:val="315"/>
        </w:trPr>
        <w:tc>
          <w:tcPr>
            <w:tcW w:w="1569" w:type="dxa"/>
            <w:tcBorders>
              <w:top w:val="nil"/>
              <w:left w:val="nil"/>
              <w:bottom w:val="nil"/>
              <w:right w:val="nil"/>
            </w:tcBorders>
            <w:noWrap/>
            <w:vAlign w:val="bottom"/>
            <w:hideMark/>
          </w:tcPr>
          <w:p w14:paraId="1C045338"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A.candidus</w:t>
            </w:r>
            <w:proofErr w:type="spellEnd"/>
            <w:proofErr w:type="gramEnd"/>
          </w:p>
        </w:tc>
        <w:tc>
          <w:tcPr>
            <w:tcW w:w="771" w:type="dxa"/>
            <w:tcBorders>
              <w:top w:val="nil"/>
              <w:left w:val="nil"/>
              <w:bottom w:val="nil"/>
              <w:right w:val="nil"/>
            </w:tcBorders>
            <w:noWrap/>
            <w:vAlign w:val="bottom"/>
            <w:hideMark/>
          </w:tcPr>
          <w:p w14:paraId="6CF9464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20B430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751746F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90A99B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46B80AF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D89D83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C385CB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643F7FC7" w14:textId="77777777" w:rsidTr="0063161C">
        <w:trPr>
          <w:trHeight w:val="315"/>
        </w:trPr>
        <w:tc>
          <w:tcPr>
            <w:tcW w:w="1569" w:type="dxa"/>
            <w:tcBorders>
              <w:top w:val="nil"/>
              <w:left w:val="nil"/>
              <w:bottom w:val="nil"/>
              <w:right w:val="nil"/>
            </w:tcBorders>
            <w:noWrap/>
            <w:vAlign w:val="bottom"/>
            <w:hideMark/>
          </w:tcPr>
          <w:p w14:paraId="10836954"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A.ochraceus</w:t>
            </w:r>
            <w:proofErr w:type="spellEnd"/>
            <w:proofErr w:type="gramEnd"/>
          </w:p>
        </w:tc>
        <w:tc>
          <w:tcPr>
            <w:tcW w:w="771" w:type="dxa"/>
            <w:tcBorders>
              <w:top w:val="nil"/>
              <w:left w:val="nil"/>
              <w:bottom w:val="nil"/>
              <w:right w:val="nil"/>
            </w:tcBorders>
            <w:noWrap/>
            <w:vAlign w:val="bottom"/>
            <w:hideMark/>
          </w:tcPr>
          <w:p w14:paraId="1C6C706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0721757E"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29A5143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3D05CA6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22331A1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1D7C356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411881F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7A2F2165" w14:textId="77777777" w:rsidTr="0063161C">
        <w:trPr>
          <w:trHeight w:val="315"/>
        </w:trPr>
        <w:tc>
          <w:tcPr>
            <w:tcW w:w="1569" w:type="dxa"/>
            <w:tcBorders>
              <w:top w:val="nil"/>
              <w:left w:val="nil"/>
              <w:bottom w:val="nil"/>
              <w:right w:val="nil"/>
            </w:tcBorders>
            <w:noWrap/>
            <w:vAlign w:val="bottom"/>
            <w:hideMark/>
          </w:tcPr>
          <w:p w14:paraId="7315F053" w14:textId="77777777" w:rsidR="00B67829" w:rsidRPr="00071A47" w:rsidRDefault="00B67829" w:rsidP="003925AF">
            <w:pPr>
              <w:spacing w:after="0" w:line="240" w:lineRule="auto"/>
              <w:rPr>
                <w:rFonts w:ascii="Arial" w:eastAsia="Times New Roman" w:hAnsi="Arial" w:cs="Arial"/>
                <w:i/>
                <w:color w:val="000000"/>
                <w:sz w:val="20"/>
                <w:szCs w:val="20"/>
              </w:rPr>
            </w:pPr>
            <w:r w:rsidRPr="00071A47">
              <w:rPr>
                <w:rFonts w:ascii="Arial" w:eastAsia="Times New Roman" w:hAnsi="Arial" w:cs="Arial"/>
                <w:i/>
                <w:color w:val="000000"/>
                <w:sz w:val="20"/>
                <w:szCs w:val="20"/>
              </w:rPr>
              <w:t xml:space="preserve">P. </w:t>
            </w:r>
            <w:proofErr w:type="spellStart"/>
            <w:r w:rsidRPr="00071A47">
              <w:rPr>
                <w:rFonts w:ascii="Arial" w:eastAsia="Times New Roman" w:hAnsi="Arial" w:cs="Arial"/>
                <w:i/>
                <w:color w:val="000000"/>
                <w:sz w:val="20"/>
                <w:szCs w:val="20"/>
              </w:rPr>
              <w:t>Oxalicum</w:t>
            </w:r>
            <w:proofErr w:type="spellEnd"/>
          </w:p>
        </w:tc>
        <w:tc>
          <w:tcPr>
            <w:tcW w:w="771" w:type="dxa"/>
            <w:tcBorders>
              <w:top w:val="nil"/>
              <w:left w:val="nil"/>
              <w:bottom w:val="nil"/>
              <w:right w:val="nil"/>
            </w:tcBorders>
            <w:noWrap/>
            <w:vAlign w:val="bottom"/>
            <w:hideMark/>
          </w:tcPr>
          <w:p w14:paraId="2BB183B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54178635"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258480F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75431C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2407C73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59733E5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352C290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5FB32234" w14:textId="77777777" w:rsidTr="0063161C">
        <w:trPr>
          <w:trHeight w:val="315"/>
        </w:trPr>
        <w:tc>
          <w:tcPr>
            <w:tcW w:w="1569" w:type="dxa"/>
            <w:tcBorders>
              <w:top w:val="nil"/>
              <w:left w:val="nil"/>
              <w:bottom w:val="nil"/>
              <w:right w:val="nil"/>
            </w:tcBorders>
            <w:noWrap/>
            <w:vAlign w:val="bottom"/>
            <w:hideMark/>
          </w:tcPr>
          <w:p w14:paraId="7D212BCE"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lastRenderedPageBreak/>
              <w:t>F.oxysporium</w:t>
            </w:r>
            <w:proofErr w:type="spellEnd"/>
            <w:proofErr w:type="gramEnd"/>
          </w:p>
        </w:tc>
        <w:tc>
          <w:tcPr>
            <w:tcW w:w="771" w:type="dxa"/>
            <w:tcBorders>
              <w:top w:val="nil"/>
              <w:left w:val="nil"/>
              <w:bottom w:val="nil"/>
              <w:right w:val="nil"/>
            </w:tcBorders>
            <w:noWrap/>
            <w:vAlign w:val="bottom"/>
            <w:hideMark/>
          </w:tcPr>
          <w:p w14:paraId="7C9A7172"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BFF2D1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772470B"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61C297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51709EF7"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688F3B8D"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9EC778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20E29082" w14:textId="77777777" w:rsidTr="0063161C">
        <w:trPr>
          <w:trHeight w:val="315"/>
        </w:trPr>
        <w:tc>
          <w:tcPr>
            <w:tcW w:w="1569" w:type="dxa"/>
            <w:tcBorders>
              <w:top w:val="nil"/>
              <w:left w:val="nil"/>
              <w:bottom w:val="nil"/>
              <w:right w:val="nil"/>
            </w:tcBorders>
            <w:noWrap/>
            <w:vAlign w:val="bottom"/>
            <w:hideMark/>
          </w:tcPr>
          <w:p w14:paraId="763417C1"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T.viride</w:t>
            </w:r>
            <w:proofErr w:type="spellEnd"/>
            <w:proofErr w:type="gramEnd"/>
          </w:p>
        </w:tc>
        <w:tc>
          <w:tcPr>
            <w:tcW w:w="771" w:type="dxa"/>
            <w:tcBorders>
              <w:top w:val="nil"/>
              <w:left w:val="nil"/>
              <w:bottom w:val="nil"/>
              <w:right w:val="nil"/>
            </w:tcBorders>
            <w:noWrap/>
            <w:vAlign w:val="bottom"/>
            <w:hideMark/>
          </w:tcPr>
          <w:p w14:paraId="4780326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1C1AC42F"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49E4F0FA"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nil"/>
              <w:right w:val="nil"/>
            </w:tcBorders>
            <w:noWrap/>
            <w:vAlign w:val="bottom"/>
            <w:hideMark/>
          </w:tcPr>
          <w:p w14:paraId="6EFD7F9C"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nil"/>
              <w:right w:val="nil"/>
            </w:tcBorders>
            <w:noWrap/>
            <w:vAlign w:val="bottom"/>
            <w:hideMark/>
          </w:tcPr>
          <w:p w14:paraId="0E1566E1"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nil"/>
              <w:right w:val="nil"/>
            </w:tcBorders>
            <w:noWrap/>
            <w:vAlign w:val="bottom"/>
            <w:hideMark/>
          </w:tcPr>
          <w:p w14:paraId="66188C1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nil"/>
              <w:right w:val="nil"/>
            </w:tcBorders>
            <w:noWrap/>
            <w:vAlign w:val="bottom"/>
            <w:hideMark/>
          </w:tcPr>
          <w:p w14:paraId="56C36410"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r w:rsidR="00B67829" w:rsidRPr="00071A47" w14:paraId="30B630D3" w14:textId="77777777" w:rsidTr="0063161C">
        <w:trPr>
          <w:trHeight w:val="315"/>
        </w:trPr>
        <w:tc>
          <w:tcPr>
            <w:tcW w:w="1569" w:type="dxa"/>
            <w:tcBorders>
              <w:top w:val="nil"/>
              <w:left w:val="nil"/>
              <w:bottom w:val="single" w:sz="4" w:space="0" w:color="auto"/>
              <w:right w:val="nil"/>
            </w:tcBorders>
            <w:noWrap/>
            <w:vAlign w:val="bottom"/>
            <w:hideMark/>
          </w:tcPr>
          <w:p w14:paraId="2ECE84C6" w14:textId="77777777" w:rsidR="00B67829" w:rsidRPr="00071A47" w:rsidRDefault="00B67829" w:rsidP="003925AF">
            <w:pPr>
              <w:spacing w:after="0" w:line="240" w:lineRule="auto"/>
              <w:rPr>
                <w:rFonts w:ascii="Arial" w:eastAsia="Times New Roman" w:hAnsi="Arial" w:cs="Arial"/>
                <w:i/>
                <w:color w:val="000000"/>
                <w:sz w:val="20"/>
                <w:szCs w:val="20"/>
              </w:rPr>
            </w:pPr>
            <w:proofErr w:type="spellStart"/>
            <w:proofErr w:type="gramStart"/>
            <w:r w:rsidRPr="00071A47">
              <w:rPr>
                <w:rFonts w:ascii="Arial" w:eastAsia="Times New Roman" w:hAnsi="Arial" w:cs="Arial"/>
                <w:i/>
                <w:color w:val="000000"/>
                <w:sz w:val="20"/>
                <w:szCs w:val="20"/>
              </w:rPr>
              <w:t>R.stolonifer</w:t>
            </w:r>
            <w:proofErr w:type="spellEnd"/>
            <w:proofErr w:type="gramEnd"/>
          </w:p>
        </w:tc>
        <w:tc>
          <w:tcPr>
            <w:tcW w:w="771" w:type="dxa"/>
            <w:tcBorders>
              <w:top w:val="nil"/>
              <w:left w:val="nil"/>
              <w:bottom w:val="single" w:sz="4" w:space="0" w:color="auto"/>
              <w:right w:val="nil"/>
            </w:tcBorders>
            <w:noWrap/>
            <w:vAlign w:val="bottom"/>
            <w:hideMark/>
          </w:tcPr>
          <w:p w14:paraId="43C86696"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single" w:sz="4" w:space="0" w:color="auto"/>
              <w:right w:val="nil"/>
            </w:tcBorders>
            <w:noWrap/>
            <w:vAlign w:val="bottom"/>
            <w:hideMark/>
          </w:tcPr>
          <w:p w14:paraId="7A146D58"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single" w:sz="4" w:space="0" w:color="auto"/>
              <w:right w:val="nil"/>
            </w:tcBorders>
            <w:noWrap/>
            <w:vAlign w:val="bottom"/>
            <w:hideMark/>
          </w:tcPr>
          <w:p w14:paraId="7CB3B58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576" w:type="dxa"/>
            <w:tcBorders>
              <w:top w:val="nil"/>
              <w:left w:val="nil"/>
              <w:bottom w:val="single" w:sz="4" w:space="0" w:color="auto"/>
              <w:right w:val="nil"/>
            </w:tcBorders>
            <w:noWrap/>
            <w:vAlign w:val="bottom"/>
            <w:hideMark/>
          </w:tcPr>
          <w:p w14:paraId="1548509E"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03" w:type="dxa"/>
            <w:tcBorders>
              <w:top w:val="nil"/>
              <w:left w:val="nil"/>
              <w:bottom w:val="single" w:sz="4" w:space="0" w:color="auto"/>
              <w:right w:val="nil"/>
            </w:tcBorders>
            <w:noWrap/>
            <w:vAlign w:val="bottom"/>
            <w:hideMark/>
          </w:tcPr>
          <w:p w14:paraId="12497D04"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630" w:type="dxa"/>
            <w:tcBorders>
              <w:top w:val="nil"/>
              <w:left w:val="nil"/>
              <w:bottom w:val="single" w:sz="4" w:space="0" w:color="auto"/>
              <w:right w:val="nil"/>
            </w:tcBorders>
            <w:noWrap/>
            <w:vAlign w:val="bottom"/>
            <w:hideMark/>
          </w:tcPr>
          <w:p w14:paraId="284DBE1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c>
          <w:tcPr>
            <w:tcW w:w="1269" w:type="dxa"/>
            <w:tcBorders>
              <w:top w:val="nil"/>
              <w:left w:val="nil"/>
              <w:bottom w:val="single" w:sz="4" w:space="0" w:color="auto"/>
              <w:right w:val="nil"/>
            </w:tcBorders>
            <w:noWrap/>
            <w:vAlign w:val="bottom"/>
            <w:hideMark/>
          </w:tcPr>
          <w:p w14:paraId="49828F09" w14:textId="77777777" w:rsidR="00B67829" w:rsidRPr="00071A47" w:rsidRDefault="00B67829" w:rsidP="003925AF">
            <w:pPr>
              <w:spacing w:after="0" w:line="240" w:lineRule="auto"/>
              <w:jc w:val="center"/>
              <w:rPr>
                <w:rFonts w:ascii="Arial" w:eastAsia="Times New Roman" w:hAnsi="Arial" w:cs="Arial"/>
                <w:color w:val="000000"/>
                <w:sz w:val="20"/>
                <w:szCs w:val="20"/>
              </w:rPr>
            </w:pPr>
            <w:r w:rsidRPr="00071A47">
              <w:rPr>
                <w:rFonts w:ascii="Arial" w:eastAsia="Times New Roman" w:hAnsi="Arial" w:cs="Arial"/>
                <w:color w:val="000000"/>
                <w:sz w:val="20"/>
                <w:szCs w:val="20"/>
              </w:rPr>
              <w:t>+</w:t>
            </w:r>
          </w:p>
        </w:tc>
      </w:tr>
    </w:tbl>
    <w:p w14:paraId="587BDF59"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 (presence/absence)</w:t>
      </w:r>
      <w:r w:rsidRPr="00071A47">
        <w:rPr>
          <w:rFonts w:ascii="Arial" w:hAnsi="Arial" w:cs="Arial"/>
          <w:sz w:val="20"/>
          <w:szCs w:val="20"/>
        </w:rPr>
        <w:t xml:space="preserve"> </w:t>
      </w:r>
      <w:r w:rsidRPr="00071A47">
        <w:rPr>
          <w:rFonts w:ascii="Arial" w:hAnsi="Arial" w:cs="Arial"/>
          <w:iCs/>
          <w:sz w:val="20"/>
          <w:szCs w:val="20"/>
        </w:rPr>
        <w:t xml:space="preserve">WF= Weed-free; WC= Weedy check; </w:t>
      </w:r>
    </w:p>
    <w:p w14:paraId="23344B3A"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1W= Once in a week weeding; 2W= Once in two weeks weeding; 3W=</w:t>
      </w:r>
    </w:p>
    <w:p w14:paraId="2836A725"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 xml:space="preserve"> Once in three weeks weeding; 4W= Once in 4 weeks weeding; IS= Initial</w:t>
      </w:r>
    </w:p>
    <w:p w14:paraId="53B6FD53" w14:textId="77777777" w:rsidR="00B67829" w:rsidRPr="00071A47" w:rsidRDefault="00B67829" w:rsidP="003925AF">
      <w:pPr>
        <w:spacing w:after="0" w:line="240" w:lineRule="auto"/>
        <w:jc w:val="both"/>
        <w:rPr>
          <w:rFonts w:ascii="Arial" w:hAnsi="Arial" w:cs="Arial"/>
          <w:iCs/>
          <w:sz w:val="20"/>
          <w:szCs w:val="20"/>
        </w:rPr>
      </w:pPr>
      <w:r w:rsidRPr="00071A47">
        <w:rPr>
          <w:rFonts w:ascii="Arial" w:hAnsi="Arial" w:cs="Arial"/>
          <w:iCs/>
          <w:sz w:val="20"/>
          <w:szCs w:val="20"/>
        </w:rPr>
        <w:t xml:space="preserve"> topsoil sample (Control).</w:t>
      </w:r>
    </w:p>
    <w:p w14:paraId="2E212C8D" w14:textId="77777777" w:rsidR="00B67829" w:rsidRPr="003925AF" w:rsidRDefault="00B67829" w:rsidP="003925AF">
      <w:pPr>
        <w:spacing w:line="240" w:lineRule="auto"/>
        <w:rPr>
          <w:rFonts w:ascii="Arial" w:hAnsi="Arial" w:cs="Arial"/>
          <w:sz w:val="24"/>
          <w:szCs w:val="24"/>
        </w:rPr>
      </w:pPr>
    </w:p>
    <w:p w14:paraId="49B6D711" w14:textId="77777777" w:rsidR="00523B2C" w:rsidRPr="00071A47" w:rsidRDefault="00761CF0" w:rsidP="003925AF">
      <w:pPr>
        <w:spacing w:after="0" w:line="240" w:lineRule="auto"/>
        <w:rPr>
          <w:rFonts w:ascii="Arial" w:hAnsi="Arial" w:cs="Arial"/>
          <w:b/>
        </w:rPr>
      </w:pPr>
      <w:r w:rsidRPr="00071A47">
        <w:rPr>
          <w:rFonts w:ascii="Arial" w:hAnsi="Arial" w:cs="Arial"/>
          <w:b/>
        </w:rPr>
        <w:t>CONCLUSION</w:t>
      </w:r>
    </w:p>
    <w:p w14:paraId="51552BE6" w14:textId="77777777" w:rsidR="003925AF" w:rsidRDefault="003925AF" w:rsidP="003925AF">
      <w:pPr>
        <w:spacing w:after="0" w:line="240" w:lineRule="auto"/>
        <w:rPr>
          <w:rFonts w:ascii="Arial" w:hAnsi="Arial" w:cs="Arial"/>
          <w:bCs/>
          <w:sz w:val="24"/>
          <w:szCs w:val="24"/>
        </w:rPr>
      </w:pPr>
    </w:p>
    <w:p w14:paraId="67A2FCAC" w14:textId="58646620"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 xml:space="preserve">This study examined the influence of varying manual weeding frequencies on the morphological development, seedling </w:t>
      </w:r>
      <w:proofErr w:type="spellStart"/>
      <w:r w:rsidRPr="00071A47">
        <w:rPr>
          <w:rFonts w:ascii="Arial" w:hAnsi="Arial" w:cs="Arial"/>
          <w:bCs/>
          <w:sz w:val="20"/>
          <w:szCs w:val="20"/>
        </w:rPr>
        <w:t>vigour</w:t>
      </w:r>
      <w:proofErr w:type="spellEnd"/>
      <w:r w:rsidRPr="00071A47">
        <w:rPr>
          <w:rFonts w:ascii="Arial" w:hAnsi="Arial" w:cs="Arial"/>
          <w:bCs/>
          <w:sz w:val="20"/>
          <w:szCs w:val="20"/>
        </w:rPr>
        <w:t>, root characteristics</w:t>
      </w:r>
      <w:r w:rsidR="00AE4926">
        <w:rPr>
          <w:rFonts w:ascii="Arial" w:hAnsi="Arial" w:cs="Arial"/>
          <w:bCs/>
          <w:sz w:val="20"/>
          <w:szCs w:val="20"/>
        </w:rPr>
        <w:t xml:space="preserve"> and </w:t>
      </w:r>
      <w:r w:rsidRPr="00071A47">
        <w:rPr>
          <w:rFonts w:ascii="Arial" w:hAnsi="Arial" w:cs="Arial"/>
          <w:bCs/>
          <w:sz w:val="20"/>
          <w:szCs w:val="20"/>
        </w:rPr>
        <w:t>soil fungal community dynamics of cashew (</w:t>
      </w:r>
      <w:r w:rsidRPr="00071A47">
        <w:rPr>
          <w:rFonts w:ascii="Arial" w:hAnsi="Arial" w:cs="Arial"/>
          <w:bCs/>
          <w:i/>
          <w:iCs/>
          <w:sz w:val="20"/>
          <w:szCs w:val="20"/>
        </w:rPr>
        <w:t>Anacardium occidentale</w:t>
      </w:r>
      <w:r w:rsidRPr="00071A47">
        <w:rPr>
          <w:rFonts w:ascii="Arial" w:hAnsi="Arial" w:cs="Arial"/>
          <w:bCs/>
          <w:sz w:val="20"/>
          <w:szCs w:val="20"/>
        </w:rPr>
        <w:t xml:space="preserve"> L.) seedlings raised in nursery polythene bags.</w:t>
      </w:r>
    </w:p>
    <w:p w14:paraId="72C453E2" w14:textId="310A982D"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Weeding frequency exerted a selective influence on cashew seedling growth. Leaf area was positively influenced by weeding intervals of once in three weeks (3W) and once in four weeks (4W), while plant height, number of leaves</w:t>
      </w:r>
      <w:r w:rsidR="00AE4926">
        <w:rPr>
          <w:rFonts w:ascii="Arial" w:hAnsi="Arial" w:cs="Arial"/>
          <w:bCs/>
          <w:sz w:val="20"/>
          <w:szCs w:val="20"/>
        </w:rPr>
        <w:t xml:space="preserve"> and </w:t>
      </w:r>
      <w:r w:rsidRPr="00071A47">
        <w:rPr>
          <w:rFonts w:ascii="Arial" w:hAnsi="Arial" w:cs="Arial"/>
          <w:bCs/>
          <w:sz w:val="20"/>
          <w:szCs w:val="20"/>
        </w:rPr>
        <w:t xml:space="preserve">stem diameter were not significantly affected by any weeding treatment. For root development, tap root length responded positively only to once-in-two-weeks weeding (2W), while shoot and root biomass parameters were unaffected by weeding frequency. Seedling </w:t>
      </w:r>
      <w:proofErr w:type="spellStart"/>
      <w:r w:rsidRPr="00071A47">
        <w:rPr>
          <w:rFonts w:ascii="Arial" w:hAnsi="Arial" w:cs="Arial"/>
          <w:bCs/>
          <w:sz w:val="20"/>
          <w:szCs w:val="20"/>
        </w:rPr>
        <w:t>vigour</w:t>
      </w:r>
      <w:proofErr w:type="spellEnd"/>
      <w:r w:rsidRPr="00071A47">
        <w:rPr>
          <w:rFonts w:ascii="Arial" w:hAnsi="Arial" w:cs="Arial"/>
          <w:bCs/>
          <w:sz w:val="20"/>
          <w:szCs w:val="20"/>
        </w:rPr>
        <w:t xml:space="preserve"> assessment provided the most sensitive measure of cumulative weed interference. </w:t>
      </w:r>
      <w:proofErr w:type="spellStart"/>
      <w:r w:rsidRPr="00071A47">
        <w:rPr>
          <w:rFonts w:ascii="Arial" w:hAnsi="Arial" w:cs="Arial"/>
          <w:bCs/>
          <w:sz w:val="20"/>
          <w:szCs w:val="20"/>
        </w:rPr>
        <w:t>Unweeded</w:t>
      </w:r>
      <w:proofErr w:type="spellEnd"/>
      <w:r w:rsidRPr="00071A47">
        <w:rPr>
          <w:rFonts w:ascii="Arial" w:hAnsi="Arial" w:cs="Arial"/>
          <w:bCs/>
          <w:sz w:val="20"/>
          <w:szCs w:val="20"/>
        </w:rPr>
        <w:t xml:space="preserve"> seedlings recorded significantly lower </w:t>
      </w:r>
      <w:proofErr w:type="spellStart"/>
      <w:r w:rsidRPr="00071A47">
        <w:rPr>
          <w:rFonts w:ascii="Arial" w:hAnsi="Arial" w:cs="Arial"/>
          <w:bCs/>
          <w:sz w:val="20"/>
          <w:szCs w:val="20"/>
        </w:rPr>
        <w:t>vigour</w:t>
      </w:r>
      <w:proofErr w:type="spellEnd"/>
      <w:r w:rsidRPr="00071A47">
        <w:rPr>
          <w:rFonts w:ascii="Arial" w:hAnsi="Arial" w:cs="Arial"/>
          <w:bCs/>
          <w:sz w:val="20"/>
          <w:szCs w:val="20"/>
        </w:rPr>
        <w:t xml:space="preserve"> scores, compromising their market value and post-transplanting survival, while all weeded treatments produced seedlings of acceptable quality, affirming that any form of regular weeding is agronomically superior to leaving nursery seedlings unmanaged.</w:t>
      </w:r>
    </w:p>
    <w:p w14:paraId="70D2F98A" w14:textId="1607A879"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Weed density data consistently identified the critical period of weed interference as 2–4 weeks after sowing (WAS), beyond which weed regeneration declined substantially across all treatments. Weeding at four-weekly intervals is therefore encouraged throughout the 2–</w:t>
      </w:r>
      <w:proofErr w:type="gramStart"/>
      <w:r w:rsidRPr="00071A47">
        <w:rPr>
          <w:rFonts w:ascii="Arial" w:hAnsi="Arial" w:cs="Arial"/>
          <w:bCs/>
          <w:sz w:val="20"/>
          <w:szCs w:val="20"/>
        </w:rPr>
        <w:t>3 month</w:t>
      </w:r>
      <w:proofErr w:type="gramEnd"/>
      <w:r w:rsidRPr="00071A47">
        <w:rPr>
          <w:rFonts w:ascii="Arial" w:hAnsi="Arial" w:cs="Arial"/>
          <w:bCs/>
          <w:sz w:val="20"/>
          <w:szCs w:val="20"/>
        </w:rPr>
        <w:t xml:space="preserve"> nursery phase as a strategy to maintain seedling quality and also minimize weeding </w:t>
      </w:r>
      <w:proofErr w:type="spellStart"/>
      <w:r w:rsidRPr="00071A47">
        <w:rPr>
          <w:rFonts w:ascii="Arial" w:hAnsi="Arial" w:cs="Arial"/>
          <w:bCs/>
          <w:sz w:val="20"/>
          <w:szCs w:val="20"/>
        </w:rPr>
        <w:t>labour</w:t>
      </w:r>
      <w:proofErr w:type="spellEnd"/>
      <w:r w:rsidRPr="00071A47">
        <w:rPr>
          <w:rFonts w:ascii="Arial" w:hAnsi="Arial" w:cs="Arial"/>
          <w:bCs/>
          <w:sz w:val="20"/>
          <w:szCs w:val="20"/>
        </w:rPr>
        <w:t xml:space="preserve"> demands.</w:t>
      </w:r>
    </w:p>
    <w:p w14:paraId="68BC0776" w14:textId="77777777"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 xml:space="preserve">Different weeding frequencies significantly influenced the abundance and diversity of soil fungal communities. The undisturbed initial topsoil recorded the highest fungal colony forming units (CFU), while the Weedy Check (WC) recorded higher CFU than the Weed-free (WF) treatment, attributed to the additional organic substrate from decomposing weed biomass supporting saprophytic fungal activity. Periodically weeded treatments maintained intermediate fungal populations. </w:t>
      </w:r>
      <w:r w:rsidRPr="00071A47">
        <w:rPr>
          <w:rFonts w:ascii="Arial" w:hAnsi="Arial" w:cs="Arial"/>
          <w:bCs/>
          <w:i/>
          <w:iCs/>
          <w:sz w:val="20"/>
          <w:szCs w:val="20"/>
        </w:rPr>
        <w:t xml:space="preserve">Aspergillus </w:t>
      </w:r>
      <w:proofErr w:type="spellStart"/>
      <w:r w:rsidRPr="00071A47">
        <w:rPr>
          <w:rFonts w:ascii="Arial" w:hAnsi="Arial" w:cs="Arial"/>
          <w:bCs/>
          <w:i/>
          <w:iCs/>
          <w:sz w:val="20"/>
          <w:szCs w:val="20"/>
        </w:rPr>
        <w:t>niger</w:t>
      </w:r>
      <w:proofErr w:type="spellEnd"/>
      <w:r w:rsidRPr="00071A47">
        <w:rPr>
          <w:rFonts w:ascii="Arial" w:hAnsi="Arial" w:cs="Arial"/>
          <w:bCs/>
          <w:sz w:val="20"/>
          <w:szCs w:val="20"/>
        </w:rPr>
        <w:t xml:space="preserve"> and </w:t>
      </w:r>
      <w:r w:rsidRPr="00071A47">
        <w:rPr>
          <w:rFonts w:ascii="Arial" w:hAnsi="Arial" w:cs="Arial"/>
          <w:bCs/>
          <w:i/>
          <w:iCs/>
          <w:sz w:val="20"/>
          <w:szCs w:val="20"/>
        </w:rPr>
        <w:t>A. fumigatus</w:t>
      </w:r>
      <w:r w:rsidRPr="00071A47">
        <w:rPr>
          <w:rFonts w:ascii="Arial" w:hAnsi="Arial" w:cs="Arial"/>
          <w:bCs/>
          <w:sz w:val="20"/>
          <w:szCs w:val="20"/>
        </w:rPr>
        <w:t xml:space="preserve"> were ubiquitous across all treatments, confirming their dominance as soil saprophytes, while potentially pathogenic taxa including </w:t>
      </w:r>
      <w:r w:rsidRPr="00071A47">
        <w:rPr>
          <w:rFonts w:ascii="Arial" w:hAnsi="Arial" w:cs="Arial"/>
          <w:bCs/>
          <w:i/>
          <w:iCs/>
          <w:sz w:val="20"/>
          <w:szCs w:val="20"/>
        </w:rPr>
        <w:t xml:space="preserve">Fusarium </w:t>
      </w:r>
      <w:proofErr w:type="spellStart"/>
      <w:r w:rsidRPr="00071A47">
        <w:rPr>
          <w:rFonts w:ascii="Arial" w:hAnsi="Arial" w:cs="Arial"/>
          <w:bCs/>
          <w:i/>
          <w:iCs/>
          <w:sz w:val="20"/>
          <w:szCs w:val="20"/>
        </w:rPr>
        <w:t>oxysporum</w:t>
      </w:r>
      <w:proofErr w:type="spellEnd"/>
      <w:r w:rsidRPr="00071A47">
        <w:rPr>
          <w:rFonts w:ascii="Arial" w:hAnsi="Arial" w:cs="Arial"/>
          <w:bCs/>
          <w:sz w:val="20"/>
          <w:szCs w:val="20"/>
        </w:rPr>
        <w:t xml:space="preserve"> and the biocontrol agent </w:t>
      </w:r>
      <w:r w:rsidRPr="00071A47">
        <w:rPr>
          <w:rFonts w:ascii="Arial" w:hAnsi="Arial" w:cs="Arial"/>
          <w:bCs/>
          <w:i/>
          <w:iCs/>
          <w:sz w:val="20"/>
          <w:szCs w:val="20"/>
        </w:rPr>
        <w:t>Trichoderma viride</w:t>
      </w:r>
      <w:r w:rsidRPr="00071A47">
        <w:rPr>
          <w:rFonts w:ascii="Arial" w:hAnsi="Arial" w:cs="Arial"/>
          <w:bCs/>
          <w:sz w:val="20"/>
          <w:szCs w:val="20"/>
        </w:rPr>
        <w:t xml:space="preserve"> occurred variably with weeding frequency, confirming that weeding practices selectively shape soil fungal community composition in cashew nurseries.</w:t>
      </w:r>
    </w:p>
    <w:p w14:paraId="10771C1A" w14:textId="4EA1C5EC" w:rsidR="003925AF" w:rsidRPr="00071A47" w:rsidRDefault="003925AF" w:rsidP="003925AF">
      <w:pPr>
        <w:spacing w:after="0" w:line="240" w:lineRule="auto"/>
        <w:jc w:val="both"/>
        <w:rPr>
          <w:rFonts w:ascii="Arial" w:hAnsi="Arial" w:cs="Arial"/>
          <w:bCs/>
          <w:sz w:val="20"/>
          <w:szCs w:val="20"/>
        </w:rPr>
      </w:pPr>
      <w:r w:rsidRPr="00071A47">
        <w:rPr>
          <w:rFonts w:ascii="Arial" w:hAnsi="Arial" w:cs="Arial"/>
          <w:bCs/>
          <w:sz w:val="20"/>
          <w:szCs w:val="20"/>
        </w:rPr>
        <w:t>A weeding frequency of once every four weeks is recommended as a practical and agronomically sound management strategy for cashew poly</w:t>
      </w:r>
      <w:r w:rsidR="003B0A81" w:rsidRPr="00071A47">
        <w:rPr>
          <w:rFonts w:ascii="Arial" w:hAnsi="Arial" w:cs="Arial"/>
          <w:bCs/>
          <w:sz w:val="20"/>
          <w:szCs w:val="20"/>
        </w:rPr>
        <w:t>thene bag</w:t>
      </w:r>
      <w:r w:rsidRPr="00071A47">
        <w:rPr>
          <w:rFonts w:ascii="Arial" w:hAnsi="Arial" w:cs="Arial"/>
          <w:bCs/>
          <w:sz w:val="20"/>
          <w:szCs w:val="20"/>
        </w:rPr>
        <w:t xml:space="preserve"> nursery production.</w:t>
      </w:r>
    </w:p>
    <w:p w14:paraId="6BEB602C" w14:textId="77777777" w:rsidR="003925AF" w:rsidRDefault="003925AF" w:rsidP="003925AF">
      <w:pPr>
        <w:spacing w:after="0" w:line="240" w:lineRule="auto"/>
        <w:rPr>
          <w:rFonts w:ascii="Arial" w:hAnsi="Arial" w:cs="Arial"/>
          <w:bCs/>
          <w:sz w:val="24"/>
          <w:szCs w:val="24"/>
        </w:rPr>
      </w:pPr>
    </w:p>
    <w:p w14:paraId="07CF624C" w14:textId="77777777" w:rsidR="00AE4926" w:rsidRPr="00AE4926" w:rsidRDefault="00AE4926" w:rsidP="003925AF">
      <w:pPr>
        <w:spacing w:after="0" w:line="240" w:lineRule="auto"/>
        <w:rPr>
          <w:rFonts w:ascii="Arial" w:hAnsi="Arial" w:cs="Arial"/>
          <w:b/>
          <w:sz w:val="20"/>
          <w:szCs w:val="20"/>
        </w:rPr>
      </w:pPr>
      <w:bookmarkStart w:id="0" w:name="_GoBack"/>
      <w:bookmarkEnd w:id="0"/>
    </w:p>
    <w:p w14:paraId="47D43833" w14:textId="77777777" w:rsidR="00523B2C" w:rsidRPr="00071A47" w:rsidRDefault="00523B2C" w:rsidP="003925AF">
      <w:pPr>
        <w:spacing w:line="240" w:lineRule="auto"/>
        <w:rPr>
          <w:rFonts w:ascii="Arial" w:hAnsi="Arial" w:cs="Arial"/>
          <w:b/>
          <w:bCs/>
        </w:rPr>
      </w:pPr>
      <w:r w:rsidRPr="00071A47">
        <w:rPr>
          <w:rFonts w:ascii="Arial" w:hAnsi="Arial" w:cs="Arial"/>
          <w:b/>
          <w:bCs/>
        </w:rPr>
        <w:t>REFERENCES</w:t>
      </w:r>
    </w:p>
    <w:p w14:paraId="799769E8"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Agele, S. O., &amp; </w:t>
      </w:r>
      <w:proofErr w:type="spellStart"/>
      <w:r w:rsidRPr="00071A47">
        <w:rPr>
          <w:rFonts w:ascii="Arial" w:hAnsi="Arial" w:cs="Arial"/>
          <w:sz w:val="20"/>
          <w:szCs w:val="20"/>
        </w:rPr>
        <w:t>Agbona</w:t>
      </w:r>
      <w:proofErr w:type="spellEnd"/>
      <w:r w:rsidRPr="00071A47">
        <w:rPr>
          <w:rFonts w:ascii="Arial" w:hAnsi="Arial" w:cs="Arial"/>
          <w:sz w:val="20"/>
          <w:szCs w:val="20"/>
        </w:rPr>
        <w:t>, A. I. (2008). Effects of cocoa pod husk amendment on soil and leaf chemical composition and growth of cashew (</w:t>
      </w:r>
      <w:r w:rsidRPr="00071A47">
        <w:rPr>
          <w:rFonts w:ascii="Arial" w:hAnsi="Arial" w:cs="Arial"/>
          <w:i/>
          <w:sz w:val="20"/>
          <w:szCs w:val="20"/>
        </w:rPr>
        <w:t>Anacardium occidentale L</w:t>
      </w:r>
      <w:r w:rsidRPr="00071A47">
        <w:rPr>
          <w:rFonts w:ascii="Arial" w:hAnsi="Arial" w:cs="Arial"/>
          <w:sz w:val="20"/>
          <w:szCs w:val="20"/>
        </w:rPr>
        <w:t>.) seedlings in the Nursery. </w:t>
      </w:r>
      <w:r w:rsidRPr="00071A47">
        <w:rPr>
          <w:rFonts w:ascii="Arial" w:hAnsi="Arial" w:cs="Arial"/>
          <w:i/>
          <w:iCs/>
          <w:sz w:val="20"/>
          <w:szCs w:val="20"/>
        </w:rPr>
        <w:t>American-Eurasian Journal of Sustainable Agriculture</w:t>
      </w:r>
      <w:r w:rsidRPr="00071A47">
        <w:rPr>
          <w:rFonts w:ascii="Arial" w:hAnsi="Arial" w:cs="Arial"/>
          <w:sz w:val="20"/>
          <w:szCs w:val="20"/>
        </w:rPr>
        <w:t>, </w:t>
      </w:r>
      <w:r w:rsidRPr="00071A47">
        <w:rPr>
          <w:rFonts w:ascii="Arial" w:hAnsi="Arial" w:cs="Arial"/>
          <w:i/>
          <w:iCs/>
          <w:sz w:val="20"/>
          <w:szCs w:val="20"/>
        </w:rPr>
        <w:t>2</w:t>
      </w:r>
      <w:r w:rsidRPr="00071A47">
        <w:rPr>
          <w:rFonts w:ascii="Arial" w:hAnsi="Arial" w:cs="Arial"/>
          <w:sz w:val="20"/>
          <w:szCs w:val="20"/>
        </w:rPr>
        <w:t>(3), 219-224.</w:t>
      </w:r>
    </w:p>
    <w:p w14:paraId="40C6E49D"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Agyakwa</w:t>
      </w:r>
      <w:proofErr w:type="spellEnd"/>
      <w:r w:rsidRPr="00071A47">
        <w:rPr>
          <w:rFonts w:ascii="Arial" w:eastAsia="Times New Roman" w:hAnsi="Arial" w:cs="Arial"/>
          <w:iCs/>
          <w:color w:val="000000"/>
          <w:sz w:val="20"/>
          <w:szCs w:val="20"/>
        </w:rPr>
        <w:t xml:space="preserve">, C. W. and I. O. Akobundu. (1998). A Handbook of West African Weeds. 2nd </w:t>
      </w:r>
      <w:proofErr w:type="spellStart"/>
      <w:r w:rsidRPr="00071A47">
        <w:rPr>
          <w:rFonts w:ascii="Arial" w:eastAsia="Times New Roman" w:hAnsi="Arial" w:cs="Arial"/>
          <w:iCs/>
          <w:color w:val="000000"/>
          <w:sz w:val="20"/>
          <w:szCs w:val="20"/>
        </w:rPr>
        <w:t>Edn</w:t>
      </w:r>
      <w:proofErr w:type="spellEnd"/>
      <w:r w:rsidRPr="00071A47">
        <w:rPr>
          <w:rFonts w:ascii="Arial" w:eastAsia="Times New Roman" w:hAnsi="Arial" w:cs="Arial"/>
          <w:iCs/>
          <w:color w:val="000000"/>
          <w:sz w:val="20"/>
          <w:szCs w:val="20"/>
        </w:rPr>
        <w:t xml:space="preserve">., International Institute of Tropical Agriculture, Ibadan, Nigeria, ISBN: 9781311290, Pages: </w:t>
      </w:r>
    </w:p>
    <w:p w14:paraId="293D3447"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Altland, J. (2005). Weed control in nursery field production. Extension Service, Oregon State University. </w:t>
      </w:r>
      <w:hyperlink r:id="rId16" w:history="1">
        <w:r w:rsidRPr="00071A47">
          <w:rPr>
            <w:rStyle w:val="Hyperlink"/>
            <w:rFonts w:ascii="Arial" w:eastAsia="Times New Roman" w:hAnsi="Arial" w:cs="Arial"/>
            <w:iCs/>
            <w:sz w:val="20"/>
            <w:szCs w:val="20"/>
          </w:rPr>
          <w:t>file:///C:/Users/Aremu-Dele%20Olufemi/Downloads/em8899-e.pdf</w:t>
        </w:r>
      </w:hyperlink>
      <w:r w:rsidRPr="00071A47">
        <w:rPr>
          <w:rFonts w:ascii="Arial" w:eastAsia="Times New Roman" w:hAnsi="Arial" w:cs="Arial"/>
          <w:iCs/>
          <w:color w:val="000000"/>
          <w:sz w:val="20"/>
          <w:szCs w:val="20"/>
        </w:rPr>
        <w:t>. Pg: 1.</w:t>
      </w:r>
    </w:p>
    <w:p w14:paraId="2C0B4815" w14:textId="77777777" w:rsidR="003B0A81" w:rsidRPr="00071A47" w:rsidRDefault="003B0A81" w:rsidP="003B0A81">
      <w:pPr>
        <w:spacing w:line="240" w:lineRule="auto"/>
        <w:jc w:val="both"/>
        <w:rPr>
          <w:rFonts w:ascii="Arial" w:hAnsi="Arial" w:cs="Arial"/>
          <w:sz w:val="20"/>
          <w:szCs w:val="20"/>
        </w:rPr>
      </w:pPr>
      <w:proofErr w:type="spellStart"/>
      <w:r w:rsidRPr="00071A47">
        <w:rPr>
          <w:rFonts w:ascii="Arial" w:hAnsi="Arial" w:cs="Arial"/>
          <w:sz w:val="20"/>
          <w:szCs w:val="20"/>
        </w:rPr>
        <w:t>Awodun</w:t>
      </w:r>
      <w:proofErr w:type="spellEnd"/>
      <w:r w:rsidRPr="00071A47">
        <w:rPr>
          <w:rFonts w:ascii="Arial" w:hAnsi="Arial" w:cs="Arial"/>
          <w:sz w:val="20"/>
          <w:szCs w:val="20"/>
        </w:rPr>
        <w:t xml:space="preserve">, M. A., </w:t>
      </w:r>
      <w:proofErr w:type="spellStart"/>
      <w:r w:rsidRPr="00071A47">
        <w:rPr>
          <w:rFonts w:ascii="Arial" w:hAnsi="Arial" w:cs="Arial"/>
          <w:sz w:val="20"/>
          <w:szCs w:val="20"/>
        </w:rPr>
        <w:t>Osundare</w:t>
      </w:r>
      <w:proofErr w:type="spellEnd"/>
      <w:r w:rsidRPr="00071A47">
        <w:rPr>
          <w:rFonts w:ascii="Arial" w:hAnsi="Arial" w:cs="Arial"/>
          <w:sz w:val="20"/>
          <w:szCs w:val="20"/>
        </w:rPr>
        <w:t xml:space="preserve">, O. T., </w:t>
      </w:r>
      <w:proofErr w:type="spellStart"/>
      <w:r w:rsidRPr="00071A47">
        <w:rPr>
          <w:rFonts w:ascii="Arial" w:hAnsi="Arial" w:cs="Arial"/>
          <w:sz w:val="20"/>
          <w:szCs w:val="20"/>
        </w:rPr>
        <w:t>Oyelekan</w:t>
      </w:r>
      <w:proofErr w:type="spellEnd"/>
      <w:r w:rsidRPr="00071A47">
        <w:rPr>
          <w:rFonts w:ascii="Arial" w:hAnsi="Arial" w:cs="Arial"/>
          <w:sz w:val="20"/>
          <w:szCs w:val="20"/>
        </w:rPr>
        <w:t>, S. A., &amp; Okonji, C. J. (2015). Comparative effects of organic and inorganic soil amendments on the growth of cashew nut (Anacardium occidentale l.) seedlings. </w:t>
      </w:r>
      <w:r w:rsidRPr="00071A47">
        <w:rPr>
          <w:rFonts w:ascii="Arial" w:hAnsi="Arial" w:cs="Arial"/>
          <w:i/>
          <w:iCs/>
          <w:sz w:val="20"/>
          <w:szCs w:val="20"/>
        </w:rPr>
        <w:t>Journal of Agricultural Biotechnology and Sustainable Development</w:t>
      </w:r>
      <w:r w:rsidRPr="00071A47">
        <w:rPr>
          <w:rFonts w:ascii="Arial" w:hAnsi="Arial" w:cs="Arial"/>
          <w:sz w:val="20"/>
          <w:szCs w:val="20"/>
        </w:rPr>
        <w:t>, </w:t>
      </w:r>
      <w:r w:rsidRPr="00071A47">
        <w:rPr>
          <w:rFonts w:ascii="Arial" w:hAnsi="Arial" w:cs="Arial"/>
          <w:i/>
          <w:iCs/>
          <w:sz w:val="20"/>
          <w:szCs w:val="20"/>
        </w:rPr>
        <w:t>7</w:t>
      </w:r>
      <w:r w:rsidRPr="00071A47">
        <w:rPr>
          <w:rFonts w:ascii="Arial" w:hAnsi="Arial" w:cs="Arial"/>
          <w:sz w:val="20"/>
          <w:szCs w:val="20"/>
        </w:rPr>
        <w:t>(4), 37.</w:t>
      </w:r>
    </w:p>
    <w:p w14:paraId="47D921A0"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lastRenderedPageBreak/>
        <w:t>Brassard, B. W., Chen, H. Y., &amp; Bergeron, Y. (2009). Influence of environmental variability on root dynamics in northern forests. </w:t>
      </w:r>
      <w:r w:rsidRPr="00071A47">
        <w:rPr>
          <w:rFonts w:ascii="Arial" w:eastAsia="Times New Roman" w:hAnsi="Arial" w:cs="Arial"/>
          <w:i/>
          <w:iCs/>
          <w:color w:val="000000"/>
          <w:sz w:val="20"/>
          <w:szCs w:val="20"/>
        </w:rPr>
        <w:t>Critical Reviews in Plant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28</w:t>
      </w:r>
      <w:r w:rsidRPr="00071A47">
        <w:rPr>
          <w:rFonts w:ascii="Arial" w:eastAsia="Times New Roman" w:hAnsi="Arial" w:cs="Arial"/>
          <w:iCs/>
          <w:color w:val="000000"/>
          <w:sz w:val="20"/>
          <w:szCs w:val="20"/>
        </w:rPr>
        <w:t>(3), 179-197.</w:t>
      </w:r>
    </w:p>
    <w:p w14:paraId="6FEBC25A" w14:textId="77777777" w:rsidR="003B0A81" w:rsidRPr="00071A47" w:rsidRDefault="003B0A81" w:rsidP="003B0A81">
      <w:pPr>
        <w:spacing w:line="240" w:lineRule="auto"/>
        <w:jc w:val="both"/>
        <w:rPr>
          <w:rFonts w:ascii="Arial" w:hAnsi="Arial" w:cs="Arial"/>
          <w:sz w:val="20"/>
          <w:szCs w:val="20"/>
        </w:rPr>
      </w:pPr>
      <w:proofErr w:type="spellStart"/>
      <w:r w:rsidRPr="00071A47">
        <w:rPr>
          <w:rFonts w:ascii="Arial" w:hAnsi="Arial" w:cs="Arial"/>
          <w:sz w:val="20"/>
          <w:szCs w:val="20"/>
        </w:rPr>
        <w:t>Chude</w:t>
      </w:r>
      <w:proofErr w:type="spellEnd"/>
      <w:r w:rsidRPr="00071A47">
        <w:rPr>
          <w:rFonts w:ascii="Arial" w:hAnsi="Arial" w:cs="Arial"/>
          <w:sz w:val="20"/>
          <w:szCs w:val="20"/>
        </w:rPr>
        <w:t xml:space="preserve"> V. O., Daudu C., Olayiwola S. O. and </w:t>
      </w:r>
      <w:proofErr w:type="spellStart"/>
      <w:r w:rsidRPr="00071A47">
        <w:rPr>
          <w:rFonts w:ascii="Arial" w:hAnsi="Arial" w:cs="Arial"/>
          <w:sz w:val="20"/>
          <w:szCs w:val="20"/>
        </w:rPr>
        <w:t>Ekeoma</w:t>
      </w:r>
      <w:proofErr w:type="spellEnd"/>
      <w:r w:rsidRPr="00071A47">
        <w:rPr>
          <w:rFonts w:ascii="Arial" w:hAnsi="Arial" w:cs="Arial"/>
          <w:sz w:val="20"/>
          <w:szCs w:val="20"/>
        </w:rPr>
        <w:t xml:space="preserve"> A. (2102). Fertilizer use and management practices for crops in </w:t>
      </w:r>
      <w:proofErr w:type="spellStart"/>
      <w:r w:rsidRPr="00071A47">
        <w:rPr>
          <w:rFonts w:ascii="Arial" w:hAnsi="Arial" w:cs="Arial"/>
          <w:sz w:val="20"/>
          <w:szCs w:val="20"/>
        </w:rPr>
        <w:t>nigeria</w:t>
      </w:r>
      <w:proofErr w:type="spellEnd"/>
      <w:r w:rsidRPr="00071A47">
        <w:rPr>
          <w:rFonts w:ascii="Arial" w:hAnsi="Arial" w:cs="Arial"/>
          <w:sz w:val="20"/>
          <w:szCs w:val="20"/>
        </w:rPr>
        <w:t>. 4th edition. Federal fertilizer department, federal ministry of agriculture and rural development, Abuja.</w:t>
      </w:r>
    </w:p>
    <w:p w14:paraId="428BDE9F" w14:textId="77777777" w:rsidR="003B0A81" w:rsidRPr="00071A47" w:rsidRDefault="003B0A81" w:rsidP="003B0A81">
      <w:pPr>
        <w:spacing w:line="240" w:lineRule="auto"/>
        <w:jc w:val="both"/>
        <w:rPr>
          <w:rFonts w:ascii="Arial" w:hAnsi="Arial" w:cs="Arial"/>
          <w:sz w:val="20"/>
          <w:szCs w:val="20"/>
        </w:rPr>
      </w:pPr>
      <w:proofErr w:type="spellStart"/>
      <w:r w:rsidRPr="00071A47">
        <w:rPr>
          <w:rFonts w:ascii="Arial" w:hAnsi="Arial" w:cs="Arial"/>
          <w:sz w:val="20"/>
          <w:szCs w:val="20"/>
        </w:rPr>
        <w:t>Cocannouer</w:t>
      </w:r>
      <w:proofErr w:type="spellEnd"/>
      <w:r w:rsidRPr="00071A47">
        <w:rPr>
          <w:rFonts w:ascii="Arial" w:hAnsi="Arial" w:cs="Arial"/>
          <w:sz w:val="20"/>
          <w:szCs w:val="20"/>
        </w:rPr>
        <w:t xml:space="preserve"> J. A. (1980). </w:t>
      </w:r>
      <w:proofErr w:type="gramStart"/>
      <w:r w:rsidRPr="00071A47">
        <w:rPr>
          <w:rFonts w:ascii="Arial" w:hAnsi="Arial" w:cs="Arial"/>
          <w:sz w:val="20"/>
          <w:szCs w:val="20"/>
        </w:rPr>
        <w:t>.Weeds</w:t>
      </w:r>
      <w:proofErr w:type="gramEnd"/>
      <w:r w:rsidRPr="00071A47">
        <w:rPr>
          <w:rFonts w:ascii="Arial" w:hAnsi="Arial" w:cs="Arial"/>
          <w:sz w:val="20"/>
          <w:szCs w:val="20"/>
        </w:rPr>
        <w:t xml:space="preserve">, Guardians of the soil. The Devin-Adair Company Old Greenwich. </w:t>
      </w:r>
      <w:hyperlink r:id="rId17" w:history="1">
        <w:r w:rsidRPr="00071A47">
          <w:rPr>
            <w:rStyle w:val="Hyperlink"/>
            <w:rFonts w:ascii="Arial" w:hAnsi="Arial" w:cs="Arial"/>
            <w:sz w:val="20"/>
            <w:szCs w:val="20"/>
          </w:rPr>
          <w:t>http://www.zetatalk11.com/docs/Plants/Weeds/Weeds_Guardians_Of_The_Soil_198 0.pdf. Accessed 07/11/23</w:t>
        </w:r>
      </w:hyperlink>
      <w:r w:rsidRPr="00071A47">
        <w:rPr>
          <w:rFonts w:ascii="Arial" w:hAnsi="Arial" w:cs="Arial"/>
          <w:sz w:val="20"/>
          <w:szCs w:val="20"/>
        </w:rPr>
        <w:t>.</w:t>
      </w:r>
    </w:p>
    <w:p w14:paraId="0AE85135"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Dass, A., Shekhawat, K., Choudhary, A. K., Sepat, S., Rathore, S. S., Mahajan, G., &amp; Chauhan, B. S. (2017). Weed management in rice using crop competition-a review. </w:t>
      </w:r>
      <w:r w:rsidRPr="00071A47">
        <w:rPr>
          <w:rFonts w:ascii="Arial" w:hAnsi="Arial" w:cs="Arial"/>
          <w:i/>
          <w:iCs/>
          <w:sz w:val="20"/>
          <w:szCs w:val="20"/>
        </w:rPr>
        <w:t>Crop protection</w:t>
      </w:r>
      <w:r w:rsidRPr="00071A47">
        <w:rPr>
          <w:rFonts w:ascii="Arial" w:hAnsi="Arial" w:cs="Arial"/>
          <w:sz w:val="20"/>
          <w:szCs w:val="20"/>
        </w:rPr>
        <w:t>, </w:t>
      </w:r>
      <w:r w:rsidRPr="00071A47">
        <w:rPr>
          <w:rFonts w:ascii="Arial" w:hAnsi="Arial" w:cs="Arial"/>
          <w:i/>
          <w:iCs/>
          <w:sz w:val="20"/>
          <w:szCs w:val="20"/>
        </w:rPr>
        <w:t>95</w:t>
      </w:r>
      <w:r w:rsidRPr="00071A47">
        <w:rPr>
          <w:rFonts w:ascii="Arial" w:hAnsi="Arial" w:cs="Arial"/>
          <w:sz w:val="20"/>
          <w:szCs w:val="20"/>
        </w:rPr>
        <w:t>, 45-52.</w:t>
      </w:r>
    </w:p>
    <w:p w14:paraId="0D8010C2"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Deen, W., Cousens, R. O. G. E. R., </w:t>
      </w:r>
      <w:proofErr w:type="spellStart"/>
      <w:r w:rsidRPr="00071A47">
        <w:rPr>
          <w:rFonts w:ascii="Arial" w:eastAsia="Times New Roman" w:hAnsi="Arial" w:cs="Arial"/>
          <w:iCs/>
          <w:color w:val="000000"/>
          <w:sz w:val="20"/>
          <w:szCs w:val="20"/>
        </w:rPr>
        <w:t>Warringa</w:t>
      </w:r>
      <w:proofErr w:type="spellEnd"/>
      <w:r w:rsidRPr="00071A47">
        <w:rPr>
          <w:rFonts w:ascii="Arial" w:eastAsia="Times New Roman" w:hAnsi="Arial" w:cs="Arial"/>
          <w:iCs/>
          <w:color w:val="000000"/>
          <w:sz w:val="20"/>
          <w:szCs w:val="20"/>
        </w:rPr>
        <w:t xml:space="preserve">, J., </w:t>
      </w:r>
      <w:proofErr w:type="spellStart"/>
      <w:r w:rsidRPr="00071A47">
        <w:rPr>
          <w:rFonts w:ascii="Arial" w:eastAsia="Times New Roman" w:hAnsi="Arial" w:cs="Arial"/>
          <w:iCs/>
          <w:color w:val="000000"/>
          <w:sz w:val="20"/>
          <w:szCs w:val="20"/>
        </w:rPr>
        <w:t>Bastiaans</w:t>
      </w:r>
      <w:proofErr w:type="spellEnd"/>
      <w:r w:rsidRPr="00071A47">
        <w:rPr>
          <w:rFonts w:ascii="Arial" w:eastAsia="Times New Roman" w:hAnsi="Arial" w:cs="Arial"/>
          <w:iCs/>
          <w:color w:val="000000"/>
          <w:sz w:val="20"/>
          <w:szCs w:val="20"/>
        </w:rPr>
        <w:t>, L., Carberry, P., Rebel, K. &amp; Wang, E. (2003). An evaluation of four crop: weed competition models using a common data set. </w:t>
      </w:r>
      <w:r w:rsidRPr="00071A47">
        <w:rPr>
          <w:rFonts w:ascii="Arial" w:eastAsia="Times New Roman" w:hAnsi="Arial" w:cs="Arial"/>
          <w:i/>
          <w:iCs/>
          <w:color w:val="000000"/>
          <w:sz w:val="20"/>
          <w:szCs w:val="20"/>
        </w:rPr>
        <w:t>Weed Research</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43</w:t>
      </w:r>
      <w:r w:rsidRPr="00071A47">
        <w:rPr>
          <w:rFonts w:ascii="Arial" w:eastAsia="Times New Roman" w:hAnsi="Arial" w:cs="Arial"/>
          <w:iCs/>
          <w:color w:val="000000"/>
          <w:sz w:val="20"/>
          <w:szCs w:val="20"/>
        </w:rPr>
        <w:t>(2), 116-129.</w:t>
      </w:r>
    </w:p>
    <w:p w14:paraId="050FA64A" w14:textId="77777777" w:rsidR="003B0A81" w:rsidRPr="00071A47" w:rsidRDefault="003B0A81" w:rsidP="003B0A81">
      <w:pPr>
        <w:spacing w:line="240" w:lineRule="auto"/>
        <w:jc w:val="both"/>
        <w:rPr>
          <w:rFonts w:ascii="Arial" w:eastAsia="Times New Roman" w:hAnsi="Arial" w:cs="Arial"/>
          <w:iCs/>
          <w:color w:val="000000"/>
          <w:sz w:val="20"/>
          <w:szCs w:val="20"/>
          <w:lang w:val="en-GB"/>
        </w:rPr>
      </w:pPr>
      <w:r w:rsidRPr="00071A47">
        <w:rPr>
          <w:rFonts w:ascii="Arial" w:eastAsia="Times New Roman" w:hAnsi="Arial" w:cs="Arial"/>
          <w:iCs/>
          <w:color w:val="000000"/>
          <w:sz w:val="20"/>
          <w:szCs w:val="20"/>
          <w:lang w:val="en-GB"/>
        </w:rPr>
        <w:t xml:space="preserve">Egbe N. E, </w:t>
      </w:r>
      <w:proofErr w:type="spellStart"/>
      <w:r w:rsidRPr="00071A47">
        <w:rPr>
          <w:rFonts w:ascii="Arial" w:eastAsia="Times New Roman" w:hAnsi="Arial" w:cs="Arial"/>
          <w:iCs/>
          <w:color w:val="000000"/>
          <w:sz w:val="20"/>
          <w:szCs w:val="20"/>
          <w:lang w:val="en-GB"/>
        </w:rPr>
        <w:t>Olatoye</w:t>
      </w:r>
      <w:proofErr w:type="spellEnd"/>
      <w:r w:rsidRPr="00071A47">
        <w:rPr>
          <w:rFonts w:ascii="Arial" w:eastAsia="Times New Roman" w:hAnsi="Arial" w:cs="Arial"/>
          <w:iCs/>
          <w:color w:val="000000"/>
          <w:sz w:val="20"/>
          <w:szCs w:val="20"/>
          <w:lang w:val="en-GB"/>
        </w:rPr>
        <w:t xml:space="preserve"> S. T, </w:t>
      </w:r>
      <w:proofErr w:type="spellStart"/>
      <w:r w:rsidRPr="00071A47">
        <w:rPr>
          <w:rFonts w:ascii="Arial" w:eastAsia="Times New Roman" w:hAnsi="Arial" w:cs="Arial"/>
          <w:iCs/>
          <w:color w:val="000000"/>
          <w:sz w:val="20"/>
          <w:szCs w:val="20"/>
          <w:lang w:val="en-GB"/>
        </w:rPr>
        <w:t>Obatolu</w:t>
      </w:r>
      <w:proofErr w:type="spellEnd"/>
      <w:r w:rsidRPr="00071A47">
        <w:rPr>
          <w:rFonts w:ascii="Arial" w:eastAsia="Times New Roman" w:hAnsi="Arial" w:cs="Arial"/>
          <w:iCs/>
          <w:color w:val="000000"/>
          <w:sz w:val="20"/>
          <w:szCs w:val="20"/>
          <w:lang w:val="en-GB"/>
        </w:rPr>
        <w:t xml:space="preserve"> C. R. (1989). Impact of rate and types of fertilizers on productivity and nutrient cycling in tree crop plantation ecosystem. Unpublished paper. Submitted for MAB Workshop.</w:t>
      </w:r>
    </w:p>
    <w:p w14:paraId="446B271F"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Essien, B. A., Okereke, P. O., &amp; </w:t>
      </w:r>
      <w:proofErr w:type="spellStart"/>
      <w:r w:rsidRPr="00071A47">
        <w:rPr>
          <w:rFonts w:ascii="Arial" w:eastAsia="Times New Roman" w:hAnsi="Arial" w:cs="Arial"/>
          <w:iCs/>
          <w:color w:val="000000"/>
          <w:sz w:val="20"/>
          <w:szCs w:val="20"/>
        </w:rPr>
        <w:t>Oyeleye</w:t>
      </w:r>
      <w:proofErr w:type="spellEnd"/>
      <w:r w:rsidRPr="00071A47">
        <w:rPr>
          <w:rFonts w:ascii="Arial" w:eastAsia="Times New Roman" w:hAnsi="Arial" w:cs="Arial"/>
          <w:iCs/>
          <w:color w:val="000000"/>
          <w:sz w:val="20"/>
          <w:szCs w:val="20"/>
        </w:rPr>
        <w:t>, A. D. (2021). Industrial Crops Production. </w:t>
      </w:r>
      <w:r w:rsidRPr="00071A47">
        <w:rPr>
          <w:rFonts w:ascii="Arial" w:eastAsia="Times New Roman" w:hAnsi="Arial" w:cs="Arial"/>
          <w:i/>
          <w:iCs/>
          <w:color w:val="000000"/>
          <w:sz w:val="20"/>
          <w:szCs w:val="20"/>
        </w:rPr>
        <w:t>Agricultural Technology for Colleges</w:t>
      </w:r>
      <w:r w:rsidRPr="00071A47">
        <w:rPr>
          <w:rFonts w:ascii="Arial" w:eastAsia="Times New Roman" w:hAnsi="Arial" w:cs="Arial"/>
          <w:iCs/>
          <w:color w:val="000000"/>
          <w:sz w:val="20"/>
          <w:szCs w:val="20"/>
        </w:rPr>
        <w:t>, 122.</w:t>
      </w:r>
    </w:p>
    <w:p w14:paraId="5DC8999D"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Farooq, M. S. M. A., Basra, S. M. A., &amp; Ahmad, N. (2007). Improving the performance of transplanted rice by seed priming. </w:t>
      </w:r>
      <w:r w:rsidRPr="00071A47">
        <w:rPr>
          <w:rFonts w:ascii="Arial" w:eastAsia="Times New Roman" w:hAnsi="Arial" w:cs="Arial"/>
          <w:i/>
          <w:iCs/>
          <w:color w:val="000000"/>
          <w:sz w:val="20"/>
          <w:szCs w:val="20"/>
        </w:rPr>
        <w:t>Plant Growth Regulation</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51</w:t>
      </w:r>
      <w:r w:rsidRPr="00071A47">
        <w:rPr>
          <w:rFonts w:ascii="Arial" w:eastAsia="Times New Roman" w:hAnsi="Arial" w:cs="Arial"/>
          <w:iCs/>
          <w:color w:val="000000"/>
          <w:sz w:val="20"/>
          <w:szCs w:val="20"/>
        </w:rPr>
        <w:t>, 129-137.</w:t>
      </w:r>
    </w:p>
    <w:p w14:paraId="73BA1591"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Franco, J. A., </w:t>
      </w:r>
      <w:proofErr w:type="spellStart"/>
      <w:r w:rsidRPr="00071A47">
        <w:rPr>
          <w:rFonts w:ascii="Arial" w:eastAsia="Times New Roman" w:hAnsi="Arial" w:cs="Arial"/>
          <w:iCs/>
          <w:color w:val="000000"/>
          <w:sz w:val="20"/>
          <w:szCs w:val="20"/>
        </w:rPr>
        <w:t>Bañón</w:t>
      </w:r>
      <w:proofErr w:type="spellEnd"/>
      <w:r w:rsidRPr="00071A47">
        <w:rPr>
          <w:rFonts w:ascii="Arial" w:eastAsia="Times New Roman" w:hAnsi="Arial" w:cs="Arial"/>
          <w:iCs/>
          <w:color w:val="000000"/>
          <w:sz w:val="20"/>
          <w:szCs w:val="20"/>
        </w:rPr>
        <w:t>, S., Vicente, M. J., Miralles, J., &amp; Martínez-Sánchez, J. J. (2011). Root development in horticultural plants grown under abiotic stress conditions–a review. </w:t>
      </w:r>
      <w:r w:rsidRPr="00071A47">
        <w:rPr>
          <w:rFonts w:ascii="Arial" w:eastAsia="Times New Roman" w:hAnsi="Arial" w:cs="Arial"/>
          <w:i/>
          <w:iCs/>
          <w:color w:val="000000"/>
          <w:sz w:val="20"/>
          <w:szCs w:val="20"/>
        </w:rPr>
        <w:t>The Journal of Horticultural Science and Biotechnology</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86</w:t>
      </w:r>
      <w:r w:rsidRPr="00071A47">
        <w:rPr>
          <w:rFonts w:ascii="Arial" w:eastAsia="Times New Roman" w:hAnsi="Arial" w:cs="Arial"/>
          <w:iCs/>
          <w:color w:val="000000"/>
          <w:sz w:val="20"/>
          <w:szCs w:val="20"/>
        </w:rPr>
        <w:t>(6), 543-556.</w:t>
      </w:r>
    </w:p>
    <w:p w14:paraId="44DA4D58"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Garau, A. M., </w:t>
      </w:r>
      <w:proofErr w:type="spellStart"/>
      <w:r w:rsidRPr="00071A47">
        <w:rPr>
          <w:rFonts w:ascii="Arial" w:eastAsia="Times New Roman" w:hAnsi="Arial" w:cs="Arial"/>
          <w:iCs/>
          <w:color w:val="000000"/>
          <w:sz w:val="20"/>
          <w:szCs w:val="20"/>
        </w:rPr>
        <w:t>Ghersa</w:t>
      </w:r>
      <w:proofErr w:type="spellEnd"/>
      <w:r w:rsidRPr="00071A47">
        <w:rPr>
          <w:rFonts w:ascii="Arial" w:eastAsia="Times New Roman" w:hAnsi="Arial" w:cs="Arial"/>
          <w:iCs/>
          <w:color w:val="000000"/>
          <w:sz w:val="20"/>
          <w:szCs w:val="20"/>
        </w:rPr>
        <w:t xml:space="preserve">, C. M., Lemcoff, J. H., &amp; </w:t>
      </w:r>
      <w:proofErr w:type="spellStart"/>
      <w:r w:rsidRPr="00071A47">
        <w:rPr>
          <w:rFonts w:ascii="Arial" w:eastAsia="Times New Roman" w:hAnsi="Arial" w:cs="Arial"/>
          <w:iCs/>
          <w:color w:val="000000"/>
          <w:sz w:val="20"/>
          <w:szCs w:val="20"/>
        </w:rPr>
        <w:t>Barañao</w:t>
      </w:r>
      <w:proofErr w:type="spellEnd"/>
      <w:r w:rsidRPr="00071A47">
        <w:rPr>
          <w:rFonts w:ascii="Arial" w:eastAsia="Times New Roman" w:hAnsi="Arial" w:cs="Arial"/>
          <w:iCs/>
          <w:color w:val="000000"/>
          <w:sz w:val="20"/>
          <w:szCs w:val="20"/>
        </w:rPr>
        <w:t xml:space="preserve">, J. J. (2009). Weeds in Eucalyptus globulus subsp. </w:t>
      </w:r>
      <w:proofErr w:type="spellStart"/>
      <w:r w:rsidRPr="00071A47">
        <w:rPr>
          <w:rFonts w:ascii="Arial" w:eastAsia="Times New Roman" w:hAnsi="Arial" w:cs="Arial"/>
          <w:iCs/>
          <w:color w:val="000000"/>
          <w:sz w:val="20"/>
          <w:szCs w:val="20"/>
        </w:rPr>
        <w:t>maidenii</w:t>
      </w:r>
      <w:proofErr w:type="spellEnd"/>
      <w:r w:rsidRPr="00071A47">
        <w:rPr>
          <w:rFonts w:ascii="Arial" w:eastAsia="Times New Roman" w:hAnsi="Arial" w:cs="Arial"/>
          <w:iCs/>
          <w:color w:val="000000"/>
          <w:sz w:val="20"/>
          <w:szCs w:val="20"/>
        </w:rPr>
        <w:t xml:space="preserve"> (F. Muell) establishment: effects of competition on sapling growth and survivorship. </w:t>
      </w:r>
      <w:r w:rsidRPr="00071A47">
        <w:rPr>
          <w:rFonts w:ascii="Arial" w:eastAsia="Times New Roman" w:hAnsi="Arial" w:cs="Arial"/>
          <w:i/>
          <w:iCs/>
          <w:color w:val="000000"/>
          <w:sz w:val="20"/>
          <w:szCs w:val="20"/>
        </w:rPr>
        <w:t>New Forests</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37</w:t>
      </w:r>
      <w:r w:rsidRPr="00071A47">
        <w:rPr>
          <w:rFonts w:ascii="Arial" w:eastAsia="Times New Roman" w:hAnsi="Arial" w:cs="Arial"/>
          <w:iCs/>
          <w:color w:val="000000"/>
          <w:sz w:val="20"/>
          <w:szCs w:val="20"/>
        </w:rPr>
        <w:t>, 251-264.</w:t>
      </w:r>
    </w:p>
    <w:p w14:paraId="05D5F194"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Hakim, M. A., </w:t>
      </w:r>
      <w:proofErr w:type="spellStart"/>
      <w:r w:rsidRPr="00071A47">
        <w:rPr>
          <w:rFonts w:ascii="Arial" w:eastAsia="Times New Roman" w:hAnsi="Arial" w:cs="Arial"/>
          <w:iCs/>
          <w:color w:val="000000"/>
          <w:sz w:val="20"/>
          <w:szCs w:val="20"/>
        </w:rPr>
        <w:t>Juraimi</w:t>
      </w:r>
      <w:proofErr w:type="spellEnd"/>
      <w:r w:rsidRPr="00071A47">
        <w:rPr>
          <w:rFonts w:ascii="Arial" w:eastAsia="Times New Roman" w:hAnsi="Arial" w:cs="Arial"/>
          <w:iCs/>
          <w:color w:val="000000"/>
          <w:sz w:val="20"/>
          <w:szCs w:val="20"/>
        </w:rPr>
        <w:t>, A. S., Musa, M. H., Ismail, M. R., Rahman, M. M., &amp; Selamat, A. (2013). Impacts of weed competition on plant characters and the critical period of weed control in rice under saline environment. </w:t>
      </w:r>
      <w:r w:rsidRPr="00071A47">
        <w:rPr>
          <w:rFonts w:ascii="Arial" w:eastAsia="Times New Roman" w:hAnsi="Arial" w:cs="Arial"/>
          <w:i/>
          <w:iCs/>
          <w:color w:val="000000"/>
          <w:sz w:val="20"/>
          <w:szCs w:val="20"/>
        </w:rPr>
        <w:t>Australian journal of crop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7</w:t>
      </w:r>
      <w:r w:rsidRPr="00071A47">
        <w:rPr>
          <w:rFonts w:ascii="Arial" w:eastAsia="Times New Roman" w:hAnsi="Arial" w:cs="Arial"/>
          <w:iCs/>
          <w:color w:val="000000"/>
          <w:sz w:val="20"/>
          <w:szCs w:val="20"/>
        </w:rPr>
        <w:t>(8), 1141-1151.</w:t>
      </w:r>
    </w:p>
    <w:p w14:paraId="7BA16E9D"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Marčiulynienė, D., </w:t>
      </w:r>
      <w:proofErr w:type="spellStart"/>
      <w:r w:rsidRPr="00071A47">
        <w:rPr>
          <w:rFonts w:ascii="Arial" w:eastAsia="Times New Roman" w:hAnsi="Arial" w:cs="Arial"/>
          <w:iCs/>
          <w:color w:val="000000"/>
          <w:sz w:val="20"/>
          <w:szCs w:val="20"/>
        </w:rPr>
        <w:t>Marčiulynas</w:t>
      </w:r>
      <w:proofErr w:type="spellEnd"/>
      <w:r w:rsidRPr="00071A47">
        <w:rPr>
          <w:rFonts w:ascii="Arial" w:eastAsia="Times New Roman" w:hAnsi="Arial" w:cs="Arial"/>
          <w:iCs/>
          <w:color w:val="000000"/>
          <w:sz w:val="20"/>
          <w:szCs w:val="20"/>
        </w:rPr>
        <w:t xml:space="preserve">, A., </w:t>
      </w:r>
      <w:proofErr w:type="spellStart"/>
      <w:r w:rsidRPr="00071A47">
        <w:rPr>
          <w:rFonts w:ascii="Arial" w:eastAsia="Times New Roman" w:hAnsi="Arial" w:cs="Arial"/>
          <w:iCs/>
          <w:color w:val="000000"/>
          <w:sz w:val="20"/>
          <w:szCs w:val="20"/>
        </w:rPr>
        <w:t>Lynikienė</w:t>
      </w:r>
      <w:proofErr w:type="spellEnd"/>
      <w:r w:rsidRPr="00071A47">
        <w:rPr>
          <w:rFonts w:ascii="Arial" w:eastAsia="Times New Roman" w:hAnsi="Arial" w:cs="Arial"/>
          <w:iCs/>
          <w:color w:val="000000"/>
          <w:sz w:val="20"/>
          <w:szCs w:val="20"/>
        </w:rPr>
        <w:t xml:space="preserve">, J., </w:t>
      </w:r>
      <w:proofErr w:type="spellStart"/>
      <w:r w:rsidRPr="00071A47">
        <w:rPr>
          <w:rFonts w:ascii="Arial" w:eastAsia="Times New Roman" w:hAnsi="Arial" w:cs="Arial"/>
          <w:iCs/>
          <w:color w:val="000000"/>
          <w:sz w:val="20"/>
          <w:szCs w:val="20"/>
        </w:rPr>
        <w:t>Vaičiukynė</w:t>
      </w:r>
      <w:proofErr w:type="spellEnd"/>
      <w:r w:rsidRPr="00071A47">
        <w:rPr>
          <w:rFonts w:ascii="Arial" w:eastAsia="Times New Roman" w:hAnsi="Arial" w:cs="Arial"/>
          <w:iCs/>
          <w:color w:val="000000"/>
          <w:sz w:val="20"/>
          <w:szCs w:val="20"/>
        </w:rPr>
        <w:t xml:space="preserve">, M., </w:t>
      </w:r>
      <w:proofErr w:type="spellStart"/>
      <w:r w:rsidRPr="00071A47">
        <w:rPr>
          <w:rFonts w:ascii="Arial" w:eastAsia="Times New Roman" w:hAnsi="Arial" w:cs="Arial"/>
          <w:iCs/>
          <w:color w:val="000000"/>
          <w:sz w:val="20"/>
          <w:szCs w:val="20"/>
        </w:rPr>
        <w:t>Gedminas</w:t>
      </w:r>
      <w:proofErr w:type="spellEnd"/>
      <w:r w:rsidRPr="00071A47">
        <w:rPr>
          <w:rFonts w:ascii="Arial" w:eastAsia="Times New Roman" w:hAnsi="Arial" w:cs="Arial"/>
          <w:iCs/>
          <w:color w:val="000000"/>
          <w:sz w:val="20"/>
          <w:szCs w:val="20"/>
        </w:rPr>
        <w:t xml:space="preserve">, A., &amp; </w:t>
      </w:r>
      <w:proofErr w:type="spellStart"/>
      <w:r w:rsidRPr="00071A47">
        <w:rPr>
          <w:rFonts w:ascii="Arial" w:eastAsia="Times New Roman" w:hAnsi="Arial" w:cs="Arial"/>
          <w:iCs/>
          <w:color w:val="000000"/>
          <w:sz w:val="20"/>
          <w:szCs w:val="20"/>
        </w:rPr>
        <w:t>Menkis</w:t>
      </w:r>
      <w:proofErr w:type="spellEnd"/>
      <w:r w:rsidRPr="00071A47">
        <w:rPr>
          <w:rFonts w:ascii="Arial" w:eastAsia="Times New Roman" w:hAnsi="Arial" w:cs="Arial"/>
          <w:iCs/>
          <w:color w:val="000000"/>
          <w:sz w:val="20"/>
          <w:szCs w:val="20"/>
        </w:rPr>
        <w:t>, A. (2021). DNA-metabarcoding of belowground fungal communities in bare-root forest nurseries: Focus on different tree species. </w:t>
      </w:r>
      <w:r w:rsidRPr="00071A47">
        <w:rPr>
          <w:rFonts w:ascii="Arial" w:eastAsia="Times New Roman" w:hAnsi="Arial" w:cs="Arial"/>
          <w:i/>
          <w:iCs/>
          <w:color w:val="000000"/>
          <w:sz w:val="20"/>
          <w:szCs w:val="20"/>
        </w:rPr>
        <w:t>Microorganisms</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9</w:t>
      </w:r>
      <w:r w:rsidRPr="00071A47">
        <w:rPr>
          <w:rFonts w:ascii="Arial" w:eastAsia="Times New Roman" w:hAnsi="Arial" w:cs="Arial"/>
          <w:iCs/>
          <w:color w:val="000000"/>
          <w:sz w:val="20"/>
          <w:szCs w:val="20"/>
        </w:rPr>
        <w:t>(1), 150.</w:t>
      </w:r>
    </w:p>
    <w:p w14:paraId="7B1D718C"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Massenssini</w:t>
      </w:r>
      <w:proofErr w:type="spellEnd"/>
      <w:r w:rsidRPr="00071A47">
        <w:rPr>
          <w:rFonts w:ascii="Arial" w:eastAsia="Times New Roman" w:hAnsi="Arial" w:cs="Arial"/>
          <w:iCs/>
          <w:color w:val="000000"/>
          <w:sz w:val="20"/>
          <w:szCs w:val="20"/>
        </w:rPr>
        <w:t xml:space="preserve">, A. M., Bonduki, V. H. A., Melo, C. A. D., </w:t>
      </w:r>
      <w:proofErr w:type="spellStart"/>
      <w:r w:rsidRPr="00071A47">
        <w:rPr>
          <w:rFonts w:ascii="Arial" w:eastAsia="Times New Roman" w:hAnsi="Arial" w:cs="Arial"/>
          <w:iCs/>
          <w:color w:val="000000"/>
          <w:sz w:val="20"/>
          <w:szCs w:val="20"/>
        </w:rPr>
        <w:t>Tótola</w:t>
      </w:r>
      <w:proofErr w:type="spellEnd"/>
      <w:r w:rsidRPr="00071A47">
        <w:rPr>
          <w:rFonts w:ascii="Arial" w:eastAsia="Times New Roman" w:hAnsi="Arial" w:cs="Arial"/>
          <w:iCs/>
          <w:color w:val="000000"/>
          <w:sz w:val="20"/>
          <w:szCs w:val="20"/>
        </w:rPr>
        <w:t>, M. R., Ferreira, F. A., &amp; Costa, M. D. (2014). Soil microorganisms and their role in the interactions between weeds and crops. </w:t>
      </w:r>
      <w:r w:rsidRPr="00071A47">
        <w:rPr>
          <w:rFonts w:ascii="Arial" w:eastAsia="Times New Roman" w:hAnsi="Arial" w:cs="Arial"/>
          <w:i/>
          <w:iCs/>
          <w:color w:val="000000"/>
          <w:sz w:val="20"/>
          <w:szCs w:val="20"/>
        </w:rPr>
        <w:t xml:space="preserve">Planta </w:t>
      </w:r>
      <w:proofErr w:type="spellStart"/>
      <w:r w:rsidRPr="00071A47">
        <w:rPr>
          <w:rFonts w:ascii="Arial" w:eastAsia="Times New Roman" w:hAnsi="Arial" w:cs="Arial"/>
          <w:i/>
          <w:iCs/>
          <w:color w:val="000000"/>
          <w:sz w:val="20"/>
          <w:szCs w:val="20"/>
        </w:rPr>
        <w:t>Daninha</w:t>
      </w:r>
      <w:proofErr w:type="spellEnd"/>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32</w:t>
      </w:r>
      <w:r w:rsidRPr="00071A47">
        <w:rPr>
          <w:rFonts w:ascii="Arial" w:eastAsia="Times New Roman" w:hAnsi="Arial" w:cs="Arial"/>
          <w:iCs/>
          <w:color w:val="000000"/>
          <w:sz w:val="20"/>
          <w:szCs w:val="20"/>
        </w:rPr>
        <w:t>, 873-884.</w:t>
      </w:r>
    </w:p>
    <w:p w14:paraId="3399F315"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Massenssini</w:t>
      </w:r>
      <w:proofErr w:type="spellEnd"/>
      <w:r w:rsidRPr="00071A47">
        <w:rPr>
          <w:rFonts w:ascii="Arial" w:eastAsia="Times New Roman" w:hAnsi="Arial" w:cs="Arial"/>
          <w:iCs/>
          <w:color w:val="000000"/>
          <w:sz w:val="20"/>
          <w:szCs w:val="20"/>
        </w:rPr>
        <w:t xml:space="preserve">, A. M., Bonduki, V. H. A., Melo, C. A. D., </w:t>
      </w:r>
      <w:proofErr w:type="spellStart"/>
      <w:r w:rsidRPr="00071A47">
        <w:rPr>
          <w:rFonts w:ascii="Arial" w:eastAsia="Times New Roman" w:hAnsi="Arial" w:cs="Arial"/>
          <w:iCs/>
          <w:color w:val="000000"/>
          <w:sz w:val="20"/>
          <w:szCs w:val="20"/>
        </w:rPr>
        <w:t>Tótola</w:t>
      </w:r>
      <w:proofErr w:type="spellEnd"/>
      <w:r w:rsidRPr="00071A47">
        <w:rPr>
          <w:rFonts w:ascii="Arial" w:eastAsia="Times New Roman" w:hAnsi="Arial" w:cs="Arial"/>
          <w:iCs/>
          <w:color w:val="000000"/>
          <w:sz w:val="20"/>
          <w:szCs w:val="20"/>
        </w:rPr>
        <w:t>, M. R., Ferreira, F. A., &amp; Costa, M. D. (2014). Soil microorganisms and their role in the interactions between weeds and crops. </w:t>
      </w:r>
      <w:r w:rsidRPr="00071A47">
        <w:rPr>
          <w:rFonts w:ascii="Arial" w:eastAsia="Times New Roman" w:hAnsi="Arial" w:cs="Arial"/>
          <w:i/>
          <w:iCs/>
          <w:color w:val="000000"/>
          <w:sz w:val="20"/>
          <w:szCs w:val="20"/>
        </w:rPr>
        <w:t xml:space="preserve">Planta </w:t>
      </w:r>
      <w:proofErr w:type="spellStart"/>
      <w:r w:rsidRPr="00071A47">
        <w:rPr>
          <w:rFonts w:ascii="Arial" w:eastAsia="Times New Roman" w:hAnsi="Arial" w:cs="Arial"/>
          <w:i/>
          <w:iCs/>
          <w:color w:val="000000"/>
          <w:sz w:val="20"/>
          <w:szCs w:val="20"/>
        </w:rPr>
        <w:t>Daninha</w:t>
      </w:r>
      <w:proofErr w:type="spellEnd"/>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32</w:t>
      </w:r>
      <w:r w:rsidRPr="00071A47">
        <w:rPr>
          <w:rFonts w:ascii="Arial" w:eastAsia="Times New Roman" w:hAnsi="Arial" w:cs="Arial"/>
          <w:iCs/>
          <w:color w:val="000000"/>
          <w:sz w:val="20"/>
          <w:szCs w:val="20"/>
        </w:rPr>
        <w:t>(4), 873-884.</w:t>
      </w:r>
    </w:p>
    <w:p w14:paraId="340F43C6"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Naidu, V. S. G. R. (2012). </w:t>
      </w:r>
      <w:r w:rsidRPr="00071A47">
        <w:rPr>
          <w:rFonts w:ascii="Arial" w:hAnsi="Arial" w:cs="Arial"/>
          <w:i/>
          <w:iCs/>
          <w:sz w:val="20"/>
          <w:szCs w:val="20"/>
        </w:rPr>
        <w:t xml:space="preserve">Hand Book on Weed Identification </w:t>
      </w:r>
      <w:r w:rsidRPr="00071A47">
        <w:rPr>
          <w:rFonts w:ascii="Arial" w:hAnsi="Arial" w:cs="Arial"/>
          <w:sz w:val="20"/>
          <w:szCs w:val="20"/>
        </w:rPr>
        <w:t>Directorate of Weed Science Research, Jabalpur, India Pp 354.</w:t>
      </w:r>
    </w:p>
    <w:p w14:paraId="48A7BFEC"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Nayak, S., Samanta, S., &amp; Mukherjee, A. K. (2020). Beneficial role of Aspergillus sp. in agricultural soil and environment. </w:t>
      </w:r>
      <w:r w:rsidRPr="00071A47">
        <w:rPr>
          <w:rFonts w:ascii="Arial" w:hAnsi="Arial" w:cs="Arial"/>
          <w:i/>
          <w:iCs/>
          <w:sz w:val="20"/>
          <w:szCs w:val="20"/>
        </w:rPr>
        <w:t>Frontiers in soil and environmental microbiology</w:t>
      </w:r>
      <w:r w:rsidRPr="00071A47">
        <w:rPr>
          <w:rFonts w:ascii="Arial" w:hAnsi="Arial" w:cs="Arial"/>
          <w:sz w:val="20"/>
          <w:szCs w:val="20"/>
        </w:rPr>
        <w:t>, 17-36.</w:t>
      </w:r>
    </w:p>
    <w:p w14:paraId="667A9507"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 xml:space="preserve">Nduka, B. A., Adewale, D. B., Akanbi, O. S. O., &amp; </w:t>
      </w:r>
      <w:proofErr w:type="spellStart"/>
      <w:r w:rsidRPr="00071A47">
        <w:rPr>
          <w:rFonts w:ascii="Arial" w:hAnsi="Arial" w:cs="Arial"/>
          <w:sz w:val="20"/>
          <w:szCs w:val="20"/>
        </w:rPr>
        <w:t>Adejobi</w:t>
      </w:r>
      <w:proofErr w:type="spellEnd"/>
      <w:r w:rsidRPr="00071A47">
        <w:rPr>
          <w:rFonts w:ascii="Arial" w:hAnsi="Arial" w:cs="Arial"/>
          <w:sz w:val="20"/>
          <w:szCs w:val="20"/>
        </w:rPr>
        <w:t>, K. B. (2015). Nursery soil amendments for cashew seedling production: a comparative analysis of coffee husk and NPK. </w:t>
      </w:r>
      <w:r w:rsidRPr="00071A47">
        <w:rPr>
          <w:rFonts w:ascii="Arial" w:hAnsi="Arial" w:cs="Arial"/>
          <w:i/>
          <w:iCs/>
          <w:sz w:val="20"/>
          <w:szCs w:val="20"/>
        </w:rPr>
        <w:t>Journal of Agricultural Science</w:t>
      </w:r>
      <w:r w:rsidRPr="00071A47">
        <w:rPr>
          <w:rFonts w:ascii="Arial" w:hAnsi="Arial" w:cs="Arial"/>
          <w:sz w:val="20"/>
          <w:szCs w:val="20"/>
        </w:rPr>
        <w:t>, </w:t>
      </w:r>
      <w:r w:rsidRPr="00071A47">
        <w:rPr>
          <w:rFonts w:ascii="Arial" w:hAnsi="Arial" w:cs="Arial"/>
          <w:i/>
          <w:iCs/>
          <w:sz w:val="20"/>
          <w:szCs w:val="20"/>
        </w:rPr>
        <w:t>7</w:t>
      </w:r>
      <w:r w:rsidRPr="00071A47">
        <w:rPr>
          <w:rFonts w:ascii="Arial" w:hAnsi="Arial" w:cs="Arial"/>
          <w:sz w:val="20"/>
          <w:szCs w:val="20"/>
        </w:rPr>
        <w:t>(3), 111.</w:t>
      </w:r>
    </w:p>
    <w:p w14:paraId="07B414A6"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lastRenderedPageBreak/>
        <w:t xml:space="preserve">Norcini, J. G., </w:t>
      </w:r>
      <w:proofErr w:type="spellStart"/>
      <w:r w:rsidRPr="00071A47">
        <w:rPr>
          <w:rFonts w:ascii="Arial" w:eastAsia="Times New Roman" w:hAnsi="Arial" w:cs="Arial"/>
          <w:iCs/>
          <w:color w:val="000000"/>
          <w:sz w:val="20"/>
          <w:szCs w:val="20"/>
        </w:rPr>
        <w:t>Bolques</w:t>
      </w:r>
      <w:proofErr w:type="spellEnd"/>
      <w:r w:rsidRPr="00071A47">
        <w:rPr>
          <w:rFonts w:ascii="Arial" w:eastAsia="Times New Roman" w:hAnsi="Arial" w:cs="Arial"/>
          <w:iCs/>
          <w:color w:val="000000"/>
          <w:sz w:val="20"/>
          <w:szCs w:val="20"/>
        </w:rPr>
        <w:t>, A., &amp; Stamps, R. H. (2010). Container nursery weed control: Sanitation practices to prevent weed seed contamination. </w:t>
      </w:r>
      <w:r w:rsidRPr="00071A47">
        <w:rPr>
          <w:rFonts w:ascii="Arial" w:eastAsia="Times New Roman" w:hAnsi="Arial" w:cs="Arial"/>
          <w:i/>
          <w:iCs/>
          <w:color w:val="000000"/>
          <w:sz w:val="20"/>
          <w:szCs w:val="20"/>
        </w:rPr>
        <w:t>Fla. Coop. Ext. Serv. Pub. ENH1050</w:t>
      </w:r>
      <w:r w:rsidRPr="00071A47">
        <w:rPr>
          <w:rFonts w:ascii="Arial" w:eastAsia="Times New Roman" w:hAnsi="Arial" w:cs="Arial"/>
          <w:iCs/>
          <w:color w:val="000000"/>
          <w:sz w:val="20"/>
          <w:szCs w:val="20"/>
        </w:rPr>
        <w:t>.</w:t>
      </w:r>
    </w:p>
    <w:p w14:paraId="2288D563"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Ogunwolu</w:t>
      </w:r>
      <w:proofErr w:type="spellEnd"/>
      <w:r w:rsidRPr="00071A47">
        <w:rPr>
          <w:rFonts w:ascii="Arial" w:eastAsia="Times New Roman" w:hAnsi="Arial" w:cs="Arial"/>
          <w:iCs/>
          <w:color w:val="000000"/>
          <w:sz w:val="20"/>
          <w:szCs w:val="20"/>
        </w:rPr>
        <w:t>, Q. A., Ugwu, C. A., Alli, M. A., Adesanya, K. A., Agboola-Adedoja, M. O., Adelusi, A. A., &amp; Akinpelu, A. O. (2020). Prospects and challenges of cash crop production in Nigeria: The case of cashew (Anacardium occidentale, Linn.). </w:t>
      </w:r>
      <w:r w:rsidRPr="00071A47">
        <w:rPr>
          <w:rFonts w:ascii="Arial" w:eastAsia="Times New Roman" w:hAnsi="Arial" w:cs="Arial"/>
          <w:i/>
          <w:iCs/>
          <w:color w:val="000000"/>
          <w:sz w:val="20"/>
          <w:szCs w:val="20"/>
        </w:rPr>
        <w:t>World Journal of Advanced Research and Reviews</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8</w:t>
      </w:r>
      <w:r w:rsidRPr="00071A47">
        <w:rPr>
          <w:rFonts w:ascii="Arial" w:eastAsia="Times New Roman" w:hAnsi="Arial" w:cs="Arial"/>
          <w:iCs/>
          <w:color w:val="000000"/>
          <w:sz w:val="20"/>
          <w:szCs w:val="20"/>
        </w:rPr>
        <w:t>(3), 439-445.</w:t>
      </w:r>
    </w:p>
    <w:p w14:paraId="766EE977" w14:textId="77777777" w:rsidR="003B0A81" w:rsidRPr="00071A47" w:rsidRDefault="003B0A81" w:rsidP="003B0A81">
      <w:pPr>
        <w:spacing w:line="240" w:lineRule="auto"/>
        <w:jc w:val="both"/>
        <w:rPr>
          <w:rFonts w:ascii="Arial" w:eastAsia="Times New Roman" w:hAnsi="Arial" w:cs="Arial"/>
          <w:iCs/>
          <w:color w:val="000000"/>
          <w:sz w:val="20"/>
          <w:szCs w:val="20"/>
        </w:rPr>
      </w:pPr>
      <w:proofErr w:type="spellStart"/>
      <w:r w:rsidRPr="00071A47">
        <w:rPr>
          <w:rFonts w:ascii="Arial" w:eastAsia="Times New Roman" w:hAnsi="Arial" w:cs="Arial"/>
          <w:iCs/>
          <w:color w:val="000000"/>
          <w:sz w:val="20"/>
          <w:szCs w:val="20"/>
        </w:rPr>
        <w:t>Olasan</w:t>
      </w:r>
      <w:proofErr w:type="spellEnd"/>
      <w:r w:rsidRPr="00071A47">
        <w:rPr>
          <w:rFonts w:ascii="Arial" w:eastAsia="Times New Roman" w:hAnsi="Arial" w:cs="Arial"/>
          <w:iCs/>
          <w:color w:val="000000"/>
          <w:sz w:val="20"/>
          <w:szCs w:val="20"/>
        </w:rPr>
        <w:t xml:space="preserve"> O. J, </w:t>
      </w:r>
      <w:proofErr w:type="spellStart"/>
      <w:r w:rsidRPr="00071A47">
        <w:rPr>
          <w:rFonts w:ascii="Arial" w:eastAsia="Times New Roman" w:hAnsi="Arial" w:cs="Arial"/>
          <w:iCs/>
          <w:color w:val="000000"/>
          <w:sz w:val="20"/>
          <w:szCs w:val="20"/>
        </w:rPr>
        <w:t>Aguoru</w:t>
      </w:r>
      <w:proofErr w:type="spellEnd"/>
      <w:r w:rsidRPr="00071A47">
        <w:rPr>
          <w:rFonts w:ascii="Arial" w:eastAsia="Times New Roman" w:hAnsi="Arial" w:cs="Arial"/>
          <w:iCs/>
          <w:color w:val="000000"/>
          <w:sz w:val="20"/>
          <w:szCs w:val="20"/>
        </w:rPr>
        <w:t xml:space="preserve"> C. U, </w:t>
      </w:r>
      <w:proofErr w:type="spellStart"/>
      <w:r w:rsidRPr="00071A47">
        <w:rPr>
          <w:rFonts w:ascii="Arial" w:eastAsia="Times New Roman" w:hAnsi="Arial" w:cs="Arial"/>
          <w:iCs/>
          <w:color w:val="000000"/>
          <w:sz w:val="20"/>
          <w:szCs w:val="20"/>
        </w:rPr>
        <w:t>Omoigui</w:t>
      </w:r>
      <w:proofErr w:type="spellEnd"/>
      <w:r w:rsidRPr="00071A47">
        <w:rPr>
          <w:rFonts w:ascii="Arial" w:eastAsia="Times New Roman" w:hAnsi="Arial" w:cs="Arial"/>
          <w:iCs/>
          <w:color w:val="000000"/>
          <w:sz w:val="20"/>
          <w:szCs w:val="20"/>
        </w:rPr>
        <w:t xml:space="preserve"> L. O and </w:t>
      </w:r>
      <w:proofErr w:type="spellStart"/>
      <w:r w:rsidRPr="00071A47">
        <w:rPr>
          <w:rFonts w:ascii="Arial" w:eastAsia="Times New Roman" w:hAnsi="Arial" w:cs="Arial"/>
          <w:iCs/>
          <w:color w:val="000000"/>
          <w:sz w:val="20"/>
          <w:szCs w:val="20"/>
        </w:rPr>
        <w:t>Iyorkaa</w:t>
      </w:r>
      <w:proofErr w:type="spellEnd"/>
      <w:r w:rsidRPr="00071A47">
        <w:rPr>
          <w:rFonts w:ascii="Arial" w:eastAsia="Times New Roman" w:hAnsi="Arial" w:cs="Arial"/>
          <w:iCs/>
          <w:color w:val="000000"/>
          <w:sz w:val="20"/>
          <w:szCs w:val="20"/>
        </w:rPr>
        <w:t xml:space="preserve"> N. (2018). Characterization of Groundnut Seedlings Using </w:t>
      </w:r>
      <w:proofErr w:type="spellStart"/>
      <w:r w:rsidRPr="00071A47">
        <w:rPr>
          <w:rFonts w:ascii="Arial" w:eastAsia="Times New Roman" w:hAnsi="Arial" w:cs="Arial"/>
          <w:iCs/>
          <w:color w:val="000000"/>
          <w:sz w:val="20"/>
          <w:szCs w:val="20"/>
        </w:rPr>
        <w:t>Vigour</w:t>
      </w:r>
      <w:proofErr w:type="spellEnd"/>
      <w:r w:rsidRPr="00071A47">
        <w:rPr>
          <w:rFonts w:ascii="Arial" w:eastAsia="Times New Roman" w:hAnsi="Arial" w:cs="Arial"/>
          <w:iCs/>
          <w:color w:val="000000"/>
          <w:sz w:val="20"/>
          <w:szCs w:val="20"/>
        </w:rPr>
        <w:t xml:space="preserve"> and Performance Indices. NIGERIAN JOURNAL OF GENETICS. </w:t>
      </w:r>
      <w:proofErr w:type="gramStart"/>
      <w:r w:rsidRPr="00071A47">
        <w:rPr>
          <w:rFonts w:ascii="Arial" w:eastAsia="Times New Roman" w:hAnsi="Arial" w:cs="Arial"/>
          <w:iCs/>
          <w:color w:val="000000"/>
          <w:sz w:val="20"/>
          <w:szCs w:val="20"/>
        </w:rPr>
        <w:t>2018;32:81</w:t>
      </w:r>
      <w:proofErr w:type="gramEnd"/>
      <w:r w:rsidRPr="00071A47">
        <w:rPr>
          <w:rFonts w:ascii="Arial" w:eastAsia="Times New Roman" w:hAnsi="Arial" w:cs="Arial"/>
          <w:iCs/>
          <w:color w:val="000000"/>
          <w:sz w:val="20"/>
          <w:szCs w:val="20"/>
        </w:rPr>
        <w:t>.</w:t>
      </w:r>
    </w:p>
    <w:p w14:paraId="17FF6468"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Olukunle, O. T. (2022). Determinants of cashew supplies and prospects for diversification into </w:t>
      </w:r>
      <w:proofErr w:type="spellStart"/>
      <w:r w:rsidRPr="00071A47">
        <w:rPr>
          <w:rFonts w:ascii="Arial" w:eastAsia="Times New Roman" w:hAnsi="Arial" w:cs="Arial"/>
          <w:iCs/>
          <w:color w:val="000000"/>
          <w:sz w:val="20"/>
          <w:szCs w:val="20"/>
        </w:rPr>
        <w:t>agro</w:t>
      </w:r>
      <w:proofErr w:type="spellEnd"/>
      <w:r w:rsidRPr="00071A47">
        <w:rPr>
          <w:rFonts w:ascii="Arial" w:eastAsia="Times New Roman" w:hAnsi="Arial" w:cs="Arial"/>
          <w:iCs/>
          <w:color w:val="000000"/>
          <w:sz w:val="20"/>
          <w:szCs w:val="20"/>
        </w:rPr>
        <w:t>-allied industries in Nigeria. </w:t>
      </w:r>
      <w:r w:rsidRPr="00071A47">
        <w:rPr>
          <w:rFonts w:ascii="Arial" w:eastAsia="Times New Roman" w:hAnsi="Arial" w:cs="Arial"/>
          <w:i/>
          <w:iCs/>
          <w:color w:val="000000"/>
          <w:sz w:val="20"/>
          <w:szCs w:val="20"/>
        </w:rPr>
        <w:t>International Journal of Agricultural Policy and Research</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11</w:t>
      </w:r>
      <w:r w:rsidRPr="00071A47">
        <w:rPr>
          <w:rFonts w:ascii="Arial" w:eastAsia="Times New Roman" w:hAnsi="Arial" w:cs="Arial"/>
          <w:iCs/>
          <w:color w:val="000000"/>
          <w:sz w:val="20"/>
          <w:szCs w:val="20"/>
        </w:rPr>
        <w:t>(1), 35.</w:t>
      </w:r>
    </w:p>
    <w:p w14:paraId="3BBBAC18" w14:textId="267FE4BC"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Sánchez-Blanco M. J., Alvarez S., Ortuno M. F.</w:t>
      </w:r>
      <w:r w:rsidR="00AE4926">
        <w:rPr>
          <w:rFonts w:ascii="Arial" w:hAnsi="Arial" w:cs="Arial"/>
          <w:sz w:val="20"/>
          <w:szCs w:val="20"/>
        </w:rPr>
        <w:t xml:space="preserve"> and </w:t>
      </w:r>
      <w:proofErr w:type="spellStart"/>
      <w:r w:rsidRPr="00071A47">
        <w:rPr>
          <w:rFonts w:ascii="Arial" w:hAnsi="Arial" w:cs="Arial"/>
          <w:sz w:val="20"/>
          <w:szCs w:val="20"/>
        </w:rPr>
        <w:t>RuizSánchez</w:t>
      </w:r>
      <w:proofErr w:type="spellEnd"/>
      <w:r w:rsidRPr="00071A47">
        <w:rPr>
          <w:rFonts w:ascii="Arial" w:hAnsi="Arial" w:cs="Arial"/>
          <w:sz w:val="20"/>
          <w:szCs w:val="20"/>
        </w:rPr>
        <w:t xml:space="preserve"> M. C., (2014). Root system response to drought and salinity: root distribution and water transport. Root engineering, 325-352.</w:t>
      </w:r>
    </w:p>
    <w:p w14:paraId="29C5E50B"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Sarangi, S. K., Maji, B., Singh, S., Burman, D., Mandal, S., Sharma, D. K. &amp; Haefele, S. M. (2015). Improved nursery management further enhances the productivity of stress-tolerant rice varieties in coastal rainfed lowlands. </w:t>
      </w:r>
      <w:r w:rsidRPr="00071A47">
        <w:rPr>
          <w:rFonts w:ascii="Arial" w:eastAsia="Times New Roman" w:hAnsi="Arial" w:cs="Arial"/>
          <w:i/>
          <w:iCs/>
          <w:color w:val="000000"/>
          <w:sz w:val="20"/>
          <w:szCs w:val="20"/>
        </w:rPr>
        <w:t>Field Crops Research</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174</w:t>
      </w:r>
      <w:r w:rsidRPr="00071A47">
        <w:rPr>
          <w:rFonts w:ascii="Arial" w:eastAsia="Times New Roman" w:hAnsi="Arial" w:cs="Arial"/>
          <w:iCs/>
          <w:color w:val="000000"/>
          <w:sz w:val="20"/>
          <w:szCs w:val="20"/>
        </w:rPr>
        <w:t>, 61-70.</w:t>
      </w:r>
    </w:p>
    <w:p w14:paraId="27F0A60C"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Sher, A., </w:t>
      </w:r>
      <w:proofErr w:type="spellStart"/>
      <w:r w:rsidRPr="00071A47">
        <w:rPr>
          <w:rFonts w:ascii="Arial" w:eastAsia="Times New Roman" w:hAnsi="Arial" w:cs="Arial"/>
          <w:iCs/>
          <w:color w:val="000000"/>
          <w:sz w:val="20"/>
          <w:szCs w:val="20"/>
        </w:rPr>
        <w:t>Barbanti</w:t>
      </w:r>
      <w:proofErr w:type="spellEnd"/>
      <w:r w:rsidRPr="00071A47">
        <w:rPr>
          <w:rFonts w:ascii="Arial" w:eastAsia="Times New Roman" w:hAnsi="Arial" w:cs="Arial"/>
          <w:iCs/>
          <w:color w:val="000000"/>
          <w:sz w:val="20"/>
          <w:szCs w:val="20"/>
        </w:rPr>
        <w:t>, L., Ansar, M., &amp; Malik, M. A. (2013). Growth response and plant water status in forage sorghum ['Sorghum bicolor'(L.) Moench] cultivars subjected to decreasing levels of soil moisture. </w:t>
      </w:r>
      <w:r w:rsidRPr="00071A47">
        <w:rPr>
          <w:rFonts w:ascii="Arial" w:eastAsia="Times New Roman" w:hAnsi="Arial" w:cs="Arial"/>
          <w:i/>
          <w:iCs/>
          <w:color w:val="000000"/>
          <w:sz w:val="20"/>
          <w:szCs w:val="20"/>
        </w:rPr>
        <w:t>Australian Journal of Crop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7</w:t>
      </w:r>
      <w:r w:rsidRPr="00071A47">
        <w:rPr>
          <w:rFonts w:ascii="Arial" w:eastAsia="Times New Roman" w:hAnsi="Arial" w:cs="Arial"/>
          <w:iCs/>
          <w:color w:val="000000"/>
          <w:sz w:val="20"/>
          <w:szCs w:val="20"/>
        </w:rPr>
        <w:t>(6), 801-808.</w:t>
      </w:r>
    </w:p>
    <w:p w14:paraId="561EE609"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Siddiqui, A. O., Işık, D., &amp; Jabran, K. (2023). Impact of Weed Competition on Morphological and Biochemical Traits of Potato: a Review. </w:t>
      </w:r>
      <w:r w:rsidRPr="00071A47">
        <w:rPr>
          <w:rFonts w:ascii="Arial" w:hAnsi="Arial" w:cs="Arial"/>
          <w:i/>
          <w:iCs/>
          <w:sz w:val="20"/>
          <w:szCs w:val="20"/>
        </w:rPr>
        <w:t>Potato Research</w:t>
      </w:r>
      <w:r w:rsidRPr="00071A47">
        <w:rPr>
          <w:rFonts w:ascii="Arial" w:hAnsi="Arial" w:cs="Arial"/>
          <w:sz w:val="20"/>
          <w:szCs w:val="20"/>
        </w:rPr>
        <w:t>, 1-12.</w:t>
      </w:r>
    </w:p>
    <w:p w14:paraId="7A6BD2A3" w14:textId="77777777" w:rsidR="003B0A81" w:rsidRPr="00071A47" w:rsidRDefault="003B0A81" w:rsidP="003B0A81">
      <w:pPr>
        <w:spacing w:line="240" w:lineRule="auto"/>
        <w:jc w:val="both"/>
        <w:rPr>
          <w:rFonts w:ascii="Arial" w:hAnsi="Arial" w:cs="Arial"/>
          <w:sz w:val="20"/>
          <w:szCs w:val="20"/>
        </w:rPr>
      </w:pPr>
      <w:r w:rsidRPr="00071A47">
        <w:rPr>
          <w:rFonts w:ascii="Arial" w:hAnsi="Arial" w:cs="Arial"/>
          <w:sz w:val="20"/>
          <w:szCs w:val="20"/>
        </w:rPr>
        <w:t>Swanton, C. J., &amp; Murphy, S. D. (1996). Weed science beyond the weeds: the role of integrated weed management (IWM) in agroecosystem health. </w:t>
      </w:r>
      <w:r w:rsidRPr="00071A47">
        <w:rPr>
          <w:rFonts w:ascii="Arial" w:hAnsi="Arial" w:cs="Arial"/>
          <w:i/>
          <w:iCs/>
          <w:sz w:val="20"/>
          <w:szCs w:val="20"/>
        </w:rPr>
        <w:t>Weed science</w:t>
      </w:r>
      <w:r w:rsidRPr="00071A47">
        <w:rPr>
          <w:rFonts w:ascii="Arial" w:hAnsi="Arial" w:cs="Arial"/>
          <w:sz w:val="20"/>
          <w:szCs w:val="20"/>
        </w:rPr>
        <w:t>, </w:t>
      </w:r>
      <w:r w:rsidRPr="00071A47">
        <w:rPr>
          <w:rFonts w:ascii="Arial" w:hAnsi="Arial" w:cs="Arial"/>
          <w:i/>
          <w:iCs/>
          <w:sz w:val="20"/>
          <w:szCs w:val="20"/>
        </w:rPr>
        <w:t>44</w:t>
      </w:r>
      <w:r w:rsidRPr="00071A47">
        <w:rPr>
          <w:rFonts w:ascii="Arial" w:hAnsi="Arial" w:cs="Arial"/>
          <w:sz w:val="20"/>
          <w:szCs w:val="20"/>
        </w:rPr>
        <w:t>(2), 437-445.</w:t>
      </w:r>
    </w:p>
    <w:p w14:paraId="157CC296"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Wang, Z., Li, T., Wen, X., Liu, Y., Han, J., Liao, Y., &amp; DeBruyn, J. M. (2017). Fungal communities in rhizosphere soil under conservation tillage shift in response to plant growth. </w:t>
      </w:r>
      <w:r w:rsidRPr="00071A47">
        <w:rPr>
          <w:rFonts w:ascii="Arial" w:eastAsia="Times New Roman" w:hAnsi="Arial" w:cs="Arial"/>
          <w:i/>
          <w:iCs/>
          <w:color w:val="000000"/>
          <w:sz w:val="20"/>
          <w:szCs w:val="20"/>
        </w:rPr>
        <w:t>Frontiers in microbiology</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8</w:t>
      </w:r>
      <w:r w:rsidRPr="00071A47">
        <w:rPr>
          <w:rFonts w:ascii="Arial" w:eastAsia="Times New Roman" w:hAnsi="Arial" w:cs="Arial"/>
          <w:iCs/>
          <w:color w:val="000000"/>
          <w:sz w:val="20"/>
          <w:szCs w:val="20"/>
        </w:rPr>
        <w:t>, 1301.</w:t>
      </w:r>
    </w:p>
    <w:p w14:paraId="6E41A245"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Wu, D., Zhang, M., Peng, M., Sui, X., Li, W., &amp; Sun, G. (2019). Variations in soil functional fungal community structure associated with pure and mixed plantations in typical temperate forests of China. </w:t>
      </w:r>
      <w:r w:rsidRPr="00071A47">
        <w:rPr>
          <w:rFonts w:ascii="Arial" w:eastAsia="Times New Roman" w:hAnsi="Arial" w:cs="Arial"/>
          <w:i/>
          <w:iCs/>
          <w:color w:val="000000"/>
          <w:sz w:val="20"/>
          <w:szCs w:val="20"/>
        </w:rPr>
        <w:t>Frontiers in microbiology</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10</w:t>
      </w:r>
      <w:r w:rsidRPr="00071A47">
        <w:rPr>
          <w:rFonts w:ascii="Arial" w:eastAsia="Times New Roman" w:hAnsi="Arial" w:cs="Arial"/>
          <w:iCs/>
          <w:color w:val="000000"/>
          <w:sz w:val="20"/>
          <w:szCs w:val="20"/>
        </w:rPr>
        <w:t>, 1636.</w:t>
      </w:r>
    </w:p>
    <w:p w14:paraId="66FB3098" w14:textId="777777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hAnsi="Arial" w:cs="Arial"/>
          <w:sz w:val="20"/>
          <w:szCs w:val="20"/>
          <w:shd w:val="clear" w:color="auto" w:fill="FFFFFF"/>
        </w:rPr>
        <w:t xml:space="preserve">Xiao J, Chen S, Sun Y, Wu S, Liang W, Yang S. (2022) Effects of mechanical weeding on soil fertility and microbial community structure in star anise (Illicium </w:t>
      </w:r>
      <w:proofErr w:type="spellStart"/>
      <w:r w:rsidRPr="00071A47">
        <w:rPr>
          <w:rFonts w:ascii="Arial" w:hAnsi="Arial" w:cs="Arial"/>
          <w:sz w:val="20"/>
          <w:szCs w:val="20"/>
          <w:shd w:val="clear" w:color="auto" w:fill="FFFFFF"/>
        </w:rPr>
        <w:t>verum</w:t>
      </w:r>
      <w:proofErr w:type="spellEnd"/>
      <w:r w:rsidRPr="00071A47">
        <w:rPr>
          <w:rFonts w:ascii="Arial" w:hAnsi="Arial" w:cs="Arial"/>
          <w:sz w:val="20"/>
          <w:szCs w:val="20"/>
          <w:shd w:val="clear" w:color="auto" w:fill="FFFFFF"/>
        </w:rPr>
        <w:t xml:space="preserve"> </w:t>
      </w:r>
      <w:proofErr w:type="spellStart"/>
      <w:r w:rsidRPr="00071A47">
        <w:rPr>
          <w:rFonts w:ascii="Arial" w:hAnsi="Arial" w:cs="Arial"/>
          <w:sz w:val="20"/>
          <w:szCs w:val="20"/>
          <w:shd w:val="clear" w:color="auto" w:fill="FFFFFF"/>
        </w:rPr>
        <w:t>Hook.f</w:t>
      </w:r>
      <w:proofErr w:type="spellEnd"/>
      <w:r w:rsidRPr="00071A47">
        <w:rPr>
          <w:rFonts w:ascii="Arial" w:hAnsi="Arial" w:cs="Arial"/>
          <w:sz w:val="20"/>
          <w:szCs w:val="20"/>
          <w:shd w:val="clear" w:color="auto" w:fill="FFFFFF"/>
        </w:rPr>
        <w:t xml:space="preserve">.) plantations. </w:t>
      </w:r>
      <w:proofErr w:type="spellStart"/>
      <w:r w:rsidRPr="00071A47">
        <w:rPr>
          <w:rFonts w:ascii="Arial" w:hAnsi="Arial" w:cs="Arial"/>
          <w:sz w:val="20"/>
          <w:szCs w:val="20"/>
          <w:shd w:val="clear" w:color="auto" w:fill="FFFFFF"/>
        </w:rPr>
        <w:t>PLoS</w:t>
      </w:r>
      <w:proofErr w:type="spellEnd"/>
      <w:r w:rsidRPr="00071A47">
        <w:rPr>
          <w:rFonts w:ascii="Arial" w:hAnsi="Arial" w:cs="Arial"/>
          <w:sz w:val="20"/>
          <w:szCs w:val="20"/>
          <w:shd w:val="clear" w:color="auto" w:fill="FFFFFF"/>
        </w:rPr>
        <w:t xml:space="preserve"> One. 2022 Apr 12;17(4</w:t>
      </w:r>
      <w:proofErr w:type="gramStart"/>
      <w:r w:rsidRPr="00071A47">
        <w:rPr>
          <w:rFonts w:ascii="Arial" w:hAnsi="Arial" w:cs="Arial"/>
          <w:sz w:val="20"/>
          <w:szCs w:val="20"/>
          <w:shd w:val="clear" w:color="auto" w:fill="FFFFFF"/>
        </w:rPr>
        <w:t>):e</w:t>
      </w:r>
      <w:proofErr w:type="gramEnd"/>
      <w:r w:rsidRPr="00071A47">
        <w:rPr>
          <w:rFonts w:ascii="Arial" w:hAnsi="Arial" w:cs="Arial"/>
          <w:sz w:val="20"/>
          <w:szCs w:val="20"/>
          <w:shd w:val="clear" w:color="auto" w:fill="FFFFFF"/>
        </w:rPr>
        <w:t xml:space="preserve">0266949. </w:t>
      </w:r>
      <w:proofErr w:type="spellStart"/>
      <w:r w:rsidRPr="00071A47">
        <w:rPr>
          <w:rFonts w:ascii="Arial" w:hAnsi="Arial" w:cs="Arial"/>
          <w:sz w:val="20"/>
          <w:szCs w:val="20"/>
          <w:shd w:val="clear" w:color="auto" w:fill="FFFFFF"/>
        </w:rPr>
        <w:t>doi</w:t>
      </w:r>
      <w:proofErr w:type="spellEnd"/>
      <w:r w:rsidRPr="00071A47">
        <w:rPr>
          <w:rFonts w:ascii="Arial" w:hAnsi="Arial" w:cs="Arial"/>
          <w:sz w:val="20"/>
          <w:szCs w:val="20"/>
          <w:shd w:val="clear" w:color="auto" w:fill="FFFFFF"/>
        </w:rPr>
        <w:t>: 10.1371/journal.pone.0266949. PMID: 35413083; PMCID: PMC9004745</w:t>
      </w:r>
    </w:p>
    <w:p w14:paraId="4D84170D" w14:textId="2FA69277"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Yu, P., &amp; Marble, S. C. (2022). Practice in nursery weed control. Review and meta-analysis. </w:t>
      </w:r>
      <w:r w:rsidRPr="00071A47">
        <w:rPr>
          <w:rFonts w:ascii="Arial" w:eastAsia="Times New Roman" w:hAnsi="Arial" w:cs="Arial"/>
          <w:i/>
          <w:iCs/>
          <w:color w:val="000000"/>
          <w:sz w:val="20"/>
          <w:szCs w:val="20"/>
        </w:rPr>
        <w:t>Frontiers in Plant Science</w:t>
      </w:r>
      <w:r w:rsidRPr="00071A47">
        <w:rPr>
          <w:rFonts w:ascii="Arial" w:eastAsia="Times New Roman" w:hAnsi="Arial" w:cs="Arial"/>
          <w:iCs/>
          <w:color w:val="000000"/>
          <w:sz w:val="20"/>
          <w:szCs w:val="20"/>
        </w:rPr>
        <w:t>, </w:t>
      </w:r>
      <w:r w:rsidRPr="00071A47">
        <w:rPr>
          <w:rFonts w:ascii="Arial" w:eastAsia="Times New Roman" w:hAnsi="Arial" w:cs="Arial"/>
          <w:i/>
          <w:iCs/>
          <w:color w:val="000000"/>
          <w:sz w:val="20"/>
          <w:szCs w:val="20"/>
        </w:rPr>
        <w:t>12</w:t>
      </w:r>
      <w:r w:rsidRPr="00071A47">
        <w:rPr>
          <w:rFonts w:ascii="Arial" w:eastAsia="Times New Roman" w:hAnsi="Arial" w:cs="Arial"/>
          <w:iCs/>
          <w:color w:val="000000"/>
          <w:sz w:val="20"/>
          <w:szCs w:val="20"/>
        </w:rPr>
        <w:t>, 807736.</w:t>
      </w:r>
    </w:p>
    <w:p w14:paraId="5F7533C6" w14:textId="52DBEF11" w:rsidR="003B0A81" w:rsidRPr="00071A47" w:rsidRDefault="003B0A81" w:rsidP="003B0A81">
      <w:pPr>
        <w:spacing w:line="240" w:lineRule="auto"/>
        <w:jc w:val="both"/>
        <w:rPr>
          <w:rFonts w:ascii="Arial" w:eastAsia="Times New Roman" w:hAnsi="Arial" w:cs="Arial"/>
          <w:iCs/>
          <w:color w:val="000000"/>
          <w:sz w:val="20"/>
          <w:szCs w:val="20"/>
        </w:rPr>
      </w:pPr>
      <w:r w:rsidRPr="00071A47">
        <w:rPr>
          <w:rFonts w:ascii="Arial" w:eastAsia="Times New Roman" w:hAnsi="Arial" w:cs="Arial"/>
          <w:iCs/>
          <w:color w:val="000000"/>
          <w:sz w:val="20"/>
          <w:szCs w:val="20"/>
        </w:rPr>
        <w:t xml:space="preserve">Zimdahl, R. L. (2007). Weed-Crop Competition: A Review. Blackwell Publishing. Second Edition. </w:t>
      </w:r>
      <w:hyperlink r:id="rId18" w:history="1">
        <w:r w:rsidRPr="00071A47">
          <w:rPr>
            <w:rStyle w:val="Hyperlink"/>
            <w:rFonts w:ascii="Arial" w:eastAsia="Times New Roman" w:hAnsi="Arial" w:cs="Arial"/>
            <w:iCs/>
            <w:sz w:val="20"/>
            <w:szCs w:val="20"/>
          </w:rPr>
          <w:t>https://books.google.com.ng/books?hl=en&amp;lr=&amp;id=7sztJgl0vEsC&amp;oi=fnd&amp;pg=PR7&amp;dq</w:t>
        </w:r>
      </w:hyperlink>
      <w:r w:rsidRPr="00071A47">
        <w:rPr>
          <w:rFonts w:ascii="Arial" w:eastAsia="Times New Roman" w:hAnsi="Arial" w:cs="Arial"/>
          <w:iCs/>
          <w:color w:val="000000"/>
          <w:sz w:val="20"/>
          <w:szCs w:val="20"/>
        </w:rPr>
        <w:t xml:space="preserve"> =tropical+weeds+compete+with+crop+plants&amp;ots=YLzi-KsKxm&amp;sig=-0EWWnk7j9Asklt_Ehk MgrRrTqQ&amp;redir_esc=y#v=onepage&amp;q=weeds%20compete%20with%20crop&amp;f=false. Accessed 11/10/25.</w:t>
      </w:r>
    </w:p>
    <w:p w14:paraId="499BE8B4" w14:textId="77777777" w:rsidR="003B0A81" w:rsidRPr="003925AF" w:rsidRDefault="003B0A81" w:rsidP="003925AF">
      <w:pPr>
        <w:spacing w:line="240" w:lineRule="auto"/>
        <w:jc w:val="both"/>
        <w:rPr>
          <w:rFonts w:ascii="Arial" w:eastAsia="Times New Roman" w:hAnsi="Arial" w:cs="Arial"/>
          <w:iCs/>
          <w:color w:val="000000"/>
          <w:sz w:val="24"/>
          <w:szCs w:val="24"/>
        </w:rPr>
      </w:pPr>
    </w:p>
    <w:p w14:paraId="12047FF7" w14:textId="77777777" w:rsidR="00A6024A" w:rsidRPr="003925AF" w:rsidRDefault="00A6024A" w:rsidP="003925AF">
      <w:pPr>
        <w:spacing w:line="240" w:lineRule="auto"/>
        <w:rPr>
          <w:rFonts w:ascii="Arial" w:hAnsi="Arial" w:cs="Arial"/>
          <w:sz w:val="24"/>
          <w:szCs w:val="24"/>
        </w:rPr>
      </w:pPr>
    </w:p>
    <w:p w14:paraId="51ADD7E2" w14:textId="77777777" w:rsidR="00427270" w:rsidRPr="003925AF" w:rsidRDefault="00427270" w:rsidP="003925AF">
      <w:pPr>
        <w:spacing w:line="240" w:lineRule="auto"/>
        <w:rPr>
          <w:rFonts w:ascii="Arial" w:hAnsi="Arial" w:cs="Arial"/>
          <w:sz w:val="24"/>
          <w:szCs w:val="24"/>
        </w:rPr>
      </w:pPr>
    </w:p>
    <w:sectPr w:rsidR="00427270" w:rsidRPr="003925AF" w:rsidSect="00650B5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5C420" w14:textId="77777777" w:rsidR="00394E09" w:rsidRDefault="00394E09" w:rsidP="00C413A4">
      <w:pPr>
        <w:spacing w:after="0" w:line="240" w:lineRule="auto"/>
      </w:pPr>
      <w:r>
        <w:separator/>
      </w:r>
    </w:p>
  </w:endnote>
  <w:endnote w:type="continuationSeparator" w:id="0">
    <w:p w14:paraId="4338BA18" w14:textId="77777777" w:rsidR="00394E09" w:rsidRDefault="00394E09" w:rsidP="00C4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4924" w14:textId="77777777" w:rsidR="000571D9" w:rsidRDefault="00057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9FD8" w14:textId="77777777" w:rsidR="000571D9" w:rsidRDefault="00057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43961" w14:textId="77777777" w:rsidR="000571D9" w:rsidRDefault="00057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A3F42" w14:textId="77777777" w:rsidR="00394E09" w:rsidRDefault="00394E09" w:rsidP="00C413A4">
      <w:pPr>
        <w:spacing w:after="0" w:line="240" w:lineRule="auto"/>
      </w:pPr>
      <w:r>
        <w:separator/>
      </w:r>
    </w:p>
  </w:footnote>
  <w:footnote w:type="continuationSeparator" w:id="0">
    <w:p w14:paraId="06D6F2D8" w14:textId="77777777" w:rsidR="00394E09" w:rsidRDefault="00394E09" w:rsidP="00C41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8073" w14:textId="104F55DC" w:rsidR="000571D9" w:rsidRDefault="000571D9">
    <w:pPr>
      <w:pStyle w:val="Header"/>
    </w:pPr>
    <w:r>
      <w:rPr>
        <w:noProof/>
      </w:rPr>
      <w:pict w14:anchorId="52834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69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BEABB" w14:textId="2B20CBB1" w:rsidR="000571D9" w:rsidRDefault="000571D9">
    <w:pPr>
      <w:pStyle w:val="Header"/>
    </w:pPr>
    <w:r>
      <w:rPr>
        <w:noProof/>
      </w:rPr>
      <w:pict w14:anchorId="1E728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69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A9AE" w14:textId="6B949CA6" w:rsidR="000571D9" w:rsidRDefault="000571D9">
    <w:pPr>
      <w:pStyle w:val="Header"/>
    </w:pPr>
    <w:r>
      <w:rPr>
        <w:noProof/>
      </w:rPr>
      <w:pict w14:anchorId="57802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69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F7E17"/>
    <w:multiLevelType w:val="hybridMultilevel"/>
    <w:tmpl w:val="132CF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xNLM0MzU2MzEzNjRQ0lEKTi0uzszPAykwNKsFAKnd04ItAAAA"/>
  </w:docVars>
  <w:rsids>
    <w:rsidRoot w:val="00C107CE"/>
    <w:rsid w:val="00006020"/>
    <w:rsid w:val="00015580"/>
    <w:rsid w:val="00020007"/>
    <w:rsid w:val="000272AF"/>
    <w:rsid w:val="00036415"/>
    <w:rsid w:val="0004733D"/>
    <w:rsid w:val="000539DC"/>
    <w:rsid w:val="000571D9"/>
    <w:rsid w:val="00063F9D"/>
    <w:rsid w:val="00070602"/>
    <w:rsid w:val="00071A47"/>
    <w:rsid w:val="00094079"/>
    <w:rsid w:val="000B49B5"/>
    <w:rsid w:val="000D148F"/>
    <w:rsid w:val="000E28BE"/>
    <w:rsid w:val="000F6487"/>
    <w:rsid w:val="000F6763"/>
    <w:rsid w:val="001572A8"/>
    <w:rsid w:val="00182466"/>
    <w:rsid w:val="001862E3"/>
    <w:rsid w:val="00186752"/>
    <w:rsid w:val="001A1B8C"/>
    <w:rsid w:val="001B5402"/>
    <w:rsid w:val="001C18C5"/>
    <w:rsid w:val="001D79EC"/>
    <w:rsid w:val="001E1DA8"/>
    <w:rsid w:val="00201E8A"/>
    <w:rsid w:val="00240E88"/>
    <w:rsid w:val="002411C4"/>
    <w:rsid w:val="00244FB4"/>
    <w:rsid w:val="00280D84"/>
    <w:rsid w:val="002817D8"/>
    <w:rsid w:val="002903AA"/>
    <w:rsid w:val="00292AFC"/>
    <w:rsid w:val="002A0F64"/>
    <w:rsid w:val="002A38E3"/>
    <w:rsid w:val="002C1B1B"/>
    <w:rsid w:val="002C42F9"/>
    <w:rsid w:val="002C7EDD"/>
    <w:rsid w:val="002D45B7"/>
    <w:rsid w:val="002E03E4"/>
    <w:rsid w:val="00325739"/>
    <w:rsid w:val="00331EA7"/>
    <w:rsid w:val="00335D71"/>
    <w:rsid w:val="00350A87"/>
    <w:rsid w:val="003729BB"/>
    <w:rsid w:val="00382833"/>
    <w:rsid w:val="003925AF"/>
    <w:rsid w:val="00392E7D"/>
    <w:rsid w:val="00394E09"/>
    <w:rsid w:val="003B0A81"/>
    <w:rsid w:val="003B185B"/>
    <w:rsid w:val="003B25A0"/>
    <w:rsid w:val="003B43BE"/>
    <w:rsid w:val="003C170D"/>
    <w:rsid w:val="003C6070"/>
    <w:rsid w:val="003D5202"/>
    <w:rsid w:val="003D6E92"/>
    <w:rsid w:val="003E3EE1"/>
    <w:rsid w:val="003E7C10"/>
    <w:rsid w:val="00407DE8"/>
    <w:rsid w:val="00427270"/>
    <w:rsid w:val="004477F2"/>
    <w:rsid w:val="00450CAE"/>
    <w:rsid w:val="004528F1"/>
    <w:rsid w:val="00472212"/>
    <w:rsid w:val="004959CE"/>
    <w:rsid w:val="004A1153"/>
    <w:rsid w:val="004C6F53"/>
    <w:rsid w:val="004D6752"/>
    <w:rsid w:val="004F424A"/>
    <w:rsid w:val="00523B2C"/>
    <w:rsid w:val="00535CB3"/>
    <w:rsid w:val="005547F2"/>
    <w:rsid w:val="005709B9"/>
    <w:rsid w:val="005A373A"/>
    <w:rsid w:val="005A7FCA"/>
    <w:rsid w:val="005B2772"/>
    <w:rsid w:val="005C5924"/>
    <w:rsid w:val="005F56E3"/>
    <w:rsid w:val="005F6846"/>
    <w:rsid w:val="00612EA7"/>
    <w:rsid w:val="0062571A"/>
    <w:rsid w:val="00630FD5"/>
    <w:rsid w:val="00641F13"/>
    <w:rsid w:val="00650B57"/>
    <w:rsid w:val="00660AA1"/>
    <w:rsid w:val="00671ED0"/>
    <w:rsid w:val="00693E87"/>
    <w:rsid w:val="006B2F80"/>
    <w:rsid w:val="006B575E"/>
    <w:rsid w:val="006B6334"/>
    <w:rsid w:val="006B64E9"/>
    <w:rsid w:val="006C60F9"/>
    <w:rsid w:val="006C6366"/>
    <w:rsid w:val="006D1EBB"/>
    <w:rsid w:val="006E26FA"/>
    <w:rsid w:val="006E4814"/>
    <w:rsid w:val="006E4998"/>
    <w:rsid w:val="006F61B7"/>
    <w:rsid w:val="00713D9C"/>
    <w:rsid w:val="00714F64"/>
    <w:rsid w:val="007255DC"/>
    <w:rsid w:val="00761CF0"/>
    <w:rsid w:val="00770657"/>
    <w:rsid w:val="00775DE9"/>
    <w:rsid w:val="00791FC2"/>
    <w:rsid w:val="007A0E3F"/>
    <w:rsid w:val="007C5857"/>
    <w:rsid w:val="007F33FD"/>
    <w:rsid w:val="007F3483"/>
    <w:rsid w:val="00813AEB"/>
    <w:rsid w:val="00827E21"/>
    <w:rsid w:val="00845819"/>
    <w:rsid w:val="0084762C"/>
    <w:rsid w:val="00856D49"/>
    <w:rsid w:val="00863601"/>
    <w:rsid w:val="00887F44"/>
    <w:rsid w:val="008933BA"/>
    <w:rsid w:val="008968BD"/>
    <w:rsid w:val="008A0781"/>
    <w:rsid w:val="008B0D83"/>
    <w:rsid w:val="008B10CE"/>
    <w:rsid w:val="008B27BA"/>
    <w:rsid w:val="008B6BC6"/>
    <w:rsid w:val="008C0560"/>
    <w:rsid w:val="008C1136"/>
    <w:rsid w:val="008D0EB8"/>
    <w:rsid w:val="008F02E1"/>
    <w:rsid w:val="008F3E78"/>
    <w:rsid w:val="00914D86"/>
    <w:rsid w:val="0092224D"/>
    <w:rsid w:val="00927194"/>
    <w:rsid w:val="00946784"/>
    <w:rsid w:val="009646C8"/>
    <w:rsid w:val="00983C84"/>
    <w:rsid w:val="009849CA"/>
    <w:rsid w:val="00986A80"/>
    <w:rsid w:val="009B50EF"/>
    <w:rsid w:val="00A3364A"/>
    <w:rsid w:val="00A4347C"/>
    <w:rsid w:val="00A43F85"/>
    <w:rsid w:val="00A47A87"/>
    <w:rsid w:val="00A57E50"/>
    <w:rsid w:val="00A6024A"/>
    <w:rsid w:val="00A9248D"/>
    <w:rsid w:val="00A92F1E"/>
    <w:rsid w:val="00AA2974"/>
    <w:rsid w:val="00AB300D"/>
    <w:rsid w:val="00AD484C"/>
    <w:rsid w:val="00AE4926"/>
    <w:rsid w:val="00AF67AB"/>
    <w:rsid w:val="00B14063"/>
    <w:rsid w:val="00B1762E"/>
    <w:rsid w:val="00B50819"/>
    <w:rsid w:val="00B62657"/>
    <w:rsid w:val="00B67829"/>
    <w:rsid w:val="00B8468C"/>
    <w:rsid w:val="00BA4F18"/>
    <w:rsid w:val="00BB16A4"/>
    <w:rsid w:val="00BB6289"/>
    <w:rsid w:val="00BC23FE"/>
    <w:rsid w:val="00BF093D"/>
    <w:rsid w:val="00C02A01"/>
    <w:rsid w:val="00C03336"/>
    <w:rsid w:val="00C107CE"/>
    <w:rsid w:val="00C1570A"/>
    <w:rsid w:val="00C240AB"/>
    <w:rsid w:val="00C252BF"/>
    <w:rsid w:val="00C255CE"/>
    <w:rsid w:val="00C413A4"/>
    <w:rsid w:val="00C56740"/>
    <w:rsid w:val="00C60847"/>
    <w:rsid w:val="00C67B65"/>
    <w:rsid w:val="00C73586"/>
    <w:rsid w:val="00C84BCB"/>
    <w:rsid w:val="00C940BE"/>
    <w:rsid w:val="00CA1C00"/>
    <w:rsid w:val="00CB4231"/>
    <w:rsid w:val="00CB42C9"/>
    <w:rsid w:val="00CB47EA"/>
    <w:rsid w:val="00CB74A1"/>
    <w:rsid w:val="00CB7A8A"/>
    <w:rsid w:val="00CF55DA"/>
    <w:rsid w:val="00D10FD7"/>
    <w:rsid w:val="00D158BD"/>
    <w:rsid w:val="00D1758A"/>
    <w:rsid w:val="00D246D2"/>
    <w:rsid w:val="00D306EA"/>
    <w:rsid w:val="00D458D2"/>
    <w:rsid w:val="00D5496C"/>
    <w:rsid w:val="00D670D4"/>
    <w:rsid w:val="00D677E9"/>
    <w:rsid w:val="00D75BCE"/>
    <w:rsid w:val="00D76281"/>
    <w:rsid w:val="00D873B2"/>
    <w:rsid w:val="00D87C0E"/>
    <w:rsid w:val="00DA74C2"/>
    <w:rsid w:val="00DC20EB"/>
    <w:rsid w:val="00DD4E4F"/>
    <w:rsid w:val="00DF1ADF"/>
    <w:rsid w:val="00DF2DD3"/>
    <w:rsid w:val="00E10454"/>
    <w:rsid w:val="00E126C7"/>
    <w:rsid w:val="00E34BDF"/>
    <w:rsid w:val="00E47B2B"/>
    <w:rsid w:val="00E50212"/>
    <w:rsid w:val="00E54FFC"/>
    <w:rsid w:val="00E55C5E"/>
    <w:rsid w:val="00E61CCD"/>
    <w:rsid w:val="00E63A73"/>
    <w:rsid w:val="00E80446"/>
    <w:rsid w:val="00E8260C"/>
    <w:rsid w:val="00E86E02"/>
    <w:rsid w:val="00E93228"/>
    <w:rsid w:val="00EA1849"/>
    <w:rsid w:val="00EB3F70"/>
    <w:rsid w:val="00EF4213"/>
    <w:rsid w:val="00EF7EC7"/>
    <w:rsid w:val="00F465AC"/>
    <w:rsid w:val="00F5639A"/>
    <w:rsid w:val="00F60B47"/>
    <w:rsid w:val="00F61793"/>
    <w:rsid w:val="00F76E6C"/>
    <w:rsid w:val="00F87B64"/>
    <w:rsid w:val="00F92508"/>
    <w:rsid w:val="00FA255D"/>
    <w:rsid w:val="00FB18EB"/>
    <w:rsid w:val="00FB489C"/>
    <w:rsid w:val="00FC0FAD"/>
    <w:rsid w:val="00FC6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44FB1E"/>
  <w15:chartTrackingRefBased/>
  <w15:docId w15:val="{0C9C226C-6E9E-4BB3-8896-B35BABC23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F85"/>
    <w:rPr>
      <w:color w:val="0563C1" w:themeColor="hyperlink"/>
      <w:u w:val="single"/>
    </w:rPr>
  </w:style>
  <w:style w:type="paragraph" w:styleId="NormalWeb">
    <w:name w:val="Normal (Web)"/>
    <w:basedOn w:val="Normal"/>
    <w:uiPriority w:val="99"/>
    <w:semiHidden/>
    <w:unhideWhenUsed/>
    <w:rsid w:val="006B6334"/>
    <w:rPr>
      <w:rFonts w:ascii="Times New Roman" w:hAnsi="Times New Roman" w:cs="Times New Roman"/>
      <w:sz w:val="24"/>
      <w:szCs w:val="24"/>
    </w:rPr>
  </w:style>
  <w:style w:type="paragraph" w:styleId="Header">
    <w:name w:val="header"/>
    <w:basedOn w:val="Normal"/>
    <w:link w:val="HeaderChar"/>
    <w:uiPriority w:val="99"/>
    <w:unhideWhenUsed/>
    <w:rsid w:val="00C41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3A4"/>
  </w:style>
  <w:style w:type="paragraph" w:styleId="Footer">
    <w:name w:val="footer"/>
    <w:basedOn w:val="Normal"/>
    <w:link w:val="FooterChar"/>
    <w:uiPriority w:val="99"/>
    <w:unhideWhenUsed/>
    <w:rsid w:val="00C41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3A4"/>
  </w:style>
  <w:style w:type="paragraph" w:styleId="ListParagraph">
    <w:name w:val="List Paragraph"/>
    <w:basedOn w:val="Normal"/>
    <w:uiPriority w:val="34"/>
    <w:qFormat/>
    <w:rsid w:val="002817D8"/>
    <w:pPr>
      <w:ind w:left="720"/>
      <w:contextualSpacing/>
    </w:pPr>
  </w:style>
  <w:style w:type="character" w:styleId="UnresolvedMention">
    <w:name w:val="Unresolved Mention"/>
    <w:basedOn w:val="DefaultParagraphFont"/>
    <w:uiPriority w:val="99"/>
    <w:semiHidden/>
    <w:unhideWhenUsed/>
    <w:rsid w:val="003925AF"/>
    <w:rPr>
      <w:color w:val="605E5C"/>
      <w:shd w:val="clear" w:color="auto" w:fill="E1DFDD"/>
    </w:rPr>
  </w:style>
  <w:style w:type="paragraph" w:customStyle="1" w:styleId="Body">
    <w:name w:val="Body"/>
    <w:basedOn w:val="Normal"/>
    <w:rsid w:val="00071A47"/>
    <w:pPr>
      <w:spacing w:after="240" w:line="240" w:lineRule="auto"/>
      <w:jc w:val="both"/>
    </w:pPr>
    <w:rPr>
      <w:rFonts w:ascii="Helvetica" w:eastAsia="Times New Roman" w:hAnsi="Helvetic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364560">
      <w:bodyDiv w:val="1"/>
      <w:marLeft w:val="0"/>
      <w:marRight w:val="0"/>
      <w:marTop w:val="0"/>
      <w:marBottom w:val="0"/>
      <w:divBdr>
        <w:top w:val="none" w:sz="0" w:space="0" w:color="auto"/>
        <w:left w:val="none" w:sz="0" w:space="0" w:color="auto"/>
        <w:bottom w:val="none" w:sz="0" w:space="0" w:color="auto"/>
        <w:right w:val="none" w:sz="0" w:space="0" w:color="auto"/>
      </w:divBdr>
    </w:div>
    <w:div w:id="943344979">
      <w:bodyDiv w:val="1"/>
      <w:marLeft w:val="0"/>
      <w:marRight w:val="0"/>
      <w:marTop w:val="0"/>
      <w:marBottom w:val="0"/>
      <w:divBdr>
        <w:top w:val="none" w:sz="0" w:space="0" w:color="auto"/>
        <w:left w:val="none" w:sz="0" w:space="0" w:color="auto"/>
        <w:bottom w:val="none" w:sz="0" w:space="0" w:color="auto"/>
        <w:right w:val="none" w:sz="0" w:space="0" w:color="auto"/>
      </w:divBdr>
    </w:div>
    <w:div w:id="983966565">
      <w:bodyDiv w:val="1"/>
      <w:marLeft w:val="0"/>
      <w:marRight w:val="0"/>
      <w:marTop w:val="0"/>
      <w:marBottom w:val="0"/>
      <w:divBdr>
        <w:top w:val="none" w:sz="0" w:space="0" w:color="auto"/>
        <w:left w:val="none" w:sz="0" w:space="0" w:color="auto"/>
        <w:bottom w:val="none" w:sz="0" w:space="0" w:color="auto"/>
        <w:right w:val="none" w:sz="0" w:space="0" w:color="auto"/>
      </w:divBdr>
    </w:div>
    <w:div w:id="1047147007">
      <w:bodyDiv w:val="1"/>
      <w:marLeft w:val="0"/>
      <w:marRight w:val="0"/>
      <w:marTop w:val="0"/>
      <w:marBottom w:val="0"/>
      <w:divBdr>
        <w:top w:val="none" w:sz="0" w:space="0" w:color="auto"/>
        <w:left w:val="none" w:sz="0" w:space="0" w:color="auto"/>
        <w:bottom w:val="none" w:sz="0" w:space="0" w:color="auto"/>
        <w:right w:val="none" w:sz="0" w:space="0" w:color="auto"/>
      </w:divBdr>
    </w:div>
    <w:div w:id="1427380816">
      <w:bodyDiv w:val="1"/>
      <w:marLeft w:val="0"/>
      <w:marRight w:val="0"/>
      <w:marTop w:val="0"/>
      <w:marBottom w:val="0"/>
      <w:divBdr>
        <w:top w:val="none" w:sz="0" w:space="0" w:color="auto"/>
        <w:left w:val="none" w:sz="0" w:space="0" w:color="auto"/>
        <w:bottom w:val="none" w:sz="0" w:space="0" w:color="auto"/>
        <w:right w:val="none" w:sz="0" w:space="0" w:color="auto"/>
      </w:divBdr>
      <w:divsChild>
        <w:div w:id="1094781926">
          <w:marLeft w:val="0"/>
          <w:marRight w:val="0"/>
          <w:marTop w:val="0"/>
          <w:marBottom w:val="0"/>
          <w:divBdr>
            <w:top w:val="single" w:sz="2" w:space="0" w:color="D9D9E3"/>
            <w:left w:val="single" w:sz="2" w:space="0" w:color="D9D9E3"/>
            <w:bottom w:val="single" w:sz="2" w:space="0" w:color="D9D9E3"/>
            <w:right w:val="single" w:sz="2" w:space="0" w:color="D9D9E3"/>
          </w:divBdr>
          <w:divsChild>
            <w:div w:id="713383434">
              <w:marLeft w:val="0"/>
              <w:marRight w:val="0"/>
              <w:marTop w:val="0"/>
              <w:marBottom w:val="0"/>
              <w:divBdr>
                <w:top w:val="single" w:sz="2" w:space="0" w:color="D9D9E3"/>
                <w:left w:val="single" w:sz="2" w:space="0" w:color="D9D9E3"/>
                <w:bottom w:val="single" w:sz="2" w:space="0" w:color="D9D9E3"/>
                <w:right w:val="single" w:sz="2" w:space="0" w:color="D9D9E3"/>
              </w:divBdr>
              <w:divsChild>
                <w:div w:id="58947326">
                  <w:marLeft w:val="0"/>
                  <w:marRight w:val="0"/>
                  <w:marTop w:val="0"/>
                  <w:marBottom w:val="0"/>
                  <w:divBdr>
                    <w:top w:val="single" w:sz="2" w:space="0" w:color="D9D9E3"/>
                    <w:left w:val="single" w:sz="2" w:space="0" w:color="D9D9E3"/>
                    <w:bottom w:val="single" w:sz="2" w:space="0" w:color="D9D9E3"/>
                    <w:right w:val="single" w:sz="2" w:space="0" w:color="D9D9E3"/>
                  </w:divBdr>
                  <w:divsChild>
                    <w:div w:id="994379016">
                      <w:marLeft w:val="0"/>
                      <w:marRight w:val="0"/>
                      <w:marTop w:val="0"/>
                      <w:marBottom w:val="0"/>
                      <w:divBdr>
                        <w:top w:val="single" w:sz="2" w:space="0" w:color="D9D9E3"/>
                        <w:left w:val="single" w:sz="2" w:space="0" w:color="D9D9E3"/>
                        <w:bottom w:val="single" w:sz="2" w:space="0" w:color="D9D9E3"/>
                        <w:right w:val="single" w:sz="2" w:space="0" w:color="D9D9E3"/>
                      </w:divBdr>
                      <w:divsChild>
                        <w:div w:id="1707293952">
                          <w:marLeft w:val="0"/>
                          <w:marRight w:val="0"/>
                          <w:marTop w:val="0"/>
                          <w:marBottom w:val="0"/>
                          <w:divBdr>
                            <w:top w:val="single" w:sz="2" w:space="0" w:color="auto"/>
                            <w:left w:val="single" w:sz="2" w:space="0" w:color="auto"/>
                            <w:bottom w:val="single" w:sz="6" w:space="0" w:color="auto"/>
                            <w:right w:val="single" w:sz="2" w:space="0" w:color="auto"/>
                          </w:divBdr>
                          <w:divsChild>
                            <w:div w:id="2000764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940330471">
                                  <w:marLeft w:val="0"/>
                                  <w:marRight w:val="0"/>
                                  <w:marTop w:val="0"/>
                                  <w:marBottom w:val="0"/>
                                  <w:divBdr>
                                    <w:top w:val="single" w:sz="2" w:space="0" w:color="D9D9E3"/>
                                    <w:left w:val="single" w:sz="2" w:space="0" w:color="D9D9E3"/>
                                    <w:bottom w:val="single" w:sz="2" w:space="0" w:color="D9D9E3"/>
                                    <w:right w:val="single" w:sz="2" w:space="0" w:color="D9D9E3"/>
                                  </w:divBdr>
                                  <w:divsChild>
                                    <w:div w:id="1636719502">
                                      <w:marLeft w:val="0"/>
                                      <w:marRight w:val="0"/>
                                      <w:marTop w:val="0"/>
                                      <w:marBottom w:val="0"/>
                                      <w:divBdr>
                                        <w:top w:val="single" w:sz="2" w:space="0" w:color="D9D9E3"/>
                                        <w:left w:val="single" w:sz="2" w:space="0" w:color="D9D9E3"/>
                                        <w:bottom w:val="single" w:sz="2" w:space="0" w:color="D9D9E3"/>
                                        <w:right w:val="single" w:sz="2" w:space="0" w:color="D9D9E3"/>
                                      </w:divBdr>
                                      <w:divsChild>
                                        <w:div w:id="1624271295">
                                          <w:marLeft w:val="0"/>
                                          <w:marRight w:val="0"/>
                                          <w:marTop w:val="0"/>
                                          <w:marBottom w:val="0"/>
                                          <w:divBdr>
                                            <w:top w:val="single" w:sz="2" w:space="0" w:color="D9D9E3"/>
                                            <w:left w:val="single" w:sz="2" w:space="0" w:color="D9D9E3"/>
                                            <w:bottom w:val="single" w:sz="2" w:space="0" w:color="D9D9E3"/>
                                            <w:right w:val="single" w:sz="2" w:space="0" w:color="D9D9E3"/>
                                          </w:divBdr>
                                          <w:divsChild>
                                            <w:div w:id="1568031908">
                                              <w:marLeft w:val="0"/>
                                              <w:marRight w:val="0"/>
                                              <w:marTop w:val="0"/>
                                              <w:marBottom w:val="0"/>
                                              <w:divBdr>
                                                <w:top w:val="single" w:sz="2" w:space="0" w:color="D9D9E3"/>
                                                <w:left w:val="single" w:sz="2" w:space="0" w:color="D9D9E3"/>
                                                <w:bottom w:val="single" w:sz="2" w:space="0" w:color="D9D9E3"/>
                                                <w:right w:val="single" w:sz="2" w:space="0" w:color="D9D9E3"/>
                                              </w:divBdr>
                                              <w:divsChild>
                                                <w:div w:id="183520771">
                                                  <w:marLeft w:val="0"/>
                                                  <w:marRight w:val="0"/>
                                                  <w:marTop w:val="0"/>
                                                  <w:marBottom w:val="0"/>
                                                  <w:divBdr>
                                                    <w:top w:val="single" w:sz="2" w:space="0" w:color="D9D9E3"/>
                                                    <w:left w:val="single" w:sz="2" w:space="0" w:color="D9D9E3"/>
                                                    <w:bottom w:val="single" w:sz="2" w:space="0" w:color="D9D9E3"/>
                                                    <w:right w:val="single" w:sz="2" w:space="0" w:color="D9D9E3"/>
                                                  </w:divBdr>
                                                  <w:divsChild>
                                                    <w:div w:id="266156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1588207">
          <w:marLeft w:val="0"/>
          <w:marRight w:val="0"/>
          <w:marTop w:val="0"/>
          <w:marBottom w:val="0"/>
          <w:divBdr>
            <w:top w:val="none" w:sz="0" w:space="0" w:color="auto"/>
            <w:left w:val="none" w:sz="0" w:space="0" w:color="auto"/>
            <w:bottom w:val="none" w:sz="0" w:space="0" w:color="auto"/>
            <w:right w:val="none" w:sz="0" w:space="0" w:color="auto"/>
          </w:divBdr>
          <w:divsChild>
            <w:div w:id="232739678">
              <w:marLeft w:val="0"/>
              <w:marRight w:val="0"/>
              <w:marTop w:val="0"/>
              <w:marBottom w:val="0"/>
              <w:divBdr>
                <w:top w:val="single" w:sz="2" w:space="0" w:color="D9D9E3"/>
                <w:left w:val="single" w:sz="2" w:space="0" w:color="D9D9E3"/>
                <w:bottom w:val="single" w:sz="2" w:space="0" w:color="D9D9E3"/>
                <w:right w:val="single" w:sz="2" w:space="0" w:color="D9D9E3"/>
              </w:divBdr>
              <w:divsChild>
                <w:div w:id="1815609456">
                  <w:marLeft w:val="0"/>
                  <w:marRight w:val="0"/>
                  <w:marTop w:val="0"/>
                  <w:marBottom w:val="0"/>
                  <w:divBdr>
                    <w:top w:val="single" w:sz="2" w:space="0" w:color="D9D9E3"/>
                    <w:left w:val="single" w:sz="2" w:space="0" w:color="D9D9E3"/>
                    <w:bottom w:val="single" w:sz="2" w:space="0" w:color="D9D9E3"/>
                    <w:right w:val="single" w:sz="2" w:space="0" w:color="D9D9E3"/>
                  </w:divBdr>
                  <w:divsChild>
                    <w:div w:id="610087545">
                      <w:marLeft w:val="0"/>
                      <w:marRight w:val="0"/>
                      <w:marTop w:val="0"/>
                      <w:marBottom w:val="0"/>
                      <w:divBdr>
                        <w:top w:val="single" w:sz="2" w:space="0" w:color="D9D9E3"/>
                        <w:left w:val="single" w:sz="2" w:space="0" w:color="D9D9E3"/>
                        <w:bottom w:val="single" w:sz="2" w:space="0" w:color="D9D9E3"/>
                        <w:right w:val="single" w:sz="2" w:space="0" w:color="D9D9E3"/>
                      </w:divBdr>
                      <w:divsChild>
                        <w:div w:id="1926262496">
                          <w:marLeft w:val="0"/>
                          <w:marRight w:val="0"/>
                          <w:marTop w:val="0"/>
                          <w:marBottom w:val="0"/>
                          <w:divBdr>
                            <w:top w:val="single" w:sz="2" w:space="0" w:color="D9D9E3"/>
                            <w:left w:val="single" w:sz="2" w:space="0" w:color="D9D9E3"/>
                            <w:bottom w:val="single" w:sz="2" w:space="0" w:color="D9D9E3"/>
                            <w:right w:val="single" w:sz="2" w:space="0" w:color="D9D9E3"/>
                          </w:divBdr>
                          <w:divsChild>
                            <w:div w:id="1965773836">
                              <w:marLeft w:val="0"/>
                              <w:marRight w:val="0"/>
                              <w:marTop w:val="0"/>
                              <w:marBottom w:val="0"/>
                              <w:divBdr>
                                <w:top w:val="single" w:sz="2" w:space="0" w:color="D9D9E3"/>
                                <w:left w:val="single" w:sz="2" w:space="0" w:color="D9D9E3"/>
                                <w:bottom w:val="single" w:sz="2" w:space="0" w:color="D9D9E3"/>
                                <w:right w:val="single" w:sz="2" w:space="0" w:color="D9D9E3"/>
                              </w:divBdr>
                              <w:divsChild>
                                <w:div w:id="21160488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yperlink" Target="https://books.google.com.ng/books?hl=en&amp;lr=&amp;id=7sztJgl0vEsC&amp;oi=fnd&amp;pg=PR7&amp;d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chart" Target="charts/chart3.xml"/><Relationship Id="rId17" Type="http://schemas.openxmlformats.org/officeDocument/2006/relationships/hyperlink" Target="http://www.zetatalk11.com/docs/Plants/Weeds/Weeds_Guardians_Of_The_Soil_198%200.pdf.%20Accessed%2007/11/2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Aremu-Dele%20Olufemi\Downloads\em8899-e.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aseline="0"/>
              <a:t>Avergae cashew seedling vigour per treatment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c:f>
              <c:strCache>
                <c:ptCount val="1"/>
                <c:pt idx="0">
                  <c:v>WF</c:v>
                </c:pt>
              </c:strCache>
            </c:strRef>
          </c:tx>
          <c:spPr>
            <a:solidFill>
              <a:schemeClr val="accent1"/>
            </a:solidFill>
            <a:ln>
              <a:noFill/>
            </a:ln>
            <a:effectLst/>
          </c:spPr>
          <c:invertIfNegative val="0"/>
          <c:dLbls>
            <c:dLbl>
              <c:idx val="0"/>
              <c:tx>
                <c:rich>
                  <a:bodyPr/>
                  <a:lstStyle/>
                  <a:p>
                    <a:r>
                      <a:rPr lang="en-US"/>
                      <a:t>4.8a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Sheet1!$C$4</c:f>
              <c:numCache>
                <c:formatCode>General</c:formatCode>
                <c:ptCount val="1"/>
                <c:pt idx="0">
                  <c:v>4.8</c:v>
                </c:pt>
              </c:numCache>
            </c:numRef>
          </c:val>
          <c:extLst>
            <c:ext xmlns:c16="http://schemas.microsoft.com/office/drawing/2014/chart" uri="{C3380CC4-5D6E-409C-BE32-E72D297353CC}">
              <c16:uniqueId val="{00000001-D85B-42AC-9BC3-0A259F0D80C2}"/>
            </c:ext>
          </c:extLst>
        </c:ser>
        <c:ser>
          <c:idx val="1"/>
          <c:order val="1"/>
          <c:tx>
            <c:strRef>
              <c:f>Sheet1!$B$5</c:f>
              <c:strCache>
                <c:ptCount val="1"/>
                <c:pt idx="0">
                  <c:v>WC</c:v>
                </c:pt>
              </c:strCache>
            </c:strRef>
          </c:tx>
          <c:spPr>
            <a:solidFill>
              <a:schemeClr val="accent2"/>
            </a:solidFill>
            <a:ln>
              <a:noFill/>
            </a:ln>
            <a:effectLst/>
          </c:spPr>
          <c:invertIfNegative val="0"/>
          <c:dLbls>
            <c:dLbl>
              <c:idx val="0"/>
              <c:layout>
                <c:manualLayout>
                  <c:x val="-3.9682081271750627E-17"/>
                  <c:y val="-5.2397170552790145E-3"/>
                </c:manualLayout>
              </c:layout>
              <c:tx>
                <c:rich>
                  <a:bodyPr/>
                  <a:lstStyle/>
                  <a:p>
                    <a:fld id="{731A759A-2718-4749-BE74-603B9DBA89C1}" type="VALUE">
                      <a:rPr lang="en-US"/>
                      <a:pPr/>
                      <a:t>[VALUE]</a:t>
                    </a:fld>
                    <a:r>
                      <a:rPr lang="en-US"/>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Sheet1!$C$5</c:f>
              <c:numCache>
                <c:formatCode>General</c:formatCode>
                <c:ptCount val="1"/>
                <c:pt idx="0">
                  <c:v>2.8</c:v>
                </c:pt>
              </c:numCache>
            </c:numRef>
          </c:val>
          <c:extLst>
            <c:ext xmlns:c16="http://schemas.microsoft.com/office/drawing/2014/chart" uri="{C3380CC4-5D6E-409C-BE32-E72D297353CC}">
              <c16:uniqueId val="{00000003-D85B-42AC-9BC3-0A259F0D80C2}"/>
            </c:ext>
          </c:extLst>
        </c:ser>
        <c:ser>
          <c:idx val="2"/>
          <c:order val="2"/>
          <c:tx>
            <c:strRef>
              <c:f>Sheet1!$B$6</c:f>
              <c:strCache>
                <c:ptCount val="1"/>
                <c:pt idx="0">
                  <c:v>1W</c:v>
                </c:pt>
              </c:strCache>
            </c:strRef>
          </c:tx>
          <c:spPr>
            <a:solidFill>
              <a:schemeClr val="accent3"/>
            </a:solidFill>
            <a:ln>
              <a:noFill/>
            </a:ln>
            <a:effectLst/>
          </c:spPr>
          <c:invertIfNegative val="0"/>
          <c:dLbls>
            <c:dLbl>
              <c:idx val="0"/>
              <c:tx>
                <c:rich>
                  <a:bodyPr/>
                  <a:lstStyle/>
                  <a:p>
                    <a:fld id="{75BBB0DA-6045-4D93-88F7-FB45CE09ED82}" type="VALUE">
                      <a:rPr lang="en-US"/>
                      <a:pPr/>
                      <a:t>[VALUE]</a:t>
                    </a:fld>
                    <a:r>
                      <a:rPr lang="en-US"/>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Sheet1!$C$6</c:f>
              <c:numCache>
                <c:formatCode>General</c:formatCode>
                <c:ptCount val="1"/>
                <c:pt idx="0">
                  <c:v>4.7</c:v>
                </c:pt>
              </c:numCache>
            </c:numRef>
          </c:val>
          <c:extLst>
            <c:ext xmlns:c16="http://schemas.microsoft.com/office/drawing/2014/chart" uri="{C3380CC4-5D6E-409C-BE32-E72D297353CC}">
              <c16:uniqueId val="{00000005-D85B-42AC-9BC3-0A259F0D80C2}"/>
            </c:ext>
          </c:extLst>
        </c:ser>
        <c:ser>
          <c:idx val="3"/>
          <c:order val="3"/>
          <c:tx>
            <c:strRef>
              <c:f>Sheet1!$B$7</c:f>
              <c:strCache>
                <c:ptCount val="1"/>
                <c:pt idx="0">
                  <c:v>2W</c:v>
                </c:pt>
              </c:strCache>
            </c:strRef>
          </c:tx>
          <c:spPr>
            <a:solidFill>
              <a:schemeClr val="accent4"/>
            </a:solidFill>
            <a:ln>
              <a:noFill/>
            </a:ln>
            <a:effectLst/>
          </c:spPr>
          <c:invertIfNegative val="0"/>
          <c:dLbls>
            <c:dLbl>
              <c:idx val="0"/>
              <c:tx>
                <c:rich>
                  <a:bodyPr/>
                  <a:lstStyle/>
                  <a:p>
                    <a:fld id="{202721A4-7EBE-4961-BA5C-131198563C84}" type="VALUE">
                      <a:rPr lang="en-US"/>
                      <a:pPr/>
                      <a:t>[VALUE]</a:t>
                    </a:fld>
                    <a:r>
                      <a:rPr lang="en-US"/>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Sheet1!$C$7</c:f>
              <c:numCache>
                <c:formatCode>General</c:formatCode>
                <c:ptCount val="1"/>
                <c:pt idx="0">
                  <c:v>4.8</c:v>
                </c:pt>
              </c:numCache>
            </c:numRef>
          </c:val>
          <c:extLst>
            <c:ext xmlns:c16="http://schemas.microsoft.com/office/drawing/2014/chart" uri="{C3380CC4-5D6E-409C-BE32-E72D297353CC}">
              <c16:uniqueId val="{00000007-D85B-42AC-9BC3-0A259F0D80C2}"/>
            </c:ext>
          </c:extLst>
        </c:ser>
        <c:ser>
          <c:idx val="4"/>
          <c:order val="4"/>
          <c:tx>
            <c:strRef>
              <c:f>Sheet1!$B$8</c:f>
              <c:strCache>
                <c:ptCount val="1"/>
                <c:pt idx="0">
                  <c:v>3W</c:v>
                </c:pt>
              </c:strCache>
            </c:strRef>
          </c:tx>
          <c:spPr>
            <a:solidFill>
              <a:schemeClr val="accent5"/>
            </a:solidFill>
            <a:ln>
              <a:noFill/>
            </a:ln>
            <a:effectLst/>
          </c:spPr>
          <c:invertIfNegative val="0"/>
          <c:dLbls>
            <c:dLbl>
              <c:idx val="0"/>
              <c:tx>
                <c:rich>
                  <a:bodyPr/>
                  <a:lstStyle/>
                  <a:p>
                    <a:r>
                      <a:rPr lang="en-US"/>
                      <a:t>4.7a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Sheet1!$C$8</c:f>
              <c:numCache>
                <c:formatCode>General</c:formatCode>
                <c:ptCount val="1"/>
                <c:pt idx="0">
                  <c:v>4.7</c:v>
                </c:pt>
              </c:numCache>
            </c:numRef>
          </c:val>
          <c:extLst>
            <c:ext xmlns:c16="http://schemas.microsoft.com/office/drawing/2014/chart" uri="{C3380CC4-5D6E-409C-BE32-E72D297353CC}">
              <c16:uniqueId val="{00000009-D85B-42AC-9BC3-0A259F0D80C2}"/>
            </c:ext>
          </c:extLst>
        </c:ser>
        <c:ser>
          <c:idx val="5"/>
          <c:order val="5"/>
          <c:tx>
            <c:strRef>
              <c:f>Sheet1!$B$9</c:f>
              <c:strCache>
                <c:ptCount val="1"/>
                <c:pt idx="0">
                  <c:v>4W</c:v>
                </c:pt>
              </c:strCache>
            </c:strRef>
          </c:tx>
          <c:spPr>
            <a:solidFill>
              <a:schemeClr val="accent6"/>
            </a:solidFill>
            <a:ln>
              <a:noFill/>
            </a:ln>
            <a:effectLst/>
          </c:spPr>
          <c:invertIfNegative val="0"/>
          <c:dLbls>
            <c:dLbl>
              <c:idx val="0"/>
              <c:tx>
                <c:rich>
                  <a:bodyPr/>
                  <a:lstStyle/>
                  <a:p>
                    <a:r>
                      <a:rPr lang="en-US"/>
                      <a:t>4.8a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5B-42AC-9BC3-0A259F0D80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f>
              <c:strCache>
                <c:ptCount val="1"/>
                <c:pt idx="0">
                  <c:v>Vigour Score</c:v>
                </c:pt>
              </c:strCache>
            </c:strRef>
          </c:cat>
          <c:val>
            <c:numRef>
              <c:f>Sheet1!$C$9</c:f>
              <c:numCache>
                <c:formatCode>General</c:formatCode>
                <c:ptCount val="1"/>
                <c:pt idx="0">
                  <c:v>4.8</c:v>
                </c:pt>
              </c:numCache>
            </c:numRef>
          </c:val>
          <c:extLst>
            <c:ext xmlns:c16="http://schemas.microsoft.com/office/drawing/2014/chart" uri="{C3380CC4-5D6E-409C-BE32-E72D297353CC}">
              <c16:uniqueId val="{0000000B-D85B-42AC-9BC3-0A259F0D80C2}"/>
            </c:ext>
          </c:extLst>
        </c:ser>
        <c:dLbls>
          <c:showLegendKey val="0"/>
          <c:showVal val="0"/>
          <c:showCatName val="0"/>
          <c:showSerName val="0"/>
          <c:showPercent val="0"/>
          <c:showBubbleSize val="0"/>
        </c:dLbls>
        <c:gapWidth val="219"/>
        <c:overlap val="-27"/>
        <c:axId val="368588712"/>
        <c:axId val="368589104"/>
      </c:barChart>
      <c:catAx>
        <c:axId val="36858871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8589104"/>
        <c:crosses val="autoZero"/>
        <c:auto val="1"/>
        <c:lblAlgn val="ctr"/>
        <c:lblOffset val="100"/>
        <c:noMultiLvlLbl val="0"/>
      </c:catAx>
      <c:valAx>
        <c:axId val="36858910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Vigour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58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 WEEDY CHECK (WC) MEAN WEED COUNT CHART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'Weed Count WC &amp; 1WW'!$A$8</c:f>
              <c:strCache>
                <c:ptCount val="1"/>
                <c:pt idx="0">
                  <c:v> 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WC &amp; 1WW'!$B$7:$M$7</c:f>
              <c:strCache>
                <c:ptCount val="12"/>
                <c:pt idx="0">
                  <c:v>W1</c:v>
                </c:pt>
                <c:pt idx="1">
                  <c:v>W2</c:v>
                </c:pt>
                <c:pt idx="2">
                  <c:v>W3</c:v>
                </c:pt>
                <c:pt idx="3">
                  <c:v>W4</c:v>
                </c:pt>
                <c:pt idx="4">
                  <c:v>W5</c:v>
                </c:pt>
                <c:pt idx="5">
                  <c:v>W6</c:v>
                </c:pt>
                <c:pt idx="6">
                  <c:v>W7</c:v>
                </c:pt>
                <c:pt idx="7">
                  <c:v>W8</c:v>
                </c:pt>
                <c:pt idx="8">
                  <c:v>W9</c:v>
                </c:pt>
                <c:pt idx="9">
                  <c:v>W10</c:v>
                </c:pt>
                <c:pt idx="10">
                  <c:v>W11</c:v>
                </c:pt>
                <c:pt idx="11">
                  <c:v>W12</c:v>
                </c:pt>
              </c:strCache>
            </c:strRef>
          </c:cat>
          <c:val>
            <c:numRef>
              <c:f>'Weed Count WC &amp; 1WW'!$B$8:$M$8</c:f>
              <c:numCache>
                <c:formatCode>0</c:formatCode>
                <c:ptCount val="12"/>
                <c:pt idx="0">
                  <c:v>3</c:v>
                </c:pt>
                <c:pt idx="1">
                  <c:v>11</c:v>
                </c:pt>
                <c:pt idx="2">
                  <c:v>12</c:v>
                </c:pt>
                <c:pt idx="3">
                  <c:v>12.666666666666666</c:v>
                </c:pt>
                <c:pt idx="4">
                  <c:v>10.666666666666666</c:v>
                </c:pt>
                <c:pt idx="5">
                  <c:v>9</c:v>
                </c:pt>
                <c:pt idx="6">
                  <c:v>7.666666666666667</c:v>
                </c:pt>
                <c:pt idx="7">
                  <c:v>7</c:v>
                </c:pt>
                <c:pt idx="8">
                  <c:v>6.666666666666667</c:v>
                </c:pt>
                <c:pt idx="9">
                  <c:v>6.666666666666667</c:v>
                </c:pt>
                <c:pt idx="10">
                  <c:v>6.666666666666667</c:v>
                </c:pt>
                <c:pt idx="11">
                  <c:v>7</c:v>
                </c:pt>
              </c:numCache>
            </c:numRef>
          </c:val>
          <c:extLst>
            <c:ext xmlns:c16="http://schemas.microsoft.com/office/drawing/2014/chart" uri="{C3380CC4-5D6E-409C-BE32-E72D297353CC}">
              <c16:uniqueId val="{00000000-D93E-4D35-BF36-0E45F1592C99}"/>
            </c:ext>
          </c:extLst>
        </c:ser>
        <c:dLbls>
          <c:showLegendKey val="0"/>
          <c:showVal val="1"/>
          <c:showCatName val="0"/>
          <c:showSerName val="0"/>
          <c:showPercent val="0"/>
          <c:showBubbleSize val="0"/>
        </c:dLbls>
        <c:gapWidth val="150"/>
        <c:shape val="box"/>
        <c:axId val="313590128"/>
        <c:axId val="313591696"/>
        <c:axId val="0"/>
      </c:bar3DChart>
      <c:catAx>
        <c:axId val="3135901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91696"/>
        <c:crosses val="autoZero"/>
        <c:auto val="1"/>
        <c:lblAlgn val="ctr"/>
        <c:lblOffset val="100"/>
        <c:noMultiLvlLbl val="0"/>
      </c:catAx>
      <c:valAx>
        <c:axId val="31359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weeds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9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a:t>
            </a:r>
            <a:r>
              <a:rPr lang="en-US" sz="1100" baseline="0"/>
              <a:t> PER WEEK WEED (1W) COUNT CHART</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'Weed Count WC &amp; 1WW'!$Q$8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WC &amp; 1WW'!$R$7:$AC$7</c:f>
              <c:strCache>
                <c:ptCount val="12"/>
                <c:pt idx="0">
                  <c:v>W1</c:v>
                </c:pt>
                <c:pt idx="1">
                  <c:v>W2</c:v>
                </c:pt>
                <c:pt idx="2">
                  <c:v>W3</c:v>
                </c:pt>
                <c:pt idx="3">
                  <c:v>W4</c:v>
                </c:pt>
                <c:pt idx="4">
                  <c:v>W5</c:v>
                </c:pt>
                <c:pt idx="5">
                  <c:v>W6</c:v>
                </c:pt>
                <c:pt idx="6">
                  <c:v>W7</c:v>
                </c:pt>
                <c:pt idx="7">
                  <c:v>W8</c:v>
                </c:pt>
                <c:pt idx="8">
                  <c:v>W9</c:v>
                </c:pt>
                <c:pt idx="9">
                  <c:v>W10</c:v>
                </c:pt>
                <c:pt idx="10">
                  <c:v>W11</c:v>
                </c:pt>
                <c:pt idx="11">
                  <c:v>W12</c:v>
                </c:pt>
              </c:strCache>
            </c:strRef>
          </c:cat>
          <c:val>
            <c:numRef>
              <c:f>'Weed Count WC &amp; 1WW'!$R$8:$AC$8</c:f>
              <c:numCache>
                <c:formatCode>0</c:formatCode>
                <c:ptCount val="12"/>
                <c:pt idx="0">
                  <c:v>0</c:v>
                </c:pt>
                <c:pt idx="1">
                  <c:v>2</c:v>
                </c:pt>
                <c:pt idx="2">
                  <c:v>0.66666666666666663</c:v>
                </c:pt>
                <c:pt idx="3">
                  <c:v>1</c:v>
                </c:pt>
                <c:pt idx="4">
                  <c:v>0.66666666666666663</c:v>
                </c:pt>
                <c:pt idx="5">
                  <c:v>0</c:v>
                </c:pt>
                <c:pt idx="6">
                  <c:v>0.66666666666666663</c:v>
                </c:pt>
                <c:pt idx="7">
                  <c:v>1.3333333333333333</c:v>
                </c:pt>
                <c:pt idx="8">
                  <c:v>1</c:v>
                </c:pt>
                <c:pt idx="9">
                  <c:v>1</c:v>
                </c:pt>
                <c:pt idx="10">
                  <c:v>0</c:v>
                </c:pt>
                <c:pt idx="11">
                  <c:v>0.66666666666666663</c:v>
                </c:pt>
              </c:numCache>
            </c:numRef>
          </c:val>
          <c:extLst>
            <c:ext xmlns:c16="http://schemas.microsoft.com/office/drawing/2014/chart" uri="{C3380CC4-5D6E-409C-BE32-E72D297353CC}">
              <c16:uniqueId val="{00000000-8F46-451D-BD65-E9414E48D4AE}"/>
            </c:ext>
          </c:extLst>
        </c:ser>
        <c:dLbls>
          <c:showLegendKey val="0"/>
          <c:showVal val="1"/>
          <c:showCatName val="0"/>
          <c:showSerName val="0"/>
          <c:showPercent val="0"/>
          <c:showBubbleSize val="0"/>
        </c:dLbls>
        <c:gapWidth val="150"/>
        <c:shape val="box"/>
        <c:axId val="313591304"/>
        <c:axId val="313588168"/>
        <c:axId val="0"/>
      </c:bar3DChart>
      <c:catAx>
        <c:axId val="3135913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88168"/>
        <c:crosses val="autoZero"/>
        <c:auto val="1"/>
        <c:lblAlgn val="ctr"/>
        <c:lblOffset val="100"/>
        <c:noMultiLvlLbl val="0"/>
      </c:catAx>
      <c:valAx>
        <c:axId val="313588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weeds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9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a:t>
            </a:r>
            <a:r>
              <a:rPr lang="en-US" sz="1100" baseline="0"/>
              <a:t> IN TWO WEEKS (2W) WEED COUNT CHART</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'Weed Count 2WW'!$A$8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2WW'!$B$7:$G$7</c:f>
              <c:strCache>
                <c:ptCount val="6"/>
                <c:pt idx="0">
                  <c:v>W2</c:v>
                </c:pt>
                <c:pt idx="1">
                  <c:v>W4</c:v>
                </c:pt>
                <c:pt idx="2">
                  <c:v>W6</c:v>
                </c:pt>
                <c:pt idx="3">
                  <c:v>W8</c:v>
                </c:pt>
                <c:pt idx="4">
                  <c:v>W10</c:v>
                </c:pt>
                <c:pt idx="5">
                  <c:v>W12</c:v>
                </c:pt>
              </c:strCache>
            </c:strRef>
          </c:cat>
          <c:val>
            <c:numRef>
              <c:f>'Weed Count 2WW'!$B$8:$G$8</c:f>
              <c:numCache>
                <c:formatCode>0</c:formatCode>
                <c:ptCount val="6"/>
                <c:pt idx="0">
                  <c:v>7</c:v>
                </c:pt>
                <c:pt idx="1">
                  <c:v>2.3333333333333335</c:v>
                </c:pt>
                <c:pt idx="2">
                  <c:v>1.6666666666666667</c:v>
                </c:pt>
                <c:pt idx="3">
                  <c:v>1</c:v>
                </c:pt>
                <c:pt idx="4">
                  <c:v>0.66666666666666663</c:v>
                </c:pt>
                <c:pt idx="5">
                  <c:v>0.33333333333333331</c:v>
                </c:pt>
              </c:numCache>
            </c:numRef>
          </c:val>
          <c:extLst>
            <c:ext xmlns:c16="http://schemas.microsoft.com/office/drawing/2014/chart" uri="{C3380CC4-5D6E-409C-BE32-E72D297353CC}">
              <c16:uniqueId val="{00000000-E932-49E1-B54A-8BCA2878D2E3}"/>
            </c:ext>
          </c:extLst>
        </c:ser>
        <c:dLbls>
          <c:dLblPos val="outEnd"/>
          <c:showLegendKey val="0"/>
          <c:showVal val="1"/>
          <c:showCatName val="0"/>
          <c:showSerName val="0"/>
          <c:showPercent val="0"/>
          <c:showBubbleSize val="0"/>
        </c:dLbls>
        <c:gapWidth val="100"/>
        <c:overlap val="-24"/>
        <c:axId val="313588560"/>
        <c:axId val="313588952"/>
      </c:barChart>
      <c:catAx>
        <c:axId val="3135885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88952"/>
        <c:crosses val="autoZero"/>
        <c:auto val="1"/>
        <c:lblAlgn val="ctr"/>
        <c:lblOffset val="100"/>
        <c:noMultiLvlLbl val="0"/>
      </c:catAx>
      <c:valAx>
        <c:axId val="313588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weeds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58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 IN THREE WEEKS (3WW) WEED COUNT CHART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'Weed Count 3WW'!$A$8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3WW'!$B$7:$E$7</c:f>
              <c:strCache>
                <c:ptCount val="4"/>
                <c:pt idx="0">
                  <c:v>W3</c:v>
                </c:pt>
                <c:pt idx="1">
                  <c:v>W6</c:v>
                </c:pt>
                <c:pt idx="2">
                  <c:v>W9</c:v>
                </c:pt>
                <c:pt idx="3">
                  <c:v>W12</c:v>
                </c:pt>
              </c:strCache>
            </c:strRef>
          </c:cat>
          <c:val>
            <c:numRef>
              <c:f>'Weed Count 3WW'!$B$8:$E$8</c:f>
              <c:numCache>
                <c:formatCode>0</c:formatCode>
                <c:ptCount val="4"/>
                <c:pt idx="0">
                  <c:v>12</c:v>
                </c:pt>
                <c:pt idx="1">
                  <c:v>2</c:v>
                </c:pt>
                <c:pt idx="2">
                  <c:v>2.3333333333333335</c:v>
                </c:pt>
                <c:pt idx="3">
                  <c:v>0.66666666666666663</c:v>
                </c:pt>
              </c:numCache>
            </c:numRef>
          </c:val>
          <c:extLst>
            <c:ext xmlns:c16="http://schemas.microsoft.com/office/drawing/2014/chart" uri="{C3380CC4-5D6E-409C-BE32-E72D297353CC}">
              <c16:uniqueId val="{00000000-3E2C-46F2-8615-223BE066E11E}"/>
            </c:ext>
          </c:extLst>
        </c:ser>
        <c:dLbls>
          <c:dLblPos val="outEnd"/>
          <c:showLegendKey val="0"/>
          <c:showVal val="1"/>
          <c:showCatName val="0"/>
          <c:showSerName val="0"/>
          <c:showPercent val="0"/>
          <c:showBubbleSize val="0"/>
        </c:dLbls>
        <c:gapWidth val="100"/>
        <c:overlap val="-24"/>
        <c:axId val="313394248"/>
        <c:axId val="313396600"/>
      </c:barChart>
      <c:catAx>
        <c:axId val="313394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6600"/>
        <c:crosses val="autoZero"/>
        <c:auto val="1"/>
        <c:lblAlgn val="ctr"/>
        <c:lblOffset val="100"/>
        <c:noMultiLvlLbl val="0"/>
      </c:catAx>
      <c:valAx>
        <c:axId val="31339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 of weeds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4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ONCE</a:t>
            </a:r>
            <a:r>
              <a:rPr lang="en-US" sz="1100" baseline="0"/>
              <a:t> IN FOUR WEEKS (4WW) WEED COUNT CHART</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'Weed Count 4WW'!$A$8</c:f>
              <c:strCache>
                <c:ptCount val="1"/>
                <c:pt idx="0">
                  <c:v>No. of Weeds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'Weed Count 4WW'!$B$7:$D$7</c:f>
              <c:strCache>
                <c:ptCount val="3"/>
                <c:pt idx="0">
                  <c:v>W4</c:v>
                </c:pt>
                <c:pt idx="1">
                  <c:v>W8</c:v>
                </c:pt>
                <c:pt idx="2">
                  <c:v>W12</c:v>
                </c:pt>
              </c:strCache>
            </c:strRef>
          </c:cat>
          <c:val>
            <c:numRef>
              <c:f>'Weed Count 4WW'!$B$8:$D$8</c:f>
              <c:numCache>
                <c:formatCode>0</c:formatCode>
                <c:ptCount val="3"/>
                <c:pt idx="0">
                  <c:v>9</c:v>
                </c:pt>
                <c:pt idx="1">
                  <c:v>0.33333333333333331</c:v>
                </c:pt>
                <c:pt idx="2">
                  <c:v>1</c:v>
                </c:pt>
              </c:numCache>
            </c:numRef>
          </c:val>
          <c:extLst>
            <c:ext xmlns:c16="http://schemas.microsoft.com/office/drawing/2014/chart" uri="{C3380CC4-5D6E-409C-BE32-E72D297353CC}">
              <c16:uniqueId val="{00000000-EB12-4541-9D9D-0D11DBBC267A}"/>
            </c:ext>
          </c:extLst>
        </c:ser>
        <c:dLbls>
          <c:showLegendKey val="0"/>
          <c:showVal val="1"/>
          <c:showCatName val="0"/>
          <c:showSerName val="0"/>
          <c:showPercent val="0"/>
          <c:showBubbleSize val="0"/>
        </c:dLbls>
        <c:gapWidth val="150"/>
        <c:shape val="box"/>
        <c:axId val="313395424"/>
        <c:axId val="313395816"/>
        <c:axId val="0"/>
      </c:bar3DChart>
      <c:catAx>
        <c:axId val="3133954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Weeks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5816"/>
        <c:crosses val="autoZero"/>
        <c:auto val="1"/>
        <c:lblAlgn val="ctr"/>
        <c:lblOffset val="100"/>
        <c:noMultiLvlLbl val="0"/>
      </c:catAx>
      <c:valAx>
        <c:axId val="313395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weeds</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39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2356</TotalTime>
  <Pages>14</Pages>
  <Words>5664</Words>
  <Characters>32288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PC 1170</cp:lastModifiedBy>
  <cp:revision>89</cp:revision>
  <dcterms:created xsi:type="dcterms:W3CDTF">2023-10-11T11:22:00Z</dcterms:created>
  <dcterms:modified xsi:type="dcterms:W3CDTF">2026-05-13T10:47:00Z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6243c309-c0d4-4d87-8929-56196102021d</vt:lpwstr>
  </property>
</Properties>
</file>