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BDC5" w14:textId="77777777" w:rsidR="00EE4D77" w:rsidRPr="009709D4" w:rsidRDefault="00EE4D77" w:rsidP="00EE4D77">
      <w:pPr>
        <w:spacing w:before="60" w:after="120"/>
        <w:jc w:val="center"/>
        <w:rPr>
          <w:rFonts w:ascii="Times New Roman" w:hAnsi="Times New Roman" w:cs="Times New Roman"/>
          <w:b/>
          <w:bCs/>
          <w:sz w:val="32"/>
          <w:szCs w:val="32"/>
        </w:rPr>
      </w:pPr>
      <w:r w:rsidRPr="009709D4">
        <w:rPr>
          <w:rFonts w:ascii="Times New Roman" w:hAnsi="Times New Roman" w:cs="Times New Roman"/>
          <w:b/>
          <w:bCs/>
          <w:sz w:val="32"/>
          <w:szCs w:val="32"/>
        </w:rPr>
        <w:t>Assessment of Carbon Sequestration Potential Through Cotton Crop Residue Incorporation in Adilabad District of Telangana</w:t>
      </w:r>
    </w:p>
    <w:p w14:paraId="637F2C15" w14:textId="68EC6C74" w:rsidR="001A79CF" w:rsidRPr="009709D4" w:rsidRDefault="001A79CF" w:rsidP="0098443E">
      <w:pPr>
        <w:spacing w:before="60" w:after="120"/>
        <w:jc w:val="center"/>
        <w:rPr>
          <w:rFonts w:ascii="Times New Roman" w:hAnsi="Times New Roman" w:cs="Times New Roman"/>
          <w:b/>
          <w:bCs/>
        </w:rPr>
      </w:pPr>
    </w:p>
    <w:p w14:paraId="49BE5113" w14:textId="77777777" w:rsidR="00ED7DFA" w:rsidRDefault="00ED7DFA" w:rsidP="00EE4D77">
      <w:pPr>
        <w:spacing w:before="60" w:after="120"/>
        <w:rPr>
          <w:rFonts w:ascii="Times New Roman" w:hAnsi="Times New Roman" w:cs="Times New Roman"/>
          <w:b/>
          <w:bCs/>
          <w:sz w:val="24"/>
          <w:szCs w:val="24"/>
        </w:rPr>
      </w:pPr>
    </w:p>
    <w:p w14:paraId="5CC91C32" w14:textId="313E9A9D" w:rsidR="00EE4D77" w:rsidRPr="00BE3A6C" w:rsidRDefault="00EE4D77" w:rsidP="00EE4D77">
      <w:pPr>
        <w:spacing w:before="60" w:after="12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2A4BA280" w14:textId="4D3C62DF" w:rsidR="00EE4D77" w:rsidRPr="00BE3A6C" w:rsidRDefault="00EE4D77" w:rsidP="00EE4D77">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Cotton (</w:t>
      </w:r>
      <w:r>
        <w:rPr>
          <w:rFonts w:ascii="Times New Roman" w:hAnsi="Times New Roman" w:cs="Times New Roman"/>
          <w:i/>
          <w:iCs/>
          <w:sz w:val="24"/>
          <w:szCs w:val="24"/>
        </w:rPr>
        <w:t xml:space="preserve">Gossypium </w:t>
      </w:r>
      <w:proofErr w:type="spellStart"/>
      <w:r>
        <w:rPr>
          <w:rFonts w:ascii="Times New Roman" w:hAnsi="Times New Roman" w:cs="Times New Roman"/>
          <w:i/>
          <w:iCs/>
          <w:sz w:val="24"/>
          <w:szCs w:val="24"/>
        </w:rPr>
        <w:t>hirsutum</w:t>
      </w:r>
      <w:proofErr w:type="spellEnd"/>
      <w:r>
        <w:rPr>
          <w:rFonts w:ascii="Times New Roman" w:hAnsi="Times New Roman" w:cs="Times New Roman"/>
          <w:i/>
          <w:iCs/>
          <w:sz w:val="24"/>
          <w:szCs w:val="24"/>
        </w:rPr>
        <w:t xml:space="preserve"> L</w:t>
      </w:r>
      <w:r>
        <w:rPr>
          <w:rFonts w:ascii="Times New Roman" w:hAnsi="Times New Roman" w:cs="Times New Roman"/>
          <w:sz w:val="24"/>
          <w:szCs w:val="24"/>
        </w:rPr>
        <w:t xml:space="preserve">.) is the predominant cash crop of Adilabad district, Telangana, occupying approximately 1,60,000 hectares of the total cultivated area. Given the district's semi-arid climate and deep black cotton soils, cotton residue incorporation presents a significant opportunity for Soil Organic Carbon (SOC) sequestration. This study assesses the carbon sequestration potential of cotton crop residue incorporation in Adilabad district using ground-truth biomass measurements, satellite-derived Normalized Difference Vegetation Index (NDVI) from Sentinel-2 imagery and FAO Global Soil Organic Carbon Sequestration Potential (GSOC </w:t>
      </w:r>
      <w:proofErr w:type="spellStart"/>
      <w:r>
        <w:rPr>
          <w:rFonts w:ascii="Times New Roman" w:hAnsi="Times New Roman" w:cs="Times New Roman"/>
          <w:sz w:val="24"/>
          <w:szCs w:val="24"/>
        </w:rPr>
        <w:t>seq</w:t>
      </w:r>
      <w:proofErr w:type="spellEnd"/>
      <w:r>
        <w:rPr>
          <w:rFonts w:ascii="Times New Roman" w:hAnsi="Times New Roman" w:cs="Times New Roman"/>
          <w:sz w:val="24"/>
          <w:szCs w:val="24"/>
        </w:rPr>
        <w:t>) database. Above Ground Biomass (AGB) measurements were conducted at farmers' fields and the instructional farm, yielding average residue biomass of 1.80 t/ha. Soil organic carbon sequestration potential across 30 villages confirmed with sequestration rates ranging from 0.109 to 0.170 t/ha/year (district average: 0.14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Applying a carbon sequestration rate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of 0.14, the average carbon stock was estimated at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Extrapolated across the district's cotton area, the total annual carbon sequestration potential is 40,000 t C year</w:t>
      </w:r>
      <w:r>
        <w:rPr>
          <w:rFonts w:ascii="Times New Roman" w:hAnsi="Times New Roman" w:cs="Times New Roman"/>
          <w:sz w:val="24"/>
          <w:szCs w:val="24"/>
          <w:vertAlign w:val="superscript"/>
        </w:rPr>
        <w:t>-1</w:t>
      </w:r>
      <w:r>
        <w:rPr>
          <w:rFonts w:ascii="Times New Roman" w:hAnsi="Times New Roman" w:cs="Times New Roman"/>
          <w:sz w:val="24"/>
          <w:szCs w:val="24"/>
        </w:rPr>
        <w:t>. A multi-pronged adoption strategy encompassing adoption of residue management, mechanization and conservation agriculture through farmers training, policy incentives, digital monitoring and carbon market linkages is proposed to operationalize soil carbon sequestration across the district.</w:t>
      </w:r>
    </w:p>
    <w:p w14:paraId="69E8A88E" w14:textId="471358A6" w:rsidR="00E86895" w:rsidRPr="00BE3A6C" w:rsidRDefault="00EE4D77" w:rsidP="00E86895">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Carbon sequestration, Biomass, Soil Organic Carbon, NDVI, Adilabad, Telangana, Climate Smart Agriculture.</w:t>
      </w:r>
    </w:p>
    <w:p w14:paraId="0C444A9D" w14:textId="6BDF8599" w:rsidR="00E86895" w:rsidRPr="00BE3A6C" w:rsidRDefault="00E86895" w:rsidP="00E86895">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2EF1638" w14:textId="6FCA81A9" w:rsidR="00E86895" w:rsidRPr="00BE3A6C" w:rsidRDefault="00E86895" w:rsidP="00E8689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Climate change poses an existential threat to agricultural systems worldwide and rainfed farming regions in peninsular India are particularly vulnerable to its consequences. Telangana, a predominantly agrarian state, has been experiencing increasingly erratic monsoon patterns, recurrent droughts and rising temperatures that undermine the productivity of its staple crops (IPCC, 2022). In this context, carbon sequestration through agricultural soils has emerged as a dual-benefit strategy: it mitigates greenhouse gas emissions while simultaneously improving soil health, water retention and long-term crop productivity (</w:t>
      </w:r>
      <w:proofErr w:type="spellStart"/>
      <w:r>
        <w:rPr>
          <w:rFonts w:ascii="Times New Roman" w:hAnsi="Times New Roman" w:cs="Times New Roman"/>
          <w:sz w:val="24"/>
          <w:szCs w:val="24"/>
        </w:rPr>
        <w:t>Poeplau</w:t>
      </w:r>
      <w:proofErr w:type="spellEnd"/>
      <w:r>
        <w:rPr>
          <w:rFonts w:ascii="Times New Roman" w:hAnsi="Times New Roman" w:cs="Times New Roman"/>
          <w:sz w:val="24"/>
          <w:szCs w:val="24"/>
        </w:rPr>
        <w:t xml:space="preserve"> &amp; Don, 2015; </w:t>
      </w:r>
      <w:proofErr w:type="spellStart"/>
      <w:r>
        <w:rPr>
          <w:rFonts w:ascii="Times New Roman" w:hAnsi="Times New Roman" w:cs="Times New Roman"/>
          <w:sz w:val="24"/>
          <w:szCs w:val="24"/>
        </w:rPr>
        <w:t>Minasny</w:t>
      </w:r>
      <w:proofErr w:type="spellEnd"/>
      <w:r>
        <w:rPr>
          <w:rFonts w:ascii="Times New Roman" w:hAnsi="Times New Roman" w:cs="Times New Roman"/>
          <w:sz w:val="24"/>
          <w:szCs w:val="24"/>
        </w:rPr>
        <w:t xml:space="preserve"> et al., 2017; Ravi. P et.al., 2025).</w:t>
      </w:r>
    </w:p>
    <w:p w14:paraId="19342A21" w14:textId="278096BD" w:rsidR="00E86895" w:rsidRPr="00702C45" w:rsidRDefault="00E86895" w:rsidP="00E86895">
      <w:pPr>
        <w:spacing w:before="80" w:after="80" w:line="360" w:lineRule="auto"/>
        <w:jc w:val="both"/>
        <w:rPr>
          <w:rFonts w:ascii="Times New Roman" w:hAnsi="Times New Roman" w:cs="Times New Roman"/>
          <w:color w:val="171717" w:themeColor="background2" w:themeShade="1A"/>
          <w:sz w:val="24"/>
          <w:szCs w:val="24"/>
        </w:rPr>
      </w:pPr>
      <w:r>
        <w:rPr>
          <w:rFonts w:ascii="Times New Roman" w:hAnsi="Times New Roman" w:cs="Times New Roman"/>
          <w:sz w:val="24"/>
          <w:szCs w:val="24"/>
        </w:rPr>
        <w:lastRenderedPageBreak/>
        <w:t xml:space="preserve">Adilabad district in northern Telangana is one of the state's major cotton-growing districts. The district covers approximately 5.5 lakh gross cropped of area, of which cotton alone occupies around 4 lakh acres (approximately 1,61,874 ha), making it the dominant cash crop. </w:t>
      </w:r>
      <w:r>
        <w:rPr>
          <w:rFonts w:ascii="Times New Roman" w:hAnsi="Times New Roman" w:cs="Times New Roman"/>
          <w:color w:val="171717" w:themeColor="background2" w:themeShade="1A"/>
          <w:sz w:val="24"/>
          <w:szCs w:val="24"/>
        </w:rPr>
        <w:t xml:space="preserve">The deep, swelling </w:t>
      </w:r>
      <w:proofErr w:type="spellStart"/>
      <w:r>
        <w:rPr>
          <w:rFonts w:ascii="Times New Roman" w:hAnsi="Times New Roman" w:cs="Times New Roman"/>
          <w:color w:val="171717" w:themeColor="background2" w:themeShade="1A"/>
          <w:sz w:val="24"/>
          <w:szCs w:val="24"/>
        </w:rPr>
        <w:t>Vertisol</w:t>
      </w:r>
      <w:proofErr w:type="spellEnd"/>
      <w:r>
        <w:rPr>
          <w:rFonts w:ascii="Times New Roman" w:hAnsi="Times New Roman" w:cs="Times New Roman"/>
          <w:color w:val="171717" w:themeColor="background2" w:themeShade="1A"/>
          <w:sz w:val="24"/>
          <w:szCs w:val="24"/>
        </w:rPr>
        <w:t xml:space="preserve"> soils (locally called '</w:t>
      </w:r>
      <w:proofErr w:type="spellStart"/>
      <w:r>
        <w:rPr>
          <w:rFonts w:ascii="Times New Roman" w:hAnsi="Times New Roman" w:cs="Times New Roman"/>
          <w:color w:val="171717" w:themeColor="background2" w:themeShade="1A"/>
          <w:sz w:val="24"/>
          <w:szCs w:val="24"/>
        </w:rPr>
        <w:t>regur</w:t>
      </w:r>
      <w:proofErr w:type="spellEnd"/>
      <w:r>
        <w:rPr>
          <w:rFonts w:ascii="Times New Roman" w:hAnsi="Times New Roman" w:cs="Times New Roman"/>
          <w:color w:val="171717" w:themeColor="background2" w:themeShade="1A"/>
          <w:sz w:val="24"/>
          <w:szCs w:val="24"/>
        </w:rPr>
        <w:t>' or black cotton soil) characteristic of the district possess inherently high clay content and significant potential for carbon stabilization, particularly when enriched with organic residues.</w:t>
      </w:r>
    </w:p>
    <w:p w14:paraId="0140E7EB" w14:textId="14FAB017" w:rsidR="00E86895" w:rsidRPr="00BE3A6C" w:rsidRDefault="00055310" w:rsidP="00E8689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Cotton crop residues comprising stalks, leaves and boll shells represent a substantial biomass pool that is largely burned or removed post-harvest in current farming practice, releasing stored carbon back into the atmosphere. Systematic incorporation of these residues into the soil can meaningfully increase the SOC pool, contributing to climate mitigation targets while building soil fertility (Lal, 2004). Global estimates suggest that agricultural soils have the potential to sequester 0.9 - 1.85 Gt C/year through improved management practices, with South Asian rainfed systems being significant contributors (</w:t>
      </w:r>
      <w:proofErr w:type="spellStart"/>
      <w:r>
        <w:rPr>
          <w:rFonts w:ascii="Times New Roman" w:hAnsi="Times New Roman" w:cs="Times New Roman"/>
          <w:sz w:val="24"/>
          <w:szCs w:val="24"/>
        </w:rPr>
        <w:t>Minasny</w:t>
      </w:r>
      <w:proofErr w:type="spellEnd"/>
      <w:r>
        <w:rPr>
          <w:rFonts w:ascii="Times New Roman" w:hAnsi="Times New Roman" w:cs="Times New Roman"/>
          <w:sz w:val="24"/>
          <w:szCs w:val="24"/>
        </w:rPr>
        <w:t xml:space="preserve"> et al., 2017).</w:t>
      </w:r>
    </w:p>
    <w:p w14:paraId="08B43A63" w14:textId="704225DD" w:rsidR="00C52423" w:rsidRPr="00BE3A6C" w:rsidRDefault="00E86895" w:rsidP="00C5242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theoretical potential, empirical assessment of cotton residue carbon sequestration in semi-arid Deccan plateau conditions remains limited. Most existing studies from India focus on Indo-Gangetic Plain crops (wheat-rice systems) or focus on SOC under irrigation (Singh et al., 2021). The unique biophysical conditions of Adilabad its rainfall regime (900-1,100 mm/year), soil type and farming system necessitate district specific quantification. This study bridges this gap through a </w:t>
      </w:r>
      <w:proofErr w:type="gramStart"/>
      <w:r>
        <w:rPr>
          <w:rFonts w:ascii="Times New Roman" w:hAnsi="Times New Roman" w:cs="Times New Roman"/>
          <w:sz w:val="24"/>
          <w:szCs w:val="24"/>
        </w:rPr>
        <w:t>field based</w:t>
      </w:r>
      <w:proofErr w:type="gramEnd"/>
      <w:r>
        <w:rPr>
          <w:rFonts w:ascii="Times New Roman" w:hAnsi="Times New Roman" w:cs="Times New Roman"/>
          <w:sz w:val="24"/>
          <w:szCs w:val="24"/>
        </w:rPr>
        <w:t xml:space="preserve"> biomass survey integrated with NDVI satellite data and FAO Global Soil Organic Carbon Sequestration Potential Map (</w:t>
      </w:r>
      <w:proofErr w:type="spellStart"/>
      <w:r>
        <w:rPr>
          <w:rFonts w:ascii="Times New Roman" w:hAnsi="Times New Roman" w:cs="Times New Roman"/>
          <w:sz w:val="24"/>
          <w:szCs w:val="24"/>
        </w:rPr>
        <w:t>GSOCseq</w:t>
      </w:r>
      <w:proofErr w:type="spellEnd"/>
      <w:r>
        <w:rPr>
          <w:rFonts w:ascii="Times New Roman" w:hAnsi="Times New Roman" w:cs="Times New Roman"/>
          <w:sz w:val="24"/>
          <w:szCs w:val="24"/>
        </w:rPr>
        <w:t>) soil carbon databases, providing the first comprehensive carbon sequestration assessment for cotton residues in Adilabad district.</w:t>
      </w:r>
    </w:p>
    <w:p w14:paraId="5F2FBB94" w14:textId="40C01C55" w:rsidR="00353645" w:rsidRPr="00BE3A6C" w:rsidRDefault="00EA0BC5" w:rsidP="00C52423">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STUDY AREA AND AGRO ECOLOGICAL PROFILE</w:t>
      </w:r>
    </w:p>
    <w:p w14:paraId="453C02E5" w14:textId="63D5AAE2" w:rsidR="00353645" w:rsidRPr="00BE3A6C" w:rsidRDefault="00353645" w:rsidP="0035364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Adilabad district is located in the northernmost part of Telangana state (18°13' to 19°56' N latitude; 77°46' to 79°36' E longitude) and borders Maharashtra to the north and Chhattisgarh to the northeast. The district has a total geographical area of approximately 4153 km², characterized by undulating terrain with elevation of 264 m above mean sea level. The climate is sub-humid to semi-arid, with average annual rainfall between 900 and 1100 mm received predominantly (85%) during the southwest monsoon (June-September).</w:t>
      </w:r>
    </w:p>
    <w:p w14:paraId="2A47E269" w14:textId="7A0B2F54" w:rsidR="00353645" w:rsidRPr="00BE3A6C" w:rsidRDefault="00353645" w:rsidP="00353645">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soils of the district are predominantly deep black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xml:space="preserve"> (locally called black cotton soils), with moderate to high organic matter potential due to their 2:1 expanding clay lattice structure. The dominant farming system is rainfed cotton-sorghum or cotton-fallow rotation, cultivated on approximately 4 lakh acres (1,61,874 ha). The district is divided into 18 </w:t>
      </w:r>
      <w:proofErr w:type="spellStart"/>
      <w:r>
        <w:rPr>
          <w:rFonts w:ascii="Times New Roman" w:hAnsi="Times New Roman" w:cs="Times New Roman"/>
          <w:sz w:val="24"/>
          <w:szCs w:val="24"/>
        </w:rPr>
        <w:t>mandals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spanning a diverse agroecological gradient from the more humid </w:t>
      </w:r>
      <w:proofErr w:type="spellStart"/>
      <w:r>
        <w:rPr>
          <w:rFonts w:ascii="Times New Roman" w:hAnsi="Times New Roman" w:cs="Times New Roman"/>
          <w:sz w:val="24"/>
          <w:szCs w:val="24"/>
        </w:rPr>
        <w:t>Indravelly-Utnoor</w:t>
      </w:r>
      <w:proofErr w:type="spellEnd"/>
      <w:r>
        <w:rPr>
          <w:rFonts w:ascii="Times New Roman" w:hAnsi="Times New Roman" w:cs="Times New Roman"/>
          <w:sz w:val="24"/>
          <w:szCs w:val="24"/>
        </w:rPr>
        <w:t xml:space="preserve"> belt in the east to the drier </w:t>
      </w:r>
      <w:proofErr w:type="spellStart"/>
      <w:r>
        <w:rPr>
          <w:rFonts w:ascii="Times New Roman" w:hAnsi="Times New Roman" w:cs="Times New Roman"/>
          <w:sz w:val="24"/>
          <w:szCs w:val="24"/>
        </w:rPr>
        <w:t>Talamadugu-Tamsi</w:t>
      </w:r>
      <w:proofErr w:type="spellEnd"/>
      <w:r>
        <w:rPr>
          <w:rFonts w:ascii="Times New Roman" w:hAnsi="Times New Roman" w:cs="Times New Roman"/>
          <w:sz w:val="24"/>
          <w:szCs w:val="24"/>
        </w:rPr>
        <w:t xml:space="preserve"> areas in the west.</w:t>
      </w:r>
    </w:p>
    <w:p w14:paraId="4E9E8F1E" w14:textId="02645E83" w:rsidR="00495AB9" w:rsidRPr="00BE3A6C" w:rsidRDefault="00495AB9" w:rsidP="00495AB9">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36C0F20" w14:textId="4F137810" w:rsidR="00B25E6C"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1. Cotton Biomass Estimation</w:t>
      </w:r>
    </w:p>
    <w:p w14:paraId="68FEEB1D" w14:textId="4A0E3267" w:rsidR="00495AB9"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Above-ground biomass of standing cotton crop was estimated by sampling at harvest maturity (December 2024). At each sampling location, four quadrats of 25 m² each were randomly placed within the field. All cotton stalks, leaves and dry boll shells within each quadrat were clipped at ground level, pooled, weighed fresh and subsampled for dry weight determination after oven-drying at 70°C to constant weight. The number of plants within each quadrat was also recorded to calculate per-plant biomass. Measurements were conducted at two sites: a representative farmers' field at </w:t>
      </w:r>
      <w:proofErr w:type="spellStart"/>
      <w:r>
        <w:rPr>
          <w:rFonts w:ascii="Times New Roman" w:hAnsi="Times New Roman" w:cs="Times New Roman"/>
          <w:sz w:val="24"/>
          <w:szCs w:val="24"/>
        </w:rPr>
        <w:t>Palsi</w:t>
      </w:r>
      <w:proofErr w:type="spellEnd"/>
      <w:r>
        <w:rPr>
          <w:rFonts w:ascii="Times New Roman" w:hAnsi="Times New Roman" w:cs="Times New Roman"/>
          <w:sz w:val="24"/>
          <w:szCs w:val="24"/>
        </w:rPr>
        <w:t xml:space="preserve"> K village and the Instructional Farm at KVK, Adilabad.</w:t>
      </w:r>
    </w:p>
    <w:p w14:paraId="056690A0" w14:textId="32C99428" w:rsidR="00B25E6C" w:rsidRPr="00BE3A6C" w:rsidRDefault="00B25E6C" w:rsidP="00495AB9">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2. NDVI-Based Above Ground Biomass (AGB)</w:t>
      </w:r>
    </w:p>
    <w:p w14:paraId="4AC6F25C" w14:textId="77777777"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Sentinel-2 Level-2A surface reflectance images were acquired for the period June to December 2024 via the VEDAS (Visualization of Earth Observation Data and Archival System) platform of ISRO (https://vedas.sac.gov.in). Monthly NDVI composites were generated for selected representative cotton fields. The average NDVI for the cotton growing season was 0.4, consistent with moderate-density rainfed cotton canopies. Above-ground biomass was estimated using the relationship:</w:t>
      </w:r>
    </w:p>
    <w:p w14:paraId="4D4CA204" w14:textId="77777777" w:rsidR="00B25E6C" w:rsidRPr="00BE3A6C" w:rsidRDefault="00B25E6C" w:rsidP="00F646EA">
      <w:pPr>
        <w:spacing w:before="80" w:after="80" w:line="360" w:lineRule="auto"/>
        <w:jc w:val="center"/>
        <w:rPr>
          <w:rFonts w:ascii="Times New Roman" w:hAnsi="Times New Roman" w:cs="Times New Roman"/>
          <w:sz w:val="24"/>
          <w:szCs w:val="24"/>
        </w:rPr>
      </w:pPr>
      <w:r>
        <w:rPr>
          <w:rFonts w:ascii="Times New Roman" w:hAnsi="Times New Roman" w:cs="Times New Roman"/>
          <w:b/>
          <w:bCs/>
          <w:sz w:val="24"/>
          <w:szCs w:val="24"/>
        </w:rPr>
        <w:t>AGB (kg/ha) = NDVI × Maximum Biomass (kg/ha)</w:t>
      </w:r>
    </w:p>
    <w:p w14:paraId="0FF05131" w14:textId="74E3A0F6"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where Maximum Biomass was the field-measured peak biomass for Deccan cotton. Carbon stock was then derived as:</w:t>
      </w:r>
    </w:p>
    <w:p w14:paraId="11678132" w14:textId="053BE62E" w:rsidR="00B25E6C" w:rsidRPr="00BE3A6C" w:rsidRDefault="00B25E6C" w:rsidP="00F646EA">
      <w:pPr>
        <w:spacing w:before="80" w:after="80" w:line="360" w:lineRule="auto"/>
        <w:jc w:val="center"/>
        <w:rPr>
          <w:rFonts w:ascii="Times New Roman" w:hAnsi="Times New Roman" w:cs="Times New Roman"/>
          <w:sz w:val="24"/>
          <w:szCs w:val="24"/>
        </w:rPr>
      </w:pPr>
      <w:r>
        <w:rPr>
          <w:rFonts w:ascii="Times New Roman" w:hAnsi="Times New Roman" w:cs="Times New Roman"/>
          <w:b/>
          <w:bCs/>
          <w:sz w:val="24"/>
          <w:szCs w:val="24"/>
        </w:rPr>
        <w:t>Carbon Stock (t C/ha/</w:t>
      </w:r>
      <w:proofErr w:type="spellStart"/>
      <w:r>
        <w:rPr>
          <w:rFonts w:ascii="Times New Roman" w:hAnsi="Times New Roman" w:cs="Times New Roman"/>
          <w:b/>
          <w:bCs/>
          <w:sz w:val="24"/>
          <w:szCs w:val="24"/>
        </w:rPr>
        <w:t>yr</w:t>
      </w:r>
      <w:proofErr w:type="spellEnd"/>
      <w:r>
        <w:rPr>
          <w:rFonts w:ascii="Times New Roman" w:hAnsi="Times New Roman" w:cs="Times New Roman"/>
          <w:b/>
          <w:bCs/>
          <w:sz w:val="24"/>
          <w:szCs w:val="24"/>
        </w:rPr>
        <w:t>) = AGB (kg/ha) × Carbon 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ab/>
        <w:t xml:space="preserve">  1000</w:t>
      </w:r>
      <w:proofErr w:type="gramEnd"/>
    </w:p>
    <w:p w14:paraId="5CD9E148" w14:textId="53D54562" w:rsidR="00B01433" w:rsidRDefault="00B01433" w:rsidP="004A247F">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sites were selected across 30 representative villages spanning 15 </w:t>
      </w:r>
      <w:proofErr w:type="spellStart"/>
      <w:r>
        <w:rPr>
          <w:rFonts w:ascii="Times New Roman" w:hAnsi="Times New Roman" w:cs="Times New Roman"/>
          <w:sz w:val="24"/>
          <w:szCs w:val="24"/>
        </w:rPr>
        <w:t>mandals</w:t>
      </w:r>
      <w:proofErr w:type="spellEnd"/>
      <w:r>
        <w:rPr>
          <w:rFonts w:ascii="Times New Roman" w:hAnsi="Times New Roman" w:cs="Times New Roman"/>
          <w:sz w:val="24"/>
          <w:szCs w:val="24"/>
        </w:rPr>
        <w:t xml:space="preserve"> to capture the spatial variability of soil carbon dynamics and the details given below (Table 1). </w:t>
      </w:r>
    </w:p>
    <w:p w14:paraId="3EC516A1" w14:textId="5FD1F6A3" w:rsidR="00B01433" w:rsidRPr="00B01433" w:rsidRDefault="00846364" w:rsidP="00BC167D">
      <w:pPr>
        <w:spacing w:after="160" w:line="278" w:lineRule="auto"/>
        <w:rPr>
          <w:rFonts w:ascii="Times New Roman" w:hAnsi="Times New Roman" w:cs="Times New Roman"/>
          <w:b/>
          <w:bCs/>
          <w:sz w:val="24"/>
          <w:szCs w:val="24"/>
          <w:lang w:val="en-US"/>
        </w:rPr>
      </w:pPr>
      <w:r>
        <w:rPr>
          <w:rFonts w:ascii="Times New Roman" w:hAnsi="Times New Roman" w:cs="Times New Roman"/>
          <w:b/>
          <w:bCs/>
          <w:sz w:val="24"/>
          <w:szCs w:val="24"/>
        </w:rPr>
        <w:br w:type="page"/>
      </w:r>
      <w:r w:rsidR="00B01433">
        <w:rPr>
          <w:rFonts w:ascii="Times New Roman" w:hAnsi="Times New Roman" w:cs="Times New Roman"/>
          <w:b/>
          <w:bCs/>
          <w:sz w:val="24"/>
          <w:szCs w:val="24"/>
        </w:rPr>
        <w:lastRenderedPageBreak/>
        <w:t>Table. 1. Soil Organic Carbon Sequestration Potential and Sequestration Rate (t ha</w:t>
      </w:r>
      <w:r w:rsidR="00B01433">
        <w:rPr>
          <w:rFonts w:ascii="Times New Roman" w:hAnsi="Times New Roman" w:cs="Times New Roman"/>
          <w:b/>
          <w:bCs/>
          <w:sz w:val="24"/>
          <w:szCs w:val="24"/>
          <w:vertAlign w:val="superscript"/>
        </w:rPr>
        <w:t>-1</w:t>
      </w:r>
      <w:r w:rsidR="00B01433">
        <w:rPr>
          <w:rFonts w:ascii="Times New Roman" w:hAnsi="Times New Roman" w:cs="Times New Roman"/>
          <w:b/>
          <w:bCs/>
          <w:sz w:val="24"/>
          <w:szCs w:val="24"/>
        </w:rPr>
        <w:t xml:space="preserve"> year</w:t>
      </w:r>
      <w:r w:rsidR="00B01433">
        <w:rPr>
          <w:rFonts w:ascii="Times New Roman" w:hAnsi="Times New Roman" w:cs="Times New Roman"/>
          <w:b/>
          <w:bCs/>
          <w:sz w:val="24"/>
          <w:szCs w:val="24"/>
          <w:vertAlign w:val="superscript"/>
        </w:rPr>
        <w:t>-1</w:t>
      </w:r>
      <w:r w:rsidR="00B01433">
        <w:rPr>
          <w:rFonts w:ascii="Times New Roman" w:hAnsi="Times New Roman" w:cs="Times New Roman"/>
          <w:b/>
          <w:bCs/>
          <w:sz w:val="24"/>
          <w:szCs w:val="24"/>
        </w:rPr>
        <w:t>) in different areas of Adilabad district</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199"/>
        <w:gridCol w:w="1767"/>
        <w:gridCol w:w="3966"/>
      </w:tblGrid>
      <w:tr w:rsidR="003F2B16" w:rsidRPr="00B01433" w14:paraId="4724740F" w14:textId="77777777" w:rsidTr="00686661">
        <w:trPr>
          <w:trHeight w:val="412"/>
        </w:trPr>
        <w:tc>
          <w:tcPr>
            <w:tcW w:w="955" w:type="dxa"/>
            <w:noWrap/>
            <w:vAlign w:val="center"/>
            <w:hideMark/>
          </w:tcPr>
          <w:p w14:paraId="2A01EA8B"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2199" w:type="dxa"/>
            <w:noWrap/>
            <w:vAlign w:val="center"/>
            <w:hideMark/>
          </w:tcPr>
          <w:p w14:paraId="268F97FC"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Village</w:t>
            </w:r>
          </w:p>
        </w:tc>
        <w:tc>
          <w:tcPr>
            <w:tcW w:w="1766" w:type="dxa"/>
            <w:vAlign w:val="center"/>
          </w:tcPr>
          <w:p w14:paraId="6DC66EF1" w14:textId="77777777"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Mandal</w:t>
            </w:r>
          </w:p>
        </w:tc>
        <w:tc>
          <w:tcPr>
            <w:tcW w:w="3966" w:type="dxa"/>
            <w:vAlign w:val="center"/>
            <w:hideMark/>
          </w:tcPr>
          <w:p w14:paraId="07BF0B62" w14:textId="1A02CCBD"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3F2B16" w:rsidRPr="00B01433" w14:paraId="77A20F72" w14:textId="77777777" w:rsidTr="00686661">
        <w:trPr>
          <w:trHeight w:val="249"/>
        </w:trPr>
        <w:tc>
          <w:tcPr>
            <w:tcW w:w="955" w:type="dxa"/>
            <w:noWrap/>
            <w:vAlign w:val="center"/>
            <w:hideMark/>
          </w:tcPr>
          <w:p w14:paraId="5C854BE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w:t>
            </w:r>
          </w:p>
        </w:tc>
        <w:tc>
          <w:tcPr>
            <w:tcW w:w="2199" w:type="dxa"/>
            <w:noWrap/>
            <w:vAlign w:val="bottom"/>
            <w:hideMark/>
          </w:tcPr>
          <w:p w14:paraId="00BD985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Devapur</w:t>
            </w:r>
            <w:proofErr w:type="spellEnd"/>
          </w:p>
        </w:tc>
        <w:tc>
          <w:tcPr>
            <w:tcW w:w="1766" w:type="dxa"/>
          </w:tcPr>
          <w:p w14:paraId="0489F6A9"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Talamadugu</w:t>
            </w:r>
            <w:proofErr w:type="spellEnd"/>
          </w:p>
        </w:tc>
        <w:tc>
          <w:tcPr>
            <w:tcW w:w="3966" w:type="dxa"/>
            <w:noWrap/>
            <w:vAlign w:val="center"/>
            <w:hideMark/>
          </w:tcPr>
          <w:p w14:paraId="0F88369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0.109</w:t>
            </w:r>
          </w:p>
        </w:tc>
      </w:tr>
      <w:tr w:rsidR="003F2B16" w:rsidRPr="00B01433" w14:paraId="1D9B9D97" w14:textId="77777777" w:rsidTr="00686661">
        <w:trPr>
          <w:trHeight w:val="249"/>
        </w:trPr>
        <w:tc>
          <w:tcPr>
            <w:tcW w:w="955" w:type="dxa"/>
            <w:noWrap/>
            <w:vAlign w:val="center"/>
            <w:hideMark/>
          </w:tcPr>
          <w:p w14:paraId="1F37802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w:t>
            </w:r>
          </w:p>
        </w:tc>
        <w:tc>
          <w:tcPr>
            <w:tcW w:w="2199" w:type="dxa"/>
            <w:noWrap/>
            <w:vAlign w:val="bottom"/>
            <w:hideMark/>
          </w:tcPr>
          <w:p w14:paraId="2F3C15D6"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Talamadugu</w:t>
            </w:r>
            <w:proofErr w:type="spellEnd"/>
          </w:p>
        </w:tc>
        <w:tc>
          <w:tcPr>
            <w:tcW w:w="1766" w:type="dxa"/>
          </w:tcPr>
          <w:p w14:paraId="2F1E790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Talamadugu</w:t>
            </w:r>
            <w:proofErr w:type="spellEnd"/>
          </w:p>
        </w:tc>
        <w:tc>
          <w:tcPr>
            <w:tcW w:w="3966" w:type="dxa"/>
            <w:noWrap/>
            <w:vAlign w:val="center"/>
            <w:hideMark/>
          </w:tcPr>
          <w:p w14:paraId="40FBF966"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0.151</w:t>
            </w:r>
          </w:p>
        </w:tc>
      </w:tr>
      <w:tr w:rsidR="003F2B16" w:rsidRPr="00B01433" w14:paraId="5D23B371" w14:textId="77777777" w:rsidTr="00686661">
        <w:trPr>
          <w:trHeight w:val="249"/>
        </w:trPr>
        <w:tc>
          <w:tcPr>
            <w:tcW w:w="955" w:type="dxa"/>
            <w:noWrap/>
            <w:vAlign w:val="center"/>
            <w:hideMark/>
          </w:tcPr>
          <w:p w14:paraId="75F97408"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3</w:t>
            </w:r>
          </w:p>
        </w:tc>
        <w:tc>
          <w:tcPr>
            <w:tcW w:w="2199" w:type="dxa"/>
            <w:noWrap/>
            <w:vAlign w:val="bottom"/>
            <w:hideMark/>
          </w:tcPr>
          <w:p w14:paraId="7DE5505D"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Kuchulapur</w:t>
            </w:r>
            <w:proofErr w:type="spellEnd"/>
          </w:p>
        </w:tc>
        <w:tc>
          <w:tcPr>
            <w:tcW w:w="1766" w:type="dxa"/>
          </w:tcPr>
          <w:p w14:paraId="6148EA8E"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Talamadugu</w:t>
            </w:r>
            <w:proofErr w:type="spellEnd"/>
          </w:p>
        </w:tc>
        <w:tc>
          <w:tcPr>
            <w:tcW w:w="3966" w:type="dxa"/>
            <w:noWrap/>
            <w:vAlign w:val="center"/>
            <w:hideMark/>
          </w:tcPr>
          <w:p w14:paraId="593EE6A8"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0.155</w:t>
            </w:r>
          </w:p>
        </w:tc>
      </w:tr>
      <w:tr w:rsidR="003F2B16" w:rsidRPr="00B01433" w14:paraId="622F0131" w14:textId="77777777" w:rsidTr="00686661">
        <w:trPr>
          <w:trHeight w:val="249"/>
        </w:trPr>
        <w:tc>
          <w:tcPr>
            <w:tcW w:w="955" w:type="dxa"/>
            <w:noWrap/>
            <w:vAlign w:val="center"/>
            <w:hideMark/>
          </w:tcPr>
          <w:p w14:paraId="3DA7CBEB"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4</w:t>
            </w:r>
          </w:p>
        </w:tc>
        <w:tc>
          <w:tcPr>
            <w:tcW w:w="2199" w:type="dxa"/>
            <w:noWrap/>
            <w:vAlign w:val="bottom"/>
            <w:hideMark/>
          </w:tcPr>
          <w:p w14:paraId="6946D65A"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Ponnari</w:t>
            </w:r>
            <w:proofErr w:type="spellEnd"/>
          </w:p>
        </w:tc>
        <w:tc>
          <w:tcPr>
            <w:tcW w:w="1766" w:type="dxa"/>
          </w:tcPr>
          <w:p w14:paraId="5D9A2EAF"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Tamsi</w:t>
            </w:r>
            <w:proofErr w:type="spellEnd"/>
          </w:p>
        </w:tc>
        <w:tc>
          <w:tcPr>
            <w:tcW w:w="3966" w:type="dxa"/>
            <w:noWrap/>
            <w:vAlign w:val="center"/>
            <w:hideMark/>
          </w:tcPr>
          <w:p w14:paraId="6A2D2D48"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0.160</w:t>
            </w:r>
          </w:p>
        </w:tc>
      </w:tr>
      <w:tr w:rsidR="003F2B16" w:rsidRPr="00B01433" w14:paraId="00FDF5CD" w14:textId="77777777" w:rsidTr="00686661">
        <w:trPr>
          <w:trHeight w:val="249"/>
        </w:trPr>
        <w:tc>
          <w:tcPr>
            <w:tcW w:w="955" w:type="dxa"/>
            <w:noWrap/>
            <w:vAlign w:val="center"/>
            <w:hideMark/>
          </w:tcPr>
          <w:p w14:paraId="404D8D1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5</w:t>
            </w:r>
          </w:p>
        </w:tc>
        <w:tc>
          <w:tcPr>
            <w:tcW w:w="2199" w:type="dxa"/>
            <w:noWrap/>
            <w:vAlign w:val="bottom"/>
            <w:hideMark/>
          </w:tcPr>
          <w:p w14:paraId="7A299DF6"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Rajgada</w:t>
            </w:r>
            <w:proofErr w:type="spellEnd"/>
          </w:p>
        </w:tc>
        <w:tc>
          <w:tcPr>
            <w:tcW w:w="1766" w:type="dxa"/>
          </w:tcPr>
          <w:p w14:paraId="299DEFF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Bheempur</w:t>
            </w:r>
            <w:proofErr w:type="spellEnd"/>
          </w:p>
        </w:tc>
        <w:tc>
          <w:tcPr>
            <w:tcW w:w="3966" w:type="dxa"/>
            <w:noWrap/>
            <w:vAlign w:val="center"/>
            <w:hideMark/>
          </w:tcPr>
          <w:p w14:paraId="4F5813D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0.122</w:t>
            </w:r>
          </w:p>
        </w:tc>
      </w:tr>
      <w:tr w:rsidR="003F2B16" w:rsidRPr="00B01433" w14:paraId="0C9CBD77" w14:textId="77777777" w:rsidTr="00686661">
        <w:trPr>
          <w:trHeight w:val="249"/>
        </w:trPr>
        <w:tc>
          <w:tcPr>
            <w:tcW w:w="955" w:type="dxa"/>
            <w:noWrap/>
            <w:vAlign w:val="center"/>
            <w:hideMark/>
          </w:tcPr>
          <w:p w14:paraId="29CB7305"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6</w:t>
            </w:r>
          </w:p>
        </w:tc>
        <w:tc>
          <w:tcPr>
            <w:tcW w:w="2199" w:type="dxa"/>
            <w:noWrap/>
            <w:vAlign w:val="bottom"/>
            <w:hideMark/>
          </w:tcPr>
          <w:p w14:paraId="7D084D79"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Jainath</w:t>
            </w:r>
            <w:proofErr w:type="spellEnd"/>
          </w:p>
        </w:tc>
        <w:tc>
          <w:tcPr>
            <w:tcW w:w="1766" w:type="dxa"/>
          </w:tcPr>
          <w:p w14:paraId="42910B5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Jainath</w:t>
            </w:r>
            <w:proofErr w:type="spellEnd"/>
          </w:p>
        </w:tc>
        <w:tc>
          <w:tcPr>
            <w:tcW w:w="3966" w:type="dxa"/>
            <w:noWrap/>
            <w:vAlign w:val="center"/>
            <w:hideMark/>
          </w:tcPr>
          <w:p w14:paraId="303C1920"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0.157</w:t>
            </w:r>
          </w:p>
        </w:tc>
      </w:tr>
      <w:tr w:rsidR="003F2B16" w:rsidRPr="00B01433" w14:paraId="30FF4440" w14:textId="77777777" w:rsidTr="00686661">
        <w:trPr>
          <w:trHeight w:val="249"/>
        </w:trPr>
        <w:tc>
          <w:tcPr>
            <w:tcW w:w="955" w:type="dxa"/>
            <w:noWrap/>
            <w:vAlign w:val="center"/>
            <w:hideMark/>
          </w:tcPr>
          <w:p w14:paraId="741D33BA"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7</w:t>
            </w:r>
          </w:p>
        </w:tc>
        <w:tc>
          <w:tcPr>
            <w:tcW w:w="2199" w:type="dxa"/>
            <w:noWrap/>
            <w:vAlign w:val="bottom"/>
            <w:hideMark/>
          </w:tcPr>
          <w:p w14:paraId="1F565AF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Sirsanna</w:t>
            </w:r>
            <w:proofErr w:type="spellEnd"/>
          </w:p>
        </w:tc>
        <w:tc>
          <w:tcPr>
            <w:tcW w:w="1766" w:type="dxa"/>
          </w:tcPr>
          <w:p w14:paraId="4EEB601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3966" w:type="dxa"/>
            <w:noWrap/>
            <w:vAlign w:val="center"/>
            <w:hideMark/>
          </w:tcPr>
          <w:p w14:paraId="5586D752"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0.157</w:t>
            </w:r>
          </w:p>
        </w:tc>
      </w:tr>
      <w:tr w:rsidR="003F2B16" w:rsidRPr="00B01433" w14:paraId="2AA2AB72" w14:textId="77777777" w:rsidTr="00686661">
        <w:trPr>
          <w:trHeight w:val="249"/>
        </w:trPr>
        <w:tc>
          <w:tcPr>
            <w:tcW w:w="955" w:type="dxa"/>
            <w:noWrap/>
            <w:vAlign w:val="center"/>
            <w:hideMark/>
          </w:tcPr>
          <w:p w14:paraId="4BEA0E7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8</w:t>
            </w:r>
          </w:p>
        </w:tc>
        <w:tc>
          <w:tcPr>
            <w:tcW w:w="2199" w:type="dxa"/>
            <w:noWrap/>
            <w:vAlign w:val="bottom"/>
            <w:hideMark/>
          </w:tcPr>
          <w:p w14:paraId="6D399C15"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Pardi</w:t>
            </w:r>
            <w:proofErr w:type="spellEnd"/>
            <w:r>
              <w:rPr>
                <w:rFonts w:ascii="Times New Roman" w:hAnsi="Times New Roman" w:cs="Times New Roman"/>
                <w:sz w:val="24"/>
                <w:szCs w:val="24"/>
              </w:rPr>
              <w:t xml:space="preserve"> K</w:t>
            </w:r>
          </w:p>
        </w:tc>
        <w:tc>
          <w:tcPr>
            <w:tcW w:w="1766" w:type="dxa"/>
          </w:tcPr>
          <w:p w14:paraId="5625BBF3"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Jainath</w:t>
            </w:r>
            <w:proofErr w:type="spellEnd"/>
          </w:p>
        </w:tc>
        <w:tc>
          <w:tcPr>
            <w:tcW w:w="3966" w:type="dxa"/>
            <w:noWrap/>
            <w:vAlign w:val="center"/>
            <w:hideMark/>
          </w:tcPr>
          <w:p w14:paraId="540DA5E9"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0.118</w:t>
            </w:r>
          </w:p>
        </w:tc>
      </w:tr>
      <w:tr w:rsidR="003F2B16" w:rsidRPr="00B01433" w14:paraId="7AD8E96A" w14:textId="77777777" w:rsidTr="00686661">
        <w:trPr>
          <w:trHeight w:val="249"/>
        </w:trPr>
        <w:tc>
          <w:tcPr>
            <w:tcW w:w="955" w:type="dxa"/>
            <w:noWrap/>
            <w:vAlign w:val="center"/>
            <w:hideMark/>
          </w:tcPr>
          <w:p w14:paraId="3D980483"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9</w:t>
            </w:r>
          </w:p>
        </w:tc>
        <w:tc>
          <w:tcPr>
            <w:tcW w:w="2199" w:type="dxa"/>
            <w:noWrap/>
            <w:vAlign w:val="bottom"/>
            <w:hideMark/>
          </w:tcPr>
          <w:p w14:paraId="0BF1F61A"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Burnur</w:t>
            </w:r>
            <w:proofErr w:type="spellEnd"/>
          </w:p>
        </w:tc>
        <w:tc>
          <w:tcPr>
            <w:tcW w:w="1766" w:type="dxa"/>
          </w:tcPr>
          <w:p w14:paraId="5C7AF51F"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Jainath</w:t>
            </w:r>
            <w:proofErr w:type="spellEnd"/>
          </w:p>
        </w:tc>
        <w:tc>
          <w:tcPr>
            <w:tcW w:w="3966" w:type="dxa"/>
            <w:noWrap/>
            <w:vAlign w:val="center"/>
            <w:hideMark/>
          </w:tcPr>
          <w:p w14:paraId="3A26BAC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0.109</w:t>
            </w:r>
          </w:p>
        </w:tc>
      </w:tr>
      <w:tr w:rsidR="003F2B16" w:rsidRPr="00B01433" w14:paraId="53B4AA99" w14:textId="77777777" w:rsidTr="00686661">
        <w:trPr>
          <w:trHeight w:val="249"/>
        </w:trPr>
        <w:tc>
          <w:tcPr>
            <w:tcW w:w="955" w:type="dxa"/>
            <w:noWrap/>
            <w:vAlign w:val="center"/>
            <w:hideMark/>
          </w:tcPr>
          <w:p w14:paraId="6E7F886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10</w:t>
            </w:r>
          </w:p>
        </w:tc>
        <w:tc>
          <w:tcPr>
            <w:tcW w:w="2199" w:type="dxa"/>
            <w:noWrap/>
            <w:vAlign w:val="bottom"/>
            <w:hideMark/>
          </w:tcPr>
          <w:p w14:paraId="2DA001A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Pippaldhari</w:t>
            </w:r>
            <w:proofErr w:type="spellEnd"/>
          </w:p>
        </w:tc>
        <w:tc>
          <w:tcPr>
            <w:tcW w:w="1766" w:type="dxa"/>
          </w:tcPr>
          <w:p w14:paraId="6E6B31DC"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31BA50A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0.146</w:t>
            </w:r>
          </w:p>
        </w:tc>
      </w:tr>
      <w:tr w:rsidR="003F2B16" w:rsidRPr="00B01433" w14:paraId="54D1D4D5" w14:textId="77777777" w:rsidTr="00686661">
        <w:trPr>
          <w:trHeight w:val="249"/>
        </w:trPr>
        <w:tc>
          <w:tcPr>
            <w:tcW w:w="955" w:type="dxa"/>
            <w:noWrap/>
            <w:vAlign w:val="center"/>
            <w:hideMark/>
          </w:tcPr>
          <w:p w14:paraId="5501958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11</w:t>
            </w:r>
          </w:p>
        </w:tc>
        <w:tc>
          <w:tcPr>
            <w:tcW w:w="2199" w:type="dxa"/>
            <w:noWrap/>
            <w:vAlign w:val="bottom"/>
            <w:hideMark/>
          </w:tcPr>
          <w:p w14:paraId="38D370F5"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Indravelly</w:t>
            </w:r>
            <w:proofErr w:type="spellEnd"/>
          </w:p>
        </w:tc>
        <w:tc>
          <w:tcPr>
            <w:tcW w:w="1766" w:type="dxa"/>
          </w:tcPr>
          <w:p w14:paraId="22A130F6"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Indravelly</w:t>
            </w:r>
            <w:proofErr w:type="spellEnd"/>
          </w:p>
        </w:tc>
        <w:tc>
          <w:tcPr>
            <w:tcW w:w="3966" w:type="dxa"/>
            <w:noWrap/>
            <w:vAlign w:val="center"/>
            <w:hideMark/>
          </w:tcPr>
          <w:p w14:paraId="5A283DA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0.141</w:t>
            </w:r>
          </w:p>
        </w:tc>
      </w:tr>
      <w:tr w:rsidR="003F2B16" w:rsidRPr="00B01433" w14:paraId="269DE95C" w14:textId="77777777" w:rsidTr="00686661">
        <w:trPr>
          <w:trHeight w:val="249"/>
        </w:trPr>
        <w:tc>
          <w:tcPr>
            <w:tcW w:w="955" w:type="dxa"/>
            <w:noWrap/>
            <w:vAlign w:val="center"/>
            <w:hideMark/>
          </w:tcPr>
          <w:p w14:paraId="10DECCD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12</w:t>
            </w:r>
          </w:p>
        </w:tc>
        <w:tc>
          <w:tcPr>
            <w:tcW w:w="2199" w:type="dxa"/>
            <w:noWrap/>
            <w:vAlign w:val="bottom"/>
            <w:hideMark/>
          </w:tcPr>
          <w:p w14:paraId="4E6434CF"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Keslapur</w:t>
            </w:r>
            <w:proofErr w:type="spellEnd"/>
          </w:p>
        </w:tc>
        <w:tc>
          <w:tcPr>
            <w:tcW w:w="1766" w:type="dxa"/>
          </w:tcPr>
          <w:p w14:paraId="754ABC9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Utnoor</w:t>
            </w:r>
            <w:proofErr w:type="spellEnd"/>
          </w:p>
        </w:tc>
        <w:tc>
          <w:tcPr>
            <w:tcW w:w="3966" w:type="dxa"/>
            <w:noWrap/>
            <w:vAlign w:val="center"/>
            <w:hideMark/>
          </w:tcPr>
          <w:p w14:paraId="4A547F2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0.138</w:t>
            </w:r>
          </w:p>
        </w:tc>
      </w:tr>
      <w:tr w:rsidR="003F2B16" w:rsidRPr="00B01433" w14:paraId="2E84CFC0" w14:textId="77777777" w:rsidTr="00686661">
        <w:trPr>
          <w:trHeight w:val="249"/>
        </w:trPr>
        <w:tc>
          <w:tcPr>
            <w:tcW w:w="955" w:type="dxa"/>
            <w:noWrap/>
            <w:vAlign w:val="center"/>
            <w:hideMark/>
          </w:tcPr>
          <w:p w14:paraId="130E362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13</w:t>
            </w:r>
          </w:p>
        </w:tc>
        <w:tc>
          <w:tcPr>
            <w:tcW w:w="2199" w:type="dxa"/>
            <w:noWrap/>
            <w:vAlign w:val="bottom"/>
            <w:hideMark/>
          </w:tcPr>
          <w:p w14:paraId="233F635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Damanguda</w:t>
            </w:r>
            <w:proofErr w:type="spellEnd"/>
          </w:p>
        </w:tc>
        <w:tc>
          <w:tcPr>
            <w:tcW w:w="1766" w:type="dxa"/>
          </w:tcPr>
          <w:p w14:paraId="51D1A6F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Gudihathnoor</w:t>
            </w:r>
            <w:proofErr w:type="spellEnd"/>
          </w:p>
        </w:tc>
        <w:tc>
          <w:tcPr>
            <w:tcW w:w="3966" w:type="dxa"/>
            <w:noWrap/>
            <w:vAlign w:val="center"/>
            <w:hideMark/>
          </w:tcPr>
          <w:p w14:paraId="1BE4AB1A"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0.139</w:t>
            </w:r>
          </w:p>
        </w:tc>
      </w:tr>
      <w:tr w:rsidR="003F2B16" w:rsidRPr="00B01433" w14:paraId="0D9B6F6A" w14:textId="77777777" w:rsidTr="00686661">
        <w:trPr>
          <w:trHeight w:val="249"/>
        </w:trPr>
        <w:tc>
          <w:tcPr>
            <w:tcW w:w="955" w:type="dxa"/>
            <w:noWrap/>
            <w:vAlign w:val="center"/>
            <w:hideMark/>
          </w:tcPr>
          <w:p w14:paraId="3822C148"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14</w:t>
            </w:r>
          </w:p>
        </w:tc>
        <w:tc>
          <w:tcPr>
            <w:tcW w:w="2199" w:type="dxa"/>
            <w:noWrap/>
            <w:vAlign w:val="bottom"/>
            <w:hideMark/>
          </w:tcPr>
          <w:p w14:paraId="285DBA6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Borigama</w:t>
            </w:r>
            <w:proofErr w:type="spellEnd"/>
          </w:p>
        </w:tc>
        <w:tc>
          <w:tcPr>
            <w:tcW w:w="1766" w:type="dxa"/>
          </w:tcPr>
          <w:p w14:paraId="2EC4D3B1"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Ichoda</w:t>
            </w:r>
            <w:proofErr w:type="spellEnd"/>
          </w:p>
        </w:tc>
        <w:tc>
          <w:tcPr>
            <w:tcW w:w="3966" w:type="dxa"/>
            <w:noWrap/>
            <w:vAlign w:val="center"/>
            <w:hideMark/>
          </w:tcPr>
          <w:p w14:paraId="42BAA6BD"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0.149</w:t>
            </w:r>
          </w:p>
        </w:tc>
      </w:tr>
      <w:tr w:rsidR="003F2B16" w:rsidRPr="00B01433" w14:paraId="500AE7E3" w14:textId="77777777" w:rsidTr="00686661">
        <w:trPr>
          <w:trHeight w:val="249"/>
        </w:trPr>
        <w:tc>
          <w:tcPr>
            <w:tcW w:w="955" w:type="dxa"/>
            <w:noWrap/>
            <w:vAlign w:val="center"/>
            <w:hideMark/>
          </w:tcPr>
          <w:p w14:paraId="1F0DE550"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15</w:t>
            </w:r>
          </w:p>
        </w:tc>
        <w:tc>
          <w:tcPr>
            <w:tcW w:w="2199" w:type="dxa"/>
            <w:noWrap/>
            <w:vAlign w:val="bottom"/>
            <w:hideMark/>
          </w:tcPr>
          <w:p w14:paraId="7323038E"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Raiguda</w:t>
            </w:r>
            <w:proofErr w:type="spellEnd"/>
          </w:p>
        </w:tc>
        <w:tc>
          <w:tcPr>
            <w:tcW w:w="1766" w:type="dxa"/>
          </w:tcPr>
          <w:p w14:paraId="214C4218"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Ichoda</w:t>
            </w:r>
            <w:proofErr w:type="spellEnd"/>
          </w:p>
        </w:tc>
        <w:tc>
          <w:tcPr>
            <w:tcW w:w="3966" w:type="dxa"/>
            <w:noWrap/>
            <w:vAlign w:val="center"/>
            <w:hideMark/>
          </w:tcPr>
          <w:p w14:paraId="0C23AF5B"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0.143</w:t>
            </w:r>
          </w:p>
        </w:tc>
      </w:tr>
      <w:tr w:rsidR="003F2B16" w:rsidRPr="00B01433" w14:paraId="4707A33A" w14:textId="77777777" w:rsidTr="00686661">
        <w:trPr>
          <w:trHeight w:val="249"/>
        </w:trPr>
        <w:tc>
          <w:tcPr>
            <w:tcW w:w="955" w:type="dxa"/>
            <w:noWrap/>
            <w:vAlign w:val="center"/>
            <w:hideMark/>
          </w:tcPr>
          <w:p w14:paraId="4D6EC149"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16</w:t>
            </w:r>
          </w:p>
        </w:tc>
        <w:tc>
          <w:tcPr>
            <w:tcW w:w="2199" w:type="dxa"/>
            <w:noWrap/>
            <w:vAlign w:val="bottom"/>
            <w:hideMark/>
          </w:tcPr>
          <w:p w14:paraId="2CF9F4D9"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Kokasmannur</w:t>
            </w:r>
            <w:proofErr w:type="spellEnd"/>
          </w:p>
        </w:tc>
        <w:tc>
          <w:tcPr>
            <w:tcW w:w="1766" w:type="dxa"/>
          </w:tcPr>
          <w:p w14:paraId="0C32EED2"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Ichoda</w:t>
            </w:r>
            <w:proofErr w:type="spellEnd"/>
          </w:p>
        </w:tc>
        <w:tc>
          <w:tcPr>
            <w:tcW w:w="3966" w:type="dxa"/>
            <w:noWrap/>
            <w:vAlign w:val="center"/>
            <w:hideMark/>
          </w:tcPr>
          <w:p w14:paraId="464B04E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0.167</w:t>
            </w:r>
          </w:p>
        </w:tc>
      </w:tr>
      <w:tr w:rsidR="003F2B16" w:rsidRPr="00B01433" w14:paraId="387A18AD" w14:textId="77777777" w:rsidTr="00686661">
        <w:trPr>
          <w:trHeight w:val="249"/>
        </w:trPr>
        <w:tc>
          <w:tcPr>
            <w:tcW w:w="955" w:type="dxa"/>
            <w:noWrap/>
            <w:vAlign w:val="center"/>
            <w:hideMark/>
          </w:tcPr>
          <w:p w14:paraId="0B0DC05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17</w:t>
            </w:r>
          </w:p>
        </w:tc>
        <w:tc>
          <w:tcPr>
            <w:tcW w:w="2199" w:type="dxa"/>
            <w:noWrap/>
            <w:vAlign w:val="bottom"/>
            <w:hideMark/>
          </w:tcPr>
          <w:p w14:paraId="29987C09"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Wadoor</w:t>
            </w:r>
            <w:proofErr w:type="spellEnd"/>
          </w:p>
        </w:tc>
        <w:tc>
          <w:tcPr>
            <w:tcW w:w="1766" w:type="dxa"/>
          </w:tcPr>
          <w:p w14:paraId="59DB221C"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Neradigonda</w:t>
            </w:r>
            <w:proofErr w:type="spellEnd"/>
          </w:p>
        </w:tc>
        <w:tc>
          <w:tcPr>
            <w:tcW w:w="3966" w:type="dxa"/>
            <w:noWrap/>
            <w:vAlign w:val="center"/>
            <w:hideMark/>
          </w:tcPr>
          <w:p w14:paraId="2E02B22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0.136</w:t>
            </w:r>
          </w:p>
        </w:tc>
      </w:tr>
      <w:tr w:rsidR="003F2B16" w:rsidRPr="00B01433" w14:paraId="4D92A95D" w14:textId="77777777" w:rsidTr="00686661">
        <w:trPr>
          <w:trHeight w:val="249"/>
        </w:trPr>
        <w:tc>
          <w:tcPr>
            <w:tcW w:w="955" w:type="dxa"/>
            <w:noWrap/>
            <w:vAlign w:val="center"/>
            <w:hideMark/>
          </w:tcPr>
          <w:p w14:paraId="3F1184C2"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18</w:t>
            </w:r>
          </w:p>
        </w:tc>
        <w:tc>
          <w:tcPr>
            <w:tcW w:w="2199" w:type="dxa"/>
            <w:noWrap/>
            <w:vAlign w:val="bottom"/>
            <w:hideMark/>
          </w:tcPr>
          <w:p w14:paraId="1E1ECD23"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Boath</w:t>
            </w:r>
            <w:proofErr w:type="spellEnd"/>
          </w:p>
        </w:tc>
        <w:tc>
          <w:tcPr>
            <w:tcW w:w="1766" w:type="dxa"/>
          </w:tcPr>
          <w:p w14:paraId="1EB07635"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Boath</w:t>
            </w:r>
            <w:proofErr w:type="spellEnd"/>
          </w:p>
        </w:tc>
        <w:tc>
          <w:tcPr>
            <w:tcW w:w="3966" w:type="dxa"/>
            <w:noWrap/>
            <w:vAlign w:val="center"/>
            <w:hideMark/>
          </w:tcPr>
          <w:p w14:paraId="6E79B14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0.140</w:t>
            </w:r>
          </w:p>
        </w:tc>
      </w:tr>
      <w:tr w:rsidR="003F2B16" w:rsidRPr="00B01433" w14:paraId="325F7065" w14:textId="77777777" w:rsidTr="00686661">
        <w:trPr>
          <w:trHeight w:val="249"/>
        </w:trPr>
        <w:tc>
          <w:tcPr>
            <w:tcW w:w="955" w:type="dxa"/>
            <w:noWrap/>
            <w:vAlign w:val="center"/>
            <w:hideMark/>
          </w:tcPr>
          <w:p w14:paraId="0E78340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19</w:t>
            </w:r>
          </w:p>
        </w:tc>
        <w:tc>
          <w:tcPr>
            <w:tcW w:w="2199" w:type="dxa"/>
            <w:noWrap/>
            <w:vAlign w:val="bottom"/>
            <w:hideMark/>
          </w:tcPr>
          <w:p w14:paraId="3470787D"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Neradigonda</w:t>
            </w:r>
            <w:proofErr w:type="spellEnd"/>
          </w:p>
        </w:tc>
        <w:tc>
          <w:tcPr>
            <w:tcW w:w="1766" w:type="dxa"/>
          </w:tcPr>
          <w:p w14:paraId="59CB10A0"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Neradigonda</w:t>
            </w:r>
            <w:proofErr w:type="spellEnd"/>
          </w:p>
        </w:tc>
        <w:tc>
          <w:tcPr>
            <w:tcW w:w="3966" w:type="dxa"/>
            <w:noWrap/>
            <w:vAlign w:val="center"/>
            <w:hideMark/>
          </w:tcPr>
          <w:p w14:paraId="4C7151E4"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0.146</w:t>
            </w:r>
          </w:p>
        </w:tc>
      </w:tr>
      <w:tr w:rsidR="003F2B16" w:rsidRPr="00B01433" w14:paraId="48F64F52" w14:textId="77777777" w:rsidTr="00686661">
        <w:trPr>
          <w:trHeight w:val="249"/>
        </w:trPr>
        <w:tc>
          <w:tcPr>
            <w:tcW w:w="955" w:type="dxa"/>
            <w:noWrap/>
            <w:vAlign w:val="center"/>
            <w:hideMark/>
          </w:tcPr>
          <w:p w14:paraId="1267A0F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20</w:t>
            </w:r>
          </w:p>
        </w:tc>
        <w:tc>
          <w:tcPr>
            <w:tcW w:w="2199" w:type="dxa"/>
            <w:noWrap/>
            <w:vAlign w:val="bottom"/>
            <w:hideMark/>
          </w:tcPr>
          <w:p w14:paraId="2C9802FF"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Sonala</w:t>
            </w:r>
            <w:proofErr w:type="spellEnd"/>
          </w:p>
        </w:tc>
        <w:tc>
          <w:tcPr>
            <w:tcW w:w="1766" w:type="dxa"/>
          </w:tcPr>
          <w:p w14:paraId="5EB7B87E"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Boath</w:t>
            </w:r>
            <w:proofErr w:type="spellEnd"/>
          </w:p>
        </w:tc>
        <w:tc>
          <w:tcPr>
            <w:tcW w:w="3966" w:type="dxa"/>
            <w:noWrap/>
            <w:vAlign w:val="center"/>
            <w:hideMark/>
          </w:tcPr>
          <w:p w14:paraId="75A152E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0.170</w:t>
            </w:r>
          </w:p>
        </w:tc>
      </w:tr>
      <w:tr w:rsidR="003F2B16" w:rsidRPr="00B01433" w14:paraId="28C2F026" w14:textId="77777777" w:rsidTr="00686661">
        <w:trPr>
          <w:trHeight w:val="249"/>
        </w:trPr>
        <w:tc>
          <w:tcPr>
            <w:tcW w:w="955" w:type="dxa"/>
            <w:noWrap/>
            <w:vAlign w:val="center"/>
            <w:hideMark/>
          </w:tcPr>
          <w:p w14:paraId="2C4DC9BE"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21</w:t>
            </w:r>
          </w:p>
        </w:tc>
        <w:tc>
          <w:tcPr>
            <w:tcW w:w="2199" w:type="dxa"/>
            <w:noWrap/>
            <w:vAlign w:val="bottom"/>
            <w:hideMark/>
          </w:tcPr>
          <w:p w14:paraId="3F414668"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Sirikonda</w:t>
            </w:r>
            <w:proofErr w:type="spellEnd"/>
          </w:p>
        </w:tc>
        <w:tc>
          <w:tcPr>
            <w:tcW w:w="1766" w:type="dxa"/>
          </w:tcPr>
          <w:p w14:paraId="4636C91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Sirikonda</w:t>
            </w:r>
            <w:proofErr w:type="spellEnd"/>
          </w:p>
        </w:tc>
        <w:tc>
          <w:tcPr>
            <w:tcW w:w="3966" w:type="dxa"/>
            <w:noWrap/>
            <w:vAlign w:val="center"/>
            <w:hideMark/>
          </w:tcPr>
          <w:p w14:paraId="65CA9BA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0.137</w:t>
            </w:r>
          </w:p>
        </w:tc>
      </w:tr>
      <w:tr w:rsidR="003F2B16" w:rsidRPr="00B01433" w14:paraId="4D531920" w14:textId="77777777" w:rsidTr="00686661">
        <w:trPr>
          <w:trHeight w:val="249"/>
        </w:trPr>
        <w:tc>
          <w:tcPr>
            <w:tcW w:w="955" w:type="dxa"/>
            <w:noWrap/>
            <w:vAlign w:val="center"/>
            <w:hideMark/>
          </w:tcPr>
          <w:p w14:paraId="5983B36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22</w:t>
            </w:r>
          </w:p>
        </w:tc>
        <w:tc>
          <w:tcPr>
            <w:tcW w:w="2199" w:type="dxa"/>
            <w:noWrap/>
            <w:vAlign w:val="bottom"/>
            <w:hideMark/>
          </w:tcPr>
          <w:p w14:paraId="2C8648D7"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1766" w:type="dxa"/>
          </w:tcPr>
          <w:p w14:paraId="36A53274"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Bela</w:t>
            </w:r>
          </w:p>
        </w:tc>
        <w:tc>
          <w:tcPr>
            <w:tcW w:w="3966" w:type="dxa"/>
            <w:noWrap/>
            <w:vAlign w:val="center"/>
            <w:hideMark/>
          </w:tcPr>
          <w:p w14:paraId="1B6358D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0.156</w:t>
            </w:r>
          </w:p>
        </w:tc>
      </w:tr>
      <w:tr w:rsidR="003F2B16" w:rsidRPr="00B01433" w14:paraId="45523074" w14:textId="77777777" w:rsidTr="00686661">
        <w:trPr>
          <w:trHeight w:val="249"/>
        </w:trPr>
        <w:tc>
          <w:tcPr>
            <w:tcW w:w="955" w:type="dxa"/>
            <w:noWrap/>
            <w:vAlign w:val="center"/>
            <w:hideMark/>
          </w:tcPr>
          <w:p w14:paraId="07F7BA3E"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23</w:t>
            </w:r>
          </w:p>
        </w:tc>
        <w:tc>
          <w:tcPr>
            <w:tcW w:w="2199" w:type="dxa"/>
            <w:noWrap/>
            <w:vAlign w:val="bottom"/>
            <w:hideMark/>
          </w:tcPr>
          <w:p w14:paraId="45B0994A"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Tantoli</w:t>
            </w:r>
            <w:proofErr w:type="spellEnd"/>
            <w:r>
              <w:rPr>
                <w:rFonts w:ascii="Times New Roman" w:hAnsi="Times New Roman" w:cs="Times New Roman"/>
                <w:sz w:val="24"/>
                <w:szCs w:val="24"/>
              </w:rPr>
              <w:t xml:space="preserve"> Beside</w:t>
            </w:r>
          </w:p>
        </w:tc>
        <w:tc>
          <w:tcPr>
            <w:tcW w:w="1766" w:type="dxa"/>
          </w:tcPr>
          <w:p w14:paraId="22F591A3"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6C16E4BE"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0.107</w:t>
            </w:r>
          </w:p>
        </w:tc>
      </w:tr>
      <w:tr w:rsidR="003F2B16" w:rsidRPr="00B01433" w14:paraId="569C5AE9" w14:textId="77777777" w:rsidTr="00686661">
        <w:trPr>
          <w:trHeight w:val="69"/>
        </w:trPr>
        <w:tc>
          <w:tcPr>
            <w:tcW w:w="955" w:type="dxa"/>
            <w:noWrap/>
            <w:vAlign w:val="center"/>
            <w:hideMark/>
          </w:tcPr>
          <w:p w14:paraId="7D19AD7A"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24</w:t>
            </w:r>
          </w:p>
        </w:tc>
        <w:tc>
          <w:tcPr>
            <w:tcW w:w="2199" w:type="dxa"/>
            <w:noWrap/>
            <w:vAlign w:val="bottom"/>
            <w:hideMark/>
          </w:tcPr>
          <w:p w14:paraId="5D210B44"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Ramachandrapurm</w:t>
            </w:r>
            <w:proofErr w:type="spellEnd"/>
          </w:p>
        </w:tc>
        <w:tc>
          <w:tcPr>
            <w:tcW w:w="1766" w:type="dxa"/>
          </w:tcPr>
          <w:p w14:paraId="57BA29E9" w14:textId="77777777" w:rsidR="003F2B16" w:rsidRPr="00B01433" w:rsidRDefault="003F2B16" w:rsidP="00B01433">
            <w:pPr>
              <w:jc w:val="both"/>
              <w:rPr>
                <w:rFonts w:ascii="Times New Roman" w:hAnsi="Times New Roman" w:cs="Times New Roman"/>
                <w:sz w:val="24"/>
                <w:szCs w:val="24"/>
              </w:rPr>
            </w:pPr>
            <w:r>
              <w:rPr>
                <w:rFonts w:ascii="Times New Roman" w:hAnsi="Times New Roman" w:cs="Times New Roman"/>
                <w:sz w:val="24"/>
                <w:szCs w:val="24"/>
              </w:rPr>
              <w:t>Adilabad R</w:t>
            </w:r>
          </w:p>
        </w:tc>
        <w:tc>
          <w:tcPr>
            <w:tcW w:w="3966" w:type="dxa"/>
            <w:noWrap/>
            <w:vAlign w:val="center"/>
            <w:hideMark/>
          </w:tcPr>
          <w:p w14:paraId="7C795AC6"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0.022</w:t>
            </w:r>
          </w:p>
        </w:tc>
      </w:tr>
      <w:tr w:rsidR="003F2B16" w:rsidRPr="00B01433" w14:paraId="00C192EE" w14:textId="77777777" w:rsidTr="00686661">
        <w:trPr>
          <w:trHeight w:val="249"/>
        </w:trPr>
        <w:tc>
          <w:tcPr>
            <w:tcW w:w="955" w:type="dxa"/>
            <w:noWrap/>
          </w:tcPr>
          <w:p w14:paraId="47587596"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25</w:t>
            </w:r>
          </w:p>
        </w:tc>
        <w:tc>
          <w:tcPr>
            <w:tcW w:w="2199" w:type="dxa"/>
            <w:noWrap/>
          </w:tcPr>
          <w:p w14:paraId="27A3C646"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Jamidi</w:t>
            </w:r>
            <w:proofErr w:type="spellEnd"/>
          </w:p>
        </w:tc>
        <w:tc>
          <w:tcPr>
            <w:tcW w:w="1766" w:type="dxa"/>
          </w:tcPr>
          <w:p w14:paraId="50FA298B"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Ichoda</w:t>
            </w:r>
            <w:proofErr w:type="spellEnd"/>
          </w:p>
        </w:tc>
        <w:tc>
          <w:tcPr>
            <w:tcW w:w="3966" w:type="dxa"/>
            <w:noWrap/>
          </w:tcPr>
          <w:p w14:paraId="552ED581"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0.132</w:t>
            </w:r>
          </w:p>
        </w:tc>
      </w:tr>
      <w:tr w:rsidR="003F2B16" w:rsidRPr="00B01433" w14:paraId="02BEBA18" w14:textId="77777777" w:rsidTr="00686661">
        <w:trPr>
          <w:trHeight w:val="249"/>
        </w:trPr>
        <w:tc>
          <w:tcPr>
            <w:tcW w:w="955" w:type="dxa"/>
            <w:noWrap/>
          </w:tcPr>
          <w:p w14:paraId="1D2E5881"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26</w:t>
            </w:r>
          </w:p>
        </w:tc>
        <w:tc>
          <w:tcPr>
            <w:tcW w:w="2199" w:type="dxa"/>
            <w:noWrap/>
          </w:tcPr>
          <w:p w14:paraId="16060E81"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Girnur</w:t>
            </w:r>
            <w:proofErr w:type="spellEnd"/>
          </w:p>
        </w:tc>
        <w:tc>
          <w:tcPr>
            <w:tcW w:w="1766" w:type="dxa"/>
          </w:tcPr>
          <w:p w14:paraId="01672E57"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Bazarhathnur</w:t>
            </w:r>
            <w:proofErr w:type="spellEnd"/>
          </w:p>
        </w:tc>
        <w:tc>
          <w:tcPr>
            <w:tcW w:w="3966" w:type="dxa"/>
            <w:noWrap/>
          </w:tcPr>
          <w:p w14:paraId="5ED3E9D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0.161</w:t>
            </w:r>
          </w:p>
        </w:tc>
      </w:tr>
      <w:tr w:rsidR="003F2B16" w:rsidRPr="00B01433" w14:paraId="6EBD3A9D" w14:textId="77777777" w:rsidTr="00686661">
        <w:trPr>
          <w:trHeight w:val="249"/>
        </w:trPr>
        <w:tc>
          <w:tcPr>
            <w:tcW w:w="955" w:type="dxa"/>
            <w:noWrap/>
          </w:tcPr>
          <w:p w14:paraId="69F5EE27"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27</w:t>
            </w:r>
          </w:p>
        </w:tc>
        <w:tc>
          <w:tcPr>
            <w:tcW w:w="2199" w:type="dxa"/>
            <w:noWrap/>
          </w:tcPr>
          <w:p w14:paraId="1ABE3A4B"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Jatharla</w:t>
            </w:r>
            <w:proofErr w:type="spellEnd"/>
          </w:p>
        </w:tc>
        <w:tc>
          <w:tcPr>
            <w:tcW w:w="1766" w:type="dxa"/>
          </w:tcPr>
          <w:p w14:paraId="0ECF1DD9"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Bazarhathnur</w:t>
            </w:r>
            <w:proofErr w:type="spellEnd"/>
          </w:p>
        </w:tc>
        <w:tc>
          <w:tcPr>
            <w:tcW w:w="3966" w:type="dxa"/>
            <w:noWrap/>
          </w:tcPr>
          <w:p w14:paraId="5FF9018C"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0.162</w:t>
            </w:r>
          </w:p>
        </w:tc>
      </w:tr>
      <w:tr w:rsidR="003F2B16" w:rsidRPr="00B01433" w14:paraId="6B3FCCAE" w14:textId="77777777" w:rsidTr="00686661">
        <w:trPr>
          <w:trHeight w:val="249"/>
        </w:trPr>
        <w:tc>
          <w:tcPr>
            <w:tcW w:w="955" w:type="dxa"/>
            <w:noWrap/>
          </w:tcPr>
          <w:p w14:paraId="6C7E824F"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28</w:t>
            </w:r>
          </w:p>
        </w:tc>
        <w:tc>
          <w:tcPr>
            <w:tcW w:w="2199" w:type="dxa"/>
            <w:noWrap/>
          </w:tcPr>
          <w:p w14:paraId="4C59F27B"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Khapparla</w:t>
            </w:r>
            <w:proofErr w:type="spellEnd"/>
          </w:p>
        </w:tc>
        <w:tc>
          <w:tcPr>
            <w:tcW w:w="1766" w:type="dxa"/>
          </w:tcPr>
          <w:p w14:paraId="31B8342C"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Tamsi</w:t>
            </w:r>
            <w:proofErr w:type="spellEnd"/>
          </w:p>
        </w:tc>
        <w:tc>
          <w:tcPr>
            <w:tcW w:w="3966" w:type="dxa"/>
            <w:noWrap/>
          </w:tcPr>
          <w:p w14:paraId="26C83FAE"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0.122</w:t>
            </w:r>
          </w:p>
        </w:tc>
      </w:tr>
      <w:tr w:rsidR="003F2B16" w:rsidRPr="00B01433" w14:paraId="20D65ED8" w14:textId="77777777" w:rsidTr="00686661">
        <w:trPr>
          <w:trHeight w:val="249"/>
        </w:trPr>
        <w:tc>
          <w:tcPr>
            <w:tcW w:w="955" w:type="dxa"/>
            <w:noWrap/>
          </w:tcPr>
          <w:p w14:paraId="099C1139"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29</w:t>
            </w:r>
          </w:p>
        </w:tc>
        <w:tc>
          <w:tcPr>
            <w:tcW w:w="2199" w:type="dxa"/>
            <w:noWrap/>
          </w:tcPr>
          <w:p w14:paraId="434D5B4C"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Belsari</w:t>
            </w:r>
            <w:proofErr w:type="spellEnd"/>
            <w:r>
              <w:rPr>
                <w:rFonts w:ascii="Times New Roman" w:hAnsi="Times New Roman" w:cs="Times New Roman"/>
                <w:sz w:val="24"/>
                <w:szCs w:val="24"/>
              </w:rPr>
              <w:t xml:space="preserve"> Rampur</w:t>
            </w:r>
          </w:p>
        </w:tc>
        <w:tc>
          <w:tcPr>
            <w:tcW w:w="1766" w:type="dxa"/>
          </w:tcPr>
          <w:p w14:paraId="09B4572B"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Bheempur</w:t>
            </w:r>
            <w:proofErr w:type="spellEnd"/>
          </w:p>
        </w:tc>
        <w:tc>
          <w:tcPr>
            <w:tcW w:w="3966" w:type="dxa"/>
            <w:noWrap/>
          </w:tcPr>
          <w:p w14:paraId="72F7A087"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0.152</w:t>
            </w:r>
          </w:p>
        </w:tc>
      </w:tr>
      <w:tr w:rsidR="003F2B16" w:rsidRPr="00B01433" w14:paraId="02EA6BB9" w14:textId="77777777" w:rsidTr="00686661">
        <w:trPr>
          <w:trHeight w:val="249"/>
        </w:trPr>
        <w:tc>
          <w:tcPr>
            <w:tcW w:w="955" w:type="dxa"/>
            <w:noWrap/>
          </w:tcPr>
          <w:p w14:paraId="5B014B6D" w14:textId="77777777" w:rsidR="003F2B16" w:rsidRPr="00B01433" w:rsidRDefault="003F2B16" w:rsidP="00686661">
            <w:pPr>
              <w:jc w:val="center"/>
              <w:rPr>
                <w:rFonts w:ascii="Times New Roman" w:hAnsi="Times New Roman" w:cs="Times New Roman"/>
                <w:sz w:val="24"/>
                <w:szCs w:val="24"/>
              </w:rPr>
            </w:pPr>
            <w:r>
              <w:rPr>
                <w:rFonts w:ascii="Times New Roman" w:hAnsi="Times New Roman" w:cs="Times New Roman"/>
                <w:sz w:val="24"/>
                <w:szCs w:val="24"/>
              </w:rPr>
              <w:t>30</w:t>
            </w:r>
          </w:p>
        </w:tc>
        <w:tc>
          <w:tcPr>
            <w:tcW w:w="2199" w:type="dxa"/>
            <w:noWrap/>
          </w:tcPr>
          <w:p w14:paraId="5BB76EF6"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Umdam</w:t>
            </w:r>
            <w:proofErr w:type="spellEnd"/>
          </w:p>
        </w:tc>
        <w:tc>
          <w:tcPr>
            <w:tcW w:w="1766" w:type="dxa"/>
          </w:tcPr>
          <w:p w14:paraId="2728AF75" w14:textId="77777777" w:rsidR="003F2B16" w:rsidRPr="00B01433" w:rsidRDefault="003F2B16" w:rsidP="00B01433">
            <w:pPr>
              <w:jc w:val="both"/>
              <w:rPr>
                <w:rFonts w:ascii="Times New Roman" w:hAnsi="Times New Roman" w:cs="Times New Roman"/>
                <w:sz w:val="24"/>
                <w:szCs w:val="24"/>
              </w:rPr>
            </w:pPr>
            <w:proofErr w:type="spellStart"/>
            <w:r>
              <w:rPr>
                <w:rFonts w:ascii="Times New Roman" w:hAnsi="Times New Roman" w:cs="Times New Roman"/>
                <w:sz w:val="24"/>
                <w:szCs w:val="24"/>
              </w:rPr>
              <w:t>Tamsi</w:t>
            </w:r>
            <w:proofErr w:type="spellEnd"/>
          </w:p>
        </w:tc>
        <w:tc>
          <w:tcPr>
            <w:tcW w:w="3966" w:type="dxa"/>
            <w:noWrap/>
          </w:tcPr>
          <w:p w14:paraId="4C701535" w14:textId="77777777" w:rsidR="003F2B16" w:rsidRPr="00B01433" w:rsidRDefault="003F2B16" w:rsidP="00B01433">
            <w:pPr>
              <w:jc w:val="center"/>
              <w:rPr>
                <w:rFonts w:ascii="Times New Roman" w:hAnsi="Times New Roman" w:cs="Times New Roman"/>
                <w:sz w:val="24"/>
                <w:szCs w:val="24"/>
              </w:rPr>
            </w:pPr>
            <w:r>
              <w:rPr>
                <w:rFonts w:ascii="Times New Roman" w:hAnsi="Times New Roman" w:cs="Times New Roman"/>
                <w:sz w:val="24"/>
                <w:szCs w:val="24"/>
              </w:rPr>
              <w:t>0.125</w:t>
            </w:r>
          </w:p>
        </w:tc>
      </w:tr>
      <w:tr w:rsidR="003F2B16" w:rsidRPr="00B01433" w14:paraId="456BD445" w14:textId="77777777" w:rsidTr="00686661">
        <w:trPr>
          <w:trHeight w:val="249"/>
        </w:trPr>
        <w:tc>
          <w:tcPr>
            <w:tcW w:w="955" w:type="dxa"/>
            <w:noWrap/>
          </w:tcPr>
          <w:p w14:paraId="76334709" w14:textId="77777777" w:rsidR="003F2B16" w:rsidRPr="00B01433" w:rsidRDefault="003F2B16" w:rsidP="00B01433">
            <w:pPr>
              <w:jc w:val="both"/>
              <w:rPr>
                <w:rFonts w:ascii="Times New Roman" w:hAnsi="Times New Roman" w:cs="Times New Roman"/>
                <w:sz w:val="24"/>
                <w:szCs w:val="24"/>
              </w:rPr>
            </w:pPr>
          </w:p>
        </w:tc>
        <w:tc>
          <w:tcPr>
            <w:tcW w:w="3966" w:type="dxa"/>
            <w:gridSpan w:val="2"/>
            <w:noWrap/>
          </w:tcPr>
          <w:p w14:paraId="191AD1B6" w14:textId="1CB4485E" w:rsidR="003F2B16" w:rsidRPr="00B01433" w:rsidRDefault="003F2B16" w:rsidP="003F2B16">
            <w:pPr>
              <w:jc w:val="right"/>
              <w:rPr>
                <w:rFonts w:ascii="Times New Roman" w:hAnsi="Times New Roman" w:cs="Times New Roman"/>
                <w:b/>
                <w:bCs/>
                <w:sz w:val="24"/>
                <w:szCs w:val="24"/>
              </w:rPr>
            </w:pPr>
            <w:r>
              <w:rPr>
                <w:rFonts w:ascii="Times New Roman" w:hAnsi="Times New Roman" w:cs="Times New Roman"/>
                <w:b/>
                <w:bCs/>
                <w:sz w:val="24"/>
                <w:szCs w:val="24"/>
              </w:rPr>
              <w:t>Average</w:t>
            </w:r>
          </w:p>
        </w:tc>
        <w:tc>
          <w:tcPr>
            <w:tcW w:w="3966" w:type="dxa"/>
          </w:tcPr>
          <w:p w14:paraId="0ACBBF05" w14:textId="18B637C3" w:rsidR="003F2B16" w:rsidRPr="00B01433" w:rsidRDefault="003F2B16" w:rsidP="00B01433">
            <w:pPr>
              <w:jc w:val="center"/>
              <w:rPr>
                <w:rFonts w:ascii="Times New Roman" w:hAnsi="Times New Roman" w:cs="Times New Roman"/>
                <w:b/>
                <w:bCs/>
                <w:sz w:val="24"/>
                <w:szCs w:val="24"/>
              </w:rPr>
            </w:pPr>
            <w:r>
              <w:rPr>
                <w:rFonts w:ascii="Times New Roman" w:hAnsi="Times New Roman" w:cs="Times New Roman"/>
                <w:b/>
                <w:bCs/>
                <w:sz w:val="24"/>
                <w:szCs w:val="24"/>
              </w:rPr>
              <w:t>0.14</w:t>
            </w:r>
          </w:p>
        </w:tc>
      </w:tr>
    </w:tbl>
    <w:p w14:paraId="54BB3069" w14:textId="062437EB" w:rsidR="00B01433" w:rsidRDefault="00B01433" w:rsidP="00B01433">
      <w:pPr>
        <w:spacing w:before="80" w:after="8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(Source: </w:t>
      </w:r>
      <w:hyperlink r:id="rId6" w:history="1">
        <w:r>
          <w:rPr>
            <w:rStyle w:val="Hyperlink"/>
            <w:rFonts w:ascii="Times New Roman" w:hAnsi="Times New Roman" w:cs="Times New Roman"/>
            <w:sz w:val="24"/>
            <w:szCs w:val="24"/>
            <w:lang w:val="en-US"/>
          </w:rPr>
          <w:t>https://data.apps.fao.org/glosis/</w:t>
        </w:r>
      </w:hyperlink>
      <w:r>
        <w:rPr>
          <w:rFonts w:ascii="Times New Roman" w:hAnsi="Times New Roman" w:cs="Times New Roman"/>
          <w:sz w:val="24"/>
          <w:szCs w:val="24"/>
          <w:lang w:val="en-US"/>
        </w:rPr>
        <w:t>)</w:t>
      </w:r>
    </w:p>
    <w:p w14:paraId="4E7E8610" w14:textId="6228A4EB" w:rsidR="00B01433" w:rsidRPr="00B01433" w:rsidRDefault="00B01433" w:rsidP="00B01433">
      <w:pPr>
        <w:spacing w:before="80" w:after="8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village-level data, the mean soil organic carbon sequestration rate of 0.14 t ha</w:t>
      </w:r>
      <w:r>
        <w:rPr>
          <w:rFonts w:ascii="Cambria Math" w:hAnsi="Cambria Math" w:cs="Cambria Math"/>
          <w:sz w:val="24"/>
          <w:szCs w:val="24"/>
          <w:vertAlign w:val="superscript"/>
          <w:lang w:val="en-US"/>
        </w:rPr>
        <w:t>-1</w:t>
      </w:r>
      <w:r>
        <w:rPr>
          <w:rFonts w:ascii="Times New Roman" w:hAnsi="Times New Roman" w:cs="Times New Roman"/>
          <w:sz w:val="24"/>
          <w:szCs w:val="24"/>
          <w:lang w:val="en-US"/>
        </w:rPr>
        <w:t>yr</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shows the central tendency with little variation. To ensure methodological consistency, a carbon </w:t>
      </w:r>
      <w:r>
        <w:rPr>
          <w:rFonts w:ascii="Times New Roman" w:hAnsi="Times New Roman" w:cs="Times New Roman"/>
          <w:sz w:val="24"/>
          <w:szCs w:val="24"/>
        </w:rPr>
        <w:t>sequestration rate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of 0.14 was chosen as a region-specific coefficient for assessing sequestration potential.</w:t>
      </w:r>
    </w:p>
    <w:p w14:paraId="60562E92" w14:textId="5C687ED3" w:rsidR="00B25E6C" w:rsidRPr="00BE3A6C" w:rsidRDefault="00495AB9" w:rsidP="004A247F">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District level Carbon Sequestration Calculation</w:t>
      </w:r>
    </w:p>
    <w:p w14:paraId="65458C9A" w14:textId="55A50D68" w:rsidR="00B25E6C" w:rsidRPr="00BE3A6C" w:rsidRDefault="00B25E6C" w:rsidP="00B25E6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The total annual carbon sequestration potential of the district was estimated using following formula.</w:t>
      </w:r>
    </w:p>
    <w:p w14:paraId="4673B5E6" w14:textId="26228323" w:rsidR="00EE763C" w:rsidRPr="00EE763C" w:rsidRDefault="00EE763C" w:rsidP="00EE763C">
      <w:pP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lastRenderedPageBreak/>
        <w:t>Annual Carbon Sequestration Stock (t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in the district = District cotton crop area (ha) X Carbon Stock (t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w:t>
      </w:r>
    </w:p>
    <w:p w14:paraId="21353324" w14:textId="72B5AF83" w:rsidR="00874669" w:rsidRPr="00BE3A6C" w:rsidRDefault="00874669" w:rsidP="00C571D1">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0F7A0AE" w14:textId="37095D62" w:rsidR="00874669" w:rsidRPr="00BE3A6C" w:rsidRDefault="00874669" w:rsidP="00C571D1">
      <w:pPr>
        <w:spacing w:before="240" w:after="80" w:line="360" w:lineRule="auto"/>
        <w:jc w:val="both"/>
        <w:rPr>
          <w:rFonts w:ascii="Times New Roman" w:hAnsi="Times New Roman" w:cs="Times New Roman"/>
          <w:sz w:val="24"/>
          <w:szCs w:val="24"/>
        </w:rPr>
      </w:pPr>
      <w:r>
        <w:rPr>
          <w:rFonts w:ascii="Times New Roman" w:hAnsi="Times New Roman" w:cs="Times New Roman"/>
          <w:b/>
          <w:bCs/>
          <w:sz w:val="24"/>
          <w:szCs w:val="24"/>
        </w:rPr>
        <w:t>1. Cotton Residue Biomass</w:t>
      </w:r>
    </w:p>
    <w:p w14:paraId="06DBFA52" w14:textId="7AA3B204" w:rsidR="00874669" w:rsidRDefault="00874669" w:rsidP="00874669">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biomass assessment at harvest revealed significant variation between the farmers' field and the Instructional Farm, reflecting differences in plant density, variety and input management (Table 2). </w:t>
      </w:r>
    </w:p>
    <w:p w14:paraId="4C157043" w14:textId="1DFBFA0F" w:rsidR="00266054" w:rsidRPr="00266054" w:rsidRDefault="00266054" w:rsidP="00266054">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The findings show a significant difference in the above-ground biomass of cotton between the instructional farm and the farmer's field. In addition to having a higher plant population density (81 vs. 61 plants per 25 m</w:t>
      </w:r>
      <w:r>
        <w:rPr>
          <w:rFonts w:ascii="Times New Roman" w:hAnsi="Times New Roman" w:cs="Times New Roman"/>
          <w:sz w:val="24"/>
          <w:szCs w:val="24"/>
          <w:vertAlign w:val="superscript"/>
        </w:rPr>
        <w:t>2</w:t>
      </w:r>
      <w:r>
        <w:rPr>
          <w:rFonts w:ascii="Times New Roman" w:hAnsi="Times New Roman" w:cs="Times New Roman"/>
          <w:sz w:val="24"/>
          <w:szCs w:val="24"/>
        </w:rPr>
        <w:t>), the instructional farm had a higher fresh weight per plant (220 g) than the farmer's field (185 g). The dry matter accumulation per plant was nevertheless better (162.80 g vs. 153.55 g) even though the instructional farm had a comparatively greater moisture content (26%).</w:t>
      </w:r>
    </w:p>
    <w:p w14:paraId="3ACEE3A5" w14:textId="2B88D7A0" w:rsidR="00266054" w:rsidRPr="00BE3A6C" w:rsidRDefault="00266054" w:rsidP="00266054">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As a result, the maximum biomass yield per unit are</w:t>
      </w:r>
      <w:r w:rsidR="009C44B2">
        <w:rPr>
          <w:rFonts w:ascii="Times New Roman" w:hAnsi="Times New Roman" w:cs="Times New Roman"/>
          <w:sz w:val="24"/>
          <w:szCs w:val="24"/>
        </w:rPr>
        <w:t xml:space="preserve"> 202120</w:t>
      </w:r>
      <w:r>
        <w:rPr>
          <w:rFonts w:ascii="Times New Roman" w:hAnsi="Times New Roman" w:cs="Times New Roman"/>
          <w:sz w:val="24"/>
          <w:szCs w:val="24"/>
        </w:rPr>
        <w:t>a was much larger in the instructional farm (13186.80 g per 25 m</w:t>
      </w:r>
      <w:r>
        <w:rPr>
          <w:rFonts w:ascii="Times New Roman" w:hAnsi="Times New Roman" w:cs="Times New Roman"/>
          <w:sz w:val="24"/>
          <w:szCs w:val="24"/>
          <w:vertAlign w:val="superscript"/>
        </w:rPr>
        <w:t>2</w:t>
      </w:r>
      <w:r>
        <w:rPr>
          <w:rFonts w:ascii="Times New Roman" w:hAnsi="Times New Roman" w:cs="Times New Roman"/>
          <w:sz w:val="24"/>
          <w:szCs w:val="24"/>
        </w:rPr>
        <w:t>), or 5.28 t ha</w:t>
      </w:r>
      <w:r>
        <w:rPr>
          <w:rFonts w:ascii="Times New Roman" w:hAnsi="Times New Roman" w:cs="Times New Roman"/>
          <w:sz w:val="24"/>
          <w:szCs w:val="24"/>
          <w:vertAlign w:val="superscript"/>
        </w:rPr>
        <w:t>-1</w:t>
      </w:r>
      <w:r>
        <w:rPr>
          <w:rFonts w:ascii="Times New Roman" w:hAnsi="Times New Roman" w:cs="Times New Roman"/>
          <w:sz w:val="24"/>
          <w:szCs w:val="24"/>
        </w:rPr>
        <w:t>, than in the farmer's field (3.75 t ha</w:t>
      </w:r>
      <w:r>
        <w:rPr>
          <w:rFonts w:ascii="Times New Roman" w:hAnsi="Times New Roman" w:cs="Times New Roman"/>
          <w:sz w:val="24"/>
          <w:szCs w:val="24"/>
          <w:vertAlign w:val="superscript"/>
        </w:rPr>
        <w:t>-1</w:t>
      </w:r>
      <w:r>
        <w:rPr>
          <w:rFonts w:ascii="Times New Roman" w:hAnsi="Times New Roman" w:cs="Times New Roman"/>
          <w:sz w:val="24"/>
          <w:szCs w:val="24"/>
        </w:rPr>
        <w:t>). The average maximum biomass yield for all locations was 4.52 t ha</w:t>
      </w:r>
      <w:r>
        <w:rPr>
          <w:rFonts w:ascii="Times New Roman" w:hAnsi="Times New Roman" w:cs="Times New Roman"/>
          <w:sz w:val="24"/>
          <w:szCs w:val="24"/>
          <w:vertAlign w:val="superscript"/>
        </w:rPr>
        <w:t>-1</w:t>
      </w:r>
      <w:r>
        <w:rPr>
          <w:rFonts w:ascii="Times New Roman" w:hAnsi="Times New Roman" w:cs="Times New Roman"/>
          <w:sz w:val="24"/>
          <w:szCs w:val="24"/>
        </w:rPr>
        <w:t>, which indicates moderate productivity under the current circumstances.</w:t>
      </w:r>
    </w:p>
    <w:p w14:paraId="58A6E5D5" w14:textId="47DB5BE8" w:rsidR="00D761B0" w:rsidRPr="00BE3A6C" w:rsidRDefault="00714C7B" w:rsidP="003C3ABD">
      <w:pPr>
        <w:spacing w:before="60" w:after="60"/>
        <w:rPr>
          <w:rFonts w:ascii="Times New Roman" w:hAnsi="Times New Roman" w:cs="Times New Roman"/>
          <w:b/>
          <w:bCs/>
          <w:sz w:val="24"/>
          <w:szCs w:val="24"/>
        </w:rPr>
      </w:pPr>
      <w:r>
        <w:rPr>
          <w:rFonts w:ascii="Times New Roman" w:hAnsi="Times New Roman" w:cs="Times New Roman"/>
          <w:b/>
          <w:bCs/>
          <w:sz w:val="24"/>
          <w:szCs w:val="24"/>
        </w:rPr>
        <w:t>Table. 2. Cotton above ground biomass at harvest (2024)</w:t>
      </w:r>
    </w:p>
    <w:tbl>
      <w:tblPr>
        <w:tblStyle w:val="TableGrid"/>
        <w:tblW w:w="9196" w:type="dxa"/>
        <w:tblLook w:val="04A0" w:firstRow="1" w:lastRow="0" w:firstColumn="1" w:lastColumn="0" w:noHBand="0" w:noVBand="1"/>
      </w:tblPr>
      <w:tblGrid>
        <w:gridCol w:w="1586"/>
        <w:gridCol w:w="1235"/>
        <w:gridCol w:w="1217"/>
        <w:gridCol w:w="1161"/>
        <w:gridCol w:w="1578"/>
        <w:gridCol w:w="1237"/>
        <w:gridCol w:w="1182"/>
      </w:tblGrid>
      <w:tr w:rsidR="00395D51" w:rsidRPr="00BC167D" w14:paraId="40B60640" w14:textId="2D834455" w:rsidTr="00CF7FB3">
        <w:trPr>
          <w:trHeight w:val="365"/>
        </w:trPr>
        <w:tc>
          <w:tcPr>
            <w:tcW w:w="1587" w:type="dxa"/>
          </w:tcPr>
          <w:p w14:paraId="6D1FA9BF" w14:textId="4E237064" w:rsidR="00395D51" w:rsidRPr="00BE3A6C" w:rsidRDefault="00395D51" w:rsidP="00395D51">
            <w:pPr>
              <w:spacing w:before="60" w:after="60"/>
              <w:rPr>
                <w:rFonts w:ascii="Times New Roman" w:hAnsi="Times New Roman" w:cs="Times New Roman"/>
                <w:b/>
                <w:bCs/>
                <w:sz w:val="24"/>
                <w:szCs w:val="24"/>
              </w:rPr>
            </w:pPr>
            <w:r>
              <w:rPr>
                <w:rFonts w:ascii="Times New Roman" w:hAnsi="Times New Roman" w:cs="Times New Roman"/>
                <w:b/>
                <w:bCs/>
                <w:sz w:val="24"/>
                <w:szCs w:val="24"/>
              </w:rPr>
              <w:t>Particulars</w:t>
            </w:r>
          </w:p>
        </w:tc>
        <w:tc>
          <w:tcPr>
            <w:tcW w:w="1240" w:type="dxa"/>
            <w:vAlign w:val="center"/>
          </w:tcPr>
          <w:p w14:paraId="6C595CC2" w14:textId="18A02335" w:rsidR="00395D51" w:rsidRDefault="00395D51" w:rsidP="00395D51">
            <w:pPr>
              <w:spacing w:before="60" w:after="60"/>
              <w:ind w:left="-113" w:right="-104"/>
              <w:jc w:val="center"/>
              <w:rPr>
                <w:rFonts w:ascii="Times New Roman" w:hAnsi="Times New Roman" w:cs="Times New Roman"/>
                <w:b/>
                <w:bCs/>
                <w:sz w:val="24"/>
                <w:szCs w:val="24"/>
              </w:rPr>
            </w:pPr>
            <w:r>
              <w:rPr>
                <w:rFonts w:ascii="Times New Roman" w:hAnsi="Times New Roman" w:cs="Times New Roman"/>
                <w:b/>
                <w:bCs/>
                <w:sz w:val="24"/>
                <w:szCs w:val="24"/>
              </w:rPr>
              <w:t>(A)</w:t>
            </w:r>
          </w:p>
          <w:p w14:paraId="72BFE604" w14:textId="389FFA7D" w:rsidR="00395D51" w:rsidRPr="00BE3A6C" w:rsidRDefault="00395D51" w:rsidP="00395D51">
            <w:pPr>
              <w:spacing w:before="60" w:after="60"/>
              <w:ind w:left="-113" w:right="-104"/>
              <w:jc w:val="center"/>
              <w:rPr>
                <w:rFonts w:ascii="Times New Roman" w:hAnsi="Times New Roman" w:cs="Times New Roman"/>
                <w:b/>
                <w:bCs/>
                <w:sz w:val="24"/>
                <w:szCs w:val="24"/>
              </w:rPr>
            </w:pPr>
            <w:r>
              <w:rPr>
                <w:rFonts w:ascii="Times New Roman" w:hAnsi="Times New Roman" w:cs="Times New Roman"/>
                <w:b/>
                <w:bCs/>
                <w:sz w:val="24"/>
                <w:szCs w:val="24"/>
              </w:rPr>
              <w:t>Fresh Weight (g) of the plant</w:t>
            </w:r>
          </w:p>
        </w:tc>
        <w:tc>
          <w:tcPr>
            <w:tcW w:w="1223" w:type="dxa"/>
            <w:vAlign w:val="center"/>
          </w:tcPr>
          <w:p w14:paraId="301F94C2" w14:textId="49FE8849" w:rsidR="00395D51" w:rsidRDefault="00395D51" w:rsidP="00395D51">
            <w:pPr>
              <w:spacing w:before="60" w:after="60"/>
              <w:ind w:left="-112" w:right="-113"/>
              <w:jc w:val="center"/>
              <w:rPr>
                <w:rFonts w:ascii="Times New Roman" w:hAnsi="Times New Roman" w:cs="Times New Roman"/>
                <w:b/>
                <w:bCs/>
                <w:sz w:val="24"/>
                <w:szCs w:val="24"/>
              </w:rPr>
            </w:pPr>
            <w:r>
              <w:rPr>
                <w:rFonts w:ascii="Times New Roman" w:hAnsi="Times New Roman" w:cs="Times New Roman"/>
                <w:b/>
                <w:bCs/>
                <w:sz w:val="24"/>
                <w:szCs w:val="24"/>
              </w:rPr>
              <w:t>(B)</w:t>
            </w:r>
          </w:p>
          <w:p w14:paraId="46E81B5E" w14:textId="7FD8AA4F" w:rsidR="00395D51" w:rsidRPr="00BE3A6C" w:rsidRDefault="00395D51" w:rsidP="00395D51">
            <w:pPr>
              <w:spacing w:before="60" w:after="60"/>
              <w:ind w:left="-112" w:right="-113"/>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No. of Plants / 25 m</w:t>
            </w:r>
            <w:r>
              <w:rPr>
                <w:rFonts w:ascii="Times New Roman" w:hAnsi="Times New Roman" w:cs="Times New Roman"/>
                <w:b/>
                <w:bCs/>
                <w:sz w:val="24"/>
                <w:szCs w:val="24"/>
                <w:vertAlign w:val="superscript"/>
              </w:rPr>
              <w:t>2</w:t>
            </w:r>
          </w:p>
        </w:tc>
        <w:tc>
          <w:tcPr>
            <w:tcW w:w="1163" w:type="dxa"/>
            <w:vAlign w:val="center"/>
          </w:tcPr>
          <w:p w14:paraId="78F582D2" w14:textId="5C39F200" w:rsidR="00395D51" w:rsidRDefault="00395D51" w:rsidP="00395D51">
            <w:pPr>
              <w:spacing w:before="60" w:after="60"/>
              <w:ind w:left="-110" w:right="-105"/>
              <w:jc w:val="center"/>
              <w:rPr>
                <w:rFonts w:ascii="Times New Roman" w:hAnsi="Times New Roman" w:cs="Times New Roman"/>
                <w:b/>
                <w:bCs/>
                <w:sz w:val="24"/>
                <w:szCs w:val="24"/>
              </w:rPr>
            </w:pPr>
            <w:r>
              <w:rPr>
                <w:rFonts w:ascii="Times New Roman" w:hAnsi="Times New Roman" w:cs="Times New Roman"/>
                <w:b/>
                <w:bCs/>
                <w:sz w:val="24"/>
                <w:szCs w:val="24"/>
              </w:rPr>
              <w:t>(C)</w:t>
            </w:r>
          </w:p>
          <w:p w14:paraId="48571DBE" w14:textId="44BF4637" w:rsidR="00395D51" w:rsidRDefault="00395D51" w:rsidP="00395D51">
            <w:pPr>
              <w:spacing w:before="60" w:after="60"/>
              <w:ind w:left="-110" w:right="-105"/>
              <w:jc w:val="center"/>
              <w:rPr>
                <w:rFonts w:ascii="Times New Roman" w:hAnsi="Times New Roman" w:cs="Times New Roman"/>
                <w:b/>
                <w:bCs/>
                <w:sz w:val="24"/>
                <w:szCs w:val="24"/>
              </w:rPr>
            </w:pPr>
            <w:r>
              <w:rPr>
                <w:rFonts w:ascii="Times New Roman" w:hAnsi="Times New Roman" w:cs="Times New Roman"/>
                <w:b/>
                <w:bCs/>
                <w:sz w:val="24"/>
                <w:szCs w:val="24"/>
              </w:rPr>
              <w:t>Moisture (%) content</w:t>
            </w:r>
          </w:p>
        </w:tc>
        <w:tc>
          <w:tcPr>
            <w:tcW w:w="1584" w:type="dxa"/>
            <w:vAlign w:val="center"/>
          </w:tcPr>
          <w:p w14:paraId="1AF9A9F2" w14:textId="159966AF"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(D)</w:t>
            </w:r>
          </w:p>
          <w:p w14:paraId="1CFBAEAD" w14:textId="77777777" w:rsidR="00395D51" w:rsidRDefault="00395D51" w:rsidP="00395D51">
            <w:pPr>
              <w:spacing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 xml:space="preserve">Dry matter Weight (g) (Biomass) </w:t>
            </w:r>
          </w:p>
          <w:p w14:paraId="18A3CFE1" w14:textId="41881789" w:rsidR="00395D51" w:rsidRPr="00BE3A6C" w:rsidRDefault="00395D51" w:rsidP="00395D51">
            <w:pPr>
              <w:spacing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(A x (100-C))</w:t>
            </w:r>
          </w:p>
        </w:tc>
        <w:tc>
          <w:tcPr>
            <w:tcW w:w="1239" w:type="dxa"/>
          </w:tcPr>
          <w:p w14:paraId="29D2CB20" w14:textId="52F6AC3A"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(E)</w:t>
            </w:r>
          </w:p>
          <w:p w14:paraId="0F223611" w14:textId="0B612B9D"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Biomass per 25 m</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(g)</w:t>
            </w:r>
          </w:p>
          <w:p w14:paraId="2DD8028C" w14:textId="7EFB2275" w:rsidR="00395D51" w:rsidRDefault="00395D51" w:rsidP="00395D51">
            <w:pPr>
              <w:spacing w:before="60" w:after="60"/>
              <w:ind w:left="-101" w:right="-104"/>
              <w:jc w:val="center"/>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BxD</w:t>
            </w:r>
            <w:proofErr w:type="spellEnd"/>
            <w:r>
              <w:rPr>
                <w:rFonts w:ascii="Times New Roman" w:hAnsi="Times New Roman" w:cs="Times New Roman"/>
                <w:b/>
                <w:bCs/>
                <w:sz w:val="24"/>
                <w:szCs w:val="24"/>
              </w:rPr>
              <w:t>)</w:t>
            </w:r>
          </w:p>
        </w:tc>
        <w:tc>
          <w:tcPr>
            <w:tcW w:w="1160" w:type="dxa"/>
            <w:vAlign w:val="center"/>
          </w:tcPr>
          <w:p w14:paraId="4027B2DD" w14:textId="669A191B" w:rsidR="00395D51" w:rsidRPr="00BC167D" w:rsidRDefault="00856E1D" w:rsidP="00CF7FB3">
            <w:pPr>
              <w:spacing w:before="60" w:after="60"/>
              <w:ind w:left="-101" w:right="-104"/>
              <w:jc w:val="center"/>
              <w:rPr>
                <w:rFonts w:ascii="Times New Roman" w:hAnsi="Times New Roman" w:cs="Times New Roman"/>
                <w:b/>
                <w:bCs/>
                <w:sz w:val="24"/>
                <w:szCs w:val="24"/>
                <w:lang w:val="sv-SE"/>
              </w:rPr>
            </w:pPr>
            <w:r w:rsidRPr="00BC167D">
              <w:rPr>
                <w:rFonts w:ascii="Times New Roman" w:hAnsi="Times New Roman" w:cs="Times New Roman"/>
                <w:b/>
                <w:bCs/>
                <w:sz w:val="24"/>
                <w:szCs w:val="24"/>
                <w:lang w:val="sv-SE"/>
              </w:rPr>
              <w:t>Maximum Biomass</w:t>
            </w:r>
          </w:p>
          <w:p w14:paraId="373DA0B0" w14:textId="50C04D89" w:rsidR="00395D51" w:rsidRPr="00BC167D" w:rsidRDefault="00395D51" w:rsidP="00CF7FB3">
            <w:pPr>
              <w:spacing w:before="60" w:after="60"/>
              <w:ind w:left="-101" w:right="-104"/>
              <w:jc w:val="center"/>
              <w:rPr>
                <w:rFonts w:ascii="Times New Roman" w:hAnsi="Times New Roman" w:cs="Times New Roman"/>
                <w:b/>
                <w:bCs/>
                <w:sz w:val="24"/>
                <w:szCs w:val="24"/>
                <w:vertAlign w:val="superscript"/>
                <w:lang w:val="sv-SE"/>
              </w:rPr>
            </w:pPr>
            <w:r w:rsidRPr="00BC167D">
              <w:rPr>
                <w:rFonts w:ascii="Times New Roman" w:hAnsi="Times New Roman" w:cs="Times New Roman"/>
                <w:b/>
                <w:bCs/>
                <w:sz w:val="24"/>
                <w:szCs w:val="24"/>
                <w:lang w:val="sv-SE"/>
              </w:rPr>
              <w:t>t ha</w:t>
            </w:r>
            <w:r w:rsidRPr="00BC167D">
              <w:rPr>
                <w:rFonts w:ascii="Times New Roman" w:hAnsi="Times New Roman" w:cs="Times New Roman"/>
                <w:b/>
                <w:bCs/>
                <w:sz w:val="24"/>
                <w:szCs w:val="24"/>
                <w:vertAlign w:val="superscript"/>
                <w:lang w:val="sv-SE"/>
              </w:rPr>
              <w:t>-1</w:t>
            </w:r>
            <w:r w:rsidRPr="00BC167D">
              <w:rPr>
                <w:rFonts w:ascii="Times New Roman" w:hAnsi="Times New Roman" w:cs="Times New Roman"/>
                <w:b/>
                <w:bCs/>
                <w:sz w:val="24"/>
                <w:szCs w:val="24"/>
                <w:lang w:val="sv-SE"/>
              </w:rPr>
              <w:t xml:space="preserve"> (10000 m</w:t>
            </w:r>
            <w:r w:rsidRPr="00BC167D">
              <w:rPr>
                <w:rFonts w:ascii="Times New Roman" w:hAnsi="Times New Roman" w:cs="Times New Roman"/>
                <w:b/>
                <w:bCs/>
                <w:sz w:val="24"/>
                <w:szCs w:val="24"/>
                <w:vertAlign w:val="superscript"/>
                <w:lang w:val="sv-SE"/>
              </w:rPr>
              <w:t>2</w:t>
            </w:r>
            <w:r w:rsidRPr="00BC167D">
              <w:rPr>
                <w:rFonts w:ascii="Times New Roman" w:hAnsi="Times New Roman" w:cs="Times New Roman"/>
                <w:b/>
                <w:bCs/>
                <w:sz w:val="24"/>
                <w:szCs w:val="24"/>
                <w:lang w:val="sv-SE"/>
              </w:rPr>
              <w:t>)</w:t>
            </w:r>
          </w:p>
        </w:tc>
      </w:tr>
      <w:tr w:rsidR="00395D51" w:rsidRPr="00BE3A6C" w14:paraId="59663C63" w14:textId="1DA96CCC" w:rsidTr="00395D51">
        <w:trPr>
          <w:trHeight w:val="365"/>
        </w:trPr>
        <w:tc>
          <w:tcPr>
            <w:tcW w:w="1587" w:type="dxa"/>
          </w:tcPr>
          <w:p w14:paraId="221A913B" w14:textId="6EAE00C8"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Farmer</w:t>
            </w:r>
            <w:r>
              <w:rPr>
                <w:rFonts w:ascii="Times New Roman" w:hAnsi="Times New Roman" w:cs="Times New Roman"/>
                <w:sz w:val="24"/>
                <w:szCs w:val="24"/>
                <w:vertAlign w:val="superscript"/>
              </w:rPr>
              <w:t>’</w:t>
            </w:r>
            <w:r>
              <w:rPr>
                <w:rFonts w:ascii="Times New Roman" w:hAnsi="Times New Roman" w:cs="Times New Roman"/>
                <w:sz w:val="24"/>
                <w:szCs w:val="24"/>
              </w:rPr>
              <w:t>s Field</w:t>
            </w:r>
          </w:p>
        </w:tc>
        <w:tc>
          <w:tcPr>
            <w:tcW w:w="1240" w:type="dxa"/>
            <w:vAlign w:val="center"/>
          </w:tcPr>
          <w:p w14:paraId="70423EF3" w14:textId="7039C904"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185</w:t>
            </w:r>
          </w:p>
        </w:tc>
        <w:tc>
          <w:tcPr>
            <w:tcW w:w="1223" w:type="dxa"/>
            <w:vAlign w:val="center"/>
          </w:tcPr>
          <w:p w14:paraId="3875EB29" w14:textId="47950AEA"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61</w:t>
            </w:r>
          </w:p>
        </w:tc>
        <w:tc>
          <w:tcPr>
            <w:tcW w:w="1163" w:type="dxa"/>
            <w:vAlign w:val="center"/>
          </w:tcPr>
          <w:p w14:paraId="5BF4B5E7" w14:textId="0F8AAD3E"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17</w:t>
            </w:r>
          </w:p>
        </w:tc>
        <w:tc>
          <w:tcPr>
            <w:tcW w:w="1584" w:type="dxa"/>
            <w:vAlign w:val="center"/>
          </w:tcPr>
          <w:p w14:paraId="1B8BCFE4" w14:textId="42C572AF"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153.55</w:t>
            </w:r>
          </w:p>
        </w:tc>
        <w:tc>
          <w:tcPr>
            <w:tcW w:w="1239" w:type="dxa"/>
            <w:vAlign w:val="center"/>
          </w:tcPr>
          <w:p w14:paraId="7125B2C8" w14:textId="1B428634" w:rsidR="00395D51"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9366.55</w:t>
            </w:r>
          </w:p>
        </w:tc>
        <w:tc>
          <w:tcPr>
            <w:tcW w:w="1160" w:type="dxa"/>
            <w:vAlign w:val="center"/>
          </w:tcPr>
          <w:p w14:paraId="081E2795" w14:textId="0ECFF67C" w:rsidR="00395D51" w:rsidRDefault="00EE763C"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3.75</w:t>
            </w:r>
          </w:p>
        </w:tc>
      </w:tr>
      <w:tr w:rsidR="00395D51" w:rsidRPr="00BE3A6C" w14:paraId="4B00D590" w14:textId="5D5EB52C" w:rsidTr="00395D51">
        <w:trPr>
          <w:trHeight w:val="365"/>
        </w:trPr>
        <w:tc>
          <w:tcPr>
            <w:tcW w:w="1587" w:type="dxa"/>
          </w:tcPr>
          <w:p w14:paraId="4227932F" w14:textId="2DCC1F2D"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Instructional Farm</w:t>
            </w:r>
          </w:p>
        </w:tc>
        <w:tc>
          <w:tcPr>
            <w:tcW w:w="1240" w:type="dxa"/>
            <w:vAlign w:val="center"/>
          </w:tcPr>
          <w:p w14:paraId="0346372A" w14:textId="19E2290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220</w:t>
            </w:r>
          </w:p>
        </w:tc>
        <w:tc>
          <w:tcPr>
            <w:tcW w:w="1223" w:type="dxa"/>
            <w:vAlign w:val="center"/>
          </w:tcPr>
          <w:p w14:paraId="37BEE581" w14:textId="4ACF3178"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81</w:t>
            </w:r>
          </w:p>
        </w:tc>
        <w:tc>
          <w:tcPr>
            <w:tcW w:w="1163" w:type="dxa"/>
            <w:vAlign w:val="center"/>
          </w:tcPr>
          <w:p w14:paraId="71871D1C" w14:textId="7B546CFC"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26</w:t>
            </w:r>
          </w:p>
        </w:tc>
        <w:tc>
          <w:tcPr>
            <w:tcW w:w="1584" w:type="dxa"/>
            <w:vAlign w:val="center"/>
          </w:tcPr>
          <w:p w14:paraId="3D3DC5E2" w14:textId="2A9731F0" w:rsidR="00395D51" w:rsidRPr="00BE3A6C" w:rsidRDefault="008D3880"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162.80</w:t>
            </w:r>
          </w:p>
        </w:tc>
        <w:tc>
          <w:tcPr>
            <w:tcW w:w="1239" w:type="dxa"/>
            <w:vAlign w:val="center"/>
          </w:tcPr>
          <w:p w14:paraId="5326C90C" w14:textId="0A5B5DEE" w:rsidR="00395D51" w:rsidRDefault="00395D51"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13186.80</w:t>
            </w:r>
          </w:p>
        </w:tc>
        <w:tc>
          <w:tcPr>
            <w:tcW w:w="1160" w:type="dxa"/>
            <w:vAlign w:val="center"/>
          </w:tcPr>
          <w:p w14:paraId="661A0D92" w14:textId="5D534F7E" w:rsidR="00395D51" w:rsidRDefault="00EE763C"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5.28</w:t>
            </w:r>
          </w:p>
        </w:tc>
      </w:tr>
      <w:tr w:rsidR="00395D51" w:rsidRPr="00BE3A6C" w14:paraId="104D4CBC" w14:textId="1E9FE50B" w:rsidTr="00395D51">
        <w:trPr>
          <w:trHeight w:val="217"/>
        </w:trPr>
        <w:tc>
          <w:tcPr>
            <w:tcW w:w="1587" w:type="dxa"/>
          </w:tcPr>
          <w:p w14:paraId="7A0DC841" w14:textId="4FD66F86" w:rsidR="00395D51" w:rsidRPr="00BE3A6C" w:rsidRDefault="00395D51" w:rsidP="00395D51">
            <w:pPr>
              <w:spacing w:before="60" w:after="60"/>
              <w:rPr>
                <w:rFonts w:ascii="Times New Roman" w:hAnsi="Times New Roman" w:cs="Times New Roman"/>
                <w:sz w:val="24"/>
                <w:szCs w:val="24"/>
              </w:rPr>
            </w:pPr>
            <w:r>
              <w:rPr>
                <w:rFonts w:ascii="Times New Roman" w:hAnsi="Times New Roman" w:cs="Times New Roman"/>
                <w:sz w:val="24"/>
                <w:szCs w:val="24"/>
              </w:rPr>
              <w:t>Average</w:t>
            </w:r>
          </w:p>
        </w:tc>
        <w:tc>
          <w:tcPr>
            <w:tcW w:w="1240" w:type="dxa"/>
            <w:vAlign w:val="center"/>
          </w:tcPr>
          <w:p w14:paraId="7DC868BC" w14:textId="5293DD0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202.5</w:t>
            </w:r>
          </w:p>
        </w:tc>
        <w:tc>
          <w:tcPr>
            <w:tcW w:w="1223" w:type="dxa"/>
            <w:vAlign w:val="center"/>
          </w:tcPr>
          <w:p w14:paraId="0C66EFB5" w14:textId="4C870576"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71</w:t>
            </w:r>
          </w:p>
        </w:tc>
        <w:tc>
          <w:tcPr>
            <w:tcW w:w="1163" w:type="dxa"/>
            <w:vAlign w:val="center"/>
          </w:tcPr>
          <w:p w14:paraId="7FB61820" w14:textId="264B1272" w:rsidR="00395D51" w:rsidRPr="00BE3A6C" w:rsidRDefault="00395D51"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21.5</w:t>
            </w:r>
          </w:p>
        </w:tc>
        <w:tc>
          <w:tcPr>
            <w:tcW w:w="1584" w:type="dxa"/>
            <w:vAlign w:val="center"/>
          </w:tcPr>
          <w:p w14:paraId="1447229B" w14:textId="406F3345" w:rsidR="00395D51" w:rsidRPr="00BE3A6C" w:rsidRDefault="00395D51" w:rsidP="008D3880">
            <w:pPr>
              <w:spacing w:before="60" w:after="60"/>
              <w:jc w:val="center"/>
              <w:rPr>
                <w:rFonts w:ascii="Times New Roman" w:hAnsi="Times New Roman" w:cs="Times New Roman"/>
                <w:sz w:val="24"/>
                <w:szCs w:val="24"/>
              </w:rPr>
            </w:pPr>
            <w:r>
              <w:rPr>
                <w:rFonts w:ascii="Times New Roman" w:hAnsi="Times New Roman" w:cs="Times New Roman"/>
                <w:sz w:val="24"/>
                <w:szCs w:val="24"/>
              </w:rPr>
              <w:t>159</w:t>
            </w:r>
          </w:p>
        </w:tc>
        <w:tc>
          <w:tcPr>
            <w:tcW w:w="1239" w:type="dxa"/>
            <w:vAlign w:val="center"/>
          </w:tcPr>
          <w:p w14:paraId="7D7C455D" w14:textId="398A3936" w:rsidR="00395D51" w:rsidRDefault="008D3880"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11289.00</w:t>
            </w:r>
          </w:p>
        </w:tc>
        <w:tc>
          <w:tcPr>
            <w:tcW w:w="1160" w:type="dxa"/>
            <w:vAlign w:val="center"/>
          </w:tcPr>
          <w:p w14:paraId="3D3DADCF" w14:textId="65E8F8F0" w:rsidR="00395D51" w:rsidRDefault="008D3880" w:rsidP="00395D51">
            <w:pPr>
              <w:spacing w:before="60" w:after="60"/>
              <w:jc w:val="center"/>
              <w:rPr>
                <w:rFonts w:ascii="Times New Roman" w:hAnsi="Times New Roman" w:cs="Times New Roman"/>
                <w:sz w:val="24"/>
                <w:szCs w:val="24"/>
              </w:rPr>
            </w:pPr>
            <w:r>
              <w:rPr>
                <w:rFonts w:ascii="Times New Roman" w:hAnsi="Times New Roman" w:cs="Times New Roman"/>
                <w:sz w:val="24"/>
                <w:szCs w:val="24"/>
              </w:rPr>
              <w:t>4.52</w:t>
            </w:r>
          </w:p>
        </w:tc>
      </w:tr>
    </w:tbl>
    <w:p w14:paraId="11ABCB58" w14:textId="77777777" w:rsidR="00266054" w:rsidRDefault="00266054" w:rsidP="00266054">
      <w:pPr>
        <w:spacing w:before="240" w:after="80" w:line="360" w:lineRule="auto"/>
        <w:jc w:val="both"/>
        <w:rPr>
          <w:rFonts w:ascii="Times New Roman" w:hAnsi="Times New Roman" w:cs="Times New Roman"/>
          <w:sz w:val="24"/>
          <w:szCs w:val="24"/>
        </w:rPr>
      </w:pPr>
      <w:r>
        <w:rPr>
          <w:rFonts w:ascii="Times New Roman" w:hAnsi="Times New Roman" w:cs="Times New Roman"/>
          <w:sz w:val="24"/>
          <w:szCs w:val="24"/>
        </w:rPr>
        <w:t>Enhanced productivity was achieved through a combination of increased plant population and higher individual plant biomass. The lower biomass in farmer fields could be due to suboptimal agronomic practices, moisture stress and nutrient limitations (</w:t>
      </w:r>
      <w:proofErr w:type="spellStart"/>
      <w:r>
        <w:rPr>
          <w:rFonts w:ascii="Times New Roman" w:hAnsi="Times New Roman" w:cs="Times New Roman"/>
          <w:sz w:val="24"/>
          <w:szCs w:val="24"/>
        </w:rPr>
        <w:t>Anantha</w:t>
      </w:r>
      <w:proofErr w:type="spellEnd"/>
      <w:r>
        <w:rPr>
          <w:rFonts w:ascii="Times New Roman" w:hAnsi="Times New Roman" w:cs="Times New Roman"/>
          <w:sz w:val="24"/>
          <w:szCs w:val="24"/>
        </w:rPr>
        <w:t xml:space="preserve"> et al., 2018; </w:t>
      </w:r>
      <w:proofErr w:type="spellStart"/>
      <w:r>
        <w:rPr>
          <w:rFonts w:ascii="Times New Roman" w:hAnsi="Times New Roman" w:cs="Times New Roman"/>
          <w:sz w:val="24"/>
          <w:szCs w:val="24"/>
        </w:rPr>
        <w:t>Ramteke</w:t>
      </w:r>
      <w:proofErr w:type="spellEnd"/>
      <w:r>
        <w:rPr>
          <w:rFonts w:ascii="Times New Roman" w:hAnsi="Times New Roman" w:cs="Times New Roman"/>
          <w:sz w:val="24"/>
          <w:szCs w:val="24"/>
        </w:rPr>
        <w:t xml:space="preserve"> et al., 2024).</w:t>
      </w:r>
    </w:p>
    <w:p w14:paraId="5D9E5343" w14:textId="0E52AF9D" w:rsidR="003C3ABD" w:rsidRPr="00BE3A6C" w:rsidRDefault="003C3ABD" w:rsidP="00E64922">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2. NDVI based Above Ground Biomass (AGB) and Carbon Stock estimation</w:t>
      </w:r>
    </w:p>
    <w:p w14:paraId="2C1DDF95" w14:textId="3965CA6C" w:rsidR="00CF7FB3" w:rsidRDefault="00CF7FB3"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indicate from the (Table. 1) that soil organic carbon (SOC) sequestration potential across all selected villages of Adilabad district varying from 0.022 to 0.170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highest rate was observed in </w:t>
      </w:r>
      <w:proofErr w:type="spellStart"/>
      <w:r>
        <w:rPr>
          <w:rFonts w:ascii="Times New Roman" w:hAnsi="Times New Roman" w:cs="Times New Roman"/>
          <w:sz w:val="24"/>
          <w:szCs w:val="24"/>
        </w:rPr>
        <w:t>Sonala</w:t>
      </w:r>
      <w:proofErr w:type="spellEnd"/>
      <w:r>
        <w:rPr>
          <w:rFonts w:ascii="Times New Roman" w:hAnsi="Times New Roman" w:cs="Times New Roman"/>
          <w:sz w:val="24"/>
          <w:szCs w:val="24"/>
        </w:rPr>
        <w:t xml:space="preserve"> (0.170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followed by </w:t>
      </w:r>
      <w:proofErr w:type="spellStart"/>
      <w:r>
        <w:rPr>
          <w:rFonts w:ascii="Times New Roman" w:hAnsi="Times New Roman" w:cs="Times New Roman"/>
          <w:sz w:val="24"/>
          <w:szCs w:val="24"/>
        </w:rPr>
        <w:t>Kokasmannur</w:t>
      </w:r>
      <w:proofErr w:type="spellEnd"/>
      <w:r>
        <w:rPr>
          <w:rFonts w:ascii="Times New Roman" w:hAnsi="Times New Roman" w:cs="Times New Roman"/>
          <w:sz w:val="24"/>
          <w:szCs w:val="24"/>
        </w:rPr>
        <w:t xml:space="preserve"> (0.167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while the lowest was recorded in Ramachandrapuram (0.022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Most villages exhibited values between 0.12 and 0.16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indicating relatively consistent carbon dynamics. The overall mean sequestration rate was 0.14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suggesting moderate to high potential for carbon sequestration under prevailing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-ecological conditions.</w:t>
      </w:r>
    </w:p>
    <w:p w14:paraId="03A953F8" w14:textId="418120A9" w:rsidR="005665E6" w:rsidRDefault="003C3ABD"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Sentinel-2 derived NDVI values averaged 0.4 across cotton fields in Adilabad district during the peak growing season (June-December 2024). Both fields had a NDVI value of 0.4, which indicates that the canopy conditions were similar. The estimated above-ground biomass was significantly different, reaching 2112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in the instructional farm versus 1500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the farmers' field. The average crop growth under the prevailing conditions was moderate, with an average biomass of 1808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(Table 3).</w:t>
      </w:r>
    </w:p>
    <w:p w14:paraId="0CBCB7CB" w14:textId="2C4156A8" w:rsidR="003C3ABD" w:rsidRPr="00BE3A6C" w:rsidRDefault="00DC31C4" w:rsidP="003C3ABD">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Table 3. Estimation of carbon stock </w:t>
      </w:r>
      <w:r>
        <w:rPr>
          <w:rFonts w:ascii="Times New Roman" w:eastAsia="Times New Roman" w:hAnsi="Times New Roman" w:cs="Times New Roman"/>
          <w:b/>
          <w:bCs/>
          <w:color w:val="000000"/>
          <w:sz w:val="24"/>
          <w:szCs w:val="24"/>
        </w:rPr>
        <w:t>(t C ha</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year</w:t>
      </w:r>
      <w:r>
        <w:rPr>
          <w:rFonts w:ascii="Times New Roman" w:eastAsia="Times New Roman" w:hAnsi="Times New Roman" w:cs="Times New Roman"/>
          <w:b/>
          <w:bCs/>
          <w:color w:val="000000"/>
          <w:sz w:val="24"/>
          <w:szCs w:val="24"/>
          <w:vertAlign w:val="superscript"/>
        </w:rPr>
        <w:t>-1</w:t>
      </w:r>
      <w:r>
        <w:rPr>
          <w:rFonts w:ascii="Times New Roman" w:eastAsia="Times New Roman" w:hAnsi="Times New Roman" w:cs="Times New Roman"/>
          <w:b/>
          <w:bCs/>
          <w:color w:val="000000"/>
          <w:sz w:val="24"/>
          <w:szCs w:val="24"/>
        </w:rPr>
        <w:t xml:space="preserve">) </w:t>
      </w:r>
      <w:r>
        <w:rPr>
          <w:rFonts w:ascii="Times New Roman" w:hAnsi="Times New Roman" w:cs="Times New Roman"/>
          <w:b/>
          <w:bCs/>
          <w:sz w:val="24"/>
          <w:szCs w:val="24"/>
        </w:rPr>
        <w:t>using Above Ground Biomass (AGB) and sequestration rate</w:t>
      </w:r>
    </w:p>
    <w:tbl>
      <w:tblPr>
        <w:tblStyle w:val="TableGrid"/>
        <w:tblW w:w="0" w:type="auto"/>
        <w:tblLook w:val="04A0" w:firstRow="1" w:lastRow="0" w:firstColumn="1" w:lastColumn="0" w:noHBand="0" w:noVBand="1"/>
      </w:tblPr>
      <w:tblGrid>
        <w:gridCol w:w="1980"/>
        <w:gridCol w:w="1276"/>
        <w:gridCol w:w="2126"/>
        <w:gridCol w:w="1843"/>
        <w:gridCol w:w="1791"/>
      </w:tblGrid>
      <w:tr w:rsidR="00DD40D1" w:rsidRPr="00BE3A6C" w14:paraId="062F2184" w14:textId="77777777" w:rsidTr="00FC7A59">
        <w:trPr>
          <w:trHeight w:val="589"/>
        </w:trPr>
        <w:tc>
          <w:tcPr>
            <w:tcW w:w="1980" w:type="dxa"/>
          </w:tcPr>
          <w:p w14:paraId="436C51D2" w14:textId="03033FEC" w:rsidR="00DD40D1" w:rsidRPr="00DC31C4" w:rsidRDefault="00DD40D1" w:rsidP="00125463">
            <w:pPr>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1276" w:type="dxa"/>
          </w:tcPr>
          <w:p w14:paraId="0DFC985B" w14:textId="77777777" w:rsidR="00F46215" w:rsidRDefault="00DC31C4" w:rsidP="00F46215">
            <w:pPr>
              <w:ind w:left="-104" w:right="-106"/>
              <w:jc w:val="center"/>
              <w:rPr>
                <w:rFonts w:ascii="Times New Roman" w:hAnsi="Times New Roman" w:cs="Times New Roman"/>
                <w:b/>
                <w:bCs/>
                <w:sz w:val="24"/>
                <w:szCs w:val="24"/>
              </w:rPr>
            </w:pPr>
            <w:r>
              <w:rPr>
                <w:rFonts w:ascii="Times New Roman" w:hAnsi="Times New Roman" w:cs="Times New Roman"/>
                <w:b/>
                <w:bCs/>
                <w:sz w:val="24"/>
                <w:szCs w:val="24"/>
              </w:rPr>
              <w:t xml:space="preserve">AGB </w:t>
            </w:r>
          </w:p>
          <w:p w14:paraId="2D8BBC0F" w14:textId="5E4A82E7" w:rsidR="00DD40D1" w:rsidRPr="00DC31C4" w:rsidRDefault="00F46215" w:rsidP="00F46215">
            <w:pPr>
              <w:ind w:left="-104" w:right="-106"/>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126" w:type="dxa"/>
          </w:tcPr>
          <w:p w14:paraId="64BA4BF6" w14:textId="75715E22" w:rsidR="00DD40D1" w:rsidRPr="00DC31C4" w:rsidRDefault="00C25210"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Sequestration Rate (t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843" w:type="dxa"/>
          </w:tcPr>
          <w:p w14:paraId="2951C27E" w14:textId="77777777" w:rsidR="00F46215" w:rsidRDefault="00F46215" w:rsidP="00F46215">
            <w:pPr>
              <w:ind w:left="-106" w:right="-109"/>
              <w:jc w:val="center"/>
              <w:rPr>
                <w:rFonts w:ascii="Times New Roman" w:hAnsi="Times New Roman" w:cs="Times New Roman"/>
                <w:b/>
                <w:bCs/>
                <w:sz w:val="24"/>
                <w:szCs w:val="24"/>
              </w:rPr>
            </w:pPr>
            <w:r>
              <w:rPr>
                <w:rFonts w:ascii="Times New Roman" w:hAnsi="Times New Roman" w:cs="Times New Roman"/>
                <w:b/>
                <w:bCs/>
                <w:sz w:val="24"/>
                <w:szCs w:val="24"/>
              </w:rPr>
              <w:t xml:space="preserve">Carbon stock </w:t>
            </w:r>
          </w:p>
          <w:p w14:paraId="5A010544" w14:textId="500D4D0D" w:rsidR="00DD40D1" w:rsidRPr="00DC31C4" w:rsidRDefault="00F46215" w:rsidP="00F46215">
            <w:pPr>
              <w:ind w:left="-106" w:right="-109"/>
              <w:jc w:val="center"/>
              <w:rPr>
                <w:rFonts w:ascii="Times New Roman" w:hAnsi="Times New Roman" w:cs="Times New Roman"/>
                <w:b/>
                <w:bCs/>
                <w:sz w:val="24"/>
                <w:szCs w:val="24"/>
              </w:rPr>
            </w:pPr>
            <w:r>
              <w:rPr>
                <w:rFonts w:ascii="Times New Roman" w:hAnsi="Times New Roman" w:cs="Times New Roman"/>
                <w:b/>
                <w:bCs/>
                <w:sz w:val="24"/>
                <w:szCs w:val="24"/>
              </w:rPr>
              <w:t>(kg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791" w:type="dxa"/>
          </w:tcPr>
          <w:p w14:paraId="00FF2113" w14:textId="77777777" w:rsidR="00F46215" w:rsidRDefault="00DD40D1"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 xml:space="preserve">Carbon stock </w:t>
            </w:r>
          </w:p>
          <w:p w14:paraId="7433E6EE" w14:textId="6A28B7B5" w:rsidR="00DD40D1" w:rsidRPr="00DC31C4" w:rsidRDefault="00F46215" w:rsidP="00F46215">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(t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
        </w:tc>
      </w:tr>
      <w:tr w:rsidR="00A018AA" w:rsidRPr="00BE3A6C" w14:paraId="0D8C46F0" w14:textId="77777777" w:rsidTr="0057448B">
        <w:tc>
          <w:tcPr>
            <w:tcW w:w="1980" w:type="dxa"/>
          </w:tcPr>
          <w:p w14:paraId="59256B8A" w14:textId="7223A02E"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Farmer’s field</w:t>
            </w:r>
          </w:p>
        </w:tc>
        <w:tc>
          <w:tcPr>
            <w:tcW w:w="1276" w:type="dxa"/>
          </w:tcPr>
          <w:p w14:paraId="0B9B7BE1" w14:textId="63334CFE"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1500</w:t>
            </w:r>
          </w:p>
        </w:tc>
        <w:tc>
          <w:tcPr>
            <w:tcW w:w="2126" w:type="dxa"/>
          </w:tcPr>
          <w:p w14:paraId="66EC2C0B" w14:textId="022792C8"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0D62A2E0" w14:textId="21F3AAB0"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210.00</w:t>
            </w:r>
          </w:p>
        </w:tc>
        <w:tc>
          <w:tcPr>
            <w:tcW w:w="1791" w:type="dxa"/>
          </w:tcPr>
          <w:p w14:paraId="1C0F2F0A" w14:textId="1BE7E3E0"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0.21</w:t>
            </w:r>
          </w:p>
        </w:tc>
      </w:tr>
      <w:tr w:rsidR="00A018AA" w:rsidRPr="00BE3A6C" w14:paraId="7DF2A26B" w14:textId="77777777" w:rsidTr="0057448B">
        <w:tc>
          <w:tcPr>
            <w:tcW w:w="1980" w:type="dxa"/>
          </w:tcPr>
          <w:p w14:paraId="598A106B" w14:textId="2E5D8DB9"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Instructional farm</w:t>
            </w:r>
          </w:p>
        </w:tc>
        <w:tc>
          <w:tcPr>
            <w:tcW w:w="1276" w:type="dxa"/>
          </w:tcPr>
          <w:p w14:paraId="20A4D1A8" w14:textId="569633FF"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2112</w:t>
            </w:r>
          </w:p>
        </w:tc>
        <w:tc>
          <w:tcPr>
            <w:tcW w:w="2126" w:type="dxa"/>
          </w:tcPr>
          <w:p w14:paraId="6E0BEC60" w14:textId="00F98E75"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5A78109D" w14:textId="6593DD68"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295.68</w:t>
            </w:r>
          </w:p>
        </w:tc>
        <w:tc>
          <w:tcPr>
            <w:tcW w:w="1791" w:type="dxa"/>
          </w:tcPr>
          <w:p w14:paraId="4B224D0C" w14:textId="74A1CEC2"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0.30</w:t>
            </w:r>
          </w:p>
        </w:tc>
      </w:tr>
      <w:tr w:rsidR="00A018AA" w:rsidRPr="00BE3A6C" w14:paraId="267A2DB4" w14:textId="77777777" w:rsidTr="00F46215">
        <w:tc>
          <w:tcPr>
            <w:tcW w:w="1980" w:type="dxa"/>
          </w:tcPr>
          <w:p w14:paraId="604DD3A3" w14:textId="66B81FAB" w:rsidR="00A018AA" w:rsidRPr="00BE3A6C" w:rsidRDefault="00A018AA" w:rsidP="00A018AA">
            <w:pPr>
              <w:rPr>
                <w:rFonts w:ascii="Times New Roman" w:hAnsi="Times New Roman" w:cs="Times New Roman"/>
                <w:sz w:val="24"/>
                <w:szCs w:val="24"/>
              </w:rPr>
            </w:pPr>
            <w:r>
              <w:rPr>
                <w:rFonts w:ascii="Times New Roman" w:hAnsi="Times New Roman" w:cs="Times New Roman"/>
                <w:sz w:val="24"/>
                <w:szCs w:val="24"/>
              </w:rPr>
              <w:t>Average</w:t>
            </w:r>
          </w:p>
        </w:tc>
        <w:tc>
          <w:tcPr>
            <w:tcW w:w="1276" w:type="dxa"/>
          </w:tcPr>
          <w:p w14:paraId="24BCFC4B" w14:textId="6E93171E"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1808</w:t>
            </w:r>
          </w:p>
        </w:tc>
        <w:tc>
          <w:tcPr>
            <w:tcW w:w="2126" w:type="dxa"/>
          </w:tcPr>
          <w:p w14:paraId="01278831" w14:textId="1717DEBC"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0.14</w:t>
            </w:r>
          </w:p>
        </w:tc>
        <w:tc>
          <w:tcPr>
            <w:tcW w:w="1843" w:type="dxa"/>
          </w:tcPr>
          <w:p w14:paraId="64A06317" w14:textId="7072840D"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253.12</w:t>
            </w:r>
          </w:p>
        </w:tc>
        <w:tc>
          <w:tcPr>
            <w:tcW w:w="1791" w:type="dxa"/>
          </w:tcPr>
          <w:p w14:paraId="78065866" w14:textId="7440D95C" w:rsidR="00A018AA" w:rsidRPr="00A018AA" w:rsidRDefault="00A018AA" w:rsidP="00A018AA">
            <w:pPr>
              <w:jc w:val="center"/>
              <w:rPr>
                <w:rFonts w:ascii="Times New Roman" w:hAnsi="Times New Roman" w:cs="Times New Roman"/>
                <w:sz w:val="24"/>
                <w:szCs w:val="24"/>
              </w:rPr>
            </w:pPr>
            <w:r>
              <w:rPr>
                <w:rFonts w:ascii="Times New Roman" w:hAnsi="Times New Roman" w:cs="Times New Roman"/>
                <w:sz w:val="24"/>
                <w:szCs w:val="24"/>
              </w:rPr>
              <w:t>0.25</w:t>
            </w:r>
          </w:p>
        </w:tc>
      </w:tr>
    </w:tbl>
    <w:p w14:paraId="5F124E9D" w14:textId="2BAACBA6" w:rsidR="00FC7A59" w:rsidRDefault="00FC7A59" w:rsidP="00FC7A59">
      <w:pPr>
        <w:spacing w:before="240" w:after="80" w:line="360" w:lineRule="auto"/>
        <w:jc w:val="both"/>
        <w:rPr>
          <w:rFonts w:ascii="Times New Roman" w:hAnsi="Times New Roman" w:cs="Times New Roman"/>
          <w:sz w:val="24"/>
          <w:szCs w:val="24"/>
        </w:rPr>
      </w:pPr>
      <w:r>
        <w:rPr>
          <w:rFonts w:ascii="Times New Roman" w:hAnsi="Times New Roman" w:cs="Times New Roman"/>
          <w:sz w:val="24"/>
          <w:szCs w:val="24"/>
        </w:rPr>
        <w:t>The carbon stock estimation revealed notable variations between management conditions. The instructional farm recorded higher AGB (2112 kg ha</w:t>
      </w:r>
      <w:r>
        <w:rPr>
          <w:rFonts w:ascii="Times New Roman" w:hAnsi="Times New Roman" w:cs="Times New Roman"/>
          <w:sz w:val="24"/>
          <w:szCs w:val="24"/>
          <w:vertAlign w:val="superscript"/>
        </w:rPr>
        <w:t>-1</w:t>
      </w:r>
      <w:r>
        <w:rPr>
          <w:rFonts w:ascii="Times New Roman" w:hAnsi="Times New Roman" w:cs="Times New Roman"/>
          <w:sz w:val="24"/>
          <w:szCs w:val="24"/>
        </w:rPr>
        <w:t>), resulting in greater carbon sequestration (295.68 kg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w:t>
      </w:r>
      <w:r>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0.30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compared to the farmer’s field (1500 kg ha</w:t>
      </w:r>
      <w:r>
        <w:rPr>
          <w:rFonts w:ascii="Times New Roman" w:hAnsi="Times New Roman" w:cs="Times New Roman"/>
          <w:sz w:val="24"/>
          <w:szCs w:val="24"/>
          <w:vertAlign w:val="superscript"/>
        </w:rPr>
        <w:t>-1</w:t>
      </w:r>
      <w:r>
        <w:rPr>
          <w:rFonts w:ascii="Times New Roman" w:hAnsi="Times New Roman" w:cs="Times New Roman"/>
          <w:sz w:val="24"/>
          <w:szCs w:val="24"/>
        </w:rPr>
        <w:t>; 210.00 kg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0.21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The average carbon stock was 0.25 t C year</w:t>
      </w:r>
      <w:r>
        <w:rPr>
          <w:rFonts w:ascii="Times New Roman" w:hAnsi="Times New Roman" w:cs="Times New Roman"/>
          <w:sz w:val="24"/>
          <w:szCs w:val="24"/>
          <w:vertAlign w:val="superscript"/>
        </w:rPr>
        <w:t>-1</w:t>
      </w:r>
      <w:r>
        <w:rPr>
          <w:rFonts w:ascii="Times New Roman" w:hAnsi="Times New Roman" w:cs="Times New Roman"/>
          <w:sz w:val="24"/>
          <w:szCs w:val="24"/>
        </w:rPr>
        <w:t>, which indicates a moderate sequestration potential. Carbon accumulation was primarily governed by differences in biomass production while estimation was consistent across sites due to the uniform carbon sequestration rate (0.14</w:t>
      </w:r>
      <w:r>
        <w:rPr>
          <w:rFonts w:ascii="Times New Roman" w:hAnsi="Times New Roman" w:cs="Times New Roman"/>
          <w:b/>
          <w:bCs/>
          <w:sz w:val="24"/>
          <w:szCs w:val="24"/>
        </w:rPr>
        <w:t xml:space="preserve"> </w:t>
      </w:r>
      <w:r>
        <w:rPr>
          <w:rFonts w:ascii="Times New Roman" w:hAnsi="Times New Roman" w:cs="Times New Roman"/>
          <w:sz w:val="24"/>
          <w:szCs w:val="24"/>
        </w:rPr>
        <w:t>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This study highlights how improved agronomic practices can improve carbon sequestration in </w:t>
      </w:r>
      <w:proofErr w:type="gramStart"/>
      <w:r>
        <w:rPr>
          <w:rFonts w:ascii="Times New Roman" w:hAnsi="Times New Roman" w:cs="Times New Roman"/>
          <w:sz w:val="24"/>
          <w:szCs w:val="24"/>
        </w:rPr>
        <w:t>cotton based</w:t>
      </w:r>
      <w:proofErr w:type="gramEnd"/>
      <w:r>
        <w:rPr>
          <w:rFonts w:ascii="Times New Roman" w:hAnsi="Times New Roman" w:cs="Times New Roman"/>
          <w:sz w:val="24"/>
          <w:szCs w:val="24"/>
        </w:rPr>
        <w:t xml:space="preserve"> systems (Parihar et al., 2022).</w:t>
      </w:r>
    </w:p>
    <w:p w14:paraId="7A56D851" w14:textId="2F8778DD" w:rsidR="003C3ABD" w:rsidRPr="00BE3A6C" w:rsidRDefault="00444A27" w:rsidP="00FA5BA3">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District level carbon sequestration potential</w:t>
      </w:r>
    </w:p>
    <w:p w14:paraId="70B596D4" w14:textId="3F584393" w:rsidR="003C3ABD" w:rsidRPr="00BE3A6C" w:rsidRDefault="003C3ABD" w:rsidP="003C3AB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Extrapolating the carbon stock estimates across the district cotton area yields a total carbon sequestration potential of </w:t>
      </w:r>
      <w:r w:rsidRPr="00BF3489">
        <w:rPr>
          <w:rFonts w:ascii="Times New Roman" w:hAnsi="Times New Roman" w:cs="Times New Roman"/>
          <w:color w:val="000000" w:themeColor="text1"/>
          <w:sz w:val="24"/>
          <w:szCs w:val="24"/>
        </w:rPr>
        <w:t xml:space="preserve">52,147 t C/year </w:t>
      </w:r>
      <w:r>
        <w:rPr>
          <w:rFonts w:ascii="Times New Roman" w:hAnsi="Times New Roman" w:cs="Times New Roman"/>
          <w:sz w:val="24"/>
          <w:szCs w:val="24"/>
        </w:rPr>
        <w:t xml:space="preserve">from the biomass approach (Table 4). The SOC-based approach, using the </w:t>
      </w:r>
      <w:proofErr w:type="spellStart"/>
      <w:r>
        <w:rPr>
          <w:rFonts w:ascii="Times New Roman" w:hAnsi="Times New Roman" w:cs="Times New Roman"/>
          <w:sz w:val="24"/>
          <w:szCs w:val="24"/>
        </w:rPr>
        <w:t>GSOCseq</w:t>
      </w:r>
      <w:proofErr w:type="spellEnd"/>
      <w:r>
        <w:rPr>
          <w:rFonts w:ascii="Times New Roman" w:hAnsi="Times New Roman" w:cs="Times New Roman"/>
          <w:sz w:val="24"/>
          <w:szCs w:val="24"/>
        </w:rPr>
        <w:t xml:space="preserve"> average rate of 0.14 t/ha/year across the </w:t>
      </w:r>
      <w:proofErr w:type="gramStart"/>
      <w:r>
        <w:rPr>
          <w:rFonts w:ascii="Times New Roman" w:hAnsi="Times New Roman" w:cs="Times New Roman"/>
          <w:sz w:val="24"/>
          <w:szCs w:val="24"/>
        </w:rPr>
        <w:t>160000 ha</w:t>
      </w:r>
      <w:proofErr w:type="gramEnd"/>
      <w:r>
        <w:rPr>
          <w:rFonts w:ascii="Times New Roman" w:hAnsi="Times New Roman" w:cs="Times New Roman"/>
          <w:sz w:val="24"/>
          <w:szCs w:val="24"/>
        </w:rPr>
        <w:t xml:space="preserve"> normal </w:t>
      </w:r>
      <w:r>
        <w:rPr>
          <w:rFonts w:ascii="Times New Roman" w:hAnsi="Times New Roman" w:cs="Times New Roman"/>
          <w:sz w:val="24"/>
          <w:szCs w:val="24"/>
        </w:rPr>
        <w:lastRenderedPageBreak/>
        <w:t xml:space="preserve">cropped area, yields a complementary estimate of </w:t>
      </w:r>
      <w:r w:rsidRPr="00BF3489">
        <w:rPr>
          <w:rFonts w:ascii="Times New Roman" w:hAnsi="Times New Roman" w:cs="Times New Roman"/>
          <w:color w:val="000000" w:themeColor="text1"/>
          <w:sz w:val="24"/>
          <w:szCs w:val="24"/>
        </w:rPr>
        <w:t>30,800 t C/year</w:t>
      </w:r>
      <w:r>
        <w:rPr>
          <w:rFonts w:ascii="Times New Roman" w:hAnsi="Times New Roman" w:cs="Times New Roman"/>
          <w:sz w:val="24"/>
          <w:szCs w:val="24"/>
        </w:rPr>
        <w:t>. The difference between the two estimates (21,347 t C/year) likely reflects the fraction of above-ground biomass carbon that is respired or lost rather than stabilized in the soil. Under realistic decomposition and humification assumptions (15-25% humification efficiency for crop residues in tropical soils), these two estimates converge to a plausible stable carbon sequestration rate of ~0.14-0.33 t C/ha/year.</w:t>
      </w:r>
    </w:p>
    <w:p w14:paraId="54D842B9" w14:textId="4B21BA54" w:rsidR="00397735" w:rsidRDefault="002532EC" w:rsidP="003C3ABD">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Estimation of total carbon sequestration potential for Adilabad district through </w:t>
      </w:r>
      <w:proofErr w:type="spellStart"/>
      <w:r>
        <w:rPr>
          <w:rFonts w:ascii="Times New Roman" w:hAnsi="Times New Roman" w:cs="Times New Roman"/>
          <w:b/>
          <w:bCs/>
          <w:sz w:val="24"/>
          <w:szCs w:val="24"/>
        </w:rPr>
        <w:t>insitu</w:t>
      </w:r>
      <w:proofErr w:type="spellEnd"/>
      <w:r>
        <w:rPr>
          <w:rFonts w:ascii="Times New Roman" w:hAnsi="Times New Roman" w:cs="Times New Roman"/>
          <w:b/>
          <w:bCs/>
          <w:sz w:val="24"/>
          <w:szCs w:val="24"/>
        </w:rPr>
        <w:t xml:space="preserve"> incorporation of cotton biomass</w:t>
      </w:r>
    </w:p>
    <w:tbl>
      <w:tblPr>
        <w:tblStyle w:val="TableGrid"/>
        <w:tblW w:w="5000" w:type="pct"/>
        <w:tblLook w:val="04A0" w:firstRow="1" w:lastRow="0" w:firstColumn="1" w:lastColumn="0" w:noHBand="0" w:noVBand="1"/>
      </w:tblPr>
      <w:tblGrid>
        <w:gridCol w:w="2761"/>
        <w:gridCol w:w="1913"/>
        <w:gridCol w:w="4342"/>
      </w:tblGrid>
      <w:tr w:rsidR="00283BC8" w:rsidRPr="00BE3A6C" w14:paraId="4A5A3624" w14:textId="77777777" w:rsidTr="00224B14">
        <w:trPr>
          <w:trHeight w:val="619"/>
        </w:trPr>
        <w:tc>
          <w:tcPr>
            <w:tcW w:w="1531" w:type="pct"/>
            <w:vAlign w:val="center"/>
          </w:tcPr>
          <w:p w14:paraId="4C0BD2CE" w14:textId="360BF840"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District cotton area (ha) (approx.)</w:t>
            </w:r>
          </w:p>
        </w:tc>
        <w:tc>
          <w:tcPr>
            <w:tcW w:w="1061" w:type="pct"/>
            <w:vAlign w:val="center"/>
          </w:tcPr>
          <w:p w14:paraId="75906845" w14:textId="715BA4A5" w:rsidR="00283BC8" w:rsidRDefault="00283BC8" w:rsidP="00C571D1">
            <w:pPr>
              <w:ind w:left="-109" w:right="-112"/>
              <w:jc w:val="center"/>
              <w:rPr>
                <w:rFonts w:ascii="Times New Roman" w:hAnsi="Times New Roman" w:cs="Times New Roman"/>
                <w:b/>
                <w:bCs/>
                <w:sz w:val="24"/>
                <w:szCs w:val="24"/>
              </w:rPr>
            </w:pPr>
            <w:r>
              <w:rPr>
                <w:rFonts w:ascii="Times New Roman" w:hAnsi="Times New Roman" w:cs="Times New Roman"/>
                <w:b/>
                <w:bCs/>
                <w:sz w:val="24"/>
                <w:szCs w:val="24"/>
              </w:rPr>
              <w:t>Carbon stock</w:t>
            </w:r>
          </w:p>
          <w:p w14:paraId="7CA30A8A" w14:textId="3FFD0CFD"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(t C ha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2408" w:type="pct"/>
            <w:vAlign w:val="center"/>
          </w:tcPr>
          <w:p w14:paraId="73650E46" w14:textId="77777777" w:rsidR="00283BC8"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Sequestration potential for the district</w:t>
            </w:r>
          </w:p>
          <w:p w14:paraId="25BFCE4D" w14:textId="6CFB1117" w:rsidR="00283BC8" w:rsidRPr="00BE3A6C" w:rsidRDefault="00283BC8" w:rsidP="00C571D1">
            <w:pPr>
              <w:jc w:val="center"/>
              <w:rPr>
                <w:rFonts w:ascii="Times New Roman" w:hAnsi="Times New Roman" w:cs="Times New Roman"/>
                <w:b/>
                <w:bCs/>
                <w:sz w:val="24"/>
                <w:szCs w:val="24"/>
              </w:rPr>
            </w:pPr>
            <w:r>
              <w:rPr>
                <w:rFonts w:ascii="Times New Roman" w:hAnsi="Times New Roman" w:cs="Times New Roman"/>
                <w:b/>
                <w:bCs/>
                <w:sz w:val="24"/>
                <w:szCs w:val="24"/>
              </w:rPr>
              <w:t>(t C year</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283BC8" w:rsidRPr="00BE3A6C" w14:paraId="3897E473" w14:textId="77777777" w:rsidTr="00224B14">
        <w:trPr>
          <w:trHeight w:val="256"/>
        </w:trPr>
        <w:tc>
          <w:tcPr>
            <w:tcW w:w="1531" w:type="pct"/>
            <w:vAlign w:val="center"/>
          </w:tcPr>
          <w:p w14:paraId="01DBD893" w14:textId="72B179D1" w:rsidR="00283BC8" w:rsidRPr="00BE3A6C" w:rsidRDefault="00283BC8" w:rsidP="00C571D1">
            <w:pPr>
              <w:jc w:val="center"/>
              <w:rPr>
                <w:rFonts w:ascii="Times New Roman" w:hAnsi="Times New Roman" w:cs="Times New Roman"/>
                <w:sz w:val="24"/>
                <w:szCs w:val="24"/>
              </w:rPr>
            </w:pPr>
            <w:r>
              <w:rPr>
                <w:rFonts w:ascii="Times New Roman" w:hAnsi="Times New Roman" w:cs="Times New Roman"/>
                <w:sz w:val="24"/>
                <w:szCs w:val="24"/>
              </w:rPr>
              <w:t>160000</w:t>
            </w:r>
          </w:p>
        </w:tc>
        <w:tc>
          <w:tcPr>
            <w:tcW w:w="1061" w:type="pct"/>
            <w:vAlign w:val="center"/>
          </w:tcPr>
          <w:p w14:paraId="6A103C8B" w14:textId="48B7A615" w:rsidR="00283BC8" w:rsidRPr="00BE3A6C" w:rsidRDefault="00283BC8" w:rsidP="00C571D1">
            <w:pPr>
              <w:jc w:val="center"/>
              <w:rPr>
                <w:rFonts w:ascii="Times New Roman" w:hAnsi="Times New Roman" w:cs="Times New Roman"/>
                <w:sz w:val="24"/>
                <w:szCs w:val="24"/>
              </w:rPr>
            </w:pPr>
            <w:r>
              <w:rPr>
                <w:rFonts w:ascii="Times New Roman" w:hAnsi="Times New Roman" w:cs="Times New Roman"/>
                <w:sz w:val="24"/>
                <w:szCs w:val="24"/>
              </w:rPr>
              <w:t>0.25</w:t>
            </w:r>
          </w:p>
        </w:tc>
        <w:tc>
          <w:tcPr>
            <w:tcW w:w="2408" w:type="pct"/>
            <w:vAlign w:val="center"/>
          </w:tcPr>
          <w:p w14:paraId="7E770F6E" w14:textId="1EE73E57" w:rsidR="00283BC8" w:rsidRPr="00BE3A6C" w:rsidRDefault="00224B14" w:rsidP="00C571D1">
            <w:pPr>
              <w:jc w:val="center"/>
              <w:rPr>
                <w:rFonts w:ascii="Times New Roman" w:hAnsi="Times New Roman" w:cs="Times New Roman"/>
                <w:sz w:val="24"/>
                <w:szCs w:val="24"/>
              </w:rPr>
            </w:pPr>
            <w:r>
              <w:rPr>
                <w:rFonts w:ascii="Times New Roman" w:hAnsi="Times New Roman" w:cs="Times New Roman"/>
                <w:sz w:val="24"/>
                <w:szCs w:val="24"/>
              </w:rPr>
              <w:t>40000</w:t>
            </w:r>
          </w:p>
        </w:tc>
      </w:tr>
    </w:tbl>
    <w:p w14:paraId="4A359BB1" w14:textId="25F3B38E" w:rsidR="00224B14" w:rsidRDefault="007A41C3" w:rsidP="007A41C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Cotton based systems that incorporate in situ biomass indicate a moderate level of carbon sequestration, with an estimated average carbon stock of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Field-level observations revealed that variations in above-ground biomass production directly influenced carbon stocks, with higher biomass contributing proportionally to greater carbon accumulation in soil (</w:t>
      </w:r>
      <w:proofErr w:type="spellStart"/>
      <w:r>
        <w:rPr>
          <w:rFonts w:ascii="Times New Roman" w:hAnsi="Times New Roman" w:cs="Times New Roman"/>
          <w:sz w:val="24"/>
          <w:szCs w:val="24"/>
        </w:rPr>
        <w:t>Anantha</w:t>
      </w:r>
      <w:proofErr w:type="spellEnd"/>
      <w:r>
        <w:rPr>
          <w:rFonts w:ascii="Times New Roman" w:hAnsi="Times New Roman" w:cs="Times New Roman"/>
          <w:sz w:val="24"/>
          <w:szCs w:val="24"/>
        </w:rPr>
        <w:t xml:space="preserve"> et al., 2018; </w:t>
      </w:r>
      <w:proofErr w:type="spellStart"/>
      <w:r>
        <w:rPr>
          <w:rFonts w:ascii="Times New Roman" w:hAnsi="Times New Roman" w:cs="Times New Roman"/>
          <w:sz w:val="24"/>
          <w:szCs w:val="24"/>
        </w:rPr>
        <w:t>Netsianda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Mhangara</w:t>
      </w:r>
      <w:proofErr w:type="spellEnd"/>
      <w:r>
        <w:rPr>
          <w:rFonts w:ascii="Times New Roman" w:hAnsi="Times New Roman" w:cs="Times New Roman"/>
          <w:sz w:val="24"/>
          <w:szCs w:val="24"/>
        </w:rPr>
        <w:t>, 2025). When extrapolated to the district scale, the total sequestration potential was estimated at 40,000 tons of carbon per year over 160,000 hectares (Table 4), demonstrating substantial cumulative impact.</w:t>
      </w:r>
    </w:p>
    <w:p w14:paraId="47A3A1E7" w14:textId="183CF33A" w:rsidR="007A41C3" w:rsidRDefault="007A41C3" w:rsidP="00CE613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Converting the district total estimated carbon sequestration potential 40,000 tons of carbon per year over 160,000 hectares can capture 1,46,667 t of atmospheric CO</w:t>
      </w:r>
      <w:r>
        <w:rPr>
          <w:rFonts w:ascii="Cambria Math" w:hAnsi="Cambria Math" w:cs="Cambria Math"/>
          <w:sz w:val="24"/>
          <w:szCs w:val="24"/>
        </w:rPr>
        <w:t>₂</w:t>
      </w:r>
      <w:r>
        <w:rPr>
          <w:rFonts w:ascii="Times New Roman" w:hAnsi="Times New Roman" w:cs="Times New Roman"/>
          <w:sz w:val="24"/>
          <w:szCs w:val="24"/>
        </w:rPr>
        <w:t xml:space="preserve"> per year. Formula is given below.</w:t>
      </w:r>
    </w:p>
    <w:p w14:paraId="360EE9A1" w14:textId="30B4F220" w:rsidR="007A41C3" w:rsidRDefault="007A41C3" w:rsidP="00C241D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[Atmospheric CO</w:t>
      </w:r>
      <w:r>
        <w:rPr>
          <w:rFonts w:ascii="Cambria Math" w:hAnsi="Cambria Math" w:cs="Cambria Math"/>
          <w:sz w:val="24"/>
          <w:szCs w:val="24"/>
        </w:rPr>
        <w:t>₂</w:t>
      </w:r>
      <w:r>
        <w:rPr>
          <w:rFonts w:ascii="Times New Roman" w:hAnsi="Times New Roman" w:cs="Times New Roman"/>
          <w:sz w:val="24"/>
          <w:szCs w:val="24"/>
        </w:rPr>
        <w:t xml:space="preserve"> Capture (t CO</w:t>
      </w:r>
      <w:r>
        <w:rPr>
          <w:rFonts w:ascii="Cambria Math" w:hAnsi="Cambria Math" w:cs="Cambria Math"/>
          <w:sz w:val="24"/>
          <w:szCs w:val="24"/>
        </w:rPr>
        <w:t>₂</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 Sequestration Potential (t C year</w:t>
      </w:r>
      <w:r>
        <w:rPr>
          <w:rFonts w:ascii="Times New Roman" w:hAnsi="Times New Roman" w:cs="Times New Roman"/>
          <w:sz w:val="24"/>
          <w:szCs w:val="24"/>
          <w:vertAlign w:val="superscript"/>
        </w:rPr>
        <w:t>-1</w:t>
      </w:r>
      <w:r>
        <w:rPr>
          <w:rFonts w:ascii="Times New Roman" w:hAnsi="Times New Roman" w:cs="Times New Roman"/>
          <w:sz w:val="24"/>
          <w:szCs w:val="24"/>
        </w:rPr>
        <w:t>) × 3.67]</w:t>
      </w:r>
    </w:p>
    <w:p w14:paraId="26066AA2" w14:textId="55ECD64E" w:rsidR="007319FC" w:rsidRPr="002949C2" w:rsidRDefault="00C241DE" w:rsidP="00C241DE">
      <w:pPr>
        <w:spacing w:before="80" w:after="80" w:line="360" w:lineRule="auto"/>
        <w:jc w:val="both"/>
        <w:rPr>
          <w:rFonts w:ascii="Times New Roman" w:hAnsi="Times New Roman" w:cs="Times New Roman"/>
          <w:b/>
          <w:bCs/>
          <w:color w:val="171717" w:themeColor="background2" w:themeShade="1A"/>
          <w:sz w:val="24"/>
          <w:szCs w:val="24"/>
        </w:rPr>
      </w:pPr>
      <w:r w:rsidRPr="002949C2">
        <w:rPr>
          <w:rFonts w:ascii="Times New Roman" w:hAnsi="Times New Roman" w:cs="Times New Roman"/>
          <w:b/>
          <w:bCs/>
          <w:color w:val="171717" w:themeColor="background2" w:themeShade="1A"/>
          <w:sz w:val="24"/>
          <w:szCs w:val="24"/>
        </w:rPr>
        <w:t>STRATEGY FOR INCREASING ADOPTION OF SOIL CARBON SEQUESTRATION</w:t>
      </w:r>
    </w:p>
    <w:p w14:paraId="710E0098" w14:textId="52057B9B" w:rsidR="00C241DE" w:rsidRPr="00BE3A6C" w:rsidRDefault="00C241DE" w:rsidP="00C241DE">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1. Farmer Awareness and Capacity Building</w:t>
      </w:r>
    </w:p>
    <w:p w14:paraId="4139B60A" w14:textId="659D76B6" w:rsidR="00C241DE" w:rsidRPr="00BE3A6C" w:rsidRDefault="00C241DE" w:rsidP="00C241D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Knowledge gaps remain the primary barrier to residue incorporation adoption in Adilabad. Many farmers perceive residue burning as a convenient and cost-free field-clearance method, unaware of its long-term soil health costs and the emerging economic value of carbon. A structured awareness campaign through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(KVKs), the Farmers' Producer Organizations (FPOs) and digital channels (using social media) should communicate: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tangible soil fertility benefits of residue incorporation within 2-3 seasons, (ii) savings on chemical fertilizer costs due to improved nutrient cycling and (iii) emerging opportunities under carbon markets and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-carbon credit schemes.</w:t>
      </w:r>
    </w:p>
    <w:p w14:paraId="57F1897C" w14:textId="7170D9DB" w:rsidR="007319FC" w:rsidRDefault="00C241DE" w:rsidP="007319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Demonstration plots ('Krishi Darshan' units) at the village level similar to the Instructional Farm approach used in this study   can provide visible proof of practice benefits. Evidence from comparable programs in Maharashtra's Vidarbha region shows that on-farm demonstrations increase residue management adoption rates by 35-50% compared to extension meetings alone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w:t>
      </w:r>
    </w:p>
    <w:p w14:paraId="63C5C47D" w14:textId="26887E31" w:rsidR="009F645F" w:rsidRDefault="009F645F" w:rsidP="009F645F">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2. Organizing training programmes</w:t>
      </w:r>
    </w:p>
    <w:p w14:paraId="52591B38" w14:textId="05F6F27C" w:rsidR="009F645F" w:rsidRPr="009F645F" w:rsidRDefault="009F645F" w:rsidP="007319FC">
      <w:pPr>
        <w:spacing w:before="80" w:after="80" w:line="360" w:lineRule="auto"/>
        <w:jc w:val="both"/>
        <w:rPr>
          <w:rFonts w:ascii="Times New Roman" w:hAnsi="Times New Roman" w:cs="Times New Roman"/>
          <w:b/>
          <w:bCs/>
          <w:sz w:val="24"/>
          <w:szCs w:val="24"/>
        </w:rPr>
      </w:pPr>
      <w:r>
        <w:rPr>
          <w:rFonts w:ascii="Times New Roman" w:hAnsi="Times New Roman" w:cs="Times New Roman"/>
          <w:sz w:val="24"/>
          <w:szCs w:val="24"/>
        </w:rPr>
        <w:t>Strengthening extension services and farmer capacity building</w:t>
      </w:r>
      <w:r>
        <w:rPr>
          <w:rFonts w:ascii="Times New Roman" w:hAnsi="Times New Roman" w:cs="Times New Roman"/>
          <w:sz w:val="24"/>
          <w:szCs w:val="24"/>
        </w:rPr>
        <w:br/>
        <w:t>Robust extension systems are critical for translating scientific knowledge into field-level adoption. Training programs should focus on demonstrating biomass incorporation benefits, residue decomposition dynamics, and soil health improvements. Participatory approaches, including on-farm demonstrations and farmer field schools, have been shown to significantly increase adoption of sustainable soil management practices (Lal, 2004).</w:t>
      </w:r>
    </w:p>
    <w:p w14:paraId="2A33C5E9" w14:textId="75FB4264" w:rsidR="00C241DE" w:rsidRPr="00BE3A6C" w:rsidRDefault="009F645F" w:rsidP="007319FC">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3. Mechanization support for residue management</w:t>
      </w:r>
    </w:p>
    <w:p w14:paraId="6CAFE4E4" w14:textId="2CB7E60E" w:rsidR="00E42D03" w:rsidRPr="00BE3A6C" w:rsidRDefault="00C241DE" w:rsidP="00E42D0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A critical practical barrier to residue incorporation is the lack of affordable machinery for chopping and incorporating cotton stalks. The thick, woody stems of cotton require specialized shredders or mulchers. The Telangana government's farm mechanization scheme (RIDF and RKVY funds) should be leveraged to establish Custom Hiring Centres (CHCs) in each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equipped with tractor-mounted residue shredders and disc harrows. Subsidizing CHC rentals by 50% for small and marginal farmers (land holding &lt; 2 ha) during the critical November-December post-harvest window would make mechanization economically viable.</w:t>
      </w:r>
    </w:p>
    <w:p w14:paraId="64C5B477" w14:textId="77F47C58" w:rsidR="00C241DE" w:rsidRPr="00BE3A6C" w:rsidRDefault="009F645F" w:rsidP="00E42D03">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4. Policy and regulatory framework</w:t>
      </w:r>
    </w:p>
    <w:p w14:paraId="356CD60E" w14:textId="64E01C26" w:rsidR="00E42D03" w:rsidRPr="00BE3A6C" w:rsidRDefault="00C241DE" w:rsidP="00E42D03">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Telangana should enforce and expand the existing ban on crop residue burning under the National Green Tribunal (NGT) orders, while simultaneously offering positive incentives rather than relying solely on punitive measures. A dedicated 'Adilabad Carbon Agriculture' policy framework could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input subsidies (organic matter, bioinoculants) conditional on no residue burning certification; (ii) a premium price support for cotton from fields with documented residue management and (iii) linking residue management compliance to access to the PM-KISAN and other government transfer programs. These 'carrots and sticks' approaches have proved effective in shifting farmer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in Punjab wheat-rice systems regarding stubble burning.</w:t>
      </w:r>
    </w:p>
    <w:p w14:paraId="653360DD" w14:textId="0980126D" w:rsidR="00C241DE" w:rsidRPr="00BE3A6C" w:rsidRDefault="009F645F" w:rsidP="00E42D03">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5. Carbon market linkages and finance</w:t>
      </w:r>
    </w:p>
    <w:p w14:paraId="75FDB5C7" w14:textId="1D316846" w:rsidR="001B11FC" w:rsidRPr="00BE3A6C" w:rsidRDefault="00C241DE" w:rsidP="001B11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India's emerging voluntary carbon market and the government-backed Carbon Credit Trading Scheme (CCTS) under the Energy Conservation Act 2022 provide an enabling policy environment for monetizing agricultural SOC gains. At 0.25 t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3.67 = 0.92 t CO₂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-1</w:t>
      </w:r>
      <w:r>
        <w:rPr>
          <w:rFonts w:ascii="Times New Roman" w:hAnsi="Times New Roman" w:cs="Times New Roman"/>
          <w:sz w:val="24"/>
          <w:szCs w:val="24"/>
        </w:rPr>
        <w:t>, even modest carbon prices of USD 5-15/t CO₂ (voluntary market range for agricultural soil carbon) would provide an additional income of USD 4.6-13.8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year</w:t>
      </w:r>
      <w:r>
        <w:rPr>
          <w:rFonts w:ascii="Times New Roman" w:hAnsi="Times New Roman" w:cs="Times New Roman"/>
          <w:sz w:val="24"/>
          <w:szCs w:val="24"/>
          <w:vertAlign w:val="superscript"/>
        </w:rPr>
        <w:t xml:space="preserve">-1 </w:t>
      </w:r>
      <w:r>
        <w:rPr>
          <w:rFonts w:ascii="Times New Roman" w:hAnsi="Times New Roman" w:cs="Times New Roman"/>
          <w:sz w:val="24"/>
          <w:szCs w:val="24"/>
        </w:rPr>
        <w:t>to Adilabad cotton farmers. To access these markets, farmer groups need: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aggregation into FPOs or cooperatives for transaction cost viability; (ii) standardized monitoring, reporting, and verification (MRV) protocols; and (iii) technical assistance for carbon project registration (e.g., under </w:t>
      </w:r>
      <w:proofErr w:type="spellStart"/>
      <w:r>
        <w:rPr>
          <w:rFonts w:ascii="Times New Roman" w:hAnsi="Times New Roman" w:cs="Times New Roman"/>
          <w:sz w:val="24"/>
          <w:szCs w:val="24"/>
        </w:rPr>
        <w:t>Verra's</w:t>
      </w:r>
      <w:proofErr w:type="spellEnd"/>
      <w:r>
        <w:rPr>
          <w:rFonts w:ascii="Times New Roman" w:hAnsi="Times New Roman" w:cs="Times New Roman"/>
          <w:sz w:val="24"/>
          <w:szCs w:val="24"/>
        </w:rPr>
        <w:t xml:space="preserve"> VM0042 methodology for agricultural soils).</w:t>
      </w:r>
    </w:p>
    <w:p w14:paraId="530FBB2C" w14:textId="368A7D66" w:rsidR="00C241DE" w:rsidRPr="00BE3A6C" w:rsidRDefault="009F645F" w:rsidP="001B11FC">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6. Digital monitoring and verification</w:t>
      </w:r>
    </w:p>
    <w:p w14:paraId="4032A898" w14:textId="1A4679D3" w:rsidR="001B11FC" w:rsidRPr="00BE3A6C" w:rsidRDefault="00C241DE" w:rsidP="001B11FC">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Scaling carbon sequestration verification across 1,60,000 ha requires cost-effective remote sensing-based MRV. The VEDAS NDVI time-series platform used in this study, combined with the ISRO's </w:t>
      </w:r>
      <w:proofErr w:type="spellStart"/>
      <w:r>
        <w:rPr>
          <w:rFonts w:ascii="Times New Roman" w:hAnsi="Times New Roman" w:cs="Times New Roman"/>
          <w:sz w:val="24"/>
          <w:szCs w:val="24"/>
        </w:rPr>
        <w:t>Bhuvan</w:t>
      </w:r>
      <w:proofErr w:type="spellEnd"/>
      <w:r>
        <w:rPr>
          <w:rFonts w:ascii="Times New Roman" w:hAnsi="Times New Roman" w:cs="Times New Roman"/>
          <w:sz w:val="24"/>
          <w:szCs w:val="24"/>
        </w:rPr>
        <w:t xml:space="preserve"> geoportal and FAO </w:t>
      </w:r>
      <w:proofErr w:type="spellStart"/>
      <w:r>
        <w:rPr>
          <w:rFonts w:ascii="Times New Roman" w:hAnsi="Times New Roman" w:cs="Times New Roman"/>
          <w:sz w:val="24"/>
          <w:szCs w:val="24"/>
        </w:rPr>
        <w:t>GSOCseq</w:t>
      </w:r>
      <w:proofErr w:type="spellEnd"/>
      <w:r>
        <w:rPr>
          <w:rFonts w:ascii="Times New Roman" w:hAnsi="Times New Roman" w:cs="Times New Roman"/>
          <w:sz w:val="24"/>
          <w:szCs w:val="24"/>
        </w:rPr>
        <w:t xml:space="preserve"> maps, provides a foundational framework that can be operationalized at scale. A district-level digital carbon monitoring dashboard   integrated with existing state crop survey data (</w:t>
      </w:r>
      <w:proofErr w:type="spellStart"/>
      <w:r>
        <w:rPr>
          <w:rFonts w:ascii="Times New Roman" w:hAnsi="Times New Roman" w:cs="Times New Roman"/>
          <w:sz w:val="24"/>
          <w:szCs w:val="24"/>
        </w:rPr>
        <w:t>Adangal</w:t>
      </w:r>
      <w:proofErr w:type="spellEnd"/>
      <w:r>
        <w:rPr>
          <w:rFonts w:ascii="Times New Roman" w:hAnsi="Times New Roman" w:cs="Times New Roman"/>
          <w:sz w:val="24"/>
          <w:szCs w:val="24"/>
        </w:rPr>
        <w:t xml:space="preserve"> records) and soil health card information   would enable transparent, auditable tracking of residue management area, estimated carbon stocks and trend monitoring. Machine learning algorithms trained on ground-truth data can extrapolate fine-scale NDVI-based biomass estimates across the entire district at low marginal cost.</w:t>
      </w:r>
    </w:p>
    <w:p w14:paraId="2F14BD2F" w14:textId="76CBD29A" w:rsidR="00C241DE" w:rsidRPr="00BE3A6C" w:rsidRDefault="009F645F" w:rsidP="001B11FC">
      <w:pPr>
        <w:spacing w:before="80"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7. Research and long-term monitoring</w:t>
      </w:r>
    </w:p>
    <w:p w14:paraId="737F03BE" w14:textId="77777777" w:rsidR="00B92DD8" w:rsidRDefault="00C241DE" w:rsidP="00B92DD8">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Long-term experimental plots (minimum 10-15 years) established at representative sites in Adilabad should monitor actual SOC stock changes under cotton residue incorporation relative to control plots (residue burning). These experiments should: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stratify treatments by soil type, topographic position and rainfall gradient; (ii) collect soil samples annually at multiple depths (0-15, 15-30, 30-60 cm); (iii) monitor soil biological health indicators alongside carbon; and (iv) develop and validate region-specific NDVI-biomass-carbon equations for improved remote sensing estimates. Collaboration between PJTAU/ANGRAU/ICAR-CRIDA and the Adilabad district administration will be essential for sustaining these monitoring efforts.</w:t>
      </w:r>
    </w:p>
    <w:p w14:paraId="0D000B51" w14:textId="78A7ACDB" w:rsidR="00B92DD8" w:rsidRPr="00BE3A6C" w:rsidRDefault="00B92DD8" w:rsidP="00C241D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8. Site-specific nutrient and moisture management</w:t>
      </w:r>
      <w:r>
        <w:rPr>
          <w:rFonts w:ascii="Times New Roman" w:hAnsi="Times New Roman" w:cs="Times New Roman"/>
          <w:sz w:val="24"/>
          <w:szCs w:val="24"/>
        </w:rPr>
        <w:br/>
        <w:t xml:space="preserve">Efficient decomposition and stabilization of incorporated biomass depend on balanced nutrient supply and soil moisture conditions. Application of nitrogen along with residues accelerates microbial activity and humification processes. In semi-arid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xml:space="preserve">, moisture conservation </w:t>
      </w:r>
      <w:r>
        <w:rPr>
          <w:rFonts w:ascii="Times New Roman" w:hAnsi="Times New Roman" w:cs="Times New Roman"/>
          <w:sz w:val="24"/>
          <w:szCs w:val="24"/>
        </w:rPr>
        <w:lastRenderedPageBreak/>
        <w:t>practices further enhance carbon retention. Research confirms that integrated nutrient management significantly improves SOC sequestration efficiency</w:t>
      </w:r>
      <w:r w:rsidR="00172EBC">
        <w:rPr>
          <w:rFonts w:ascii="Times New Roman" w:hAnsi="Times New Roman" w:cs="Times New Roman"/>
          <w:sz w:val="24"/>
          <w:szCs w:val="24"/>
        </w:rPr>
        <w:t>.</w:t>
      </w:r>
    </w:p>
    <w:p w14:paraId="03FA9BE5" w14:textId="435AFEC0" w:rsidR="001C4FCA" w:rsidRPr="00BE3A6C" w:rsidRDefault="00897EA8" w:rsidP="001C4FCA">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28F87A17" w14:textId="58F48B97" w:rsidR="001C4FCA" w:rsidRPr="00BE3A6C" w:rsidRDefault="001C4FCA" w:rsidP="00897EA8">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provides the first comprehensive assessment of carbon sequestration potential through cotton crop residue incorporation in Adilabad district, Telangana. The present study demonstrates that in situ incorporation of cotton biomass can significantly enhance soil carbon sequestration in the Adilabad district. The average carbon stock was estimated at 0.25 t C ha-1 year-1 and by extrapolating across 160,000 ha under cotton, it was determined that the district could capture 40,000 t C year-1, equivalent to </w:t>
      </w:r>
      <w:r w:rsidRPr="009E48EE">
        <w:rPr>
          <w:rFonts w:ascii="Times New Roman" w:hAnsi="Times New Roman" w:cs="Times New Roman"/>
          <w:color w:val="EE0000"/>
          <w:sz w:val="24"/>
          <w:szCs w:val="24"/>
        </w:rPr>
        <w:t>1</w:t>
      </w:r>
      <w:r w:rsidR="009E48EE">
        <w:rPr>
          <w:rFonts w:ascii="Times New Roman" w:hAnsi="Times New Roman" w:cs="Times New Roman"/>
          <w:color w:val="EE0000"/>
          <w:sz w:val="24"/>
          <w:szCs w:val="24"/>
        </w:rPr>
        <w:t>,</w:t>
      </w:r>
      <w:r w:rsidRPr="009E48EE">
        <w:rPr>
          <w:rFonts w:ascii="Times New Roman" w:hAnsi="Times New Roman" w:cs="Times New Roman"/>
          <w:color w:val="EE0000"/>
          <w:sz w:val="24"/>
          <w:szCs w:val="24"/>
        </w:rPr>
        <w:t>46,</w:t>
      </w:r>
      <w:r w:rsidR="009E48EE">
        <w:rPr>
          <w:rFonts w:ascii="Times New Roman" w:hAnsi="Times New Roman" w:cs="Times New Roman"/>
          <w:color w:val="EE0000"/>
          <w:sz w:val="24"/>
          <w:szCs w:val="24"/>
        </w:rPr>
        <w:t>800</w:t>
      </w:r>
      <w:r w:rsidRPr="009E48EE">
        <w:rPr>
          <w:rFonts w:ascii="Times New Roman" w:hAnsi="Times New Roman" w:cs="Times New Roman"/>
          <w:color w:val="EE0000"/>
          <w:sz w:val="24"/>
          <w:szCs w:val="24"/>
        </w:rPr>
        <w:t xml:space="preserve"> </w:t>
      </w:r>
      <w:r>
        <w:rPr>
          <w:rFonts w:ascii="Times New Roman" w:hAnsi="Times New Roman" w:cs="Times New Roman"/>
          <w:sz w:val="24"/>
          <w:szCs w:val="24"/>
        </w:rPr>
        <w:t>t CO</w:t>
      </w:r>
      <w:r w:rsidRPr="002E7B81">
        <w:rPr>
          <w:rFonts w:ascii="Times New Roman" w:hAnsi="Times New Roman" w:cs="Times New Roman"/>
          <w:sz w:val="24"/>
          <w:szCs w:val="24"/>
          <w:vertAlign w:val="subscript"/>
        </w:rPr>
        <w:t xml:space="preserve">2 </w:t>
      </w:r>
      <w:r>
        <w:rPr>
          <w:rFonts w:ascii="Times New Roman" w:hAnsi="Times New Roman" w:cs="Times New Roman"/>
          <w:sz w:val="24"/>
          <w:szCs w:val="24"/>
        </w:rPr>
        <w:t>per year. The findings confirm that cotton-based rainfed systems can function as important carbon sinks when crop residues are retained and incorporated into the soil. Improving climate mitigation, improving soil health, and supporting long-term agricultural sustainability in the district can be achieved through the adoption of residue management, mechanization and conservation agriculture. Realizing this potential requires a coordinated adoption strategy combining mechanization support, policy incentives, carbon market linkages, digital monitoring, and long-term research.</w:t>
      </w:r>
    </w:p>
    <w:p w14:paraId="353B9917" w14:textId="11666380" w:rsidR="000532CB" w:rsidRPr="004C0788"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3781116F" w14:textId="2CCB90B6" w:rsidR="0004732C" w:rsidRPr="0004732C" w:rsidRDefault="0004732C" w:rsidP="000532CB">
      <w:pPr>
        <w:spacing w:before="80" w:after="8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Anantha</w:t>
      </w:r>
      <w:proofErr w:type="spellEnd"/>
      <w:r>
        <w:rPr>
          <w:rFonts w:ascii="Times New Roman" w:hAnsi="Times New Roman" w:cs="Times New Roman"/>
          <w:sz w:val="24"/>
          <w:szCs w:val="24"/>
        </w:rPr>
        <w:t xml:space="preserve">, K. C., Majumder, S. P., </w:t>
      </w:r>
      <w:proofErr w:type="spellStart"/>
      <w:r>
        <w:rPr>
          <w:rFonts w:ascii="Times New Roman" w:hAnsi="Times New Roman" w:cs="Times New Roman"/>
          <w:sz w:val="24"/>
          <w:szCs w:val="24"/>
        </w:rPr>
        <w:t>Padhan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Badole</w:t>
      </w:r>
      <w:proofErr w:type="spellEnd"/>
      <w:r>
        <w:rPr>
          <w:rFonts w:ascii="Times New Roman" w:hAnsi="Times New Roman" w:cs="Times New Roman"/>
          <w:sz w:val="24"/>
          <w:szCs w:val="24"/>
        </w:rPr>
        <w:t xml:space="preserve">, S., Datta, A., Mandal, B., &amp; </w:t>
      </w:r>
      <w:proofErr w:type="spellStart"/>
      <w:r>
        <w:rPr>
          <w:rFonts w:ascii="Times New Roman" w:hAnsi="Times New Roman" w:cs="Times New Roman"/>
          <w:sz w:val="24"/>
          <w:szCs w:val="24"/>
        </w:rPr>
        <w:t>Gade</w:t>
      </w:r>
      <w:proofErr w:type="spellEnd"/>
      <w:r>
        <w:rPr>
          <w:rFonts w:ascii="Times New Roman" w:hAnsi="Times New Roman" w:cs="Times New Roman"/>
          <w:sz w:val="24"/>
          <w:szCs w:val="24"/>
        </w:rPr>
        <w:t>, K. R. (2018). Carbon dynamics, potential and cost of carbon sequestration in double rice cropping system in semi-arid southern India. Journal of Soil Science and Plant Nutrition, 18(2), 418-434. https://doi.org/10.4067/S0718-95162018005001302.</w:t>
      </w:r>
    </w:p>
    <w:p w14:paraId="1EB83C1A" w14:textId="77777777" w:rsidR="0092162F" w:rsidRPr="0092162F" w:rsidRDefault="0092162F" w:rsidP="0092162F">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IPCC, </w:t>
      </w:r>
      <w:r>
        <w:rPr>
          <w:rFonts w:ascii="Times New Roman" w:hAnsi="Times New Roman" w:cs="Times New Roman"/>
          <w:b/>
          <w:bCs/>
          <w:sz w:val="24"/>
          <w:szCs w:val="24"/>
        </w:rPr>
        <w:t>2022</w:t>
      </w:r>
      <w:r>
        <w:rPr>
          <w:rFonts w:ascii="Times New Roman" w:hAnsi="Times New Roman" w:cs="Times New Roman"/>
          <w:sz w:val="24"/>
          <w:szCs w:val="24"/>
        </w:rPr>
        <w:t xml:space="preserve">: Climate Change 2022: Impacts, Adaptation, and Vulnerability. Contribution of Working Group II to the Sixth Assessment Report of the Intergovernmental Panel on Climate Change [H.-O. </w:t>
      </w:r>
      <w:proofErr w:type="spellStart"/>
      <w:r>
        <w:rPr>
          <w:rFonts w:ascii="Times New Roman" w:hAnsi="Times New Roman" w:cs="Times New Roman"/>
          <w:sz w:val="24"/>
          <w:szCs w:val="24"/>
        </w:rPr>
        <w:t>Pörtner</w:t>
      </w:r>
      <w:proofErr w:type="spellEnd"/>
      <w:r>
        <w:rPr>
          <w:rFonts w:ascii="Times New Roman" w:hAnsi="Times New Roman" w:cs="Times New Roman"/>
          <w:sz w:val="24"/>
          <w:szCs w:val="24"/>
        </w:rPr>
        <w:t xml:space="preserve">, D.C. Roberts, M. </w:t>
      </w:r>
      <w:proofErr w:type="spellStart"/>
      <w:r>
        <w:rPr>
          <w:rFonts w:ascii="Times New Roman" w:hAnsi="Times New Roman" w:cs="Times New Roman"/>
          <w:sz w:val="24"/>
          <w:szCs w:val="24"/>
        </w:rPr>
        <w:t>Tignor</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Poloczanska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Mintenbeck</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Alegría</w:t>
      </w:r>
      <w:proofErr w:type="spellEnd"/>
      <w:r>
        <w:rPr>
          <w:rFonts w:ascii="Times New Roman" w:hAnsi="Times New Roman" w:cs="Times New Roman"/>
          <w:sz w:val="24"/>
          <w:szCs w:val="24"/>
        </w:rPr>
        <w:t xml:space="preserve">, M. Craig, S. </w:t>
      </w:r>
      <w:proofErr w:type="spellStart"/>
      <w:r>
        <w:rPr>
          <w:rFonts w:ascii="Times New Roman" w:hAnsi="Times New Roman" w:cs="Times New Roman"/>
          <w:sz w:val="24"/>
          <w:szCs w:val="24"/>
        </w:rPr>
        <w:t>Langsdorf</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Löschke</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Möller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Okem</w:t>
      </w:r>
      <w:proofErr w:type="spellEnd"/>
      <w:r>
        <w:rPr>
          <w:rFonts w:ascii="Times New Roman" w:hAnsi="Times New Roman" w:cs="Times New Roman"/>
          <w:sz w:val="24"/>
          <w:szCs w:val="24"/>
        </w:rPr>
        <w:t xml:space="preserve">, B. Rama (eds.)]. </w:t>
      </w:r>
      <w:r>
        <w:rPr>
          <w:rFonts w:ascii="Times New Roman" w:hAnsi="Times New Roman" w:cs="Times New Roman"/>
          <w:b/>
          <w:bCs/>
          <w:sz w:val="24"/>
          <w:szCs w:val="24"/>
        </w:rPr>
        <w:t>Cambridge University Press</w:t>
      </w:r>
      <w:r>
        <w:rPr>
          <w:rFonts w:ascii="Times New Roman" w:hAnsi="Times New Roman" w:cs="Times New Roman"/>
          <w:sz w:val="24"/>
          <w:szCs w:val="24"/>
        </w:rPr>
        <w:t>. Cambridge University Press, Cambridge, UK and New York, NY, USA, 3056 pp., doi:10.1017/9781009325844.</w:t>
      </w:r>
    </w:p>
    <w:p w14:paraId="2D769979" w14:textId="18234CB4" w:rsidR="000532CB" w:rsidRPr="009E6DAB" w:rsidRDefault="0054366C" w:rsidP="000532CB">
      <w:pPr>
        <w:spacing w:before="80" w:after="80" w:line="360" w:lineRule="auto"/>
        <w:jc w:val="both"/>
        <w:rPr>
          <w:rFonts w:ascii="Times New Roman" w:hAnsi="Times New Roman" w:cs="Times New Roman"/>
          <w:sz w:val="24"/>
          <w:szCs w:val="24"/>
        </w:rPr>
      </w:pPr>
      <w:r w:rsidRPr="00BC167D">
        <w:rPr>
          <w:rFonts w:ascii="Times New Roman" w:hAnsi="Times New Roman" w:cs="Times New Roman"/>
          <w:sz w:val="24"/>
          <w:szCs w:val="24"/>
          <w:lang w:val="sv-SE"/>
        </w:rPr>
        <w:t>Jat, M. L., Dagar, J. C., Sapkota, T. B., Yadvinder-Singh, Govaerts, B., Ridaura, S. L.&amp; Pratibha, G. (</w:t>
      </w:r>
      <w:r w:rsidRPr="00BC167D">
        <w:rPr>
          <w:rFonts w:ascii="Times New Roman" w:hAnsi="Times New Roman" w:cs="Times New Roman"/>
          <w:color w:val="171717" w:themeColor="background2" w:themeShade="1A"/>
          <w:sz w:val="24"/>
          <w:szCs w:val="24"/>
          <w:lang w:val="sv-SE"/>
        </w:rPr>
        <w:t>2016</w:t>
      </w:r>
      <w:r w:rsidRPr="00BC167D">
        <w:rPr>
          <w:rFonts w:ascii="Times New Roman" w:hAnsi="Times New Roman" w:cs="Times New Roman"/>
          <w:color w:val="C45911" w:themeColor="accent2" w:themeShade="BF"/>
          <w:sz w:val="24"/>
          <w:szCs w:val="24"/>
          <w:lang w:val="sv-SE"/>
        </w:rPr>
        <w:t xml:space="preserve">). </w:t>
      </w:r>
      <w:r>
        <w:rPr>
          <w:rFonts w:ascii="Times New Roman" w:hAnsi="Times New Roman" w:cs="Times New Roman"/>
          <w:sz w:val="24"/>
          <w:szCs w:val="24"/>
        </w:rPr>
        <w:t xml:space="preserve">Climate change and agriculture: Adaptation strategies and mitigation opportunities for food security in South Asia and Latin America. </w:t>
      </w:r>
      <w:r>
        <w:rPr>
          <w:rFonts w:ascii="Times New Roman" w:hAnsi="Times New Roman" w:cs="Times New Roman"/>
          <w:b/>
          <w:bCs/>
          <w:i/>
          <w:iCs/>
          <w:sz w:val="24"/>
          <w:szCs w:val="24"/>
        </w:rPr>
        <w:t>Advances in Agronomy</w:t>
      </w:r>
      <w:r>
        <w:rPr>
          <w:rFonts w:ascii="Times New Roman" w:hAnsi="Times New Roman" w:cs="Times New Roman"/>
          <w:sz w:val="24"/>
          <w:szCs w:val="24"/>
        </w:rPr>
        <w:t xml:space="preserve">, </w:t>
      </w:r>
      <w:r>
        <w:rPr>
          <w:rFonts w:ascii="Times New Roman" w:hAnsi="Times New Roman" w:cs="Times New Roman"/>
          <w:b/>
          <w:bCs/>
          <w:sz w:val="24"/>
          <w:szCs w:val="24"/>
        </w:rPr>
        <w:t>137</w:t>
      </w:r>
      <w:r>
        <w:rPr>
          <w:rFonts w:ascii="Times New Roman" w:hAnsi="Times New Roman" w:cs="Times New Roman"/>
          <w:sz w:val="24"/>
          <w:szCs w:val="24"/>
        </w:rPr>
        <w:t>, 127-235.</w:t>
      </w:r>
    </w:p>
    <w:p w14:paraId="72CB016E" w14:textId="1639988F"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Lal, R. (2004). Carbon sequestration in dryland ecosystems. Environmental Management, 33(4), 528-544.</w:t>
      </w:r>
    </w:p>
    <w:p w14:paraId="14CAD803" w14:textId="6B6B9324" w:rsidR="000532CB" w:rsidRPr="000532CB" w:rsidRDefault="000532CB" w:rsidP="000532CB">
      <w:pPr>
        <w:spacing w:before="80" w:after="8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Minasny</w:t>
      </w:r>
      <w:proofErr w:type="spellEnd"/>
      <w:r>
        <w:rPr>
          <w:rFonts w:ascii="Times New Roman" w:hAnsi="Times New Roman" w:cs="Times New Roman"/>
          <w:sz w:val="24"/>
          <w:szCs w:val="24"/>
        </w:rPr>
        <w:t xml:space="preserve">, B., Malone, B. P., </w:t>
      </w:r>
      <w:proofErr w:type="spellStart"/>
      <w:r>
        <w:rPr>
          <w:rFonts w:ascii="Times New Roman" w:hAnsi="Times New Roman" w:cs="Times New Roman"/>
          <w:sz w:val="24"/>
          <w:szCs w:val="24"/>
        </w:rPr>
        <w:t>McBratney</w:t>
      </w:r>
      <w:proofErr w:type="spellEnd"/>
      <w:r>
        <w:rPr>
          <w:rFonts w:ascii="Times New Roman" w:hAnsi="Times New Roman" w:cs="Times New Roman"/>
          <w:sz w:val="24"/>
          <w:szCs w:val="24"/>
        </w:rPr>
        <w:t xml:space="preserve">, A. B., Angers, D. A., </w:t>
      </w:r>
      <w:proofErr w:type="spellStart"/>
      <w:r>
        <w:rPr>
          <w:rFonts w:ascii="Times New Roman" w:hAnsi="Times New Roman" w:cs="Times New Roman"/>
          <w:sz w:val="24"/>
          <w:szCs w:val="24"/>
        </w:rPr>
        <w:t>Arrouays</w:t>
      </w:r>
      <w:proofErr w:type="spellEnd"/>
      <w:r>
        <w:rPr>
          <w:rFonts w:ascii="Times New Roman" w:hAnsi="Times New Roman" w:cs="Times New Roman"/>
          <w:sz w:val="24"/>
          <w:szCs w:val="24"/>
        </w:rPr>
        <w:t xml:space="preserve">, D., Chambers, A. &amp; </w:t>
      </w:r>
      <w:proofErr w:type="spellStart"/>
      <w:r>
        <w:rPr>
          <w:rFonts w:ascii="Times New Roman" w:hAnsi="Times New Roman" w:cs="Times New Roman"/>
          <w:sz w:val="24"/>
          <w:szCs w:val="24"/>
        </w:rPr>
        <w:t>Winowiecki</w:t>
      </w:r>
      <w:proofErr w:type="spellEnd"/>
      <w:r>
        <w:rPr>
          <w:rFonts w:ascii="Times New Roman" w:hAnsi="Times New Roman" w:cs="Times New Roman"/>
          <w:sz w:val="24"/>
          <w:szCs w:val="24"/>
        </w:rPr>
        <w:t xml:space="preserve">, L. (2017). Soil carbon 4 per </w:t>
      </w:r>
      <w:proofErr w:type="spellStart"/>
      <w:r>
        <w:rPr>
          <w:rFonts w:ascii="Times New Roman" w:hAnsi="Times New Roman" w:cs="Times New Roman"/>
          <w:sz w:val="24"/>
          <w:szCs w:val="24"/>
        </w:rPr>
        <w:t>mille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Geoderma</w:t>
      </w:r>
      <w:proofErr w:type="spellEnd"/>
      <w:r>
        <w:rPr>
          <w:rFonts w:ascii="Times New Roman" w:hAnsi="Times New Roman" w:cs="Times New Roman"/>
          <w:sz w:val="24"/>
          <w:szCs w:val="24"/>
        </w:rPr>
        <w:t>, 292, 59-86.</w:t>
      </w:r>
    </w:p>
    <w:p w14:paraId="6BAAF6FF" w14:textId="6B112921" w:rsidR="0004732C" w:rsidRDefault="0004732C" w:rsidP="000532CB">
      <w:pPr>
        <w:spacing w:before="80" w:after="80" w:line="360" w:lineRule="auto"/>
        <w:jc w:val="both"/>
        <w:rPr>
          <w:rFonts w:ascii="Times New Roman" w:hAnsi="Times New Roman" w:cs="Times New Roman"/>
          <w:sz w:val="24"/>
          <w:szCs w:val="24"/>
        </w:rPr>
      </w:pPr>
      <w:proofErr w:type="spellStart"/>
      <w:r w:rsidRPr="0004732C">
        <w:rPr>
          <w:rFonts w:ascii="Times New Roman" w:hAnsi="Times New Roman" w:cs="Times New Roman"/>
          <w:sz w:val="24"/>
          <w:szCs w:val="24"/>
        </w:rPr>
        <w:t>Netsianda</w:t>
      </w:r>
      <w:proofErr w:type="spellEnd"/>
      <w:r w:rsidRPr="0004732C">
        <w:rPr>
          <w:rFonts w:ascii="Times New Roman" w:hAnsi="Times New Roman" w:cs="Times New Roman"/>
          <w:sz w:val="24"/>
          <w:szCs w:val="24"/>
        </w:rPr>
        <w:t xml:space="preserve">, A., &amp; </w:t>
      </w:r>
      <w:proofErr w:type="spellStart"/>
      <w:r w:rsidRPr="0004732C">
        <w:rPr>
          <w:rFonts w:ascii="Times New Roman" w:hAnsi="Times New Roman" w:cs="Times New Roman"/>
          <w:sz w:val="24"/>
          <w:szCs w:val="24"/>
        </w:rPr>
        <w:t>Mhangara</w:t>
      </w:r>
      <w:proofErr w:type="spellEnd"/>
      <w:r w:rsidRPr="0004732C">
        <w:rPr>
          <w:rFonts w:ascii="Times New Roman" w:hAnsi="Times New Roman" w:cs="Times New Roman"/>
          <w:sz w:val="24"/>
          <w:szCs w:val="24"/>
        </w:rPr>
        <w:t xml:space="preserve">, P. (2025). Aboveground biomass estimation in a grassland ecosystem using Sentinel-2 satellite imagery and machine learning algorithms. </w:t>
      </w:r>
      <w:r w:rsidRPr="0004732C">
        <w:rPr>
          <w:rFonts w:ascii="Times New Roman" w:hAnsi="Times New Roman" w:cs="Times New Roman"/>
          <w:i/>
          <w:iCs/>
          <w:sz w:val="24"/>
          <w:szCs w:val="24"/>
        </w:rPr>
        <w:t>Environmental Monitoring and Assessment</w:t>
      </w:r>
      <w:r w:rsidRPr="0004732C">
        <w:rPr>
          <w:rFonts w:ascii="Times New Roman" w:hAnsi="Times New Roman" w:cs="Times New Roman"/>
          <w:sz w:val="24"/>
          <w:szCs w:val="24"/>
        </w:rPr>
        <w:t xml:space="preserve">, </w:t>
      </w:r>
      <w:r w:rsidRPr="0004732C">
        <w:rPr>
          <w:rFonts w:ascii="Times New Roman" w:hAnsi="Times New Roman" w:cs="Times New Roman"/>
          <w:i/>
          <w:iCs/>
          <w:sz w:val="24"/>
          <w:szCs w:val="24"/>
        </w:rPr>
        <w:t>197</w:t>
      </w:r>
      <w:r w:rsidRPr="0004732C">
        <w:rPr>
          <w:rFonts w:ascii="Times New Roman" w:hAnsi="Times New Roman" w:cs="Times New Roman"/>
          <w:sz w:val="24"/>
          <w:szCs w:val="24"/>
        </w:rPr>
        <w:t>(1), 138.</w:t>
      </w:r>
    </w:p>
    <w:p w14:paraId="44CDA010" w14:textId="51B6C4DB"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Parihar, C. M.,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S. L., Singh, A. K., Majumdar, K., </w:t>
      </w:r>
      <w:proofErr w:type="spellStart"/>
      <w:r>
        <w:rPr>
          <w:rFonts w:ascii="Times New Roman" w:hAnsi="Times New Roman" w:cs="Times New Roman"/>
          <w:sz w:val="24"/>
          <w:szCs w:val="24"/>
        </w:rPr>
        <w:t>Sena</w:t>
      </w:r>
      <w:proofErr w:type="spellEnd"/>
      <w:r>
        <w:rPr>
          <w:rFonts w:ascii="Times New Roman" w:hAnsi="Times New Roman" w:cs="Times New Roman"/>
          <w:sz w:val="24"/>
          <w:szCs w:val="24"/>
        </w:rPr>
        <w:t xml:space="preserve">, D. R.,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M. L., &amp; </w:t>
      </w:r>
      <w:proofErr w:type="spellStart"/>
      <w:r>
        <w:rPr>
          <w:rFonts w:ascii="Times New Roman" w:hAnsi="Times New Roman" w:cs="Times New Roman"/>
          <w:sz w:val="24"/>
          <w:szCs w:val="24"/>
        </w:rPr>
        <w:t>Saharawat</w:t>
      </w:r>
      <w:proofErr w:type="spellEnd"/>
      <w:r>
        <w:rPr>
          <w:rFonts w:ascii="Times New Roman" w:hAnsi="Times New Roman" w:cs="Times New Roman"/>
          <w:sz w:val="24"/>
          <w:szCs w:val="24"/>
        </w:rPr>
        <w:t xml:space="preserve">, Y. S. (2022). Effects of conservation agriculture on soil organic carbon and microbial biomass carbon in cotton-based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xml:space="preserve"> of central India. Soil &amp; Tillage Research, 218, 105283.</w:t>
      </w:r>
    </w:p>
    <w:p w14:paraId="1B677179" w14:textId="77777777" w:rsidR="00C43C4D" w:rsidRDefault="000532CB" w:rsidP="00C43C4D">
      <w:pPr>
        <w:spacing w:before="80" w:after="8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Poeplau</w:t>
      </w:r>
      <w:proofErr w:type="spellEnd"/>
      <w:r>
        <w:rPr>
          <w:rFonts w:ascii="Times New Roman" w:hAnsi="Times New Roman" w:cs="Times New Roman"/>
          <w:sz w:val="24"/>
          <w:szCs w:val="24"/>
        </w:rPr>
        <w:t>, C., &amp; Don, A. (2015). Carbon sequestration in agricultural soils via cultivation of cover crops   A meta-analysis. Agriculture, Ecosystems &amp; Environment, 200, 33-41.</w:t>
      </w:r>
    </w:p>
    <w:p w14:paraId="7860B985" w14:textId="123EC2FF" w:rsidR="0004732C" w:rsidRDefault="0004732C" w:rsidP="00C43C4D">
      <w:pPr>
        <w:spacing w:before="80" w:after="8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04732C">
        <w:rPr>
          <w:rFonts w:ascii="Times New Roman" w:hAnsi="Times New Roman" w:cs="Times New Roman"/>
          <w:sz w:val="24"/>
          <w:szCs w:val="24"/>
        </w:rPr>
        <w:t>amteke</w:t>
      </w:r>
      <w:proofErr w:type="spellEnd"/>
      <w:r w:rsidRPr="0004732C">
        <w:rPr>
          <w:rFonts w:ascii="Times New Roman" w:hAnsi="Times New Roman" w:cs="Times New Roman"/>
          <w:sz w:val="24"/>
          <w:szCs w:val="24"/>
        </w:rPr>
        <w:t xml:space="preserve">, P., </w:t>
      </w:r>
      <w:proofErr w:type="spellStart"/>
      <w:r w:rsidRPr="0004732C">
        <w:rPr>
          <w:rFonts w:ascii="Times New Roman" w:hAnsi="Times New Roman" w:cs="Times New Roman"/>
          <w:sz w:val="24"/>
          <w:szCs w:val="24"/>
        </w:rPr>
        <w:t>Gabhane</w:t>
      </w:r>
      <w:proofErr w:type="spellEnd"/>
      <w:r w:rsidRPr="0004732C">
        <w:rPr>
          <w:rFonts w:ascii="Times New Roman" w:hAnsi="Times New Roman" w:cs="Times New Roman"/>
          <w:sz w:val="24"/>
          <w:szCs w:val="24"/>
        </w:rPr>
        <w:t xml:space="preserve">, V., Kadu, P., </w:t>
      </w:r>
      <w:proofErr w:type="spellStart"/>
      <w:r w:rsidRPr="0004732C">
        <w:rPr>
          <w:rFonts w:ascii="Times New Roman" w:hAnsi="Times New Roman" w:cs="Times New Roman"/>
          <w:sz w:val="24"/>
          <w:szCs w:val="24"/>
        </w:rPr>
        <w:t>Kharche</w:t>
      </w:r>
      <w:proofErr w:type="spellEnd"/>
      <w:r w:rsidRPr="0004732C">
        <w:rPr>
          <w:rFonts w:ascii="Times New Roman" w:hAnsi="Times New Roman" w:cs="Times New Roman"/>
          <w:sz w:val="24"/>
          <w:szCs w:val="24"/>
        </w:rPr>
        <w:t xml:space="preserve">, V., </w:t>
      </w:r>
      <w:proofErr w:type="spellStart"/>
      <w:r w:rsidRPr="0004732C">
        <w:rPr>
          <w:rFonts w:ascii="Times New Roman" w:hAnsi="Times New Roman" w:cs="Times New Roman"/>
          <w:sz w:val="24"/>
          <w:szCs w:val="24"/>
        </w:rPr>
        <w:t>Jadhao</w:t>
      </w:r>
      <w:proofErr w:type="spellEnd"/>
      <w:r w:rsidRPr="0004732C">
        <w:rPr>
          <w:rFonts w:ascii="Times New Roman" w:hAnsi="Times New Roman" w:cs="Times New Roman"/>
          <w:sz w:val="24"/>
          <w:szCs w:val="24"/>
        </w:rPr>
        <w:t xml:space="preserve">, S., </w:t>
      </w:r>
      <w:proofErr w:type="spellStart"/>
      <w:r w:rsidRPr="0004732C">
        <w:rPr>
          <w:rFonts w:ascii="Times New Roman" w:hAnsi="Times New Roman" w:cs="Times New Roman"/>
          <w:sz w:val="24"/>
          <w:szCs w:val="24"/>
        </w:rPr>
        <w:t>Turkhede</w:t>
      </w:r>
      <w:proofErr w:type="spellEnd"/>
      <w:r w:rsidRPr="0004732C">
        <w:rPr>
          <w:rFonts w:ascii="Times New Roman" w:hAnsi="Times New Roman" w:cs="Times New Roman"/>
          <w:sz w:val="24"/>
          <w:szCs w:val="24"/>
        </w:rPr>
        <w:t xml:space="preserve">, A., &amp; </w:t>
      </w:r>
      <w:proofErr w:type="spellStart"/>
      <w:r w:rsidRPr="0004732C">
        <w:rPr>
          <w:rFonts w:ascii="Times New Roman" w:hAnsi="Times New Roman" w:cs="Times New Roman"/>
          <w:sz w:val="24"/>
          <w:szCs w:val="24"/>
        </w:rPr>
        <w:t>Gajjala</w:t>
      </w:r>
      <w:proofErr w:type="spellEnd"/>
      <w:r w:rsidRPr="0004732C">
        <w:rPr>
          <w:rFonts w:ascii="Times New Roman" w:hAnsi="Times New Roman" w:cs="Times New Roman"/>
          <w:sz w:val="24"/>
          <w:szCs w:val="24"/>
        </w:rPr>
        <w:t xml:space="preserve">, R. C. (2024). Long-term nutrient management effects on organic carbon fractions and carbon sequestration in Typic </w:t>
      </w:r>
      <w:proofErr w:type="spellStart"/>
      <w:r w:rsidRPr="0004732C">
        <w:rPr>
          <w:rFonts w:ascii="Times New Roman" w:hAnsi="Times New Roman" w:cs="Times New Roman"/>
          <w:sz w:val="24"/>
          <w:szCs w:val="24"/>
        </w:rPr>
        <w:t>Haplusterts</w:t>
      </w:r>
      <w:proofErr w:type="spellEnd"/>
      <w:r w:rsidRPr="0004732C">
        <w:rPr>
          <w:rFonts w:ascii="Times New Roman" w:hAnsi="Times New Roman" w:cs="Times New Roman"/>
          <w:sz w:val="24"/>
          <w:szCs w:val="24"/>
        </w:rPr>
        <w:t xml:space="preserve"> soils of Central India. </w:t>
      </w:r>
      <w:r w:rsidRPr="0004732C">
        <w:rPr>
          <w:rFonts w:ascii="Times New Roman" w:hAnsi="Times New Roman" w:cs="Times New Roman"/>
          <w:i/>
          <w:iCs/>
          <w:sz w:val="24"/>
          <w:szCs w:val="24"/>
        </w:rPr>
        <w:t>Soil Use and Management</w:t>
      </w:r>
      <w:r w:rsidRPr="0004732C">
        <w:rPr>
          <w:rFonts w:ascii="Times New Roman" w:hAnsi="Times New Roman" w:cs="Times New Roman"/>
          <w:sz w:val="24"/>
          <w:szCs w:val="24"/>
        </w:rPr>
        <w:t xml:space="preserve">, </w:t>
      </w:r>
      <w:r w:rsidRPr="0004732C">
        <w:rPr>
          <w:rFonts w:ascii="Times New Roman" w:hAnsi="Times New Roman" w:cs="Times New Roman"/>
          <w:i/>
          <w:iCs/>
          <w:sz w:val="24"/>
          <w:szCs w:val="24"/>
        </w:rPr>
        <w:t>40</w:t>
      </w:r>
      <w:r w:rsidRPr="0004732C">
        <w:rPr>
          <w:rFonts w:ascii="Times New Roman" w:hAnsi="Times New Roman" w:cs="Times New Roman"/>
          <w:sz w:val="24"/>
          <w:szCs w:val="24"/>
        </w:rPr>
        <w:t>(1), e12950</w:t>
      </w:r>
    </w:p>
    <w:p w14:paraId="46DD35D7" w14:textId="6908242D" w:rsidR="00C43C4D" w:rsidRPr="00C43C4D" w:rsidRDefault="00C43C4D" w:rsidP="00C43C4D">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Ravi P., </w:t>
      </w:r>
      <w:proofErr w:type="spellStart"/>
      <w:r>
        <w:rPr>
          <w:rFonts w:ascii="Times New Roman" w:hAnsi="Times New Roman" w:cs="Times New Roman"/>
          <w:sz w:val="24"/>
          <w:szCs w:val="24"/>
        </w:rPr>
        <w:t>Venu</w:t>
      </w:r>
      <w:proofErr w:type="spellEnd"/>
      <w:r>
        <w:rPr>
          <w:rFonts w:ascii="Times New Roman" w:hAnsi="Times New Roman" w:cs="Times New Roman"/>
          <w:sz w:val="24"/>
          <w:szCs w:val="24"/>
        </w:rPr>
        <w:t xml:space="preserve"> Reddy Ch., Raju B., A Krishna Chaitanya, </w:t>
      </w:r>
      <w:proofErr w:type="spellStart"/>
      <w:r>
        <w:rPr>
          <w:rFonts w:ascii="Times New Roman" w:hAnsi="Times New Roman" w:cs="Times New Roman"/>
          <w:sz w:val="24"/>
          <w:szCs w:val="24"/>
        </w:rPr>
        <w:t>Wanjari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Rh..</w:t>
      </w:r>
      <w:proofErr w:type="gramEnd"/>
      <w:r>
        <w:rPr>
          <w:rFonts w:ascii="Times New Roman" w:hAnsi="Times New Roman" w:cs="Times New Roman"/>
          <w:sz w:val="24"/>
          <w:szCs w:val="24"/>
        </w:rPr>
        <w:t xml:space="preserve"> Critical Carbon Inputs to Maintain Soil Organic Carbon Stocks under Long-Term Rice-Rice Cropping System in Semi-Arid Southern India. </w:t>
      </w:r>
      <w:r>
        <w:rPr>
          <w:rFonts w:ascii="Times New Roman" w:hAnsi="Times New Roman" w:cs="Times New Roman"/>
          <w:i/>
          <w:iCs/>
          <w:sz w:val="24"/>
          <w:szCs w:val="24"/>
        </w:rPr>
        <w:t>Journal of Scientific Research and Reports</w:t>
      </w:r>
      <w:r>
        <w:rPr>
          <w:rFonts w:ascii="Times New Roman" w:hAnsi="Times New Roman" w:cs="Times New Roman"/>
          <w:sz w:val="24"/>
          <w:szCs w:val="24"/>
        </w:rPr>
        <w:t>, 2025, 31 (10), pp.27-35.</w:t>
      </w:r>
    </w:p>
    <w:p w14:paraId="4FB5775F" w14:textId="3E04510E" w:rsidR="000532CB" w:rsidRPr="000532CB" w:rsidRDefault="000532CB" w:rsidP="000532CB">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Singh, A. K., Tripathi, H., Singh, B., &amp; Kumar, A. (2021). Long-term effect of residue management and nutrient levels on soil quality, carbon sequestration and productivity of rainfed cotton systems. Agricultural Research, 10 (2), 312-326.</w:t>
      </w:r>
    </w:p>
    <w:p w14:paraId="5192B36F" w14:textId="77777777" w:rsidR="001C4FCA" w:rsidRDefault="001C4FCA" w:rsidP="00C241DE">
      <w:pPr>
        <w:spacing w:before="80" w:after="80" w:line="360" w:lineRule="auto"/>
        <w:jc w:val="both"/>
        <w:rPr>
          <w:rFonts w:ascii="Times New Roman" w:hAnsi="Times New Roman" w:cs="Times New Roman"/>
          <w:sz w:val="24"/>
          <w:szCs w:val="24"/>
        </w:rPr>
      </w:pPr>
    </w:p>
    <w:p w14:paraId="215767B0" w14:textId="77777777" w:rsidR="00196C4E" w:rsidRPr="00BE3A6C" w:rsidRDefault="00196C4E" w:rsidP="00C241DE">
      <w:pPr>
        <w:spacing w:before="80" w:after="80" w:line="360" w:lineRule="auto"/>
        <w:jc w:val="both"/>
        <w:rPr>
          <w:rFonts w:ascii="Times New Roman" w:hAnsi="Times New Roman" w:cs="Times New Roman"/>
          <w:sz w:val="24"/>
          <w:szCs w:val="24"/>
        </w:rPr>
      </w:pPr>
    </w:p>
    <w:p w14:paraId="0EAEB1E1" w14:textId="77777777" w:rsidR="00C241DE" w:rsidRPr="00BE3A6C" w:rsidRDefault="00C241DE" w:rsidP="00874669">
      <w:pPr>
        <w:spacing w:before="80" w:after="80" w:line="360" w:lineRule="auto"/>
        <w:jc w:val="both"/>
        <w:rPr>
          <w:rFonts w:ascii="Times New Roman" w:hAnsi="Times New Roman" w:cs="Times New Roman"/>
          <w:sz w:val="24"/>
          <w:szCs w:val="24"/>
        </w:rPr>
      </w:pPr>
    </w:p>
    <w:p w14:paraId="61D0C57D" w14:textId="77777777" w:rsidR="00874669" w:rsidRPr="00BE3A6C" w:rsidRDefault="00874669" w:rsidP="00B25E6C">
      <w:pPr>
        <w:spacing w:before="80" w:after="80" w:line="360" w:lineRule="auto"/>
        <w:jc w:val="both"/>
        <w:rPr>
          <w:rFonts w:ascii="Times New Roman" w:hAnsi="Times New Roman" w:cs="Times New Roman"/>
          <w:sz w:val="24"/>
          <w:szCs w:val="24"/>
        </w:rPr>
      </w:pPr>
    </w:p>
    <w:p w14:paraId="3A2F8290" w14:textId="77777777" w:rsidR="00B25E6C" w:rsidRPr="00BE3A6C" w:rsidRDefault="00B25E6C" w:rsidP="00353645">
      <w:pPr>
        <w:spacing w:before="80" w:after="80" w:line="360" w:lineRule="auto"/>
        <w:jc w:val="both"/>
        <w:rPr>
          <w:rFonts w:ascii="Times New Roman" w:hAnsi="Times New Roman" w:cs="Times New Roman"/>
          <w:sz w:val="24"/>
          <w:szCs w:val="24"/>
        </w:rPr>
      </w:pPr>
    </w:p>
    <w:p w14:paraId="0E8CA053" w14:textId="77777777" w:rsidR="003B44BA" w:rsidRPr="00BE3A6C" w:rsidRDefault="003B44BA">
      <w:pPr>
        <w:rPr>
          <w:rFonts w:ascii="Times New Roman" w:hAnsi="Times New Roman" w:cs="Times New Roman"/>
          <w:sz w:val="24"/>
          <w:szCs w:val="24"/>
        </w:rPr>
      </w:pPr>
    </w:p>
    <w:sectPr w:rsidR="003B44BA" w:rsidRPr="00BE3A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42412" w14:textId="77777777" w:rsidR="00242C2F" w:rsidRDefault="00242C2F" w:rsidP="00346F93">
      <w:r>
        <w:separator/>
      </w:r>
    </w:p>
  </w:endnote>
  <w:endnote w:type="continuationSeparator" w:id="0">
    <w:p w14:paraId="4262480C" w14:textId="77777777" w:rsidR="00242C2F" w:rsidRDefault="00242C2F" w:rsidP="0034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60C6" w14:textId="77777777" w:rsidR="00346F93" w:rsidRDefault="0034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1B09" w14:textId="77777777" w:rsidR="00346F93" w:rsidRDefault="00346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DF88" w14:textId="77777777" w:rsidR="00346F93" w:rsidRDefault="0034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4D62D" w14:textId="77777777" w:rsidR="00242C2F" w:rsidRDefault="00242C2F" w:rsidP="00346F93">
      <w:r>
        <w:separator/>
      </w:r>
    </w:p>
  </w:footnote>
  <w:footnote w:type="continuationSeparator" w:id="0">
    <w:p w14:paraId="74735B07" w14:textId="77777777" w:rsidR="00242C2F" w:rsidRDefault="00242C2F" w:rsidP="0034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A7C6" w14:textId="012CF124" w:rsidR="00346F93" w:rsidRDefault="00346F93">
    <w:pPr>
      <w:pStyle w:val="Header"/>
    </w:pPr>
    <w:r>
      <w:rPr>
        <w:noProof/>
      </w:rPr>
      <w:pict w14:anchorId="7740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BB08" w14:textId="0575AA19" w:rsidR="00346F93" w:rsidRDefault="00346F93">
    <w:pPr>
      <w:pStyle w:val="Header"/>
    </w:pPr>
    <w:r>
      <w:rPr>
        <w:noProof/>
      </w:rPr>
      <w:pict w14:anchorId="27E48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2980" w14:textId="7CAAD3BC" w:rsidR="00346F93" w:rsidRDefault="00346F93">
    <w:pPr>
      <w:pStyle w:val="Header"/>
    </w:pPr>
    <w:r>
      <w:rPr>
        <w:noProof/>
      </w:rPr>
      <w:pict w14:anchorId="0622B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366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BA"/>
    <w:rsid w:val="0001012E"/>
    <w:rsid w:val="00025735"/>
    <w:rsid w:val="0003273D"/>
    <w:rsid w:val="0004732C"/>
    <w:rsid w:val="00052F2B"/>
    <w:rsid w:val="000532CB"/>
    <w:rsid w:val="000543D2"/>
    <w:rsid w:val="00055310"/>
    <w:rsid w:val="00071B57"/>
    <w:rsid w:val="00075D85"/>
    <w:rsid w:val="00077609"/>
    <w:rsid w:val="000B6D01"/>
    <w:rsid w:val="000B77B9"/>
    <w:rsid w:val="000D3220"/>
    <w:rsid w:val="000D6CC9"/>
    <w:rsid w:val="000E09B1"/>
    <w:rsid w:val="00120611"/>
    <w:rsid w:val="00125463"/>
    <w:rsid w:val="0013773C"/>
    <w:rsid w:val="001475C7"/>
    <w:rsid w:val="00172EBC"/>
    <w:rsid w:val="001826FD"/>
    <w:rsid w:val="00196C4E"/>
    <w:rsid w:val="001A0F68"/>
    <w:rsid w:val="001A79CF"/>
    <w:rsid w:val="001B11FC"/>
    <w:rsid w:val="001C2A6C"/>
    <w:rsid w:val="001C4FCA"/>
    <w:rsid w:val="001E5DE5"/>
    <w:rsid w:val="00211FCF"/>
    <w:rsid w:val="002248F9"/>
    <w:rsid w:val="00224B14"/>
    <w:rsid w:val="0023180D"/>
    <w:rsid w:val="00242C2F"/>
    <w:rsid w:val="002532EC"/>
    <w:rsid w:val="00266054"/>
    <w:rsid w:val="0027388B"/>
    <w:rsid w:val="00274B6D"/>
    <w:rsid w:val="00283BC8"/>
    <w:rsid w:val="002949C2"/>
    <w:rsid w:val="0029631D"/>
    <w:rsid w:val="002C5CF8"/>
    <w:rsid w:val="002E12A3"/>
    <w:rsid w:val="002E7B81"/>
    <w:rsid w:val="00300A66"/>
    <w:rsid w:val="003076EE"/>
    <w:rsid w:val="00315C2C"/>
    <w:rsid w:val="00322F3F"/>
    <w:rsid w:val="00334597"/>
    <w:rsid w:val="00334D16"/>
    <w:rsid w:val="00346F93"/>
    <w:rsid w:val="00353645"/>
    <w:rsid w:val="003758F0"/>
    <w:rsid w:val="00385902"/>
    <w:rsid w:val="00395D51"/>
    <w:rsid w:val="00397735"/>
    <w:rsid w:val="003B25A1"/>
    <w:rsid w:val="003B44BA"/>
    <w:rsid w:val="003C3ABD"/>
    <w:rsid w:val="003E4B33"/>
    <w:rsid w:val="003F07D1"/>
    <w:rsid w:val="003F25CE"/>
    <w:rsid w:val="003F2B16"/>
    <w:rsid w:val="00421CB1"/>
    <w:rsid w:val="004426AC"/>
    <w:rsid w:val="00443903"/>
    <w:rsid w:val="00444A27"/>
    <w:rsid w:val="00450348"/>
    <w:rsid w:val="004518F3"/>
    <w:rsid w:val="00495210"/>
    <w:rsid w:val="00495AB9"/>
    <w:rsid w:val="004A247F"/>
    <w:rsid w:val="004A5A75"/>
    <w:rsid w:val="004C0788"/>
    <w:rsid w:val="004E2CFC"/>
    <w:rsid w:val="004F1EBD"/>
    <w:rsid w:val="004F2A59"/>
    <w:rsid w:val="00502349"/>
    <w:rsid w:val="00512D0E"/>
    <w:rsid w:val="00516B4F"/>
    <w:rsid w:val="00517924"/>
    <w:rsid w:val="00534C12"/>
    <w:rsid w:val="00535BC1"/>
    <w:rsid w:val="0054366C"/>
    <w:rsid w:val="005665E6"/>
    <w:rsid w:val="0058061A"/>
    <w:rsid w:val="00592B97"/>
    <w:rsid w:val="005C661E"/>
    <w:rsid w:val="0060598F"/>
    <w:rsid w:val="00620F51"/>
    <w:rsid w:val="006477E3"/>
    <w:rsid w:val="00653513"/>
    <w:rsid w:val="006723AB"/>
    <w:rsid w:val="00686661"/>
    <w:rsid w:val="006968B7"/>
    <w:rsid w:val="006B67F9"/>
    <w:rsid w:val="006F08C1"/>
    <w:rsid w:val="00702C45"/>
    <w:rsid w:val="00703765"/>
    <w:rsid w:val="00703A65"/>
    <w:rsid w:val="00714C7B"/>
    <w:rsid w:val="007319FC"/>
    <w:rsid w:val="00750BBC"/>
    <w:rsid w:val="0075456D"/>
    <w:rsid w:val="00766D9F"/>
    <w:rsid w:val="00790FA8"/>
    <w:rsid w:val="00796644"/>
    <w:rsid w:val="007A41C3"/>
    <w:rsid w:val="007B208B"/>
    <w:rsid w:val="007C55DC"/>
    <w:rsid w:val="007D5ACE"/>
    <w:rsid w:val="0081230D"/>
    <w:rsid w:val="00846364"/>
    <w:rsid w:val="00856E1D"/>
    <w:rsid w:val="0086779D"/>
    <w:rsid w:val="00874669"/>
    <w:rsid w:val="0089361D"/>
    <w:rsid w:val="00893884"/>
    <w:rsid w:val="00897EA8"/>
    <w:rsid w:val="008A3492"/>
    <w:rsid w:val="008C432C"/>
    <w:rsid w:val="008D3880"/>
    <w:rsid w:val="008F4086"/>
    <w:rsid w:val="0092162F"/>
    <w:rsid w:val="00931130"/>
    <w:rsid w:val="00957B11"/>
    <w:rsid w:val="009709D4"/>
    <w:rsid w:val="0098443E"/>
    <w:rsid w:val="009A3257"/>
    <w:rsid w:val="009A6B42"/>
    <w:rsid w:val="009C44B2"/>
    <w:rsid w:val="009C74F3"/>
    <w:rsid w:val="009E48EE"/>
    <w:rsid w:val="009E6DAB"/>
    <w:rsid w:val="009F47F6"/>
    <w:rsid w:val="009F645F"/>
    <w:rsid w:val="00A018AA"/>
    <w:rsid w:val="00A21580"/>
    <w:rsid w:val="00A35CAE"/>
    <w:rsid w:val="00A56F11"/>
    <w:rsid w:val="00A7693C"/>
    <w:rsid w:val="00A82B23"/>
    <w:rsid w:val="00A93368"/>
    <w:rsid w:val="00AA72BC"/>
    <w:rsid w:val="00AB276B"/>
    <w:rsid w:val="00AC6E88"/>
    <w:rsid w:val="00AD53F1"/>
    <w:rsid w:val="00AD7779"/>
    <w:rsid w:val="00B01433"/>
    <w:rsid w:val="00B15E0A"/>
    <w:rsid w:val="00B25E6C"/>
    <w:rsid w:val="00B51359"/>
    <w:rsid w:val="00B76ACA"/>
    <w:rsid w:val="00B77EB1"/>
    <w:rsid w:val="00B92DD8"/>
    <w:rsid w:val="00BA64AC"/>
    <w:rsid w:val="00BC167D"/>
    <w:rsid w:val="00BE3A6C"/>
    <w:rsid w:val="00BE6398"/>
    <w:rsid w:val="00BF3489"/>
    <w:rsid w:val="00C101A5"/>
    <w:rsid w:val="00C241DE"/>
    <w:rsid w:val="00C25210"/>
    <w:rsid w:val="00C43C4D"/>
    <w:rsid w:val="00C51911"/>
    <w:rsid w:val="00C52423"/>
    <w:rsid w:val="00C571D1"/>
    <w:rsid w:val="00C72E3C"/>
    <w:rsid w:val="00CC1290"/>
    <w:rsid w:val="00CE6133"/>
    <w:rsid w:val="00CF7FB3"/>
    <w:rsid w:val="00D017DC"/>
    <w:rsid w:val="00D0538A"/>
    <w:rsid w:val="00D159BE"/>
    <w:rsid w:val="00D52CFA"/>
    <w:rsid w:val="00D761B0"/>
    <w:rsid w:val="00DB2C9A"/>
    <w:rsid w:val="00DB55EF"/>
    <w:rsid w:val="00DC31C4"/>
    <w:rsid w:val="00DD3C1A"/>
    <w:rsid w:val="00DD40D1"/>
    <w:rsid w:val="00DE1DAF"/>
    <w:rsid w:val="00DF4598"/>
    <w:rsid w:val="00E24C44"/>
    <w:rsid w:val="00E42D03"/>
    <w:rsid w:val="00E60D44"/>
    <w:rsid w:val="00E64922"/>
    <w:rsid w:val="00E649B5"/>
    <w:rsid w:val="00E86895"/>
    <w:rsid w:val="00E95B96"/>
    <w:rsid w:val="00E9783F"/>
    <w:rsid w:val="00EA0BC5"/>
    <w:rsid w:val="00ED7DFA"/>
    <w:rsid w:val="00EE4D77"/>
    <w:rsid w:val="00EE763C"/>
    <w:rsid w:val="00F127E6"/>
    <w:rsid w:val="00F42744"/>
    <w:rsid w:val="00F46215"/>
    <w:rsid w:val="00F515DC"/>
    <w:rsid w:val="00F646EA"/>
    <w:rsid w:val="00F724C0"/>
    <w:rsid w:val="00FA318D"/>
    <w:rsid w:val="00FA38D9"/>
    <w:rsid w:val="00FA5BA3"/>
    <w:rsid w:val="00FB22F6"/>
    <w:rsid w:val="00FC7A59"/>
    <w:rsid w:val="00FD1751"/>
    <w:rsid w:val="00FD2151"/>
    <w:rsid w:val="00FF377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478CE"/>
  <w15:chartTrackingRefBased/>
  <w15:docId w15:val="{FF55C514-DBC3-414D-861B-DDC5ABFB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D77"/>
    <w:pPr>
      <w:spacing w:after="0" w:line="240" w:lineRule="auto"/>
    </w:pPr>
    <w:rPr>
      <w:rFonts w:ascii="Arial" w:eastAsia="Arial" w:hAnsi="Arial" w:cs="Arial"/>
      <w:kern w:val="0"/>
      <w:sz w:val="22"/>
      <w:szCs w:val="22"/>
      <w:lang w:eastAsia="en-IN"/>
      <w14:ligatures w14:val="none"/>
    </w:rPr>
  </w:style>
  <w:style w:type="paragraph" w:styleId="Heading1">
    <w:name w:val="heading 1"/>
    <w:basedOn w:val="Normal"/>
    <w:next w:val="Normal"/>
    <w:link w:val="Heading1Char"/>
    <w:uiPriority w:val="9"/>
    <w:qFormat/>
    <w:rsid w:val="003B4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4BA"/>
    <w:rPr>
      <w:rFonts w:eastAsiaTheme="majorEastAsia" w:cstheme="majorBidi"/>
      <w:color w:val="272727" w:themeColor="text1" w:themeTint="D8"/>
    </w:rPr>
  </w:style>
  <w:style w:type="paragraph" w:styleId="Title">
    <w:name w:val="Title"/>
    <w:basedOn w:val="Normal"/>
    <w:next w:val="Normal"/>
    <w:link w:val="TitleChar"/>
    <w:uiPriority w:val="10"/>
    <w:qFormat/>
    <w:rsid w:val="003B4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4BA"/>
    <w:pPr>
      <w:spacing w:before="160"/>
      <w:jc w:val="center"/>
    </w:pPr>
    <w:rPr>
      <w:i/>
      <w:iCs/>
      <w:color w:val="404040" w:themeColor="text1" w:themeTint="BF"/>
    </w:rPr>
  </w:style>
  <w:style w:type="character" w:customStyle="1" w:styleId="QuoteChar">
    <w:name w:val="Quote Char"/>
    <w:basedOn w:val="DefaultParagraphFont"/>
    <w:link w:val="Quote"/>
    <w:uiPriority w:val="29"/>
    <w:rsid w:val="003B44BA"/>
    <w:rPr>
      <w:i/>
      <w:iCs/>
      <w:color w:val="404040" w:themeColor="text1" w:themeTint="BF"/>
    </w:rPr>
  </w:style>
  <w:style w:type="paragraph" w:styleId="ListParagraph">
    <w:name w:val="List Paragraph"/>
    <w:basedOn w:val="Normal"/>
    <w:uiPriority w:val="34"/>
    <w:qFormat/>
    <w:rsid w:val="003B44BA"/>
    <w:pPr>
      <w:ind w:left="720"/>
      <w:contextualSpacing/>
    </w:pPr>
  </w:style>
  <w:style w:type="character" w:styleId="IntenseEmphasis">
    <w:name w:val="Intense Emphasis"/>
    <w:basedOn w:val="DefaultParagraphFont"/>
    <w:uiPriority w:val="21"/>
    <w:qFormat/>
    <w:rsid w:val="003B44BA"/>
    <w:rPr>
      <w:i/>
      <w:iCs/>
      <w:color w:val="2F5496" w:themeColor="accent1" w:themeShade="BF"/>
    </w:rPr>
  </w:style>
  <w:style w:type="paragraph" w:styleId="IntenseQuote">
    <w:name w:val="Intense Quote"/>
    <w:basedOn w:val="Normal"/>
    <w:next w:val="Normal"/>
    <w:link w:val="IntenseQuoteChar"/>
    <w:uiPriority w:val="30"/>
    <w:qFormat/>
    <w:rsid w:val="003B4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4BA"/>
    <w:rPr>
      <w:i/>
      <w:iCs/>
      <w:color w:val="2F5496" w:themeColor="accent1" w:themeShade="BF"/>
    </w:rPr>
  </w:style>
  <w:style w:type="character" w:styleId="IntenseReference">
    <w:name w:val="Intense Reference"/>
    <w:basedOn w:val="DefaultParagraphFont"/>
    <w:uiPriority w:val="32"/>
    <w:qFormat/>
    <w:rsid w:val="003B44BA"/>
    <w:rPr>
      <w:b/>
      <w:bCs/>
      <w:smallCaps/>
      <w:color w:val="2F5496" w:themeColor="accent1" w:themeShade="BF"/>
      <w:spacing w:val="5"/>
    </w:rPr>
  </w:style>
  <w:style w:type="table" w:styleId="TableGrid">
    <w:name w:val="Table Grid"/>
    <w:basedOn w:val="TableNormal"/>
    <w:uiPriority w:val="39"/>
    <w:rsid w:val="0069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A75"/>
    <w:rPr>
      <w:color w:val="0563C1" w:themeColor="hyperlink"/>
      <w:u w:val="single"/>
    </w:rPr>
  </w:style>
  <w:style w:type="character" w:customStyle="1" w:styleId="UnresolvedMention1">
    <w:name w:val="Unresolved Mention1"/>
    <w:basedOn w:val="DefaultParagraphFont"/>
    <w:uiPriority w:val="99"/>
    <w:semiHidden/>
    <w:unhideWhenUsed/>
    <w:rsid w:val="004A5A75"/>
    <w:rPr>
      <w:color w:val="605E5C"/>
      <w:shd w:val="clear" w:color="auto" w:fill="E1DFDD"/>
    </w:rPr>
  </w:style>
  <w:style w:type="character" w:styleId="UnresolvedMention">
    <w:name w:val="Unresolved Mention"/>
    <w:basedOn w:val="DefaultParagraphFont"/>
    <w:uiPriority w:val="99"/>
    <w:semiHidden/>
    <w:unhideWhenUsed/>
    <w:rsid w:val="001A79CF"/>
    <w:rPr>
      <w:color w:val="605E5C"/>
      <w:shd w:val="clear" w:color="auto" w:fill="E1DFDD"/>
    </w:rPr>
  </w:style>
  <w:style w:type="paragraph" w:styleId="Header">
    <w:name w:val="header"/>
    <w:basedOn w:val="Normal"/>
    <w:link w:val="HeaderChar"/>
    <w:uiPriority w:val="99"/>
    <w:unhideWhenUsed/>
    <w:rsid w:val="00346F93"/>
    <w:pPr>
      <w:tabs>
        <w:tab w:val="center" w:pos="4513"/>
        <w:tab w:val="right" w:pos="9026"/>
      </w:tabs>
    </w:pPr>
  </w:style>
  <w:style w:type="character" w:customStyle="1" w:styleId="HeaderChar">
    <w:name w:val="Header Char"/>
    <w:basedOn w:val="DefaultParagraphFont"/>
    <w:link w:val="Header"/>
    <w:uiPriority w:val="99"/>
    <w:rsid w:val="00346F93"/>
    <w:rPr>
      <w:rFonts w:ascii="Arial" w:eastAsia="Arial" w:hAnsi="Arial" w:cs="Arial"/>
      <w:kern w:val="0"/>
      <w:sz w:val="22"/>
      <w:szCs w:val="22"/>
      <w:lang w:eastAsia="en-IN"/>
      <w14:ligatures w14:val="none"/>
    </w:rPr>
  </w:style>
  <w:style w:type="paragraph" w:styleId="Footer">
    <w:name w:val="footer"/>
    <w:basedOn w:val="Normal"/>
    <w:link w:val="FooterChar"/>
    <w:uiPriority w:val="99"/>
    <w:unhideWhenUsed/>
    <w:rsid w:val="00346F93"/>
    <w:pPr>
      <w:tabs>
        <w:tab w:val="center" w:pos="4513"/>
        <w:tab w:val="right" w:pos="9026"/>
      </w:tabs>
    </w:pPr>
  </w:style>
  <w:style w:type="character" w:customStyle="1" w:styleId="FooterChar">
    <w:name w:val="Footer Char"/>
    <w:basedOn w:val="DefaultParagraphFont"/>
    <w:link w:val="Footer"/>
    <w:uiPriority w:val="99"/>
    <w:rsid w:val="00346F93"/>
    <w:rPr>
      <w:rFonts w:ascii="Arial" w:eastAsia="Arial" w:hAnsi="Arial" w:cs="Arial"/>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apps.fao.org/glosi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SDI 1166</cp:lastModifiedBy>
  <cp:revision>24</cp:revision>
  <dcterms:created xsi:type="dcterms:W3CDTF">2026-05-04T01:30:00Z</dcterms:created>
  <dcterms:modified xsi:type="dcterms:W3CDTF">2026-05-05T11:28:00Z</dcterms:modified>
</cp:coreProperties>
</file>