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4E2B" w14:textId="77777777" w:rsidR="00231396" w:rsidRDefault="00231396" w:rsidP="00B67432">
      <w:pPr>
        <w:pStyle w:val="Author"/>
        <w:spacing w:line="240" w:lineRule="auto"/>
        <w:rPr>
          <w:rFonts w:ascii="Arial" w:hAnsi="Arial" w:cs="Arial"/>
          <w:sz w:val="36"/>
          <w:szCs w:val="36"/>
        </w:rPr>
      </w:pPr>
      <w:r w:rsidRPr="00231396">
        <w:rPr>
          <w:rFonts w:ascii="Arial" w:hAnsi="Arial" w:cs="Arial"/>
          <w:sz w:val="36"/>
          <w:szCs w:val="36"/>
        </w:rPr>
        <w:t>Original Research Article</w:t>
      </w:r>
    </w:p>
    <w:p w14:paraId="06AA8839" w14:textId="77777777" w:rsidR="00231396" w:rsidRDefault="00231396" w:rsidP="00B67432">
      <w:pPr>
        <w:pStyle w:val="Author"/>
        <w:spacing w:line="240" w:lineRule="auto"/>
        <w:rPr>
          <w:rFonts w:ascii="Arial" w:hAnsi="Arial" w:cs="Arial"/>
          <w:sz w:val="36"/>
          <w:szCs w:val="36"/>
        </w:rPr>
      </w:pPr>
    </w:p>
    <w:p w14:paraId="2A42C682" w14:textId="19C0708D" w:rsidR="00A258C3" w:rsidRDefault="00B67432" w:rsidP="00B67432">
      <w:pPr>
        <w:pStyle w:val="Author"/>
        <w:spacing w:line="240" w:lineRule="auto"/>
        <w:rPr>
          <w:rFonts w:ascii="Arial" w:hAnsi="Arial" w:cs="Arial"/>
          <w:i/>
          <w:sz w:val="36"/>
          <w:szCs w:val="36"/>
        </w:rPr>
      </w:pPr>
      <w:r>
        <w:rPr>
          <w:rFonts w:ascii="Arial" w:hAnsi="Arial" w:cs="Arial"/>
          <w:sz w:val="36"/>
          <w:szCs w:val="36"/>
        </w:rPr>
        <w:t>The Antibacterial a</w:t>
      </w:r>
      <w:r w:rsidRPr="00B67432">
        <w:rPr>
          <w:rFonts w:ascii="Arial" w:hAnsi="Arial" w:cs="Arial"/>
          <w:sz w:val="36"/>
          <w:szCs w:val="36"/>
        </w:rPr>
        <w:t xml:space="preserve">nd Antifungal Effects </w:t>
      </w:r>
      <w:r>
        <w:rPr>
          <w:rFonts w:ascii="Arial" w:hAnsi="Arial" w:cs="Arial"/>
          <w:sz w:val="36"/>
          <w:szCs w:val="36"/>
        </w:rPr>
        <w:t>o</w:t>
      </w:r>
      <w:r w:rsidRPr="00B67432">
        <w:rPr>
          <w:rFonts w:ascii="Arial" w:hAnsi="Arial" w:cs="Arial"/>
          <w:sz w:val="36"/>
          <w:szCs w:val="36"/>
        </w:rPr>
        <w:t>f Cranberry Fruit (</w:t>
      </w:r>
      <w:r w:rsidRPr="00B67432">
        <w:rPr>
          <w:rFonts w:ascii="Arial" w:hAnsi="Arial" w:cs="Arial"/>
          <w:i/>
          <w:sz w:val="36"/>
          <w:szCs w:val="36"/>
        </w:rPr>
        <w:t>Vaccinium macrocarpon</w:t>
      </w:r>
      <w:r w:rsidRPr="00B67432">
        <w:rPr>
          <w:rFonts w:ascii="Arial" w:hAnsi="Arial" w:cs="Arial"/>
          <w:sz w:val="36"/>
          <w:szCs w:val="36"/>
        </w:rPr>
        <w:t xml:space="preserve">), </w:t>
      </w:r>
      <w:r>
        <w:rPr>
          <w:rFonts w:ascii="Arial" w:hAnsi="Arial" w:cs="Arial"/>
          <w:sz w:val="36"/>
          <w:szCs w:val="36"/>
        </w:rPr>
        <w:t>and its Commercial Juices a</w:t>
      </w:r>
      <w:r w:rsidRPr="00B67432">
        <w:rPr>
          <w:rFonts w:ascii="Arial" w:hAnsi="Arial" w:cs="Arial"/>
          <w:sz w:val="36"/>
          <w:szCs w:val="36"/>
        </w:rPr>
        <w:t xml:space="preserve">gainst </w:t>
      </w:r>
      <w:r w:rsidRPr="00B67432">
        <w:rPr>
          <w:rFonts w:ascii="Arial" w:hAnsi="Arial" w:cs="Arial"/>
          <w:i/>
          <w:sz w:val="36"/>
          <w:szCs w:val="36"/>
        </w:rPr>
        <w:t>Escherichia coli</w:t>
      </w:r>
      <w:r w:rsidRPr="00B67432">
        <w:rPr>
          <w:rFonts w:ascii="Arial" w:hAnsi="Arial" w:cs="Arial"/>
          <w:sz w:val="36"/>
          <w:szCs w:val="36"/>
        </w:rPr>
        <w:t xml:space="preserve">, </w:t>
      </w:r>
      <w:r w:rsidRPr="00B67432">
        <w:rPr>
          <w:rFonts w:ascii="Arial" w:hAnsi="Arial" w:cs="Arial"/>
          <w:i/>
          <w:sz w:val="36"/>
          <w:szCs w:val="36"/>
        </w:rPr>
        <w:t>Staphylococcus aureus</w:t>
      </w:r>
      <w:r w:rsidRPr="00B67432">
        <w:rPr>
          <w:rFonts w:ascii="Arial" w:hAnsi="Arial" w:cs="Arial"/>
          <w:sz w:val="36"/>
          <w:szCs w:val="36"/>
        </w:rPr>
        <w:t xml:space="preserve">, </w:t>
      </w:r>
      <w:r w:rsidRPr="00B67432">
        <w:rPr>
          <w:rFonts w:ascii="Arial" w:hAnsi="Arial" w:cs="Arial"/>
          <w:i/>
          <w:sz w:val="36"/>
          <w:szCs w:val="36"/>
        </w:rPr>
        <w:t>Proteus mirabilis</w:t>
      </w:r>
      <w:r>
        <w:rPr>
          <w:rFonts w:ascii="Arial" w:hAnsi="Arial" w:cs="Arial"/>
          <w:sz w:val="36"/>
          <w:szCs w:val="36"/>
        </w:rPr>
        <w:t>, and</w:t>
      </w:r>
      <w:r w:rsidRPr="00B67432">
        <w:rPr>
          <w:rFonts w:ascii="Arial" w:hAnsi="Arial" w:cs="Arial"/>
          <w:sz w:val="36"/>
          <w:szCs w:val="36"/>
        </w:rPr>
        <w:t xml:space="preserve"> </w:t>
      </w:r>
      <w:r w:rsidRPr="00B67432">
        <w:rPr>
          <w:rFonts w:ascii="Arial" w:hAnsi="Arial" w:cs="Arial"/>
          <w:i/>
          <w:sz w:val="36"/>
          <w:szCs w:val="36"/>
        </w:rPr>
        <w:t>Candida albicans</w:t>
      </w:r>
    </w:p>
    <w:p w14:paraId="5F6FE626" w14:textId="77777777" w:rsidR="00231396" w:rsidRDefault="00231396" w:rsidP="00B67432">
      <w:pPr>
        <w:pStyle w:val="Author"/>
        <w:spacing w:line="240" w:lineRule="auto"/>
        <w:rPr>
          <w:rFonts w:ascii="Arial" w:hAnsi="Arial" w:cs="Arial"/>
          <w:i/>
          <w:sz w:val="36"/>
          <w:szCs w:val="36"/>
        </w:rPr>
      </w:pPr>
    </w:p>
    <w:p w14:paraId="508F9C58" w14:textId="0A4D4F51" w:rsidR="002C57D2" w:rsidRPr="005F4166" w:rsidRDefault="002C57D2" w:rsidP="00231396">
      <w:pPr>
        <w:pStyle w:val="Affiliation"/>
        <w:spacing w:after="0" w:line="240" w:lineRule="auto"/>
        <w:rPr>
          <w:rFonts w:ascii="Arial" w:hAnsi="Arial" w:cs="Arial"/>
          <w:i/>
        </w:rPr>
      </w:pPr>
    </w:p>
    <w:p w14:paraId="306DAA45" w14:textId="77777777" w:rsidR="00B01FCD" w:rsidRPr="00FB3A86" w:rsidRDefault="00F83652" w:rsidP="00441B6F">
      <w:pPr>
        <w:pStyle w:val="Copyright"/>
        <w:spacing w:after="0" w:line="240" w:lineRule="auto"/>
        <w:jc w:val="both"/>
        <w:rPr>
          <w:rFonts w:ascii="Arial" w:hAnsi="Arial" w:cs="Arial"/>
        </w:rPr>
        <w:sectPr w:rsidR="00B01FCD" w:rsidRPr="00FB3A86" w:rsidSect="008125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C244E89" wp14:editId="47E5BE8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C29A6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A29EB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476C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FD5BAA" w14:textId="77777777" w:rsidTr="001E44FE">
        <w:tc>
          <w:tcPr>
            <w:tcW w:w="9576" w:type="dxa"/>
            <w:shd w:val="clear" w:color="auto" w:fill="F2F2F2"/>
          </w:tcPr>
          <w:p w14:paraId="1010417F" w14:textId="77777777" w:rsidR="003877A2" w:rsidRDefault="00BA1B01" w:rsidP="00441B6F">
            <w:pPr>
              <w:pStyle w:val="Body"/>
              <w:spacing w:after="0"/>
            </w:pPr>
            <w:r w:rsidRPr="00BA1B01">
              <w:rPr>
                <w:rFonts w:ascii="Arial" w:eastAsia="Calibri" w:hAnsi="Arial" w:cs="Arial"/>
                <w:b/>
                <w:szCs w:val="22"/>
              </w:rPr>
              <w:t xml:space="preserve">Aims: </w:t>
            </w:r>
            <w:r w:rsidR="00080AFF">
              <w:t>To evaluate the antibacterial and antifungal activity of cranberry (</w:t>
            </w:r>
            <w:r w:rsidR="00080AFF">
              <w:rPr>
                <w:rStyle w:val="Emphasis"/>
              </w:rPr>
              <w:t>Vaccinium macrocarpon</w:t>
            </w:r>
            <w:r w:rsidR="00080AFF">
              <w:t xml:space="preserve">) preparations, including aqueous extract, macerated fruit, and commercial cranberry juice cocktails, against </w:t>
            </w:r>
            <w:r w:rsidR="00080AFF">
              <w:rPr>
                <w:rStyle w:val="Emphasis"/>
              </w:rPr>
              <w:t>Escherichia coli</w:t>
            </w:r>
            <w:r w:rsidR="00080AFF">
              <w:t xml:space="preserve">, </w:t>
            </w:r>
            <w:r w:rsidR="00080AFF">
              <w:rPr>
                <w:rStyle w:val="Emphasis"/>
              </w:rPr>
              <w:t>Staphylococcus aureus</w:t>
            </w:r>
            <w:r w:rsidR="00080AFF">
              <w:t xml:space="preserve">, </w:t>
            </w:r>
            <w:r w:rsidR="00080AFF">
              <w:rPr>
                <w:rStyle w:val="Emphasis"/>
              </w:rPr>
              <w:t>Proteus mirabilis</w:t>
            </w:r>
            <w:r w:rsidR="00080AFF">
              <w:t xml:space="preserve">, and </w:t>
            </w:r>
            <w:r w:rsidR="00080AFF">
              <w:rPr>
                <w:rStyle w:val="Emphasis"/>
              </w:rPr>
              <w:t>Candida albicans</w:t>
            </w:r>
            <w:r w:rsidR="00080AFF">
              <w:t xml:space="preserve"> using </w:t>
            </w:r>
            <w:r w:rsidR="003877A2">
              <w:t>the Kirby–Bauer disk diffusion method.</w:t>
            </w:r>
          </w:p>
          <w:p w14:paraId="5AAD56BD" w14:textId="77777777" w:rsidR="00080AFF" w:rsidRPr="00BA1B01" w:rsidRDefault="003877A2" w:rsidP="00441B6F">
            <w:pPr>
              <w:pStyle w:val="Body"/>
              <w:spacing w:after="0"/>
              <w:rPr>
                <w:rFonts w:ascii="Arial" w:eastAsia="Calibri" w:hAnsi="Arial" w:cs="Arial"/>
                <w:szCs w:val="22"/>
              </w:rPr>
            </w:pPr>
            <w:r w:rsidRPr="00BA1B01">
              <w:rPr>
                <w:rFonts w:ascii="Arial" w:eastAsia="Calibri" w:hAnsi="Arial" w:cs="Arial"/>
                <w:szCs w:val="22"/>
              </w:rPr>
              <w:t xml:space="preserve"> </w:t>
            </w:r>
          </w:p>
          <w:p w14:paraId="46E573F1" w14:textId="77777777" w:rsidR="00080AFF"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080AFF">
              <w:t>Laboratory-based true experimental study utilizing the Kirby–Bauer disk diffusion method.</w:t>
            </w:r>
          </w:p>
          <w:p w14:paraId="6B9DB1E0" w14:textId="77777777" w:rsidR="00080AFF" w:rsidRDefault="00080AFF" w:rsidP="00441B6F">
            <w:pPr>
              <w:pStyle w:val="Body"/>
              <w:spacing w:after="0"/>
            </w:pPr>
          </w:p>
          <w:p w14:paraId="1BBDC99A" w14:textId="77777777" w:rsidR="00080AFF" w:rsidRDefault="00BA1B01" w:rsidP="00441B6F">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A6999">
              <w:rPr>
                <w:rFonts w:ascii="Arial" w:eastAsia="Calibri" w:hAnsi="Arial" w:cs="Arial"/>
                <w:szCs w:val="22"/>
              </w:rPr>
              <w:t>Main</w:t>
            </w:r>
            <w:r w:rsidR="002E260B">
              <w:rPr>
                <w:rFonts w:ascii="Arial" w:eastAsia="Calibri" w:hAnsi="Arial" w:cs="Arial"/>
                <w:szCs w:val="22"/>
              </w:rPr>
              <w:t xml:space="preserve"> Laboratory, </w:t>
            </w:r>
            <w:r w:rsidR="00080AFF">
              <w:t xml:space="preserve">College of Medical Sciences, University of Guyana, Georgetown, Guyana; </w:t>
            </w:r>
            <w:r w:rsidR="00C63708">
              <w:t>conducted over a 12-week period between February 2024 and March 2024.</w:t>
            </w:r>
          </w:p>
          <w:p w14:paraId="5AEBC9B9" w14:textId="77777777" w:rsidR="00080AFF" w:rsidRDefault="00080AFF" w:rsidP="00441B6F">
            <w:pPr>
              <w:pStyle w:val="Body"/>
              <w:spacing w:after="0"/>
            </w:pPr>
          </w:p>
          <w:p w14:paraId="22A6A190" w14:textId="77777777" w:rsidR="00BA1B01"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080AFF">
              <w:t>Fresh cranberries were processed into aqueous extract and macerated fruit slurry, while three commercial juice brands (T, C, O) were used as additional treatments. Sterile 6 mm discs were impregnated with each preparation. Standardized microbial suspensions (0.5 McFarland) of the four test organis</w:t>
            </w:r>
            <w:r w:rsidR="00FD3732">
              <w:t xml:space="preserve">ms were inoculated onto Mueller </w:t>
            </w:r>
            <w:r w:rsidR="00080AFF">
              <w:t xml:space="preserve">Hinton Agar. </w:t>
            </w:r>
            <w:r w:rsidR="00D27E0F">
              <w:t xml:space="preserve">Positive controls included ciprofloxacin (5 µg) for </w:t>
            </w:r>
            <w:r w:rsidR="00D27E0F">
              <w:rPr>
                <w:rStyle w:val="Emphasis"/>
              </w:rPr>
              <w:t>Escherichia coli</w:t>
            </w:r>
            <w:r w:rsidR="00D27E0F">
              <w:t xml:space="preserve">, tetracycline (30 µg) for </w:t>
            </w:r>
            <w:r w:rsidR="00D27E0F">
              <w:rPr>
                <w:rStyle w:val="Emphasis"/>
              </w:rPr>
              <w:t>Staphylococcus aureus</w:t>
            </w:r>
            <w:r w:rsidR="00D27E0F">
              <w:t xml:space="preserve">, gentamicin (10 µg) for </w:t>
            </w:r>
            <w:r w:rsidR="00D27E0F">
              <w:rPr>
                <w:rStyle w:val="Emphasis"/>
              </w:rPr>
              <w:t>Proteus mirabilis</w:t>
            </w:r>
            <w:r w:rsidR="00D27E0F">
              <w:t xml:space="preserve">, and ketoconazole (1%) for </w:t>
            </w:r>
            <w:r w:rsidR="00D27E0F">
              <w:rPr>
                <w:rStyle w:val="Emphasis"/>
              </w:rPr>
              <w:t>Candida albicans</w:t>
            </w:r>
            <w:r w:rsidR="00D27E0F">
              <w:t xml:space="preserve">. </w:t>
            </w:r>
            <w:r w:rsidR="00080AFF">
              <w:t xml:space="preserve">Plates were incubated at 37°C for 24 hours (bacteria) or 48 hours (yeast). Zones of inhibition were measured in </w:t>
            </w:r>
            <w:proofErr w:type="spellStart"/>
            <w:r w:rsidR="00080AFF">
              <w:t>millimetres</w:t>
            </w:r>
            <w:proofErr w:type="spellEnd"/>
            <w:r w:rsidR="00080AFF">
              <w:t>. Data were analyzed using one-way ANOVA with a significance threshold of α = 0.05.</w:t>
            </w:r>
          </w:p>
          <w:p w14:paraId="6D90E59B" w14:textId="77777777" w:rsidR="00080AFF" w:rsidRPr="00BA1B01" w:rsidRDefault="00080AFF" w:rsidP="00441B6F">
            <w:pPr>
              <w:pStyle w:val="Body"/>
              <w:spacing w:after="0"/>
              <w:rPr>
                <w:rFonts w:ascii="Arial" w:eastAsia="Calibri" w:hAnsi="Arial" w:cs="Arial"/>
                <w:szCs w:val="22"/>
              </w:rPr>
            </w:pPr>
          </w:p>
          <w:p w14:paraId="6AC55268" w14:textId="77777777" w:rsidR="0049771C"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080AFF">
              <w:t xml:space="preserve">All cranberry preparations showed </w:t>
            </w:r>
            <w:r w:rsidR="00080AFF" w:rsidRPr="0007738F">
              <w:rPr>
                <w:rStyle w:val="Strong"/>
                <w:b w:val="0"/>
              </w:rPr>
              <w:t>no inhibitory effect</w:t>
            </w:r>
            <w:r w:rsidR="00080AFF">
              <w:t xml:space="preserve"> against </w:t>
            </w:r>
            <w:r w:rsidR="00080AFF">
              <w:rPr>
                <w:rStyle w:val="Emphasis"/>
              </w:rPr>
              <w:t>E. coli</w:t>
            </w:r>
            <w:r w:rsidR="00080AFF">
              <w:t xml:space="preserve"> (all zones = 6 mm). Against </w:t>
            </w:r>
            <w:r w:rsidR="00080AFF">
              <w:rPr>
                <w:rStyle w:val="Emphasis"/>
              </w:rPr>
              <w:t>S. aureus</w:t>
            </w:r>
            <w:r w:rsidR="00080AFF">
              <w:t xml:space="preserve">, cranberry treatments produced inhibition zones of </w:t>
            </w:r>
            <w:r w:rsidR="00080AFF" w:rsidRPr="00013100">
              <w:rPr>
                <w:rStyle w:val="Strong"/>
                <w:b w:val="0"/>
              </w:rPr>
              <w:t>6–11 mm</w:t>
            </w:r>
            <w:r w:rsidR="00080AFF">
              <w:t xml:space="preserve">, while tetracycline produced </w:t>
            </w:r>
            <w:r w:rsidR="00080AFF" w:rsidRPr="00013100">
              <w:rPr>
                <w:rStyle w:val="Strong"/>
                <w:b w:val="0"/>
              </w:rPr>
              <w:t>26 mm</w:t>
            </w:r>
            <w:r w:rsidR="00080AFF">
              <w:t xml:space="preserve">; ANOVA indicated significant differences among </w:t>
            </w:r>
            <w:r w:rsidR="00080AFF" w:rsidRPr="00013100">
              <w:t>treatments (</w:t>
            </w:r>
            <w:proofErr w:type="gramStart"/>
            <w:r w:rsidR="00080AFF" w:rsidRPr="00013100">
              <w:rPr>
                <w:rStyle w:val="Strong"/>
                <w:b w:val="0"/>
              </w:rPr>
              <w:t>F(</w:t>
            </w:r>
            <w:proofErr w:type="gramEnd"/>
            <w:r w:rsidR="00080AFF" w:rsidRPr="00013100">
              <w:rPr>
                <w:rStyle w:val="Strong"/>
                <w:b w:val="0"/>
              </w:rPr>
              <w:t xml:space="preserve">5,30) = 187.31, </w:t>
            </w:r>
            <w:r w:rsidR="009027C7">
              <w:rPr>
                <w:rStyle w:val="Strong"/>
                <w:b w:val="0"/>
                <w:i/>
              </w:rPr>
              <w:t>P</w:t>
            </w:r>
            <w:r w:rsidR="00080AFF" w:rsidRPr="00013100">
              <w:rPr>
                <w:rStyle w:val="Strong"/>
                <w:b w:val="0"/>
              </w:rPr>
              <w:t xml:space="preserve"> &lt; 0.001</w:t>
            </w:r>
            <w:r w:rsidR="00080AFF" w:rsidRPr="00013100">
              <w:t xml:space="preserve">). For </w:t>
            </w:r>
            <w:r w:rsidR="00080AFF" w:rsidRPr="00013100">
              <w:rPr>
                <w:rStyle w:val="Emphasis"/>
              </w:rPr>
              <w:t>P. mirabilis</w:t>
            </w:r>
            <w:r w:rsidR="00080AFF" w:rsidRPr="00013100">
              <w:t xml:space="preserve">, inhibition zones ranged </w:t>
            </w:r>
            <w:r w:rsidR="00080AFF" w:rsidRPr="00013100">
              <w:rPr>
                <w:rStyle w:val="Strong"/>
                <w:b w:val="0"/>
              </w:rPr>
              <w:t>6–11 mm</w:t>
            </w:r>
            <w:r w:rsidR="00080AFF" w:rsidRPr="00013100">
              <w:t xml:space="preserve">, compared to </w:t>
            </w:r>
            <w:r w:rsidR="00080AFF" w:rsidRPr="00013100">
              <w:rPr>
                <w:rStyle w:val="Strong"/>
                <w:b w:val="0"/>
              </w:rPr>
              <w:t>25 mm</w:t>
            </w:r>
            <w:r w:rsidR="00080AFF" w:rsidRPr="00013100">
              <w:t xml:space="preserve"> with gentamicin (</w:t>
            </w:r>
            <w:proofErr w:type="gramStart"/>
            <w:r w:rsidR="00080AFF" w:rsidRPr="00013100">
              <w:rPr>
                <w:rStyle w:val="Strong"/>
                <w:b w:val="0"/>
              </w:rPr>
              <w:t>F(</w:t>
            </w:r>
            <w:proofErr w:type="gramEnd"/>
            <w:r w:rsidR="00080AFF" w:rsidRPr="00013100">
              <w:rPr>
                <w:rStyle w:val="Strong"/>
                <w:b w:val="0"/>
              </w:rPr>
              <w:t xml:space="preserve">6,35) = 256.71, </w:t>
            </w:r>
            <w:r w:rsidR="009027C7" w:rsidRPr="009027C7">
              <w:rPr>
                <w:rStyle w:val="Strong"/>
                <w:b w:val="0"/>
                <w:i/>
              </w:rPr>
              <w:t>P</w:t>
            </w:r>
            <w:r w:rsidR="00080AFF" w:rsidRPr="00013100">
              <w:rPr>
                <w:rStyle w:val="Strong"/>
                <w:b w:val="0"/>
              </w:rPr>
              <w:t xml:space="preserve"> &lt;</w:t>
            </w:r>
            <w:r w:rsidR="00080AFF" w:rsidRPr="00013100">
              <w:rPr>
                <w:rStyle w:val="Strong"/>
              </w:rPr>
              <w:t xml:space="preserve"> </w:t>
            </w:r>
            <w:r w:rsidR="00080AFF" w:rsidRPr="00013100">
              <w:rPr>
                <w:rStyle w:val="Strong"/>
                <w:b w:val="0"/>
              </w:rPr>
              <w:t>0.001</w:t>
            </w:r>
            <w:r w:rsidR="00080AFF" w:rsidRPr="00013100">
              <w:t xml:space="preserve">). </w:t>
            </w:r>
          </w:p>
          <w:p w14:paraId="2EF75D96" w14:textId="77777777" w:rsidR="00E652FD" w:rsidRPr="00013100" w:rsidRDefault="00E652FD" w:rsidP="00441B6F">
            <w:pPr>
              <w:pStyle w:val="Body"/>
              <w:spacing w:after="0"/>
            </w:pPr>
          </w:p>
          <w:p w14:paraId="62CE1C6E" w14:textId="77777777" w:rsidR="00080AFF" w:rsidRPr="00013100" w:rsidRDefault="00080AFF" w:rsidP="00441B6F">
            <w:pPr>
              <w:pStyle w:val="Body"/>
              <w:spacing w:after="0"/>
            </w:pPr>
            <w:r w:rsidRPr="00013100">
              <w:t xml:space="preserve">Only the aqueous cranberry extract inhibited </w:t>
            </w:r>
            <w:r w:rsidRPr="00013100">
              <w:rPr>
                <w:rStyle w:val="Emphasis"/>
              </w:rPr>
              <w:t>C. albicans</w:t>
            </w:r>
            <w:r w:rsidRPr="00013100">
              <w:t xml:space="preserve"> (zones </w:t>
            </w:r>
            <w:r w:rsidRPr="00013100">
              <w:rPr>
                <w:rStyle w:val="Strong"/>
                <w:b w:val="0"/>
              </w:rPr>
              <w:t>10–13 mm</w:t>
            </w:r>
            <w:r w:rsidRPr="00013100">
              <w:t>), showing no significant difference compared to ketoconazole (</w:t>
            </w:r>
            <w:proofErr w:type="gramStart"/>
            <w:r w:rsidRPr="00013100">
              <w:rPr>
                <w:rStyle w:val="Strong"/>
                <w:b w:val="0"/>
              </w:rPr>
              <w:t>F(</w:t>
            </w:r>
            <w:proofErr w:type="gramEnd"/>
            <w:r w:rsidRPr="00013100">
              <w:rPr>
                <w:rStyle w:val="Strong"/>
                <w:b w:val="0"/>
              </w:rPr>
              <w:t>1,10)</w:t>
            </w:r>
            <w:r w:rsidR="00E30406">
              <w:rPr>
                <w:rStyle w:val="Strong"/>
                <w:b w:val="0"/>
              </w:rPr>
              <w:t xml:space="preserve"> = 0.87, </w:t>
            </w:r>
            <w:r w:rsidR="00E30406" w:rsidRPr="00E30406">
              <w:rPr>
                <w:rStyle w:val="Strong"/>
                <w:b w:val="0"/>
                <w:i/>
              </w:rPr>
              <w:t>P</w:t>
            </w:r>
            <w:r w:rsidRPr="00013100">
              <w:rPr>
                <w:rStyle w:val="Strong"/>
                <w:b w:val="0"/>
              </w:rPr>
              <w:t xml:space="preserve"> = 0.37</w:t>
            </w:r>
            <w:r w:rsidRPr="00013100">
              <w:t>).</w:t>
            </w:r>
          </w:p>
          <w:p w14:paraId="1825991B" w14:textId="77777777" w:rsidR="00E652FD" w:rsidRDefault="00E652FD" w:rsidP="00441B6F">
            <w:pPr>
              <w:pStyle w:val="Body"/>
              <w:spacing w:after="0"/>
              <w:rPr>
                <w:rFonts w:ascii="Arial" w:eastAsia="Calibri" w:hAnsi="Arial" w:cs="Arial"/>
                <w:b/>
                <w:bCs/>
                <w:szCs w:val="22"/>
              </w:rPr>
            </w:pPr>
          </w:p>
          <w:p w14:paraId="756F5EEC" w14:textId="77777777" w:rsidR="00E652FD" w:rsidRDefault="00E652FD" w:rsidP="00441B6F">
            <w:pPr>
              <w:pStyle w:val="Body"/>
              <w:spacing w:after="0"/>
              <w:rPr>
                <w:rFonts w:ascii="Arial" w:eastAsia="Calibri" w:hAnsi="Arial" w:cs="Arial"/>
                <w:b/>
                <w:bCs/>
                <w:szCs w:val="22"/>
              </w:rPr>
            </w:pPr>
          </w:p>
          <w:p w14:paraId="4C9973D4" w14:textId="77777777" w:rsidR="00505F06" w:rsidRPr="00080AFF"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080AFF">
              <w:t xml:space="preserve">Cranberry preparations exhibited selective antimicrobial activity. While ineffective against </w:t>
            </w:r>
            <w:r w:rsidR="00080AFF">
              <w:rPr>
                <w:rStyle w:val="Emphasis"/>
              </w:rPr>
              <w:t>E. coli</w:t>
            </w:r>
            <w:r w:rsidR="00080AFF">
              <w:t xml:space="preserve">, several preparations showed mild antibacterial effects against </w:t>
            </w:r>
            <w:r w:rsidR="00080AFF">
              <w:rPr>
                <w:rStyle w:val="Emphasis"/>
              </w:rPr>
              <w:t>S. aureus</w:t>
            </w:r>
            <w:r w:rsidR="00080AFF">
              <w:t xml:space="preserve"> and </w:t>
            </w:r>
            <w:r w:rsidR="00080AFF">
              <w:rPr>
                <w:rStyle w:val="Emphasis"/>
              </w:rPr>
              <w:t>P. mirabilis</w:t>
            </w:r>
            <w:r w:rsidR="00080AFF">
              <w:t xml:space="preserve">. The aqueous cranberry extract demonstrated antifungal activity comparable to ketoconazole against </w:t>
            </w:r>
            <w:r w:rsidR="00080AFF">
              <w:rPr>
                <w:rStyle w:val="Emphasis"/>
              </w:rPr>
              <w:t>C. albicans</w:t>
            </w:r>
            <w:r w:rsidR="00080AFF">
              <w:t>. Cranberry may serve as a complementary antimicrobial agent, warranting further investigation using standardized extracts and advanced antimicrobial assays.</w:t>
            </w:r>
          </w:p>
        </w:tc>
      </w:tr>
    </w:tbl>
    <w:p w14:paraId="53B265D1" w14:textId="77777777" w:rsidR="00636EB2" w:rsidRDefault="00636EB2" w:rsidP="00441B6F">
      <w:pPr>
        <w:pStyle w:val="Body"/>
        <w:spacing w:after="0"/>
        <w:rPr>
          <w:rFonts w:ascii="Arial" w:hAnsi="Arial" w:cs="Arial"/>
          <w:i/>
        </w:rPr>
      </w:pPr>
    </w:p>
    <w:p w14:paraId="7DF8F3B0" w14:textId="77777777" w:rsidR="00A24E7E" w:rsidRPr="00C439A8" w:rsidRDefault="00C439A8" w:rsidP="00441B6F">
      <w:pPr>
        <w:pStyle w:val="Body"/>
        <w:spacing w:after="0"/>
        <w:rPr>
          <w:rFonts w:ascii="Arial" w:hAnsi="Arial" w:cs="Arial"/>
          <w:i/>
        </w:rPr>
      </w:pPr>
      <w:r>
        <w:rPr>
          <w:rFonts w:ascii="Arial" w:hAnsi="Arial" w:cs="Arial"/>
          <w:i/>
        </w:rPr>
        <w:lastRenderedPageBreak/>
        <w:t xml:space="preserve">Keywords: </w:t>
      </w:r>
      <w:r w:rsidRPr="00C439A8">
        <w:rPr>
          <w:i/>
        </w:rPr>
        <w:t xml:space="preserve">Cranberry extract, Antimicrobial activity, Urinary tract pathogens, Disk diffusion assay, Staphylococcus aureus, Proteus mirabilis, Candida albicans, </w:t>
      </w:r>
      <w:r w:rsidR="002F2A55" w:rsidRPr="009A5D05">
        <w:rPr>
          <w:rFonts w:ascii="Arial" w:hAnsi="Arial" w:cs="Arial"/>
          <w:i/>
        </w:rPr>
        <w:t>Escherichia coli</w:t>
      </w:r>
    </w:p>
    <w:p w14:paraId="52A9B54D" w14:textId="77777777" w:rsidR="005B1133" w:rsidRDefault="005B1133" w:rsidP="00441B6F">
      <w:pPr>
        <w:pStyle w:val="AbstHead"/>
        <w:spacing w:after="0"/>
        <w:jc w:val="both"/>
        <w:rPr>
          <w:rFonts w:ascii="Arial" w:hAnsi="Arial" w:cs="Arial"/>
          <w:b w:val="0"/>
          <w:i/>
          <w:caps w:val="0"/>
          <w:sz w:val="20"/>
        </w:rPr>
      </w:pPr>
    </w:p>
    <w:p w14:paraId="539D294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468979" w14:textId="77777777" w:rsidR="009A5D05" w:rsidRPr="009A5D05" w:rsidRDefault="009A5D05" w:rsidP="009A5D05">
      <w:pPr>
        <w:pStyle w:val="Body"/>
        <w:rPr>
          <w:rFonts w:ascii="Arial" w:hAnsi="Arial" w:cs="Arial"/>
        </w:rPr>
      </w:pPr>
      <w:r w:rsidRPr="009A5D05">
        <w:rPr>
          <w:rFonts w:ascii="Arial" w:hAnsi="Arial" w:cs="Arial"/>
        </w:rPr>
        <w:t xml:space="preserve">Urinary Tract Infections (UTIs) are commonly caused by pathogenic bacteria such as </w:t>
      </w:r>
      <w:r w:rsidRPr="009A5D05">
        <w:rPr>
          <w:rFonts w:ascii="Arial" w:hAnsi="Arial" w:cs="Arial"/>
          <w:i/>
        </w:rPr>
        <w:t>Escherichia coli</w:t>
      </w:r>
      <w:r w:rsidRPr="009A5D05">
        <w:rPr>
          <w:rFonts w:ascii="Arial" w:hAnsi="Arial" w:cs="Arial"/>
        </w:rPr>
        <w:t xml:space="preserve">, </w:t>
      </w:r>
      <w:r w:rsidRPr="009A5D05">
        <w:rPr>
          <w:rFonts w:ascii="Arial" w:hAnsi="Arial" w:cs="Arial"/>
          <w:i/>
        </w:rPr>
        <w:t>Staphylococcus aureus</w:t>
      </w:r>
      <w:r w:rsidRPr="009A5D05">
        <w:rPr>
          <w:rFonts w:ascii="Arial" w:hAnsi="Arial" w:cs="Arial"/>
        </w:rPr>
        <w:t xml:space="preserve">, </w:t>
      </w:r>
      <w:r w:rsidRPr="00661070">
        <w:rPr>
          <w:rFonts w:ascii="Arial" w:hAnsi="Arial" w:cs="Arial"/>
        </w:rPr>
        <w:t>and</w:t>
      </w:r>
      <w:r w:rsidRPr="009A5D05">
        <w:rPr>
          <w:rFonts w:ascii="Arial" w:hAnsi="Arial" w:cs="Arial"/>
          <w:i/>
        </w:rPr>
        <w:t xml:space="preserve"> Proteus mirabilis</w:t>
      </w:r>
      <w:r w:rsidRPr="009A5D05">
        <w:rPr>
          <w:rFonts w:ascii="Arial" w:hAnsi="Arial" w:cs="Arial"/>
        </w:rPr>
        <w:t xml:space="preserve">, with </w:t>
      </w:r>
      <w:r w:rsidRPr="009A5D05">
        <w:rPr>
          <w:rFonts w:ascii="Arial" w:hAnsi="Arial" w:cs="Arial"/>
          <w:i/>
        </w:rPr>
        <w:t>E. coli</w:t>
      </w:r>
      <w:r w:rsidRPr="009A5D05">
        <w:rPr>
          <w:rFonts w:ascii="Arial" w:hAnsi="Arial" w:cs="Arial"/>
        </w:rPr>
        <w:t xml:space="preserve"> being the leading cause (Flores-Mireles et al.</w:t>
      </w:r>
      <w:r w:rsidR="00AE57E4">
        <w:rPr>
          <w:rFonts w:ascii="Arial" w:hAnsi="Arial" w:cs="Arial"/>
        </w:rPr>
        <w:t>,</w:t>
      </w:r>
      <w:r w:rsidRPr="009A5D05">
        <w:rPr>
          <w:rFonts w:ascii="Arial" w:hAnsi="Arial" w:cs="Arial"/>
        </w:rPr>
        <w:t xml:space="preserve"> 2015). </w:t>
      </w:r>
      <w:r w:rsidRPr="006B2F24">
        <w:rPr>
          <w:rFonts w:ascii="Arial" w:hAnsi="Arial" w:cs="Arial"/>
          <w:i/>
        </w:rPr>
        <w:t>E. coli</w:t>
      </w:r>
      <w:r w:rsidRPr="009A5D05">
        <w:rPr>
          <w:rFonts w:ascii="Arial" w:hAnsi="Arial" w:cs="Arial"/>
        </w:rPr>
        <w:t xml:space="preserve"> is reported to cause 90% of UTIs as stated by Cleveland Clinic (2023). Additionally, some UTIs are caused as a result of the overgrowth of fungus such as </w:t>
      </w:r>
      <w:r w:rsidRPr="006B2F24">
        <w:rPr>
          <w:rFonts w:ascii="Arial" w:hAnsi="Arial" w:cs="Arial"/>
          <w:i/>
        </w:rPr>
        <w:t>Candida albicans</w:t>
      </w:r>
      <w:r w:rsidRPr="009A5D05">
        <w:rPr>
          <w:rFonts w:ascii="Arial" w:hAnsi="Arial" w:cs="Arial"/>
        </w:rPr>
        <w:t xml:space="preserve"> </w:t>
      </w:r>
      <w:r w:rsidR="00AE57E4">
        <w:rPr>
          <w:rFonts w:ascii="Arial" w:hAnsi="Arial" w:cs="Arial"/>
        </w:rPr>
        <w:t>in the urinary tract (Malani &amp;</w:t>
      </w:r>
      <w:r w:rsidRPr="009A5D05">
        <w:rPr>
          <w:rFonts w:ascii="Arial" w:hAnsi="Arial" w:cs="Arial"/>
        </w:rPr>
        <w:t xml:space="preserve"> Kauffman</w:t>
      </w:r>
      <w:r w:rsidR="00AE57E4">
        <w:rPr>
          <w:rFonts w:ascii="Arial" w:hAnsi="Arial" w:cs="Arial"/>
        </w:rPr>
        <w:t>,</w:t>
      </w:r>
      <w:r w:rsidRPr="009A5D05">
        <w:rPr>
          <w:rFonts w:ascii="Arial" w:hAnsi="Arial" w:cs="Arial"/>
        </w:rPr>
        <w:t xml:space="preserve"> 2007). These infections are especially common in women, with 20% of women experiencing a UTI at least once in their life (Cleveland Clinic</w:t>
      </w:r>
      <w:r w:rsidR="00AE57E4">
        <w:rPr>
          <w:rFonts w:ascii="Arial" w:hAnsi="Arial" w:cs="Arial"/>
        </w:rPr>
        <w:t>,</w:t>
      </w:r>
      <w:r w:rsidRPr="009A5D05">
        <w:rPr>
          <w:rFonts w:ascii="Arial" w:hAnsi="Arial" w:cs="Arial"/>
        </w:rPr>
        <w:t xml:space="preserve"> 2023).</w:t>
      </w:r>
    </w:p>
    <w:p w14:paraId="6014D5A0" w14:textId="77777777" w:rsidR="009A5D05" w:rsidRPr="009A5D05" w:rsidRDefault="009A5D05" w:rsidP="009A5D05">
      <w:pPr>
        <w:pStyle w:val="Body"/>
        <w:rPr>
          <w:rFonts w:ascii="Arial" w:hAnsi="Arial" w:cs="Arial"/>
        </w:rPr>
      </w:pPr>
      <w:r w:rsidRPr="009A5D05">
        <w:rPr>
          <w:rFonts w:ascii="Arial" w:hAnsi="Arial" w:cs="Arial"/>
        </w:rPr>
        <w:t>Cranberry juice is frequently recommended as a natural remedy to UTIs, but its effectiveness remains a topic of debate in the literature. While some research, such as Jensen et al. (2017), suggest a protective effect of cranberry juice against UTIs, others, including Guay (2009), argues that there is no substantial evidence supporting its efficacy. Notably, a study involving mice treated with both commercially available cranberry juice cocktails and fresh cranberry juice demonstrated a significant decrease in Colony Forming Units (CFU) concentrations in the bladder; indicating effective treatments against UTIs (Jensen et al.</w:t>
      </w:r>
      <w:r w:rsidR="00AE57E4">
        <w:rPr>
          <w:rFonts w:ascii="Arial" w:hAnsi="Arial" w:cs="Arial"/>
        </w:rPr>
        <w:t>,</w:t>
      </w:r>
      <w:r w:rsidRPr="009A5D05">
        <w:rPr>
          <w:rFonts w:ascii="Arial" w:hAnsi="Arial" w:cs="Arial"/>
        </w:rPr>
        <w:t xml:space="preserve"> 2017).</w:t>
      </w:r>
    </w:p>
    <w:p w14:paraId="1A543FD5" w14:textId="77777777" w:rsidR="009A5D05" w:rsidRPr="009A5D05" w:rsidRDefault="009A5D05" w:rsidP="009A5D05">
      <w:pPr>
        <w:pStyle w:val="Body"/>
        <w:rPr>
          <w:rFonts w:ascii="Arial" w:hAnsi="Arial" w:cs="Arial"/>
        </w:rPr>
      </w:pPr>
      <w:r w:rsidRPr="009A5D05">
        <w:rPr>
          <w:rFonts w:ascii="Arial" w:hAnsi="Arial" w:cs="Arial"/>
        </w:rPr>
        <w:t xml:space="preserve">The presumed protective effect of cranberry against UTIs is often attributed to its anti-adherence properties, especially against </w:t>
      </w:r>
      <w:r w:rsidRPr="00C1227D">
        <w:rPr>
          <w:rFonts w:ascii="Arial" w:hAnsi="Arial" w:cs="Arial"/>
          <w:i/>
        </w:rPr>
        <w:t>E. coli</w:t>
      </w:r>
      <w:r w:rsidRPr="009A5D05">
        <w:rPr>
          <w:rFonts w:ascii="Arial" w:hAnsi="Arial" w:cs="Arial"/>
        </w:rPr>
        <w:t>. Additionally, the presence of A-type linkages in cranberry polycyclic aromatic compounds (PACs) may add to the fruit’s antimicrobial properties (Howell et al.</w:t>
      </w:r>
      <w:r w:rsidR="00AE57E4">
        <w:rPr>
          <w:rFonts w:ascii="Arial" w:hAnsi="Arial" w:cs="Arial"/>
        </w:rPr>
        <w:t>,</w:t>
      </w:r>
      <w:r w:rsidRPr="009A5D05">
        <w:rPr>
          <w:rFonts w:ascii="Arial" w:hAnsi="Arial" w:cs="Arial"/>
        </w:rPr>
        <w:t xml:space="preserve"> 2005). However, conclusive evidence is lacking due to inconsistent methodologies and results across studies (Raz et al.</w:t>
      </w:r>
      <w:r w:rsidR="00AE57E4">
        <w:rPr>
          <w:rFonts w:ascii="Arial" w:hAnsi="Arial" w:cs="Arial"/>
        </w:rPr>
        <w:t>,</w:t>
      </w:r>
      <w:r w:rsidRPr="009A5D05">
        <w:rPr>
          <w:rFonts w:ascii="Arial" w:hAnsi="Arial" w:cs="Arial"/>
        </w:rPr>
        <w:t xml:space="preserve"> 2004). Furthermore, conflicting findings regarding cranberry’s impact on fungal UTIs caused by the overgrowth of </w:t>
      </w:r>
      <w:r w:rsidRPr="0065100C">
        <w:rPr>
          <w:rFonts w:ascii="Arial" w:hAnsi="Arial" w:cs="Arial"/>
          <w:i/>
        </w:rPr>
        <w:t>C. albicans</w:t>
      </w:r>
      <w:r w:rsidRPr="009A5D05">
        <w:rPr>
          <w:rFonts w:ascii="Arial" w:hAnsi="Arial" w:cs="Arial"/>
        </w:rPr>
        <w:t xml:space="preserve"> add to the inconsistencies in literature. </w:t>
      </w:r>
    </w:p>
    <w:p w14:paraId="2D2186A7" w14:textId="77777777" w:rsidR="009A5D05" w:rsidRDefault="009A5D05" w:rsidP="009A5D05">
      <w:pPr>
        <w:pStyle w:val="Body"/>
        <w:spacing w:after="0"/>
        <w:rPr>
          <w:rFonts w:ascii="Arial" w:hAnsi="Arial" w:cs="Arial"/>
        </w:rPr>
      </w:pPr>
      <w:r w:rsidRPr="009A5D05">
        <w:rPr>
          <w:rFonts w:ascii="Arial" w:hAnsi="Arial" w:cs="Arial"/>
        </w:rPr>
        <w:t>To address these contradictions, this study will evaluate the antibacterial and antifungal effects of cranberry extracts and three commercial juices against key pathogens using the Kirby-Bauer Disc Diffusion method. Ultimately, findings from this study will potentially benefit women worldwide by providing a more accessible and natural intervention for UTIs. This can also make meaningful contributions towards the quality of life, reduction of hospital visits, and reducing healthcare costs for women who may have experienced recurrent UTIs.</w:t>
      </w:r>
    </w:p>
    <w:p w14:paraId="7A3777F3" w14:textId="77777777" w:rsidR="009A5D05" w:rsidRDefault="009A5D05" w:rsidP="009A5D05">
      <w:pPr>
        <w:pStyle w:val="Body"/>
        <w:spacing w:after="0"/>
        <w:rPr>
          <w:rFonts w:ascii="Arial" w:hAnsi="Arial" w:cs="Arial"/>
        </w:rPr>
      </w:pPr>
    </w:p>
    <w:p w14:paraId="3D01A9D3" w14:textId="77777777" w:rsidR="009150CB"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DCE9EF" w14:textId="77777777" w:rsidR="0012777A" w:rsidRDefault="00AA74E0" w:rsidP="00A34503">
      <w:pPr>
        <w:pStyle w:val="AbstHead"/>
        <w:spacing w:after="0"/>
        <w:jc w:val="both"/>
        <w:rPr>
          <w:rFonts w:ascii="Arial" w:hAnsi="Arial" w:cs="Arial"/>
        </w:rPr>
      </w:pPr>
      <w:r w:rsidRPr="00C30A0F">
        <w:rPr>
          <w:rFonts w:ascii="Arial" w:hAnsi="Arial" w:cs="Arial"/>
        </w:rPr>
        <w:t xml:space="preserve">2.1 </w:t>
      </w:r>
      <w:r w:rsidR="00904513" w:rsidRPr="00C7107E">
        <w:rPr>
          <w:rFonts w:ascii="Arial" w:hAnsi="Arial" w:cs="Arial"/>
          <w:caps w:val="0"/>
        </w:rPr>
        <w:t xml:space="preserve">Study Design </w:t>
      </w:r>
      <w:r w:rsidR="00904513">
        <w:rPr>
          <w:rFonts w:ascii="Arial" w:hAnsi="Arial" w:cs="Arial"/>
          <w:caps w:val="0"/>
        </w:rPr>
        <w:t>a</w:t>
      </w:r>
      <w:r w:rsidR="00904513" w:rsidRPr="00C7107E">
        <w:rPr>
          <w:rFonts w:ascii="Arial" w:hAnsi="Arial" w:cs="Arial"/>
          <w:caps w:val="0"/>
        </w:rPr>
        <w:t>nd Experimental Framework</w:t>
      </w:r>
      <w:r w:rsidR="00904513" w:rsidRPr="00FB3A86">
        <w:rPr>
          <w:rFonts w:ascii="Arial" w:hAnsi="Arial" w:cs="Arial"/>
          <w:caps w:val="0"/>
        </w:rPr>
        <w:t xml:space="preserve"> </w:t>
      </w:r>
    </w:p>
    <w:p w14:paraId="4D0726FA" w14:textId="77777777" w:rsidR="00AA74E0" w:rsidRDefault="0012777A" w:rsidP="00441B6F">
      <w:pPr>
        <w:pStyle w:val="Body"/>
        <w:spacing w:after="0"/>
        <w:rPr>
          <w:rFonts w:ascii="Arial" w:hAnsi="Arial" w:cs="Arial"/>
        </w:rPr>
      </w:pPr>
      <w:r>
        <w:t xml:space="preserve">This study employed a </w:t>
      </w:r>
      <w:r w:rsidRPr="00AB643E">
        <w:rPr>
          <w:rStyle w:val="Strong"/>
          <w:b w:val="0"/>
        </w:rPr>
        <w:t>true experimental in vitro design</w:t>
      </w:r>
      <w:r>
        <w:t xml:space="preserve"> to evaluate the antibacterial and antifungal activity of cranberry (</w:t>
      </w:r>
      <w:r>
        <w:rPr>
          <w:rStyle w:val="Emphasis"/>
        </w:rPr>
        <w:t>Vaccinium macrocarpon</w:t>
      </w:r>
      <w:r>
        <w:t xml:space="preserve">) extracts and commercial cranberry juice cocktails. Antimicrobial susceptibility testing was conducted using the </w:t>
      </w:r>
      <w:r w:rsidR="00874653">
        <w:rPr>
          <w:rStyle w:val="Strong"/>
          <w:b w:val="0"/>
        </w:rPr>
        <w:t>Kirby</w:t>
      </w:r>
      <w:r w:rsidR="004C4D42">
        <w:rPr>
          <w:rStyle w:val="Strong"/>
          <w:b w:val="0"/>
        </w:rPr>
        <w:t>-</w:t>
      </w:r>
      <w:r w:rsidRPr="00AB643E">
        <w:rPr>
          <w:rStyle w:val="Strong"/>
          <w:b w:val="0"/>
        </w:rPr>
        <w:t>Bauer disk diffusion method</w:t>
      </w:r>
      <w:r>
        <w:rPr>
          <w:rStyle w:val="Strong"/>
        </w:rPr>
        <w:t xml:space="preserve"> </w:t>
      </w:r>
      <w:r>
        <w:rPr>
          <w:rStyle w:val="Strong"/>
          <w:b w:val="0"/>
        </w:rPr>
        <w:t xml:space="preserve">in accordance with the </w:t>
      </w:r>
      <w:r w:rsidRPr="0012777A">
        <w:rPr>
          <w:rStyle w:val="Strong"/>
          <w:b w:val="0"/>
        </w:rPr>
        <w:t>13th edition of the CLSI M02 document</w:t>
      </w:r>
      <w:r>
        <w:t xml:space="preserve">. All treatments were performed in </w:t>
      </w:r>
      <w:r w:rsidRPr="00AB643E">
        <w:rPr>
          <w:rStyle w:val="Strong"/>
          <w:b w:val="0"/>
        </w:rPr>
        <w:t>triplicate (n = 3)</w:t>
      </w:r>
      <w:r>
        <w:t>.</w:t>
      </w:r>
      <w:r w:rsidR="00AA74E0" w:rsidRPr="00FB3A86">
        <w:rPr>
          <w:rFonts w:ascii="Arial" w:hAnsi="Arial" w:cs="Arial"/>
        </w:rPr>
        <w:t xml:space="preserve">  </w:t>
      </w:r>
    </w:p>
    <w:p w14:paraId="266F24A8" w14:textId="77777777" w:rsidR="00505F06" w:rsidRDefault="00505F06" w:rsidP="00441B6F">
      <w:pPr>
        <w:pStyle w:val="Body"/>
        <w:spacing w:after="0"/>
        <w:rPr>
          <w:rFonts w:ascii="Arial" w:hAnsi="Arial" w:cs="Arial"/>
        </w:rPr>
      </w:pPr>
    </w:p>
    <w:p w14:paraId="10DE00B9" w14:textId="77777777" w:rsidR="00C7107E" w:rsidRDefault="00C7107E" w:rsidP="00441B6F">
      <w:pPr>
        <w:pStyle w:val="Body"/>
        <w:spacing w:after="0"/>
        <w:rPr>
          <w:rStyle w:val="Strong"/>
        </w:rPr>
      </w:pPr>
      <w:r>
        <w:t xml:space="preserve">Experiments were conducted at the </w:t>
      </w:r>
      <w:r w:rsidRPr="002A6999">
        <w:rPr>
          <w:rStyle w:val="Strong"/>
          <w:b w:val="0"/>
        </w:rPr>
        <w:t>Main Laboratory of the College of Medical Sciences, University of Guyana</w:t>
      </w:r>
      <w:r>
        <w:rPr>
          <w:rStyle w:val="Strong"/>
        </w:rPr>
        <w:t>.</w:t>
      </w:r>
    </w:p>
    <w:p w14:paraId="2FCE7BD2" w14:textId="77777777" w:rsidR="00C7107E" w:rsidRDefault="00C7107E" w:rsidP="00441B6F">
      <w:pPr>
        <w:pStyle w:val="Body"/>
        <w:spacing w:after="0"/>
        <w:rPr>
          <w:rFonts w:ascii="Arial" w:hAnsi="Arial" w:cs="Arial"/>
        </w:rPr>
      </w:pPr>
    </w:p>
    <w:p w14:paraId="1F70ED20" w14:textId="77777777" w:rsidR="00C7107E" w:rsidRDefault="00C7107E" w:rsidP="00441B6F">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C7107E">
        <w:rPr>
          <w:rFonts w:ascii="Arial" w:hAnsi="Arial" w:cs="Arial"/>
          <w:b/>
          <w:sz w:val="22"/>
        </w:rPr>
        <w:t>Microorganisms and Culture Conditions</w:t>
      </w:r>
    </w:p>
    <w:p w14:paraId="4A45A331" w14:textId="77777777" w:rsidR="007C38ED" w:rsidRPr="007C38ED" w:rsidRDefault="007C38ED" w:rsidP="007C38ED">
      <w:pPr>
        <w:pStyle w:val="Body"/>
        <w:rPr>
          <w:rFonts w:ascii="Arial" w:hAnsi="Arial" w:cs="Arial"/>
        </w:rPr>
      </w:pPr>
      <w:r>
        <w:rPr>
          <w:rFonts w:ascii="Arial" w:hAnsi="Arial" w:cs="Arial"/>
        </w:rPr>
        <w:t xml:space="preserve">Four (4) in-house strains </w:t>
      </w:r>
      <w:r w:rsidRPr="007C38ED">
        <w:rPr>
          <w:rFonts w:ascii="Arial" w:hAnsi="Arial" w:cs="Arial"/>
        </w:rPr>
        <w:t>associated with urinary tract infections were selected:</w:t>
      </w:r>
    </w:p>
    <w:p w14:paraId="6C925BF9"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Escherichia coli</w:t>
      </w:r>
    </w:p>
    <w:p w14:paraId="45DF631B"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Staphylococcus aureus</w:t>
      </w:r>
    </w:p>
    <w:p w14:paraId="25E9E232"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Proteus mirabilis</w:t>
      </w:r>
    </w:p>
    <w:p w14:paraId="18975469" w14:textId="77777777" w:rsidR="00505F06" w:rsidRDefault="007C38ED" w:rsidP="00706E6F">
      <w:pPr>
        <w:pStyle w:val="Body"/>
        <w:numPr>
          <w:ilvl w:val="0"/>
          <w:numId w:val="36"/>
        </w:numPr>
        <w:spacing w:after="0"/>
        <w:rPr>
          <w:rFonts w:ascii="Arial" w:hAnsi="Arial" w:cs="Arial"/>
          <w:i/>
        </w:rPr>
      </w:pPr>
      <w:r w:rsidRPr="007C38ED">
        <w:rPr>
          <w:rFonts w:ascii="Arial" w:hAnsi="Arial" w:cs="Arial"/>
          <w:i/>
        </w:rPr>
        <w:t>Candida albicans</w:t>
      </w:r>
    </w:p>
    <w:p w14:paraId="008DF51F" w14:textId="77777777" w:rsidR="007C38ED" w:rsidRDefault="007C38ED" w:rsidP="007C38ED">
      <w:pPr>
        <w:pStyle w:val="Body"/>
        <w:spacing w:after="0"/>
      </w:pPr>
      <w:r w:rsidRPr="007C38ED">
        <w:rPr>
          <w:rFonts w:ascii="Arial" w:hAnsi="Arial" w:cs="Arial"/>
        </w:rPr>
        <w:t>Microbial isolates were cultu</w:t>
      </w:r>
      <w:r w:rsidR="0080795A">
        <w:rPr>
          <w:rFonts w:ascii="Arial" w:hAnsi="Arial" w:cs="Arial"/>
        </w:rPr>
        <w:t xml:space="preserve">red on Mueller </w:t>
      </w:r>
      <w:r w:rsidR="003B0E63">
        <w:rPr>
          <w:rFonts w:ascii="Arial" w:hAnsi="Arial" w:cs="Arial"/>
        </w:rPr>
        <w:t>Hinton Agar (CRITERION, Hardy Diagnostics)</w:t>
      </w:r>
      <w:r>
        <w:rPr>
          <w:rFonts w:ascii="Arial" w:hAnsi="Arial" w:cs="Arial"/>
        </w:rPr>
        <w:t xml:space="preserve"> and </w:t>
      </w:r>
      <w:r>
        <w:t xml:space="preserve">Colonies were transferred into </w:t>
      </w:r>
      <w:r w:rsidRPr="003B1C9A">
        <w:rPr>
          <w:rStyle w:val="Strong"/>
          <w:b w:val="0"/>
        </w:rPr>
        <w:t>Nutrient Broth</w:t>
      </w:r>
      <w:r w:rsidRPr="003B1C9A">
        <w:rPr>
          <w:b/>
        </w:rPr>
        <w:t xml:space="preserve"> </w:t>
      </w:r>
      <w:r>
        <w:t xml:space="preserve">(bacteria) or </w:t>
      </w:r>
      <w:r w:rsidRPr="003B1C9A">
        <w:rPr>
          <w:rStyle w:val="Strong"/>
          <w:b w:val="0"/>
        </w:rPr>
        <w:t>Dextrose Broth</w:t>
      </w:r>
      <w:r>
        <w:t xml:space="preserve"> (yeast) and adjusted to </w:t>
      </w:r>
      <w:r w:rsidRPr="003B1C9A">
        <w:rPr>
          <w:rStyle w:val="Strong"/>
          <w:b w:val="0"/>
        </w:rPr>
        <w:t>0.5 McFarland Standard</w:t>
      </w:r>
      <w:r>
        <w:t xml:space="preserve"> (≈1×10⁸ CFU/mL)</w:t>
      </w:r>
      <w:r w:rsidR="00E87B12">
        <w:t xml:space="preserve"> (Hardy Diagnostics)</w:t>
      </w:r>
      <w:r>
        <w:t>.</w:t>
      </w:r>
    </w:p>
    <w:p w14:paraId="610169D8" w14:textId="77777777" w:rsidR="007C38ED" w:rsidRDefault="007C38ED" w:rsidP="00441B6F">
      <w:pPr>
        <w:pStyle w:val="Body"/>
        <w:spacing w:after="0"/>
        <w:rPr>
          <w:rFonts w:ascii="Arial" w:hAnsi="Arial" w:cs="Arial"/>
        </w:rPr>
      </w:pPr>
    </w:p>
    <w:p w14:paraId="0E467D88" w14:textId="77777777" w:rsidR="007C38ED" w:rsidRDefault="007C38ED" w:rsidP="007C38ED">
      <w:pPr>
        <w:pStyle w:val="Body"/>
        <w:spacing w:after="0"/>
        <w:rPr>
          <w:rFonts w:ascii="Arial" w:hAnsi="Arial" w:cs="Arial"/>
          <w:b/>
          <w:sz w:val="22"/>
        </w:rPr>
      </w:pPr>
      <w:r>
        <w:rPr>
          <w:rFonts w:ascii="Arial" w:hAnsi="Arial" w:cs="Arial"/>
          <w:b/>
          <w:caps/>
          <w:sz w:val="22"/>
        </w:rPr>
        <w:t>2.3</w:t>
      </w:r>
      <w:r w:rsidRPr="00C30A0F">
        <w:rPr>
          <w:rFonts w:ascii="Arial" w:hAnsi="Arial" w:cs="Arial"/>
          <w:b/>
          <w:caps/>
          <w:sz w:val="22"/>
        </w:rPr>
        <w:t xml:space="preserve"> </w:t>
      </w:r>
      <w:r>
        <w:rPr>
          <w:rFonts w:ascii="Arial" w:hAnsi="Arial" w:cs="Arial"/>
          <w:b/>
          <w:sz w:val="22"/>
        </w:rPr>
        <w:t>Preparation of Cranberry Extracts</w:t>
      </w:r>
    </w:p>
    <w:p w14:paraId="414A853A" w14:textId="77777777" w:rsidR="007C38ED" w:rsidRDefault="007C38ED" w:rsidP="007C38ED">
      <w:pPr>
        <w:pStyle w:val="Body"/>
        <w:rPr>
          <w:rFonts w:ascii="Arial" w:hAnsi="Arial" w:cs="Arial"/>
          <w:b/>
          <w:u w:val="single"/>
        </w:rPr>
      </w:pPr>
      <w:r>
        <w:rPr>
          <w:rFonts w:ascii="Arial" w:hAnsi="Arial" w:cs="Arial"/>
          <w:b/>
          <w:u w:val="single"/>
        </w:rPr>
        <w:t>2.3.</w:t>
      </w:r>
      <w:r w:rsidRPr="00902823">
        <w:rPr>
          <w:rFonts w:ascii="Arial" w:hAnsi="Arial" w:cs="Arial"/>
          <w:b/>
          <w:u w:val="single"/>
        </w:rPr>
        <w:t xml:space="preserve">1 </w:t>
      </w:r>
      <w:r w:rsidRPr="007C38ED">
        <w:rPr>
          <w:rFonts w:ascii="Arial" w:hAnsi="Arial" w:cs="Arial"/>
          <w:b/>
          <w:u w:val="single"/>
        </w:rPr>
        <w:t>Fruit Collection and Pre-processing</w:t>
      </w:r>
    </w:p>
    <w:p w14:paraId="62E5CC19" w14:textId="77777777" w:rsidR="007C38ED" w:rsidRPr="007C38ED" w:rsidRDefault="007C38ED" w:rsidP="007C38ED">
      <w:pPr>
        <w:pStyle w:val="Body"/>
        <w:spacing w:after="0"/>
        <w:rPr>
          <w:rFonts w:ascii="Arial" w:hAnsi="Arial" w:cs="Arial"/>
        </w:rPr>
      </w:pPr>
      <w:r>
        <w:t xml:space="preserve">Fresh cranberries were rinsed with </w:t>
      </w:r>
      <w:r w:rsidRPr="00777FBD">
        <w:rPr>
          <w:rStyle w:val="Strong"/>
          <w:b w:val="0"/>
        </w:rPr>
        <w:t>10% bleach solution</w:t>
      </w:r>
      <w:r>
        <w:t xml:space="preserve"> prepared using autoclaved distilled water (121 °C, 15 min) to eliminate surface contaminants. </w:t>
      </w:r>
    </w:p>
    <w:p w14:paraId="24D3C69B" w14:textId="77777777" w:rsidR="007C38ED" w:rsidRDefault="007C38ED" w:rsidP="00441B6F">
      <w:pPr>
        <w:pStyle w:val="Body"/>
        <w:spacing w:after="0"/>
        <w:rPr>
          <w:rFonts w:ascii="Arial" w:hAnsi="Arial" w:cs="Arial"/>
        </w:rPr>
      </w:pPr>
    </w:p>
    <w:p w14:paraId="6B76F4E2" w14:textId="77777777" w:rsidR="007C38ED" w:rsidRDefault="007C38ED" w:rsidP="007C38ED">
      <w:pPr>
        <w:pStyle w:val="Body"/>
        <w:rPr>
          <w:rFonts w:ascii="Arial" w:hAnsi="Arial" w:cs="Arial"/>
          <w:b/>
          <w:u w:val="single"/>
        </w:rPr>
      </w:pPr>
      <w:r>
        <w:rPr>
          <w:rFonts w:ascii="Arial" w:hAnsi="Arial" w:cs="Arial"/>
          <w:b/>
          <w:u w:val="single"/>
        </w:rPr>
        <w:t>2.3.2</w:t>
      </w:r>
      <w:r w:rsidRPr="00902823">
        <w:rPr>
          <w:rFonts w:ascii="Arial" w:hAnsi="Arial" w:cs="Arial"/>
          <w:b/>
          <w:u w:val="single"/>
        </w:rPr>
        <w:t xml:space="preserve"> </w:t>
      </w:r>
      <w:r w:rsidR="00D56496">
        <w:rPr>
          <w:rFonts w:ascii="Arial" w:hAnsi="Arial" w:cs="Arial"/>
          <w:b/>
          <w:u w:val="single"/>
        </w:rPr>
        <w:t xml:space="preserve">Fresh Cranberry </w:t>
      </w:r>
      <w:r w:rsidRPr="007C38ED">
        <w:rPr>
          <w:rFonts w:ascii="Arial" w:hAnsi="Arial" w:cs="Arial"/>
          <w:b/>
          <w:u w:val="single"/>
        </w:rPr>
        <w:t>Aqueous (Water-Based) Extraction</w:t>
      </w:r>
    </w:p>
    <w:p w14:paraId="4D9D745E" w14:textId="77777777" w:rsidR="007C38ED" w:rsidRDefault="00D56496" w:rsidP="00777FBD">
      <w:pPr>
        <w:pStyle w:val="Body"/>
        <w:jc w:val="left"/>
      </w:pPr>
      <w:r>
        <w:lastRenderedPageBreak/>
        <w:t xml:space="preserve">Fresh cranberries (20 g) were washed with </w:t>
      </w:r>
      <w:r w:rsidRPr="00083257">
        <w:rPr>
          <w:rStyle w:val="Strong"/>
          <w:b w:val="0"/>
        </w:rPr>
        <w:t>10% bleach solution</w:t>
      </w:r>
      <w:r>
        <w:t xml:space="preserve">, rinsed thoroughly, and macerated in sterile distilled water at a ratio of </w:t>
      </w:r>
      <w:r w:rsidRPr="00777FBD">
        <w:rPr>
          <w:rStyle w:val="Strong"/>
          <w:b w:val="0"/>
        </w:rPr>
        <w:t xml:space="preserve">2 g per 10 </w:t>
      </w:r>
      <w:proofErr w:type="spellStart"/>
      <w:r w:rsidRPr="00777FBD">
        <w:rPr>
          <w:rStyle w:val="Strong"/>
          <w:b w:val="0"/>
        </w:rPr>
        <w:t>mL</w:t>
      </w:r>
      <w:r>
        <w:t>.</w:t>
      </w:r>
      <w:proofErr w:type="spellEnd"/>
      <w:r>
        <w:br/>
        <w:t>The mixture was:</w:t>
      </w:r>
    </w:p>
    <w:p w14:paraId="2C861424"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Left to stand for 15 minutes in the dark</w:t>
      </w:r>
    </w:p>
    <w:p w14:paraId="2EBF6253"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Filtered using sterile Whatman No.1 filter paper</w:t>
      </w:r>
    </w:p>
    <w:p w14:paraId="7F2BDB4C"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Re-soaked for an additional 15 minutes</w:t>
      </w:r>
    </w:p>
    <w:p w14:paraId="5088E7F2" w14:textId="77777777" w:rsidR="00D56496" w:rsidRDefault="00D56496" w:rsidP="00210E52">
      <w:pPr>
        <w:pStyle w:val="Body"/>
        <w:numPr>
          <w:ilvl w:val="0"/>
          <w:numId w:val="32"/>
        </w:numPr>
        <w:spacing w:after="0"/>
        <w:rPr>
          <w:rFonts w:ascii="Arial" w:hAnsi="Arial" w:cs="Arial"/>
        </w:rPr>
      </w:pPr>
      <w:r w:rsidRPr="00D56496">
        <w:rPr>
          <w:rFonts w:ascii="Arial" w:hAnsi="Arial" w:cs="Arial"/>
        </w:rPr>
        <w:t>Filtered again to maximize extraction</w:t>
      </w:r>
    </w:p>
    <w:p w14:paraId="2F371A23" w14:textId="77777777" w:rsidR="00D56496" w:rsidRDefault="00D56496" w:rsidP="00D56496">
      <w:pPr>
        <w:pStyle w:val="Body"/>
      </w:pPr>
      <w:r>
        <w:t xml:space="preserve">The resulting </w:t>
      </w:r>
      <w:r w:rsidRPr="00691FBB">
        <w:rPr>
          <w:rStyle w:val="Strong"/>
          <w:b w:val="0"/>
        </w:rPr>
        <w:t>aqueous extract</w:t>
      </w:r>
      <w:r>
        <w:t xml:space="preserve"> was used immediately.</w:t>
      </w:r>
    </w:p>
    <w:p w14:paraId="6FF287C7" w14:textId="77777777" w:rsidR="00D53BF8" w:rsidRDefault="00D53BF8" w:rsidP="00D53BF8">
      <w:pPr>
        <w:pStyle w:val="Body"/>
        <w:rPr>
          <w:rFonts w:ascii="Arial" w:hAnsi="Arial" w:cs="Arial"/>
          <w:b/>
          <w:u w:val="single"/>
        </w:rPr>
      </w:pPr>
      <w:r>
        <w:rPr>
          <w:rFonts w:ascii="Arial" w:hAnsi="Arial" w:cs="Arial"/>
          <w:b/>
          <w:u w:val="single"/>
        </w:rPr>
        <w:t>2.3.3</w:t>
      </w:r>
      <w:r w:rsidRPr="00902823">
        <w:rPr>
          <w:rFonts w:ascii="Arial" w:hAnsi="Arial" w:cs="Arial"/>
          <w:b/>
          <w:u w:val="single"/>
        </w:rPr>
        <w:t xml:space="preserve"> </w:t>
      </w:r>
      <w:r w:rsidRPr="00D53BF8">
        <w:rPr>
          <w:rFonts w:ascii="Arial" w:hAnsi="Arial" w:cs="Arial"/>
          <w:b/>
          <w:u w:val="single"/>
        </w:rPr>
        <w:t>Macerated Fruit Slurry (100% Cranberry Preparation)</w:t>
      </w:r>
    </w:p>
    <w:p w14:paraId="464FE00B" w14:textId="77777777" w:rsidR="00D53BF8" w:rsidRPr="00D53BF8" w:rsidRDefault="00107BFB" w:rsidP="00D53BF8">
      <w:pPr>
        <w:pStyle w:val="Body"/>
        <w:rPr>
          <w:rFonts w:ascii="Arial" w:hAnsi="Arial" w:cs="Arial"/>
        </w:rPr>
      </w:pPr>
      <w:r>
        <w:t xml:space="preserve">An additional 20 g of fruit were macerated </w:t>
      </w:r>
      <w:r w:rsidRPr="00DF7F52">
        <w:t xml:space="preserve">into a </w:t>
      </w:r>
      <w:r w:rsidRPr="00DF7F52">
        <w:rPr>
          <w:rStyle w:val="Strong"/>
          <w:b w:val="0"/>
        </w:rPr>
        <w:t>thick slurry</w:t>
      </w:r>
      <w:r w:rsidRPr="00DF7F52">
        <w:t xml:space="preserve"> using</w:t>
      </w:r>
      <w:r>
        <w:t xml:space="preserve"> a sterile food processor. This preparation was treated as </w:t>
      </w:r>
      <w:r w:rsidRPr="00EE1AD6">
        <w:rPr>
          <w:rStyle w:val="Strong"/>
          <w:b w:val="0"/>
        </w:rPr>
        <w:t>100% cranberry fruit extract</w:t>
      </w:r>
      <w:r>
        <w:t>.</w:t>
      </w:r>
    </w:p>
    <w:p w14:paraId="0152DE7E" w14:textId="77777777" w:rsidR="00107BFB" w:rsidRDefault="00107BFB" w:rsidP="00107BFB">
      <w:pPr>
        <w:pStyle w:val="Body"/>
        <w:rPr>
          <w:rFonts w:ascii="Arial" w:hAnsi="Arial" w:cs="Arial"/>
          <w:b/>
          <w:u w:val="single"/>
        </w:rPr>
      </w:pPr>
      <w:r>
        <w:rPr>
          <w:rFonts w:ascii="Arial" w:hAnsi="Arial" w:cs="Arial"/>
          <w:b/>
          <w:u w:val="single"/>
        </w:rPr>
        <w:t>2.3.4</w:t>
      </w:r>
      <w:r w:rsidRPr="00902823">
        <w:rPr>
          <w:rFonts w:ascii="Arial" w:hAnsi="Arial" w:cs="Arial"/>
          <w:b/>
          <w:u w:val="single"/>
        </w:rPr>
        <w:t xml:space="preserve"> </w:t>
      </w:r>
      <w:r w:rsidRPr="00107BFB">
        <w:rPr>
          <w:rFonts w:ascii="Arial" w:hAnsi="Arial" w:cs="Arial"/>
          <w:b/>
          <w:u w:val="single"/>
        </w:rPr>
        <w:t>Commercial Cranberry Juices</w:t>
      </w:r>
    </w:p>
    <w:p w14:paraId="632E28BD" w14:textId="77777777" w:rsidR="00107BFB" w:rsidRPr="00107BFB" w:rsidRDefault="00107BFB" w:rsidP="00107BFB">
      <w:pPr>
        <w:pStyle w:val="Body"/>
        <w:rPr>
          <w:rFonts w:ascii="Arial" w:hAnsi="Arial" w:cs="Arial"/>
        </w:rPr>
      </w:pPr>
      <w:r w:rsidRPr="00107BFB">
        <w:rPr>
          <w:rFonts w:ascii="Arial" w:hAnsi="Arial" w:cs="Arial"/>
        </w:rPr>
        <w:t>Three commercially available cranberry juice cocktails (coded T, C, O) were obtained locally.</w:t>
      </w:r>
    </w:p>
    <w:p w14:paraId="7CDDD7DD" w14:textId="77777777" w:rsidR="00107BFB" w:rsidRPr="00107BFB" w:rsidRDefault="00107BFB" w:rsidP="00107BFB">
      <w:pPr>
        <w:pStyle w:val="Body"/>
        <w:rPr>
          <w:rFonts w:ascii="Arial" w:hAnsi="Arial" w:cs="Arial"/>
        </w:rPr>
      </w:pPr>
      <w:r w:rsidRPr="00107BFB">
        <w:rPr>
          <w:rFonts w:ascii="Arial" w:hAnsi="Arial" w:cs="Arial"/>
        </w:rPr>
        <w:t>For each:</w:t>
      </w:r>
    </w:p>
    <w:p w14:paraId="65AF3298" w14:textId="77777777" w:rsidR="00107BFB" w:rsidRPr="00107BFB" w:rsidRDefault="00107BFB" w:rsidP="00107BFB">
      <w:pPr>
        <w:pStyle w:val="Body"/>
        <w:rPr>
          <w:rFonts w:ascii="Arial" w:hAnsi="Arial" w:cs="Arial"/>
        </w:rPr>
      </w:pPr>
      <w:r w:rsidRPr="00107BFB">
        <w:rPr>
          <w:rFonts w:ascii="Arial" w:hAnsi="Arial" w:cs="Arial"/>
        </w:rPr>
        <w:t>2</w:t>
      </w:r>
      <w:r w:rsidR="000B6E73">
        <w:rPr>
          <w:rFonts w:ascii="Arial" w:hAnsi="Arial" w:cs="Arial"/>
        </w:rPr>
        <w:t xml:space="preserve">0 mL of juice was used to soak approximately </w:t>
      </w:r>
      <w:r w:rsidRPr="00107BFB">
        <w:rPr>
          <w:rFonts w:ascii="Arial" w:hAnsi="Arial" w:cs="Arial"/>
        </w:rPr>
        <w:t>30 sterile discs for 30 minutes.</w:t>
      </w:r>
    </w:p>
    <w:p w14:paraId="0D34CE0F" w14:textId="77777777" w:rsidR="00E42408" w:rsidRDefault="00E42408" w:rsidP="00E42408">
      <w:pPr>
        <w:pStyle w:val="Body"/>
        <w:spacing w:after="0"/>
        <w:rPr>
          <w:rFonts w:ascii="Arial" w:hAnsi="Arial" w:cs="Arial"/>
          <w:b/>
          <w:sz w:val="22"/>
        </w:rPr>
      </w:pPr>
      <w:r>
        <w:rPr>
          <w:rFonts w:ascii="Arial" w:hAnsi="Arial" w:cs="Arial"/>
          <w:b/>
          <w:caps/>
          <w:sz w:val="22"/>
        </w:rPr>
        <w:t>2.4</w:t>
      </w:r>
      <w:r w:rsidRPr="00C30A0F">
        <w:rPr>
          <w:rFonts w:ascii="Arial" w:hAnsi="Arial" w:cs="Arial"/>
          <w:b/>
          <w:caps/>
          <w:sz w:val="22"/>
        </w:rPr>
        <w:t xml:space="preserve"> </w:t>
      </w:r>
      <w:r>
        <w:rPr>
          <w:rFonts w:ascii="Arial" w:hAnsi="Arial" w:cs="Arial"/>
          <w:b/>
          <w:sz w:val="22"/>
        </w:rPr>
        <w:t>Disc Impregnation</w:t>
      </w:r>
    </w:p>
    <w:p w14:paraId="3DD1CAF3" w14:textId="77777777" w:rsidR="00E42408" w:rsidRDefault="00E42408" w:rsidP="00E42408">
      <w:pPr>
        <w:pStyle w:val="NormalWeb"/>
        <w:jc w:val="both"/>
        <w:rPr>
          <w:rFonts w:ascii="Arial" w:hAnsi="Arial" w:cs="Arial"/>
          <w:sz w:val="20"/>
          <w:szCs w:val="20"/>
        </w:rPr>
      </w:pPr>
      <w:r w:rsidRPr="00E42408">
        <w:rPr>
          <w:rFonts w:ascii="Arial" w:hAnsi="Arial" w:cs="Arial"/>
          <w:sz w:val="20"/>
          <w:szCs w:val="20"/>
        </w:rPr>
        <w:t>Sterile 6 mm</w:t>
      </w:r>
      <w:r w:rsidR="003719D5">
        <w:rPr>
          <w:rFonts w:ascii="Arial" w:hAnsi="Arial" w:cs="Arial"/>
          <w:sz w:val="20"/>
          <w:szCs w:val="20"/>
        </w:rPr>
        <w:t xml:space="preserve"> (Flinn Scientific Inc.)</w:t>
      </w:r>
      <w:r w:rsidRPr="00E42408">
        <w:rPr>
          <w:rFonts w:ascii="Arial" w:hAnsi="Arial" w:cs="Arial"/>
          <w:sz w:val="20"/>
          <w:szCs w:val="20"/>
        </w:rPr>
        <w:t xml:space="preserve"> discs were soaked in each cranberry treatment for </w:t>
      </w:r>
      <w:r w:rsidRPr="00027502">
        <w:rPr>
          <w:rStyle w:val="Strong"/>
          <w:rFonts w:ascii="Arial" w:hAnsi="Arial" w:cs="Arial"/>
          <w:b w:val="0"/>
          <w:sz w:val="20"/>
          <w:szCs w:val="20"/>
        </w:rPr>
        <w:t>30 minutes</w:t>
      </w:r>
      <w:r w:rsidRPr="00E42408">
        <w:rPr>
          <w:rFonts w:ascii="Arial" w:hAnsi="Arial" w:cs="Arial"/>
          <w:sz w:val="20"/>
          <w:szCs w:val="20"/>
        </w:rPr>
        <w:t>. Excess liquid was drained on sterile absorbent paper</w:t>
      </w:r>
      <w:r w:rsidR="00663EDD">
        <w:rPr>
          <w:rFonts w:ascii="Arial" w:hAnsi="Arial" w:cs="Arial"/>
          <w:sz w:val="20"/>
          <w:szCs w:val="20"/>
        </w:rPr>
        <w:t xml:space="preserve">. </w:t>
      </w:r>
    </w:p>
    <w:p w14:paraId="34639A47" w14:textId="77777777" w:rsidR="00E42408" w:rsidRPr="00E42408" w:rsidRDefault="00E42408" w:rsidP="00E42408">
      <w:pPr>
        <w:pStyle w:val="NormalWeb"/>
        <w:jc w:val="both"/>
        <w:rPr>
          <w:rFonts w:ascii="Arial" w:hAnsi="Arial" w:cs="Arial"/>
          <w:sz w:val="20"/>
          <w:szCs w:val="20"/>
        </w:rPr>
      </w:pPr>
      <w:r w:rsidRPr="009424BD">
        <w:rPr>
          <w:rFonts w:ascii="Arial" w:hAnsi="Arial" w:cs="Arial"/>
          <w:b/>
          <w:sz w:val="20"/>
          <w:szCs w:val="20"/>
        </w:rPr>
        <w:t>Negative control:</w:t>
      </w:r>
      <w:r w:rsidRPr="00E42408">
        <w:rPr>
          <w:rFonts w:ascii="Arial" w:hAnsi="Arial" w:cs="Arial"/>
          <w:sz w:val="20"/>
          <w:szCs w:val="20"/>
        </w:rPr>
        <w:t xml:space="preserve"> sterile distilled water.</w:t>
      </w:r>
    </w:p>
    <w:p w14:paraId="6C227300" w14:textId="77777777" w:rsidR="00E42408" w:rsidRPr="009424BD" w:rsidRDefault="00E42408" w:rsidP="007E5ED8">
      <w:pPr>
        <w:pStyle w:val="NormalWeb"/>
        <w:spacing w:before="0" w:beforeAutospacing="0" w:after="0" w:afterAutospacing="0"/>
        <w:jc w:val="both"/>
        <w:rPr>
          <w:rFonts w:ascii="Arial" w:hAnsi="Arial" w:cs="Arial"/>
          <w:b/>
          <w:sz w:val="20"/>
          <w:szCs w:val="20"/>
        </w:rPr>
      </w:pPr>
      <w:r w:rsidRPr="009424BD">
        <w:rPr>
          <w:rFonts w:ascii="Arial" w:hAnsi="Arial" w:cs="Arial"/>
          <w:b/>
          <w:sz w:val="20"/>
          <w:szCs w:val="20"/>
        </w:rPr>
        <w:t>Positive controls:</w:t>
      </w:r>
    </w:p>
    <w:p w14:paraId="00A2C5B5"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E. coli</w:t>
      </w:r>
      <w:r w:rsidRPr="00E42408">
        <w:rPr>
          <w:rFonts w:ascii="Arial" w:hAnsi="Arial" w:cs="Arial"/>
          <w:sz w:val="20"/>
          <w:szCs w:val="20"/>
        </w:rPr>
        <w:t>: Ciprofloxacin 5 µg</w:t>
      </w:r>
    </w:p>
    <w:p w14:paraId="7F876A38"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S. aureus</w:t>
      </w:r>
      <w:r w:rsidRPr="00E42408">
        <w:rPr>
          <w:rFonts w:ascii="Arial" w:hAnsi="Arial" w:cs="Arial"/>
          <w:sz w:val="20"/>
          <w:szCs w:val="20"/>
        </w:rPr>
        <w:t>: Tetracycline 30 µg</w:t>
      </w:r>
    </w:p>
    <w:p w14:paraId="0902F2C4"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P. mirabilis</w:t>
      </w:r>
      <w:r w:rsidRPr="00E42408">
        <w:rPr>
          <w:rFonts w:ascii="Arial" w:hAnsi="Arial" w:cs="Arial"/>
          <w:sz w:val="20"/>
          <w:szCs w:val="20"/>
        </w:rPr>
        <w:t>: Gentamicin 10 µg</w:t>
      </w:r>
    </w:p>
    <w:p w14:paraId="5127F0FD"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C. albicans</w:t>
      </w:r>
      <w:r w:rsidRPr="00E42408">
        <w:rPr>
          <w:rFonts w:ascii="Arial" w:hAnsi="Arial" w:cs="Arial"/>
          <w:sz w:val="20"/>
          <w:szCs w:val="20"/>
        </w:rPr>
        <w:t>: Ketoconazole 1%</w:t>
      </w:r>
    </w:p>
    <w:p w14:paraId="04550510" w14:textId="77777777" w:rsidR="00E42408" w:rsidRDefault="00BA580F" w:rsidP="00663EDD">
      <w:pPr>
        <w:pStyle w:val="Body"/>
        <w:rPr>
          <w:rFonts w:ascii="Arial" w:hAnsi="Arial" w:cs="Arial"/>
          <w:b/>
          <w:sz w:val="22"/>
        </w:rPr>
      </w:pPr>
      <w:r>
        <w:rPr>
          <w:rFonts w:ascii="Arial" w:hAnsi="Arial" w:cs="Arial"/>
          <w:b/>
          <w:caps/>
          <w:sz w:val="22"/>
        </w:rPr>
        <w:t>2.5</w:t>
      </w:r>
      <w:r w:rsidRPr="00C30A0F">
        <w:rPr>
          <w:rFonts w:ascii="Arial" w:hAnsi="Arial" w:cs="Arial"/>
          <w:b/>
          <w:caps/>
          <w:sz w:val="22"/>
        </w:rPr>
        <w:t xml:space="preserve"> </w:t>
      </w:r>
      <w:r w:rsidR="004C4D42">
        <w:rPr>
          <w:rFonts w:ascii="Arial" w:hAnsi="Arial" w:cs="Arial"/>
          <w:b/>
          <w:sz w:val="22"/>
        </w:rPr>
        <w:t>Kirby-</w:t>
      </w:r>
      <w:r w:rsidRPr="00BA580F">
        <w:rPr>
          <w:rFonts w:ascii="Arial" w:hAnsi="Arial" w:cs="Arial"/>
          <w:b/>
          <w:sz w:val="22"/>
        </w:rPr>
        <w:t>Bauer Disk Diffusion Procedure</w:t>
      </w:r>
    </w:p>
    <w:p w14:paraId="4CAFE08C"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 xml:space="preserve">Standardized microbial suspensions were spread evenly on </w:t>
      </w:r>
      <w:r w:rsidR="00CE7B60">
        <w:rPr>
          <w:rFonts w:ascii="Arial" w:hAnsi="Arial" w:cs="Arial"/>
        </w:rPr>
        <w:t>Mueller Hinton Agar (</w:t>
      </w:r>
      <w:r w:rsidRPr="00BA580F">
        <w:rPr>
          <w:rFonts w:ascii="Arial" w:hAnsi="Arial" w:cs="Arial"/>
        </w:rPr>
        <w:t>MHA</w:t>
      </w:r>
      <w:r w:rsidR="00CE7B60">
        <w:rPr>
          <w:rFonts w:ascii="Arial" w:hAnsi="Arial" w:cs="Arial"/>
        </w:rPr>
        <w:t>)</w:t>
      </w:r>
      <w:r w:rsidRPr="00BA580F">
        <w:rPr>
          <w:rFonts w:ascii="Arial" w:hAnsi="Arial" w:cs="Arial"/>
        </w:rPr>
        <w:t xml:space="preserve"> plates</w:t>
      </w:r>
      <w:r w:rsidR="00104ED1">
        <w:rPr>
          <w:rFonts w:ascii="Arial" w:hAnsi="Arial" w:cs="Arial"/>
        </w:rPr>
        <w:t xml:space="preserve"> using sterile cotton tip applicators</w:t>
      </w:r>
      <w:r w:rsidRPr="00BA580F">
        <w:rPr>
          <w:rFonts w:ascii="Arial" w:hAnsi="Arial" w:cs="Arial"/>
        </w:rPr>
        <w:t>.</w:t>
      </w:r>
    </w:p>
    <w:p w14:paraId="12463B5F"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Two cranberry-treated discs were placed on each plate.</w:t>
      </w:r>
    </w:p>
    <w:p w14:paraId="2B605D31"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Plates were incubated</w:t>
      </w:r>
      <w:r w:rsidR="002A662E">
        <w:rPr>
          <w:rFonts w:ascii="Arial" w:hAnsi="Arial" w:cs="Arial"/>
        </w:rPr>
        <w:t xml:space="preserve"> as follows</w:t>
      </w:r>
      <w:r w:rsidRPr="00BA580F">
        <w:rPr>
          <w:rFonts w:ascii="Arial" w:hAnsi="Arial" w:cs="Arial"/>
        </w:rPr>
        <w:t>:</w:t>
      </w:r>
    </w:p>
    <w:p w14:paraId="2AE3E4B0" w14:textId="77777777" w:rsidR="00BA580F" w:rsidRPr="00BA580F" w:rsidRDefault="00BA580F" w:rsidP="00824E94">
      <w:pPr>
        <w:pStyle w:val="Body"/>
        <w:numPr>
          <w:ilvl w:val="1"/>
          <w:numId w:val="35"/>
        </w:numPr>
        <w:spacing w:after="0"/>
        <w:rPr>
          <w:rFonts w:ascii="Arial" w:hAnsi="Arial" w:cs="Arial"/>
        </w:rPr>
      </w:pPr>
      <w:r w:rsidRPr="00BA580F">
        <w:rPr>
          <w:rFonts w:ascii="Arial" w:hAnsi="Arial" w:cs="Arial"/>
        </w:rPr>
        <w:t>Bacteria: 37°C for 24 hours</w:t>
      </w:r>
    </w:p>
    <w:p w14:paraId="03C8FD25" w14:textId="77777777" w:rsidR="00BA580F" w:rsidRPr="00BA580F" w:rsidRDefault="00BA580F" w:rsidP="00824E94">
      <w:pPr>
        <w:pStyle w:val="Body"/>
        <w:numPr>
          <w:ilvl w:val="1"/>
          <w:numId w:val="35"/>
        </w:numPr>
        <w:spacing w:after="0"/>
        <w:rPr>
          <w:rFonts w:ascii="Arial" w:hAnsi="Arial" w:cs="Arial"/>
        </w:rPr>
      </w:pPr>
      <w:r w:rsidRPr="00BA580F">
        <w:rPr>
          <w:rFonts w:ascii="Arial" w:hAnsi="Arial" w:cs="Arial"/>
        </w:rPr>
        <w:t>Yeast: 37°C for 48 hours</w:t>
      </w:r>
    </w:p>
    <w:p w14:paraId="50A439AD"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 xml:space="preserve">Zones of inhibition were measured in mm using a </w:t>
      </w:r>
      <w:r>
        <w:rPr>
          <w:rFonts w:ascii="Arial" w:hAnsi="Arial" w:cs="Arial"/>
        </w:rPr>
        <w:t>ruler</w:t>
      </w:r>
      <w:r w:rsidRPr="00BA580F">
        <w:rPr>
          <w:rFonts w:ascii="Arial" w:hAnsi="Arial" w:cs="Arial"/>
        </w:rPr>
        <w:t>.</w:t>
      </w:r>
    </w:p>
    <w:p w14:paraId="47457565" w14:textId="77777777" w:rsidR="00783855" w:rsidRPr="00783855" w:rsidRDefault="00BA580F" w:rsidP="00824E94">
      <w:pPr>
        <w:pStyle w:val="Body"/>
        <w:spacing w:after="0"/>
        <w:ind w:left="720"/>
        <w:rPr>
          <w:rFonts w:ascii="Arial" w:hAnsi="Arial" w:cs="Arial"/>
        </w:rPr>
      </w:pPr>
      <w:r w:rsidRPr="00BA580F">
        <w:rPr>
          <w:rFonts w:ascii="Arial" w:hAnsi="Arial" w:cs="Arial"/>
        </w:rPr>
        <w:t xml:space="preserve">Zones ≤6 mm were interpreted as </w:t>
      </w:r>
      <w:r w:rsidRPr="00C74E5A">
        <w:rPr>
          <w:rFonts w:ascii="Arial" w:hAnsi="Arial" w:cs="Arial"/>
        </w:rPr>
        <w:t>no inhibition</w:t>
      </w:r>
      <w:r w:rsidRPr="00BA580F">
        <w:rPr>
          <w:rFonts w:ascii="Arial" w:hAnsi="Arial" w:cs="Arial"/>
        </w:rPr>
        <w:t>.</w:t>
      </w:r>
    </w:p>
    <w:p w14:paraId="4EB56B79" w14:textId="77777777" w:rsidR="00BA580F" w:rsidRDefault="00783855" w:rsidP="003062EF">
      <w:pPr>
        <w:pStyle w:val="Body"/>
        <w:rPr>
          <w:rFonts w:ascii="Arial" w:hAnsi="Arial" w:cs="Arial"/>
          <w:b/>
          <w:sz w:val="22"/>
        </w:rPr>
      </w:pPr>
      <w:r>
        <w:rPr>
          <w:rFonts w:ascii="Arial" w:hAnsi="Arial" w:cs="Arial"/>
          <w:b/>
          <w:caps/>
          <w:sz w:val="22"/>
        </w:rPr>
        <w:t>2.6</w:t>
      </w:r>
      <w:r w:rsidRPr="00C30A0F">
        <w:rPr>
          <w:rFonts w:ascii="Arial" w:hAnsi="Arial" w:cs="Arial"/>
          <w:b/>
          <w:caps/>
          <w:sz w:val="22"/>
        </w:rPr>
        <w:t xml:space="preserve"> </w:t>
      </w:r>
      <w:r>
        <w:rPr>
          <w:rFonts w:ascii="Arial" w:hAnsi="Arial" w:cs="Arial"/>
          <w:b/>
          <w:sz w:val="22"/>
        </w:rPr>
        <w:t xml:space="preserve">Statistical Analysis </w:t>
      </w:r>
    </w:p>
    <w:p w14:paraId="20E8DB3F" w14:textId="77777777" w:rsidR="00783855" w:rsidRPr="00DC494C" w:rsidRDefault="00DC494C" w:rsidP="00783855">
      <w:pPr>
        <w:pStyle w:val="Body"/>
        <w:spacing w:after="0"/>
        <w:rPr>
          <w:rFonts w:ascii="Arial" w:hAnsi="Arial" w:cs="Arial"/>
          <w:b/>
        </w:rPr>
      </w:pPr>
      <w:r>
        <w:t xml:space="preserve">Data were analyzed using </w:t>
      </w:r>
      <w:r w:rsidRPr="009064A5">
        <w:rPr>
          <w:rStyle w:val="Strong"/>
          <w:b w:val="0"/>
        </w:rPr>
        <w:t>one-way ANOVA</w:t>
      </w:r>
      <w:r>
        <w:t xml:space="preserve"> (α = 0.05).</w:t>
      </w:r>
      <w:r>
        <w:br/>
        <w:t>ANOVA summary tables were generated in Microsoft Excel.</w:t>
      </w:r>
    </w:p>
    <w:p w14:paraId="202FD502" w14:textId="77777777" w:rsidR="00865F8C" w:rsidRDefault="00865F8C" w:rsidP="00441B6F">
      <w:pPr>
        <w:pStyle w:val="Head1"/>
        <w:spacing w:after="0"/>
        <w:jc w:val="both"/>
        <w:rPr>
          <w:rFonts w:ascii="Arial" w:hAnsi="Arial" w:cs="Arial"/>
        </w:rPr>
      </w:pPr>
    </w:p>
    <w:p w14:paraId="660B6E6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96C2CD" w14:textId="77777777" w:rsidR="00790ADA" w:rsidRPr="00FB3A86" w:rsidRDefault="00790ADA" w:rsidP="00441B6F">
      <w:pPr>
        <w:pStyle w:val="Head1"/>
        <w:spacing w:after="0"/>
        <w:jc w:val="both"/>
        <w:rPr>
          <w:rFonts w:ascii="Arial" w:hAnsi="Arial" w:cs="Arial"/>
        </w:rPr>
      </w:pPr>
    </w:p>
    <w:p w14:paraId="35BC0F76" w14:textId="77777777" w:rsidR="008F133F" w:rsidRDefault="008F133F" w:rsidP="008F133F">
      <w:pPr>
        <w:pStyle w:val="Body"/>
        <w:rPr>
          <w:rFonts w:ascii="Arial" w:hAnsi="Arial" w:cs="Arial"/>
          <w:b/>
          <w:sz w:val="22"/>
        </w:rPr>
      </w:pPr>
      <w:r>
        <w:rPr>
          <w:rFonts w:ascii="Arial" w:hAnsi="Arial" w:cs="Arial"/>
          <w:b/>
          <w:caps/>
          <w:sz w:val="22"/>
        </w:rPr>
        <w:t xml:space="preserve">3.1 </w:t>
      </w:r>
      <w:r>
        <w:rPr>
          <w:rFonts w:ascii="Arial" w:hAnsi="Arial" w:cs="Arial"/>
          <w:b/>
          <w:sz w:val="22"/>
        </w:rPr>
        <w:t xml:space="preserve">Antibacterial Activity </w:t>
      </w:r>
    </w:p>
    <w:p w14:paraId="0AA9E54E" w14:textId="77777777" w:rsidR="008F133F" w:rsidRDefault="008F133F" w:rsidP="00441B6F">
      <w:pPr>
        <w:pStyle w:val="Body"/>
        <w:spacing w:after="0"/>
        <w:rPr>
          <w:rFonts w:ascii="Arial" w:hAnsi="Arial" w:cs="Arial"/>
          <w:b/>
          <w:i/>
          <w:u w:val="single"/>
        </w:rPr>
      </w:pPr>
      <w:r>
        <w:rPr>
          <w:rFonts w:ascii="Arial" w:hAnsi="Arial" w:cs="Arial"/>
          <w:b/>
          <w:u w:val="single"/>
        </w:rPr>
        <w:t xml:space="preserve">3.1.1 </w:t>
      </w:r>
      <w:r>
        <w:rPr>
          <w:rFonts w:ascii="Arial" w:hAnsi="Arial" w:cs="Arial"/>
          <w:b/>
          <w:i/>
          <w:u w:val="single"/>
        </w:rPr>
        <w:t>Escherichia coli</w:t>
      </w:r>
    </w:p>
    <w:p w14:paraId="32CEA718" w14:textId="77777777" w:rsidR="008F133F" w:rsidRPr="008F133F" w:rsidRDefault="008F133F" w:rsidP="00441B6F">
      <w:pPr>
        <w:pStyle w:val="Body"/>
        <w:spacing w:after="0"/>
        <w:rPr>
          <w:rFonts w:ascii="Arial" w:hAnsi="Arial" w:cs="Arial"/>
        </w:rPr>
      </w:pPr>
    </w:p>
    <w:p w14:paraId="3CED21AE" w14:textId="77777777" w:rsidR="00C2702C" w:rsidRDefault="00754040" w:rsidP="00664F0F">
      <w:pPr>
        <w:pStyle w:val="Body"/>
        <w:spacing w:after="0"/>
      </w:pPr>
      <w:r>
        <w:t xml:space="preserve">All cranberry preparations—including aqueous extract, macerated fruit extract, and commercial cranberry juices (T, C, O)—produced inhibition zones of </w:t>
      </w:r>
      <w:r w:rsidRPr="00DC2A5C">
        <w:rPr>
          <w:rStyle w:val="Strong"/>
          <w:b w:val="0"/>
        </w:rPr>
        <w:t>6 mm</w:t>
      </w:r>
      <w:r>
        <w:t xml:space="preserve">, equivalent to the disc diameter, indicating </w:t>
      </w:r>
      <w:r w:rsidRPr="00DC2A5C">
        <w:rPr>
          <w:rStyle w:val="Strong"/>
          <w:b w:val="0"/>
        </w:rPr>
        <w:t>no antibacterial activity</w:t>
      </w:r>
      <w:r>
        <w:t xml:space="preserve">. </w:t>
      </w:r>
    </w:p>
    <w:p w14:paraId="7031E181" w14:textId="77777777" w:rsidR="00664F0F" w:rsidRPr="009D12EB" w:rsidRDefault="00754040" w:rsidP="00664F0F">
      <w:pPr>
        <w:pStyle w:val="Body"/>
        <w:spacing w:after="0"/>
        <w:rPr>
          <w:rFonts w:ascii="Arial" w:hAnsi="Arial" w:cs="Arial"/>
        </w:rPr>
      </w:pPr>
      <w:r>
        <w:lastRenderedPageBreak/>
        <w:t xml:space="preserve">In contrast, the </w:t>
      </w:r>
      <w:r w:rsidR="004C095D">
        <w:t>C</w:t>
      </w:r>
      <w:r>
        <w:t xml:space="preserve">iprofloxacin control produced a mean inhibition zone of </w:t>
      </w:r>
      <w:r w:rsidRPr="00DC2A5C">
        <w:rPr>
          <w:rStyle w:val="Strong"/>
          <w:b w:val="0"/>
        </w:rPr>
        <w:t>40 mm</w:t>
      </w:r>
      <w:r w:rsidR="00EE4D10">
        <w:rPr>
          <w:rStyle w:val="Strong"/>
          <w:b w:val="0"/>
        </w:rPr>
        <w:t>, as summarized in Table 1</w:t>
      </w:r>
      <w:r>
        <w:rPr>
          <w:rStyle w:val="Strong"/>
        </w:rPr>
        <w:t xml:space="preserve">. </w:t>
      </w:r>
      <w:r w:rsidR="00EE4D10" w:rsidRPr="00EE4D10">
        <w:rPr>
          <w:rStyle w:val="Strong"/>
          <w:b w:val="0"/>
        </w:rPr>
        <w:t>This</w:t>
      </w:r>
      <w:r w:rsidR="00664F0F">
        <w:rPr>
          <w:rStyle w:val="Strong"/>
          <w:b w:val="0"/>
        </w:rPr>
        <w:t xml:space="preserve"> demonstrates </w:t>
      </w:r>
      <w:r w:rsidR="00664F0F" w:rsidRPr="009D12EB">
        <w:rPr>
          <w:rFonts w:ascii="Arial" w:hAnsi="Arial" w:cs="Arial"/>
        </w:rPr>
        <w:t xml:space="preserve">that </w:t>
      </w:r>
      <w:r w:rsidR="00664F0F" w:rsidRPr="009D12EB">
        <w:rPr>
          <w:rStyle w:val="Emphasis"/>
          <w:rFonts w:ascii="Arial" w:hAnsi="Arial" w:cs="Arial"/>
        </w:rPr>
        <w:t>E. coli</w:t>
      </w:r>
      <w:r w:rsidR="00664F0F" w:rsidRPr="009D12EB">
        <w:rPr>
          <w:rFonts w:ascii="Arial" w:hAnsi="Arial" w:cs="Arial"/>
        </w:rPr>
        <w:t xml:space="preserve"> was highly resistant to all cranberry treatments. </w:t>
      </w:r>
      <w:r w:rsidR="00BB395A">
        <w:t xml:space="preserve">Cranberry’s primary activity against </w:t>
      </w:r>
      <w:r w:rsidR="00BB395A">
        <w:rPr>
          <w:rStyle w:val="Emphasis"/>
        </w:rPr>
        <w:t>E. coli</w:t>
      </w:r>
      <w:r w:rsidR="00BB395A">
        <w:t xml:space="preserve"> is anti-adhesive rather than bactericidal; therefore, such effects are not detectable using agar diffusion assays (Howell &amp; Foxman, 2002).</w:t>
      </w:r>
    </w:p>
    <w:p w14:paraId="44A51523" w14:textId="77777777" w:rsidR="00754040" w:rsidRPr="00664F0F" w:rsidRDefault="00754040" w:rsidP="00441B6F">
      <w:pPr>
        <w:pStyle w:val="Body"/>
        <w:spacing w:after="0"/>
        <w:rPr>
          <w:rStyle w:val="Strong"/>
          <w:b w:val="0"/>
        </w:rPr>
      </w:pPr>
    </w:p>
    <w:p w14:paraId="0C28C28C" w14:textId="77777777" w:rsidR="00754040" w:rsidRDefault="00754040" w:rsidP="00441B6F">
      <w:pPr>
        <w:pStyle w:val="Body"/>
        <w:spacing w:after="0"/>
        <w:rPr>
          <w:rStyle w:val="Strong"/>
        </w:rPr>
      </w:pPr>
      <w:r w:rsidRPr="00754040">
        <w:rPr>
          <w:rStyle w:val="Strong"/>
          <w:rFonts w:ascii="Arial" w:hAnsi="Arial" w:cs="Arial"/>
        </w:rPr>
        <w:t>Table 1.</w:t>
      </w:r>
      <w:r w:rsidRPr="00754040">
        <w:rPr>
          <w:rStyle w:val="Strong"/>
          <w:rFonts w:ascii="Arial" w:hAnsi="Arial" w:cs="Arial"/>
        </w:rPr>
        <w:tab/>
        <w:t xml:space="preserve"> </w:t>
      </w:r>
      <w:r w:rsidR="00032632" w:rsidRPr="00032632">
        <w:rPr>
          <w:rStyle w:val="Strong"/>
          <w:rFonts w:ascii="Arial" w:hAnsi="Arial" w:cs="Arial"/>
        </w:rPr>
        <w:t xml:space="preserve">Zone diameters (mm) of cranberry treatments against </w:t>
      </w:r>
      <w:r w:rsidR="00032632" w:rsidRPr="00032632">
        <w:rPr>
          <w:rStyle w:val="Strong"/>
          <w:rFonts w:ascii="Arial" w:hAnsi="Arial" w:cs="Arial"/>
          <w:i/>
        </w:rPr>
        <w:t>Escherichia coli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653C2A" w:rsidRPr="007A7F54" w14:paraId="07BF63B6" w14:textId="77777777" w:rsidTr="00653C2A">
        <w:trPr>
          <w:trHeight w:val="315"/>
          <w:jc w:val="center"/>
        </w:trPr>
        <w:tc>
          <w:tcPr>
            <w:tcW w:w="0" w:type="auto"/>
            <w:vMerge w:val="restart"/>
            <w:vAlign w:val="bottom"/>
          </w:tcPr>
          <w:p w14:paraId="12BC3EBE" w14:textId="77777777" w:rsidR="00653C2A" w:rsidRPr="007A7F54" w:rsidRDefault="00653C2A" w:rsidP="00653C2A">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bottom"/>
            <w:hideMark/>
          </w:tcPr>
          <w:p w14:paraId="5ABFB63F" w14:textId="77777777" w:rsidR="00653C2A" w:rsidRPr="007A7F54" w:rsidRDefault="00653C2A" w:rsidP="00503561">
            <w:pPr>
              <w:jc w:val="center"/>
              <w:rPr>
                <w:rFonts w:ascii="Arial" w:hAnsi="Arial" w:cs="Arial"/>
                <w:b/>
                <w:bCs/>
                <w:i/>
                <w:color w:val="000000"/>
                <w:lang w:val="en-GB" w:eastAsia="en-GB"/>
              </w:rPr>
            </w:pPr>
            <w:r w:rsidRPr="007A7F54">
              <w:rPr>
                <w:rFonts w:ascii="Arial" w:hAnsi="Arial" w:cs="Arial"/>
                <w:b/>
                <w:bCs/>
                <w:color w:val="000000"/>
                <w:lang w:val="en-GB" w:eastAsia="en-GB"/>
              </w:rPr>
              <w:t>Zone Diameter (mm</w:t>
            </w:r>
            <w:r w:rsidRPr="007A7F54">
              <w:rPr>
                <w:rFonts w:ascii="Arial" w:hAnsi="Arial" w:cs="Arial"/>
                <w:b/>
                <w:bCs/>
                <w:i/>
                <w:color w:val="000000"/>
                <w:lang w:val="en-GB" w:eastAsia="en-GB"/>
              </w:rPr>
              <w:t>)</w:t>
            </w:r>
          </w:p>
        </w:tc>
      </w:tr>
      <w:tr w:rsidR="00653C2A" w:rsidRPr="007A7F54" w14:paraId="5C226CF2" w14:textId="77777777" w:rsidTr="00810577">
        <w:trPr>
          <w:trHeight w:val="315"/>
          <w:jc w:val="center"/>
        </w:trPr>
        <w:tc>
          <w:tcPr>
            <w:tcW w:w="0" w:type="auto"/>
            <w:vMerge/>
          </w:tcPr>
          <w:p w14:paraId="5460E1E8" w14:textId="77777777" w:rsidR="00653C2A" w:rsidRPr="007A7F54" w:rsidRDefault="00653C2A" w:rsidP="00503561">
            <w:pPr>
              <w:jc w:val="center"/>
              <w:rPr>
                <w:rFonts w:ascii="Arial" w:hAnsi="Arial" w:cs="Arial"/>
                <w:b/>
                <w:bCs/>
                <w:color w:val="000000"/>
                <w:lang w:val="en-GB" w:eastAsia="en-GB"/>
              </w:rPr>
            </w:pPr>
          </w:p>
        </w:tc>
        <w:tc>
          <w:tcPr>
            <w:tcW w:w="0" w:type="auto"/>
            <w:noWrap/>
            <w:vAlign w:val="bottom"/>
            <w:hideMark/>
          </w:tcPr>
          <w:p w14:paraId="23C7623E"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T </w:t>
            </w:r>
          </w:p>
        </w:tc>
        <w:tc>
          <w:tcPr>
            <w:tcW w:w="0" w:type="auto"/>
            <w:noWrap/>
            <w:vAlign w:val="bottom"/>
            <w:hideMark/>
          </w:tcPr>
          <w:p w14:paraId="331099A6"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C </w:t>
            </w:r>
          </w:p>
        </w:tc>
        <w:tc>
          <w:tcPr>
            <w:tcW w:w="0" w:type="auto"/>
            <w:noWrap/>
            <w:vAlign w:val="bottom"/>
            <w:hideMark/>
          </w:tcPr>
          <w:p w14:paraId="1EE346D4"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O </w:t>
            </w:r>
          </w:p>
        </w:tc>
        <w:tc>
          <w:tcPr>
            <w:tcW w:w="0" w:type="auto"/>
            <w:noWrap/>
            <w:vAlign w:val="bottom"/>
            <w:hideMark/>
          </w:tcPr>
          <w:p w14:paraId="1020FE79"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Fruit</w:t>
            </w:r>
          </w:p>
        </w:tc>
        <w:tc>
          <w:tcPr>
            <w:tcW w:w="0" w:type="auto"/>
            <w:noWrap/>
            <w:vAlign w:val="bottom"/>
            <w:hideMark/>
          </w:tcPr>
          <w:p w14:paraId="5CCF180F"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CW</w:t>
            </w:r>
          </w:p>
        </w:tc>
        <w:tc>
          <w:tcPr>
            <w:tcW w:w="0" w:type="auto"/>
            <w:noWrap/>
            <w:vAlign w:val="bottom"/>
            <w:hideMark/>
          </w:tcPr>
          <w:p w14:paraId="0FDAE8D2"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CIP </w:t>
            </w:r>
          </w:p>
        </w:tc>
      </w:tr>
      <w:tr w:rsidR="00653C2A" w:rsidRPr="007A7F54" w14:paraId="43814316" w14:textId="77777777" w:rsidTr="00810577">
        <w:trPr>
          <w:trHeight w:val="300"/>
          <w:jc w:val="center"/>
        </w:trPr>
        <w:tc>
          <w:tcPr>
            <w:tcW w:w="0" w:type="auto"/>
          </w:tcPr>
          <w:p w14:paraId="2FBA63A5"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bottom"/>
            <w:hideMark/>
          </w:tcPr>
          <w:p w14:paraId="1C8D81B7"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BB61BF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45C1F23"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D2348F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DB3485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1EAB07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35C0F231" w14:textId="77777777" w:rsidTr="00810577">
        <w:trPr>
          <w:trHeight w:val="300"/>
          <w:jc w:val="center"/>
        </w:trPr>
        <w:tc>
          <w:tcPr>
            <w:tcW w:w="0" w:type="auto"/>
          </w:tcPr>
          <w:p w14:paraId="50F78C1E"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bottom"/>
            <w:hideMark/>
          </w:tcPr>
          <w:p w14:paraId="43C72EAB"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B5632C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E7FD20"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2E68AD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16A431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49D688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7DAB9051" w14:textId="77777777" w:rsidTr="00810577">
        <w:trPr>
          <w:trHeight w:val="300"/>
          <w:jc w:val="center"/>
        </w:trPr>
        <w:tc>
          <w:tcPr>
            <w:tcW w:w="0" w:type="auto"/>
          </w:tcPr>
          <w:p w14:paraId="46181D23"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bottom"/>
            <w:hideMark/>
          </w:tcPr>
          <w:p w14:paraId="2622B1A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C069A7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6029D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832AEF8"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B6F35F7"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75FE5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4ADCEC6E" w14:textId="77777777" w:rsidTr="00810577">
        <w:trPr>
          <w:trHeight w:val="300"/>
          <w:jc w:val="center"/>
        </w:trPr>
        <w:tc>
          <w:tcPr>
            <w:tcW w:w="0" w:type="auto"/>
          </w:tcPr>
          <w:p w14:paraId="39CC7A86"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bottom"/>
            <w:hideMark/>
          </w:tcPr>
          <w:p w14:paraId="74852D56"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429211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8E78271"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483F208"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4E8F39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7D6147D"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01D5AA38" w14:textId="77777777" w:rsidTr="00810577">
        <w:trPr>
          <w:trHeight w:val="300"/>
          <w:jc w:val="center"/>
        </w:trPr>
        <w:tc>
          <w:tcPr>
            <w:tcW w:w="0" w:type="auto"/>
          </w:tcPr>
          <w:p w14:paraId="18671CD1"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bottom"/>
            <w:hideMark/>
          </w:tcPr>
          <w:p w14:paraId="46C94422"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247ADC2"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2E1CA6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B1EFD4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EE8670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4C5C2F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386FEB32" w14:textId="77777777" w:rsidTr="00810577">
        <w:trPr>
          <w:trHeight w:val="300"/>
          <w:jc w:val="center"/>
        </w:trPr>
        <w:tc>
          <w:tcPr>
            <w:tcW w:w="0" w:type="auto"/>
          </w:tcPr>
          <w:p w14:paraId="7CEFDF10"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bottom"/>
            <w:hideMark/>
          </w:tcPr>
          <w:p w14:paraId="194D55E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6E5A82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371D30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0BAEB4B"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4DE19E6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386762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D86E20" w:rsidRPr="007A7F54" w14:paraId="2E0875A4" w14:textId="77777777" w:rsidTr="00810577">
        <w:trPr>
          <w:trHeight w:val="300"/>
          <w:jc w:val="center"/>
        </w:trPr>
        <w:tc>
          <w:tcPr>
            <w:tcW w:w="0" w:type="auto"/>
          </w:tcPr>
          <w:p w14:paraId="389EB102"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Mean ± SD</w:t>
            </w:r>
          </w:p>
        </w:tc>
        <w:tc>
          <w:tcPr>
            <w:tcW w:w="0" w:type="auto"/>
            <w:noWrap/>
            <w:vAlign w:val="bottom"/>
          </w:tcPr>
          <w:p w14:paraId="3AF97D62"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 xml:space="preserve">6.0 ± 0.0 </w:t>
            </w:r>
          </w:p>
        </w:tc>
        <w:tc>
          <w:tcPr>
            <w:tcW w:w="0" w:type="auto"/>
            <w:noWrap/>
            <w:vAlign w:val="bottom"/>
          </w:tcPr>
          <w:p w14:paraId="104BE269"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4A398666"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1BE5CFFF"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5A69346A"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110CAAFD"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40.0 ± 0.0</w:t>
            </w:r>
          </w:p>
        </w:tc>
      </w:tr>
    </w:tbl>
    <w:p w14:paraId="1595E43B" w14:textId="77777777" w:rsidR="00032632" w:rsidRPr="00032632" w:rsidRDefault="00664F0F" w:rsidP="00032632">
      <w:pPr>
        <w:pStyle w:val="Body"/>
        <w:spacing w:after="0"/>
        <w:rPr>
          <w:rFonts w:ascii="Arial" w:hAnsi="Arial" w:cs="Arial"/>
          <w:vertAlign w:val="superscript"/>
        </w:rPr>
      </w:pPr>
      <w:r w:rsidRPr="00664F0F">
        <w:rPr>
          <w:rFonts w:ascii="Arial" w:hAnsi="Arial" w:cs="Arial"/>
          <w:vertAlign w:val="superscript"/>
        </w:rPr>
        <w:t>*</w:t>
      </w:r>
      <w:r w:rsidR="00032632" w:rsidRPr="00032632">
        <w:rPr>
          <w:rFonts w:ascii="Arial" w:hAnsi="Arial" w:cs="Arial"/>
          <w:vertAlign w:val="superscript"/>
        </w:rPr>
        <w:t>a</w:t>
      </w:r>
      <w:r w:rsidR="00032632">
        <w:rPr>
          <w:rFonts w:ascii="Arial" w:hAnsi="Arial" w:cs="Arial"/>
          <w:vertAlign w:val="superscript"/>
        </w:rPr>
        <w:t>.</w:t>
      </w:r>
      <w:r w:rsidR="00032632" w:rsidRPr="00032632">
        <w:rPr>
          <w:rFonts w:ascii="Arial" w:hAnsi="Arial" w:cs="Arial"/>
          <w:vertAlign w:val="superscript"/>
        </w:rPr>
        <w:t xml:space="preserve"> T, C, O = commercial cranberry juice brands</w:t>
      </w:r>
    </w:p>
    <w:p w14:paraId="32616222" w14:textId="77777777" w:rsidR="00032632" w:rsidRPr="00032632" w:rsidRDefault="00032632" w:rsidP="00032632">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5CFE7CC1" w14:textId="77777777" w:rsidR="00032632" w:rsidRPr="00032632" w:rsidRDefault="00032632" w:rsidP="00032632">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2A04E01E" w14:textId="77777777" w:rsidR="00032632" w:rsidRDefault="00032632" w:rsidP="00032632">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CIP = ciprofloxacin (5 µg, positive control)</w:t>
      </w:r>
    </w:p>
    <w:p w14:paraId="181696DF" w14:textId="77777777" w:rsidR="00296FBB" w:rsidRPr="00032632" w:rsidRDefault="00296FBB" w:rsidP="00032632">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35A6B6CA" w14:textId="77777777" w:rsidR="0037382A" w:rsidRPr="0037382A" w:rsidRDefault="0037382A" w:rsidP="0037382A">
      <w:pPr>
        <w:pStyle w:val="Body"/>
        <w:spacing w:after="0"/>
        <w:rPr>
          <w:rFonts w:ascii="Arial" w:hAnsi="Arial" w:cs="Arial"/>
          <w:b/>
          <w:i/>
          <w:u w:val="single"/>
        </w:rPr>
      </w:pPr>
      <w:r>
        <w:rPr>
          <w:rFonts w:ascii="Arial" w:hAnsi="Arial" w:cs="Arial"/>
          <w:b/>
          <w:u w:val="single"/>
        </w:rPr>
        <w:t xml:space="preserve">3.1.2 </w:t>
      </w:r>
      <w:r>
        <w:rPr>
          <w:rFonts w:ascii="Arial" w:hAnsi="Arial" w:cs="Arial"/>
          <w:b/>
          <w:i/>
          <w:u w:val="single"/>
        </w:rPr>
        <w:t>Staphylococcus aureus</w:t>
      </w:r>
    </w:p>
    <w:p w14:paraId="57BF2BB0" w14:textId="77777777" w:rsidR="0037382A" w:rsidRDefault="0037382A" w:rsidP="00441B6F">
      <w:pPr>
        <w:pStyle w:val="Body"/>
        <w:spacing w:after="0"/>
        <w:rPr>
          <w:rFonts w:ascii="Arial" w:hAnsi="Arial" w:cs="Arial"/>
        </w:rPr>
      </w:pPr>
    </w:p>
    <w:p w14:paraId="5BFBE3A4" w14:textId="77777777" w:rsidR="00652182" w:rsidRPr="009D12EB" w:rsidRDefault="00B367DF" w:rsidP="00441B6F">
      <w:pPr>
        <w:pStyle w:val="Body"/>
        <w:spacing w:after="0"/>
        <w:rPr>
          <w:rFonts w:ascii="Arial" w:hAnsi="Arial" w:cs="Arial"/>
        </w:rPr>
      </w:pPr>
      <w:r>
        <w:rPr>
          <w:rFonts w:ascii="Arial" w:hAnsi="Arial" w:cs="Arial"/>
        </w:rPr>
        <w:t xml:space="preserve">Table 2 summarizes the inhibition zones observed for </w:t>
      </w:r>
      <w:r>
        <w:rPr>
          <w:rFonts w:ascii="Arial" w:hAnsi="Arial" w:cs="Arial"/>
          <w:i/>
        </w:rPr>
        <w:t xml:space="preserve">Staphylococcus aureus. </w:t>
      </w:r>
      <w:r w:rsidR="00652182">
        <w:rPr>
          <w:rFonts w:ascii="Arial" w:hAnsi="Arial" w:cs="Arial"/>
        </w:rPr>
        <w:t>Findings indicated that c</w:t>
      </w:r>
      <w:r w:rsidR="0037382A" w:rsidRPr="009D12EB">
        <w:rPr>
          <w:rFonts w:ascii="Arial" w:hAnsi="Arial" w:cs="Arial"/>
        </w:rPr>
        <w:t xml:space="preserve">ranberry treatments produced inhibition zones ranging from </w:t>
      </w:r>
      <w:r w:rsidR="0037382A" w:rsidRPr="002475D0">
        <w:rPr>
          <w:rStyle w:val="Strong"/>
          <w:rFonts w:ascii="Arial" w:hAnsi="Arial" w:cs="Arial"/>
          <w:b w:val="0"/>
        </w:rPr>
        <w:t>6–11 mm</w:t>
      </w:r>
      <w:r w:rsidR="007856DE">
        <w:rPr>
          <w:rFonts w:ascii="Arial" w:hAnsi="Arial" w:cs="Arial"/>
        </w:rPr>
        <w:t>, while the T</w:t>
      </w:r>
      <w:r w:rsidR="0037382A" w:rsidRPr="009D12EB">
        <w:rPr>
          <w:rFonts w:ascii="Arial" w:hAnsi="Arial" w:cs="Arial"/>
        </w:rPr>
        <w:t xml:space="preserve">etracycline control produced </w:t>
      </w:r>
      <w:r w:rsidR="0037382A" w:rsidRPr="002475D0">
        <w:rPr>
          <w:rStyle w:val="Strong"/>
          <w:rFonts w:ascii="Arial" w:hAnsi="Arial" w:cs="Arial"/>
          <w:b w:val="0"/>
        </w:rPr>
        <w:t>26 mm</w:t>
      </w:r>
      <w:r w:rsidR="0037382A" w:rsidRPr="009D12EB">
        <w:rPr>
          <w:rFonts w:ascii="Arial" w:hAnsi="Arial" w:cs="Arial"/>
        </w:rPr>
        <w:t>. A one-way ANOVA showed significant differences among treatment means (</w:t>
      </w:r>
      <w:proofErr w:type="gramStart"/>
      <w:r w:rsidR="001F05F5">
        <w:rPr>
          <w:rStyle w:val="Strong"/>
          <w:rFonts w:ascii="Arial" w:hAnsi="Arial" w:cs="Arial"/>
          <w:b w:val="0"/>
        </w:rPr>
        <w:t>F(</w:t>
      </w:r>
      <w:proofErr w:type="gramEnd"/>
      <w:r w:rsidR="001F05F5">
        <w:rPr>
          <w:rStyle w:val="Strong"/>
          <w:rFonts w:ascii="Arial" w:hAnsi="Arial" w:cs="Arial"/>
          <w:b w:val="0"/>
        </w:rPr>
        <w:t xml:space="preserve">5,30) = 187.31, </w:t>
      </w:r>
      <w:r w:rsidR="001F05F5" w:rsidRPr="000E1FB0">
        <w:rPr>
          <w:rStyle w:val="Strong"/>
          <w:rFonts w:ascii="Arial" w:hAnsi="Arial" w:cs="Arial"/>
          <w:b w:val="0"/>
          <w:i/>
        </w:rPr>
        <w:t>P</w:t>
      </w:r>
      <w:r w:rsidR="001F05F5">
        <w:rPr>
          <w:rStyle w:val="Strong"/>
          <w:rFonts w:ascii="Arial" w:hAnsi="Arial" w:cs="Arial"/>
          <w:b w:val="0"/>
        </w:rPr>
        <w:t xml:space="preserve"> &lt;</w:t>
      </w:r>
      <w:r w:rsidR="0037382A" w:rsidRPr="002475D0">
        <w:rPr>
          <w:rStyle w:val="Strong"/>
          <w:rFonts w:ascii="Arial" w:hAnsi="Arial" w:cs="Arial"/>
          <w:b w:val="0"/>
        </w:rPr>
        <w:t xml:space="preserve"> .00</w:t>
      </w:r>
      <w:r w:rsidR="001F05F5">
        <w:rPr>
          <w:rStyle w:val="Strong"/>
          <w:rFonts w:ascii="Arial" w:hAnsi="Arial" w:cs="Arial"/>
          <w:b w:val="0"/>
        </w:rPr>
        <w:t>1</w:t>
      </w:r>
      <w:r w:rsidR="0037382A" w:rsidRPr="009D12EB">
        <w:rPr>
          <w:rFonts w:ascii="Arial" w:hAnsi="Arial" w:cs="Arial"/>
        </w:rPr>
        <w:t>).</w:t>
      </w:r>
      <w:r w:rsidR="00652182">
        <w:rPr>
          <w:rFonts w:ascii="Arial" w:hAnsi="Arial" w:cs="Arial"/>
        </w:rPr>
        <w:t xml:space="preserve"> </w:t>
      </w:r>
      <w:r w:rsidR="00652182">
        <w:t>Post-hoc comparison (</w:t>
      </w:r>
      <w:proofErr w:type="spellStart"/>
      <w:r w:rsidR="00652182">
        <w:t>Bonferonni</w:t>
      </w:r>
      <w:proofErr w:type="spellEnd"/>
      <w:r w:rsidR="00652182">
        <w:t>) indicated that all cranberry treatments were sig</w:t>
      </w:r>
      <w:r w:rsidR="004C095D">
        <w:t>nificantly less effective than T</w:t>
      </w:r>
      <w:r w:rsidR="00652182">
        <w:t>etracycline, though several cranberry treatments demonstrated mild inhibitory activity.</w:t>
      </w:r>
    </w:p>
    <w:p w14:paraId="6958E936" w14:textId="77777777" w:rsidR="00220162" w:rsidRDefault="00220162" w:rsidP="0037382A">
      <w:pPr>
        <w:pStyle w:val="Body"/>
        <w:spacing w:after="0"/>
        <w:rPr>
          <w:rStyle w:val="Strong"/>
          <w:rFonts w:ascii="Arial" w:hAnsi="Arial" w:cs="Arial"/>
        </w:rPr>
      </w:pPr>
    </w:p>
    <w:p w14:paraId="12F7A645" w14:textId="77777777" w:rsidR="00647DCE" w:rsidRDefault="0037382A" w:rsidP="00647DCE">
      <w:pPr>
        <w:pStyle w:val="Body"/>
        <w:spacing w:after="0"/>
        <w:rPr>
          <w:rStyle w:val="Strong"/>
        </w:rPr>
      </w:pPr>
      <w:r w:rsidRPr="009D12EB">
        <w:rPr>
          <w:rStyle w:val="Strong"/>
          <w:rFonts w:ascii="Arial" w:hAnsi="Arial" w:cs="Arial"/>
        </w:rPr>
        <w:t>Table 2.</w:t>
      </w:r>
      <w:r w:rsidRPr="009D12EB">
        <w:rPr>
          <w:rStyle w:val="Strong"/>
          <w:rFonts w:ascii="Arial" w:hAnsi="Arial" w:cs="Arial"/>
        </w:rPr>
        <w:tab/>
        <w:t xml:space="preserve"> </w:t>
      </w:r>
      <w:r w:rsidR="00647DCE" w:rsidRPr="00032632">
        <w:rPr>
          <w:rStyle w:val="Strong"/>
          <w:rFonts w:ascii="Arial" w:hAnsi="Arial" w:cs="Arial"/>
        </w:rPr>
        <w:t xml:space="preserve">Zone diameters (mm) of cranberry treatments against </w:t>
      </w:r>
      <w:r w:rsidR="00647DCE">
        <w:rPr>
          <w:rStyle w:val="Strong"/>
          <w:rFonts w:ascii="Arial" w:hAnsi="Arial" w:cs="Arial"/>
          <w:i/>
        </w:rPr>
        <w:t>Staphylococcus aureus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644EA0" w:rsidRPr="007A7F54" w14:paraId="58E3AEAB" w14:textId="77777777" w:rsidTr="00D61BCB">
        <w:trPr>
          <w:trHeight w:val="315"/>
        </w:trPr>
        <w:tc>
          <w:tcPr>
            <w:tcW w:w="0" w:type="auto"/>
            <w:vMerge w:val="restart"/>
            <w:vAlign w:val="bottom"/>
          </w:tcPr>
          <w:p w14:paraId="41B25CE3" w14:textId="77777777" w:rsidR="00644EA0" w:rsidRPr="007A7F54" w:rsidRDefault="00644EA0" w:rsidP="000E1FB0">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bottom"/>
            <w:hideMark/>
          </w:tcPr>
          <w:p w14:paraId="72A256AA"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Zone Diameter (mm)</w:t>
            </w:r>
          </w:p>
        </w:tc>
      </w:tr>
      <w:tr w:rsidR="00644EA0" w:rsidRPr="007A7F54" w14:paraId="350F6421" w14:textId="77777777" w:rsidTr="00D61BCB">
        <w:trPr>
          <w:trHeight w:val="315"/>
        </w:trPr>
        <w:tc>
          <w:tcPr>
            <w:tcW w:w="0" w:type="auto"/>
            <w:vMerge/>
          </w:tcPr>
          <w:p w14:paraId="31B0BA27" w14:textId="77777777" w:rsidR="00644EA0" w:rsidRPr="007A7F54" w:rsidRDefault="00644EA0" w:rsidP="000E1FB0">
            <w:pPr>
              <w:jc w:val="center"/>
              <w:rPr>
                <w:rFonts w:ascii="Arial" w:hAnsi="Arial" w:cs="Arial"/>
                <w:b/>
                <w:bCs/>
                <w:color w:val="000000"/>
                <w:lang w:val="en-GB" w:eastAsia="en-GB"/>
              </w:rPr>
            </w:pPr>
          </w:p>
        </w:tc>
        <w:tc>
          <w:tcPr>
            <w:tcW w:w="0" w:type="auto"/>
            <w:noWrap/>
            <w:vAlign w:val="bottom"/>
            <w:hideMark/>
          </w:tcPr>
          <w:p w14:paraId="63E23073"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T </w:t>
            </w:r>
          </w:p>
        </w:tc>
        <w:tc>
          <w:tcPr>
            <w:tcW w:w="0" w:type="auto"/>
            <w:noWrap/>
            <w:vAlign w:val="bottom"/>
            <w:hideMark/>
          </w:tcPr>
          <w:p w14:paraId="7769942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C </w:t>
            </w:r>
          </w:p>
        </w:tc>
        <w:tc>
          <w:tcPr>
            <w:tcW w:w="0" w:type="auto"/>
            <w:noWrap/>
            <w:vAlign w:val="bottom"/>
            <w:hideMark/>
          </w:tcPr>
          <w:p w14:paraId="286576FC"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O </w:t>
            </w:r>
          </w:p>
        </w:tc>
        <w:tc>
          <w:tcPr>
            <w:tcW w:w="0" w:type="auto"/>
            <w:noWrap/>
            <w:vAlign w:val="bottom"/>
            <w:hideMark/>
          </w:tcPr>
          <w:p w14:paraId="57925AB7"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Fruit</w:t>
            </w:r>
          </w:p>
        </w:tc>
        <w:tc>
          <w:tcPr>
            <w:tcW w:w="0" w:type="auto"/>
            <w:noWrap/>
            <w:vAlign w:val="bottom"/>
            <w:hideMark/>
          </w:tcPr>
          <w:p w14:paraId="24AF0F0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CW</w:t>
            </w:r>
          </w:p>
        </w:tc>
        <w:tc>
          <w:tcPr>
            <w:tcW w:w="0" w:type="auto"/>
            <w:noWrap/>
            <w:vAlign w:val="bottom"/>
            <w:hideMark/>
          </w:tcPr>
          <w:p w14:paraId="6AE02C4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TE</w:t>
            </w:r>
          </w:p>
        </w:tc>
      </w:tr>
      <w:tr w:rsidR="00644EA0" w:rsidRPr="007A7F54" w14:paraId="60DC9D17" w14:textId="77777777" w:rsidTr="00D61BCB">
        <w:trPr>
          <w:trHeight w:val="315"/>
        </w:trPr>
        <w:tc>
          <w:tcPr>
            <w:tcW w:w="0" w:type="auto"/>
          </w:tcPr>
          <w:p w14:paraId="2A8112A4"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bottom"/>
            <w:hideMark/>
          </w:tcPr>
          <w:p w14:paraId="34B4F07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C79419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2D5570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7D7985D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3A101CD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172E28B6"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4FB9AC0F" w14:textId="77777777" w:rsidTr="00D61BCB">
        <w:trPr>
          <w:trHeight w:val="300"/>
        </w:trPr>
        <w:tc>
          <w:tcPr>
            <w:tcW w:w="0" w:type="auto"/>
          </w:tcPr>
          <w:p w14:paraId="0A83666E"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bottom"/>
            <w:hideMark/>
          </w:tcPr>
          <w:p w14:paraId="6DFD5317"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8</w:t>
            </w:r>
          </w:p>
        </w:tc>
        <w:tc>
          <w:tcPr>
            <w:tcW w:w="0" w:type="auto"/>
            <w:noWrap/>
            <w:vAlign w:val="bottom"/>
            <w:hideMark/>
          </w:tcPr>
          <w:p w14:paraId="2A697DFC"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C13044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70985941"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FA512A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AC9EDEF"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70C18005" w14:textId="77777777" w:rsidTr="00D61BCB">
        <w:trPr>
          <w:trHeight w:val="315"/>
        </w:trPr>
        <w:tc>
          <w:tcPr>
            <w:tcW w:w="0" w:type="auto"/>
          </w:tcPr>
          <w:p w14:paraId="210AAB2B"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bottom"/>
            <w:hideMark/>
          </w:tcPr>
          <w:p w14:paraId="315563C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11</w:t>
            </w:r>
          </w:p>
        </w:tc>
        <w:tc>
          <w:tcPr>
            <w:tcW w:w="0" w:type="auto"/>
            <w:noWrap/>
            <w:vAlign w:val="bottom"/>
            <w:hideMark/>
          </w:tcPr>
          <w:p w14:paraId="33E22E0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70D714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29BE9DDC"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10BAD33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6A44E99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6388C059" w14:textId="77777777" w:rsidTr="00D61BCB">
        <w:trPr>
          <w:trHeight w:val="300"/>
        </w:trPr>
        <w:tc>
          <w:tcPr>
            <w:tcW w:w="0" w:type="auto"/>
          </w:tcPr>
          <w:p w14:paraId="4A5934EE"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bottom"/>
            <w:hideMark/>
          </w:tcPr>
          <w:p w14:paraId="5B5064B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63429D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A366F9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563635F"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30E80ED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518E84C8"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03F306D3" w14:textId="77777777" w:rsidTr="00D61BCB">
        <w:trPr>
          <w:trHeight w:val="300"/>
        </w:trPr>
        <w:tc>
          <w:tcPr>
            <w:tcW w:w="0" w:type="auto"/>
          </w:tcPr>
          <w:p w14:paraId="1048126B"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bottom"/>
            <w:hideMark/>
          </w:tcPr>
          <w:p w14:paraId="37F73E8E"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2327A37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2B6792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D518E4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CCB0DF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E4433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2CF8B71C" w14:textId="77777777" w:rsidTr="00D61BCB">
        <w:trPr>
          <w:trHeight w:val="300"/>
        </w:trPr>
        <w:tc>
          <w:tcPr>
            <w:tcW w:w="0" w:type="auto"/>
          </w:tcPr>
          <w:p w14:paraId="1D597378"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bottom"/>
            <w:hideMark/>
          </w:tcPr>
          <w:p w14:paraId="0BAF798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10</w:t>
            </w:r>
          </w:p>
        </w:tc>
        <w:tc>
          <w:tcPr>
            <w:tcW w:w="0" w:type="auto"/>
            <w:noWrap/>
            <w:vAlign w:val="bottom"/>
            <w:hideMark/>
          </w:tcPr>
          <w:p w14:paraId="65D59C4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ED891F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5650347"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F3BA45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5E1D815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D61BCB" w:rsidRPr="007A7F54" w14:paraId="40780A92" w14:textId="77777777" w:rsidTr="00D61BCB">
        <w:trPr>
          <w:trHeight w:val="300"/>
        </w:trPr>
        <w:tc>
          <w:tcPr>
            <w:tcW w:w="0" w:type="auto"/>
          </w:tcPr>
          <w:p w14:paraId="5C957D58" w14:textId="77777777" w:rsidR="00D61BCB" w:rsidRDefault="00D61BCB" w:rsidP="000E1FB0">
            <w:pPr>
              <w:jc w:val="right"/>
              <w:rPr>
                <w:rFonts w:ascii="Arial" w:hAnsi="Arial" w:cs="Arial"/>
                <w:color w:val="000000"/>
                <w:lang w:val="en-GB" w:eastAsia="en-GB"/>
              </w:rPr>
            </w:pPr>
            <w:r w:rsidRPr="00D86E20">
              <w:rPr>
                <w:rFonts w:ascii="Arial" w:hAnsi="Arial" w:cs="Arial"/>
                <w:b/>
                <w:color w:val="000000"/>
                <w:lang w:val="en-GB" w:eastAsia="en-GB"/>
              </w:rPr>
              <w:t>Mean ± SD</w:t>
            </w:r>
          </w:p>
        </w:tc>
        <w:tc>
          <w:tcPr>
            <w:tcW w:w="0" w:type="auto"/>
            <w:noWrap/>
          </w:tcPr>
          <w:p w14:paraId="6DF68071" w14:textId="77777777" w:rsidR="00D61BCB" w:rsidRPr="00D61BCB" w:rsidRDefault="00D61BCB" w:rsidP="00F52C21">
            <w:pPr>
              <w:rPr>
                <w:b/>
              </w:rPr>
            </w:pPr>
            <w:r w:rsidRPr="00D61BCB">
              <w:rPr>
                <w:b/>
              </w:rPr>
              <w:t>8.0 ± 1.9</w:t>
            </w:r>
          </w:p>
        </w:tc>
        <w:tc>
          <w:tcPr>
            <w:tcW w:w="0" w:type="auto"/>
            <w:noWrap/>
          </w:tcPr>
          <w:p w14:paraId="24AA6956" w14:textId="77777777" w:rsidR="00D61BCB" w:rsidRPr="00D61BCB" w:rsidRDefault="00D61BCB" w:rsidP="00D61BCB">
            <w:pPr>
              <w:rPr>
                <w:b/>
              </w:rPr>
            </w:pPr>
            <w:r>
              <w:rPr>
                <w:b/>
              </w:rPr>
              <w:t>6.0 ± 0.0</w:t>
            </w:r>
          </w:p>
        </w:tc>
        <w:tc>
          <w:tcPr>
            <w:tcW w:w="0" w:type="auto"/>
            <w:noWrap/>
          </w:tcPr>
          <w:p w14:paraId="3897CC81" w14:textId="77777777" w:rsidR="00D61BCB" w:rsidRPr="00D61BCB" w:rsidRDefault="00D61BCB" w:rsidP="00F52C21">
            <w:pPr>
              <w:rPr>
                <w:b/>
              </w:rPr>
            </w:pPr>
            <w:r>
              <w:rPr>
                <w:b/>
              </w:rPr>
              <w:t>7.2</w:t>
            </w:r>
            <w:r w:rsidRPr="00D61BCB">
              <w:rPr>
                <w:b/>
              </w:rPr>
              <w:t xml:space="preserve"> ± 1.</w:t>
            </w:r>
            <w:r>
              <w:rPr>
                <w:b/>
              </w:rPr>
              <w:t>0</w:t>
            </w:r>
          </w:p>
        </w:tc>
        <w:tc>
          <w:tcPr>
            <w:tcW w:w="0" w:type="auto"/>
            <w:noWrap/>
          </w:tcPr>
          <w:p w14:paraId="328D368C" w14:textId="77777777" w:rsidR="00D61BCB" w:rsidRPr="00D61BCB" w:rsidRDefault="00D61BCB" w:rsidP="00D61BCB">
            <w:pPr>
              <w:rPr>
                <w:b/>
              </w:rPr>
            </w:pPr>
            <w:r>
              <w:rPr>
                <w:b/>
              </w:rPr>
              <w:t>6.7</w:t>
            </w:r>
            <w:r w:rsidRPr="00D61BCB">
              <w:rPr>
                <w:b/>
              </w:rPr>
              <w:t xml:space="preserve"> ± </w:t>
            </w:r>
            <w:r>
              <w:rPr>
                <w:b/>
              </w:rPr>
              <w:t>0.5</w:t>
            </w:r>
          </w:p>
        </w:tc>
        <w:tc>
          <w:tcPr>
            <w:tcW w:w="0" w:type="auto"/>
            <w:noWrap/>
          </w:tcPr>
          <w:p w14:paraId="6E726FD9" w14:textId="77777777" w:rsidR="00D61BCB" w:rsidRPr="00D61BCB" w:rsidRDefault="00D61BCB" w:rsidP="00D61BCB">
            <w:pPr>
              <w:rPr>
                <w:b/>
              </w:rPr>
            </w:pPr>
            <w:r>
              <w:rPr>
                <w:b/>
              </w:rPr>
              <w:t>7.0</w:t>
            </w:r>
            <w:r w:rsidRPr="00D61BCB">
              <w:rPr>
                <w:b/>
              </w:rPr>
              <w:t xml:space="preserve"> ± 1.</w:t>
            </w:r>
            <w:r>
              <w:rPr>
                <w:b/>
              </w:rPr>
              <w:t>2</w:t>
            </w:r>
          </w:p>
        </w:tc>
        <w:tc>
          <w:tcPr>
            <w:tcW w:w="0" w:type="auto"/>
            <w:noWrap/>
          </w:tcPr>
          <w:p w14:paraId="3739D39D" w14:textId="77777777" w:rsidR="00D61BCB" w:rsidRPr="00D61BCB" w:rsidRDefault="00D61BCB" w:rsidP="00D61BCB">
            <w:pPr>
              <w:rPr>
                <w:b/>
              </w:rPr>
            </w:pPr>
            <w:r>
              <w:rPr>
                <w:b/>
              </w:rPr>
              <w:t>26.0 ± 0</w:t>
            </w:r>
            <w:r w:rsidRPr="00D61BCB">
              <w:rPr>
                <w:b/>
              </w:rPr>
              <w:t>.</w:t>
            </w:r>
            <w:r>
              <w:rPr>
                <w:b/>
              </w:rPr>
              <w:t>0</w:t>
            </w:r>
          </w:p>
        </w:tc>
      </w:tr>
    </w:tbl>
    <w:p w14:paraId="583A6964" w14:textId="77777777" w:rsidR="00B363F5" w:rsidRPr="00032632" w:rsidRDefault="000E1FB0" w:rsidP="00B363F5">
      <w:pPr>
        <w:pStyle w:val="Body"/>
        <w:spacing w:after="0"/>
        <w:rPr>
          <w:rFonts w:ascii="Arial" w:hAnsi="Arial" w:cs="Arial"/>
          <w:vertAlign w:val="superscript"/>
        </w:rPr>
      </w:pPr>
      <w:r>
        <w:rPr>
          <w:rFonts w:ascii="Arial" w:hAnsi="Arial" w:cs="Arial"/>
          <w:vertAlign w:val="superscript"/>
        </w:rPr>
        <w:br w:type="textWrapping" w:clear="all"/>
      </w:r>
      <w:r w:rsidR="00B363F5" w:rsidRPr="00664F0F">
        <w:rPr>
          <w:rFonts w:ascii="Arial" w:hAnsi="Arial" w:cs="Arial"/>
          <w:vertAlign w:val="superscript"/>
        </w:rPr>
        <w:t>*</w:t>
      </w:r>
      <w:r w:rsidR="00B363F5" w:rsidRPr="00032632">
        <w:rPr>
          <w:rFonts w:ascii="Arial" w:hAnsi="Arial" w:cs="Arial"/>
          <w:vertAlign w:val="superscript"/>
        </w:rPr>
        <w:t>a</w:t>
      </w:r>
      <w:r w:rsidR="00B363F5">
        <w:rPr>
          <w:rFonts w:ascii="Arial" w:hAnsi="Arial" w:cs="Arial"/>
          <w:vertAlign w:val="superscript"/>
        </w:rPr>
        <w:t>.</w:t>
      </w:r>
      <w:r w:rsidR="00B363F5" w:rsidRPr="00032632">
        <w:rPr>
          <w:rFonts w:ascii="Arial" w:hAnsi="Arial" w:cs="Arial"/>
          <w:vertAlign w:val="superscript"/>
        </w:rPr>
        <w:t xml:space="preserve"> T, C, O = commercial cranberry juice brands</w:t>
      </w:r>
    </w:p>
    <w:p w14:paraId="53E9FFD0" w14:textId="77777777" w:rsidR="00B363F5" w:rsidRPr="00032632" w:rsidRDefault="00B363F5" w:rsidP="00B363F5">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5307AA46" w14:textId="77777777" w:rsidR="00B363F5" w:rsidRPr="00032632" w:rsidRDefault="00B363F5" w:rsidP="00B363F5">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681C25DB" w14:textId="77777777" w:rsidR="00B363F5" w:rsidRDefault="00B363F5" w:rsidP="00B363F5">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TE=</w:t>
      </w:r>
      <w:r w:rsidRPr="00B363F5">
        <w:rPr>
          <w:rFonts w:ascii="Arial" w:hAnsi="Arial" w:cs="Arial"/>
          <w:vertAlign w:val="superscript"/>
        </w:rPr>
        <w:t>Tet</w:t>
      </w:r>
      <w:r>
        <w:rPr>
          <w:rFonts w:ascii="Arial" w:hAnsi="Arial" w:cs="Arial"/>
          <w:vertAlign w:val="superscript"/>
        </w:rPr>
        <w:t>racycline (30µg, positive control)</w:t>
      </w:r>
    </w:p>
    <w:p w14:paraId="1AE52804" w14:textId="77777777" w:rsidR="00296FBB" w:rsidRPr="00032632" w:rsidRDefault="00296FBB" w:rsidP="00296FBB">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643CD2AE" w14:textId="77777777" w:rsidR="00CC3DBE" w:rsidRPr="00CC3DBE" w:rsidRDefault="00CC3DBE" w:rsidP="00CC3DBE">
      <w:pPr>
        <w:pStyle w:val="Body"/>
        <w:spacing w:after="0"/>
        <w:rPr>
          <w:rFonts w:ascii="Arial" w:hAnsi="Arial" w:cs="Arial"/>
          <w:b/>
          <w:i/>
          <w:u w:val="single"/>
        </w:rPr>
      </w:pPr>
      <w:r>
        <w:rPr>
          <w:rFonts w:ascii="Arial" w:hAnsi="Arial" w:cs="Arial"/>
          <w:b/>
          <w:u w:val="single"/>
        </w:rPr>
        <w:t xml:space="preserve">3.1.3 </w:t>
      </w:r>
      <w:r>
        <w:rPr>
          <w:rFonts w:ascii="Arial" w:hAnsi="Arial" w:cs="Arial"/>
          <w:b/>
          <w:i/>
          <w:u w:val="single"/>
        </w:rPr>
        <w:t>Proteus mirabilis</w:t>
      </w:r>
    </w:p>
    <w:p w14:paraId="0C6B4404" w14:textId="77777777" w:rsidR="00CC3DBE" w:rsidRDefault="00CC3DBE" w:rsidP="00441B6F">
      <w:pPr>
        <w:pStyle w:val="Body"/>
        <w:spacing w:after="0"/>
        <w:rPr>
          <w:rFonts w:ascii="Arial" w:hAnsi="Arial" w:cs="Arial"/>
        </w:rPr>
      </w:pPr>
    </w:p>
    <w:p w14:paraId="0A1D0906" w14:textId="77777777" w:rsidR="00A82194" w:rsidRPr="00E65A70" w:rsidRDefault="009D12EB" w:rsidP="00A82194">
      <w:pPr>
        <w:pStyle w:val="Body"/>
        <w:spacing w:after="0"/>
        <w:rPr>
          <w:rFonts w:ascii="Arial" w:hAnsi="Arial" w:cs="Arial"/>
        </w:rPr>
      </w:pPr>
      <w:r>
        <w:t xml:space="preserve">All cranberry treatments demonstrated inhibition zones between </w:t>
      </w:r>
      <w:r w:rsidRPr="000A15C5">
        <w:rPr>
          <w:rStyle w:val="Strong"/>
          <w:b w:val="0"/>
        </w:rPr>
        <w:t>6–11 mm</w:t>
      </w:r>
      <w:r>
        <w:t xml:space="preserve">, while </w:t>
      </w:r>
      <w:r w:rsidR="004C095D">
        <w:t>G</w:t>
      </w:r>
      <w:r>
        <w:t xml:space="preserve">entamicin produced </w:t>
      </w:r>
      <w:r w:rsidRPr="000A15C5">
        <w:rPr>
          <w:rStyle w:val="Strong"/>
          <w:b w:val="0"/>
        </w:rPr>
        <w:t>25 mm</w:t>
      </w:r>
      <w:r w:rsidR="004A2A6A">
        <w:rPr>
          <w:rStyle w:val="Strong"/>
          <w:b w:val="0"/>
        </w:rPr>
        <w:t>, as outlined in Table 3</w:t>
      </w:r>
      <w:r>
        <w:t>. A one-way ANOVA revealed significant variation among treatment means (</w:t>
      </w:r>
      <w:proofErr w:type="gramStart"/>
      <w:r w:rsidR="001F05F5">
        <w:rPr>
          <w:rStyle w:val="Strong"/>
          <w:b w:val="0"/>
        </w:rPr>
        <w:t>F(</w:t>
      </w:r>
      <w:proofErr w:type="gramEnd"/>
      <w:r w:rsidR="001F05F5">
        <w:rPr>
          <w:rStyle w:val="Strong"/>
          <w:b w:val="0"/>
        </w:rPr>
        <w:t xml:space="preserve">6,35) = 256.71, </w:t>
      </w:r>
      <w:r w:rsidR="001F05F5" w:rsidRPr="000E1FB0">
        <w:rPr>
          <w:rStyle w:val="Strong"/>
          <w:b w:val="0"/>
          <w:i/>
        </w:rPr>
        <w:t>P</w:t>
      </w:r>
      <w:r w:rsidR="001F05F5">
        <w:rPr>
          <w:rStyle w:val="Strong"/>
          <w:b w:val="0"/>
        </w:rPr>
        <w:t xml:space="preserve"> &lt;</w:t>
      </w:r>
      <w:r w:rsidRPr="000A15C5">
        <w:rPr>
          <w:rStyle w:val="Strong"/>
          <w:b w:val="0"/>
        </w:rPr>
        <w:t xml:space="preserve"> .00</w:t>
      </w:r>
      <w:r w:rsidR="001F05F5">
        <w:rPr>
          <w:rStyle w:val="Strong"/>
          <w:b w:val="0"/>
        </w:rPr>
        <w:t>1</w:t>
      </w:r>
      <w:r>
        <w:t>).</w:t>
      </w:r>
      <w:r w:rsidR="00A82194">
        <w:t xml:space="preserve"> </w:t>
      </w:r>
      <w:r w:rsidR="00A82194" w:rsidRPr="00E65A70">
        <w:rPr>
          <w:rFonts w:ascii="Arial" w:hAnsi="Arial" w:cs="Arial"/>
        </w:rPr>
        <w:t xml:space="preserve">Although less susceptible than </w:t>
      </w:r>
      <w:r w:rsidR="00A82194" w:rsidRPr="00E65A70">
        <w:rPr>
          <w:rStyle w:val="Emphasis"/>
          <w:rFonts w:ascii="Arial" w:hAnsi="Arial" w:cs="Arial"/>
        </w:rPr>
        <w:t>S. aureus</w:t>
      </w:r>
      <w:r w:rsidR="00A82194" w:rsidRPr="00E65A70">
        <w:rPr>
          <w:rFonts w:ascii="Arial" w:hAnsi="Arial" w:cs="Arial"/>
        </w:rPr>
        <w:t xml:space="preserve">, </w:t>
      </w:r>
      <w:r w:rsidR="00A82194" w:rsidRPr="00E65A70">
        <w:rPr>
          <w:rStyle w:val="Emphasis"/>
          <w:rFonts w:ascii="Arial" w:hAnsi="Arial" w:cs="Arial"/>
        </w:rPr>
        <w:t>P. mirabilis</w:t>
      </w:r>
      <w:r w:rsidR="00A82194" w:rsidRPr="00E65A70">
        <w:rPr>
          <w:rFonts w:ascii="Arial" w:hAnsi="Arial" w:cs="Arial"/>
        </w:rPr>
        <w:t xml:space="preserve"> displayed similar mild inhibition, suggesting modest antibacterial effects across cranberry derivatives. However, activity remained substantially weaker than the antibiotic control.</w:t>
      </w:r>
    </w:p>
    <w:p w14:paraId="16EFEE2B" w14:textId="77777777" w:rsidR="009D12EB" w:rsidRDefault="009D12EB" w:rsidP="00441B6F">
      <w:pPr>
        <w:pStyle w:val="Body"/>
        <w:spacing w:after="0"/>
        <w:rPr>
          <w:rFonts w:ascii="Arial" w:hAnsi="Arial" w:cs="Arial"/>
        </w:rPr>
      </w:pPr>
    </w:p>
    <w:p w14:paraId="0D90A9F0" w14:textId="77777777" w:rsidR="00F051A6" w:rsidRDefault="00F051A6" w:rsidP="00AF39A4">
      <w:pPr>
        <w:rPr>
          <w:rFonts w:ascii="Arial" w:hAnsi="Arial" w:cs="Arial"/>
          <w:b/>
        </w:rPr>
      </w:pPr>
    </w:p>
    <w:p w14:paraId="01D40627" w14:textId="77777777" w:rsidR="009D12EB" w:rsidRDefault="009D12EB" w:rsidP="00AF39A4">
      <w:pPr>
        <w:rPr>
          <w:rFonts w:ascii="Arial" w:hAnsi="Arial" w:cs="Arial"/>
        </w:rPr>
      </w:pPr>
      <w:r w:rsidRPr="009D12EB">
        <w:rPr>
          <w:rFonts w:ascii="Arial" w:hAnsi="Arial" w:cs="Arial"/>
          <w:b/>
        </w:rPr>
        <w:t xml:space="preserve">Table 3. </w:t>
      </w:r>
      <w:r>
        <w:rPr>
          <w:rFonts w:ascii="Arial" w:hAnsi="Arial" w:cs="Arial"/>
          <w:b/>
        </w:rPr>
        <w:tab/>
      </w:r>
      <w:r w:rsidR="00AF39A4" w:rsidRPr="00032632">
        <w:rPr>
          <w:rStyle w:val="Strong"/>
          <w:rFonts w:ascii="Arial" w:hAnsi="Arial" w:cs="Arial"/>
        </w:rPr>
        <w:t xml:space="preserve">Zone diameters (mm) of cranberry treatments against </w:t>
      </w:r>
      <w:r w:rsidR="00AF39A4">
        <w:rPr>
          <w:rStyle w:val="Strong"/>
          <w:rFonts w:ascii="Arial" w:hAnsi="Arial" w:cs="Arial"/>
          <w:i/>
        </w:rPr>
        <w:t>Proteus mirabilis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4B1C74" w:rsidRPr="00A11A3B" w14:paraId="49D0A72C" w14:textId="77777777" w:rsidTr="00836CB1">
        <w:trPr>
          <w:trHeight w:val="330"/>
          <w:jc w:val="center"/>
        </w:trPr>
        <w:tc>
          <w:tcPr>
            <w:tcW w:w="0" w:type="auto"/>
            <w:vMerge w:val="restart"/>
            <w:vAlign w:val="bottom"/>
          </w:tcPr>
          <w:p w14:paraId="3DFCAEDB" w14:textId="77777777" w:rsidR="004B1C74" w:rsidRPr="007A7F54" w:rsidRDefault="004B1C74" w:rsidP="006C1A47">
            <w:pPr>
              <w:rPr>
                <w:rFonts w:ascii="Arial" w:hAnsi="Arial" w:cs="Arial"/>
                <w:b/>
                <w:bCs/>
                <w:color w:val="000000"/>
                <w:lang w:val="en-GB" w:eastAsia="en-GB"/>
              </w:rPr>
            </w:pPr>
            <w:r>
              <w:rPr>
                <w:rFonts w:ascii="Arial" w:hAnsi="Arial" w:cs="Arial"/>
                <w:b/>
                <w:bCs/>
                <w:color w:val="000000"/>
                <w:lang w:val="en-GB" w:eastAsia="en-GB"/>
              </w:rPr>
              <w:lastRenderedPageBreak/>
              <w:t>Replicate</w:t>
            </w:r>
          </w:p>
        </w:tc>
        <w:tc>
          <w:tcPr>
            <w:tcW w:w="0" w:type="auto"/>
            <w:gridSpan w:val="6"/>
            <w:noWrap/>
            <w:vAlign w:val="center"/>
            <w:hideMark/>
          </w:tcPr>
          <w:p w14:paraId="21CCD33E"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Zone Diameter (mm)</w:t>
            </w:r>
          </w:p>
        </w:tc>
      </w:tr>
      <w:tr w:rsidR="004B1C74" w:rsidRPr="00A11A3B" w14:paraId="0BA16915" w14:textId="77777777" w:rsidTr="00836CB1">
        <w:trPr>
          <w:trHeight w:val="315"/>
          <w:jc w:val="center"/>
        </w:trPr>
        <w:tc>
          <w:tcPr>
            <w:tcW w:w="0" w:type="auto"/>
            <w:vMerge/>
          </w:tcPr>
          <w:p w14:paraId="64AA1EEB" w14:textId="77777777" w:rsidR="004B1C74" w:rsidRPr="007A7F54" w:rsidRDefault="004B1C74" w:rsidP="006C1A47">
            <w:pPr>
              <w:jc w:val="center"/>
              <w:rPr>
                <w:rFonts w:ascii="Arial" w:hAnsi="Arial" w:cs="Arial"/>
                <w:b/>
                <w:bCs/>
                <w:color w:val="000000"/>
                <w:lang w:val="en-GB" w:eastAsia="en-GB"/>
              </w:rPr>
            </w:pPr>
          </w:p>
        </w:tc>
        <w:tc>
          <w:tcPr>
            <w:tcW w:w="0" w:type="auto"/>
            <w:noWrap/>
            <w:vAlign w:val="center"/>
            <w:hideMark/>
          </w:tcPr>
          <w:p w14:paraId="6D7118B3"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T </w:t>
            </w:r>
          </w:p>
        </w:tc>
        <w:tc>
          <w:tcPr>
            <w:tcW w:w="0" w:type="auto"/>
            <w:noWrap/>
            <w:vAlign w:val="center"/>
            <w:hideMark/>
          </w:tcPr>
          <w:p w14:paraId="26CD8A7B"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C </w:t>
            </w:r>
          </w:p>
        </w:tc>
        <w:tc>
          <w:tcPr>
            <w:tcW w:w="0" w:type="auto"/>
            <w:noWrap/>
            <w:vAlign w:val="center"/>
            <w:hideMark/>
          </w:tcPr>
          <w:p w14:paraId="36466979"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O </w:t>
            </w:r>
          </w:p>
        </w:tc>
        <w:tc>
          <w:tcPr>
            <w:tcW w:w="0" w:type="auto"/>
            <w:noWrap/>
            <w:vAlign w:val="center"/>
            <w:hideMark/>
          </w:tcPr>
          <w:p w14:paraId="46492A29"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Fruit</w:t>
            </w:r>
          </w:p>
        </w:tc>
        <w:tc>
          <w:tcPr>
            <w:tcW w:w="0" w:type="auto"/>
            <w:noWrap/>
            <w:vAlign w:val="center"/>
            <w:hideMark/>
          </w:tcPr>
          <w:p w14:paraId="7FE3539D"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CW</w:t>
            </w:r>
          </w:p>
        </w:tc>
        <w:tc>
          <w:tcPr>
            <w:tcW w:w="0" w:type="auto"/>
            <w:noWrap/>
            <w:vAlign w:val="center"/>
            <w:hideMark/>
          </w:tcPr>
          <w:p w14:paraId="4F0B9D61"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GEN</w:t>
            </w:r>
          </w:p>
        </w:tc>
      </w:tr>
      <w:tr w:rsidR="00AF39A4" w:rsidRPr="00A11A3B" w14:paraId="7EBD88DE" w14:textId="77777777" w:rsidTr="00836CB1">
        <w:trPr>
          <w:trHeight w:val="330"/>
          <w:jc w:val="center"/>
        </w:trPr>
        <w:tc>
          <w:tcPr>
            <w:tcW w:w="0" w:type="auto"/>
          </w:tcPr>
          <w:p w14:paraId="4A49121C"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center"/>
            <w:hideMark/>
          </w:tcPr>
          <w:p w14:paraId="7048A0F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2D536FE2"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4F7F04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66C93F4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18CD02B"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21AF1D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75D35F70" w14:textId="77777777" w:rsidTr="00836CB1">
        <w:trPr>
          <w:trHeight w:val="330"/>
          <w:jc w:val="center"/>
        </w:trPr>
        <w:tc>
          <w:tcPr>
            <w:tcW w:w="0" w:type="auto"/>
          </w:tcPr>
          <w:p w14:paraId="4838A7D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center"/>
            <w:hideMark/>
          </w:tcPr>
          <w:p w14:paraId="408B618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3E297F5D"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5907EE45"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4CC4F4"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C2C901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14A0BF30"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08309B50" w14:textId="77777777" w:rsidTr="00836CB1">
        <w:trPr>
          <w:trHeight w:val="330"/>
          <w:jc w:val="center"/>
        </w:trPr>
        <w:tc>
          <w:tcPr>
            <w:tcW w:w="0" w:type="auto"/>
          </w:tcPr>
          <w:p w14:paraId="49014512"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center"/>
            <w:hideMark/>
          </w:tcPr>
          <w:p w14:paraId="50C3A745"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CF4D2D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5749549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333F715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3EBBE7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9</w:t>
            </w:r>
          </w:p>
        </w:tc>
        <w:tc>
          <w:tcPr>
            <w:tcW w:w="0" w:type="auto"/>
            <w:noWrap/>
            <w:vAlign w:val="center"/>
            <w:hideMark/>
          </w:tcPr>
          <w:p w14:paraId="25F6CD59"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1AD2A264" w14:textId="77777777" w:rsidTr="00836CB1">
        <w:trPr>
          <w:trHeight w:val="330"/>
          <w:jc w:val="center"/>
        </w:trPr>
        <w:tc>
          <w:tcPr>
            <w:tcW w:w="0" w:type="auto"/>
          </w:tcPr>
          <w:p w14:paraId="4BC3069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center"/>
            <w:hideMark/>
          </w:tcPr>
          <w:p w14:paraId="13E056A7"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68F3F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5637C5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04A6890D"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3E4710C"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DD18B1C"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765E8773" w14:textId="77777777" w:rsidTr="00836CB1">
        <w:trPr>
          <w:trHeight w:val="330"/>
          <w:jc w:val="center"/>
        </w:trPr>
        <w:tc>
          <w:tcPr>
            <w:tcW w:w="0" w:type="auto"/>
          </w:tcPr>
          <w:p w14:paraId="1DAC9B7D"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center"/>
            <w:hideMark/>
          </w:tcPr>
          <w:p w14:paraId="01D5D6F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03A573D1"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D58CC7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2A953F4"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5069B12"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977DCC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50214F11" w14:textId="77777777" w:rsidTr="00836CB1">
        <w:trPr>
          <w:trHeight w:val="330"/>
          <w:jc w:val="center"/>
        </w:trPr>
        <w:tc>
          <w:tcPr>
            <w:tcW w:w="0" w:type="auto"/>
          </w:tcPr>
          <w:p w14:paraId="237F44F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center"/>
            <w:hideMark/>
          </w:tcPr>
          <w:p w14:paraId="6485405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7026BE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62F24107"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2B587A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921F0E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7623A29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836CB1" w:rsidRPr="00A11A3B" w14:paraId="1480BE3F" w14:textId="77777777" w:rsidTr="00836CB1">
        <w:trPr>
          <w:trHeight w:val="330"/>
          <w:jc w:val="center"/>
        </w:trPr>
        <w:tc>
          <w:tcPr>
            <w:tcW w:w="0" w:type="auto"/>
          </w:tcPr>
          <w:p w14:paraId="28E3102D" w14:textId="77777777" w:rsidR="00836CB1" w:rsidRPr="00836CB1" w:rsidRDefault="00836CB1" w:rsidP="006C1A47">
            <w:pPr>
              <w:jc w:val="right"/>
              <w:rPr>
                <w:rFonts w:ascii="Arial" w:hAnsi="Arial" w:cs="Arial"/>
                <w:b/>
                <w:color w:val="000000"/>
                <w:lang w:val="en-GB" w:eastAsia="en-GB"/>
              </w:rPr>
            </w:pPr>
            <w:r w:rsidRPr="00836CB1">
              <w:rPr>
                <w:rFonts w:ascii="Arial" w:hAnsi="Arial" w:cs="Arial"/>
                <w:b/>
                <w:color w:val="000000"/>
                <w:lang w:val="en-GB" w:eastAsia="en-GB"/>
              </w:rPr>
              <w:t>Mean ± SD</w:t>
            </w:r>
          </w:p>
        </w:tc>
        <w:tc>
          <w:tcPr>
            <w:tcW w:w="0" w:type="auto"/>
            <w:noWrap/>
            <w:vAlign w:val="center"/>
          </w:tcPr>
          <w:p w14:paraId="29F04F63" w14:textId="77777777" w:rsidR="00836CB1" w:rsidRPr="00836CB1" w:rsidRDefault="00836CB1" w:rsidP="00503561">
            <w:pPr>
              <w:jc w:val="right"/>
              <w:rPr>
                <w:rFonts w:ascii="Arial" w:hAnsi="Arial" w:cs="Arial"/>
                <w:b/>
                <w:color w:val="000000"/>
                <w:lang w:val="en-GB" w:eastAsia="en-GB"/>
              </w:rPr>
            </w:pPr>
            <w:r w:rsidRPr="00836CB1">
              <w:rPr>
                <w:rFonts w:ascii="Arial" w:hAnsi="Arial" w:cs="Arial"/>
                <w:b/>
                <w:color w:val="000000"/>
                <w:lang w:val="en-GB" w:eastAsia="en-GB"/>
              </w:rPr>
              <w:t>7.5 ± 1.9</w:t>
            </w:r>
          </w:p>
        </w:tc>
        <w:tc>
          <w:tcPr>
            <w:tcW w:w="0" w:type="auto"/>
            <w:noWrap/>
            <w:vAlign w:val="center"/>
          </w:tcPr>
          <w:p w14:paraId="032255EC" w14:textId="77777777" w:rsidR="00836CB1" w:rsidRPr="00836CB1" w:rsidRDefault="00836CB1" w:rsidP="00503561">
            <w:pPr>
              <w:jc w:val="right"/>
              <w:rPr>
                <w:rFonts w:ascii="Arial" w:hAnsi="Arial" w:cs="Arial"/>
                <w:b/>
                <w:color w:val="000000"/>
                <w:lang w:val="en-GB" w:eastAsia="en-GB"/>
              </w:rPr>
            </w:pPr>
            <w:r w:rsidRPr="00836CB1">
              <w:rPr>
                <w:b/>
              </w:rPr>
              <w:t>7.0 ± 0.6</w:t>
            </w:r>
          </w:p>
        </w:tc>
        <w:tc>
          <w:tcPr>
            <w:tcW w:w="0" w:type="auto"/>
            <w:noWrap/>
            <w:vAlign w:val="center"/>
          </w:tcPr>
          <w:p w14:paraId="5746E0C0" w14:textId="77777777" w:rsidR="00836CB1" w:rsidRPr="00836CB1" w:rsidRDefault="00836CB1" w:rsidP="00503561">
            <w:pPr>
              <w:jc w:val="right"/>
              <w:rPr>
                <w:rFonts w:ascii="Arial" w:hAnsi="Arial" w:cs="Arial"/>
                <w:b/>
                <w:color w:val="000000"/>
                <w:lang w:val="en-GB" w:eastAsia="en-GB"/>
              </w:rPr>
            </w:pPr>
            <w:r w:rsidRPr="00836CB1">
              <w:rPr>
                <w:b/>
              </w:rPr>
              <w:t>6.5 ± 0.5</w:t>
            </w:r>
          </w:p>
        </w:tc>
        <w:tc>
          <w:tcPr>
            <w:tcW w:w="0" w:type="auto"/>
            <w:noWrap/>
            <w:vAlign w:val="center"/>
          </w:tcPr>
          <w:p w14:paraId="5529116C" w14:textId="77777777" w:rsidR="00836CB1" w:rsidRPr="00836CB1" w:rsidRDefault="00836CB1" w:rsidP="00503561">
            <w:pPr>
              <w:jc w:val="right"/>
              <w:rPr>
                <w:rFonts w:ascii="Arial" w:hAnsi="Arial" w:cs="Arial"/>
                <w:b/>
                <w:color w:val="000000"/>
                <w:lang w:val="en-GB" w:eastAsia="en-GB"/>
              </w:rPr>
            </w:pPr>
            <w:r w:rsidRPr="00836CB1">
              <w:rPr>
                <w:rFonts w:ascii="Arial" w:hAnsi="Arial" w:cs="Arial"/>
                <w:b/>
                <w:color w:val="000000"/>
                <w:lang w:val="en-GB" w:eastAsia="en-GB"/>
              </w:rPr>
              <w:t>6.0 ± 0.0</w:t>
            </w:r>
          </w:p>
        </w:tc>
        <w:tc>
          <w:tcPr>
            <w:tcW w:w="0" w:type="auto"/>
            <w:noWrap/>
            <w:vAlign w:val="center"/>
          </w:tcPr>
          <w:p w14:paraId="238E4DC1" w14:textId="77777777" w:rsidR="00836CB1" w:rsidRPr="00836CB1" w:rsidRDefault="00836CB1" w:rsidP="00503561">
            <w:pPr>
              <w:jc w:val="right"/>
              <w:rPr>
                <w:rFonts w:ascii="Arial" w:hAnsi="Arial" w:cs="Arial"/>
                <w:b/>
                <w:color w:val="000000"/>
                <w:lang w:val="en-GB" w:eastAsia="en-GB"/>
              </w:rPr>
            </w:pPr>
            <w:r w:rsidRPr="00836CB1">
              <w:rPr>
                <w:b/>
              </w:rPr>
              <w:t>6.8 ± 1.3</w:t>
            </w:r>
          </w:p>
        </w:tc>
        <w:tc>
          <w:tcPr>
            <w:tcW w:w="0" w:type="auto"/>
            <w:noWrap/>
            <w:vAlign w:val="center"/>
          </w:tcPr>
          <w:p w14:paraId="25499FB6" w14:textId="77777777" w:rsidR="00836CB1" w:rsidRPr="00836CB1" w:rsidRDefault="00836CB1" w:rsidP="00503561">
            <w:pPr>
              <w:jc w:val="right"/>
              <w:rPr>
                <w:rFonts w:ascii="Arial" w:hAnsi="Arial" w:cs="Arial"/>
                <w:b/>
                <w:color w:val="000000"/>
                <w:lang w:val="en-GB" w:eastAsia="en-GB"/>
              </w:rPr>
            </w:pPr>
            <w:r w:rsidRPr="00836CB1">
              <w:rPr>
                <w:b/>
              </w:rPr>
              <w:t>25.0 ± 0.0</w:t>
            </w:r>
          </w:p>
        </w:tc>
      </w:tr>
    </w:tbl>
    <w:p w14:paraId="2A0F220C" w14:textId="77777777" w:rsidR="00D13523" w:rsidRPr="00032632" w:rsidRDefault="00D13523" w:rsidP="00D13523">
      <w:pPr>
        <w:pStyle w:val="Body"/>
        <w:spacing w:after="0"/>
        <w:rPr>
          <w:rFonts w:ascii="Arial" w:hAnsi="Arial" w:cs="Arial"/>
          <w:vertAlign w:val="superscript"/>
        </w:rPr>
      </w:pPr>
      <w:r w:rsidRPr="00664F0F">
        <w:rPr>
          <w:rFonts w:ascii="Arial" w:hAnsi="Arial" w:cs="Arial"/>
          <w:vertAlign w:val="superscript"/>
        </w:rPr>
        <w:t>*</w:t>
      </w:r>
      <w:r w:rsidRPr="00032632">
        <w:rPr>
          <w:rFonts w:ascii="Arial" w:hAnsi="Arial" w:cs="Arial"/>
          <w:vertAlign w:val="superscript"/>
        </w:rPr>
        <w:t>a</w:t>
      </w:r>
      <w:r>
        <w:rPr>
          <w:rFonts w:ascii="Arial" w:hAnsi="Arial" w:cs="Arial"/>
          <w:vertAlign w:val="superscript"/>
        </w:rPr>
        <w:t>.</w:t>
      </w:r>
      <w:r w:rsidRPr="00032632">
        <w:rPr>
          <w:rFonts w:ascii="Arial" w:hAnsi="Arial" w:cs="Arial"/>
          <w:vertAlign w:val="superscript"/>
        </w:rPr>
        <w:t xml:space="preserve"> T, C, O = commercial cranberry juice brands</w:t>
      </w:r>
    </w:p>
    <w:p w14:paraId="2199F1D0" w14:textId="77777777" w:rsidR="00D13523" w:rsidRPr="00032632" w:rsidRDefault="00D13523" w:rsidP="00D13523">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29DE8F08" w14:textId="77777777" w:rsidR="00D13523" w:rsidRPr="00032632" w:rsidRDefault="00D13523" w:rsidP="00D13523">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5A21F0E8" w14:textId="77777777" w:rsidR="00D13523" w:rsidRDefault="00D13523" w:rsidP="00D13523">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GEN=</w:t>
      </w:r>
      <w:r w:rsidRPr="00D13523">
        <w:t xml:space="preserve"> </w:t>
      </w:r>
      <w:r>
        <w:rPr>
          <w:rFonts w:ascii="Arial" w:hAnsi="Arial" w:cs="Arial"/>
          <w:vertAlign w:val="superscript"/>
        </w:rPr>
        <w:t>Gentamicin (10µg, positive control)</w:t>
      </w:r>
    </w:p>
    <w:p w14:paraId="6323EDAA" w14:textId="77777777" w:rsidR="00296FBB" w:rsidRPr="00032632" w:rsidRDefault="00296FBB" w:rsidP="00296FBB">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7461767C" w14:textId="77777777" w:rsidR="00763621" w:rsidRDefault="00763621" w:rsidP="00763621">
      <w:pPr>
        <w:pStyle w:val="Body"/>
        <w:rPr>
          <w:rFonts w:ascii="Arial" w:hAnsi="Arial" w:cs="Arial"/>
          <w:sz w:val="22"/>
        </w:rPr>
      </w:pPr>
      <w:r>
        <w:rPr>
          <w:rFonts w:ascii="Arial" w:hAnsi="Arial" w:cs="Arial"/>
          <w:b/>
          <w:caps/>
          <w:sz w:val="22"/>
        </w:rPr>
        <w:t xml:space="preserve">3.2 </w:t>
      </w:r>
      <w:r>
        <w:rPr>
          <w:rFonts w:ascii="Arial" w:hAnsi="Arial" w:cs="Arial"/>
          <w:b/>
          <w:sz w:val="22"/>
        </w:rPr>
        <w:t xml:space="preserve">Antifungal Activity Against </w:t>
      </w:r>
      <w:r>
        <w:rPr>
          <w:rFonts w:ascii="Arial" w:hAnsi="Arial" w:cs="Arial"/>
          <w:b/>
          <w:i/>
          <w:sz w:val="22"/>
        </w:rPr>
        <w:t>Candida albicans</w:t>
      </w:r>
    </w:p>
    <w:p w14:paraId="5A0B6A2E" w14:textId="77777777" w:rsidR="009775DF" w:rsidRPr="009775DF" w:rsidRDefault="009775DF" w:rsidP="0040778B">
      <w:pPr>
        <w:jc w:val="both"/>
        <w:rPr>
          <w:rFonts w:ascii="Arial" w:hAnsi="Arial" w:cs="Arial"/>
        </w:rPr>
      </w:pPr>
      <w:r w:rsidRPr="009775DF">
        <w:rPr>
          <w:rFonts w:ascii="Arial" w:hAnsi="Arial" w:cs="Arial"/>
        </w:rPr>
        <w:t>Commercial cranberry juices and macerated fruit extract produced no inhibition (all 6 mm). In contrast, the aqueous cranberry extract yielded inhibition zones of 10–13 mm. The aqueous extract demonstrated the highest variability and mean inhibition (9.8 ± 3.0 mm), indicating measurable antifungal activity compared to other cranberry preparations (Table 4). Ketoconazole produced 11 mm, as referenced in Table 4, and ANOVA showed no significant difference between the aqueous extract and the antifungal agent (</w:t>
      </w:r>
      <w:proofErr w:type="gramStart"/>
      <w:r w:rsidRPr="009775DF">
        <w:rPr>
          <w:rFonts w:ascii="Arial" w:hAnsi="Arial" w:cs="Arial"/>
        </w:rPr>
        <w:t>F(</w:t>
      </w:r>
      <w:proofErr w:type="gramEnd"/>
      <w:r w:rsidRPr="009775DF">
        <w:rPr>
          <w:rFonts w:ascii="Arial" w:hAnsi="Arial" w:cs="Arial"/>
        </w:rPr>
        <w:t xml:space="preserve">1,10) = 0.87, </w:t>
      </w:r>
      <w:r w:rsidRPr="00B37507">
        <w:rPr>
          <w:rFonts w:ascii="Arial" w:hAnsi="Arial" w:cs="Arial"/>
          <w:i/>
        </w:rPr>
        <w:t>P</w:t>
      </w:r>
      <w:r w:rsidRPr="009775DF">
        <w:rPr>
          <w:rFonts w:ascii="Arial" w:hAnsi="Arial" w:cs="Arial"/>
        </w:rPr>
        <w:t xml:space="preserve"> = .370).</w:t>
      </w:r>
    </w:p>
    <w:p w14:paraId="02F55FB9" w14:textId="77777777" w:rsidR="009775DF" w:rsidRPr="009775DF" w:rsidRDefault="009775DF" w:rsidP="0040778B">
      <w:pPr>
        <w:jc w:val="both"/>
        <w:rPr>
          <w:rFonts w:ascii="Arial" w:hAnsi="Arial" w:cs="Arial"/>
        </w:rPr>
      </w:pPr>
    </w:p>
    <w:p w14:paraId="1A65FD19" w14:textId="77777777" w:rsidR="009775DF" w:rsidRDefault="009775DF" w:rsidP="0040778B">
      <w:pPr>
        <w:jc w:val="both"/>
        <w:rPr>
          <w:rFonts w:ascii="Arial" w:hAnsi="Arial" w:cs="Arial"/>
        </w:rPr>
      </w:pPr>
      <w:r w:rsidRPr="009775DF">
        <w:rPr>
          <w:rFonts w:ascii="Arial" w:hAnsi="Arial" w:cs="Arial"/>
        </w:rPr>
        <w:t>These results indicate that cranberry’s antifungal activity is extract-dependent. Water extraction likely preserves polar phenolic compounds (PACs), flavonoids, and anthocyanins, which have established anti-yeast properties. The absence of inhibition by commercial juices is likely due to dilution, sugar content, and processing-related degradation of active compounds.</w:t>
      </w:r>
    </w:p>
    <w:p w14:paraId="55AB6719" w14:textId="77777777" w:rsidR="00F723A6" w:rsidRDefault="00F723A6" w:rsidP="0040778B">
      <w:pPr>
        <w:jc w:val="both"/>
        <w:rPr>
          <w:rFonts w:ascii="Arial" w:hAnsi="Arial" w:cs="Arial"/>
        </w:rPr>
      </w:pPr>
    </w:p>
    <w:p w14:paraId="2B9F11B6" w14:textId="77777777" w:rsidR="000F41C3" w:rsidRDefault="000F41C3" w:rsidP="009775DF">
      <w:pPr>
        <w:rPr>
          <w:rStyle w:val="Strong"/>
          <w:rFonts w:ascii="Arial" w:hAnsi="Arial" w:cs="Arial"/>
          <w:i/>
        </w:rPr>
      </w:pPr>
      <w:r w:rsidRPr="00B35135">
        <w:rPr>
          <w:rFonts w:ascii="Arial" w:hAnsi="Arial" w:cs="Arial"/>
          <w:b/>
        </w:rPr>
        <w:t xml:space="preserve">Table 4. </w:t>
      </w:r>
      <w:r w:rsidRPr="00B35135">
        <w:rPr>
          <w:rFonts w:ascii="Arial" w:hAnsi="Arial" w:cs="Arial"/>
          <w:b/>
        </w:rPr>
        <w:tab/>
      </w:r>
      <w:r w:rsidR="0014213E" w:rsidRPr="00032632">
        <w:rPr>
          <w:rStyle w:val="Strong"/>
          <w:rFonts w:ascii="Arial" w:hAnsi="Arial" w:cs="Arial"/>
        </w:rPr>
        <w:t xml:space="preserve">Zone diameters (mm) of cranberry treatments against </w:t>
      </w:r>
      <w:r w:rsidR="0014213E">
        <w:rPr>
          <w:rStyle w:val="Strong"/>
          <w:rFonts w:ascii="Arial" w:hAnsi="Arial" w:cs="Arial"/>
          <w:i/>
        </w:rPr>
        <w:t>Candida albicans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B06E10" w:rsidRPr="00A11A3B" w14:paraId="15B65485" w14:textId="77777777" w:rsidTr="006A1ECC">
        <w:trPr>
          <w:trHeight w:val="330"/>
          <w:jc w:val="center"/>
        </w:trPr>
        <w:tc>
          <w:tcPr>
            <w:tcW w:w="0" w:type="auto"/>
            <w:vMerge w:val="restart"/>
            <w:vAlign w:val="bottom"/>
          </w:tcPr>
          <w:p w14:paraId="10772E9D" w14:textId="77777777" w:rsidR="00B06E10" w:rsidRPr="007A7F54" w:rsidRDefault="00B06E10" w:rsidP="00B06E10">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center"/>
            <w:hideMark/>
          </w:tcPr>
          <w:p w14:paraId="4743F90D"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Zone Diameter (mm)</w:t>
            </w:r>
          </w:p>
        </w:tc>
      </w:tr>
      <w:tr w:rsidR="00B06E10" w:rsidRPr="00A11A3B" w14:paraId="2BE05A95" w14:textId="77777777" w:rsidTr="006A1ECC">
        <w:trPr>
          <w:trHeight w:val="330"/>
          <w:jc w:val="center"/>
        </w:trPr>
        <w:tc>
          <w:tcPr>
            <w:tcW w:w="0" w:type="auto"/>
            <w:vMerge/>
          </w:tcPr>
          <w:p w14:paraId="0ED54245" w14:textId="77777777" w:rsidR="00B06E10" w:rsidRPr="007A7F54" w:rsidRDefault="00B06E10" w:rsidP="006C1A47">
            <w:pPr>
              <w:jc w:val="center"/>
              <w:rPr>
                <w:rFonts w:ascii="Arial" w:hAnsi="Arial" w:cs="Arial"/>
                <w:b/>
                <w:bCs/>
                <w:color w:val="000000"/>
                <w:lang w:val="en-GB" w:eastAsia="en-GB"/>
              </w:rPr>
            </w:pPr>
          </w:p>
        </w:tc>
        <w:tc>
          <w:tcPr>
            <w:tcW w:w="0" w:type="auto"/>
            <w:noWrap/>
            <w:vAlign w:val="center"/>
            <w:hideMark/>
          </w:tcPr>
          <w:p w14:paraId="265BFD47"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T </w:t>
            </w:r>
          </w:p>
        </w:tc>
        <w:tc>
          <w:tcPr>
            <w:tcW w:w="0" w:type="auto"/>
            <w:noWrap/>
            <w:vAlign w:val="center"/>
            <w:hideMark/>
          </w:tcPr>
          <w:p w14:paraId="321046B7"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C </w:t>
            </w:r>
          </w:p>
        </w:tc>
        <w:tc>
          <w:tcPr>
            <w:tcW w:w="0" w:type="auto"/>
            <w:noWrap/>
            <w:vAlign w:val="center"/>
            <w:hideMark/>
          </w:tcPr>
          <w:p w14:paraId="35759D9E"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O </w:t>
            </w:r>
          </w:p>
        </w:tc>
        <w:tc>
          <w:tcPr>
            <w:tcW w:w="0" w:type="auto"/>
            <w:noWrap/>
            <w:vAlign w:val="center"/>
            <w:hideMark/>
          </w:tcPr>
          <w:p w14:paraId="7C2C86A5"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Fruit</w:t>
            </w:r>
          </w:p>
        </w:tc>
        <w:tc>
          <w:tcPr>
            <w:tcW w:w="0" w:type="auto"/>
            <w:noWrap/>
            <w:vAlign w:val="center"/>
            <w:hideMark/>
          </w:tcPr>
          <w:p w14:paraId="53365663"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CW</w:t>
            </w:r>
          </w:p>
        </w:tc>
        <w:tc>
          <w:tcPr>
            <w:tcW w:w="0" w:type="auto"/>
            <w:noWrap/>
            <w:vAlign w:val="center"/>
            <w:hideMark/>
          </w:tcPr>
          <w:p w14:paraId="669CE3E9"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KETO</w:t>
            </w:r>
          </w:p>
        </w:tc>
      </w:tr>
      <w:tr w:rsidR="00B06E10" w:rsidRPr="00A11A3B" w14:paraId="68F55381" w14:textId="77777777" w:rsidTr="006A1ECC">
        <w:trPr>
          <w:trHeight w:val="330"/>
          <w:jc w:val="center"/>
        </w:trPr>
        <w:tc>
          <w:tcPr>
            <w:tcW w:w="0" w:type="auto"/>
          </w:tcPr>
          <w:p w14:paraId="58FFC00C"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center"/>
            <w:hideMark/>
          </w:tcPr>
          <w:p w14:paraId="667775DB"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FF1492C"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690E51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FB08CF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31D177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E19A5AA"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48B8BC01" w14:textId="77777777" w:rsidTr="006A1ECC">
        <w:trPr>
          <w:trHeight w:val="330"/>
          <w:jc w:val="center"/>
        </w:trPr>
        <w:tc>
          <w:tcPr>
            <w:tcW w:w="0" w:type="auto"/>
          </w:tcPr>
          <w:p w14:paraId="269179AB"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center"/>
            <w:hideMark/>
          </w:tcPr>
          <w:p w14:paraId="35F56DF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38946B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46AE97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48A83C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0EDEFBE"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4312F11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108A16DC" w14:textId="77777777" w:rsidTr="006A1ECC">
        <w:trPr>
          <w:trHeight w:val="330"/>
          <w:jc w:val="center"/>
        </w:trPr>
        <w:tc>
          <w:tcPr>
            <w:tcW w:w="0" w:type="auto"/>
          </w:tcPr>
          <w:p w14:paraId="721148D4"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center"/>
            <w:hideMark/>
          </w:tcPr>
          <w:p w14:paraId="1C23DE62"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71728B3"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E811F5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A9CFF6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4003E8E"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13</w:t>
            </w:r>
          </w:p>
        </w:tc>
        <w:tc>
          <w:tcPr>
            <w:tcW w:w="0" w:type="auto"/>
            <w:noWrap/>
            <w:vAlign w:val="center"/>
            <w:hideMark/>
          </w:tcPr>
          <w:p w14:paraId="486CC9E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1E541D63" w14:textId="77777777" w:rsidTr="006A1ECC">
        <w:trPr>
          <w:trHeight w:val="330"/>
          <w:jc w:val="center"/>
        </w:trPr>
        <w:tc>
          <w:tcPr>
            <w:tcW w:w="0" w:type="auto"/>
          </w:tcPr>
          <w:p w14:paraId="1C9BA009"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center"/>
            <w:hideMark/>
          </w:tcPr>
          <w:p w14:paraId="19572FE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0D527A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C5E113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FC87BD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944052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1859FE7"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2FC987AF" w14:textId="77777777" w:rsidTr="006A1ECC">
        <w:trPr>
          <w:trHeight w:val="330"/>
          <w:jc w:val="center"/>
        </w:trPr>
        <w:tc>
          <w:tcPr>
            <w:tcW w:w="0" w:type="auto"/>
          </w:tcPr>
          <w:p w14:paraId="1BF828D9"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center"/>
            <w:hideMark/>
          </w:tcPr>
          <w:p w14:paraId="1A43C40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4C521E8"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9B28C70"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1C25F4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8CE28A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57FA1376"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2706FC90" w14:textId="77777777" w:rsidTr="006A1ECC">
        <w:trPr>
          <w:trHeight w:val="330"/>
          <w:jc w:val="center"/>
        </w:trPr>
        <w:tc>
          <w:tcPr>
            <w:tcW w:w="0" w:type="auto"/>
          </w:tcPr>
          <w:p w14:paraId="61671B0A"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center"/>
            <w:hideMark/>
          </w:tcPr>
          <w:p w14:paraId="4B854000"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1F5130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1E78A8C"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ABAEDA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3B325A"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12</w:t>
            </w:r>
          </w:p>
        </w:tc>
        <w:tc>
          <w:tcPr>
            <w:tcW w:w="0" w:type="auto"/>
            <w:noWrap/>
            <w:vAlign w:val="center"/>
            <w:hideMark/>
          </w:tcPr>
          <w:p w14:paraId="1A0759A6"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6A1ECC" w:rsidRPr="00A11A3B" w14:paraId="1320E4D6" w14:textId="77777777" w:rsidTr="006A1ECC">
        <w:trPr>
          <w:trHeight w:val="330"/>
          <w:jc w:val="center"/>
        </w:trPr>
        <w:tc>
          <w:tcPr>
            <w:tcW w:w="0" w:type="auto"/>
          </w:tcPr>
          <w:p w14:paraId="5213F02F" w14:textId="77777777" w:rsidR="006A1ECC" w:rsidRPr="006A1ECC" w:rsidRDefault="006A1ECC" w:rsidP="006C1A47">
            <w:pPr>
              <w:jc w:val="right"/>
              <w:rPr>
                <w:rFonts w:ascii="Arial" w:hAnsi="Arial" w:cs="Arial"/>
                <w:b/>
                <w:color w:val="000000"/>
                <w:lang w:val="en-GB" w:eastAsia="en-GB"/>
              </w:rPr>
            </w:pPr>
            <w:r w:rsidRPr="006A1ECC">
              <w:rPr>
                <w:rFonts w:ascii="Arial" w:hAnsi="Arial" w:cs="Arial"/>
                <w:b/>
                <w:color w:val="000000"/>
                <w:lang w:val="en-GB" w:eastAsia="en-GB"/>
              </w:rPr>
              <w:t>Mean ± SD</w:t>
            </w:r>
          </w:p>
        </w:tc>
        <w:tc>
          <w:tcPr>
            <w:tcW w:w="0" w:type="auto"/>
            <w:noWrap/>
            <w:vAlign w:val="center"/>
          </w:tcPr>
          <w:p w14:paraId="61F22D0A"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22B6BD0A"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577EEB65"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3B195576"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55F06C8D" w14:textId="77777777" w:rsidR="006A1ECC" w:rsidRPr="006A1ECC" w:rsidRDefault="006A1ECC" w:rsidP="00503561">
            <w:pPr>
              <w:jc w:val="right"/>
              <w:rPr>
                <w:rFonts w:ascii="Arial" w:hAnsi="Arial" w:cs="Arial"/>
                <w:b/>
                <w:color w:val="000000"/>
                <w:lang w:val="en-GB" w:eastAsia="en-GB"/>
              </w:rPr>
            </w:pPr>
            <w:r w:rsidRPr="006A1ECC">
              <w:rPr>
                <w:b/>
              </w:rPr>
              <w:t>9.8 ± 3.0</w:t>
            </w:r>
          </w:p>
        </w:tc>
        <w:tc>
          <w:tcPr>
            <w:tcW w:w="0" w:type="auto"/>
            <w:noWrap/>
            <w:vAlign w:val="center"/>
          </w:tcPr>
          <w:p w14:paraId="03815184" w14:textId="77777777" w:rsidR="006A1ECC" w:rsidRPr="006A1ECC" w:rsidRDefault="006A1ECC" w:rsidP="00503561">
            <w:pPr>
              <w:jc w:val="right"/>
              <w:rPr>
                <w:rFonts w:ascii="Arial" w:hAnsi="Arial" w:cs="Arial"/>
                <w:b/>
                <w:color w:val="000000"/>
                <w:lang w:val="en-GB" w:eastAsia="en-GB"/>
              </w:rPr>
            </w:pPr>
            <w:r w:rsidRPr="006A1ECC">
              <w:rPr>
                <w:rFonts w:ascii="Arial" w:hAnsi="Arial" w:cs="Arial"/>
                <w:b/>
                <w:color w:val="000000"/>
                <w:lang w:val="en-GB" w:eastAsia="en-GB"/>
              </w:rPr>
              <w:t>11.0 ± 0.0</w:t>
            </w:r>
          </w:p>
        </w:tc>
      </w:tr>
    </w:tbl>
    <w:p w14:paraId="6FF79BD6" w14:textId="77777777" w:rsidR="009C446C" w:rsidRPr="00032632" w:rsidRDefault="009C446C" w:rsidP="009C446C">
      <w:pPr>
        <w:pStyle w:val="Body"/>
        <w:spacing w:after="0"/>
        <w:rPr>
          <w:rFonts w:ascii="Arial" w:hAnsi="Arial" w:cs="Arial"/>
          <w:vertAlign w:val="superscript"/>
        </w:rPr>
      </w:pPr>
      <w:r w:rsidRPr="00664F0F">
        <w:rPr>
          <w:rFonts w:ascii="Arial" w:hAnsi="Arial" w:cs="Arial"/>
          <w:vertAlign w:val="superscript"/>
        </w:rPr>
        <w:t>*</w:t>
      </w:r>
      <w:r w:rsidRPr="00032632">
        <w:rPr>
          <w:rFonts w:ascii="Arial" w:hAnsi="Arial" w:cs="Arial"/>
          <w:vertAlign w:val="superscript"/>
        </w:rPr>
        <w:t>a</w:t>
      </w:r>
      <w:r>
        <w:rPr>
          <w:rFonts w:ascii="Arial" w:hAnsi="Arial" w:cs="Arial"/>
          <w:vertAlign w:val="superscript"/>
        </w:rPr>
        <w:t>.</w:t>
      </w:r>
      <w:r w:rsidRPr="00032632">
        <w:rPr>
          <w:rFonts w:ascii="Arial" w:hAnsi="Arial" w:cs="Arial"/>
          <w:vertAlign w:val="superscript"/>
        </w:rPr>
        <w:t xml:space="preserve"> T, C, O = commercial cranberry juice brands</w:t>
      </w:r>
    </w:p>
    <w:p w14:paraId="0922667E" w14:textId="77777777" w:rsidR="009C446C" w:rsidRPr="00032632" w:rsidRDefault="009C446C" w:rsidP="009C446C">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07C2AC18" w14:textId="77777777" w:rsidR="009C446C" w:rsidRPr="00032632" w:rsidRDefault="009C446C" w:rsidP="009C446C">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5250D0A9" w14:textId="77777777" w:rsidR="009C446C" w:rsidRDefault="009C446C" w:rsidP="009C446C">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KETO=</w:t>
      </w:r>
      <w:r w:rsidRPr="00D13523">
        <w:t xml:space="preserve"> </w:t>
      </w:r>
      <w:r>
        <w:rPr>
          <w:rFonts w:ascii="Arial" w:hAnsi="Arial" w:cs="Arial"/>
          <w:vertAlign w:val="superscript"/>
        </w:rPr>
        <w:t>Ketoconazole (1%, positive control)</w:t>
      </w:r>
    </w:p>
    <w:p w14:paraId="0161C93A" w14:textId="77777777" w:rsidR="00243873" w:rsidRPr="00032632" w:rsidRDefault="00243873" w:rsidP="00243873">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1F7163C7" w14:textId="77777777" w:rsidR="002F6E9F" w:rsidRPr="002F6E9F" w:rsidRDefault="002F6E9F" w:rsidP="002F6E9F">
      <w:pPr>
        <w:pStyle w:val="Body"/>
        <w:rPr>
          <w:rFonts w:ascii="Arial" w:hAnsi="Arial" w:cs="Arial"/>
        </w:rPr>
      </w:pPr>
      <w:r w:rsidRPr="002F6E9F">
        <w:rPr>
          <w:rFonts w:ascii="Arial" w:hAnsi="Arial" w:cs="Arial"/>
        </w:rPr>
        <w:t xml:space="preserve">This study demonstrates that cranberry preparations exhibit </w:t>
      </w:r>
      <w:r w:rsidRPr="00371968">
        <w:rPr>
          <w:rFonts w:ascii="Arial" w:hAnsi="Arial" w:cs="Arial"/>
        </w:rPr>
        <w:t>selective antimicrobial activity</w:t>
      </w:r>
      <w:r w:rsidRPr="002F6E9F">
        <w:rPr>
          <w:rFonts w:ascii="Arial" w:hAnsi="Arial" w:cs="Arial"/>
          <w:b/>
        </w:rPr>
        <w:t xml:space="preserve"> </w:t>
      </w:r>
      <w:r w:rsidRPr="002F6E9F">
        <w:rPr>
          <w:rFonts w:ascii="Arial" w:hAnsi="Arial" w:cs="Arial"/>
        </w:rPr>
        <w:t xml:space="preserve">depending on the organism tested and extraction method used. Cranberry preparations produced no </w:t>
      </w:r>
      <w:r w:rsidR="006B2B6B">
        <w:rPr>
          <w:rFonts w:ascii="Arial" w:hAnsi="Arial" w:cs="Arial"/>
        </w:rPr>
        <w:t>antibacterial activity against</w:t>
      </w:r>
      <w:r w:rsidRPr="002F6E9F">
        <w:rPr>
          <w:rFonts w:ascii="Arial" w:hAnsi="Arial" w:cs="Arial"/>
        </w:rPr>
        <w:t xml:space="preserve"> </w:t>
      </w:r>
      <w:r w:rsidRPr="002F6E9F">
        <w:rPr>
          <w:rFonts w:ascii="Arial" w:hAnsi="Arial" w:cs="Arial"/>
          <w:i/>
        </w:rPr>
        <w:t>E. coli</w:t>
      </w:r>
      <w:r w:rsidRPr="002F6E9F">
        <w:rPr>
          <w:rFonts w:ascii="Arial" w:hAnsi="Arial" w:cs="Arial"/>
        </w:rPr>
        <w:t xml:space="preserve">, mild antibacterial effects against </w:t>
      </w:r>
      <w:r w:rsidRPr="002F6E9F">
        <w:rPr>
          <w:rFonts w:ascii="Arial" w:hAnsi="Arial" w:cs="Arial"/>
          <w:i/>
        </w:rPr>
        <w:t>S. aureus</w:t>
      </w:r>
      <w:r w:rsidRPr="002F6E9F">
        <w:rPr>
          <w:rFonts w:ascii="Arial" w:hAnsi="Arial" w:cs="Arial"/>
        </w:rPr>
        <w:t xml:space="preserve"> and </w:t>
      </w:r>
      <w:r w:rsidRPr="002F6E9F">
        <w:rPr>
          <w:rFonts w:ascii="Arial" w:hAnsi="Arial" w:cs="Arial"/>
          <w:i/>
        </w:rPr>
        <w:t>P. mirabilis</w:t>
      </w:r>
      <w:r w:rsidRPr="002F6E9F">
        <w:rPr>
          <w:rFonts w:ascii="Arial" w:hAnsi="Arial" w:cs="Arial"/>
        </w:rPr>
        <w:t xml:space="preserve">, and notable antifungal activity against </w:t>
      </w:r>
      <w:r w:rsidRPr="00CA0D59">
        <w:rPr>
          <w:rFonts w:ascii="Arial" w:hAnsi="Arial" w:cs="Arial"/>
          <w:i/>
        </w:rPr>
        <w:t>C. albicans</w:t>
      </w:r>
      <w:r w:rsidRPr="002F6E9F">
        <w:rPr>
          <w:rFonts w:ascii="Arial" w:hAnsi="Arial" w:cs="Arial"/>
        </w:rPr>
        <w:t xml:space="preserve"> when extracted with water.</w:t>
      </w:r>
    </w:p>
    <w:p w14:paraId="5C0D9B7D" w14:textId="77777777" w:rsidR="00662FFA" w:rsidRDefault="00E751B6" w:rsidP="002F6E9F">
      <w:pPr>
        <w:pStyle w:val="Body"/>
      </w:pPr>
      <w:r>
        <w:t xml:space="preserve">The lack of response by </w:t>
      </w:r>
      <w:r>
        <w:rPr>
          <w:rStyle w:val="Emphasis"/>
        </w:rPr>
        <w:t>E. coli</w:t>
      </w:r>
      <w:r>
        <w:t xml:space="preserve"> may be attributed to the structural characteristics of Gram-negative bacteria, whose outer membrane limits the diffusion of many antimicrobial compounds, including plant-derived phenolics (Nikaido, 2003). </w:t>
      </w:r>
    </w:p>
    <w:p w14:paraId="1112F9B8" w14:textId="77777777" w:rsidR="00E751B6" w:rsidRDefault="00E751B6" w:rsidP="002F6E9F">
      <w:pPr>
        <w:pStyle w:val="Body"/>
      </w:pPr>
      <w:r>
        <w:lastRenderedPageBreak/>
        <w:t xml:space="preserve">In contrast, Gram-positive bacteria such as </w:t>
      </w:r>
      <w:r>
        <w:rPr>
          <w:rStyle w:val="Emphasis"/>
        </w:rPr>
        <w:t>S. aureus</w:t>
      </w:r>
      <w:r>
        <w:t xml:space="preserve"> possess a more permeable peptidoglycan cell wall, which may allow greater interaction with cranberry phytochemicals including proanthocyanidins and organic acids (Cushnie &amp; Lamb, 2005).</w:t>
      </w:r>
    </w:p>
    <w:p w14:paraId="2002C7D6" w14:textId="77777777" w:rsidR="002F6E9F" w:rsidRPr="002F6E9F" w:rsidRDefault="002F6E9F" w:rsidP="002F6E9F">
      <w:pPr>
        <w:pStyle w:val="Body"/>
        <w:rPr>
          <w:rFonts w:ascii="Arial" w:hAnsi="Arial" w:cs="Arial"/>
        </w:rPr>
      </w:pPr>
      <w:r w:rsidRPr="002F6E9F">
        <w:rPr>
          <w:rFonts w:ascii="Arial" w:hAnsi="Arial" w:cs="Arial"/>
        </w:rPr>
        <w:t xml:space="preserve">The most significant finding is the comparative activity of the aqueous extract </w:t>
      </w:r>
      <w:r w:rsidRPr="00F8101A">
        <w:rPr>
          <w:rFonts w:ascii="Arial" w:hAnsi="Arial" w:cs="Arial"/>
          <w:i/>
        </w:rPr>
        <w:t>against C. albicans</w:t>
      </w:r>
      <w:r w:rsidRPr="002F6E9F">
        <w:rPr>
          <w:rFonts w:ascii="Arial" w:hAnsi="Arial" w:cs="Arial"/>
        </w:rPr>
        <w:t>, which clos</w:t>
      </w:r>
      <w:r w:rsidR="007846DF">
        <w:rPr>
          <w:rFonts w:ascii="Arial" w:hAnsi="Arial" w:cs="Arial"/>
        </w:rPr>
        <w:t>ely matched the performance of K</w:t>
      </w:r>
      <w:r w:rsidRPr="002F6E9F">
        <w:rPr>
          <w:rFonts w:ascii="Arial" w:hAnsi="Arial" w:cs="Arial"/>
        </w:rPr>
        <w:t>etoconazole. This highlights the potential of cranberry-derived compounds as complementary antifungal agents, particularly when extracted in water rather than commercial juice matrices.</w:t>
      </w:r>
    </w:p>
    <w:p w14:paraId="25B914DE" w14:textId="77777777" w:rsidR="00502516" w:rsidRDefault="004F1E91" w:rsidP="00B35135">
      <w:pPr>
        <w:pStyle w:val="Body"/>
        <w:spacing w:after="0"/>
      </w:pPr>
      <w:r>
        <w:t>Overall, cranberry preparations exhibited limited antibacterial activity but notable antifungal potential, with efficacy strongly influenced by extraction method and concentration.</w:t>
      </w:r>
    </w:p>
    <w:p w14:paraId="48623DFF" w14:textId="77777777" w:rsidR="004F1E91" w:rsidRDefault="004F1E91" w:rsidP="00B35135">
      <w:pPr>
        <w:pStyle w:val="Body"/>
        <w:spacing w:after="0"/>
        <w:rPr>
          <w:rFonts w:ascii="Arial" w:hAnsi="Arial" w:cs="Arial"/>
        </w:rPr>
      </w:pPr>
      <w:bookmarkStart w:id="0" w:name="_GoBack"/>
      <w:bookmarkEnd w:id="0"/>
    </w:p>
    <w:p w14:paraId="7BF146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19B943" w14:textId="77777777" w:rsidR="00790ADA" w:rsidRPr="00FB3A86" w:rsidRDefault="00790ADA" w:rsidP="00441B6F">
      <w:pPr>
        <w:pStyle w:val="ConcHead"/>
        <w:spacing w:after="0"/>
        <w:jc w:val="both"/>
        <w:rPr>
          <w:rFonts w:ascii="Arial" w:hAnsi="Arial" w:cs="Arial"/>
        </w:rPr>
      </w:pPr>
    </w:p>
    <w:p w14:paraId="5FE53D71" w14:textId="77777777" w:rsidR="00C54CB2" w:rsidRPr="00C54CB2" w:rsidRDefault="00C54CB2" w:rsidP="00C54CB2">
      <w:pPr>
        <w:pStyle w:val="Body"/>
        <w:rPr>
          <w:rFonts w:ascii="Arial" w:hAnsi="Arial" w:cs="Arial"/>
        </w:rPr>
      </w:pPr>
      <w:r w:rsidRPr="00C54CB2">
        <w:rPr>
          <w:rFonts w:ascii="Arial" w:hAnsi="Arial" w:cs="Arial"/>
        </w:rPr>
        <w:t xml:space="preserve">Cranberry preparations demonstrated selective antimicrobial activity, with limited antibacterial effects but notable antifungal potential. While ineffective against </w:t>
      </w:r>
      <w:r w:rsidRPr="00C54CB2">
        <w:rPr>
          <w:rFonts w:ascii="Arial" w:hAnsi="Arial" w:cs="Arial"/>
          <w:i/>
        </w:rPr>
        <w:t>Escherichia coli</w:t>
      </w:r>
      <w:r w:rsidRPr="00C54CB2">
        <w:rPr>
          <w:rFonts w:ascii="Arial" w:hAnsi="Arial" w:cs="Arial"/>
        </w:rPr>
        <w:t xml:space="preserve">, cranberry treatments showed mild inhibition of </w:t>
      </w:r>
      <w:r w:rsidRPr="00C54CB2">
        <w:rPr>
          <w:rFonts w:ascii="Arial" w:hAnsi="Arial" w:cs="Arial"/>
          <w:i/>
        </w:rPr>
        <w:t>Staphylococcus aureus</w:t>
      </w:r>
      <w:r w:rsidRPr="00C54CB2">
        <w:rPr>
          <w:rFonts w:ascii="Arial" w:hAnsi="Arial" w:cs="Arial"/>
        </w:rPr>
        <w:t xml:space="preserve"> and </w:t>
      </w:r>
      <w:r w:rsidRPr="00C54CB2">
        <w:rPr>
          <w:rFonts w:ascii="Arial" w:hAnsi="Arial" w:cs="Arial"/>
          <w:i/>
        </w:rPr>
        <w:t>Proteus mirabilis</w:t>
      </w:r>
      <w:r w:rsidRPr="00C54CB2">
        <w:rPr>
          <w:rFonts w:ascii="Arial" w:hAnsi="Arial" w:cs="Arial"/>
        </w:rPr>
        <w:t xml:space="preserve">. The aqueous extract exhibited antifungal activity against </w:t>
      </w:r>
      <w:r w:rsidRPr="00C54CB2">
        <w:rPr>
          <w:rFonts w:ascii="Arial" w:hAnsi="Arial" w:cs="Arial"/>
          <w:i/>
        </w:rPr>
        <w:t>Candida albicans</w:t>
      </w:r>
      <w:r w:rsidRPr="00C54CB2">
        <w:rPr>
          <w:rFonts w:ascii="Arial" w:hAnsi="Arial" w:cs="Arial"/>
        </w:rPr>
        <w:t xml:space="preserve"> comparable to ketoconazole, highlighting the importance of extraction method in preserving bioactive compounds.</w:t>
      </w:r>
    </w:p>
    <w:p w14:paraId="78730CDC" w14:textId="77777777" w:rsidR="00C54CB2" w:rsidRDefault="00C54CB2" w:rsidP="00C54CB2">
      <w:pPr>
        <w:pStyle w:val="Body"/>
        <w:spacing w:after="0"/>
        <w:rPr>
          <w:rFonts w:ascii="Arial" w:hAnsi="Arial" w:cs="Arial"/>
        </w:rPr>
      </w:pPr>
      <w:r w:rsidRPr="00C54CB2">
        <w:rPr>
          <w:rFonts w:ascii="Arial" w:hAnsi="Arial" w:cs="Arial"/>
        </w:rPr>
        <w:t>These findings suggest that cranberry may serve as a complementary antimicrobial agent, particularly in antifungal applications, though its antibacterial efficacy remains limited. Further studies incorporating phytochemical quantification and advanced antimicrobial assays are necessary to validate and optimize its therapeutic use.</w:t>
      </w:r>
    </w:p>
    <w:p w14:paraId="70C15AF1" w14:textId="77777777" w:rsidR="00790ADA" w:rsidRPr="00FB3A86" w:rsidRDefault="00790ADA" w:rsidP="00441B6F">
      <w:pPr>
        <w:pStyle w:val="Body"/>
        <w:spacing w:after="0"/>
        <w:rPr>
          <w:rFonts w:ascii="Arial" w:hAnsi="Arial" w:cs="Arial"/>
        </w:rPr>
      </w:pPr>
    </w:p>
    <w:p w14:paraId="1D636774" w14:textId="2C3D507B" w:rsidR="00315186" w:rsidRPr="00315186" w:rsidRDefault="00315186" w:rsidP="00643FD4">
      <w:pPr>
        <w:jc w:val="both"/>
      </w:pPr>
    </w:p>
    <w:p w14:paraId="0984912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C2427D" w14:textId="77777777" w:rsidR="00860000" w:rsidRPr="00786D36" w:rsidRDefault="00860000" w:rsidP="00441B6F">
      <w:pPr>
        <w:pStyle w:val="ReferHead"/>
        <w:spacing w:after="0"/>
        <w:jc w:val="both"/>
        <w:rPr>
          <w:rFonts w:ascii="Arial" w:hAnsi="Arial" w:cs="Arial"/>
        </w:rPr>
      </w:pPr>
    </w:p>
    <w:p w14:paraId="607D98C3" w14:textId="77777777" w:rsidR="00860000" w:rsidRPr="00DE2C25" w:rsidRDefault="00E66E10" w:rsidP="00441B6F">
      <w:pPr>
        <w:pStyle w:val="ReferHead"/>
        <w:spacing w:after="0"/>
        <w:jc w:val="both"/>
        <w:rPr>
          <w:rFonts w:ascii="Arial" w:hAnsi="Arial" w:cs="Arial"/>
          <w:b w:val="0"/>
          <w:caps w:val="0"/>
          <w:sz w:val="20"/>
        </w:rPr>
      </w:pPr>
      <w:r w:rsidRPr="00DE2C25">
        <w:rPr>
          <w:rFonts w:ascii="Arial" w:hAnsi="Arial" w:cs="Arial"/>
          <w:b w:val="0"/>
          <w:caps w:val="0"/>
          <w:sz w:val="20"/>
        </w:rPr>
        <w:t>Authors have declared that no competing interes</w:t>
      </w:r>
      <w:r w:rsidR="00DE2C25">
        <w:rPr>
          <w:rFonts w:ascii="Arial" w:hAnsi="Arial" w:cs="Arial"/>
          <w:b w:val="0"/>
          <w:caps w:val="0"/>
          <w:sz w:val="20"/>
        </w:rPr>
        <w:t>ts exist.</w:t>
      </w:r>
    </w:p>
    <w:p w14:paraId="4D5A6B7F" w14:textId="77777777" w:rsidR="00371FB6" w:rsidRDefault="00371FB6" w:rsidP="00441B6F">
      <w:pPr>
        <w:pStyle w:val="ReferHead"/>
        <w:spacing w:after="0"/>
        <w:jc w:val="both"/>
        <w:rPr>
          <w:rFonts w:ascii="Arial" w:hAnsi="Arial" w:cs="Arial"/>
          <w:b w:val="0"/>
          <w:caps w:val="0"/>
          <w:sz w:val="20"/>
        </w:rPr>
      </w:pPr>
    </w:p>
    <w:p w14:paraId="1805591D" w14:textId="2594946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03876E4" w14:textId="77777777" w:rsidR="002B685A" w:rsidRPr="002B685A" w:rsidRDefault="002B685A" w:rsidP="00441B6F">
      <w:pPr>
        <w:pStyle w:val="ReferHead"/>
        <w:spacing w:after="0"/>
        <w:jc w:val="both"/>
        <w:rPr>
          <w:rFonts w:ascii="Arial" w:hAnsi="Arial" w:cs="Arial"/>
          <w:bCs/>
        </w:rPr>
      </w:pPr>
    </w:p>
    <w:p w14:paraId="3135DC00" w14:textId="77777777" w:rsidR="001A29D8" w:rsidRPr="00F469F0" w:rsidRDefault="001B238B" w:rsidP="00441B6F">
      <w:pPr>
        <w:pStyle w:val="ReferHead"/>
        <w:spacing w:after="0"/>
        <w:jc w:val="both"/>
        <w:rPr>
          <w:rFonts w:ascii="Arial" w:hAnsi="Arial" w:cs="Arial"/>
          <w:b w:val="0"/>
          <w:caps w:val="0"/>
          <w:sz w:val="20"/>
          <w:u w:val="single"/>
        </w:rPr>
      </w:pPr>
      <w:r>
        <w:rPr>
          <w:rFonts w:ascii="Arial" w:hAnsi="Arial" w:cs="Arial"/>
          <w:b w:val="0"/>
          <w:caps w:val="0"/>
          <w:sz w:val="20"/>
        </w:rPr>
        <w:t>This is not applicable to the scope of this research.</w:t>
      </w:r>
    </w:p>
    <w:p w14:paraId="7A45B74D" w14:textId="77777777" w:rsidR="001A29D8" w:rsidRDefault="001A29D8" w:rsidP="00441B6F">
      <w:pPr>
        <w:pStyle w:val="ReferHead"/>
        <w:spacing w:after="0"/>
        <w:jc w:val="both"/>
        <w:rPr>
          <w:rFonts w:ascii="Arial" w:hAnsi="Arial" w:cs="Arial"/>
          <w:b w:val="0"/>
          <w:caps w:val="0"/>
          <w:sz w:val="20"/>
        </w:rPr>
      </w:pPr>
    </w:p>
    <w:p w14:paraId="5F95F3DD" w14:textId="77777777" w:rsidR="005C784C" w:rsidRDefault="005C784C" w:rsidP="00441B6F">
      <w:pPr>
        <w:pStyle w:val="ReferHead"/>
        <w:spacing w:after="0"/>
        <w:jc w:val="both"/>
        <w:rPr>
          <w:rFonts w:ascii="Arial" w:hAnsi="Arial" w:cs="Arial"/>
          <w:b w:val="0"/>
          <w:caps w:val="0"/>
          <w:sz w:val="20"/>
        </w:rPr>
      </w:pPr>
    </w:p>
    <w:p w14:paraId="16B95EE6" w14:textId="393AA8EC"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07A4976" w14:textId="77777777" w:rsidR="005C784C" w:rsidRPr="002B685A" w:rsidRDefault="005C784C" w:rsidP="00441B6F">
      <w:pPr>
        <w:pStyle w:val="ReferHead"/>
        <w:spacing w:after="0"/>
        <w:jc w:val="both"/>
        <w:rPr>
          <w:rFonts w:ascii="Arial" w:hAnsi="Arial" w:cs="Arial"/>
          <w:bCs/>
        </w:rPr>
      </w:pPr>
    </w:p>
    <w:p w14:paraId="4E611EA4" w14:textId="77777777" w:rsidR="001B238B" w:rsidRPr="00F469F0" w:rsidRDefault="001B238B" w:rsidP="001B238B">
      <w:pPr>
        <w:pStyle w:val="ReferHead"/>
        <w:spacing w:after="0"/>
        <w:jc w:val="both"/>
        <w:rPr>
          <w:rFonts w:ascii="Arial" w:hAnsi="Arial" w:cs="Arial"/>
          <w:b w:val="0"/>
          <w:caps w:val="0"/>
          <w:sz w:val="20"/>
          <w:u w:val="single"/>
        </w:rPr>
      </w:pPr>
      <w:r>
        <w:rPr>
          <w:rFonts w:ascii="Arial" w:hAnsi="Arial" w:cs="Arial"/>
          <w:b w:val="0"/>
          <w:caps w:val="0"/>
          <w:sz w:val="20"/>
        </w:rPr>
        <w:t>This is not applicable to the scope of this research.</w:t>
      </w:r>
    </w:p>
    <w:p w14:paraId="7EE14D32" w14:textId="77777777" w:rsidR="00860000" w:rsidRDefault="00860000" w:rsidP="00441B6F">
      <w:pPr>
        <w:pStyle w:val="ReferHead"/>
        <w:spacing w:after="0"/>
        <w:jc w:val="both"/>
        <w:rPr>
          <w:rFonts w:ascii="Arial" w:hAnsi="Arial" w:cs="Arial"/>
        </w:rPr>
      </w:pPr>
    </w:p>
    <w:p w14:paraId="245B6C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55B609" w14:textId="77777777" w:rsidR="00790ADA" w:rsidRPr="00FB3A86" w:rsidRDefault="00790ADA" w:rsidP="00441B6F">
      <w:pPr>
        <w:pStyle w:val="ReferHead"/>
        <w:spacing w:after="0"/>
        <w:jc w:val="both"/>
        <w:rPr>
          <w:rFonts w:ascii="Arial" w:hAnsi="Arial" w:cs="Arial"/>
        </w:rPr>
      </w:pPr>
    </w:p>
    <w:p w14:paraId="0D3553BC" w14:textId="77777777" w:rsidR="00C63D86" w:rsidRDefault="00C63D86" w:rsidP="00C63D86">
      <w:pPr>
        <w:pStyle w:val="Body"/>
      </w:pPr>
      <w:r>
        <w:t xml:space="preserve">Flores-Mireles, A. L., Walker, J. N., </w:t>
      </w:r>
      <w:proofErr w:type="spellStart"/>
      <w:r>
        <w:t>Caparon</w:t>
      </w:r>
      <w:proofErr w:type="spellEnd"/>
      <w:r>
        <w:t xml:space="preserve">, M. G., &amp; Hultgren, S. J. (2015). Urinary tract infections: epidemiology, mechanisms of infection and treatment options. Nature Reviews Microbiology, 13(5), 269–284. </w:t>
      </w:r>
      <w:hyperlink r:id="rId14" w:history="1">
        <w:r w:rsidRPr="00D612CB">
          <w:rPr>
            <w:rStyle w:val="Hyperlink"/>
          </w:rPr>
          <w:t>https://doi.org/10.1038/nrmicro3432</w:t>
        </w:r>
      </w:hyperlink>
      <w:r>
        <w:t xml:space="preserve">  </w:t>
      </w:r>
    </w:p>
    <w:p w14:paraId="51DA0C51" w14:textId="77777777" w:rsidR="00C63D86" w:rsidRDefault="00C63D86" w:rsidP="00C63D86">
      <w:pPr>
        <w:pStyle w:val="Body"/>
      </w:pPr>
      <w:r>
        <w:t xml:space="preserve">Cleveland Clinic. 2023. Urinary Tract Infections. my.clevelandclinic.org. </w:t>
      </w:r>
      <w:hyperlink r:id="rId15" w:history="1">
        <w:r w:rsidRPr="00D612CB">
          <w:rPr>
            <w:rStyle w:val="Hyperlink"/>
          </w:rPr>
          <w:t>https://my.clevelandclinic.org/health/diseases/9135-urinary-tract-infections</w:t>
        </w:r>
      </w:hyperlink>
      <w:r>
        <w:t xml:space="preserve">  </w:t>
      </w:r>
    </w:p>
    <w:p w14:paraId="35176208" w14:textId="77777777" w:rsidR="00C63D86" w:rsidRDefault="00C63D86" w:rsidP="00C63D86">
      <w:pPr>
        <w:pStyle w:val="Body"/>
      </w:pPr>
      <w:r>
        <w:t xml:space="preserve">Malani, A. N., &amp; Kauffman, C. A. (2007). </w:t>
      </w:r>
      <w:proofErr w:type="spellStart"/>
      <w:r>
        <w:t>Candidaurinary</w:t>
      </w:r>
      <w:proofErr w:type="spellEnd"/>
      <w:r>
        <w:t xml:space="preserve"> tract infections: treatment options. Expert Review of Anti-infective Therapy, 5(2), 277–284. </w:t>
      </w:r>
      <w:hyperlink r:id="rId16" w:history="1">
        <w:r w:rsidRPr="00D612CB">
          <w:rPr>
            <w:rStyle w:val="Hyperlink"/>
          </w:rPr>
          <w:t>https://doi.org/10.1586/14787210.5.2.277</w:t>
        </w:r>
      </w:hyperlink>
      <w:r>
        <w:t xml:space="preserve">  </w:t>
      </w:r>
    </w:p>
    <w:p w14:paraId="5D18A83E" w14:textId="77777777" w:rsidR="00C63D86" w:rsidRDefault="00C63D86" w:rsidP="00C63D86">
      <w:pPr>
        <w:pStyle w:val="Body"/>
      </w:pPr>
      <w:r>
        <w:t xml:space="preserve">Jensen, H. T., Struve, C., Christensen, S. B., &amp; Krogfelt, K. A. (2017). Cranberry juice and combinations of its organic acids are effective against experimental urinary tract infection. Frontiers in Microbiology, 8. </w:t>
      </w:r>
      <w:hyperlink r:id="rId17" w:history="1">
        <w:r w:rsidRPr="00D612CB">
          <w:rPr>
            <w:rStyle w:val="Hyperlink"/>
          </w:rPr>
          <w:t>https://doi.org/10.3389/fmicb.2017.00542</w:t>
        </w:r>
      </w:hyperlink>
      <w:r>
        <w:t xml:space="preserve">  </w:t>
      </w:r>
    </w:p>
    <w:p w14:paraId="15FB3C7A" w14:textId="77777777" w:rsidR="00C63D86" w:rsidRDefault="00C63D86" w:rsidP="00C63D86">
      <w:pPr>
        <w:pStyle w:val="Body"/>
      </w:pPr>
      <w:r>
        <w:t xml:space="preserve">Guay, D. R. (2009). Cranberry and urinary tract infections. Drugs, 69(7), 775–807. </w:t>
      </w:r>
      <w:hyperlink r:id="rId18" w:history="1">
        <w:r w:rsidRPr="00D612CB">
          <w:rPr>
            <w:rStyle w:val="Hyperlink"/>
          </w:rPr>
          <w:t>https://doi.org/10.2165/00003495-200969070-00002</w:t>
        </w:r>
      </w:hyperlink>
      <w:r>
        <w:t xml:space="preserve">  </w:t>
      </w:r>
    </w:p>
    <w:p w14:paraId="624BC1A6" w14:textId="77777777" w:rsidR="00C63D86" w:rsidRDefault="00C63D86" w:rsidP="00C63D86">
      <w:pPr>
        <w:pStyle w:val="Body"/>
      </w:pPr>
      <w:r>
        <w:t xml:space="preserve">Howell, A. B., Reed, J. D., Krueger, C. G., Winterbottom, R. J., Cunningham, D., &amp; Leahy, M. (2005). A-type cranberry </w:t>
      </w:r>
      <w:proofErr w:type="spellStart"/>
      <w:r>
        <w:t>proanthocyanidins</w:t>
      </w:r>
      <w:proofErr w:type="spellEnd"/>
      <w:r>
        <w:t xml:space="preserve"> and </w:t>
      </w:r>
      <w:proofErr w:type="spellStart"/>
      <w:r>
        <w:t>uropathogenic</w:t>
      </w:r>
      <w:proofErr w:type="spellEnd"/>
      <w:r>
        <w:t xml:space="preserve"> bacterial anti adhesion activity. Phytochemistry, </w:t>
      </w:r>
      <w:hyperlink r:id="rId19" w:history="1">
        <w:r w:rsidRPr="00D612CB">
          <w:rPr>
            <w:rStyle w:val="Hyperlink"/>
          </w:rPr>
          <w:t>https://doi.org/10.1016/j.phytochem.2005.05.022</w:t>
        </w:r>
      </w:hyperlink>
      <w:r>
        <w:t xml:space="preserve">  </w:t>
      </w:r>
    </w:p>
    <w:p w14:paraId="0F50F964" w14:textId="77777777" w:rsidR="00C63D86" w:rsidRDefault="00C63D86" w:rsidP="00C63D86">
      <w:pPr>
        <w:pStyle w:val="Body"/>
      </w:pPr>
      <w:r>
        <w:lastRenderedPageBreak/>
        <w:t xml:space="preserve">Raz, R., Chazan, B., &amp; Mercola, D. (2004). Cranberry juice and urinary tract infection. Clinical Infectious Diseases, 38(10), 1413–1419. </w:t>
      </w:r>
      <w:hyperlink r:id="rId20" w:history="1">
        <w:r w:rsidRPr="00D612CB">
          <w:rPr>
            <w:rStyle w:val="Hyperlink"/>
          </w:rPr>
          <w:t>https://doi.org/10.1086/386328</w:t>
        </w:r>
      </w:hyperlink>
      <w:r>
        <w:t xml:space="preserve">  </w:t>
      </w:r>
    </w:p>
    <w:p w14:paraId="307C1D03" w14:textId="77777777" w:rsidR="00C63D86" w:rsidRDefault="00C63D86" w:rsidP="00C63D86">
      <w:pPr>
        <w:pStyle w:val="Body"/>
      </w:pPr>
      <w:r>
        <w:t xml:space="preserve">Howell, A. B., &amp; Foxman, B. (2002). Cranberry juice and adhesion of Antibiotic-Resistant </w:t>
      </w:r>
      <w:proofErr w:type="spellStart"/>
      <w:r>
        <w:t>uropathogens</w:t>
      </w:r>
      <w:proofErr w:type="spellEnd"/>
      <w:r>
        <w:t xml:space="preserve">. JAMA, 287(23), 3082. </w:t>
      </w:r>
      <w:hyperlink r:id="rId21" w:history="1">
        <w:r w:rsidRPr="00D612CB">
          <w:rPr>
            <w:rStyle w:val="Hyperlink"/>
          </w:rPr>
          <w:t>https://doi.org/10.1001/jama.287.23.3082</w:t>
        </w:r>
      </w:hyperlink>
      <w:r>
        <w:t xml:space="preserve">  </w:t>
      </w:r>
    </w:p>
    <w:p w14:paraId="2471D1F6" w14:textId="77777777" w:rsidR="00C63D86" w:rsidRDefault="00C63D86" w:rsidP="00C63D86">
      <w:pPr>
        <w:pStyle w:val="Body"/>
      </w:pPr>
      <w:r>
        <w:t xml:space="preserve">Nikaido, H. (2003). Molecular basis of bacterial outer membrane permeability revisited. Microbiology and Molecular Biology Reviews, 67(4), 593–656. </w:t>
      </w:r>
      <w:hyperlink r:id="rId22" w:history="1">
        <w:r w:rsidRPr="00D612CB">
          <w:rPr>
            <w:rStyle w:val="Hyperlink"/>
          </w:rPr>
          <w:t>https://doi.org/10.1128/mmbr.67.4.593-656.2003</w:t>
        </w:r>
      </w:hyperlink>
      <w:r>
        <w:t xml:space="preserve">  </w:t>
      </w:r>
    </w:p>
    <w:p w14:paraId="3D9083FD" w14:textId="77777777" w:rsidR="00B01FCD" w:rsidRPr="00363BD3" w:rsidRDefault="00C63D86" w:rsidP="00363BD3">
      <w:pPr>
        <w:pStyle w:val="Body"/>
        <w:spacing w:after="0"/>
        <w:jc w:val="left"/>
      </w:pPr>
      <w:r>
        <w:t xml:space="preserve">Cushnie, T. T., &amp; Lamb, A. J. (2005). Antimicrobial activity of flavonoids. International Journal of Antimicrobial Agents, 26(5), 343–356. </w:t>
      </w:r>
      <w:hyperlink r:id="rId23" w:history="1">
        <w:r w:rsidRPr="00D612CB">
          <w:rPr>
            <w:rStyle w:val="Hyperlink"/>
          </w:rPr>
          <w:t>https://doi.org/10.1016/j.ijantimicag.2005.09.002</w:t>
        </w:r>
      </w:hyperlink>
      <w:r>
        <w:t xml:space="preserve"> </w:t>
      </w:r>
    </w:p>
    <w:sectPr w:rsidR="00B01FCD" w:rsidRPr="00363BD3" w:rsidSect="0081251B">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567E" w14:textId="77777777" w:rsidR="00015C0F" w:rsidRDefault="00015C0F" w:rsidP="00C37E61">
      <w:r>
        <w:separator/>
      </w:r>
    </w:p>
  </w:endnote>
  <w:endnote w:type="continuationSeparator" w:id="0">
    <w:p w14:paraId="7C79A53E" w14:textId="77777777" w:rsidR="00015C0F" w:rsidRDefault="00015C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E278" w14:textId="77777777" w:rsidR="00C94AD6" w:rsidRDefault="00C94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AEA0" w14:textId="77777777" w:rsidR="00C94AD6" w:rsidRDefault="00C94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7CFC" w14:textId="5FAE9375" w:rsidR="00503561" w:rsidRPr="004F353F" w:rsidRDefault="00503561" w:rsidP="004F35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B7AF" w14:textId="77777777" w:rsidR="00503561" w:rsidRPr="00C37E61" w:rsidRDefault="005035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5CE80" w14:textId="77777777" w:rsidR="00015C0F" w:rsidRDefault="00015C0F" w:rsidP="00C37E61">
      <w:r>
        <w:separator/>
      </w:r>
    </w:p>
  </w:footnote>
  <w:footnote w:type="continuationSeparator" w:id="0">
    <w:p w14:paraId="65920835" w14:textId="77777777" w:rsidR="00015C0F" w:rsidRDefault="00015C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6EB0" w14:textId="14C6314A" w:rsidR="00C94AD6" w:rsidRDefault="00C94AD6">
    <w:pPr>
      <w:pStyle w:val="Header"/>
    </w:pPr>
    <w:r>
      <w:rPr>
        <w:noProof/>
      </w:rPr>
      <w:pict w14:anchorId="5C71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A12F" w14:textId="699C7708" w:rsidR="00C94AD6" w:rsidRDefault="00C94AD6">
    <w:pPr>
      <w:pStyle w:val="Header"/>
    </w:pPr>
    <w:r>
      <w:rPr>
        <w:noProof/>
      </w:rPr>
      <w:pict w14:anchorId="3A5BA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0FB3" w14:textId="74CD3412" w:rsidR="00503561" w:rsidRPr="00296529" w:rsidRDefault="00C94AD6" w:rsidP="00296529">
    <w:pPr>
      <w:ind w:left="2160"/>
      <w:jc w:val="center"/>
      <w:rPr>
        <w:rFonts w:ascii="Times New Roman" w:eastAsia="Calibri" w:hAnsi="Times New Roman"/>
        <w:i/>
        <w:sz w:val="18"/>
        <w:szCs w:val="22"/>
      </w:rPr>
    </w:pPr>
    <w:r>
      <w:rPr>
        <w:noProof/>
      </w:rPr>
      <w:pict w14:anchorId="5741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6136F1" w14:textId="77777777" w:rsidR="00503561" w:rsidRPr="00296529" w:rsidRDefault="0050356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85B17C" w14:textId="77777777" w:rsidR="00503561" w:rsidRPr="00296529" w:rsidRDefault="0050356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F6DE81" w14:textId="77777777" w:rsidR="00503561" w:rsidRPr="00296529" w:rsidRDefault="0050356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C2C963" w14:textId="77777777" w:rsidR="00503561" w:rsidRDefault="0050356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B4C297" w14:textId="77777777" w:rsidR="00503561" w:rsidRDefault="0050356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99FCB5" w14:textId="77777777" w:rsidR="00503561" w:rsidRDefault="0050356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53B5" w14:textId="3ABFA6F7" w:rsidR="00C94AD6" w:rsidRDefault="00C94AD6">
    <w:pPr>
      <w:pStyle w:val="Header"/>
    </w:pPr>
    <w:r>
      <w:rPr>
        <w:noProof/>
      </w:rPr>
      <w:pict w14:anchorId="0CC34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2633" w14:textId="50636147" w:rsidR="00C94AD6" w:rsidRDefault="00C94AD6">
    <w:pPr>
      <w:pStyle w:val="Header"/>
    </w:pPr>
    <w:r>
      <w:rPr>
        <w:noProof/>
      </w:rPr>
      <w:pict w14:anchorId="658C3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0C78" w14:textId="6818B3E3" w:rsidR="00C94AD6" w:rsidRDefault="00C94AD6">
    <w:pPr>
      <w:pStyle w:val="Header"/>
    </w:pPr>
    <w:r>
      <w:rPr>
        <w:noProof/>
      </w:rPr>
      <w:pict w14:anchorId="36A16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E15773"/>
    <w:multiLevelType w:val="hybridMultilevel"/>
    <w:tmpl w:val="22A4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2E18CD"/>
    <w:multiLevelType w:val="multilevel"/>
    <w:tmpl w:val="AF086BCA"/>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85EBD"/>
    <w:multiLevelType w:val="hybridMultilevel"/>
    <w:tmpl w:val="83000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C3AAD"/>
    <w:multiLevelType w:val="hybridMultilevel"/>
    <w:tmpl w:val="793A4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3B0E93"/>
    <w:multiLevelType w:val="hybridMultilevel"/>
    <w:tmpl w:val="F94C5B16"/>
    <w:lvl w:ilvl="0" w:tplc="B7A84AB6">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5F3F2F72"/>
    <w:multiLevelType w:val="hybridMultilevel"/>
    <w:tmpl w:val="D236DF8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5"/>
  </w:num>
  <w:num w:numId="19">
    <w:abstractNumId w:val="34"/>
  </w:num>
  <w:num w:numId="20">
    <w:abstractNumId w:val="11"/>
  </w:num>
  <w:num w:numId="21">
    <w:abstractNumId w:val="9"/>
  </w:num>
  <w:num w:numId="22">
    <w:abstractNumId w:val="14"/>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0"/>
  </w:num>
  <w:num w:numId="31">
    <w:abstractNumId w:val="12"/>
  </w:num>
  <w:num w:numId="32">
    <w:abstractNumId w:val="17"/>
  </w:num>
  <w:num w:numId="33">
    <w:abstractNumId w:val="16"/>
  </w:num>
  <w:num w:numId="34">
    <w:abstractNumId w:val="18"/>
  </w:num>
  <w:num w:numId="35">
    <w:abstractNumId w:val="2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897"/>
    <w:rsid w:val="00000F8F"/>
    <w:rsid w:val="0000449C"/>
    <w:rsid w:val="000055CB"/>
    <w:rsid w:val="000072A0"/>
    <w:rsid w:val="00013100"/>
    <w:rsid w:val="00015C0F"/>
    <w:rsid w:val="00027502"/>
    <w:rsid w:val="00030174"/>
    <w:rsid w:val="00032632"/>
    <w:rsid w:val="00034D10"/>
    <w:rsid w:val="0004579C"/>
    <w:rsid w:val="00061857"/>
    <w:rsid w:val="00075B60"/>
    <w:rsid w:val="00076186"/>
    <w:rsid w:val="0007738F"/>
    <w:rsid w:val="00080AFF"/>
    <w:rsid w:val="00083257"/>
    <w:rsid w:val="000963A2"/>
    <w:rsid w:val="000978CF"/>
    <w:rsid w:val="000A15C5"/>
    <w:rsid w:val="000A1D49"/>
    <w:rsid w:val="000A47FA"/>
    <w:rsid w:val="000A65D3"/>
    <w:rsid w:val="000B1E33"/>
    <w:rsid w:val="000B6E73"/>
    <w:rsid w:val="000D689F"/>
    <w:rsid w:val="000E1FB0"/>
    <w:rsid w:val="000E7B7B"/>
    <w:rsid w:val="000E7D62"/>
    <w:rsid w:val="000F2453"/>
    <w:rsid w:val="000F41C3"/>
    <w:rsid w:val="00103357"/>
    <w:rsid w:val="00104ED1"/>
    <w:rsid w:val="00107BFB"/>
    <w:rsid w:val="00123401"/>
    <w:rsid w:val="00123C9F"/>
    <w:rsid w:val="00126190"/>
    <w:rsid w:val="0012777A"/>
    <w:rsid w:val="00130F17"/>
    <w:rsid w:val="001320BF"/>
    <w:rsid w:val="0014213E"/>
    <w:rsid w:val="001546EC"/>
    <w:rsid w:val="00163BC4"/>
    <w:rsid w:val="00170198"/>
    <w:rsid w:val="00191062"/>
    <w:rsid w:val="00192B72"/>
    <w:rsid w:val="0019654F"/>
    <w:rsid w:val="001A0476"/>
    <w:rsid w:val="001A29D8"/>
    <w:rsid w:val="001A5CAA"/>
    <w:rsid w:val="001B0390"/>
    <w:rsid w:val="001B0427"/>
    <w:rsid w:val="001B238B"/>
    <w:rsid w:val="001B7239"/>
    <w:rsid w:val="001D3A51"/>
    <w:rsid w:val="001E10D2"/>
    <w:rsid w:val="001E25B4"/>
    <w:rsid w:val="001E44FE"/>
    <w:rsid w:val="001F05F5"/>
    <w:rsid w:val="001F060F"/>
    <w:rsid w:val="00200595"/>
    <w:rsid w:val="00204835"/>
    <w:rsid w:val="00210E52"/>
    <w:rsid w:val="00220162"/>
    <w:rsid w:val="00231396"/>
    <w:rsid w:val="00231920"/>
    <w:rsid w:val="0023195C"/>
    <w:rsid w:val="0024282C"/>
    <w:rsid w:val="00243873"/>
    <w:rsid w:val="002460DC"/>
    <w:rsid w:val="002475D0"/>
    <w:rsid w:val="00250985"/>
    <w:rsid w:val="0025390F"/>
    <w:rsid w:val="002556F6"/>
    <w:rsid w:val="002706B1"/>
    <w:rsid w:val="00281F5F"/>
    <w:rsid w:val="00283105"/>
    <w:rsid w:val="00284C4C"/>
    <w:rsid w:val="00287E68"/>
    <w:rsid w:val="00296529"/>
    <w:rsid w:val="00296FBB"/>
    <w:rsid w:val="002A662E"/>
    <w:rsid w:val="002A6999"/>
    <w:rsid w:val="002B27FB"/>
    <w:rsid w:val="002B685A"/>
    <w:rsid w:val="002B6987"/>
    <w:rsid w:val="002C57D2"/>
    <w:rsid w:val="002D6390"/>
    <w:rsid w:val="002E0D56"/>
    <w:rsid w:val="002E260B"/>
    <w:rsid w:val="002E2A57"/>
    <w:rsid w:val="002F2A55"/>
    <w:rsid w:val="002F6E9F"/>
    <w:rsid w:val="003062EF"/>
    <w:rsid w:val="00306C6F"/>
    <w:rsid w:val="00315186"/>
    <w:rsid w:val="0032053F"/>
    <w:rsid w:val="003258B8"/>
    <w:rsid w:val="0033343E"/>
    <w:rsid w:val="003512C2"/>
    <w:rsid w:val="0036009A"/>
    <w:rsid w:val="00363BD3"/>
    <w:rsid w:val="00371968"/>
    <w:rsid w:val="003719D5"/>
    <w:rsid w:val="00371FB6"/>
    <w:rsid w:val="0037382A"/>
    <w:rsid w:val="003763C1"/>
    <w:rsid w:val="00376BBE"/>
    <w:rsid w:val="0038199E"/>
    <w:rsid w:val="003834EA"/>
    <w:rsid w:val="003877A2"/>
    <w:rsid w:val="0039224F"/>
    <w:rsid w:val="003A43A4"/>
    <w:rsid w:val="003A7E18"/>
    <w:rsid w:val="003B0E63"/>
    <w:rsid w:val="003B1C9A"/>
    <w:rsid w:val="003C4C86"/>
    <w:rsid w:val="003C6258"/>
    <w:rsid w:val="003E2904"/>
    <w:rsid w:val="00401927"/>
    <w:rsid w:val="0040778B"/>
    <w:rsid w:val="0041027F"/>
    <w:rsid w:val="00412475"/>
    <w:rsid w:val="00423789"/>
    <w:rsid w:val="00440F43"/>
    <w:rsid w:val="00441B6F"/>
    <w:rsid w:val="00446221"/>
    <w:rsid w:val="00450E62"/>
    <w:rsid w:val="004539DB"/>
    <w:rsid w:val="0045517C"/>
    <w:rsid w:val="00462AC9"/>
    <w:rsid w:val="00470BEB"/>
    <w:rsid w:val="00471A80"/>
    <w:rsid w:val="00495ED4"/>
    <w:rsid w:val="0049771C"/>
    <w:rsid w:val="004A2A6A"/>
    <w:rsid w:val="004A5864"/>
    <w:rsid w:val="004B1C74"/>
    <w:rsid w:val="004C095D"/>
    <w:rsid w:val="004C1BCF"/>
    <w:rsid w:val="004C37F0"/>
    <w:rsid w:val="004C4D42"/>
    <w:rsid w:val="004D305E"/>
    <w:rsid w:val="004D4277"/>
    <w:rsid w:val="004F1E91"/>
    <w:rsid w:val="004F353F"/>
    <w:rsid w:val="004F4F9F"/>
    <w:rsid w:val="00502516"/>
    <w:rsid w:val="00503561"/>
    <w:rsid w:val="00505F06"/>
    <w:rsid w:val="00506828"/>
    <w:rsid w:val="005132B3"/>
    <w:rsid w:val="00527C74"/>
    <w:rsid w:val="0053056E"/>
    <w:rsid w:val="00554FDA"/>
    <w:rsid w:val="00580BDE"/>
    <w:rsid w:val="00581827"/>
    <w:rsid w:val="005932C8"/>
    <w:rsid w:val="00595B45"/>
    <w:rsid w:val="005B1133"/>
    <w:rsid w:val="005B3931"/>
    <w:rsid w:val="005C784C"/>
    <w:rsid w:val="005D0ED4"/>
    <w:rsid w:val="005D17F6"/>
    <w:rsid w:val="005D3A23"/>
    <w:rsid w:val="005E5539"/>
    <w:rsid w:val="005F4166"/>
    <w:rsid w:val="00602BF5"/>
    <w:rsid w:val="00617FDD"/>
    <w:rsid w:val="00633614"/>
    <w:rsid w:val="00633F68"/>
    <w:rsid w:val="00634CA3"/>
    <w:rsid w:val="00636EB2"/>
    <w:rsid w:val="006375B8"/>
    <w:rsid w:val="00643FD4"/>
    <w:rsid w:val="00644EA0"/>
    <w:rsid w:val="00647DCE"/>
    <w:rsid w:val="0065100C"/>
    <w:rsid w:val="00652182"/>
    <w:rsid w:val="00653C2A"/>
    <w:rsid w:val="00661070"/>
    <w:rsid w:val="00662FFA"/>
    <w:rsid w:val="00663EDD"/>
    <w:rsid w:val="00664F0F"/>
    <w:rsid w:val="0066510A"/>
    <w:rsid w:val="00673F9F"/>
    <w:rsid w:val="00686953"/>
    <w:rsid w:val="00687DEA"/>
    <w:rsid w:val="00687E67"/>
    <w:rsid w:val="00691FBB"/>
    <w:rsid w:val="006967F7"/>
    <w:rsid w:val="006A1ECC"/>
    <w:rsid w:val="006A250C"/>
    <w:rsid w:val="006B21D3"/>
    <w:rsid w:val="006B2B6B"/>
    <w:rsid w:val="006B2F24"/>
    <w:rsid w:val="006B57D0"/>
    <w:rsid w:val="006D30FF"/>
    <w:rsid w:val="006D6940"/>
    <w:rsid w:val="006F11EC"/>
    <w:rsid w:val="0070082C"/>
    <w:rsid w:val="00706E6F"/>
    <w:rsid w:val="00711130"/>
    <w:rsid w:val="007369E6"/>
    <w:rsid w:val="00741CD8"/>
    <w:rsid w:val="00746E59"/>
    <w:rsid w:val="00751211"/>
    <w:rsid w:val="00754040"/>
    <w:rsid w:val="00754C9A"/>
    <w:rsid w:val="0075599A"/>
    <w:rsid w:val="00761D52"/>
    <w:rsid w:val="00763621"/>
    <w:rsid w:val="0076454D"/>
    <w:rsid w:val="00765063"/>
    <w:rsid w:val="0077749E"/>
    <w:rsid w:val="00777FBD"/>
    <w:rsid w:val="00783855"/>
    <w:rsid w:val="007846DF"/>
    <w:rsid w:val="007856DE"/>
    <w:rsid w:val="00790ADA"/>
    <w:rsid w:val="007A7F54"/>
    <w:rsid w:val="007C38ED"/>
    <w:rsid w:val="007C6B90"/>
    <w:rsid w:val="007D2288"/>
    <w:rsid w:val="007E088F"/>
    <w:rsid w:val="007E5ED8"/>
    <w:rsid w:val="007F7B32"/>
    <w:rsid w:val="008022ED"/>
    <w:rsid w:val="00804BC2"/>
    <w:rsid w:val="0080508F"/>
    <w:rsid w:val="0080795A"/>
    <w:rsid w:val="0081251B"/>
    <w:rsid w:val="0081431A"/>
    <w:rsid w:val="00824E94"/>
    <w:rsid w:val="0083216F"/>
    <w:rsid w:val="00836CB1"/>
    <w:rsid w:val="00855D4D"/>
    <w:rsid w:val="00855EB0"/>
    <w:rsid w:val="00860000"/>
    <w:rsid w:val="00863BD3"/>
    <w:rsid w:val="008641ED"/>
    <w:rsid w:val="00865F8C"/>
    <w:rsid w:val="00866D66"/>
    <w:rsid w:val="008671C6"/>
    <w:rsid w:val="00874653"/>
    <w:rsid w:val="00875803"/>
    <w:rsid w:val="008B459E"/>
    <w:rsid w:val="008B6A34"/>
    <w:rsid w:val="008E13AE"/>
    <w:rsid w:val="008E1506"/>
    <w:rsid w:val="008E710C"/>
    <w:rsid w:val="008F133F"/>
    <w:rsid w:val="008F69D6"/>
    <w:rsid w:val="009027C7"/>
    <w:rsid w:val="00902823"/>
    <w:rsid w:val="00904513"/>
    <w:rsid w:val="009064A5"/>
    <w:rsid w:val="009150CB"/>
    <w:rsid w:val="00915CA6"/>
    <w:rsid w:val="009178AA"/>
    <w:rsid w:val="00925874"/>
    <w:rsid w:val="00927834"/>
    <w:rsid w:val="00935760"/>
    <w:rsid w:val="009424BD"/>
    <w:rsid w:val="009500A6"/>
    <w:rsid w:val="00957C18"/>
    <w:rsid w:val="009659BA"/>
    <w:rsid w:val="009775DF"/>
    <w:rsid w:val="00983040"/>
    <w:rsid w:val="009A5D05"/>
    <w:rsid w:val="009B3FB9"/>
    <w:rsid w:val="009C2465"/>
    <w:rsid w:val="009C446C"/>
    <w:rsid w:val="009D12EB"/>
    <w:rsid w:val="009D35A0"/>
    <w:rsid w:val="009D7EB7"/>
    <w:rsid w:val="009E048A"/>
    <w:rsid w:val="009E08E9"/>
    <w:rsid w:val="009E3DB9"/>
    <w:rsid w:val="009E6E35"/>
    <w:rsid w:val="009F0EDA"/>
    <w:rsid w:val="00A03B96"/>
    <w:rsid w:val="00A05B19"/>
    <w:rsid w:val="00A1134E"/>
    <w:rsid w:val="00A11A3B"/>
    <w:rsid w:val="00A12697"/>
    <w:rsid w:val="00A24E7E"/>
    <w:rsid w:val="00A258C3"/>
    <w:rsid w:val="00A30E4A"/>
    <w:rsid w:val="00A34503"/>
    <w:rsid w:val="00A347C0"/>
    <w:rsid w:val="00A51431"/>
    <w:rsid w:val="00A51BD1"/>
    <w:rsid w:val="00A539AD"/>
    <w:rsid w:val="00A54725"/>
    <w:rsid w:val="00A604C4"/>
    <w:rsid w:val="00A6244A"/>
    <w:rsid w:val="00A76C3C"/>
    <w:rsid w:val="00A82194"/>
    <w:rsid w:val="00A94063"/>
    <w:rsid w:val="00AA4F39"/>
    <w:rsid w:val="00AA6219"/>
    <w:rsid w:val="00AA74E0"/>
    <w:rsid w:val="00AB643E"/>
    <w:rsid w:val="00AB703F"/>
    <w:rsid w:val="00AC6BB8"/>
    <w:rsid w:val="00AD02B7"/>
    <w:rsid w:val="00AE008F"/>
    <w:rsid w:val="00AE57E4"/>
    <w:rsid w:val="00AF39A4"/>
    <w:rsid w:val="00AF57D4"/>
    <w:rsid w:val="00B01FCD"/>
    <w:rsid w:val="00B06E10"/>
    <w:rsid w:val="00B1776C"/>
    <w:rsid w:val="00B20116"/>
    <w:rsid w:val="00B20C42"/>
    <w:rsid w:val="00B35135"/>
    <w:rsid w:val="00B363F5"/>
    <w:rsid w:val="00B367DF"/>
    <w:rsid w:val="00B37507"/>
    <w:rsid w:val="00B46882"/>
    <w:rsid w:val="00B52583"/>
    <w:rsid w:val="00B52896"/>
    <w:rsid w:val="00B52EC2"/>
    <w:rsid w:val="00B5767A"/>
    <w:rsid w:val="00B67432"/>
    <w:rsid w:val="00B70F55"/>
    <w:rsid w:val="00B95236"/>
    <w:rsid w:val="00B96BD9"/>
    <w:rsid w:val="00BA1B01"/>
    <w:rsid w:val="00BA2641"/>
    <w:rsid w:val="00BA580F"/>
    <w:rsid w:val="00BA7EE7"/>
    <w:rsid w:val="00BB37AA"/>
    <w:rsid w:val="00BB395A"/>
    <w:rsid w:val="00BC53A0"/>
    <w:rsid w:val="00BD14E5"/>
    <w:rsid w:val="00BE62AD"/>
    <w:rsid w:val="00BF121F"/>
    <w:rsid w:val="00BF1F80"/>
    <w:rsid w:val="00C1227D"/>
    <w:rsid w:val="00C166EF"/>
    <w:rsid w:val="00C17980"/>
    <w:rsid w:val="00C17EB0"/>
    <w:rsid w:val="00C26EAC"/>
    <w:rsid w:val="00C2702C"/>
    <w:rsid w:val="00C27F5F"/>
    <w:rsid w:val="00C30A0F"/>
    <w:rsid w:val="00C37E61"/>
    <w:rsid w:val="00C439A8"/>
    <w:rsid w:val="00C44772"/>
    <w:rsid w:val="00C54CB2"/>
    <w:rsid w:val="00C63708"/>
    <w:rsid w:val="00C63D86"/>
    <w:rsid w:val="00C70F1B"/>
    <w:rsid w:val="00C7107E"/>
    <w:rsid w:val="00C71A47"/>
    <w:rsid w:val="00C7464C"/>
    <w:rsid w:val="00C74E5A"/>
    <w:rsid w:val="00C85588"/>
    <w:rsid w:val="00C859BD"/>
    <w:rsid w:val="00C91087"/>
    <w:rsid w:val="00C94AD6"/>
    <w:rsid w:val="00CA0D59"/>
    <w:rsid w:val="00CC3DBE"/>
    <w:rsid w:val="00CD6755"/>
    <w:rsid w:val="00CD6856"/>
    <w:rsid w:val="00CE0089"/>
    <w:rsid w:val="00CE793C"/>
    <w:rsid w:val="00CE7B60"/>
    <w:rsid w:val="00CF193C"/>
    <w:rsid w:val="00D13523"/>
    <w:rsid w:val="00D173F1"/>
    <w:rsid w:val="00D27E0F"/>
    <w:rsid w:val="00D30426"/>
    <w:rsid w:val="00D35AB2"/>
    <w:rsid w:val="00D53BF8"/>
    <w:rsid w:val="00D56496"/>
    <w:rsid w:val="00D572C0"/>
    <w:rsid w:val="00D61BCB"/>
    <w:rsid w:val="00D6509B"/>
    <w:rsid w:val="00D74CB0"/>
    <w:rsid w:val="00D8295D"/>
    <w:rsid w:val="00D86E20"/>
    <w:rsid w:val="00DA4DD3"/>
    <w:rsid w:val="00DB19CE"/>
    <w:rsid w:val="00DC2A5C"/>
    <w:rsid w:val="00DC2A65"/>
    <w:rsid w:val="00DC494C"/>
    <w:rsid w:val="00DD7F5E"/>
    <w:rsid w:val="00DE15F0"/>
    <w:rsid w:val="00DE2C25"/>
    <w:rsid w:val="00DE5663"/>
    <w:rsid w:val="00DE78AA"/>
    <w:rsid w:val="00DF7F52"/>
    <w:rsid w:val="00E053D0"/>
    <w:rsid w:val="00E15994"/>
    <w:rsid w:val="00E30406"/>
    <w:rsid w:val="00E3114E"/>
    <w:rsid w:val="00E31A70"/>
    <w:rsid w:val="00E35B02"/>
    <w:rsid w:val="00E40231"/>
    <w:rsid w:val="00E42408"/>
    <w:rsid w:val="00E652FD"/>
    <w:rsid w:val="00E65A70"/>
    <w:rsid w:val="00E66496"/>
    <w:rsid w:val="00E66B35"/>
    <w:rsid w:val="00E66E10"/>
    <w:rsid w:val="00E7470D"/>
    <w:rsid w:val="00E751B6"/>
    <w:rsid w:val="00E769F6"/>
    <w:rsid w:val="00E8407C"/>
    <w:rsid w:val="00E84F3C"/>
    <w:rsid w:val="00E85BE6"/>
    <w:rsid w:val="00E87B12"/>
    <w:rsid w:val="00EA012C"/>
    <w:rsid w:val="00EB452A"/>
    <w:rsid w:val="00EB5500"/>
    <w:rsid w:val="00EC2AEE"/>
    <w:rsid w:val="00EC6A55"/>
    <w:rsid w:val="00ED0288"/>
    <w:rsid w:val="00ED48F9"/>
    <w:rsid w:val="00EE1AD6"/>
    <w:rsid w:val="00EE4D10"/>
    <w:rsid w:val="00EE52CB"/>
    <w:rsid w:val="00EE6152"/>
    <w:rsid w:val="00EE71FC"/>
    <w:rsid w:val="00EF581D"/>
    <w:rsid w:val="00EF7FD8"/>
    <w:rsid w:val="00F04678"/>
    <w:rsid w:val="00F051A6"/>
    <w:rsid w:val="00F054C4"/>
    <w:rsid w:val="00F06F59"/>
    <w:rsid w:val="00F17988"/>
    <w:rsid w:val="00F469F0"/>
    <w:rsid w:val="00F53273"/>
    <w:rsid w:val="00F64D3C"/>
    <w:rsid w:val="00F723A6"/>
    <w:rsid w:val="00F755E4"/>
    <w:rsid w:val="00F77D02"/>
    <w:rsid w:val="00F8101A"/>
    <w:rsid w:val="00F83652"/>
    <w:rsid w:val="00FB3A86"/>
    <w:rsid w:val="00FD36C8"/>
    <w:rsid w:val="00FD3732"/>
    <w:rsid w:val="00FE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D4D080"/>
  <w15:docId w15:val="{05B4656D-9F9F-45CD-AD7F-A5B3118F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13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80AFF"/>
    <w:rPr>
      <w:b/>
      <w:bCs/>
    </w:rPr>
  </w:style>
  <w:style w:type="paragraph" w:styleId="NormalWeb">
    <w:name w:val="Normal (Web)"/>
    <w:basedOn w:val="Normal"/>
    <w:uiPriority w:val="99"/>
    <w:semiHidden/>
    <w:unhideWhenUsed/>
    <w:rsid w:val="00E42408"/>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0055C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57089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1897635">
      <w:bodyDiv w:val="1"/>
      <w:marLeft w:val="0"/>
      <w:marRight w:val="0"/>
      <w:marTop w:val="0"/>
      <w:marBottom w:val="0"/>
      <w:divBdr>
        <w:top w:val="none" w:sz="0" w:space="0" w:color="auto"/>
        <w:left w:val="none" w:sz="0" w:space="0" w:color="auto"/>
        <w:bottom w:val="none" w:sz="0" w:space="0" w:color="auto"/>
        <w:right w:val="none" w:sz="0" w:space="0" w:color="auto"/>
      </w:divBdr>
    </w:div>
    <w:div w:id="529606722">
      <w:bodyDiv w:val="1"/>
      <w:marLeft w:val="0"/>
      <w:marRight w:val="0"/>
      <w:marTop w:val="0"/>
      <w:marBottom w:val="0"/>
      <w:divBdr>
        <w:top w:val="none" w:sz="0" w:space="0" w:color="auto"/>
        <w:left w:val="none" w:sz="0" w:space="0" w:color="auto"/>
        <w:bottom w:val="none" w:sz="0" w:space="0" w:color="auto"/>
        <w:right w:val="none" w:sz="0" w:space="0" w:color="auto"/>
      </w:divBdr>
    </w:div>
    <w:div w:id="5756720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381094">
      <w:bodyDiv w:val="1"/>
      <w:marLeft w:val="0"/>
      <w:marRight w:val="0"/>
      <w:marTop w:val="0"/>
      <w:marBottom w:val="0"/>
      <w:divBdr>
        <w:top w:val="none" w:sz="0" w:space="0" w:color="auto"/>
        <w:left w:val="none" w:sz="0" w:space="0" w:color="auto"/>
        <w:bottom w:val="none" w:sz="0" w:space="0" w:color="auto"/>
        <w:right w:val="none" w:sz="0" w:space="0" w:color="auto"/>
      </w:divBdr>
    </w:div>
    <w:div w:id="717434071">
      <w:bodyDiv w:val="1"/>
      <w:marLeft w:val="0"/>
      <w:marRight w:val="0"/>
      <w:marTop w:val="0"/>
      <w:marBottom w:val="0"/>
      <w:divBdr>
        <w:top w:val="none" w:sz="0" w:space="0" w:color="auto"/>
        <w:left w:val="none" w:sz="0" w:space="0" w:color="auto"/>
        <w:bottom w:val="none" w:sz="0" w:space="0" w:color="auto"/>
        <w:right w:val="none" w:sz="0" w:space="0" w:color="auto"/>
      </w:divBdr>
    </w:div>
    <w:div w:id="732435728">
      <w:bodyDiv w:val="1"/>
      <w:marLeft w:val="0"/>
      <w:marRight w:val="0"/>
      <w:marTop w:val="0"/>
      <w:marBottom w:val="0"/>
      <w:divBdr>
        <w:top w:val="none" w:sz="0" w:space="0" w:color="auto"/>
        <w:left w:val="none" w:sz="0" w:space="0" w:color="auto"/>
        <w:bottom w:val="none" w:sz="0" w:space="0" w:color="auto"/>
        <w:right w:val="none" w:sz="0" w:space="0" w:color="auto"/>
      </w:divBdr>
    </w:div>
    <w:div w:id="9454268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61669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9432245">
      <w:bodyDiv w:val="1"/>
      <w:marLeft w:val="0"/>
      <w:marRight w:val="0"/>
      <w:marTop w:val="0"/>
      <w:marBottom w:val="0"/>
      <w:divBdr>
        <w:top w:val="none" w:sz="0" w:space="0" w:color="auto"/>
        <w:left w:val="none" w:sz="0" w:space="0" w:color="auto"/>
        <w:bottom w:val="none" w:sz="0" w:space="0" w:color="auto"/>
        <w:right w:val="none" w:sz="0" w:space="0" w:color="auto"/>
      </w:divBdr>
    </w:div>
    <w:div w:id="1508252185">
      <w:bodyDiv w:val="1"/>
      <w:marLeft w:val="0"/>
      <w:marRight w:val="0"/>
      <w:marTop w:val="0"/>
      <w:marBottom w:val="0"/>
      <w:divBdr>
        <w:top w:val="none" w:sz="0" w:space="0" w:color="auto"/>
        <w:left w:val="none" w:sz="0" w:space="0" w:color="auto"/>
        <w:bottom w:val="none" w:sz="0" w:space="0" w:color="auto"/>
        <w:right w:val="none" w:sz="0" w:space="0" w:color="auto"/>
      </w:divBdr>
    </w:div>
    <w:div w:id="1534877558">
      <w:bodyDiv w:val="1"/>
      <w:marLeft w:val="0"/>
      <w:marRight w:val="0"/>
      <w:marTop w:val="0"/>
      <w:marBottom w:val="0"/>
      <w:divBdr>
        <w:top w:val="none" w:sz="0" w:space="0" w:color="auto"/>
        <w:left w:val="none" w:sz="0" w:space="0" w:color="auto"/>
        <w:bottom w:val="none" w:sz="0" w:space="0" w:color="auto"/>
        <w:right w:val="none" w:sz="0" w:space="0" w:color="auto"/>
      </w:divBdr>
    </w:div>
    <w:div w:id="1667323192">
      <w:bodyDiv w:val="1"/>
      <w:marLeft w:val="0"/>
      <w:marRight w:val="0"/>
      <w:marTop w:val="0"/>
      <w:marBottom w:val="0"/>
      <w:divBdr>
        <w:top w:val="none" w:sz="0" w:space="0" w:color="auto"/>
        <w:left w:val="none" w:sz="0" w:space="0" w:color="auto"/>
        <w:bottom w:val="none" w:sz="0" w:space="0" w:color="auto"/>
        <w:right w:val="none" w:sz="0" w:space="0" w:color="auto"/>
      </w:divBdr>
    </w:div>
    <w:div w:id="1685092985">
      <w:bodyDiv w:val="1"/>
      <w:marLeft w:val="0"/>
      <w:marRight w:val="0"/>
      <w:marTop w:val="0"/>
      <w:marBottom w:val="0"/>
      <w:divBdr>
        <w:top w:val="none" w:sz="0" w:space="0" w:color="auto"/>
        <w:left w:val="none" w:sz="0" w:space="0" w:color="auto"/>
        <w:bottom w:val="none" w:sz="0" w:space="0" w:color="auto"/>
        <w:right w:val="none" w:sz="0" w:space="0" w:color="auto"/>
      </w:divBdr>
    </w:div>
    <w:div w:id="16955762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9196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3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65/00003495-200969070-0000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1/jama.287.23.308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micb.2017.0054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586/14787210.5.2.277" TargetMode="External"/><Relationship Id="rId20" Type="http://schemas.openxmlformats.org/officeDocument/2006/relationships/hyperlink" Target="https://doi.org/10.1086/386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my.clevelandclinic.org/health/diseases/9135-urinary-tract-infections" TargetMode="External"/><Relationship Id="rId23" Type="http://schemas.openxmlformats.org/officeDocument/2006/relationships/hyperlink" Target="https://doi.org/10.1016/j.ijantimicag.2005.09.00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phytochem.2005.05.0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nrmicro3432" TargetMode="External"/><Relationship Id="rId22" Type="http://schemas.openxmlformats.org/officeDocument/2006/relationships/hyperlink" Target="https://doi.org/10.1128/mmbr.67.4.593-656.2003"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F99F-F4CB-4A8F-A829-8AD8F9D9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756</TotalTime>
  <Pages>7</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222</cp:revision>
  <cp:lastPrinted>1999-07-06T11:00:00Z</cp:lastPrinted>
  <dcterms:created xsi:type="dcterms:W3CDTF">2026-02-25T01:57:00Z</dcterms:created>
  <dcterms:modified xsi:type="dcterms:W3CDTF">2026-05-02T13:07:00Z</dcterms:modified>
</cp:coreProperties>
</file>