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6A1F" w14:textId="7926C604" w:rsidR="00236828" w:rsidRDefault="00236828" w:rsidP="00236828">
      <w:pPr>
        <w:rPr>
          <w:b/>
        </w:rPr>
      </w:pPr>
      <w:r>
        <w:rPr>
          <w:b/>
        </w:rPr>
        <w:t xml:space="preserve">Accumulation of Heavy </w:t>
      </w:r>
      <w:r w:rsidR="005E1635">
        <w:rPr>
          <w:b/>
        </w:rPr>
        <w:t>Metals by Earthworms Exposed to Soil Contaminated with Thermal Power Station Condensate and Used</w:t>
      </w:r>
      <w:r>
        <w:rPr>
          <w:b/>
        </w:rPr>
        <w:t xml:space="preserve"> Transformer Oil</w:t>
      </w:r>
    </w:p>
    <w:p w14:paraId="54CBBC3C" w14:textId="1C21E12E" w:rsidR="006F1C38" w:rsidRDefault="006F1C38" w:rsidP="00384746">
      <w:pPr>
        <w:rPr>
          <w:rFonts w:ascii="Times New Roman" w:hAnsi="Times New Roman" w:cs="Times New Roman"/>
          <w:bCs/>
          <w:sz w:val="24"/>
          <w:szCs w:val="24"/>
        </w:rPr>
      </w:pPr>
    </w:p>
    <w:p w14:paraId="5AC855A3" w14:textId="77777777" w:rsidR="00FF2074" w:rsidRPr="00465D85" w:rsidRDefault="00FF2074" w:rsidP="00384746">
      <w:pPr>
        <w:rPr>
          <w:rFonts w:ascii="Times New Roman" w:hAnsi="Times New Roman" w:cs="Times New Roman"/>
          <w:bCs/>
          <w:sz w:val="24"/>
          <w:szCs w:val="24"/>
        </w:rPr>
      </w:pPr>
      <w:bookmarkStart w:id="0" w:name="_GoBack"/>
      <w:bookmarkEnd w:id="0"/>
    </w:p>
    <w:p w14:paraId="1ADEB651" w14:textId="77777777" w:rsidR="00236828" w:rsidRDefault="00236828" w:rsidP="00236828">
      <w:pPr>
        <w:spacing w:line="480" w:lineRule="auto"/>
        <w:jc w:val="both"/>
        <w:rPr>
          <w:b/>
        </w:rPr>
      </w:pPr>
      <w:r>
        <w:rPr>
          <w:b/>
        </w:rPr>
        <w:t>Abstract</w:t>
      </w:r>
    </w:p>
    <w:p w14:paraId="4D88A3FE" w14:textId="0F3CA280" w:rsidR="006A4BFC" w:rsidRPr="006A4BFC" w:rsidRDefault="006A4BFC" w:rsidP="00236828">
      <w:pPr>
        <w:spacing w:line="240" w:lineRule="auto"/>
        <w:jc w:val="both"/>
        <w:rPr>
          <w:rFonts w:ascii="Times New Roman" w:hAnsi="Times New Roman" w:cs="Times New Roman"/>
          <w:sz w:val="24"/>
          <w:szCs w:val="24"/>
        </w:rPr>
      </w:pPr>
      <w:r w:rsidRPr="006A4BFC">
        <w:rPr>
          <w:rFonts w:ascii="Times New Roman" w:hAnsi="Times New Roman" w:cs="Times New Roman"/>
          <w:sz w:val="24"/>
          <w:szCs w:val="24"/>
        </w:rPr>
        <w:t xml:space="preserve">Changes in soil properties that </w:t>
      </w:r>
      <w:r w:rsidR="005E1635">
        <w:rPr>
          <w:rFonts w:ascii="Times New Roman" w:hAnsi="Times New Roman" w:cs="Times New Roman"/>
          <w:sz w:val="24"/>
          <w:szCs w:val="24"/>
        </w:rPr>
        <w:t>reduce environmental services always result in</w:t>
      </w:r>
      <w:r w:rsidRPr="006A4BFC">
        <w:rPr>
          <w:rFonts w:ascii="Times New Roman" w:hAnsi="Times New Roman" w:cs="Times New Roman"/>
          <w:sz w:val="24"/>
          <w:szCs w:val="24"/>
        </w:rPr>
        <w:t xml:space="preserve"> a decline in soil quality. A variety of stressors, which may be physical, chemical, or biological and originate from both human and natural causes, could lead to these modifications. Using conventional laboratory methods, this study examined the physicochemical properties and heavy metal concentrations of soil samples from the condensate dump site, the electric transformer site, and the earthworms that were introduced into the soil samples at varying degrees of contamination. The majority of the physicochemical parameters were higher in the condensate dump site soil than </w:t>
      </w:r>
      <w:r w:rsidR="00B70CB5">
        <w:rPr>
          <w:rFonts w:ascii="Times New Roman" w:hAnsi="Times New Roman" w:cs="Times New Roman"/>
          <w:sz w:val="24"/>
          <w:szCs w:val="24"/>
        </w:rPr>
        <w:t xml:space="preserve">in </w:t>
      </w:r>
      <w:r w:rsidRPr="006A4BFC">
        <w:rPr>
          <w:rFonts w:ascii="Times New Roman" w:hAnsi="Times New Roman" w:cs="Times New Roman"/>
          <w:sz w:val="24"/>
          <w:szCs w:val="24"/>
        </w:rPr>
        <w:t>the electrical transformer site soil, according to the findings. The heavy metals analysis in condensate, electrical transformer oil, soil samples from condensate dump site</w:t>
      </w:r>
      <w:r w:rsidR="005E1635">
        <w:rPr>
          <w:rFonts w:ascii="Times New Roman" w:hAnsi="Times New Roman" w:cs="Times New Roman"/>
          <w:sz w:val="24"/>
          <w:szCs w:val="24"/>
        </w:rPr>
        <w:t>,</w:t>
      </w:r>
      <w:r w:rsidRPr="006A4BFC">
        <w:rPr>
          <w:rFonts w:ascii="Times New Roman" w:hAnsi="Times New Roman" w:cs="Times New Roman"/>
          <w:sz w:val="24"/>
          <w:szCs w:val="24"/>
        </w:rPr>
        <w:t xml:space="preserve"> and electrical transformer sites shows metal concentrations </w:t>
      </w:r>
      <w:r w:rsidR="00641D3A">
        <w:rPr>
          <w:rFonts w:ascii="Times New Roman" w:hAnsi="Times New Roman" w:cs="Times New Roman"/>
          <w:sz w:val="24"/>
          <w:szCs w:val="24"/>
        </w:rPr>
        <w:t>ranging from</w:t>
      </w:r>
      <w:r w:rsidRPr="006A4BFC">
        <w:rPr>
          <w:rFonts w:ascii="Times New Roman" w:hAnsi="Times New Roman" w:cs="Times New Roman"/>
          <w:sz w:val="24"/>
          <w:szCs w:val="24"/>
        </w:rPr>
        <w:t xml:space="preserve"> </w:t>
      </w:r>
      <w:r w:rsidR="00641D3A">
        <w:rPr>
          <w:rFonts w:ascii="Times New Roman" w:hAnsi="Times New Roman" w:cs="Times New Roman"/>
          <w:sz w:val="24"/>
          <w:szCs w:val="24"/>
        </w:rPr>
        <w:t>C</w:t>
      </w:r>
      <w:r w:rsidRPr="006A4BFC">
        <w:rPr>
          <w:rFonts w:ascii="Times New Roman" w:hAnsi="Times New Roman" w:cs="Times New Roman"/>
          <w:sz w:val="24"/>
          <w:szCs w:val="24"/>
        </w:rPr>
        <w:t>u 0.03-7.54ppm, Zn 0.12 - 4.33ppm, As 1.26 8 4.88ppm, Cd 0.01 -1.72ppm, Pb 2.10 - 4.22ppm, Hg 0.25 -2.19ppm, Fe 0.29 -2.34ppm</w:t>
      </w:r>
      <w:r w:rsidR="005E1635">
        <w:rPr>
          <w:rFonts w:ascii="Times New Roman" w:hAnsi="Times New Roman" w:cs="Times New Roman"/>
          <w:sz w:val="24"/>
          <w:szCs w:val="24"/>
        </w:rPr>
        <w:t>,</w:t>
      </w:r>
      <w:r w:rsidRPr="006A4BFC">
        <w:rPr>
          <w:rFonts w:ascii="Times New Roman" w:hAnsi="Times New Roman" w:cs="Times New Roman"/>
          <w:sz w:val="24"/>
          <w:szCs w:val="24"/>
        </w:rPr>
        <w:t xml:space="preserve"> and Cr 0.12-1.8ppm. The earthworm accumulated the metals from the soil in a percentage </w:t>
      </w:r>
      <w:r w:rsidR="005E1635">
        <w:rPr>
          <w:rFonts w:ascii="Times New Roman" w:hAnsi="Times New Roman" w:cs="Times New Roman"/>
          <w:sz w:val="24"/>
          <w:szCs w:val="24"/>
        </w:rPr>
        <w:t>contamination-dependent</w:t>
      </w:r>
      <w:r w:rsidRPr="006A4BFC">
        <w:rPr>
          <w:rFonts w:ascii="Times New Roman" w:hAnsi="Times New Roman" w:cs="Times New Roman"/>
          <w:sz w:val="24"/>
          <w:szCs w:val="24"/>
        </w:rPr>
        <w:t xml:space="preserve"> </w:t>
      </w:r>
      <w:r w:rsidR="005E1635">
        <w:rPr>
          <w:rFonts w:ascii="Times New Roman" w:hAnsi="Times New Roman" w:cs="Times New Roman"/>
          <w:sz w:val="24"/>
          <w:szCs w:val="24"/>
        </w:rPr>
        <w:t>manner</w:t>
      </w:r>
      <w:r w:rsidRPr="006A4BFC">
        <w:rPr>
          <w:rFonts w:ascii="Times New Roman" w:hAnsi="Times New Roman" w:cs="Times New Roman"/>
          <w:sz w:val="24"/>
          <w:szCs w:val="24"/>
        </w:rPr>
        <w:t xml:space="preserve">. </w:t>
      </w:r>
      <w:r w:rsidR="00B70CB5">
        <w:rPr>
          <w:rFonts w:ascii="Times New Roman" w:hAnsi="Times New Roman" w:cs="Times New Roman"/>
          <w:sz w:val="24"/>
          <w:szCs w:val="24"/>
        </w:rPr>
        <w:t>Except</w:t>
      </w:r>
      <w:r w:rsidRPr="006A4BFC">
        <w:rPr>
          <w:rFonts w:ascii="Times New Roman" w:hAnsi="Times New Roman" w:cs="Times New Roman"/>
          <w:sz w:val="24"/>
          <w:szCs w:val="24"/>
        </w:rPr>
        <w:t xml:space="preserve"> </w:t>
      </w:r>
      <w:r w:rsidR="005E1635">
        <w:rPr>
          <w:rFonts w:ascii="Times New Roman" w:hAnsi="Times New Roman" w:cs="Times New Roman"/>
          <w:sz w:val="24"/>
          <w:szCs w:val="24"/>
        </w:rPr>
        <w:t xml:space="preserve">for </w:t>
      </w:r>
      <w:r w:rsidRPr="006A4BFC">
        <w:rPr>
          <w:rFonts w:ascii="Times New Roman" w:hAnsi="Times New Roman" w:cs="Times New Roman"/>
          <w:sz w:val="24"/>
          <w:szCs w:val="24"/>
        </w:rPr>
        <w:t>cadmium, which was above the DPR-established limit, the soil's heavy metals were all within the acceptable DPR limits. The research advises monitoring thermal power plant operations to make sure they adhere to the environmental norms in place in the nation</w:t>
      </w:r>
    </w:p>
    <w:p w14:paraId="6ADE8B40" w14:textId="3AF62157" w:rsidR="00236828" w:rsidRPr="006A4BFC" w:rsidRDefault="00641D3A" w:rsidP="00236828">
      <w:pPr>
        <w:spacing w:line="240" w:lineRule="auto"/>
        <w:jc w:val="both"/>
        <w:rPr>
          <w:rFonts w:ascii="Times New Roman" w:hAnsi="Times New Roman" w:cs="Times New Roman"/>
          <w:sz w:val="24"/>
          <w:szCs w:val="24"/>
        </w:rPr>
      </w:pPr>
      <w:r>
        <w:rPr>
          <w:rFonts w:ascii="Times New Roman" w:hAnsi="Times New Roman" w:cs="Times New Roman"/>
          <w:sz w:val="24"/>
          <w:szCs w:val="24"/>
        </w:rPr>
        <w:t>Keywords</w:t>
      </w:r>
      <w:r w:rsidR="006A4BFC" w:rsidRPr="006A4BFC">
        <w:rPr>
          <w:rFonts w:ascii="Times New Roman" w:hAnsi="Times New Roman" w:cs="Times New Roman"/>
          <w:sz w:val="24"/>
          <w:szCs w:val="24"/>
        </w:rPr>
        <w:t>: Heavy metal, contamination, Earthworm condensate</w:t>
      </w:r>
      <w:r w:rsidR="008A69C2">
        <w:rPr>
          <w:rFonts w:ascii="Times New Roman" w:hAnsi="Times New Roman" w:cs="Times New Roman"/>
          <w:sz w:val="24"/>
          <w:szCs w:val="24"/>
        </w:rPr>
        <w:t>,</w:t>
      </w:r>
      <w:r w:rsidR="006A4BFC" w:rsidRPr="006A4BFC">
        <w:rPr>
          <w:rFonts w:ascii="Times New Roman" w:hAnsi="Times New Roman" w:cs="Times New Roman"/>
          <w:sz w:val="24"/>
          <w:szCs w:val="24"/>
        </w:rPr>
        <w:t xml:space="preserve"> and electrical transformer</w:t>
      </w:r>
    </w:p>
    <w:p w14:paraId="08B1700C" w14:textId="2BC03FBF" w:rsidR="006A4BFC" w:rsidRPr="00236828" w:rsidRDefault="00236828"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INTRODUCTION</w:t>
      </w:r>
    </w:p>
    <w:p w14:paraId="77F0260F" w14:textId="011778EF"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The intensive use of biocides, industrial activities, fertilizers in agriculture, urban waste, and atmospheric deposition have all contributed to a significant rise in anthropogenic pollution and soil contamination around the world in recent decades. The extent of industrialization and the severity of chemical usage are linked to its occurrence. (Dada </w:t>
      </w:r>
      <w:r w:rsidRPr="003E2CF9">
        <w:rPr>
          <w:rFonts w:ascii="Times New Roman" w:hAnsi="Times New Roman" w:cs="Times New Roman"/>
          <w:i/>
          <w:iCs/>
          <w:sz w:val="24"/>
          <w:szCs w:val="24"/>
        </w:rPr>
        <w:t>et al.,</w:t>
      </w:r>
      <w:r w:rsidRPr="006A4BFC">
        <w:rPr>
          <w:rFonts w:ascii="Times New Roman" w:hAnsi="Times New Roman" w:cs="Times New Roman"/>
          <w:sz w:val="24"/>
          <w:szCs w:val="24"/>
        </w:rPr>
        <w:t xml:space="preserve"> 2015) Soil contamination poses a risk to living things since it depletes soil fertility, modifies soil structure, disrupts the balance between flora and fauna in the soil, and pollutes groundwater and crops. The most widespread chemicals found in soil include pesticides, heavy metals, petroleum hydrocarbons, polychlorobiphenyls (PCBs), and dibenzo-p-dioxins/dibenzofurans (PCDD/Fs).</w:t>
      </w:r>
    </w:p>
    <w:p w14:paraId="52F10D20" w14:textId="31D8CE35"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The environment is heavily contaminated by heavy metals from </w:t>
      </w:r>
      <w:r w:rsidR="00236828" w:rsidRPr="006A4BFC">
        <w:rPr>
          <w:rFonts w:ascii="Times New Roman" w:hAnsi="Times New Roman" w:cs="Times New Roman"/>
          <w:sz w:val="24"/>
          <w:szCs w:val="24"/>
        </w:rPr>
        <w:t>man-made</w:t>
      </w:r>
      <w:r w:rsidRPr="006A4BFC">
        <w:rPr>
          <w:rFonts w:ascii="Times New Roman" w:hAnsi="Times New Roman" w:cs="Times New Roman"/>
          <w:sz w:val="24"/>
          <w:szCs w:val="24"/>
        </w:rPr>
        <w:t xml:space="preserve"> sources, with the majority of them eventually ending up in the topsoil layers. Even at low concentrations, these metals are very harmful to the environment. Examples include lead (Pb), mercury (Hg), cadmium (Cd), chromium (Cr), arsenic (As), and micronutrients like copper (Cu), nickel (Ni), and zinc (Zn), which become hazardous above a certain threshold. (Yu Ruilian </w:t>
      </w:r>
      <w:r w:rsidRPr="00236828">
        <w:rPr>
          <w:rFonts w:ascii="Times New Roman" w:hAnsi="Times New Roman" w:cs="Times New Roman"/>
          <w:i/>
          <w:iCs/>
          <w:sz w:val="24"/>
          <w:szCs w:val="24"/>
        </w:rPr>
        <w:t>et al.,</w:t>
      </w:r>
      <w:r w:rsidRPr="006A4BFC">
        <w:rPr>
          <w:rFonts w:ascii="Times New Roman" w:hAnsi="Times New Roman" w:cs="Times New Roman"/>
          <w:sz w:val="24"/>
          <w:szCs w:val="24"/>
        </w:rPr>
        <w:t xml:space="preserve"> 2008; Arora et al., 2008)</w:t>
      </w:r>
    </w:p>
    <w:p w14:paraId="04917240" w14:textId="77777777" w:rsidR="006A4BFC" w:rsidRPr="006A4BFC" w:rsidRDefault="006A4BFC" w:rsidP="006A4BFC">
      <w:pPr>
        <w:jc w:val="both"/>
        <w:rPr>
          <w:rFonts w:ascii="Times New Roman" w:hAnsi="Times New Roman" w:cs="Times New Roman"/>
          <w:sz w:val="24"/>
          <w:szCs w:val="24"/>
        </w:rPr>
      </w:pPr>
    </w:p>
    <w:p w14:paraId="451BC671" w14:textId="7C872969"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Heavy metals can come from a variety of places, including pesticides, fertilizers, organic and inorganic soil treatments, mining, wastes, and sludge residues (Capri and Trevisan, 2002). Unlike </w:t>
      </w:r>
      <w:r w:rsidRPr="006A4BFC">
        <w:rPr>
          <w:rFonts w:ascii="Times New Roman" w:hAnsi="Times New Roman" w:cs="Times New Roman"/>
          <w:sz w:val="24"/>
          <w:szCs w:val="24"/>
        </w:rPr>
        <w:lastRenderedPageBreak/>
        <w:t>hazardous organic molecules, heavy metals do not break down and remain in the soil, even if their release into the environment can be controlled (Brusseau, 1997). Due to their inorganic character, heavy metals are not broken down by any biological or physical mechanism, which contributes to their extended stay in the environmental matrix. Additionally, soil organisms can readily absorb them due to their bioavailability. As a result, the effects of heavy metal pollution on soil organisms and decomposition processes last for several years.</w:t>
      </w:r>
    </w:p>
    <w:p w14:paraId="60426843" w14:textId="383E5792"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Invertebrates in the soil offer a wide range of ecosystem services that are essential to the long-term viability of agriculture. Soil biodiversity promotes self-sustaining ecosystem functions that drive specialized activities such as maintaining soil structure, cycling nutrients, converting carbohydrates, and controlling pests and diseases (</w:t>
      </w:r>
      <w:proofErr w:type="spellStart"/>
      <w:r w:rsidRPr="006A4BFC">
        <w:rPr>
          <w:rFonts w:ascii="Times New Roman" w:hAnsi="Times New Roman" w:cs="Times New Roman"/>
          <w:sz w:val="24"/>
          <w:szCs w:val="24"/>
        </w:rPr>
        <w:t>Perrings</w:t>
      </w:r>
      <w:proofErr w:type="spellEnd"/>
      <w:r w:rsidRPr="006A4BFC">
        <w:rPr>
          <w:rFonts w:ascii="Times New Roman" w:hAnsi="Times New Roman" w:cs="Times New Roman"/>
          <w:sz w:val="24"/>
          <w:szCs w:val="24"/>
        </w:rPr>
        <w:t xml:space="preserve"> </w:t>
      </w:r>
      <w:r w:rsidRPr="003E2CF9">
        <w:rPr>
          <w:rFonts w:ascii="Times New Roman" w:hAnsi="Times New Roman" w:cs="Times New Roman"/>
          <w:i/>
          <w:iCs/>
          <w:sz w:val="24"/>
          <w:szCs w:val="24"/>
        </w:rPr>
        <w:t>et al.,</w:t>
      </w:r>
      <w:r w:rsidRPr="006A4BFC">
        <w:rPr>
          <w:rFonts w:ascii="Times New Roman" w:hAnsi="Times New Roman" w:cs="Times New Roman"/>
          <w:sz w:val="24"/>
          <w:szCs w:val="24"/>
        </w:rPr>
        <w:t xml:space="preserve"> 2006; </w:t>
      </w:r>
      <w:proofErr w:type="spellStart"/>
      <w:r w:rsidRPr="006A4BFC">
        <w:rPr>
          <w:rFonts w:ascii="Times New Roman" w:hAnsi="Times New Roman" w:cs="Times New Roman"/>
          <w:sz w:val="24"/>
          <w:szCs w:val="24"/>
        </w:rPr>
        <w:t>Kibblewhite</w:t>
      </w:r>
      <w:proofErr w:type="spellEnd"/>
      <w:r w:rsidRPr="006A4BFC">
        <w:rPr>
          <w:rFonts w:ascii="Times New Roman" w:hAnsi="Times New Roman" w:cs="Times New Roman"/>
          <w:sz w:val="24"/>
          <w:szCs w:val="24"/>
        </w:rPr>
        <w:t xml:space="preserve"> </w:t>
      </w:r>
      <w:r w:rsidRPr="003E2CF9">
        <w:rPr>
          <w:rFonts w:ascii="Times New Roman" w:hAnsi="Times New Roman" w:cs="Times New Roman"/>
          <w:i/>
          <w:iCs/>
          <w:sz w:val="24"/>
          <w:szCs w:val="24"/>
        </w:rPr>
        <w:t>et al.,</w:t>
      </w:r>
      <w:r w:rsidRPr="006A4BFC">
        <w:rPr>
          <w:rFonts w:ascii="Times New Roman" w:hAnsi="Times New Roman" w:cs="Times New Roman"/>
          <w:sz w:val="24"/>
          <w:szCs w:val="24"/>
        </w:rPr>
        <w:t xml:space="preserve"> 2008; Chagnon </w:t>
      </w:r>
      <w:r w:rsidRPr="003E2CF9">
        <w:rPr>
          <w:rFonts w:ascii="Times New Roman" w:hAnsi="Times New Roman" w:cs="Times New Roman"/>
          <w:i/>
          <w:iCs/>
          <w:sz w:val="24"/>
          <w:szCs w:val="24"/>
        </w:rPr>
        <w:t>et al.,</w:t>
      </w:r>
      <w:r w:rsidRPr="006A4BFC">
        <w:rPr>
          <w:rFonts w:ascii="Times New Roman" w:hAnsi="Times New Roman" w:cs="Times New Roman"/>
          <w:sz w:val="24"/>
          <w:szCs w:val="24"/>
        </w:rPr>
        <w:t xml:space="preserve"> 2015). The burrowing behavior of soil creatures changes the porosity of the soil, which improves aeration, water infiltration</w:t>
      </w:r>
      <w:r w:rsidR="003E2CF9">
        <w:rPr>
          <w:rFonts w:ascii="Times New Roman" w:hAnsi="Times New Roman" w:cs="Times New Roman"/>
          <w:sz w:val="24"/>
          <w:szCs w:val="24"/>
        </w:rPr>
        <w:t>,</w:t>
      </w:r>
      <w:r w:rsidRPr="006A4BFC">
        <w:rPr>
          <w:rFonts w:ascii="Times New Roman" w:hAnsi="Times New Roman" w:cs="Times New Roman"/>
          <w:sz w:val="24"/>
          <w:szCs w:val="24"/>
        </w:rPr>
        <w:t xml:space="preserve"> and retention, and lowers compaction. Woodlice, millipedes, earthworms, springtails, and nematodes transform rotting material and minerals into beneficial forms, cycle nutrients, and enhance soil fertility.</w:t>
      </w:r>
    </w:p>
    <w:p w14:paraId="0FFF1AA6" w14:textId="5179A026"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Due to their impact on the soil's physical, chemical, and microbiological qualities, earthworms are thought of as soil engineers. In the majority of terrestrial ecosystems, they are essential for the creation of soil and the breakdown of organic matter. Historically, they have been thought of as practical indicators of land use effects and soil fertility. They aid in soil profile and pedogenesis (Barlett </w:t>
      </w:r>
      <w:r w:rsidRPr="00236828">
        <w:rPr>
          <w:rFonts w:ascii="Times New Roman" w:hAnsi="Times New Roman" w:cs="Times New Roman"/>
          <w:i/>
          <w:iCs/>
          <w:sz w:val="24"/>
          <w:szCs w:val="24"/>
        </w:rPr>
        <w:t>et al.,</w:t>
      </w:r>
      <w:r w:rsidRPr="006A4BFC">
        <w:rPr>
          <w:rFonts w:ascii="Times New Roman" w:hAnsi="Times New Roman" w:cs="Times New Roman"/>
          <w:sz w:val="24"/>
          <w:szCs w:val="24"/>
        </w:rPr>
        <w:t xml:space="preserve"> 2010) as well as in boosting soil fertility. Specifically, earthworms may boost the mineralization and humification of organic matter through food consumption, respiration, and gut transit (Lavelle and Spain 2001). Through their casting behavior and by boosting the surface area of organic particles, they may indirectly promote </w:t>
      </w:r>
      <w:r w:rsidR="00236828" w:rsidRPr="006A4BFC">
        <w:rPr>
          <w:rFonts w:ascii="Times New Roman" w:hAnsi="Times New Roman" w:cs="Times New Roman"/>
          <w:sz w:val="24"/>
          <w:szCs w:val="24"/>
        </w:rPr>
        <w:t>the mobilization</w:t>
      </w:r>
      <w:r w:rsidRPr="006A4BFC">
        <w:rPr>
          <w:rFonts w:ascii="Times New Roman" w:hAnsi="Times New Roman" w:cs="Times New Roman"/>
          <w:sz w:val="24"/>
          <w:szCs w:val="24"/>
        </w:rPr>
        <w:t xml:space="preserve"> of nutrients as well as microbial mass and activity (</w:t>
      </w:r>
      <w:proofErr w:type="spellStart"/>
      <w:r w:rsidRPr="006A4BFC">
        <w:rPr>
          <w:rFonts w:ascii="Times New Roman" w:hAnsi="Times New Roman" w:cs="Times New Roman"/>
          <w:sz w:val="24"/>
          <w:szCs w:val="24"/>
        </w:rPr>
        <w:t>Emmerling</w:t>
      </w:r>
      <w:proofErr w:type="spellEnd"/>
      <w:r w:rsidRPr="006A4BFC">
        <w:rPr>
          <w:rFonts w:ascii="Times New Roman" w:hAnsi="Times New Roman" w:cs="Times New Roman"/>
          <w:sz w:val="24"/>
          <w:szCs w:val="24"/>
        </w:rPr>
        <w:t xml:space="preserve"> and </w:t>
      </w:r>
      <w:proofErr w:type="spellStart"/>
      <w:r w:rsidRPr="006A4BFC">
        <w:rPr>
          <w:rFonts w:ascii="Times New Roman" w:hAnsi="Times New Roman" w:cs="Times New Roman"/>
          <w:sz w:val="24"/>
          <w:szCs w:val="24"/>
        </w:rPr>
        <w:t>Paulsch</w:t>
      </w:r>
      <w:proofErr w:type="spellEnd"/>
      <w:r w:rsidRPr="006A4BFC">
        <w:rPr>
          <w:rFonts w:ascii="Times New Roman" w:hAnsi="Times New Roman" w:cs="Times New Roman"/>
          <w:sz w:val="24"/>
          <w:szCs w:val="24"/>
        </w:rPr>
        <w:t xml:space="preserve"> 2001). The majority of earthworm activity occurs on soil microorganisms. Earthworms are essential for the spread and propagation of microorganisms. The soil affected by earthworms is often seen to have a high amount of microbial activity and biomass (Hoang </w:t>
      </w:r>
      <w:r w:rsidRPr="00236828">
        <w:rPr>
          <w:rFonts w:ascii="Times New Roman" w:hAnsi="Times New Roman" w:cs="Times New Roman"/>
          <w:i/>
          <w:iCs/>
          <w:sz w:val="24"/>
          <w:szCs w:val="24"/>
        </w:rPr>
        <w:t>et al.</w:t>
      </w:r>
      <w:r w:rsidR="00236828" w:rsidRPr="00236828">
        <w:rPr>
          <w:rFonts w:ascii="Times New Roman" w:hAnsi="Times New Roman" w:cs="Times New Roman"/>
          <w:i/>
          <w:iCs/>
          <w:sz w:val="24"/>
          <w:szCs w:val="24"/>
        </w:rPr>
        <w:t>,</w:t>
      </w:r>
      <w:r w:rsidR="00236828">
        <w:rPr>
          <w:rFonts w:ascii="Times New Roman" w:hAnsi="Times New Roman" w:cs="Times New Roman"/>
          <w:sz w:val="24"/>
          <w:szCs w:val="24"/>
        </w:rPr>
        <w:t xml:space="preserve"> </w:t>
      </w:r>
      <w:r w:rsidRPr="006A4BFC">
        <w:rPr>
          <w:rFonts w:ascii="Times New Roman" w:hAnsi="Times New Roman" w:cs="Times New Roman"/>
          <w:sz w:val="24"/>
          <w:szCs w:val="24"/>
        </w:rPr>
        <w:t>2016).</w:t>
      </w:r>
    </w:p>
    <w:p w14:paraId="48ADF9F1" w14:textId="2BA5968E" w:rsidR="006A4BFC" w:rsidRPr="006A4BFC" w:rsidRDefault="003E2CF9" w:rsidP="006A4BFC">
      <w:pPr>
        <w:jc w:val="both"/>
        <w:rPr>
          <w:rFonts w:ascii="Times New Roman" w:hAnsi="Times New Roman" w:cs="Times New Roman"/>
          <w:sz w:val="24"/>
          <w:szCs w:val="24"/>
        </w:rPr>
      </w:pPr>
      <w:r>
        <w:rPr>
          <w:rFonts w:ascii="Times New Roman" w:hAnsi="Times New Roman" w:cs="Times New Roman"/>
          <w:sz w:val="24"/>
          <w:szCs w:val="24"/>
        </w:rPr>
        <w:t xml:space="preserve">In general, soil contamination with heavy metals and metalloids negatively affects earthworms because they can absorb these substances through two potential routes: dermal and gut exposure (Leveque </w:t>
      </w:r>
      <w:r w:rsidRPr="003E2CF9">
        <w:rPr>
          <w:rFonts w:ascii="Times New Roman" w:hAnsi="Times New Roman" w:cs="Times New Roman"/>
          <w:i/>
          <w:iCs/>
          <w:sz w:val="24"/>
          <w:szCs w:val="24"/>
        </w:rPr>
        <w:t>et al.,</w:t>
      </w:r>
      <w:r>
        <w:rPr>
          <w:rFonts w:ascii="Times New Roman" w:hAnsi="Times New Roman" w:cs="Times New Roman"/>
          <w:sz w:val="24"/>
          <w:szCs w:val="24"/>
        </w:rPr>
        <w:t xml:space="preserve"> 2013; Garcia-Velasco </w:t>
      </w:r>
      <w:r w:rsidRPr="003E2CF9">
        <w:rPr>
          <w:rFonts w:ascii="Times New Roman" w:hAnsi="Times New Roman" w:cs="Times New Roman"/>
          <w:i/>
          <w:iCs/>
          <w:sz w:val="24"/>
          <w:szCs w:val="24"/>
        </w:rPr>
        <w:t>et al.,</w:t>
      </w:r>
      <w:r>
        <w:rPr>
          <w:rFonts w:ascii="Times New Roman" w:hAnsi="Times New Roman" w:cs="Times New Roman"/>
          <w:sz w:val="24"/>
          <w:szCs w:val="24"/>
        </w:rPr>
        <w:t xml:space="preserve"> 2016). Oxidative stress is the primary toxic consequence (Wang and Cui, 2016; Yan </w:t>
      </w:r>
      <w:r w:rsidRPr="003E2CF9">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555A6FC3" w14:textId="5D29B1E5"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Furthermore, their continuous burrowing and eating activities greatly contribute to the creation and increase of soil micro habitats, which </w:t>
      </w:r>
      <w:r w:rsidR="003E2CF9">
        <w:rPr>
          <w:rFonts w:ascii="Times New Roman" w:hAnsi="Times New Roman" w:cs="Times New Roman"/>
          <w:sz w:val="24"/>
          <w:szCs w:val="24"/>
        </w:rPr>
        <w:t>have</w:t>
      </w:r>
      <w:r w:rsidRPr="006A4BFC">
        <w:rPr>
          <w:rFonts w:ascii="Times New Roman" w:hAnsi="Times New Roman" w:cs="Times New Roman"/>
          <w:sz w:val="24"/>
          <w:szCs w:val="24"/>
        </w:rPr>
        <w:t xml:space="preserve"> a significant impact on both the above- and belowground ecosystems. The most visible physical alterations brought about by earthworms are improved soil porosity, water infiltration, soil aeration, and plant root growth (</w:t>
      </w:r>
      <w:proofErr w:type="spellStart"/>
      <w:r w:rsidRPr="006A4BFC">
        <w:rPr>
          <w:rFonts w:ascii="Times New Roman" w:hAnsi="Times New Roman" w:cs="Times New Roman"/>
          <w:sz w:val="24"/>
          <w:szCs w:val="24"/>
        </w:rPr>
        <w:t>Capowiez</w:t>
      </w:r>
      <w:proofErr w:type="spellEnd"/>
      <w:r w:rsidRPr="006A4BFC">
        <w:rPr>
          <w:rFonts w:ascii="Times New Roman" w:hAnsi="Times New Roman" w:cs="Times New Roman"/>
          <w:sz w:val="24"/>
          <w:szCs w:val="24"/>
        </w:rPr>
        <w:t xml:space="preserve"> </w:t>
      </w:r>
      <w:r w:rsidRPr="003E2CF9">
        <w:rPr>
          <w:rFonts w:ascii="Times New Roman" w:hAnsi="Times New Roman" w:cs="Times New Roman"/>
          <w:i/>
          <w:iCs/>
          <w:sz w:val="24"/>
          <w:szCs w:val="24"/>
        </w:rPr>
        <w:t>et al.,</w:t>
      </w:r>
      <w:r w:rsidRPr="006A4BFC">
        <w:rPr>
          <w:rFonts w:ascii="Times New Roman" w:hAnsi="Times New Roman" w:cs="Times New Roman"/>
          <w:sz w:val="24"/>
          <w:szCs w:val="24"/>
        </w:rPr>
        <w:t xml:space="preserve"> 2014).</w:t>
      </w:r>
    </w:p>
    <w:p w14:paraId="097E642F" w14:textId="77777777"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As they move through the soil, earthworms construct tunnels. These tunnels are able to remain in the ground for a very long period of time. Earthworm burrows increase soil porosity, which causes more air and water to enter the soil. Furthermore, greater porosity encourages root growth and lowers overall density. Earthworm casts enhance soil fertility because they contain nitrogen, </w:t>
      </w:r>
      <w:r w:rsidRPr="006A4BFC">
        <w:rPr>
          <w:rFonts w:ascii="Times New Roman" w:hAnsi="Times New Roman" w:cs="Times New Roman"/>
          <w:sz w:val="24"/>
          <w:szCs w:val="24"/>
        </w:rPr>
        <w:lastRenderedPageBreak/>
        <w:t>phosphorous, potassium, and magnesium. Earthworm casts also contain microorganisms, and their population increases as their stomachs break down organic waste. Reference</w:t>
      </w:r>
    </w:p>
    <w:p w14:paraId="407592AE" w14:textId="0A0C231A"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The recycling of nutrients from organic waste and the development of </w:t>
      </w:r>
      <w:proofErr w:type="gramStart"/>
      <w:r w:rsidR="00435627">
        <w:rPr>
          <w:rFonts w:ascii="Times New Roman" w:hAnsi="Times New Roman" w:cs="Times New Roman"/>
          <w:sz w:val="24"/>
          <w:szCs w:val="24"/>
        </w:rPr>
        <w:t>microbes</w:t>
      </w:r>
      <w:proofErr w:type="gramEnd"/>
      <w:r w:rsidRPr="006A4BFC">
        <w:rPr>
          <w:rFonts w:ascii="Times New Roman" w:hAnsi="Times New Roman" w:cs="Times New Roman"/>
          <w:sz w:val="24"/>
          <w:szCs w:val="24"/>
        </w:rPr>
        <w:t xml:space="preserve"> aid in the growth of plants (</w:t>
      </w:r>
      <w:proofErr w:type="spellStart"/>
      <w:r w:rsidRPr="006A4BFC">
        <w:rPr>
          <w:rFonts w:ascii="Times New Roman" w:hAnsi="Times New Roman" w:cs="Times New Roman"/>
          <w:sz w:val="24"/>
          <w:szCs w:val="24"/>
        </w:rPr>
        <w:t>Akhila</w:t>
      </w:r>
      <w:proofErr w:type="spellEnd"/>
      <w:r w:rsidRPr="006A4BFC">
        <w:rPr>
          <w:rFonts w:ascii="Times New Roman" w:hAnsi="Times New Roman" w:cs="Times New Roman"/>
          <w:sz w:val="24"/>
          <w:szCs w:val="24"/>
        </w:rPr>
        <w:t xml:space="preserve"> and </w:t>
      </w:r>
      <w:proofErr w:type="spellStart"/>
      <w:r w:rsidRPr="006A4BFC">
        <w:rPr>
          <w:rFonts w:ascii="Times New Roman" w:hAnsi="Times New Roman" w:cs="Times New Roman"/>
          <w:sz w:val="24"/>
          <w:szCs w:val="24"/>
        </w:rPr>
        <w:t>Entoori</w:t>
      </w:r>
      <w:proofErr w:type="spellEnd"/>
      <w:r w:rsidRPr="006A4BFC">
        <w:rPr>
          <w:rFonts w:ascii="Times New Roman" w:hAnsi="Times New Roman" w:cs="Times New Roman"/>
          <w:sz w:val="24"/>
          <w:szCs w:val="24"/>
        </w:rPr>
        <w:t xml:space="preserve">, 2022). Earthworms can increase plant output by promoting the development of both roots and shoots. According to Xiao et al. (2018), variations in soil texture and nutrient mineralization brought about by earthworms resulted in a 20% rise in plant development. By enhancing the chemical defenses of plants, these creatures promote plant resistance to pests (Wurst, 2010; Xiao </w:t>
      </w:r>
      <w:r w:rsidRPr="003E2CF9">
        <w:rPr>
          <w:rFonts w:ascii="Times New Roman" w:hAnsi="Times New Roman" w:cs="Times New Roman"/>
          <w:i/>
          <w:iCs/>
          <w:sz w:val="24"/>
          <w:szCs w:val="24"/>
        </w:rPr>
        <w:t>et al.,</w:t>
      </w:r>
      <w:r w:rsidRPr="006A4BFC">
        <w:rPr>
          <w:rFonts w:ascii="Times New Roman" w:hAnsi="Times New Roman" w:cs="Times New Roman"/>
          <w:sz w:val="24"/>
          <w:szCs w:val="24"/>
        </w:rPr>
        <w:t xml:space="preserve"> 2018; Sanchez-Hernandez, 2019).</w:t>
      </w:r>
    </w:p>
    <w:p w14:paraId="7988E3F1" w14:textId="640AB497"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The important role of soil </w:t>
      </w:r>
      <w:r w:rsidR="008A69C2">
        <w:rPr>
          <w:rFonts w:ascii="Times New Roman" w:hAnsi="Times New Roman" w:cs="Times New Roman"/>
          <w:sz w:val="24"/>
          <w:szCs w:val="24"/>
        </w:rPr>
        <w:t>organisms,</w:t>
      </w:r>
      <w:r w:rsidRPr="006A4BFC">
        <w:rPr>
          <w:rFonts w:ascii="Times New Roman" w:hAnsi="Times New Roman" w:cs="Times New Roman"/>
          <w:sz w:val="24"/>
          <w:szCs w:val="24"/>
        </w:rPr>
        <w:t xml:space="preserve"> especially </w:t>
      </w:r>
      <w:r w:rsidR="008A69C2">
        <w:rPr>
          <w:rFonts w:ascii="Times New Roman" w:hAnsi="Times New Roman" w:cs="Times New Roman"/>
          <w:sz w:val="24"/>
          <w:szCs w:val="24"/>
        </w:rPr>
        <w:t>earthworms,</w:t>
      </w:r>
      <w:r w:rsidRPr="006A4BFC">
        <w:rPr>
          <w:rFonts w:ascii="Times New Roman" w:hAnsi="Times New Roman" w:cs="Times New Roman"/>
          <w:sz w:val="24"/>
          <w:szCs w:val="24"/>
        </w:rPr>
        <w:t xml:space="preserve"> in the fertility of the soil cannot be </w:t>
      </w:r>
      <w:r w:rsidR="008A69C2">
        <w:rPr>
          <w:rFonts w:ascii="Times New Roman" w:hAnsi="Times New Roman" w:cs="Times New Roman"/>
          <w:sz w:val="24"/>
          <w:szCs w:val="24"/>
        </w:rPr>
        <w:t>overemphasized. The</w:t>
      </w:r>
      <w:r w:rsidRPr="006A4BFC">
        <w:rPr>
          <w:rFonts w:ascii="Times New Roman" w:hAnsi="Times New Roman" w:cs="Times New Roman"/>
          <w:sz w:val="24"/>
          <w:szCs w:val="24"/>
        </w:rPr>
        <w:t xml:space="preserve"> effect of </w:t>
      </w:r>
      <w:r w:rsidR="008A69C2">
        <w:rPr>
          <w:rFonts w:ascii="Times New Roman" w:hAnsi="Times New Roman" w:cs="Times New Roman"/>
          <w:sz w:val="24"/>
          <w:szCs w:val="24"/>
        </w:rPr>
        <w:t>pollutants</w:t>
      </w:r>
      <w:r w:rsidRPr="006A4BFC">
        <w:rPr>
          <w:rFonts w:ascii="Times New Roman" w:hAnsi="Times New Roman" w:cs="Times New Roman"/>
          <w:sz w:val="24"/>
          <w:szCs w:val="24"/>
        </w:rPr>
        <w:t xml:space="preserve"> on the soil can be </w:t>
      </w:r>
      <w:r w:rsidR="008A69C2">
        <w:rPr>
          <w:rFonts w:ascii="Times New Roman" w:hAnsi="Times New Roman" w:cs="Times New Roman"/>
          <w:sz w:val="24"/>
          <w:szCs w:val="24"/>
        </w:rPr>
        <w:t>monitored</w:t>
      </w:r>
      <w:r w:rsidRPr="006A4BFC">
        <w:rPr>
          <w:rFonts w:ascii="Times New Roman" w:hAnsi="Times New Roman" w:cs="Times New Roman"/>
          <w:sz w:val="24"/>
          <w:szCs w:val="24"/>
        </w:rPr>
        <w:t xml:space="preserve"> with </w:t>
      </w:r>
      <w:r w:rsidR="008A69C2">
        <w:rPr>
          <w:rFonts w:ascii="Times New Roman" w:hAnsi="Times New Roman" w:cs="Times New Roman"/>
          <w:sz w:val="24"/>
          <w:szCs w:val="24"/>
        </w:rPr>
        <w:t>earthworms</w:t>
      </w:r>
      <w:r w:rsidRPr="006A4BFC">
        <w:rPr>
          <w:rFonts w:ascii="Times New Roman" w:hAnsi="Times New Roman" w:cs="Times New Roman"/>
          <w:sz w:val="24"/>
          <w:szCs w:val="24"/>
        </w:rPr>
        <w:t xml:space="preserve">, hence    </w:t>
      </w:r>
    </w:p>
    <w:p w14:paraId="6AD1300E" w14:textId="670BAC58" w:rsidR="006A4BFC" w:rsidRDefault="008A69C2" w:rsidP="006A4BFC">
      <w:pPr>
        <w:jc w:val="both"/>
        <w:rPr>
          <w:rFonts w:ascii="Times New Roman" w:hAnsi="Times New Roman" w:cs="Times New Roman"/>
          <w:sz w:val="24"/>
          <w:szCs w:val="24"/>
        </w:rPr>
      </w:pPr>
      <w:r>
        <w:rPr>
          <w:rFonts w:ascii="Times New Roman" w:hAnsi="Times New Roman" w:cs="Times New Roman"/>
          <w:sz w:val="24"/>
          <w:szCs w:val="24"/>
        </w:rPr>
        <w:t>The</w:t>
      </w:r>
      <w:r w:rsidR="006A4BFC" w:rsidRPr="006A4BFC">
        <w:rPr>
          <w:rFonts w:ascii="Times New Roman" w:hAnsi="Times New Roman" w:cs="Times New Roman"/>
          <w:sz w:val="24"/>
          <w:szCs w:val="24"/>
        </w:rPr>
        <w:t xml:space="preserve"> study was therefore aimed </w:t>
      </w:r>
      <w:r w:rsidR="003E2CF9">
        <w:rPr>
          <w:rFonts w:ascii="Times New Roman" w:hAnsi="Times New Roman" w:cs="Times New Roman"/>
          <w:sz w:val="24"/>
          <w:szCs w:val="24"/>
        </w:rPr>
        <w:t>at investigating</w:t>
      </w:r>
      <w:r w:rsidR="006A4BFC" w:rsidRPr="006A4BFC">
        <w:rPr>
          <w:rFonts w:ascii="Times New Roman" w:hAnsi="Times New Roman" w:cs="Times New Roman"/>
          <w:sz w:val="24"/>
          <w:szCs w:val="24"/>
        </w:rPr>
        <w:t xml:space="preserve"> the physicochemical properties and accumulation of some heavy metals from contaminated soil from </w:t>
      </w:r>
      <w:r>
        <w:rPr>
          <w:rFonts w:ascii="Times New Roman" w:hAnsi="Times New Roman" w:cs="Times New Roman"/>
          <w:sz w:val="24"/>
          <w:szCs w:val="24"/>
        </w:rPr>
        <w:t xml:space="preserve">the </w:t>
      </w:r>
      <w:r w:rsidR="006A4BFC" w:rsidRPr="006A4BFC">
        <w:rPr>
          <w:rFonts w:ascii="Times New Roman" w:hAnsi="Times New Roman" w:cs="Times New Roman"/>
          <w:sz w:val="24"/>
          <w:szCs w:val="24"/>
        </w:rPr>
        <w:t xml:space="preserve">thermal power station by </w:t>
      </w:r>
      <w:r>
        <w:rPr>
          <w:rFonts w:ascii="Times New Roman" w:hAnsi="Times New Roman" w:cs="Times New Roman"/>
          <w:sz w:val="24"/>
          <w:szCs w:val="24"/>
        </w:rPr>
        <w:t>earthworms</w:t>
      </w:r>
      <w:r w:rsidR="006A4BFC" w:rsidRPr="006A4BFC">
        <w:rPr>
          <w:rFonts w:ascii="Times New Roman" w:hAnsi="Times New Roman" w:cs="Times New Roman"/>
          <w:sz w:val="24"/>
          <w:szCs w:val="24"/>
        </w:rPr>
        <w:t>.</w:t>
      </w:r>
    </w:p>
    <w:p w14:paraId="5BBABB30" w14:textId="77777777" w:rsidR="00FD1E3F" w:rsidRPr="006A4BFC" w:rsidRDefault="00FD1E3F" w:rsidP="006A4BFC">
      <w:pPr>
        <w:jc w:val="both"/>
        <w:rPr>
          <w:rFonts w:ascii="Times New Roman" w:hAnsi="Times New Roman" w:cs="Times New Roman"/>
          <w:sz w:val="24"/>
          <w:szCs w:val="24"/>
        </w:rPr>
      </w:pPr>
    </w:p>
    <w:p w14:paraId="762D6E50" w14:textId="63E2FAC3" w:rsidR="006A4BFC" w:rsidRPr="00FD1E3F" w:rsidRDefault="006A4BFC" w:rsidP="006A4BFC">
      <w:pPr>
        <w:jc w:val="both"/>
        <w:rPr>
          <w:rFonts w:ascii="Times New Roman" w:hAnsi="Times New Roman" w:cs="Times New Roman"/>
          <w:b/>
          <w:bCs/>
          <w:sz w:val="24"/>
          <w:szCs w:val="24"/>
        </w:rPr>
      </w:pPr>
      <w:r w:rsidRPr="00FD1E3F">
        <w:rPr>
          <w:rFonts w:ascii="Times New Roman" w:hAnsi="Times New Roman" w:cs="Times New Roman"/>
          <w:b/>
          <w:bCs/>
          <w:sz w:val="24"/>
          <w:szCs w:val="24"/>
        </w:rPr>
        <w:t>MATERIALS AND METHODS</w:t>
      </w:r>
    </w:p>
    <w:p w14:paraId="0B24F149" w14:textId="216BF5B1" w:rsidR="006A4BFC" w:rsidRPr="00FD1E3F" w:rsidRDefault="006A4BFC" w:rsidP="006A4BFC">
      <w:pPr>
        <w:jc w:val="both"/>
        <w:rPr>
          <w:rFonts w:ascii="Times New Roman" w:hAnsi="Times New Roman" w:cs="Times New Roman"/>
          <w:b/>
          <w:bCs/>
          <w:sz w:val="24"/>
          <w:szCs w:val="24"/>
        </w:rPr>
      </w:pPr>
      <w:r w:rsidRPr="00FD1E3F">
        <w:rPr>
          <w:rFonts w:ascii="Times New Roman" w:hAnsi="Times New Roman" w:cs="Times New Roman"/>
          <w:b/>
          <w:bCs/>
          <w:sz w:val="24"/>
          <w:szCs w:val="24"/>
        </w:rPr>
        <w:t>Materials</w:t>
      </w:r>
    </w:p>
    <w:p w14:paraId="23493AD0" w14:textId="488A8BD9" w:rsidR="006A4BFC" w:rsidRPr="00236828" w:rsidRDefault="006A4BFC"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 xml:space="preserve">The oil and </w:t>
      </w:r>
      <w:r w:rsidR="00B70CB5">
        <w:rPr>
          <w:rFonts w:ascii="Times New Roman" w:hAnsi="Times New Roman" w:cs="Times New Roman"/>
          <w:b/>
          <w:bCs/>
          <w:sz w:val="24"/>
          <w:szCs w:val="24"/>
        </w:rPr>
        <w:t>condensate</w:t>
      </w:r>
      <w:r w:rsidRPr="00236828">
        <w:rPr>
          <w:rFonts w:ascii="Times New Roman" w:hAnsi="Times New Roman" w:cs="Times New Roman"/>
          <w:b/>
          <w:bCs/>
          <w:sz w:val="24"/>
          <w:szCs w:val="24"/>
        </w:rPr>
        <w:t xml:space="preserve"> samples</w:t>
      </w:r>
    </w:p>
    <w:p w14:paraId="4B62075E" w14:textId="467D6CBE"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The used electrical transformer oil was collected from the electrical transformer within the power station</w:t>
      </w:r>
      <w:r w:rsidR="003E2CF9">
        <w:rPr>
          <w:rFonts w:ascii="Times New Roman" w:hAnsi="Times New Roman" w:cs="Times New Roman"/>
          <w:sz w:val="24"/>
          <w:szCs w:val="24"/>
        </w:rPr>
        <w:t>,</w:t>
      </w:r>
      <w:r w:rsidRPr="006A4BFC">
        <w:rPr>
          <w:rFonts w:ascii="Times New Roman" w:hAnsi="Times New Roman" w:cs="Times New Roman"/>
          <w:sz w:val="24"/>
          <w:szCs w:val="24"/>
        </w:rPr>
        <w:t xml:space="preserve"> while the condensate was collected from the condensate tank within the thermal plant.</w:t>
      </w:r>
    </w:p>
    <w:p w14:paraId="0AC177C5" w14:textId="77777777" w:rsidR="006A4BFC" w:rsidRPr="00236828" w:rsidRDefault="006A4BFC"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Soil Samples</w:t>
      </w:r>
    </w:p>
    <w:p w14:paraId="3B1C7325" w14:textId="7FA6437F"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 At a depth of 0 to 15 cm, a </w:t>
      </w:r>
      <w:r w:rsidR="00236828" w:rsidRPr="006A4BFC">
        <w:rPr>
          <w:rFonts w:ascii="Times New Roman" w:hAnsi="Times New Roman" w:cs="Times New Roman"/>
          <w:sz w:val="24"/>
          <w:szCs w:val="24"/>
        </w:rPr>
        <w:t>stainless-steel</w:t>
      </w:r>
      <w:r w:rsidRPr="006A4BFC">
        <w:rPr>
          <w:rFonts w:ascii="Times New Roman" w:hAnsi="Times New Roman" w:cs="Times New Roman"/>
          <w:sz w:val="24"/>
          <w:szCs w:val="24"/>
        </w:rPr>
        <w:t xml:space="preserve"> shovel was used to collect soil samples from both the electrical transformer site and the condensate dumping location. The samples were taken to the lab after being wrapped in aluminum foil and placed in clean polyethylene bags. After being air-dried at room temperature, the soil samples were ground to powder using a lab mortar and pestle, then passed through a 2 mm sieve.</w:t>
      </w:r>
    </w:p>
    <w:p w14:paraId="4D7A1D38" w14:textId="77777777" w:rsidR="006A4BFC" w:rsidRPr="00236828" w:rsidRDefault="006A4BFC"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The Earthworm</w:t>
      </w:r>
    </w:p>
    <w:p w14:paraId="39E15562" w14:textId="6B02BF1B"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The earthworms were conditioned for four weeks after being hand-sorted </w:t>
      </w:r>
      <w:r w:rsidR="00236828" w:rsidRPr="006A4BFC">
        <w:rPr>
          <w:rFonts w:ascii="Times New Roman" w:hAnsi="Times New Roman" w:cs="Times New Roman"/>
          <w:sz w:val="24"/>
          <w:szCs w:val="24"/>
        </w:rPr>
        <w:t>from an</w:t>
      </w:r>
      <w:r w:rsidRPr="006A4BFC">
        <w:rPr>
          <w:rFonts w:ascii="Times New Roman" w:hAnsi="Times New Roman" w:cs="Times New Roman"/>
          <w:sz w:val="24"/>
          <w:szCs w:val="24"/>
        </w:rPr>
        <w:t xml:space="preserve"> unpolluted garden during the rainy season. </w:t>
      </w:r>
      <w:r w:rsidR="00B70CB5">
        <w:rPr>
          <w:rFonts w:ascii="Times New Roman" w:hAnsi="Times New Roman" w:cs="Times New Roman"/>
          <w:sz w:val="24"/>
          <w:szCs w:val="24"/>
        </w:rPr>
        <w:t>Before</w:t>
      </w:r>
      <w:r w:rsidRPr="006A4BFC">
        <w:rPr>
          <w:rFonts w:ascii="Times New Roman" w:hAnsi="Times New Roman" w:cs="Times New Roman"/>
          <w:sz w:val="24"/>
          <w:szCs w:val="24"/>
        </w:rPr>
        <w:t xml:space="preserve"> exposure, adult earthworms were identified and given a taxonomic assignment. They were kept on damp filter paper in a tray covered with a net for 24 hours in order to empty the contents of their gut. All the earthworms used in this experiment were </w:t>
      </w:r>
      <w:r w:rsidR="00B70CB5">
        <w:rPr>
          <w:rFonts w:ascii="Times New Roman" w:hAnsi="Times New Roman" w:cs="Times New Roman"/>
          <w:sz w:val="24"/>
          <w:szCs w:val="24"/>
        </w:rPr>
        <w:t>adult earthworms</w:t>
      </w:r>
      <w:r w:rsidR="00236828">
        <w:rPr>
          <w:rFonts w:ascii="Times New Roman" w:hAnsi="Times New Roman" w:cs="Times New Roman"/>
          <w:sz w:val="24"/>
          <w:szCs w:val="24"/>
        </w:rPr>
        <w:t>.</w:t>
      </w:r>
    </w:p>
    <w:p w14:paraId="14956041" w14:textId="77777777" w:rsidR="006A4BFC" w:rsidRPr="00236828" w:rsidRDefault="006A4BFC"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Soil sample preparation</w:t>
      </w:r>
    </w:p>
    <w:p w14:paraId="3ED8FC3B" w14:textId="214299BB"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 The various percentages of contaminated soils were created by thoroughly mixing 700g of contaminated soil with 300g of non-contaminated soil for 70%, 500g each of contaminated and non-contaminated soil for 50%, 700g of non-contaminated soil with 300g of contaminated soil for 30%, 900g of non-contaminated soil with 100g of contaminated soil for 10%, and then 0% for the non-contaminated soil sample. The various percentages were put into a little bucket, followed by </w:t>
      </w:r>
      <w:r w:rsidRPr="006A4BFC">
        <w:rPr>
          <w:rFonts w:ascii="Times New Roman" w:hAnsi="Times New Roman" w:cs="Times New Roman"/>
          <w:sz w:val="24"/>
          <w:szCs w:val="24"/>
        </w:rPr>
        <w:lastRenderedPageBreak/>
        <w:t>adult worms, and then the buckets were left for 28 days, after which tests were conducted on them as well</w:t>
      </w:r>
    </w:p>
    <w:p w14:paraId="255141C5" w14:textId="0BA13EE2"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Physicochemical analysis of samples: Soil pH was determined (1:2.5 w/v) using </w:t>
      </w:r>
      <w:r w:rsidR="003E2CF9">
        <w:rPr>
          <w:rFonts w:ascii="Times New Roman" w:hAnsi="Times New Roman" w:cs="Times New Roman"/>
          <w:sz w:val="24"/>
          <w:szCs w:val="24"/>
        </w:rPr>
        <w:t xml:space="preserve">a </w:t>
      </w:r>
      <w:r w:rsidRPr="006A4BFC">
        <w:rPr>
          <w:rFonts w:ascii="Times New Roman" w:hAnsi="Times New Roman" w:cs="Times New Roman"/>
          <w:sz w:val="24"/>
          <w:szCs w:val="24"/>
        </w:rPr>
        <w:t xml:space="preserve">digital pH </w:t>
      </w:r>
      <w:r w:rsidR="00236828" w:rsidRPr="006A4BFC">
        <w:rPr>
          <w:rFonts w:ascii="Times New Roman" w:hAnsi="Times New Roman" w:cs="Times New Roman"/>
          <w:sz w:val="24"/>
          <w:szCs w:val="24"/>
        </w:rPr>
        <w:t>meter, and</w:t>
      </w:r>
      <w:r w:rsidRPr="006A4BFC">
        <w:rPr>
          <w:rFonts w:ascii="Times New Roman" w:hAnsi="Times New Roman" w:cs="Times New Roman"/>
          <w:sz w:val="24"/>
          <w:szCs w:val="24"/>
        </w:rPr>
        <w:t xml:space="preserve"> some of the </w:t>
      </w:r>
      <w:r w:rsidR="00236828" w:rsidRPr="006A4BFC">
        <w:rPr>
          <w:rFonts w:ascii="Times New Roman" w:hAnsi="Times New Roman" w:cs="Times New Roman"/>
          <w:sz w:val="24"/>
          <w:szCs w:val="24"/>
        </w:rPr>
        <w:t>parameters</w:t>
      </w:r>
      <w:r w:rsidRPr="006A4BFC">
        <w:rPr>
          <w:rFonts w:ascii="Times New Roman" w:hAnsi="Times New Roman" w:cs="Times New Roman"/>
          <w:sz w:val="24"/>
          <w:szCs w:val="24"/>
        </w:rPr>
        <w:t xml:space="preserve"> </w:t>
      </w:r>
      <w:r w:rsidR="003E2CF9">
        <w:rPr>
          <w:rFonts w:ascii="Times New Roman" w:hAnsi="Times New Roman" w:cs="Times New Roman"/>
          <w:sz w:val="24"/>
          <w:szCs w:val="24"/>
        </w:rPr>
        <w:t>were determined</w:t>
      </w:r>
      <w:r w:rsidRPr="006A4BFC">
        <w:rPr>
          <w:rFonts w:ascii="Times New Roman" w:hAnsi="Times New Roman" w:cs="Times New Roman"/>
          <w:sz w:val="24"/>
          <w:szCs w:val="24"/>
        </w:rPr>
        <w:t xml:space="preserve"> by the methods described by the following;</w:t>
      </w:r>
    </w:p>
    <w:p w14:paraId="0A952847" w14:textId="276A8A32"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 Particle size by </w:t>
      </w:r>
      <w:proofErr w:type="spellStart"/>
      <w:r w:rsidRPr="006A4BFC">
        <w:rPr>
          <w:rFonts w:ascii="Times New Roman" w:hAnsi="Times New Roman" w:cs="Times New Roman"/>
          <w:sz w:val="24"/>
          <w:szCs w:val="24"/>
        </w:rPr>
        <w:t>Bouyoucos</w:t>
      </w:r>
      <w:proofErr w:type="spellEnd"/>
      <w:r w:rsidRPr="006A4BFC">
        <w:rPr>
          <w:rFonts w:ascii="Times New Roman" w:hAnsi="Times New Roman" w:cs="Times New Roman"/>
          <w:sz w:val="24"/>
          <w:szCs w:val="24"/>
        </w:rPr>
        <w:t xml:space="preserve"> (1951)</w:t>
      </w:r>
      <w:r w:rsidR="003E2CF9">
        <w:rPr>
          <w:rFonts w:ascii="Times New Roman" w:hAnsi="Times New Roman" w:cs="Times New Roman"/>
          <w:sz w:val="24"/>
          <w:szCs w:val="24"/>
        </w:rPr>
        <w:t>,</w:t>
      </w:r>
      <w:r w:rsidRPr="006A4BFC">
        <w:rPr>
          <w:rFonts w:ascii="Times New Roman" w:hAnsi="Times New Roman" w:cs="Times New Roman"/>
          <w:sz w:val="24"/>
          <w:szCs w:val="24"/>
        </w:rPr>
        <w:t xml:space="preserve"> Cation exchange capacity, Organic carbon and organic matter by Jackson (1967</w:t>
      </w:r>
      <w:r w:rsidR="00236828" w:rsidRPr="006A4BFC">
        <w:rPr>
          <w:rFonts w:ascii="Times New Roman" w:hAnsi="Times New Roman" w:cs="Times New Roman"/>
          <w:sz w:val="24"/>
          <w:szCs w:val="24"/>
        </w:rPr>
        <w:t>), total</w:t>
      </w:r>
      <w:r w:rsidRPr="006A4BFC">
        <w:rPr>
          <w:rFonts w:ascii="Times New Roman" w:hAnsi="Times New Roman" w:cs="Times New Roman"/>
          <w:sz w:val="24"/>
          <w:szCs w:val="24"/>
        </w:rPr>
        <w:t xml:space="preserve"> </w:t>
      </w:r>
      <w:r w:rsidR="00236828" w:rsidRPr="006A4BFC">
        <w:rPr>
          <w:rFonts w:ascii="Times New Roman" w:hAnsi="Times New Roman" w:cs="Times New Roman"/>
          <w:sz w:val="24"/>
          <w:szCs w:val="24"/>
        </w:rPr>
        <w:t>nitrogen by</w:t>
      </w:r>
      <w:r w:rsidRPr="006A4BFC">
        <w:rPr>
          <w:rFonts w:ascii="Times New Roman" w:hAnsi="Times New Roman" w:cs="Times New Roman"/>
          <w:sz w:val="24"/>
          <w:szCs w:val="24"/>
        </w:rPr>
        <w:t xml:space="preserve"> </w:t>
      </w:r>
      <w:proofErr w:type="spellStart"/>
      <w:r w:rsidRPr="006A4BFC">
        <w:rPr>
          <w:rFonts w:ascii="Times New Roman" w:hAnsi="Times New Roman" w:cs="Times New Roman"/>
          <w:sz w:val="24"/>
          <w:szCs w:val="24"/>
        </w:rPr>
        <w:t>Subhaiah</w:t>
      </w:r>
      <w:proofErr w:type="spellEnd"/>
      <w:r w:rsidRPr="006A4BFC">
        <w:rPr>
          <w:rFonts w:ascii="Times New Roman" w:hAnsi="Times New Roman" w:cs="Times New Roman"/>
          <w:sz w:val="24"/>
          <w:szCs w:val="24"/>
        </w:rPr>
        <w:t xml:space="preserve"> and </w:t>
      </w:r>
      <w:proofErr w:type="spellStart"/>
      <w:r w:rsidRPr="006A4BFC">
        <w:rPr>
          <w:rFonts w:ascii="Times New Roman" w:hAnsi="Times New Roman" w:cs="Times New Roman"/>
          <w:sz w:val="24"/>
          <w:szCs w:val="24"/>
        </w:rPr>
        <w:t>Asija</w:t>
      </w:r>
      <w:proofErr w:type="spellEnd"/>
      <w:r w:rsidRPr="006A4BFC">
        <w:rPr>
          <w:rFonts w:ascii="Times New Roman" w:hAnsi="Times New Roman" w:cs="Times New Roman"/>
          <w:sz w:val="24"/>
          <w:szCs w:val="24"/>
        </w:rPr>
        <w:t xml:space="preserve">, 1956. P by Watanabe and </w:t>
      </w:r>
      <w:r w:rsidR="003E2CF9">
        <w:rPr>
          <w:rFonts w:ascii="Times New Roman" w:hAnsi="Times New Roman" w:cs="Times New Roman"/>
          <w:sz w:val="24"/>
          <w:szCs w:val="24"/>
        </w:rPr>
        <w:t>Olsen</w:t>
      </w:r>
      <w:r w:rsidRPr="006A4BFC">
        <w:rPr>
          <w:rFonts w:ascii="Times New Roman" w:hAnsi="Times New Roman" w:cs="Times New Roman"/>
          <w:sz w:val="24"/>
          <w:szCs w:val="24"/>
        </w:rPr>
        <w:t>, 1965</w:t>
      </w:r>
    </w:p>
    <w:p w14:paraId="30C0F8FD" w14:textId="0BEAD1D9" w:rsidR="006A4BFC" w:rsidRPr="00236828" w:rsidRDefault="006A4BFC"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 xml:space="preserve">Nitric Acid Digestion for Metals </w:t>
      </w:r>
      <w:r w:rsidR="003E2CF9">
        <w:rPr>
          <w:rFonts w:ascii="Times New Roman" w:hAnsi="Times New Roman" w:cs="Times New Roman"/>
          <w:b/>
          <w:bCs/>
          <w:sz w:val="24"/>
          <w:szCs w:val="24"/>
        </w:rPr>
        <w:t>Before</w:t>
      </w:r>
      <w:r w:rsidRPr="00236828">
        <w:rPr>
          <w:rFonts w:ascii="Times New Roman" w:hAnsi="Times New Roman" w:cs="Times New Roman"/>
          <w:b/>
          <w:bCs/>
          <w:sz w:val="24"/>
          <w:szCs w:val="24"/>
        </w:rPr>
        <w:t xml:space="preserve"> Atomic Absorption Spectrophotometer (AAS) Analysis Procedure</w:t>
      </w:r>
    </w:p>
    <w:p w14:paraId="761CC531" w14:textId="442C5219"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To measure the liquid samples, 50 ml were placed in a beaker, followed by 3 ml of concentrated HNO</w:t>
      </w:r>
      <w:r w:rsidRPr="000C5120">
        <w:rPr>
          <w:rFonts w:ascii="Times New Roman" w:hAnsi="Times New Roman" w:cs="Times New Roman"/>
          <w:sz w:val="24"/>
          <w:szCs w:val="24"/>
          <w:vertAlign w:val="subscript"/>
        </w:rPr>
        <w:t>3</w:t>
      </w:r>
      <w:r w:rsidRPr="006A4BFC">
        <w:rPr>
          <w:rFonts w:ascii="Times New Roman" w:hAnsi="Times New Roman" w:cs="Times New Roman"/>
          <w:sz w:val="24"/>
          <w:szCs w:val="24"/>
        </w:rPr>
        <w:t xml:space="preserve"> acid, or 1 gram of soil from any of the solid samples was added to 50 ml of HNO3. The mixture was heated and evaporated on a steam bath until it had the least amount of volume (less than 5 m</w:t>
      </w:r>
      <w:r w:rsidR="000C5120" w:rsidRPr="006A4BFC">
        <w:rPr>
          <w:rFonts w:ascii="Times New Roman" w:hAnsi="Times New Roman" w:cs="Times New Roman"/>
          <w:sz w:val="24"/>
          <w:szCs w:val="24"/>
        </w:rPr>
        <w:t>L</w:t>
      </w:r>
      <w:r w:rsidRPr="006A4BFC">
        <w:rPr>
          <w:rFonts w:ascii="Times New Roman" w:hAnsi="Times New Roman" w:cs="Times New Roman"/>
          <w:sz w:val="24"/>
          <w:szCs w:val="24"/>
        </w:rPr>
        <w:t>) before precipitation happened. The mixtures were allowed to cool, then heated further with an additional 5 ml of concentrated HNO</w:t>
      </w:r>
      <w:r w:rsidRPr="000C5120">
        <w:rPr>
          <w:rFonts w:ascii="Times New Roman" w:hAnsi="Times New Roman" w:cs="Times New Roman"/>
          <w:sz w:val="24"/>
          <w:szCs w:val="24"/>
          <w:vertAlign w:val="subscript"/>
        </w:rPr>
        <w:t>3</w:t>
      </w:r>
      <w:r w:rsidRPr="006A4BFC">
        <w:rPr>
          <w:rFonts w:ascii="Times New Roman" w:hAnsi="Times New Roman" w:cs="Times New Roman"/>
          <w:sz w:val="24"/>
          <w:szCs w:val="24"/>
        </w:rPr>
        <w:t xml:space="preserve"> acid and then in excess until digestion was complete, as indicated by a light-colored, clear solution. The samples were allowed to cool after being evaporated to less than 5 </w:t>
      </w:r>
      <w:proofErr w:type="spellStart"/>
      <w:r w:rsidRPr="006A4BFC">
        <w:rPr>
          <w:rFonts w:ascii="Times New Roman" w:hAnsi="Times New Roman" w:cs="Times New Roman"/>
          <w:sz w:val="24"/>
          <w:szCs w:val="24"/>
        </w:rPr>
        <w:t>m</w:t>
      </w:r>
      <w:r w:rsidR="000C5120" w:rsidRPr="006A4BFC">
        <w:rPr>
          <w:rFonts w:ascii="Times New Roman" w:hAnsi="Times New Roman" w:cs="Times New Roman"/>
          <w:sz w:val="24"/>
          <w:szCs w:val="24"/>
        </w:rPr>
        <w:t>L</w:t>
      </w:r>
      <w:r w:rsidRPr="006A4BFC">
        <w:rPr>
          <w:rFonts w:ascii="Times New Roman" w:hAnsi="Times New Roman" w:cs="Times New Roman"/>
          <w:sz w:val="24"/>
          <w:szCs w:val="24"/>
        </w:rPr>
        <w:t>.</w:t>
      </w:r>
      <w:proofErr w:type="spellEnd"/>
      <w:r w:rsidRPr="006A4BFC">
        <w:rPr>
          <w:rFonts w:ascii="Times New Roman" w:hAnsi="Times New Roman" w:cs="Times New Roman"/>
          <w:sz w:val="24"/>
          <w:szCs w:val="24"/>
        </w:rPr>
        <w:t xml:space="preserve"> To the cooled sample, 10 </w:t>
      </w:r>
      <w:r w:rsidR="000C5120">
        <w:rPr>
          <w:rFonts w:ascii="Times New Roman" w:hAnsi="Times New Roman" w:cs="Times New Roman"/>
          <w:sz w:val="24"/>
          <w:szCs w:val="24"/>
        </w:rPr>
        <w:t>mL</w:t>
      </w:r>
      <w:r w:rsidRPr="006A4BFC">
        <w:rPr>
          <w:rFonts w:ascii="Times New Roman" w:hAnsi="Times New Roman" w:cs="Times New Roman"/>
          <w:sz w:val="24"/>
          <w:szCs w:val="24"/>
        </w:rPr>
        <w:t xml:space="preserve"> of </w:t>
      </w:r>
      <w:r w:rsidR="000C5120">
        <w:rPr>
          <w:rFonts w:ascii="Times New Roman" w:hAnsi="Times New Roman" w:cs="Times New Roman"/>
          <w:sz w:val="24"/>
          <w:szCs w:val="24"/>
        </w:rPr>
        <w:t>HCl</w:t>
      </w:r>
      <w:r w:rsidRPr="006A4BFC">
        <w:rPr>
          <w:rFonts w:ascii="Times New Roman" w:hAnsi="Times New Roman" w:cs="Times New Roman"/>
          <w:sz w:val="24"/>
          <w:szCs w:val="24"/>
        </w:rPr>
        <w:t xml:space="preserve"> (1:1) and 15 m</w:t>
      </w:r>
      <w:r w:rsidR="000C5120" w:rsidRPr="006A4BFC">
        <w:rPr>
          <w:rFonts w:ascii="Times New Roman" w:hAnsi="Times New Roman" w:cs="Times New Roman"/>
          <w:sz w:val="24"/>
          <w:szCs w:val="24"/>
        </w:rPr>
        <w:t>L</w:t>
      </w:r>
      <w:r w:rsidRPr="006A4BFC">
        <w:rPr>
          <w:rFonts w:ascii="Times New Roman" w:hAnsi="Times New Roman" w:cs="Times New Roman"/>
          <w:sz w:val="24"/>
          <w:szCs w:val="24"/>
        </w:rPr>
        <w:t xml:space="preserve"> of distilled water were added, and the mixture was heated for an additional 15 minutes to dissolve any precipitates or residue. The beakers' walls were rinsed with distilled water before being filtered. Distilled water was used to dilute the filtrates to the mark in a 100 ml volumetric flask. Some of the </w:t>
      </w:r>
      <w:r w:rsidR="00641D3A">
        <w:rPr>
          <w:rFonts w:ascii="Times New Roman" w:hAnsi="Times New Roman" w:cs="Times New Roman"/>
          <w:sz w:val="24"/>
          <w:szCs w:val="24"/>
        </w:rPr>
        <w:t>solutions were</w:t>
      </w:r>
      <w:r w:rsidRPr="006A4BFC">
        <w:rPr>
          <w:rFonts w:ascii="Times New Roman" w:hAnsi="Times New Roman" w:cs="Times New Roman"/>
          <w:sz w:val="24"/>
          <w:szCs w:val="24"/>
        </w:rPr>
        <w:t xml:space="preserve"> subjected to necessary metal analysis using the ALPHA-4-AAS MODEL.</w:t>
      </w:r>
    </w:p>
    <w:p w14:paraId="48C5ED59" w14:textId="1CF85387" w:rsidR="006A4BFC" w:rsidRPr="00236828" w:rsidRDefault="00236828" w:rsidP="006A4BFC">
      <w:pPr>
        <w:jc w:val="both"/>
        <w:rPr>
          <w:rFonts w:ascii="Times New Roman" w:hAnsi="Times New Roman" w:cs="Times New Roman"/>
          <w:b/>
          <w:bCs/>
          <w:sz w:val="24"/>
          <w:szCs w:val="24"/>
        </w:rPr>
      </w:pPr>
      <w:r w:rsidRPr="00236828">
        <w:rPr>
          <w:rFonts w:ascii="Times New Roman" w:hAnsi="Times New Roman" w:cs="Times New Roman"/>
          <w:b/>
          <w:bCs/>
          <w:sz w:val="24"/>
          <w:szCs w:val="24"/>
        </w:rPr>
        <w:t>STATISTICAL ANALYSIS</w:t>
      </w:r>
    </w:p>
    <w:p w14:paraId="6C2F559B" w14:textId="77777777"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Data obtained were statistically analyzed using one-way analysis of variance (ANOVA) with SPSS version 10.0 statistical packages and reported as mean ± standard error of mean of three replicate analyses.</w:t>
      </w:r>
    </w:p>
    <w:p w14:paraId="32200E88" w14:textId="7A405BBA" w:rsidR="00236828" w:rsidRDefault="006F1C38" w:rsidP="006A4BFC">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RESULT</w:t>
      </w:r>
    </w:p>
    <w:p w14:paraId="040C1A4C" w14:textId="192BF5A2" w:rsidR="006A4BFC" w:rsidRPr="006A4BFC" w:rsidRDefault="006A4BFC" w:rsidP="006A4BFC">
      <w:pPr>
        <w:jc w:val="both"/>
        <w:rPr>
          <w:rFonts w:ascii="Times New Roman" w:hAnsi="Times New Roman" w:cs="Times New Roman"/>
          <w:b/>
          <w:color w:val="000000"/>
          <w:sz w:val="24"/>
          <w:szCs w:val="24"/>
        </w:rPr>
      </w:pPr>
      <w:r w:rsidRPr="006A4BFC">
        <w:rPr>
          <w:rFonts w:ascii="Times New Roman" w:hAnsi="Times New Roman" w:cs="Times New Roman"/>
          <w:b/>
          <w:color w:val="000000"/>
          <w:sz w:val="24"/>
          <w:szCs w:val="24"/>
        </w:rPr>
        <w:t xml:space="preserve">Table 1: </w:t>
      </w:r>
      <w:r w:rsidR="00641D3A">
        <w:rPr>
          <w:rFonts w:ascii="Times New Roman" w:hAnsi="Times New Roman" w:cs="Times New Roman"/>
          <w:b/>
          <w:color w:val="000000"/>
          <w:sz w:val="24"/>
          <w:szCs w:val="24"/>
        </w:rPr>
        <w:t>Physicochemical</w:t>
      </w:r>
      <w:r w:rsidRPr="006A4BFC">
        <w:rPr>
          <w:rFonts w:ascii="Times New Roman" w:hAnsi="Times New Roman" w:cs="Times New Roman"/>
          <w:b/>
          <w:color w:val="000000"/>
          <w:sz w:val="24"/>
          <w:szCs w:val="24"/>
        </w:rPr>
        <w:t xml:space="preserve"> properties of soil samples </w:t>
      </w:r>
    </w:p>
    <w:tbl>
      <w:tblPr>
        <w:tblW w:w="9879" w:type="dxa"/>
        <w:tblLook w:val="04A0" w:firstRow="1" w:lastRow="0" w:firstColumn="1" w:lastColumn="0" w:noHBand="0" w:noVBand="1"/>
      </w:tblPr>
      <w:tblGrid>
        <w:gridCol w:w="2238"/>
        <w:gridCol w:w="1970"/>
        <w:gridCol w:w="1667"/>
        <w:gridCol w:w="2076"/>
        <w:gridCol w:w="1928"/>
      </w:tblGrid>
      <w:tr w:rsidR="006A4BFC" w:rsidRPr="006A4BFC" w14:paraId="0662992D" w14:textId="77777777" w:rsidTr="007D5378">
        <w:trPr>
          <w:trHeight w:val="478"/>
        </w:trPr>
        <w:tc>
          <w:tcPr>
            <w:tcW w:w="2238" w:type="dxa"/>
            <w:tcBorders>
              <w:top w:val="single" w:sz="4" w:space="0" w:color="auto"/>
              <w:bottom w:val="single" w:sz="4" w:space="0" w:color="auto"/>
            </w:tcBorders>
          </w:tcPr>
          <w:p w14:paraId="5F5977B1"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Parameters</w:t>
            </w:r>
          </w:p>
        </w:tc>
        <w:tc>
          <w:tcPr>
            <w:tcW w:w="1970" w:type="dxa"/>
            <w:tcBorders>
              <w:top w:val="single" w:sz="4" w:space="0" w:color="auto"/>
              <w:bottom w:val="single" w:sz="4" w:space="0" w:color="auto"/>
            </w:tcBorders>
          </w:tcPr>
          <w:p w14:paraId="0651A4B0"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Transformer     </w:t>
            </w:r>
          </w:p>
          <w:p w14:paraId="0527A94A"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      soil I</w:t>
            </w:r>
          </w:p>
        </w:tc>
        <w:tc>
          <w:tcPr>
            <w:tcW w:w="1667" w:type="dxa"/>
            <w:tcBorders>
              <w:top w:val="single" w:sz="4" w:space="0" w:color="auto"/>
              <w:bottom w:val="single" w:sz="4" w:space="0" w:color="auto"/>
            </w:tcBorders>
          </w:tcPr>
          <w:p w14:paraId="5D963BF2"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Transformer </w:t>
            </w:r>
          </w:p>
          <w:p w14:paraId="6786985D"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    soil II</w:t>
            </w:r>
          </w:p>
        </w:tc>
        <w:tc>
          <w:tcPr>
            <w:tcW w:w="2076" w:type="dxa"/>
            <w:tcBorders>
              <w:top w:val="single" w:sz="4" w:space="0" w:color="auto"/>
              <w:bottom w:val="single" w:sz="4" w:space="0" w:color="auto"/>
            </w:tcBorders>
          </w:tcPr>
          <w:p w14:paraId="319025BE"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    Condensate </w:t>
            </w:r>
          </w:p>
          <w:p w14:paraId="0204AA77"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          Soil</w:t>
            </w:r>
          </w:p>
        </w:tc>
        <w:tc>
          <w:tcPr>
            <w:tcW w:w="1928" w:type="dxa"/>
            <w:tcBorders>
              <w:top w:val="single" w:sz="4" w:space="0" w:color="auto"/>
              <w:bottom w:val="single" w:sz="4" w:space="0" w:color="auto"/>
            </w:tcBorders>
          </w:tcPr>
          <w:p w14:paraId="080C52CD"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Non-contaminated     </w:t>
            </w:r>
          </w:p>
          <w:p w14:paraId="5BD14576" w14:textId="77777777" w:rsidR="006A4BFC" w:rsidRPr="006A4BFC" w:rsidRDefault="006A4BFC" w:rsidP="006A4BFC">
            <w:pPr>
              <w:pStyle w:val="NoSpacing"/>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          soil</w:t>
            </w:r>
          </w:p>
        </w:tc>
      </w:tr>
      <w:tr w:rsidR="006A4BFC" w:rsidRPr="006A4BFC" w14:paraId="5745E8BB" w14:textId="77777777" w:rsidTr="007D5378">
        <w:trPr>
          <w:trHeight w:val="491"/>
        </w:trPr>
        <w:tc>
          <w:tcPr>
            <w:tcW w:w="2238" w:type="dxa"/>
            <w:tcBorders>
              <w:top w:val="single" w:sz="4" w:space="0" w:color="auto"/>
            </w:tcBorders>
          </w:tcPr>
          <w:p w14:paraId="0F9B0B53"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Clay</w:t>
            </w:r>
          </w:p>
        </w:tc>
        <w:tc>
          <w:tcPr>
            <w:tcW w:w="1970" w:type="dxa"/>
            <w:tcBorders>
              <w:top w:val="single" w:sz="4" w:space="0" w:color="auto"/>
            </w:tcBorders>
          </w:tcPr>
          <w:p w14:paraId="4A0E1690"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5±0.00</w:t>
            </w:r>
            <w:r w:rsidRPr="006A4BFC">
              <w:rPr>
                <w:rFonts w:eastAsia="Calibri"/>
                <w:color w:val="000000"/>
                <w:kern w:val="24"/>
              </w:rPr>
              <w:t xml:space="preserve"> </w:t>
            </w:r>
          </w:p>
        </w:tc>
        <w:tc>
          <w:tcPr>
            <w:tcW w:w="1667" w:type="dxa"/>
            <w:tcBorders>
              <w:top w:val="single" w:sz="4" w:space="0" w:color="auto"/>
            </w:tcBorders>
          </w:tcPr>
          <w:p w14:paraId="198480FC"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5±0.02</w:t>
            </w:r>
            <w:r w:rsidRPr="006A4BFC">
              <w:rPr>
                <w:rFonts w:eastAsia="Calibri"/>
                <w:color w:val="000000"/>
                <w:kern w:val="24"/>
              </w:rPr>
              <w:t xml:space="preserve"> </w:t>
            </w:r>
          </w:p>
        </w:tc>
        <w:tc>
          <w:tcPr>
            <w:tcW w:w="2076" w:type="dxa"/>
            <w:tcBorders>
              <w:top w:val="single" w:sz="4" w:space="0" w:color="auto"/>
            </w:tcBorders>
          </w:tcPr>
          <w:p w14:paraId="0B5501E4"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6.00±0.00</w:t>
            </w:r>
            <w:r w:rsidRPr="006A4BFC">
              <w:rPr>
                <w:rFonts w:eastAsia="Calibri"/>
                <w:color w:val="000000"/>
                <w:kern w:val="24"/>
              </w:rPr>
              <w:t xml:space="preserve"> </w:t>
            </w:r>
          </w:p>
        </w:tc>
        <w:tc>
          <w:tcPr>
            <w:tcW w:w="1928" w:type="dxa"/>
            <w:tcBorders>
              <w:top w:val="single" w:sz="4" w:space="0" w:color="auto"/>
            </w:tcBorders>
          </w:tcPr>
          <w:p w14:paraId="57364019"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4.00±0.00</w:t>
            </w:r>
            <w:r w:rsidRPr="006A4BFC">
              <w:rPr>
                <w:rFonts w:eastAsia="Calibri"/>
                <w:color w:val="000000"/>
                <w:kern w:val="24"/>
              </w:rPr>
              <w:t xml:space="preserve"> </w:t>
            </w:r>
          </w:p>
        </w:tc>
      </w:tr>
      <w:tr w:rsidR="006A4BFC" w:rsidRPr="006A4BFC" w14:paraId="269B57E2" w14:textId="77777777" w:rsidTr="007D5378">
        <w:trPr>
          <w:trHeight w:val="491"/>
        </w:trPr>
        <w:tc>
          <w:tcPr>
            <w:tcW w:w="2238" w:type="dxa"/>
          </w:tcPr>
          <w:p w14:paraId="2FFE2C1F"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Silt</w:t>
            </w:r>
          </w:p>
        </w:tc>
        <w:tc>
          <w:tcPr>
            <w:tcW w:w="1970" w:type="dxa"/>
          </w:tcPr>
          <w:p w14:paraId="44EF611A"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7±0.01</w:t>
            </w:r>
            <w:r w:rsidRPr="006A4BFC">
              <w:rPr>
                <w:rFonts w:eastAsia="Calibri"/>
                <w:color w:val="000000"/>
                <w:kern w:val="24"/>
              </w:rPr>
              <w:t xml:space="preserve"> </w:t>
            </w:r>
          </w:p>
        </w:tc>
        <w:tc>
          <w:tcPr>
            <w:tcW w:w="1667" w:type="dxa"/>
          </w:tcPr>
          <w:p w14:paraId="2E6CF2FF"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6±0.00</w:t>
            </w:r>
            <w:r w:rsidRPr="006A4BFC">
              <w:rPr>
                <w:rFonts w:eastAsia="Calibri"/>
                <w:color w:val="000000"/>
                <w:kern w:val="24"/>
              </w:rPr>
              <w:t xml:space="preserve"> </w:t>
            </w:r>
          </w:p>
        </w:tc>
        <w:tc>
          <w:tcPr>
            <w:tcW w:w="2076" w:type="dxa"/>
          </w:tcPr>
          <w:p w14:paraId="24B2DE3B"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7.00±0.00</w:t>
            </w:r>
            <w:r w:rsidRPr="006A4BFC">
              <w:rPr>
                <w:rFonts w:eastAsia="Calibri"/>
                <w:color w:val="000000"/>
                <w:kern w:val="24"/>
              </w:rPr>
              <w:t xml:space="preserve"> </w:t>
            </w:r>
          </w:p>
        </w:tc>
        <w:tc>
          <w:tcPr>
            <w:tcW w:w="1928" w:type="dxa"/>
          </w:tcPr>
          <w:p w14:paraId="7D043CBF"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8.00±1.00</w:t>
            </w:r>
            <w:r w:rsidRPr="006A4BFC">
              <w:rPr>
                <w:rFonts w:eastAsia="Calibri"/>
                <w:color w:val="000000"/>
                <w:kern w:val="24"/>
              </w:rPr>
              <w:t xml:space="preserve"> </w:t>
            </w:r>
          </w:p>
        </w:tc>
      </w:tr>
      <w:tr w:rsidR="006A4BFC" w:rsidRPr="006A4BFC" w14:paraId="7F8CD15E" w14:textId="77777777" w:rsidTr="007D5378">
        <w:trPr>
          <w:trHeight w:val="491"/>
        </w:trPr>
        <w:tc>
          <w:tcPr>
            <w:tcW w:w="2238" w:type="dxa"/>
          </w:tcPr>
          <w:p w14:paraId="3087538B"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Coarse</w:t>
            </w:r>
          </w:p>
        </w:tc>
        <w:tc>
          <w:tcPr>
            <w:tcW w:w="1970" w:type="dxa"/>
          </w:tcPr>
          <w:p w14:paraId="529CB830"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28±0.52</w:t>
            </w:r>
            <w:r w:rsidRPr="006A4BFC">
              <w:rPr>
                <w:rFonts w:eastAsia="Calibri"/>
                <w:color w:val="000000"/>
                <w:kern w:val="24"/>
              </w:rPr>
              <w:t xml:space="preserve"> </w:t>
            </w:r>
          </w:p>
        </w:tc>
        <w:tc>
          <w:tcPr>
            <w:tcW w:w="1667" w:type="dxa"/>
          </w:tcPr>
          <w:p w14:paraId="6152E838"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28±0.01</w:t>
            </w:r>
            <w:r w:rsidRPr="006A4BFC">
              <w:rPr>
                <w:rFonts w:eastAsia="Calibri"/>
                <w:color w:val="000000"/>
                <w:kern w:val="24"/>
              </w:rPr>
              <w:t xml:space="preserve"> </w:t>
            </w:r>
          </w:p>
        </w:tc>
        <w:tc>
          <w:tcPr>
            <w:tcW w:w="2076" w:type="dxa"/>
          </w:tcPr>
          <w:p w14:paraId="44A3A3EE"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25.00±0.23</w:t>
            </w:r>
            <w:r w:rsidRPr="006A4BFC">
              <w:rPr>
                <w:rFonts w:eastAsia="Calibri"/>
                <w:color w:val="000000"/>
                <w:kern w:val="24"/>
              </w:rPr>
              <w:t xml:space="preserve"> </w:t>
            </w:r>
          </w:p>
        </w:tc>
        <w:tc>
          <w:tcPr>
            <w:tcW w:w="1928" w:type="dxa"/>
          </w:tcPr>
          <w:p w14:paraId="54D4B767"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22.00±1.20</w:t>
            </w:r>
            <w:r w:rsidRPr="006A4BFC">
              <w:rPr>
                <w:rFonts w:eastAsia="Calibri"/>
                <w:color w:val="000000"/>
                <w:kern w:val="24"/>
              </w:rPr>
              <w:t xml:space="preserve"> </w:t>
            </w:r>
          </w:p>
        </w:tc>
      </w:tr>
      <w:tr w:rsidR="006A4BFC" w:rsidRPr="006A4BFC" w14:paraId="39D9D14E" w14:textId="77777777" w:rsidTr="007D5378">
        <w:trPr>
          <w:trHeight w:val="478"/>
        </w:trPr>
        <w:tc>
          <w:tcPr>
            <w:tcW w:w="2238" w:type="dxa"/>
          </w:tcPr>
          <w:p w14:paraId="5848F304"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Fine</w:t>
            </w:r>
          </w:p>
        </w:tc>
        <w:tc>
          <w:tcPr>
            <w:tcW w:w="1970" w:type="dxa"/>
          </w:tcPr>
          <w:p w14:paraId="019FC1A4"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62±0.67</w:t>
            </w:r>
            <w:r w:rsidRPr="006A4BFC">
              <w:rPr>
                <w:rFonts w:eastAsia="Calibri"/>
                <w:color w:val="000000"/>
                <w:kern w:val="24"/>
              </w:rPr>
              <w:t xml:space="preserve"> </w:t>
            </w:r>
          </w:p>
        </w:tc>
        <w:tc>
          <w:tcPr>
            <w:tcW w:w="1667" w:type="dxa"/>
          </w:tcPr>
          <w:p w14:paraId="68D4543E"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62±1.09</w:t>
            </w:r>
            <w:r w:rsidRPr="006A4BFC">
              <w:rPr>
                <w:rFonts w:eastAsia="Calibri"/>
                <w:color w:val="000000"/>
                <w:kern w:val="24"/>
              </w:rPr>
              <w:t xml:space="preserve"> </w:t>
            </w:r>
          </w:p>
        </w:tc>
        <w:tc>
          <w:tcPr>
            <w:tcW w:w="2076" w:type="dxa"/>
          </w:tcPr>
          <w:p w14:paraId="34B0BA0C"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62±0.74</w:t>
            </w:r>
            <w:r w:rsidRPr="006A4BFC">
              <w:rPr>
                <w:rFonts w:eastAsia="Calibri"/>
                <w:color w:val="000000"/>
                <w:kern w:val="24"/>
              </w:rPr>
              <w:t xml:space="preserve"> </w:t>
            </w:r>
          </w:p>
        </w:tc>
        <w:tc>
          <w:tcPr>
            <w:tcW w:w="1928" w:type="dxa"/>
          </w:tcPr>
          <w:p w14:paraId="7ADE3666"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58±0.92</w:t>
            </w:r>
            <w:r w:rsidRPr="006A4BFC">
              <w:rPr>
                <w:rFonts w:eastAsia="Calibri"/>
                <w:color w:val="000000"/>
                <w:kern w:val="24"/>
              </w:rPr>
              <w:t xml:space="preserve"> </w:t>
            </w:r>
          </w:p>
        </w:tc>
      </w:tr>
      <w:tr w:rsidR="006A4BFC" w:rsidRPr="006A4BFC" w14:paraId="53F53665" w14:textId="77777777" w:rsidTr="007D5378">
        <w:trPr>
          <w:trHeight w:val="491"/>
        </w:trPr>
        <w:tc>
          <w:tcPr>
            <w:tcW w:w="2238" w:type="dxa"/>
          </w:tcPr>
          <w:p w14:paraId="743F66B0"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Textural class</w:t>
            </w:r>
          </w:p>
        </w:tc>
        <w:tc>
          <w:tcPr>
            <w:tcW w:w="1970" w:type="dxa"/>
          </w:tcPr>
          <w:p w14:paraId="3F536779"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Sand</w:t>
            </w:r>
            <w:r w:rsidRPr="006A4BFC">
              <w:rPr>
                <w:rFonts w:eastAsia="Calibri"/>
                <w:color w:val="000000"/>
                <w:kern w:val="24"/>
              </w:rPr>
              <w:t xml:space="preserve"> </w:t>
            </w:r>
          </w:p>
        </w:tc>
        <w:tc>
          <w:tcPr>
            <w:tcW w:w="1667" w:type="dxa"/>
          </w:tcPr>
          <w:p w14:paraId="7DB55868"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Sand</w:t>
            </w:r>
            <w:r w:rsidRPr="006A4BFC">
              <w:rPr>
                <w:rFonts w:eastAsia="Calibri"/>
                <w:color w:val="000000"/>
                <w:kern w:val="24"/>
              </w:rPr>
              <w:t xml:space="preserve"> </w:t>
            </w:r>
          </w:p>
        </w:tc>
        <w:tc>
          <w:tcPr>
            <w:tcW w:w="2076" w:type="dxa"/>
          </w:tcPr>
          <w:p w14:paraId="310D8A9D"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Sand</w:t>
            </w:r>
            <w:r w:rsidRPr="006A4BFC">
              <w:rPr>
                <w:rFonts w:eastAsia="Calibri"/>
                <w:color w:val="000000"/>
                <w:kern w:val="24"/>
              </w:rPr>
              <w:t xml:space="preserve"> </w:t>
            </w:r>
          </w:p>
        </w:tc>
        <w:tc>
          <w:tcPr>
            <w:tcW w:w="1928" w:type="dxa"/>
          </w:tcPr>
          <w:p w14:paraId="6F8B7430"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Sand</w:t>
            </w:r>
            <w:r w:rsidRPr="006A4BFC">
              <w:rPr>
                <w:rFonts w:eastAsia="Calibri"/>
                <w:color w:val="000000"/>
                <w:kern w:val="24"/>
              </w:rPr>
              <w:t xml:space="preserve"> </w:t>
            </w:r>
          </w:p>
        </w:tc>
      </w:tr>
      <w:tr w:rsidR="006A4BFC" w:rsidRPr="006A4BFC" w14:paraId="5EA673F0" w14:textId="77777777" w:rsidTr="007D5378">
        <w:trPr>
          <w:trHeight w:val="491"/>
        </w:trPr>
        <w:tc>
          <w:tcPr>
            <w:tcW w:w="2238" w:type="dxa"/>
          </w:tcPr>
          <w:p w14:paraId="01349C55"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Colour</w:t>
            </w:r>
          </w:p>
        </w:tc>
        <w:tc>
          <w:tcPr>
            <w:tcW w:w="1970" w:type="dxa"/>
          </w:tcPr>
          <w:p w14:paraId="5A5E21F9"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Ash/gray</w:t>
            </w:r>
            <w:r w:rsidRPr="006A4BFC">
              <w:rPr>
                <w:rFonts w:eastAsia="Calibri"/>
                <w:color w:val="000000"/>
                <w:kern w:val="24"/>
              </w:rPr>
              <w:t xml:space="preserve"> </w:t>
            </w:r>
          </w:p>
        </w:tc>
        <w:tc>
          <w:tcPr>
            <w:tcW w:w="1667" w:type="dxa"/>
          </w:tcPr>
          <w:p w14:paraId="684A3708"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Ash/gray</w:t>
            </w:r>
            <w:r w:rsidRPr="006A4BFC">
              <w:rPr>
                <w:rFonts w:eastAsia="Calibri"/>
                <w:color w:val="000000"/>
                <w:kern w:val="24"/>
              </w:rPr>
              <w:t xml:space="preserve"> </w:t>
            </w:r>
          </w:p>
        </w:tc>
        <w:tc>
          <w:tcPr>
            <w:tcW w:w="2076" w:type="dxa"/>
          </w:tcPr>
          <w:p w14:paraId="022E1097"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Ash/gray</w:t>
            </w:r>
            <w:r w:rsidRPr="006A4BFC">
              <w:rPr>
                <w:rFonts w:eastAsia="Calibri"/>
                <w:color w:val="000000"/>
                <w:kern w:val="24"/>
              </w:rPr>
              <w:t xml:space="preserve"> </w:t>
            </w:r>
          </w:p>
        </w:tc>
        <w:tc>
          <w:tcPr>
            <w:tcW w:w="1928" w:type="dxa"/>
          </w:tcPr>
          <w:p w14:paraId="3C3F2CCC"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Ash/gray</w:t>
            </w:r>
            <w:r w:rsidRPr="006A4BFC">
              <w:rPr>
                <w:rFonts w:eastAsia="Calibri"/>
                <w:color w:val="000000"/>
                <w:kern w:val="24"/>
              </w:rPr>
              <w:t xml:space="preserve"> </w:t>
            </w:r>
          </w:p>
        </w:tc>
      </w:tr>
      <w:tr w:rsidR="006A4BFC" w:rsidRPr="006A4BFC" w14:paraId="0361F3F8" w14:textId="77777777" w:rsidTr="007D5378">
        <w:trPr>
          <w:trHeight w:val="491"/>
        </w:trPr>
        <w:tc>
          <w:tcPr>
            <w:tcW w:w="2238" w:type="dxa"/>
          </w:tcPr>
          <w:p w14:paraId="32BAA943"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lastRenderedPageBreak/>
              <w:t>Temperature</w:t>
            </w:r>
          </w:p>
        </w:tc>
        <w:tc>
          <w:tcPr>
            <w:tcW w:w="1970" w:type="dxa"/>
          </w:tcPr>
          <w:p w14:paraId="3DFC3878"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26±0.27</w:t>
            </w:r>
            <w:r w:rsidRPr="006A4BFC">
              <w:rPr>
                <w:rFonts w:eastAsia="Calibri"/>
                <w:color w:val="000000"/>
                <w:kern w:val="24"/>
              </w:rPr>
              <w:t xml:space="preserve"> </w:t>
            </w:r>
          </w:p>
        </w:tc>
        <w:tc>
          <w:tcPr>
            <w:tcW w:w="1667" w:type="dxa"/>
          </w:tcPr>
          <w:p w14:paraId="100F383A"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27±0.34</w:t>
            </w:r>
            <w:r w:rsidRPr="006A4BFC">
              <w:rPr>
                <w:rFonts w:eastAsia="Calibri"/>
                <w:color w:val="000000"/>
                <w:kern w:val="24"/>
              </w:rPr>
              <w:t xml:space="preserve"> </w:t>
            </w:r>
          </w:p>
        </w:tc>
        <w:tc>
          <w:tcPr>
            <w:tcW w:w="2076" w:type="dxa"/>
          </w:tcPr>
          <w:p w14:paraId="32ECBA60"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27±0.82</w:t>
            </w:r>
            <w:r w:rsidRPr="006A4BFC">
              <w:rPr>
                <w:rFonts w:eastAsia="Calibri"/>
                <w:color w:val="000000"/>
                <w:kern w:val="24"/>
              </w:rPr>
              <w:t xml:space="preserve"> </w:t>
            </w:r>
          </w:p>
        </w:tc>
        <w:tc>
          <w:tcPr>
            <w:tcW w:w="1928" w:type="dxa"/>
          </w:tcPr>
          <w:p w14:paraId="3EB6BC48"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25±0.07</w:t>
            </w:r>
            <w:r w:rsidRPr="006A4BFC">
              <w:rPr>
                <w:rFonts w:eastAsia="Calibri"/>
                <w:color w:val="000000"/>
                <w:kern w:val="24"/>
              </w:rPr>
              <w:t xml:space="preserve"> </w:t>
            </w:r>
          </w:p>
        </w:tc>
      </w:tr>
      <w:tr w:rsidR="006A4BFC" w:rsidRPr="006A4BFC" w14:paraId="72297055" w14:textId="77777777" w:rsidTr="007D5378">
        <w:trPr>
          <w:trHeight w:val="478"/>
        </w:trPr>
        <w:tc>
          <w:tcPr>
            <w:tcW w:w="2238" w:type="dxa"/>
          </w:tcPr>
          <w:p w14:paraId="5FD93474"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Ph</w:t>
            </w:r>
          </w:p>
        </w:tc>
        <w:tc>
          <w:tcPr>
            <w:tcW w:w="1970" w:type="dxa"/>
          </w:tcPr>
          <w:p w14:paraId="2ABE2B4C"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5.4±0.82</w:t>
            </w:r>
            <w:r w:rsidRPr="006A4BFC">
              <w:rPr>
                <w:rFonts w:eastAsia="Calibri"/>
                <w:color w:val="000000"/>
                <w:kern w:val="24"/>
              </w:rPr>
              <w:t xml:space="preserve"> </w:t>
            </w:r>
          </w:p>
        </w:tc>
        <w:tc>
          <w:tcPr>
            <w:tcW w:w="1667" w:type="dxa"/>
          </w:tcPr>
          <w:p w14:paraId="5C8FBE53"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5.6±0.12</w:t>
            </w:r>
            <w:r w:rsidRPr="006A4BFC">
              <w:rPr>
                <w:rFonts w:eastAsia="Calibri"/>
                <w:color w:val="000000"/>
                <w:kern w:val="24"/>
              </w:rPr>
              <w:t xml:space="preserve"> </w:t>
            </w:r>
          </w:p>
        </w:tc>
        <w:tc>
          <w:tcPr>
            <w:tcW w:w="2076" w:type="dxa"/>
          </w:tcPr>
          <w:p w14:paraId="11856D71"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5.0±0.66</w:t>
            </w:r>
            <w:r w:rsidRPr="006A4BFC">
              <w:rPr>
                <w:rFonts w:eastAsia="Calibri"/>
                <w:color w:val="000000"/>
                <w:kern w:val="24"/>
              </w:rPr>
              <w:t xml:space="preserve"> </w:t>
            </w:r>
          </w:p>
        </w:tc>
        <w:tc>
          <w:tcPr>
            <w:tcW w:w="1928" w:type="dxa"/>
          </w:tcPr>
          <w:p w14:paraId="46C4421F"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6.8± 0.32</w:t>
            </w:r>
            <w:r w:rsidRPr="006A4BFC">
              <w:rPr>
                <w:rFonts w:eastAsia="Calibri"/>
                <w:color w:val="000000"/>
                <w:kern w:val="24"/>
              </w:rPr>
              <w:t xml:space="preserve"> </w:t>
            </w:r>
          </w:p>
        </w:tc>
      </w:tr>
      <w:tr w:rsidR="006A4BFC" w:rsidRPr="006A4BFC" w14:paraId="6CEEE0F3" w14:textId="77777777" w:rsidTr="007D5378">
        <w:trPr>
          <w:trHeight w:val="491"/>
        </w:trPr>
        <w:tc>
          <w:tcPr>
            <w:tcW w:w="2238" w:type="dxa"/>
          </w:tcPr>
          <w:p w14:paraId="3AC75B40"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Moisture content </w:t>
            </w:r>
          </w:p>
        </w:tc>
        <w:tc>
          <w:tcPr>
            <w:tcW w:w="1970" w:type="dxa"/>
          </w:tcPr>
          <w:p w14:paraId="0D046F29"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10.6±0.76</w:t>
            </w:r>
            <w:r w:rsidRPr="006A4BFC">
              <w:rPr>
                <w:rFonts w:eastAsia="Calibri"/>
                <w:color w:val="000000"/>
                <w:kern w:val="24"/>
              </w:rPr>
              <w:t xml:space="preserve"> </w:t>
            </w:r>
          </w:p>
        </w:tc>
        <w:tc>
          <w:tcPr>
            <w:tcW w:w="1667" w:type="dxa"/>
          </w:tcPr>
          <w:p w14:paraId="7E292140"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10.8±0.52</w:t>
            </w:r>
            <w:r w:rsidRPr="006A4BFC">
              <w:rPr>
                <w:rFonts w:eastAsia="Calibri"/>
                <w:color w:val="000000"/>
                <w:kern w:val="24"/>
              </w:rPr>
              <w:t xml:space="preserve"> </w:t>
            </w:r>
          </w:p>
        </w:tc>
        <w:tc>
          <w:tcPr>
            <w:tcW w:w="2076" w:type="dxa"/>
          </w:tcPr>
          <w:p w14:paraId="0AED9EA5"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8.1± 0.011</w:t>
            </w:r>
            <w:r w:rsidRPr="006A4BFC">
              <w:rPr>
                <w:rFonts w:eastAsia="Calibri"/>
                <w:color w:val="000000"/>
                <w:kern w:val="24"/>
              </w:rPr>
              <w:t xml:space="preserve"> </w:t>
            </w:r>
          </w:p>
        </w:tc>
        <w:tc>
          <w:tcPr>
            <w:tcW w:w="1928" w:type="dxa"/>
          </w:tcPr>
          <w:p w14:paraId="58EBE64C" w14:textId="77777777" w:rsidR="006A4BFC" w:rsidRPr="006A4BFC" w:rsidRDefault="006A4BFC" w:rsidP="006A4BFC">
            <w:pPr>
              <w:pStyle w:val="NormalWeb"/>
              <w:spacing w:before="0" w:beforeAutospacing="0" w:after="0" w:afterAutospacing="0" w:line="360" w:lineRule="auto"/>
              <w:jc w:val="both"/>
            </w:pPr>
            <w:r w:rsidRPr="006A4BFC">
              <w:rPr>
                <w:color w:val="000000"/>
                <w:kern w:val="24"/>
              </w:rPr>
              <w:t xml:space="preserve">    6.2±042</w:t>
            </w:r>
            <w:r w:rsidRPr="006A4BFC">
              <w:rPr>
                <w:rFonts w:eastAsia="Calibri"/>
                <w:color w:val="000000"/>
                <w:kern w:val="24"/>
              </w:rPr>
              <w:t xml:space="preserve"> </w:t>
            </w:r>
          </w:p>
        </w:tc>
      </w:tr>
      <w:tr w:rsidR="006A4BFC" w:rsidRPr="006A4BFC" w14:paraId="2E159A53" w14:textId="77777777" w:rsidTr="007D5378">
        <w:trPr>
          <w:trHeight w:val="491"/>
        </w:trPr>
        <w:tc>
          <w:tcPr>
            <w:tcW w:w="2238" w:type="dxa"/>
          </w:tcPr>
          <w:p w14:paraId="2338C756"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Organic Carbon</w:t>
            </w:r>
          </w:p>
        </w:tc>
        <w:tc>
          <w:tcPr>
            <w:tcW w:w="1970" w:type="dxa"/>
          </w:tcPr>
          <w:p w14:paraId="5443E7DC"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0.678±0.02 </w:t>
            </w:r>
          </w:p>
        </w:tc>
        <w:tc>
          <w:tcPr>
            <w:tcW w:w="1667" w:type="dxa"/>
          </w:tcPr>
          <w:p w14:paraId="4C22D6E9"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0.987±0.01 </w:t>
            </w:r>
          </w:p>
        </w:tc>
        <w:tc>
          <w:tcPr>
            <w:tcW w:w="2076" w:type="dxa"/>
          </w:tcPr>
          <w:p w14:paraId="6F9B8960"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1.440±0.01 </w:t>
            </w:r>
          </w:p>
        </w:tc>
        <w:tc>
          <w:tcPr>
            <w:tcW w:w="1928" w:type="dxa"/>
          </w:tcPr>
          <w:p w14:paraId="3CF214D2"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0.280±0.04 </w:t>
            </w:r>
          </w:p>
        </w:tc>
      </w:tr>
      <w:tr w:rsidR="006A4BFC" w:rsidRPr="006A4BFC" w14:paraId="6D988A1E" w14:textId="77777777" w:rsidTr="007D5378">
        <w:trPr>
          <w:trHeight w:val="491"/>
        </w:trPr>
        <w:tc>
          <w:tcPr>
            <w:tcW w:w="2238" w:type="dxa"/>
          </w:tcPr>
          <w:p w14:paraId="0DCE3A6C"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Organic matter</w:t>
            </w:r>
          </w:p>
        </w:tc>
        <w:tc>
          <w:tcPr>
            <w:tcW w:w="1970" w:type="dxa"/>
          </w:tcPr>
          <w:p w14:paraId="3BA3F3A9"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1.480±0.06 </w:t>
            </w:r>
          </w:p>
        </w:tc>
        <w:tc>
          <w:tcPr>
            <w:tcW w:w="1667" w:type="dxa"/>
          </w:tcPr>
          <w:p w14:paraId="1BC77D9A"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2.480±1.06 </w:t>
            </w:r>
          </w:p>
        </w:tc>
        <w:tc>
          <w:tcPr>
            <w:tcW w:w="2076" w:type="dxa"/>
          </w:tcPr>
          <w:p w14:paraId="4F2A434D"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2.064±0.30 </w:t>
            </w:r>
          </w:p>
        </w:tc>
        <w:tc>
          <w:tcPr>
            <w:tcW w:w="1928" w:type="dxa"/>
          </w:tcPr>
          <w:p w14:paraId="2364D051"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3.4±1.96 </w:t>
            </w:r>
          </w:p>
        </w:tc>
      </w:tr>
      <w:tr w:rsidR="006A4BFC" w:rsidRPr="006A4BFC" w14:paraId="356C8D66" w14:textId="77777777" w:rsidTr="007D5378">
        <w:trPr>
          <w:trHeight w:val="491"/>
        </w:trPr>
        <w:tc>
          <w:tcPr>
            <w:tcW w:w="2238" w:type="dxa"/>
          </w:tcPr>
          <w:p w14:paraId="0FF780CF"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CEC</w:t>
            </w:r>
          </w:p>
        </w:tc>
        <w:tc>
          <w:tcPr>
            <w:tcW w:w="1970" w:type="dxa"/>
          </w:tcPr>
          <w:p w14:paraId="25154BDC"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14.60±1.08 </w:t>
            </w:r>
          </w:p>
        </w:tc>
        <w:tc>
          <w:tcPr>
            <w:tcW w:w="1667" w:type="dxa"/>
          </w:tcPr>
          <w:p w14:paraId="3D0BF56A"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18.80±0.33 </w:t>
            </w:r>
          </w:p>
        </w:tc>
        <w:tc>
          <w:tcPr>
            <w:tcW w:w="2076" w:type="dxa"/>
          </w:tcPr>
          <w:p w14:paraId="0ED2A9B8"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17.40±0.04 </w:t>
            </w:r>
          </w:p>
        </w:tc>
        <w:tc>
          <w:tcPr>
            <w:tcW w:w="1928" w:type="dxa"/>
          </w:tcPr>
          <w:p w14:paraId="42C5B2E3"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12.05±0.30 </w:t>
            </w:r>
          </w:p>
        </w:tc>
      </w:tr>
      <w:tr w:rsidR="006A4BFC" w:rsidRPr="006A4BFC" w14:paraId="3C34C25E" w14:textId="77777777" w:rsidTr="007D5378">
        <w:trPr>
          <w:trHeight w:val="478"/>
        </w:trPr>
        <w:tc>
          <w:tcPr>
            <w:tcW w:w="2238" w:type="dxa"/>
          </w:tcPr>
          <w:p w14:paraId="20796137"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Nitrogen (%)</w:t>
            </w:r>
          </w:p>
        </w:tc>
        <w:tc>
          <w:tcPr>
            <w:tcW w:w="1970" w:type="dxa"/>
          </w:tcPr>
          <w:p w14:paraId="6B9348AE"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0.252±0.05 </w:t>
            </w:r>
          </w:p>
        </w:tc>
        <w:tc>
          <w:tcPr>
            <w:tcW w:w="1667" w:type="dxa"/>
          </w:tcPr>
          <w:p w14:paraId="0C5822EA"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0.182±0.03 </w:t>
            </w:r>
          </w:p>
        </w:tc>
        <w:tc>
          <w:tcPr>
            <w:tcW w:w="2076" w:type="dxa"/>
          </w:tcPr>
          <w:p w14:paraId="2C402D79"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0.366±0.03 </w:t>
            </w:r>
          </w:p>
        </w:tc>
        <w:tc>
          <w:tcPr>
            <w:tcW w:w="1928" w:type="dxa"/>
          </w:tcPr>
          <w:p w14:paraId="351D32DB"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34.55±0.97 </w:t>
            </w:r>
          </w:p>
        </w:tc>
      </w:tr>
      <w:tr w:rsidR="006A4BFC" w:rsidRPr="006A4BFC" w14:paraId="01C617FB" w14:textId="77777777" w:rsidTr="007D5378">
        <w:trPr>
          <w:trHeight w:val="491"/>
        </w:trPr>
        <w:tc>
          <w:tcPr>
            <w:tcW w:w="2238" w:type="dxa"/>
          </w:tcPr>
          <w:p w14:paraId="4F115C93"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Sodium (%)</w:t>
            </w:r>
          </w:p>
        </w:tc>
        <w:tc>
          <w:tcPr>
            <w:tcW w:w="1970" w:type="dxa"/>
          </w:tcPr>
          <w:p w14:paraId="681957BB"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0.0788±0.00 </w:t>
            </w:r>
          </w:p>
        </w:tc>
        <w:tc>
          <w:tcPr>
            <w:tcW w:w="1667" w:type="dxa"/>
          </w:tcPr>
          <w:p w14:paraId="2F478317"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0.069±0.01 </w:t>
            </w:r>
          </w:p>
        </w:tc>
        <w:tc>
          <w:tcPr>
            <w:tcW w:w="2076" w:type="dxa"/>
          </w:tcPr>
          <w:p w14:paraId="657CE13F"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0.0774±0.01 </w:t>
            </w:r>
          </w:p>
        </w:tc>
        <w:tc>
          <w:tcPr>
            <w:tcW w:w="1928" w:type="dxa"/>
          </w:tcPr>
          <w:p w14:paraId="02DA0A34"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0.0679±0.00 </w:t>
            </w:r>
          </w:p>
        </w:tc>
      </w:tr>
      <w:tr w:rsidR="006A4BFC" w:rsidRPr="006A4BFC" w14:paraId="3C1469E9" w14:textId="77777777" w:rsidTr="007D5378">
        <w:trPr>
          <w:trHeight w:val="491"/>
        </w:trPr>
        <w:tc>
          <w:tcPr>
            <w:tcW w:w="2238" w:type="dxa"/>
          </w:tcPr>
          <w:p w14:paraId="2792964F"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Potassium (%)</w:t>
            </w:r>
          </w:p>
        </w:tc>
        <w:tc>
          <w:tcPr>
            <w:tcW w:w="1970" w:type="dxa"/>
          </w:tcPr>
          <w:p w14:paraId="3D9D1FEC"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0.0656±0.00 </w:t>
            </w:r>
          </w:p>
        </w:tc>
        <w:tc>
          <w:tcPr>
            <w:tcW w:w="1667" w:type="dxa"/>
          </w:tcPr>
          <w:p w14:paraId="4FDE8104"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0.0680±0.01 </w:t>
            </w:r>
          </w:p>
        </w:tc>
        <w:tc>
          <w:tcPr>
            <w:tcW w:w="2076" w:type="dxa"/>
          </w:tcPr>
          <w:p w14:paraId="26085FF4"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0.023±0.00 </w:t>
            </w:r>
          </w:p>
        </w:tc>
        <w:tc>
          <w:tcPr>
            <w:tcW w:w="1928" w:type="dxa"/>
          </w:tcPr>
          <w:p w14:paraId="2A55E3E4"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0.3471±0.01 </w:t>
            </w:r>
          </w:p>
        </w:tc>
      </w:tr>
      <w:tr w:rsidR="006A4BFC" w:rsidRPr="006A4BFC" w14:paraId="3FEF2757" w14:textId="77777777" w:rsidTr="007D5378">
        <w:trPr>
          <w:trHeight w:val="70"/>
        </w:trPr>
        <w:tc>
          <w:tcPr>
            <w:tcW w:w="2238" w:type="dxa"/>
          </w:tcPr>
          <w:p w14:paraId="762FDF71"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Calcium (%)</w:t>
            </w:r>
          </w:p>
        </w:tc>
        <w:tc>
          <w:tcPr>
            <w:tcW w:w="1970" w:type="dxa"/>
          </w:tcPr>
          <w:p w14:paraId="259BDD0D"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0.196±0.00 </w:t>
            </w:r>
          </w:p>
        </w:tc>
        <w:tc>
          <w:tcPr>
            <w:tcW w:w="1667" w:type="dxa"/>
          </w:tcPr>
          <w:p w14:paraId="677BFDE2"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0.183±0.00 </w:t>
            </w:r>
          </w:p>
        </w:tc>
        <w:tc>
          <w:tcPr>
            <w:tcW w:w="2076" w:type="dxa"/>
          </w:tcPr>
          <w:p w14:paraId="1AC7AFDB"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0.196±0.01 </w:t>
            </w:r>
          </w:p>
        </w:tc>
        <w:tc>
          <w:tcPr>
            <w:tcW w:w="1928" w:type="dxa"/>
          </w:tcPr>
          <w:p w14:paraId="79B2157C"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0.18±0.01 </w:t>
            </w:r>
          </w:p>
        </w:tc>
      </w:tr>
      <w:tr w:rsidR="006A4BFC" w:rsidRPr="006A4BFC" w14:paraId="4861F5C2" w14:textId="77777777" w:rsidTr="007D5378">
        <w:trPr>
          <w:trHeight w:val="474"/>
        </w:trPr>
        <w:tc>
          <w:tcPr>
            <w:tcW w:w="2238" w:type="dxa"/>
            <w:tcBorders>
              <w:bottom w:val="single" w:sz="4" w:space="0" w:color="auto"/>
            </w:tcBorders>
          </w:tcPr>
          <w:p w14:paraId="54C500A8"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Magnesium (%) </w:t>
            </w:r>
          </w:p>
        </w:tc>
        <w:tc>
          <w:tcPr>
            <w:tcW w:w="1970" w:type="dxa"/>
            <w:tcBorders>
              <w:bottom w:val="single" w:sz="4" w:space="0" w:color="auto"/>
            </w:tcBorders>
          </w:tcPr>
          <w:p w14:paraId="24B714E2"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Not detected </w:t>
            </w:r>
          </w:p>
        </w:tc>
        <w:tc>
          <w:tcPr>
            <w:tcW w:w="1667" w:type="dxa"/>
            <w:tcBorders>
              <w:bottom w:val="single" w:sz="4" w:space="0" w:color="auto"/>
            </w:tcBorders>
          </w:tcPr>
          <w:p w14:paraId="1EA8F281"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Not detected </w:t>
            </w:r>
          </w:p>
        </w:tc>
        <w:tc>
          <w:tcPr>
            <w:tcW w:w="2076" w:type="dxa"/>
            <w:tcBorders>
              <w:bottom w:val="single" w:sz="4" w:space="0" w:color="auto"/>
            </w:tcBorders>
          </w:tcPr>
          <w:p w14:paraId="526BEE84" w14:textId="77777777" w:rsidR="006A4BFC" w:rsidRPr="006A4BFC" w:rsidRDefault="006A4BFC" w:rsidP="006A4BFC">
            <w:pPr>
              <w:pStyle w:val="NormalWeb"/>
              <w:spacing w:before="0" w:beforeAutospacing="0" w:after="0" w:afterAutospacing="0" w:line="360" w:lineRule="auto"/>
              <w:jc w:val="both"/>
            </w:pPr>
            <w:r w:rsidRPr="006A4BFC">
              <w:rPr>
                <w:rFonts w:eastAsia="Calibri"/>
                <w:color w:val="000000"/>
                <w:kern w:val="24"/>
              </w:rPr>
              <w:t xml:space="preserve">  Not detected </w:t>
            </w:r>
          </w:p>
        </w:tc>
        <w:tc>
          <w:tcPr>
            <w:tcW w:w="1928" w:type="dxa"/>
            <w:tcBorders>
              <w:bottom w:val="single" w:sz="4" w:space="0" w:color="auto"/>
            </w:tcBorders>
          </w:tcPr>
          <w:p w14:paraId="11AA2BE0" w14:textId="77777777" w:rsidR="006A4BFC" w:rsidRPr="006A4BFC" w:rsidRDefault="006A4BFC" w:rsidP="006A4BFC">
            <w:pPr>
              <w:pStyle w:val="NoSpacing"/>
              <w:spacing w:line="360" w:lineRule="auto"/>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 xml:space="preserve">  3.67±0.34 </w:t>
            </w:r>
          </w:p>
        </w:tc>
      </w:tr>
    </w:tbl>
    <w:p w14:paraId="711DF4F5" w14:textId="77777777" w:rsidR="006A4BFC" w:rsidRPr="006A4BFC" w:rsidRDefault="006A4BFC" w:rsidP="006A4BFC">
      <w:pPr>
        <w:spacing w:after="0"/>
        <w:jc w:val="both"/>
        <w:rPr>
          <w:rFonts w:ascii="Times New Roman" w:hAnsi="Times New Roman" w:cs="Times New Roman"/>
          <w:color w:val="000000" w:themeColor="text1"/>
          <w:sz w:val="24"/>
          <w:szCs w:val="24"/>
        </w:rPr>
      </w:pPr>
    </w:p>
    <w:p w14:paraId="254B40E9" w14:textId="77777777" w:rsidR="006A4BFC" w:rsidRPr="006A4BFC" w:rsidRDefault="006A4BFC" w:rsidP="006A4BFC">
      <w:pPr>
        <w:autoSpaceDE w:val="0"/>
        <w:autoSpaceDN w:val="0"/>
        <w:adjustRightInd w:val="0"/>
        <w:spacing w:after="0" w:line="240" w:lineRule="auto"/>
        <w:jc w:val="both"/>
        <w:rPr>
          <w:rFonts w:ascii="Times New Roman" w:hAnsi="Times New Roman" w:cs="Times New Roman"/>
          <w:color w:val="000000"/>
          <w:sz w:val="24"/>
          <w:szCs w:val="24"/>
        </w:rPr>
      </w:pPr>
      <w:r w:rsidRPr="006A4BFC">
        <w:rPr>
          <w:rFonts w:ascii="Times New Roman" w:hAnsi="Times New Roman" w:cs="Times New Roman"/>
          <w:b/>
          <w:color w:val="000000"/>
          <w:sz w:val="24"/>
          <w:szCs w:val="24"/>
        </w:rPr>
        <w:t xml:space="preserve"> physicochemical properties of soil samples collected from thermal power station vicinity.</w:t>
      </w:r>
    </w:p>
    <w:p w14:paraId="5305DF51" w14:textId="5091E9F3" w:rsidR="006A4BFC" w:rsidRPr="006A4BFC" w:rsidRDefault="006A4BFC" w:rsidP="006A4BFC">
      <w:pPr>
        <w:spacing w:after="0"/>
        <w:jc w:val="both"/>
        <w:rPr>
          <w:rFonts w:ascii="Times New Roman" w:hAnsi="Times New Roman" w:cs="Times New Roman"/>
          <w:color w:val="000000" w:themeColor="text1"/>
          <w:sz w:val="24"/>
          <w:szCs w:val="24"/>
        </w:rPr>
      </w:pPr>
      <w:r w:rsidRPr="006A4BFC">
        <w:rPr>
          <w:rFonts w:ascii="Times New Roman" w:hAnsi="Times New Roman" w:cs="Times New Roman"/>
          <w:color w:val="000000"/>
          <w:sz w:val="24"/>
          <w:szCs w:val="24"/>
        </w:rPr>
        <w:t xml:space="preserve">The physicochemical characteristics of the contaminated soil samples were evaluated </w:t>
      </w:r>
      <w:r w:rsidR="00551400" w:rsidRPr="006A4BFC">
        <w:rPr>
          <w:rFonts w:ascii="Times New Roman" w:hAnsi="Times New Roman" w:cs="Times New Roman"/>
          <w:color w:val="000000"/>
          <w:sz w:val="24"/>
          <w:szCs w:val="24"/>
        </w:rPr>
        <w:t>as presented</w:t>
      </w:r>
      <w:r w:rsidRPr="006A4BFC">
        <w:rPr>
          <w:rFonts w:ascii="Times New Roman" w:hAnsi="Times New Roman" w:cs="Times New Roman"/>
          <w:color w:val="000000"/>
          <w:sz w:val="24"/>
          <w:szCs w:val="24"/>
        </w:rPr>
        <w:t xml:space="preserve"> in Table 1. It was observed that all the soil sample analyzed have the same textural class, with the percentage </w:t>
      </w:r>
      <w:r w:rsidRPr="006A4BFC">
        <w:rPr>
          <w:rFonts w:ascii="Times New Roman" w:hAnsi="Times New Roman" w:cs="Times New Roman"/>
          <w:color w:val="000000" w:themeColor="text1"/>
          <w:sz w:val="24"/>
          <w:szCs w:val="24"/>
        </w:rPr>
        <w:t xml:space="preserve">of the clay and silt significantly (P&lt; 0.05) higher in the contaminated soil sample compared with the non-contaminated soil sample. The condensate contaminated soil had the highest value of 6.00±00 and 7±00 respectively. The temperature, organic </w:t>
      </w:r>
      <w:r w:rsidR="00551400" w:rsidRPr="006A4BFC">
        <w:rPr>
          <w:rFonts w:ascii="Times New Roman" w:hAnsi="Times New Roman" w:cs="Times New Roman"/>
          <w:color w:val="000000" w:themeColor="text1"/>
          <w:sz w:val="24"/>
          <w:szCs w:val="24"/>
        </w:rPr>
        <w:t>carbon, and</w:t>
      </w:r>
      <w:r w:rsidRPr="006A4BFC">
        <w:rPr>
          <w:rFonts w:ascii="Times New Roman" w:hAnsi="Times New Roman" w:cs="Times New Roman"/>
          <w:color w:val="000000" w:themeColor="text1"/>
          <w:sz w:val="24"/>
          <w:szCs w:val="24"/>
        </w:rPr>
        <w:t xml:space="preserve"> moisture content, of the contaminated soil samples were significantly (P&lt;0.05) higher than non-contaminated soil sample. While the organic matter, pH, nitrogen CEC, and the exchangeable ions nitrogen were higher in the non-contaminated soil sample. With magnesium only detected in the non-contaminated soil sample.</w:t>
      </w:r>
    </w:p>
    <w:p w14:paraId="23551ADE" w14:textId="77777777" w:rsidR="006A4BFC" w:rsidRPr="006A4BFC" w:rsidRDefault="006A4BFC" w:rsidP="006A4BFC">
      <w:pPr>
        <w:jc w:val="both"/>
        <w:rPr>
          <w:rFonts w:ascii="Times New Roman" w:hAnsi="Times New Roman" w:cs="Times New Roman"/>
          <w:b/>
          <w:color w:val="000000"/>
          <w:sz w:val="24"/>
          <w:szCs w:val="24"/>
        </w:rPr>
      </w:pPr>
      <w:r w:rsidRPr="006A4BFC">
        <w:rPr>
          <w:rFonts w:ascii="Times New Roman" w:hAnsi="Times New Roman" w:cs="Times New Roman"/>
          <w:b/>
          <w:color w:val="000000"/>
          <w:sz w:val="24"/>
          <w:szCs w:val="24"/>
        </w:rPr>
        <w:t>Table 2:  Heavy metal content of Condensate, oil and soil samples</w:t>
      </w:r>
    </w:p>
    <w:tbl>
      <w:tblPr>
        <w:tblStyle w:val="TableGrid"/>
        <w:tblW w:w="10968"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
        <w:gridCol w:w="625"/>
        <w:gridCol w:w="325"/>
        <w:gridCol w:w="1092"/>
        <w:gridCol w:w="423"/>
        <w:gridCol w:w="1046"/>
        <w:gridCol w:w="423"/>
        <w:gridCol w:w="1126"/>
        <w:gridCol w:w="423"/>
        <w:gridCol w:w="1126"/>
        <w:gridCol w:w="423"/>
        <w:gridCol w:w="994"/>
        <w:gridCol w:w="423"/>
        <w:gridCol w:w="1193"/>
        <w:gridCol w:w="423"/>
        <w:gridCol w:w="646"/>
        <w:gridCol w:w="170"/>
      </w:tblGrid>
      <w:tr w:rsidR="006A4BFC" w:rsidRPr="00236828" w14:paraId="770C6832" w14:textId="77777777" w:rsidTr="00236828">
        <w:trPr>
          <w:gridAfter w:val="1"/>
          <w:wAfter w:w="170" w:type="dxa"/>
        </w:trPr>
        <w:tc>
          <w:tcPr>
            <w:tcW w:w="843" w:type="dxa"/>
            <w:gridSpan w:val="2"/>
            <w:tcBorders>
              <w:top w:val="single" w:sz="4" w:space="0" w:color="auto"/>
              <w:bottom w:val="single" w:sz="4" w:space="0" w:color="auto"/>
            </w:tcBorders>
          </w:tcPr>
          <w:p w14:paraId="12F47478" w14:textId="77777777" w:rsidR="006A4BFC" w:rsidRPr="00236828" w:rsidRDefault="006A4BFC" w:rsidP="006A4BFC">
            <w:pPr>
              <w:rPr>
                <w:b/>
                <w:bCs/>
                <w:color w:val="000000"/>
                <w:sz w:val="24"/>
                <w:szCs w:val="24"/>
              </w:rPr>
            </w:pPr>
            <w:r w:rsidRPr="00236828">
              <w:rPr>
                <w:b/>
                <w:bCs/>
                <w:color w:val="000000"/>
                <w:sz w:val="24"/>
                <w:szCs w:val="24"/>
              </w:rPr>
              <w:t>Metal (ppm)</w:t>
            </w:r>
          </w:p>
        </w:tc>
        <w:tc>
          <w:tcPr>
            <w:tcW w:w="1286" w:type="dxa"/>
            <w:gridSpan w:val="2"/>
            <w:tcBorders>
              <w:top w:val="single" w:sz="4" w:space="0" w:color="auto"/>
              <w:bottom w:val="single" w:sz="4" w:space="0" w:color="auto"/>
            </w:tcBorders>
          </w:tcPr>
          <w:p w14:paraId="4724CD73" w14:textId="77777777" w:rsidR="006A4BFC" w:rsidRPr="00236828" w:rsidRDefault="006A4BFC" w:rsidP="006A4BFC">
            <w:pPr>
              <w:rPr>
                <w:b/>
                <w:bCs/>
                <w:color w:val="000000"/>
                <w:sz w:val="24"/>
                <w:szCs w:val="24"/>
              </w:rPr>
            </w:pPr>
            <w:r w:rsidRPr="00236828">
              <w:rPr>
                <w:b/>
                <w:bCs/>
                <w:color w:val="000000"/>
                <w:sz w:val="24"/>
                <w:szCs w:val="24"/>
              </w:rPr>
              <w:t xml:space="preserve">Condensate </w:t>
            </w:r>
          </w:p>
        </w:tc>
        <w:tc>
          <w:tcPr>
            <w:tcW w:w="1469" w:type="dxa"/>
            <w:gridSpan w:val="2"/>
            <w:tcBorders>
              <w:top w:val="single" w:sz="4" w:space="0" w:color="auto"/>
              <w:bottom w:val="single" w:sz="4" w:space="0" w:color="auto"/>
            </w:tcBorders>
          </w:tcPr>
          <w:p w14:paraId="69EA94E8" w14:textId="77777777" w:rsidR="006A4BFC" w:rsidRPr="00236828" w:rsidRDefault="006A4BFC" w:rsidP="006A4BFC">
            <w:pPr>
              <w:rPr>
                <w:b/>
                <w:bCs/>
                <w:color w:val="000000"/>
                <w:sz w:val="24"/>
                <w:szCs w:val="24"/>
              </w:rPr>
            </w:pPr>
            <w:r w:rsidRPr="00236828">
              <w:rPr>
                <w:b/>
                <w:bCs/>
                <w:color w:val="000000"/>
                <w:sz w:val="24"/>
                <w:szCs w:val="24"/>
              </w:rPr>
              <w:t>Used electrical transformer oil</w:t>
            </w:r>
          </w:p>
        </w:tc>
        <w:tc>
          <w:tcPr>
            <w:tcW w:w="1549" w:type="dxa"/>
            <w:gridSpan w:val="2"/>
            <w:tcBorders>
              <w:top w:val="single" w:sz="4" w:space="0" w:color="auto"/>
              <w:bottom w:val="single" w:sz="4" w:space="0" w:color="auto"/>
            </w:tcBorders>
          </w:tcPr>
          <w:p w14:paraId="675F8A34" w14:textId="77777777" w:rsidR="006A4BFC" w:rsidRPr="00236828" w:rsidRDefault="006A4BFC" w:rsidP="006A4BFC">
            <w:pPr>
              <w:rPr>
                <w:b/>
                <w:bCs/>
                <w:color w:val="000000"/>
                <w:sz w:val="24"/>
                <w:szCs w:val="24"/>
              </w:rPr>
            </w:pPr>
            <w:r w:rsidRPr="00236828">
              <w:rPr>
                <w:b/>
                <w:bCs/>
                <w:color w:val="000000"/>
                <w:sz w:val="24"/>
                <w:szCs w:val="24"/>
              </w:rPr>
              <w:t xml:space="preserve">Transformer   </w:t>
            </w:r>
          </w:p>
          <w:p w14:paraId="5745EBBE" w14:textId="77777777" w:rsidR="006A4BFC" w:rsidRPr="00236828" w:rsidRDefault="006A4BFC" w:rsidP="006A4BFC">
            <w:pPr>
              <w:rPr>
                <w:b/>
                <w:bCs/>
                <w:color w:val="000000"/>
                <w:sz w:val="24"/>
                <w:szCs w:val="24"/>
              </w:rPr>
            </w:pPr>
            <w:r w:rsidRPr="00236828">
              <w:rPr>
                <w:b/>
                <w:bCs/>
                <w:color w:val="000000"/>
                <w:sz w:val="24"/>
                <w:szCs w:val="24"/>
              </w:rPr>
              <w:t xml:space="preserve">    I   soil </w:t>
            </w:r>
          </w:p>
        </w:tc>
        <w:tc>
          <w:tcPr>
            <w:tcW w:w="1549" w:type="dxa"/>
            <w:gridSpan w:val="2"/>
            <w:tcBorders>
              <w:top w:val="single" w:sz="4" w:space="0" w:color="auto"/>
              <w:bottom w:val="single" w:sz="4" w:space="0" w:color="auto"/>
            </w:tcBorders>
          </w:tcPr>
          <w:p w14:paraId="3071C5B8" w14:textId="77777777" w:rsidR="006A4BFC" w:rsidRPr="00236828" w:rsidRDefault="006A4BFC" w:rsidP="006A4BFC">
            <w:pPr>
              <w:rPr>
                <w:b/>
                <w:bCs/>
                <w:color w:val="000000"/>
                <w:sz w:val="24"/>
                <w:szCs w:val="24"/>
              </w:rPr>
            </w:pPr>
            <w:r w:rsidRPr="00236828">
              <w:rPr>
                <w:b/>
                <w:bCs/>
                <w:color w:val="000000"/>
                <w:sz w:val="24"/>
                <w:szCs w:val="24"/>
              </w:rPr>
              <w:t>Transformer</w:t>
            </w:r>
          </w:p>
          <w:p w14:paraId="17BAFAB0" w14:textId="77777777" w:rsidR="006A4BFC" w:rsidRPr="00236828" w:rsidRDefault="006A4BFC" w:rsidP="006A4BFC">
            <w:pPr>
              <w:rPr>
                <w:b/>
                <w:bCs/>
                <w:color w:val="000000"/>
                <w:sz w:val="24"/>
                <w:szCs w:val="24"/>
              </w:rPr>
            </w:pPr>
            <w:r w:rsidRPr="00236828">
              <w:rPr>
                <w:b/>
                <w:bCs/>
                <w:color w:val="000000"/>
                <w:sz w:val="24"/>
                <w:szCs w:val="24"/>
              </w:rPr>
              <w:t xml:space="preserve">   II    soil</w:t>
            </w:r>
          </w:p>
        </w:tc>
        <w:tc>
          <w:tcPr>
            <w:tcW w:w="1417" w:type="dxa"/>
            <w:gridSpan w:val="2"/>
            <w:tcBorders>
              <w:top w:val="single" w:sz="4" w:space="0" w:color="auto"/>
              <w:bottom w:val="single" w:sz="4" w:space="0" w:color="auto"/>
            </w:tcBorders>
          </w:tcPr>
          <w:p w14:paraId="7B2FF96A" w14:textId="77777777" w:rsidR="006A4BFC" w:rsidRPr="00236828" w:rsidRDefault="006A4BFC" w:rsidP="006A4BFC">
            <w:pPr>
              <w:rPr>
                <w:b/>
                <w:bCs/>
                <w:color w:val="000000"/>
                <w:sz w:val="24"/>
                <w:szCs w:val="24"/>
              </w:rPr>
            </w:pPr>
            <w:r w:rsidRPr="00236828">
              <w:rPr>
                <w:b/>
                <w:bCs/>
                <w:color w:val="000000"/>
                <w:sz w:val="24"/>
                <w:szCs w:val="24"/>
              </w:rPr>
              <w:t xml:space="preserve">Condensate   </w:t>
            </w:r>
          </w:p>
          <w:p w14:paraId="7A8062A5" w14:textId="77777777" w:rsidR="006A4BFC" w:rsidRPr="00236828" w:rsidRDefault="006A4BFC" w:rsidP="006A4BFC">
            <w:pPr>
              <w:rPr>
                <w:b/>
                <w:bCs/>
                <w:color w:val="000000"/>
                <w:sz w:val="24"/>
                <w:szCs w:val="24"/>
              </w:rPr>
            </w:pPr>
            <w:r w:rsidRPr="00236828">
              <w:rPr>
                <w:b/>
                <w:bCs/>
                <w:color w:val="000000"/>
                <w:sz w:val="24"/>
                <w:szCs w:val="24"/>
              </w:rPr>
              <w:t xml:space="preserve">      soil</w:t>
            </w:r>
          </w:p>
        </w:tc>
        <w:tc>
          <w:tcPr>
            <w:tcW w:w="1616" w:type="dxa"/>
            <w:gridSpan w:val="2"/>
            <w:tcBorders>
              <w:top w:val="single" w:sz="4" w:space="0" w:color="auto"/>
              <w:bottom w:val="single" w:sz="4" w:space="0" w:color="auto"/>
            </w:tcBorders>
          </w:tcPr>
          <w:p w14:paraId="2A555FFC" w14:textId="77777777" w:rsidR="006A4BFC" w:rsidRPr="00236828" w:rsidRDefault="006A4BFC" w:rsidP="006A4BFC">
            <w:pPr>
              <w:rPr>
                <w:b/>
                <w:bCs/>
                <w:color w:val="000000"/>
                <w:sz w:val="24"/>
                <w:szCs w:val="24"/>
              </w:rPr>
            </w:pPr>
            <w:r w:rsidRPr="00236828">
              <w:rPr>
                <w:b/>
                <w:bCs/>
                <w:color w:val="000000"/>
                <w:sz w:val="24"/>
                <w:szCs w:val="24"/>
              </w:rPr>
              <w:t>Non-contaminated soil</w:t>
            </w:r>
          </w:p>
        </w:tc>
        <w:tc>
          <w:tcPr>
            <w:tcW w:w="1069" w:type="dxa"/>
            <w:gridSpan w:val="2"/>
            <w:tcBorders>
              <w:top w:val="single" w:sz="4" w:space="0" w:color="auto"/>
              <w:bottom w:val="single" w:sz="4" w:space="0" w:color="auto"/>
            </w:tcBorders>
          </w:tcPr>
          <w:p w14:paraId="28500CC2" w14:textId="77777777" w:rsidR="006A4BFC" w:rsidRPr="00236828" w:rsidRDefault="006A4BFC" w:rsidP="006A4BFC">
            <w:pPr>
              <w:rPr>
                <w:b/>
                <w:bCs/>
                <w:color w:val="000000"/>
                <w:sz w:val="24"/>
                <w:szCs w:val="24"/>
              </w:rPr>
            </w:pPr>
            <w:r w:rsidRPr="00236828">
              <w:rPr>
                <w:b/>
                <w:bCs/>
                <w:color w:val="000000"/>
                <w:sz w:val="24"/>
                <w:szCs w:val="24"/>
              </w:rPr>
              <w:t>Selected Average for soil</w:t>
            </w:r>
          </w:p>
        </w:tc>
      </w:tr>
      <w:tr w:rsidR="006A4BFC" w:rsidRPr="006A4BFC" w14:paraId="6B0D7901" w14:textId="77777777" w:rsidTr="00236828">
        <w:trPr>
          <w:gridBefore w:val="1"/>
          <w:wBefore w:w="218" w:type="dxa"/>
        </w:trPr>
        <w:tc>
          <w:tcPr>
            <w:tcW w:w="917" w:type="dxa"/>
            <w:gridSpan w:val="2"/>
            <w:tcBorders>
              <w:top w:val="single" w:sz="4" w:space="0" w:color="auto"/>
            </w:tcBorders>
          </w:tcPr>
          <w:p w14:paraId="3206489E" w14:textId="77777777" w:rsidR="006A4BFC" w:rsidRPr="006A4BFC" w:rsidRDefault="006A4BFC" w:rsidP="006A4BFC">
            <w:pPr>
              <w:spacing w:line="480" w:lineRule="auto"/>
              <w:rPr>
                <w:color w:val="000000"/>
                <w:sz w:val="24"/>
                <w:szCs w:val="24"/>
              </w:rPr>
            </w:pPr>
            <w:r w:rsidRPr="006A4BFC">
              <w:rPr>
                <w:color w:val="000000"/>
                <w:sz w:val="24"/>
                <w:szCs w:val="24"/>
              </w:rPr>
              <w:t xml:space="preserve">Cu </w:t>
            </w:r>
          </w:p>
        </w:tc>
        <w:tc>
          <w:tcPr>
            <w:tcW w:w="1417" w:type="dxa"/>
            <w:gridSpan w:val="2"/>
            <w:tcBorders>
              <w:top w:val="single" w:sz="4" w:space="0" w:color="auto"/>
            </w:tcBorders>
          </w:tcPr>
          <w:p w14:paraId="361C9204" w14:textId="77777777" w:rsidR="006A4BFC" w:rsidRPr="006A4BFC" w:rsidRDefault="006A4BFC" w:rsidP="006A4BFC">
            <w:pPr>
              <w:spacing w:line="480" w:lineRule="auto"/>
              <w:rPr>
                <w:color w:val="000000"/>
                <w:sz w:val="24"/>
                <w:szCs w:val="24"/>
              </w:rPr>
            </w:pPr>
            <w:r w:rsidRPr="006A4BFC">
              <w:rPr>
                <w:color w:val="000000"/>
                <w:sz w:val="24"/>
                <w:szCs w:val="24"/>
              </w:rPr>
              <w:t>7.54±0.84</w:t>
            </w:r>
          </w:p>
        </w:tc>
        <w:tc>
          <w:tcPr>
            <w:tcW w:w="1469" w:type="dxa"/>
            <w:gridSpan w:val="2"/>
            <w:tcBorders>
              <w:top w:val="single" w:sz="4" w:space="0" w:color="auto"/>
            </w:tcBorders>
          </w:tcPr>
          <w:p w14:paraId="011A7B46" w14:textId="77777777" w:rsidR="006A4BFC" w:rsidRPr="006A4BFC" w:rsidRDefault="006A4BFC" w:rsidP="006A4BFC">
            <w:pPr>
              <w:spacing w:line="480" w:lineRule="auto"/>
              <w:rPr>
                <w:color w:val="000000"/>
                <w:sz w:val="24"/>
                <w:szCs w:val="24"/>
              </w:rPr>
            </w:pPr>
            <w:r w:rsidRPr="006A4BFC">
              <w:rPr>
                <w:color w:val="000000"/>
                <w:sz w:val="24"/>
                <w:szCs w:val="24"/>
              </w:rPr>
              <w:t>2.78±0.08</w:t>
            </w:r>
          </w:p>
        </w:tc>
        <w:tc>
          <w:tcPr>
            <w:tcW w:w="1549" w:type="dxa"/>
            <w:gridSpan w:val="2"/>
            <w:tcBorders>
              <w:top w:val="single" w:sz="4" w:space="0" w:color="auto"/>
            </w:tcBorders>
          </w:tcPr>
          <w:p w14:paraId="6FF7DB68" w14:textId="77777777" w:rsidR="006A4BFC" w:rsidRPr="006A4BFC" w:rsidRDefault="006A4BFC" w:rsidP="006A4BFC">
            <w:pPr>
              <w:spacing w:line="480" w:lineRule="auto"/>
              <w:rPr>
                <w:color w:val="000000"/>
                <w:sz w:val="24"/>
                <w:szCs w:val="24"/>
              </w:rPr>
            </w:pPr>
            <w:r w:rsidRPr="006A4BFC">
              <w:rPr>
                <w:color w:val="000000"/>
                <w:sz w:val="24"/>
                <w:szCs w:val="24"/>
              </w:rPr>
              <w:t>2.01±0.18</w:t>
            </w:r>
          </w:p>
        </w:tc>
        <w:tc>
          <w:tcPr>
            <w:tcW w:w="1549" w:type="dxa"/>
            <w:gridSpan w:val="2"/>
            <w:tcBorders>
              <w:top w:val="single" w:sz="4" w:space="0" w:color="auto"/>
            </w:tcBorders>
          </w:tcPr>
          <w:p w14:paraId="12A920B8" w14:textId="77777777" w:rsidR="006A4BFC" w:rsidRPr="006A4BFC" w:rsidRDefault="006A4BFC" w:rsidP="006A4BFC">
            <w:pPr>
              <w:spacing w:line="480" w:lineRule="auto"/>
              <w:rPr>
                <w:color w:val="000000"/>
                <w:sz w:val="24"/>
                <w:szCs w:val="24"/>
              </w:rPr>
            </w:pPr>
            <w:r w:rsidRPr="006A4BFC">
              <w:rPr>
                <w:color w:val="000000"/>
                <w:sz w:val="24"/>
                <w:szCs w:val="24"/>
              </w:rPr>
              <w:t>3.20±0.91</w:t>
            </w:r>
          </w:p>
        </w:tc>
        <w:tc>
          <w:tcPr>
            <w:tcW w:w="1417" w:type="dxa"/>
            <w:gridSpan w:val="2"/>
            <w:tcBorders>
              <w:top w:val="single" w:sz="4" w:space="0" w:color="auto"/>
            </w:tcBorders>
          </w:tcPr>
          <w:p w14:paraId="7D58DC20" w14:textId="77777777" w:rsidR="006A4BFC" w:rsidRPr="006A4BFC" w:rsidRDefault="006A4BFC" w:rsidP="006A4BFC">
            <w:pPr>
              <w:spacing w:line="480" w:lineRule="auto"/>
              <w:rPr>
                <w:color w:val="000000"/>
                <w:sz w:val="24"/>
                <w:szCs w:val="24"/>
              </w:rPr>
            </w:pPr>
            <w:r w:rsidRPr="006A4BFC">
              <w:rPr>
                <w:color w:val="000000"/>
                <w:sz w:val="24"/>
                <w:szCs w:val="24"/>
              </w:rPr>
              <w:t>4.05±0.18</w:t>
            </w:r>
          </w:p>
        </w:tc>
        <w:tc>
          <w:tcPr>
            <w:tcW w:w="1616" w:type="dxa"/>
            <w:gridSpan w:val="2"/>
            <w:tcBorders>
              <w:top w:val="single" w:sz="4" w:space="0" w:color="auto"/>
            </w:tcBorders>
          </w:tcPr>
          <w:p w14:paraId="5501BB0C" w14:textId="77777777" w:rsidR="006A4BFC" w:rsidRPr="006A4BFC" w:rsidRDefault="006A4BFC" w:rsidP="006A4BFC">
            <w:pPr>
              <w:spacing w:line="480" w:lineRule="auto"/>
              <w:rPr>
                <w:color w:val="000000"/>
                <w:sz w:val="24"/>
                <w:szCs w:val="24"/>
              </w:rPr>
            </w:pPr>
            <w:r w:rsidRPr="006A4BFC">
              <w:rPr>
                <w:color w:val="000000"/>
                <w:sz w:val="24"/>
                <w:szCs w:val="24"/>
              </w:rPr>
              <w:t>0.03±0.01</w:t>
            </w:r>
          </w:p>
        </w:tc>
        <w:tc>
          <w:tcPr>
            <w:tcW w:w="816" w:type="dxa"/>
            <w:gridSpan w:val="2"/>
            <w:tcBorders>
              <w:top w:val="single" w:sz="4" w:space="0" w:color="auto"/>
            </w:tcBorders>
          </w:tcPr>
          <w:p w14:paraId="3E71AC47" w14:textId="77777777" w:rsidR="006A4BFC" w:rsidRPr="006A4BFC" w:rsidRDefault="006A4BFC" w:rsidP="006A4BFC">
            <w:pPr>
              <w:rPr>
                <w:bCs/>
                <w:color w:val="000000"/>
                <w:sz w:val="24"/>
                <w:szCs w:val="24"/>
              </w:rPr>
            </w:pPr>
            <w:r w:rsidRPr="006A4BFC">
              <w:rPr>
                <w:bCs/>
                <w:color w:val="000000"/>
                <w:sz w:val="24"/>
                <w:szCs w:val="24"/>
              </w:rPr>
              <w:t>30</w:t>
            </w:r>
          </w:p>
        </w:tc>
      </w:tr>
      <w:tr w:rsidR="006A4BFC" w:rsidRPr="006A4BFC" w14:paraId="5B22E2B0" w14:textId="77777777" w:rsidTr="00236828">
        <w:trPr>
          <w:gridBefore w:val="1"/>
          <w:wBefore w:w="218" w:type="dxa"/>
        </w:trPr>
        <w:tc>
          <w:tcPr>
            <w:tcW w:w="917" w:type="dxa"/>
            <w:gridSpan w:val="2"/>
          </w:tcPr>
          <w:p w14:paraId="7EE7FBA5" w14:textId="77777777" w:rsidR="006A4BFC" w:rsidRPr="006A4BFC" w:rsidRDefault="006A4BFC" w:rsidP="006A4BFC">
            <w:pPr>
              <w:spacing w:line="480" w:lineRule="auto"/>
              <w:rPr>
                <w:color w:val="000000"/>
                <w:sz w:val="24"/>
                <w:szCs w:val="24"/>
              </w:rPr>
            </w:pPr>
            <w:r w:rsidRPr="006A4BFC">
              <w:rPr>
                <w:color w:val="000000"/>
                <w:sz w:val="24"/>
                <w:szCs w:val="24"/>
              </w:rPr>
              <w:t>Zn</w:t>
            </w:r>
          </w:p>
        </w:tc>
        <w:tc>
          <w:tcPr>
            <w:tcW w:w="1417" w:type="dxa"/>
            <w:gridSpan w:val="2"/>
          </w:tcPr>
          <w:p w14:paraId="24ADD284" w14:textId="77777777" w:rsidR="006A4BFC" w:rsidRPr="006A4BFC" w:rsidRDefault="006A4BFC" w:rsidP="006A4BFC">
            <w:pPr>
              <w:spacing w:line="480" w:lineRule="auto"/>
              <w:rPr>
                <w:color w:val="000000"/>
                <w:sz w:val="24"/>
                <w:szCs w:val="24"/>
              </w:rPr>
            </w:pPr>
            <w:r w:rsidRPr="006A4BFC">
              <w:rPr>
                <w:color w:val="000000"/>
                <w:sz w:val="24"/>
                <w:szCs w:val="24"/>
              </w:rPr>
              <w:t>4.33±0.30</w:t>
            </w:r>
          </w:p>
        </w:tc>
        <w:tc>
          <w:tcPr>
            <w:tcW w:w="1469" w:type="dxa"/>
            <w:gridSpan w:val="2"/>
          </w:tcPr>
          <w:p w14:paraId="3B71E93F" w14:textId="77777777" w:rsidR="006A4BFC" w:rsidRPr="006A4BFC" w:rsidRDefault="006A4BFC" w:rsidP="006A4BFC">
            <w:pPr>
              <w:spacing w:line="480" w:lineRule="auto"/>
              <w:rPr>
                <w:color w:val="000000"/>
                <w:sz w:val="24"/>
                <w:szCs w:val="24"/>
              </w:rPr>
            </w:pPr>
            <w:r w:rsidRPr="006A4BFC">
              <w:rPr>
                <w:color w:val="000000"/>
                <w:sz w:val="24"/>
                <w:szCs w:val="24"/>
              </w:rPr>
              <w:t>3.21±0.12</w:t>
            </w:r>
          </w:p>
        </w:tc>
        <w:tc>
          <w:tcPr>
            <w:tcW w:w="1549" w:type="dxa"/>
            <w:gridSpan w:val="2"/>
          </w:tcPr>
          <w:p w14:paraId="1C0DE0D1" w14:textId="77777777" w:rsidR="006A4BFC" w:rsidRPr="006A4BFC" w:rsidRDefault="006A4BFC" w:rsidP="006A4BFC">
            <w:pPr>
              <w:spacing w:line="480" w:lineRule="auto"/>
              <w:rPr>
                <w:color w:val="000000"/>
                <w:sz w:val="24"/>
                <w:szCs w:val="24"/>
              </w:rPr>
            </w:pPr>
            <w:r w:rsidRPr="006A4BFC">
              <w:rPr>
                <w:color w:val="000000"/>
                <w:sz w:val="24"/>
                <w:szCs w:val="24"/>
              </w:rPr>
              <w:t>3.53±0.21</w:t>
            </w:r>
          </w:p>
        </w:tc>
        <w:tc>
          <w:tcPr>
            <w:tcW w:w="1549" w:type="dxa"/>
            <w:gridSpan w:val="2"/>
          </w:tcPr>
          <w:p w14:paraId="5B767DFA" w14:textId="77777777" w:rsidR="006A4BFC" w:rsidRPr="006A4BFC" w:rsidRDefault="006A4BFC" w:rsidP="006A4BFC">
            <w:pPr>
              <w:spacing w:line="480" w:lineRule="auto"/>
              <w:rPr>
                <w:color w:val="000000"/>
                <w:sz w:val="24"/>
                <w:szCs w:val="24"/>
              </w:rPr>
            </w:pPr>
            <w:r w:rsidRPr="006A4BFC">
              <w:rPr>
                <w:color w:val="000000"/>
                <w:sz w:val="24"/>
                <w:szCs w:val="24"/>
              </w:rPr>
              <w:t>4.82±0.17</w:t>
            </w:r>
          </w:p>
        </w:tc>
        <w:tc>
          <w:tcPr>
            <w:tcW w:w="1417" w:type="dxa"/>
            <w:gridSpan w:val="2"/>
          </w:tcPr>
          <w:p w14:paraId="6BCBC7AB" w14:textId="77777777" w:rsidR="006A4BFC" w:rsidRPr="006A4BFC" w:rsidRDefault="006A4BFC" w:rsidP="006A4BFC">
            <w:pPr>
              <w:spacing w:line="480" w:lineRule="auto"/>
              <w:rPr>
                <w:color w:val="000000"/>
                <w:sz w:val="24"/>
                <w:szCs w:val="24"/>
              </w:rPr>
            </w:pPr>
            <w:r w:rsidRPr="006A4BFC">
              <w:rPr>
                <w:color w:val="000000"/>
                <w:sz w:val="24"/>
                <w:szCs w:val="24"/>
              </w:rPr>
              <w:t>5.99±0.56</w:t>
            </w:r>
          </w:p>
        </w:tc>
        <w:tc>
          <w:tcPr>
            <w:tcW w:w="1616" w:type="dxa"/>
            <w:gridSpan w:val="2"/>
          </w:tcPr>
          <w:p w14:paraId="03B7E1E3" w14:textId="77777777" w:rsidR="006A4BFC" w:rsidRPr="006A4BFC" w:rsidRDefault="006A4BFC" w:rsidP="006A4BFC">
            <w:pPr>
              <w:spacing w:line="480" w:lineRule="auto"/>
              <w:rPr>
                <w:color w:val="000000"/>
                <w:sz w:val="24"/>
                <w:szCs w:val="24"/>
              </w:rPr>
            </w:pPr>
            <w:r w:rsidRPr="006A4BFC">
              <w:rPr>
                <w:color w:val="000000"/>
                <w:sz w:val="24"/>
                <w:szCs w:val="24"/>
              </w:rPr>
              <w:t>0.12±0.00</w:t>
            </w:r>
          </w:p>
        </w:tc>
        <w:tc>
          <w:tcPr>
            <w:tcW w:w="816" w:type="dxa"/>
            <w:gridSpan w:val="2"/>
          </w:tcPr>
          <w:p w14:paraId="40617132" w14:textId="77777777" w:rsidR="006A4BFC" w:rsidRPr="006A4BFC" w:rsidRDefault="006A4BFC" w:rsidP="006A4BFC">
            <w:pPr>
              <w:rPr>
                <w:bCs/>
                <w:color w:val="000000"/>
                <w:sz w:val="24"/>
                <w:szCs w:val="24"/>
              </w:rPr>
            </w:pPr>
            <w:r w:rsidRPr="006A4BFC">
              <w:rPr>
                <w:bCs/>
                <w:color w:val="000000"/>
                <w:sz w:val="24"/>
                <w:szCs w:val="24"/>
              </w:rPr>
              <w:t>50</w:t>
            </w:r>
          </w:p>
        </w:tc>
      </w:tr>
      <w:tr w:rsidR="006A4BFC" w:rsidRPr="006A4BFC" w14:paraId="4D60ACA6" w14:textId="77777777" w:rsidTr="00236828">
        <w:trPr>
          <w:gridBefore w:val="1"/>
          <w:wBefore w:w="218" w:type="dxa"/>
        </w:trPr>
        <w:tc>
          <w:tcPr>
            <w:tcW w:w="917" w:type="dxa"/>
            <w:gridSpan w:val="2"/>
          </w:tcPr>
          <w:p w14:paraId="645F6C5A" w14:textId="77777777" w:rsidR="006A4BFC" w:rsidRPr="006A4BFC" w:rsidRDefault="006A4BFC" w:rsidP="006A4BFC">
            <w:pPr>
              <w:spacing w:line="480" w:lineRule="auto"/>
              <w:rPr>
                <w:color w:val="000000"/>
                <w:sz w:val="24"/>
                <w:szCs w:val="24"/>
              </w:rPr>
            </w:pPr>
            <w:r w:rsidRPr="006A4BFC">
              <w:rPr>
                <w:color w:val="000000"/>
                <w:sz w:val="24"/>
                <w:szCs w:val="24"/>
              </w:rPr>
              <w:t>As</w:t>
            </w:r>
          </w:p>
        </w:tc>
        <w:tc>
          <w:tcPr>
            <w:tcW w:w="1417" w:type="dxa"/>
            <w:gridSpan w:val="2"/>
          </w:tcPr>
          <w:p w14:paraId="3BCCB78D" w14:textId="77777777" w:rsidR="006A4BFC" w:rsidRPr="006A4BFC" w:rsidRDefault="006A4BFC" w:rsidP="006A4BFC">
            <w:pPr>
              <w:spacing w:line="480" w:lineRule="auto"/>
              <w:rPr>
                <w:color w:val="000000"/>
                <w:sz w:val="24"/>
                <w:szCs w:val="24"/>
              </w:rPr>
            </w:pPr>
            <w:r w:rsidRPr="006A4BFC">
              <w:rPr>
                <w:color w:val="000000"/>
                <w:sz w:val="24"/>
                <w:szCs w:val="24"/>
              </w:rPr>
              <w:t>2.71±0.01</w:t>
            </w:r>
          </w:p>
        </w:tc>
        <w:tc>
          <w:tcPr>
            <w:tcW w:w="1469" w:type="dxa"/>
            <w:gridSpan w:val="2"/>
          </w:tcPr>
          <w:p w14:paraId="37AA638E" w14:textId="77777777" w:rsidR="006A4BFC" w:rsidRPr="006A4BFC" w:rsidRDefault="006A4BFC" w:rsidP="006A4BFC">
            <w:pPr>
              <w:spacing w:line="480" w:lineRule="auto"/>
              <w:rPr>
                <w:color w:val="000000"/>
                <w:sz w:val="24"/>
                <w:szCs w:val="24"/>
              </w:rPr>
            </w:pPr>
            <w:r w:rsidRPr="006A4BFC">
              <w:rPr>
                <w:color w:val="000000"/>
                <w:sz w:val="24"/>
                <w:szCs w:val="24"/>
              </w:rPr>
              <w:t>1.26±0.06</w:t>
            </w:r>
          </w:p>
        </w:tc>
        <w:tc>
          <w:tcPr>
            <w:tcW w:w="1549" w:type="dxa"/>
            <w:gridSpan w:val="2"/>
          </w:tcPr>
          <w:p w14:paraId="1EBA156E" w14:textId="77777777" w:rsidR="006A4BFC" w:rsidRPr="006A4BFC" w:rsidRDefault="006A4BFC" w:rsidP="006A4BFC">
            <w:pPr>
              <w:spacing w:line="480" w:lineRule="auto"/>
              <w:rPr>
                <w:color w:val="000000"/>
                <w:sz w:val="24"/>
                <w:szCs w:val="24"/>
              </w:rPr>
            </w:pPr>
            <w:r w:rsidRPr="006A4BFC">
              <w:rPr>
                <w:color w:val="000000"/>
                <w:sz w:val="24"/>
                <w:szCs w:val="24"/>
              </w:rPr>
              <w:t>2.50±0.07</w:t>
            </w:r>
          </w:p>
        </w:tc>
        <w:tc>
          <w:tcPr>
            <w:tcW w:w="1549" w:type="dxa"/>
            <w:gridSpan w:val="2"/>
          </w:tcPr>
          <w:p w14:paraId="63D4E471" w14:textId="77777777" w:rsidR="006A4BFC" w:rsidRPr="006A4BFC" w:rsidRDefault="006A4BFC" w:rsidP="006A4BFC">
            <w:pPr>
              <w:spacing w:line="480" w:lineRule="auto"/>
              <w:rPr>
                <w:color w:val="000000"/>
                <w:sz w:val="24"/>
                <w:szCs w:val="24"/>
              </w:rPr>
            </w:pPr>
            <w:r w:rsidRPr="006A4BFC">
              <w:rPr>
                <w:color w:val="000000"/>
                <w:sz w:val="24"/>
                <w:szCs w:val="24"/>
              </w:rPr>
              <w:t>3.35±0.03</w:t>
            </w:r>
          </w:p>
        </w:tc>
        <w:tc>
          <w:tcPr>
            <w:tcW w:w="1417" w:type="dxa"/>
            <w:gridSpan w:val="2"/>
          </w:tcPr>
          <w:p w14:paraId="794CA7D3" w14:textId="77777777" w:rsidR="006A4BFC" w:rsidRPr="006A4BFC" w:rsidRDefault="006A4BFC" w:rsidP="006A4BFC">
            <w:pPr>
              <w:spacing w:line="480" w:lineRule="auto"/>
              <w:rPr>
                <w:color w:val="000000"/>
                <w:sz w:val="24"/>
                <w:szCs w:val="24"/>
              </w:rPr>
            </w:pPr>
            <w:r w:rsidRPr="006A4BFC">
              <w:rPr>
                <w:color w:val="000000"/>
                <w:sz w:val="24"/>
                <w:szCs w:val="24"/>
              </w:rPr>
              <w:t>4.88±0.01</w:t>
            </w:r>
          </w:p>
        </w:tc>
        <w:tc>
          <w:tcPr>
            <w:tcW w:w="1616" w:type="dxa"/>
            <w:gridSpan w:val="2"/>
          </w:tcPr>
          <w:p w14:paraId="0CCF559F"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816" w:type="dxa"/>
            <w:gridSpan w:val="2"/>
          </w:tcPr>
          <w:p w14:paraId="091473EE" w14:textId="77777777" w:rsidR="006A4BFC" w:rsidRPr="006A4BFC" w:rsidRDefault="006A4BFC" w:rsidP="006A4BFC">
            <w:pPr>
              <w:rPr>
                <w:bCs/>
                <w:color w:val="000000"/>
                <w:sz w:val="24"/>
                <w:szCs w:val="24"/>
              </w:rPr>
            </w:pPr>
            <w:r w:rsidRPr="006A4BFC">
              <w:rPr>
                <w:bCs/>
                <w:color w:val="000000"/>
                <w:sz w:val="24"/>
                <w:szCs w:val="24"/>
              </w:rPr>
              <w:t>5</w:t>
            </w:r>
          </w:p>
        </w:tc>
      </w:tr>
      <w:tr w:rsidR="006A4BFC" w:rsidRPr="006A4BFC" w14:paraId="6E133925" w14:textId="77777777" w:rsidTr="00236828">
        <w:trPr>
          <w:gridBefore w:val="1"/>
          <w:wBefore w:w="218" w:type="dxa"/>
        </w:trPr>
        <w:tc>
          <w:tcPr>
            <w:tcW w:w="917" w:type="dxa"/>
            <w:gridSpan w:val="2"/>
          </w:tcPr>
          <w:p w14:paraId="10CC46A2" w14:textId="77777777" w:rsidR="006A4BFC" w:rsidRPr="006A4BFC" w:rsidRDefault="006A4BFC" w:rsidP="006A4BFC">
            <w:pPr>
              <w:spacing w:line="480" w:lineRule="auto"/>
              <w:rPr>
                <w:color w:val="000000"/>
                <w:sz w:val="24"/>
                <w:szCs w:val="24"/>
              </w:rPr>
            </w:pPr>
            <w:r w:rsidRPr="006A4BFC">
              <w:rPr>
                <w:color w:val="000000"/>
                <w:sz w:val="24"/>
                <w:szCs w:val="24"/>
              </w:rPr>
              <w:t>Cd</w:t>
            </w:r>
          </w:p>
        </w:tc>
        <w:tc>
          <w:tcPr>
            <w:tcW w:w="1417" w:type="dxa"/>
            <w:gridSpan w:val="2"/>
          </w:tcPr>
          <w:p w14:paraId="07BE5EAA" w14:textId="77777777" w:rsidR="006A4BFC" w:rsidRPr="006A4BFC" w:rsidRDefault="006A4BFC" w:rsidP="006A4BFC">
            <w:pPr>
              <w:spacing w:line="480" w:lineRule="auto"/>
              <w:rPr>
                <w:color w:val="000000"/>
                <w:sz w:val="24"/>
                <w:szCs w:val="24"/>
              </w:rPr>
            </w:pPr>
            <w:r w:rsidRPr="006A4BFC">
              <w:rPr>
                <w:color w:val="000000"/>
                <w:sz w:val="24"/>
                <w:szCs w:val="24"/>
              </w:rPr>
              <w:t>0.51±0.10</w:t>
            </w:r>
          </w:p>
        </w:tc>
        <w:tc>
          <w:tcPr>
            <w:tcW w:w="1469" w:type="dxa"/>
            <w:gridSpan w:val="2"/>
          </w:tcPr>
          <w:p w14:paraId="2D4260DF" w14:textId="77777777" w:rsidR="006A4BFC" w:rsidRPr="006A4BFC" w:rsidRDefault="006A4BFC" w:rsidP="006A4BFC">
            <w:pPr>
              <w:spacing w:line="480" w:lineRule="auto"/>
              <w:rPr>
                <w:color w:val="000000"/>
                <w:sz w:val="24"/>
                <w:szCs w:val="24"/>
              </w:rPr>
            </w:pPr>
            <w:r w:rsidRPr="006A4BFC">
              <w:rPr>
                <w:color w:val="000000"/>
                <w:sz w:val="24"/>
                <w:szCs w:val="24"/>
              </w:rPr>
              <w:t>0.32±0.10</w:t>
            </w:r>
          </w:p>
        </w:tc>
        <w:tc>
          <w:tcPr>
            <w:tcW w:w="1549" w:type="dxa"/>
            <w:gridSpan w:val="2"/>
          </w:tcPr>
          <w:p w14:paraId="668B1EEE"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1549" w:type="dxa"/>
            <w:gridSpan w:val="2"/>
          </w:tcPr>
          <w:p w14:paraId="022E7B17" w14:textId="77777777" w:rsidR="006A4BFC" w:rsidRPr="006A4BFC" w:rsidRDefault="006A4BFC" w:rsidP="006A4BFC">
            <w:pPr>
              <w:spacing w:line="480" w:lineRule="auto"/>
              <w:rPr>
                <w:color w:val="000000"/>
                <w:sz w:val="24"/>
                <w:szCs w:val="24"/>
              </w:rPr>
            </w:pPr>
            <w:r w:rsidRPr="006A4BFC">
              <w:rPr>
                <w:color w:val="000000"/>
                <w:sz w:val="24"/>
                <w:szCs w:val="24"/>
              </w:rPr>
              <w:t>1.72±0.00</w:t>
            </w:r>
          </w:p>
        </w:tc>
        <w:tc>
          <w:tcPr>
            <w:tcW w:w="1417" w:type="dxa"/>
            <w:gridSpan w:val="2"/>
          </w:tcPr>
          <w:p w14:paraId="4C34C0AD" w14:textId="77777777" w:rsidR="006A4BFC" w:rsidRPr="006A4BFC" w:rsidRDefault="006A4BFC" w:rsidP="006A4BFC">
            <w:pPr>
              <w:spacing w:line="480" w:lineRule="auto"/>
              <w:rPr>
                <w:color w:val="000000"/>
                <w:sz w:val="24"/>
                <w:szCs w:val="24"/>
              </w:rPr>
            </w:pPr>
            <w:r w:rsidRPr="006A4BFC">
              <w:rPr>
                <w:color w:val="000000"/>
                <w:sz w:val="24"/>
                <w:szCs w:val="24"/>
              </w:rPr>
              <w:t>1.46±0.00</w:t>
            </w:r>
          </w:p>
        </w:tc>
        <w:tc>
          <w:tcPr>
            <w:tcW w:w="1616" w:type="dxa"/>
            <w:gridSpan w:val="2"/>
          </w:tcPr>
          <w:p w14:paraId="1ED083D8" w14:textId="77777777" w:rsidR="006A4BFC" w:rsidRPr="006A4BFC" w:rsidRDefault="006A4BFC" w:rsidP="006A4BFC">
            <w:pPr>
              <w:spacing w:line="480" w:lineRule="auto"/>
              <w:rPr>
                <w:color w:val="000000"/>
                <w:sz w:val="24"/>
                <w:szCs w:val="24"/>
              </w:rPr>
            </w:pPr>
            <w:r w:rsidRPr="006A4BFC">
              <w:rPr>
                <w:color w:val="000000"/>
                <w:sz w:val="24"/>
                <w:szCs w:val="24"/>
              </w:rPr>
              <w:t>0.01±0.00</w:t>
            </w:r>
          </w:p>
        </w:tc>
        <w:tc>
          <w:tcPr>
            <w:tcW w:w="816" w:type="dxa"/>
            <w:gridSpan w:val="2"/>
          </w:tcPr>
          <w:p w14:paraId="405EBB87" w14:textId="77777777" w:rsidR="006A4BFC" w:rsidRPr="006A4BFC" w:rsidRDefault="006A4BFC" w:rsidP="006A4BFC">
            <w:pPr>
              <w:rPr>
                <w:bCs/>
                <w:color w:val="000000"/>
                <w:sz w:val="24"/>
                <w:szCs w:val="24"/>
              </w:rPr>
            </w:pPr>
            <w:r w:rsidRPr="006A4BFC">
              <w:rPr>
                <w:bCs/>
                <w:color w:val="000000"/>
                <w:sz w:val="24"/>
                <w:szCs w:val="24"/>
              </w:rPr>
              <w:t>0.06</w:t>
            </w:r>
          </w:p>
        </w:tc>
      </w:tr>
      <w:tr w:rsidR="006A4BFC" w:rsidRPr="006A4BFC" w14:paraId="7E1A5023" w14:textId="77777777" w:rsidTr="00236828">
        <w:trPr>
          <w:gridBefore w:val="1"/>
          <w:wBefore w:w="218" w:type="dxa"/>
        </w:trPr>
        <w:tc>
          <w:tcPr>
            <w:tcW w:w="917" w:type="dxa"/>
            <w:gridSpan w:val="2"/>
          </w:tcPr>
          <w:p w14:paraId="7284345A" w14:textId="77777777" w:rsidR="006A4BFC" w:rsidRPr="006A4BFC" w:rsidRDefault="006A4BFC" w:rsidP="006A4BFC">
            <w:pPr>
              <w:spacing w:line="480" w:lineRule="auto"/>
              <w:rPr>
                <w:color w:val="000000"/>
                <w:sz w:val="24"/>
                <w:szCs w:val="24"/>
              </w:rPr>
            </w:pPr>
            <w:r w:rsidRPr="006A4BFC">
              <w:rPr>
                <w:color w:val="000000"/>
                <w:sz w:val="24"/>
                <w:szCs w:val="24"/>
              </w:rPr>
              <w:t>Ni</w:t>
            </w:r>
          </w:p>
        </w:tc>
        <w:tc>
          <w:tcPr>
            <w:tcW w:w="1417" w:type="dxa"/>
            <w:gridSpan w:val="2"/>
          </w:tcPr>
          <w:p w14:paraId="54D960E6"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1469" w:type="dxa"/>
            <w:gridSpan w:val="2"/>
          </w:tcPr>
          <w:p w14:paraId="3267294D"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1549" w:type="dxa"/>
            <w:gridSpan w:val="2"/>
          </w:tcPr>
          <w:p w14:paraId="3AA84F55" w14:textId="77777777" w:rsidR="006A4BFC" w:rsidRPr="006A4BFC" w:rsidRDefault="006A4BFC" w:rsidP="006A4BFC">
            <w:pPr>
              <w:spacing w:line="480" w:lineRule="auto"/>
              <w:rPr>
                <w:color w:val="000000"/>
                <w:sz w:val="24"/>
                <w:szCs w:val="24"/>
              </w:rPr>
            </w:pPr>
            <w:r w:rsidRPr="006A4BFC">
              <w:rPr>
                <w:color w:val="000000"/>
                <w:sz w:val="24"/>
                <w:szCs w:val="24"/>
              </w:rPr>
              <w:t xml:space="preserve">ND </w:t>
            </w:r>
          </w:p>
        </w:tc>
        <w:tc>
          <w:tcPr>
            <w:tcW w:w="1549" w:type="dxa"/>
            <w:gridSpan w:val="2"/>
          </w:tcPr>
          <w:p w14:paraId="65F839FB"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1417" w:type="dxa"/>
            <w:gridSpan w:val="2"/>
          </w:tcPr>
          <w:p w14:paraId="7ED544AC"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1616" w:type="dxa"/>
            <w:gridSpan w:val="2"/>
          </w:tcPr>
          <w:p w14:paraId="56B8694D"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816" w:type="dxa"/>
            <w:gridSpan w:val="2"/>
          </w:tcPr>
          <w:p w14:paraId="7BACA1AF" w14:textId="77777777" w:rsidR="006A4BFC" w:rsidRPr="006A4BFC" w:rsidRDefault="006A4BFC" w:rsidP="006A4BFC">
            <w:pPr>
              <w:rPr>
                <w:bCs/>
                <w:color w:val="000000"/>
                <w:sz w:val="24"/>
                <w:szCs w:val="24"/>
              </w:rPr>
            </w:pPr>
            <w:r w:rsidRPr="006A4BFC">
              <w:rPr>
                <w:bCs/>
                <w:color w:val="000000"/>
                <w:sz w:val="24"/>
                <w:szCs w:val="24"/>
              </w:rPr>
              <w:t>40</w:t>
            </w:r>
          </w:p>
        </w:tc>
      </w:tr>
      <w:tr w:rsidR="006A4BFC" w:rsidRPr="006A4BFC" w14:paraId="59456C6B" w14:textId="77777777" w:rsidTr="00236828">
        <w:trPr>
          <w:gridBefore w:val="1"/>
          <w:wBefore w:w="218" w:type="dxa"/>
        </w:trPr>
        <w:tc>
          <w:tcPr>
            <w:tcW w:w="917" w:type="dxa"/>
            <w:gridSpan w:val="2"/>
          </w:tcPr>
          <w:p w14:paraId="528140D5" w14:textId="77777777" w:rsidR="006A4BFC" w:rsidRPr="006A4BFC" w:rsidRDefault="006A4BFC" w:rsidP="006A4BFC">
            <w:pPr>
              <w:spacing w:line="480" w:lineRule="auto"/>
              <w:rPr>
                <w:color w:val="000000"/>
                <w:sz w:val="24"/>
                <w:szCs w:val="24"/>
              </w:rPr>
            </w:pPr>
            <w:r w:rsidRPr="006A4BFC">
              <w:rPr>
                <w:color w:val="000000"/>
                <w:sz w:val="24"/>
                <w:szCs w:val="24"/>
              </w:rPr>
              <w:lastRenderedPageBreak/>
              <w:t>Pb</w:t>
            </w:r>
          </w:p>
        </w:tc>
        <w:tc>
          <w:tcPr>
            <w:tcW w:w="1417" w:type="dxa"/>
            <w:gridSpan w:val="2"/>
          </w:tcPr>
          <w:p w14:paraId="43A10E5C" w14:textId="77777777" w:rsidR="006A4BFC" w:rsidRPr="006A4BFC" w:rsidRDefault="006A4BFC" w:rsidP="006A4BFC">
            <w:pPr>
              <w:spacing w:line="480" w:lineRule="auto"/>
              <w:rPr>
                <w:color w:val="000000"/>
                <w:sz w:val="24"/>
                <w:szCs w:val="24"/>
              </w:rPr>
            </w:pPr>
            <w:r w:rsidRPr="006A4BFC">
              <w:rPr>
                <w:color w:val="000000"/>
                <w:sz w:val="24"/>
                <w:szCs w:val="24"/>
              </w:rPr>
              <w:t>3.58±0.04</w:t>
            </w:r>
          </w:p>
        </w:tc>
        <w:tc>
          <w:tcPr>
            <w:tcW w:w="1469" w:type="dxa"/>
            <w:gridSpan w:val="2"/>
          </w:tcPr>
          <w:p w14:paraId="14B0B73E" w14:textId="77777777" w:rsidR="006A4BFC" w:rsidRPr="006A4BFC" w:rsidRDefault="006A4BFC" w:rsidP="006A4BFC">
            <w:pPr>
              <w:spacing w:line="480" w:lineRule="auto"/>
              <w:rPr>
                <w:color w:val="000000"/>
                <w:sz w:val="24"/>
                <w:szCs w:val="24"/>
              </w:rPr>
            </w:pPr>
            <w:r w:rsidRPr="006A4BFC">
              <w:rPr>
                <w:color w:val="000000"/>
                <w:sz w:val="24"/>
                <w:szCs w:val="24"/>
              </w:rPr>
              <w:t>4.17±0.03</w:t>
            </w:r>
          </w:p>
        </w:tc>
        <w:tc>
          <w:tcPr>
            <w:tcW w:w="1549" w:type="dxa"/>
            <w:gridSpan w:val="2"/>
          </w:tcPr>
          <w:p w14:paraId="5A727481"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1549" w:type="dxa"/>
            <w:gridSpan w:val="2"/>
          </w:tcPr>
          <w:p w14:paraId="73EC4E6E" w14:textId="77777777" w:rsidR="006A4BFC" w:rsidRPr="006A4BFC" w:rsidRDefault="006A4BFC" w:rsidP="006A4BFC">
            <w:pPr>
              <w:spacing w:line="480" w:lineRule="auto"/>
              <w:rPr>
                <w:color w:val="000000"/>
                <w:sz w:val="24"/>
                <w:szCs w:val="24"/>
              </w:rPr>
            </w:pPr>
            <w:r w:rsidRPr="006A4BFC">
              <w:rPr>
                <w:color w:val="000000"/>
                <w:sz w:val="24"/>
                <w:szCs w:val="24"/>
              </w:rPr>
              <w:t>2.10±0.00</w:t>
            </w:r>
          </w:p>
        </w:tc>
        <w:tc>
          <w:tcPr>
            <w:tcW w:w="1417" w:type="dxa"/>
            <w:gridSpan w:val="2"/>
          </w:tcPr>
          <w:p w14:paraId="4B89BC6F" w14:textId="77777777" w:rsidR="006A4BFC" w:rsidRPr="006A4BFC" w:rsidRDefault="006A4BFC" w:rsidP="006A4BFC">
            <w:pPr>
              <w:spacing w:line="480" w:lineRule="auto"/>
              <w:rPr>
                <w:color w:val="000000"/>
                <w:sz w:val="24"/>
                <w:szCs w:val="24"/>
              </w:rPr>
            </w:pPr>
            <w:r w:rsidRPr="006A4BFC">
              <w:rPr>
                <w:color w:val="000000"/>
                <w:sz w:val="24"/>
                <w:szCs w:val="24"/>
              </w:rPr>
              <w:t>4.22±0.01</w:t>
            </w:r>
          </w:p>
        </w:tc>
        <w:tc>
          <w:tcPr>
            <w:tcW w:w="1616" w:type="dxa"/>
            <w:gridSpan w:val="2"/>
          </w:tcPr>
          <w:p w14:paraId="7E0ECC81"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816" w:type="dxa"/>
            <w:gridSpan w:val="2"/>
          </w:tcPr>
          <w:p w14:paraId="18C87D6E" w14:textId="77777777" w:rsidR="006A4BFC" w:rsidRPr="006A4BFC" w:rsidRDefault="006A4BFC" w:rsidP="006A4BFC">
            <w:pPr>
              <w:rPr>
                <w:bCs/>
                <w:color w:val="000000"/>
                <w:sz w:val="24"/>
                <w:szCs w:val="24"/>
              </w:rPr>
            </w:pPr>
            <w:r w:rsidRPr="006A4BFC">
              <w:rPr>
                <w:bCs/>
                <w:color w:val="000000"/>
                <w:sz w:val="24"/>
                <w:szCs w:val="24"/>
              </w:rPr>
              <w:t>10</w:t>
            </w:r>
          </w:p>
        </w:tc>
      </w:tr>
      <w:tr w:rsidR="006A4BFC" w:rsidRPr="006A4BFC" w14:paraId="356A9797" w14:textId="77777777" w:rsidTr="00236828">
        <w:trPr>
          <w:gridBefore w:val="1"/>
          <w:wBefore w:w="218" w:type="dxa"/>
        </w:trPr>
        <w:tc>
          <w:tcPr>
            <w:tcW w:w="917" w:type="dxa"/>
            <w:gridSpan w:val="2"/>
          </w:tcPr>
          <w:p w14:paraId="575D2BD2" w14:textId="77777777" w:rsidR="006A4BFC" w:rsidRPr="006A4BFC" w:rsidRDefault="006A4BFC" w:rsidP="006A4BFC">
            <w:pPr>
              <w:spacing w:line="480" w:lineRule="auto"/>
              <w:rPr>
                <w:color w:val="000000"/>
                <w:sz w:val="24"/>
                <w:szCs w:val="24"/>
              </w:rPr>
            </w:pPr>
            <w:r w:rsidRPr="006A4BFC">
              <w:rPr>
                <w:color w:val="000000"/>
                <w:sz w:val="24"/>
                <w:szCs w:val="24"/>
              </w:rPr>
              <w:t>Hg</w:t>
            </w:r>
          </w:p>
        </w:tc>
        <w:tc>
          <w:tcPr>
            <w:tcW w:w="1417" w:type="dxa"/>
            <w:gridSpan w:val="2"/>
          </w:tcPr>
          <w:p w14:paraId="2C670729" w14:textId="77777777" w:rsidR="006A4BFC" w:rsidRPr="006A4BFC" w:rsidRDefault="006A4BFC" w:rsidP="006A4BFC">
            <w:pPr>
              <w:spacing w:line="480" w:lineRule="auto"/>
              <w:rPr>
                <w:color w:val="000000"/>
                <w:sz w:val="24"/>
                <w:szCs w:val="24"/>
              </w:rPr>
            </w:pPr>
            <w:r w:rsidRPr="006A4BFC">
              <w:rPr>
                <w:color w:val="000000"/>
                <w:sz w:val="24"/>
                <w:szCs w:val="24"/>
              </w:rPr>
              <w:t>2.19±0.01</w:t>
            </w:r>
          </w:p>
        </w:tc>
        <w:tc>
          <w:tcPr>
            <w:tcW w:w="1469" w:type="dxa"/>
            <w:gridSpan w:val="2"/>
          </w:tcPr>
          <w:p w14:paraId="078A6AA4" w14:textId="77777777" w:rsidR="006A4BFC" w:rsidRPr="006A4BFC" w:rsidRDefault="006A4BFC" w:rsidP="006A4BFC">
            <w:pPr>
              <w:spacing w:line="480" w:lineRule="auto"/>
              <w:rPr>
                <w:color w:val="000000"/>
                <w:sz w:val="24"/>
                <w:szCs w:val="24"/>
              </w:rPr>
            </w:pPr>
            <w:r w:rsidRPr="006A4BFC">
              <w:rPr>
                <w:color w:val="000000"/>
                <w:sz w:val="24"/>
                <w:szCs w:val="24"/>
              </w:rPr>
              <w:t>0.96±0.25</w:t>
            </w:r>
          </w:p>
        </w:tc>
        <w:tc>
          <w:tcPr>
            <w:tcW w:w="1549" w:type="dxa"/>
            <w:gridSpan w:val="2"/>
          </w:tcPr>
          <w:p w14:paraId="6429D8A3" w14:textId="77777777" w:rsidR="006A4BFC" w:rsidRPr="006A4BFC" w:rsidRDefault="006A4BFC" w:rsidP="006A4BFC">
            <w:pPr>
              <w:spacing w:line="480" w:lineRule="auto"/>
              <w:rPr>
                <w:color w:val="000000"/>
                <w:sz w:val="24"/>
                <w:szCs w:val="24"/>
              </w:rPr>
            </w:pPr>
            <w:r w:rsidRPr="006A4BFC">
              <w:rPr>
                <w:color w:val="000000"/>
                <w:sz w:val="24"/>
                <w:szCs w:val="24"/>
              </w:rPr>
              <w:t>0.25±0.02</w:t>
            </w:r>
          </w:p>
        </w:tc>
        <w:tc>
          <w:tcPr>
            <w:tcW w:w="1549" w:type="dxa"/>
            <w:gridSpan w:val="2"/>
          </w:tcPr>
          <w:p w14:paraId="3468D4DC" w14:textId="77777777" w:rsidR="006A4BFC" w:rsidRPr="006A4BFC" w:rsidRDefault="006A4BFC" w:rsidP="006A4BFC">
            <w:pPr>
              <w:spacing w:line="480" w:lineRule="auto"/>
              <w:rPr>
                <w:color w:val="000000"/>
                <w:sz w:val="24"/>
                <w:szCs w:val="24"/>
              </w:rPr>
            </w:pPr>
            <w:r w:rsidRPr="006A4BFC">
              <w:rPr>
                <w:color w:val="000000"/>
                <w:sz w:val="24"/>
                <w:szCs w:val="24"/>
              </w:rPr>
              <w:t>1.23±0.01</w:t>
            </w:r>
          </w:p>
        </w:tc>
        <w:tc>
          <w:tcPr>
            <w:tcW w:w="1417" w:type="dxa"/>
            <w:gridSpan w:val="2"/>
          </w:tcPr>
          <w:p w14:paraId="34BAC820" w14:textId="77777777" w:rsidR="006A4BFC" w:rsidRPr="006A4BFC" w:rsidRDefault="006A4BFC" w:rsidP="006A4BFC">
            <w:pPr>
              <w:spacing w:line="480" w:lineRule="auto"/>
              <w:rPr>
                <w:color w:val="000000"/>
                <w:sz w:val="24"/>
                <w:szCs w:val="24"/>
              </w:rPr>
            </w:pPr>
            <w:r w:rsidRPr="006A4BFC">
              <w:rPr>
                <w:color w:val="000000"/>
                <w:sz w:val="24"/>
                <w:szCs w:val="24"/>
              </w:rPr>
              <w:t>1.62±0.00</w:t>
            </w:r>
          </w:p>
        </w:tc>
        <w:tc>
          <w:tcPr>
            <w:tcW w:w="1616" w:type="dxa"/>
            <w:gridSpan w:val="2"/>
          </w:tcPr>
          <w:p w14:paraId="7C9C430C"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816" w:type="dxa"/>
            <w:gridSpan w:val="2"/>
          </w:tcPr>
          <w:p w14:paraId="11C511E2" w14:textId="77777777" w:rsidR="006A4BFC" w:rsidRPr="006A4BFC" w:rsidRDefault="006A4BFC" w:rsidP="006A4BFC">
            <w:pPr>
              <w:rPr>
                <w:bCs/>
                <w:color w:val="000000"/>
                <w:sz w:val="24"/>
                <w:szCs w:val="24"/>
              </w:rPr>
            </w:pPr>
            <w:r w:rsidRPr="006A4BFC">
              <w:rPr>
                <w:bCs/>
                <w:color w:val="000000"/>
                <w:sz w:val="24"/>
                <w:szCs w:val="24"/>
              </w:rPr>
              <w:t>0.03</w:t>
            </w:r>
          </w:p>
        </w:tc>
      </w:tr>
      <w:tr w:rsidR="006A4BFC" w:rsidRPr="006A4BFC" w14:paraId="393F8D69" w14:textId="77777777" w:rsidTr="00236828">
        <w:trPr>
          <w:gridBefore w:val="1"/>
          <w:wBefore w:w="218" w:type="dxa"/>
        </w:trPr>
        <w:tc>
          <w:tcPr>
            <w:tcW w:w="917" w:type="dxa"/>
            <w:gridSpan w:val="2"/>
          </w:tcPr>
          <w:p w14:paraId="55464FED" w14:textId="77777777" w:rsidR="006A4BFC" w:rsidRPr="006A4BFC" w:rsidRDefault="006A4BFC" w:rsidP="006A4BFC">
            <w:pPr>
              <w:spacing w:line="480" w:lineRule="auto"/>
              <w:rPr>
                <w:color w:val="000000"/>
                <w:sz w:val="24"/>
                <w:szCs w:val="24"/>
              </w:rPr>
            </w:pPr>
            <w:r w:rsidRPr="006A4BFC">
              <w:rPr>
                <w:color w:val="000000"/>
                <w:sz w:val="24"/>
                <w:szCs w:val="24"/>
              </w:rPr>
              <w:t>Fe</w:t>
            </w:r>
          </w:p>
        </w:tc>
        <w:tc>
          <w:tcPr>
            <w:tcW w:w="1417" w:type="dxa"/>
            <w:gridSpan w:val="2"/>
          </w:tcPr>
          <w:p w14:paraId="0575094C" w14:textId="77777777" w:rsidR="006A4BFC" w:rsidRPr="006A4BFC" w:rsidRDefault="006A4BFC" w:rsidP="006A4BFC">
            <w:pPr>
              <w:spacing w:line="480" w:lineRule="auto"/>
              <w:rPr>
                <w:color w:val="000000"/>
                <w:sz w:val="24"/>
                <w:szCs w:val="24"/>
              </w:rPr>
            </w:pPr>
            <w:r w:rsidRPr="006A4BFC">
              <w:rPr>
                <w:color w:val="000000"/>
                <w:sz w:val="24"/>
                <w:szCs w:val="24"/>
              </w:rPr>
              <w:t>0.54±0.10</w:t>
            </w:r>
          </w:p>
        </w:tc>
        <w:tc>
          <w:tcPr>
            <w:tcW w:w="1469" w:type="dxa"/>
            <w:gridSpan w:val="2"/>
          </w:tcPr>
          <w:p w14:paraId="75F2660C" w14:textId="77777777" w:rsidR="006A4BFC" w:rsidRPr="006A4BFC" w:rsidRDefault="006A4BFC" w:rsidP="006A4BFC">
            <w:pPr>
              <w:spacing w:line="480" w:lineRule="auto"/>
              <w:rPr>
                <w:color w:val="000000"/>
                <w:sz w:val="24"/>
                <w:szCs w:val="24"/>
              </w:rPr>
            </w:pPr>
            <w:r w:rsidRPr="006A4BFC">
              <w:rPr>
                <w:color w:val="000000"/>
                <w:sz w:val="24"/>
                <w:szCs w:val="24"/>
              </w:rPr>
              <w:t>0.33±0.01</w:t>
            </w:r>
          </w:p>
        </w:tc>
        <w:tc>
          <w:tcPr>
            <w:tcW w:w="1549" w:type="dxa"/>
            <w:gridSpan w:val="2"/>
          </w:tcPr>
          <w:p w14:paraId="6F41D876" w14:textId="77777777" w:rsidR="006A4BFC" w:rsidRPr="006A4BFC" w:rsidRDefault="006A4BFC" w:rsidP="006A4BFC">
            <w:pPr>
              <w:spacing w:line="480" w:lineRule="auto"/>
              <w:rPr>
                <w:color w:val="000000"/>
                <w:sz w:val="24"/>
                <w:szCs w:val="24"/>
              </w:rPr>
            </w:pPr>
            <w:r w:rsidRPr="006A4BFC">
              <w:rPr>
                <w:color w:val="000000"/>
                <w:sz w:val="24"/>
                <w:szCs w:val="24"/>
              </w:rPr>
              <w:t>0.4±0.02</w:t>
            </w:r>
          </w:p>
        </w:tc>
        <w:tc>
          <w:tcPr>
            <w:tcW w:w="1549" w:type="dxa"/>
            <w:gridSpan w:val="2"/>
          </w:tcPr>
          <w:p w14:paraId="4C1A1BAE" w14:textId="77777777" w:rsidR="006A4BFC" w:rsidRPr="006A4BFC" w:rsidRDefault="006A4BFC" w:rsidP="006A4BFC">
            <w:pPr>
              <w:spacing w:line="480" w:lineRule="auto"/>
              <w:rPr>
                <w:color w:val="000000"/>
                <w:sz w:val="24"/>
                <w:szCs w:val="24"/>
              </w:rPr>
            </w:pPr>
            <w:r w:rsidRPr="006A4BFC">
              <w:rPr>
                <w:color w:val="000000"/>
                <w:sz w:val="24"/>
                <w:szCs w:val="24"/>
              </w:rPr>
              <w:t>2.12±0.01</w:t>
            </w:r>
          </w:p>
        </w:tc>
        <w:tc>
          <w:tcPr>
            <w:tcW w:w="1417" w:type="dxa"/>
            <w:gridSpan w:val="2"/>
          </w:tcPr>
          <w:p w14:paraId="20A4C2F2" w14:textId="77777777" w:rsidR="006A4BFC" w:rsidRPr="006A4BFC" w:rsidRDefault="006A4BFC" w:rsidP="006A4BFC">
            <w:pPr>
              <w:spacing w:line="480" w:lineRule="auto"/>
              <w:rPr>
                <w:color w:val="000000"/>
                <w:sz w:val="24"/>
                <w:szCs w:val="24"/>
              </w:rPr>
            </w:pPr>
            <w:r w:rsidRPr="006A4BFC">
              <w:rPr>
                <w:color w:val="000000"/>
                <w:sz w:val="24"/>
                <w:szCs w:val="24"/>
              </w:rPr>
              <w:t>2.34±0.02</w:t>
            </w:r>
          </w:p>
        </w:tc>
        <w:tc>
          <w:tcPr>
            <w:tcW w:w="1616" w:type="dxa"/>
            <w:gridSpan w:val="2"/>
          </w:tcPr>
          <w:p w14:paraId="6BD7847F" w14:textId="77777777" w:rsidR="006A4BFC" w:rsidRPr="006A4BFC" w:rsidRDefault="006A4BFC" w:rsidP="006A4BFC">
            <w:pPr>
              <w:spacing w:line="480" w:lineRule="auto"/>
              <w:rPr>
                <w:color w:val="000000"/>
                <w:sz w:val="24"/>
                <w:szCs w:val="24"/>
              </w:rPr>
            </w:pPr>
            <w:r w:rsidRPr="006A4BFC">
              <w:rPr>
                <w:color w:val="000000"/>
                <w:sz w:val="24"/>
                <w:szCs w:val="24"/>
              </w:rPr>
              <w:t>0.29±0.01</w:t>
            </w:r>
          </w:p>
        </w:tc>
        <w:tc>
          <w:tcPr>
            <w:tcW w:w="816" w:type="dxa"/>
            <w:gridSpan w:val="2"/>
          </w:tcPr>
          <w:p w14:paraId="4602DA06" w14:textId="77777777" w:rsidR="006A4BFC" w:rsidRPr="006A4BFC" w:rsidRDefault="006A4BFC" w:rsidP="006A4BFC">
            <w:pPr>
              <w:rPr>
                <w:bCs/>
                <w:color w:val="000000"/>
                <w:sz w:val="24"/>
                <w:szCs w:val="24"/>
              </w:rPr>
            </w:pPr>
            <w:r w:rsidRPr="006A4BFC">
              <w:rPr>
                <w:bCs/>
                <w:color w:val="000000"/>
                <w:sz w:val="24"/>
                <w:szCs w:val="24"/>
              </w:rPr>
              <w:t>38000</w:t>
            </w:r>
          </w:p>
        </w:tc>
      </w:tr>
      <w:tr w:rsidR="006A4BFC" w:rsidRPr="006A4BFC" w14:paraId="57D7B3A1" w14:textId="77777777" w:rsidTr="00236828">
        <w:trPr>
          <w:gridBefore w:val="1"/>
          <w:wBefore w:w="218" w:type="dxa"/>
        </w:trPr>
        <w:tc>
          <w:tcPr>
            <w:tcW w:w="917" w:type="dxa"/>
            <w:gridSpan w:val="2"/>
          </w:tcPr>
          <w:p w14:paraId="5620D7AD" w14:textId="77777777" w:rsidR="006A4BFC" w:rsidRPr="006A4BFC" w:rsidRDefault="006A4BFC" w:rsidP="006A4BFC">
            <w:pPr>
              <w:spacing w:line="480" w:lineRule="auto"/>
              <w:rPr>
                <w:color w:val="000000"/>
                <w:sz w:val="24"/>
                <w:szCs w:val="24"/>
              </w:rPr>
            </w:pPr>
            <w:r w:rsidRPr="006A4BFC">
              <w:rPr>
                <w:color w:val="000000"/>
                <w:sz w:val="24"/>
                <w:szCs w:val="24"/>
              </w:rPr>
              <w:t>Cr</w:t>
            </w:r>
          </w:p>
        </w:tc>
        <w:tc>
          <w:tcPr>
            <w:tcW w:w="1417" w:type="dxa"/>
            <w:gridSpan w:val="2"/>
          </w:tcPr>
          <w:p w14:paraId="44FEDC38" w14:textId="77777777" w:rsidR="006A4BFC" w:rsidRPr="006A4BFC" w:rsidRDefault="006A4BFC" w:rsidP="006A4BFC">
            <w:pPr>
              <w:spacing w:line="480" w:lineRule="auto"/>
              <w:rPr>
                <w:color w:val="000000"/>
                <w:sz w:val="24"/>
                <w:szCs w:val="24"/>
              </w:rPr>
            </w:pPr>
            <w:r w:rsidRPr="006A4BFC">
              <w:rPr>
                <w:color w:val="000000"/>
                <w:sz w:val="24"/>
                <w:szCs w:val="24"/>
              </w:rPr>
              <w:t>0.34±0.00</w:t>
            </w:r>
          </w:p>
        </w:tc>
        <w:tc>
          <w:tcPr>
            <w:tcW w:w="1469" w:type="dxa"/>
            <w:gridSpan w:val="2"/>
          </w:tcPr>
          <w:p w14:paraId="0053180E" w14:textId="77777777" w:rsidR="006A4BFC" w:rsidRPr="006A4BFC" w:rsidRDefault="006A4BFC" w:rsidP="006A4BFC">
            <w:pPr>
              <w:spacing w:line="480" w:lineRule="auto"/>
              <w:rPr>
                <w:color w:val="000000"/>
                <w:sz w:val="24"/>
                <w:szCs w:val="24"/>
              </w:rPr>
            </w:pPr>
            <w:r w:rsidRPr="006A4BFC">
              <w:rPr>
                <w:color w:val="000000"/>
                <w:sz w:val="24"/>
                <w:szCs w:val="24"/>
              </w:rPr>
              <w:t>0.65±0.10</w:t>
            </w:r>
          </w:p>
        </w:tc>
        <w:tc>
          <w:tcPr>
            <w:tcW w:w="1549" w:type="dxa"/>
            <w:gridSpan w:val="2"/>
          </w:tcPr>
          <w:p w14:paraId="0ECE7E0C" w14:textId="77777777" w:rsidR="006A4BFC" w:rsidRPr="006A4BFC" w:rsidRDefault="006A4BFC" w:rsidP="006A4BFC">
            <w:pPr>
              <w:spacing w:line="480" w:lineRule="auto"/>
              <w:rPr>
                <w:color w:val="000000"/>
                <w:sz w:val="24"/>
                <w:szCs w:val="24"/>
              </w:rPr>
            </w:pPr>
            <w:r w:rsidRPr="006A4BFC">
              <w:rPr>
                <w:color w:val="000000"/>
                <w:sz w:val="24"/>
                <w:szCs w:val="24"/>
              </w:rPr>
              <w:t>0.21±0.04</w:t>
            </w:r>
          </w:p>
        </w:tc>
        <w:tc>
          <w:tcPr>
            <w:tcW w:w="1549" w:type="dxa"/>
            <w:gridSpan w:val="2"/>
          </w:tcPr>
          <w:p w14:paraId="22C6453D" w14:textId="77777777" w:rsidR="006A4BFC" w:rsidRPr="006A4BFC" w:rsidRDefault="006A4BFC" w:rsidP="006A4BFC">
            <w:pPr>
              <w:spacing w:line="480" w:lineRule="auto"/>
              <w:rPr>
                <w:color w:val="000000"/>
                <w:sz w:val="24"/>
                <w:szCs w:val="24"/>
              </w:rPr>
            </w:pPr>
            <w:r w:rsidRPr="006A4BFC">
              <w:rPr>
                <w:color w:val="000000"/>
                <w:sz w:val="24"/>
                <w:szCs w:val="24"/>
              </w:rPr>
              <w:t>1.43±0.01</w:t>
            </w:r>
          </w:p>
        </w:tc>
        <w:tc>
          <w:tcPr>
            <w:tcW w:w="1417" w:type="dxa"/>
            <w:gridSpan w:val="2"/>
          </w:tcPr>
          <w:p w14:paraId="2B5B03D1" w14:textId="77777777" w:rsidR="006A4BFC" w:rsidRPr="006A4BFC" w:rsidRDefault="006A4BFC" w:rsidP="006A4BFC">
            <w:pPr>
              <w:spacing w:line="480" w:lineRule="auto"/>
              <w:rPr>
                <w:color w:val="000000"/>
                <w:sz w:val="24"/>
                <w:szCs w:val="24"/>
              </w:rPr>
            </w:pPr>
            <w:r w:rsidRPr="006A4BFC">
              <w:rPr>
                <w:color w:val="000000"/>
                <w:sz w:val="24"/>
                <w:szCs w:val="24"/>
              </w:rPr>
              <w:t>1.82± 0.10</w:t>
            </w:r>
          </w:p>
        </w:tc>
        <w:tc>
          <w:tcPr>
            <w:tcW w:w="1616" w:type="dxa"/>
            <w:gridSpan w:val="2"/>
          </w:tcPr>
          <w:p w14:paraId="5DAE3FFE" w14:textId="77777777" w:rsidR="006A4BFC" w:rsidRPr="006A4BFC" w:rsidRDefault="006A4BFC" w:rsidP="006A4BFC">
            <w:pPr>
              <w:spacing w:line="480" w:lineRule="auto"/>
              <w:rPr>
                <w:color w:val="000000"/>
                <w:sz w:val="24"/>
                <w:szCs w:val="24"/>
              </w:rPr>
            </w:pPr>
            <w:r w:rsidRPr="006A4BFC">
              <w:rPr>
                <w:color w:val="000000"/>
                <w:sz w:val="24"/>
                <w:szCs w:val="24"/>
              </w:rPr>
              <w:t>ND</w:t>
            </w:r>
          </w:p>
        </w:tc>
        <w:tc>
          <w:tcPr>
            <w:tcW w:w="816" w:type="dxa"/>
            <w:gridSpan w:val="2"/>
          </w:tcPr>
          <w:p w14:paraId="00D9CFAA" w14:textId="77777777" w:rsidR="006A4BFC" w:rsidRPr="006A4BFC" w:rsidRDefault="006A4BFC" w:rsidP="006A4BFC">
            <w:pPr>
              <w:rPr>
                <w:bCs/>
                <w:color w:val="000000"/>
                <w:sz w:val="24"/>
                <w:szCs w:val="24"/>
              </w:rPr>
            </w:pPr>
            <w:r w:rsidRPr="006A4BFC">
              <w:rPr>
                <w:bCs/>
                <w:color w:val="000000"/>
                <w:sz w:val="24"/>
                <w:szCs w:val="24"/>
              </w:rPr>
              <w:t>100</w:t>
            </w:r>
          </w:p>
        </w:tc>
      </w:tr>
    </w:tbl>
    <w:p w14:paraId="09131E2E" w14:textId="30AFF499" w:rsidR="006A4BFC" w:rsidRPr="006A4BFC" w:rsidRDefault="006A4BFC" w:rsidP="006A4BFC">
      <w:pPr>
        <w:jc w:val="both"/>
        <w:rPr>
          <w:rFonts w:ascii="Times New Roman" w:hAnsi="Times New Roman" w:cs="Times New Roman"/>
          <w:b/>
          <w:color w:val="000000"/>
          <w:sz w:val="24"/>
          <w:szCs w:val="24"/>
        </w:rPr>
      </w:pPr>
      <w:r w:rsidRPr="006A4BFC">
        <w:rPr>
          <w:rFonts w:ascii="Times New Roman" w:hAnsi="Times New Roman" w:cs="Times New Roman"/>
          <w:color w:val="000000"/>
          <w:sz w:val="24"/>
          <w:szCs w:val="24"/>
        </w:rPr>
        <w:t xml:space="preserve">             Mean ± SEM: n = </w:t>
      </w:r>
      <w:r w:rsidR="00B8669C" w:rsidRPr="006A4BFC">
        <w:rPr>
          <w:rFonts w:ascii="Times New Roman" w:hAnsi="Times New Roman" w:cs="Times New Roman"/>
          <w:color w:val="000000"/>
          <w:sz w:val="24"/>
          <w:szCs w:val="24"/>
        </w:rPr>
        <w:t>3 ND</w:t>
      </w:r>
      <w:r w:rsidRPr="006A4BFC">
        <w:rPr>
          <w:rFonts w:ascii="Times New Roman" w:hAnsi="Times New Roman" w:cs="Times New Roman"/>
          <w:color w:val="000000"/>
          <w:sz w:val="24"/>
          <w:szCs w:val="24"/>
        </w:rPr>
        <w:t xml:space="preserve"> = not detected</w:t>
      </w:r>
    </w:p>
    <w:p w14:paraId="3D797366" w14:textId="77777777" w:rsidR="006A4BFC" w:rsidRPr="006A4BFC" w:rsidRDefault="006A4BFC" w:rsidP="006A4BFC">
      <w:pPr>
        <w:jc w:val="both"/>
        <w:rPr>
          <w:rFonts w:ascii="Times New Roman" w:hAnsi="Times New Roman" w:cs="Times New Roman"/>
          <w:b/>
          <w:color w:val="000000"/>
          <w:sz w:val="24"/>
          <w:szCs w:val="24"/>
        </w:rPr>
      </w:pPr>
    </w:p>
    <w:p w14:paraId="774CDBBB" w14:textId="5B8A154B" w:rsidR="006A4BFC" w:rsidRPr="006A4BFC" w:rsidRDefault="006A4BFC" w:rsidP="006A4BFC">
      <w:pPr>
        <w:jc w:val="both"/>
        <w:rPr>
          <w:rFonts w:ascii="Times New Roman" w:hAnsi="Times New Roman" w:cs="Times New Roman"/>
          <w:b/>
          <w:color w:val="000000" w:themeColor="text1"/>
          <w:sz w:val="24"/>
          <w:szCs w:val="24"/>
        </w:rPr>
      </w:pPr>
      <w:r w:rsidRPr="006A4BFC">
        <w:rPr>
          <w:rFonts w:ascii="Times New Roman" w:hAnsi="Times New Roman" w:cs="Times New Roman"/>
          <w:b/>
          <w:color w:val="000000"/>
          <w:sz w:val="24"/>
          <w:szCs w:val="24"/>
        </w:rPr>
        <w:t>Heavy metal concentrations in condensate, used electrical transformer oil</w:t>
      </w:r>
      <w:r w:rsidR="003E2CF9">
        <w:rPr>
          <w:rFonts w:ascii="Times New Roman" w:hAnsi="Times New Roman" w:cs="Times New Roman"/>
          <w:b/>
          <w:color w:val="000000"/>
          <w:sz w:val="24"/>
          <w:szCs w:val="24"/>
        </w:rPr>
        <w:t>,</w:t>
      </w:r>
      <w:r w:rsidRPr="006A4BFC">
        <w:rPr>
          <w:rFonts w:ascii="Times New Roman" w:hAnsi="Times New Roman" w:cs="Times New Roman"/>
          <w:b/>
          <w:color w:val="000000"/>
          <w:sz w:val="24"/>
          <w:szCs w:val="24"/>
        </w:rPr>
        <w:t xml:space="preserve"> as well as </w:t>
      </w:r>
      <w:r w:rsidR="003E2CF9">
        <w:rPr>
          <w:rFonts w:ascii="Times New Roman" w:hAnsi="Times New Roman" w:cs="Times New Roman"/>
          <w:b/>
          <w:color w:val="000000"/>
          <w:sz w:val="24"/>
          <w:szCs w:val="24"/>
        </w:rPr>
        <w:t>those</w:t>
      </w:r>
      <w:r w:rsidRPr="006A4BFC">
        <w:rPr>
          <w:rFonts w:ascii="Times New Roman" w:hAnsi="Times New Roman" w:cs="Times New Roman"/>
          <w:b/>
          <w:color w:val="000000"/>
          <w:sz w:val="24"/>
          <w:szCs w:val="24"/>
        </w:rPr>
        <w:t xml:space="preserve"> in the soil samples taken from </w:t>
      </w:r>
      <w:r w:rsidR="003E2CF9">
        <w:rPr>
          <w:rFonts w:ascii="Times New Roman" w:hAnsi="Times New Roman" w:cs="Times New Roman"/>
          <w:b/>
          <w:color w:val="000000"/>
          <w:sz w:val="24"/>
          <w:szCs w:val="24"/>
        </w:rPr>
        <w:t xml:space="preserve">the </w:t>
      </w:r>
      <w:r w:rsidRPr="006A4BFC">
        <w:rPr>
          <w:rFonts w:ascii="Times New Roman" w:hAnsi="Times New Roman" w:cs="Times New Roman"/>
          <w:b/>
          <w:color w:val="000000"/>
          <w:sz w:val="24"/>
          <w:szCs w:val="24"/>
        </w:rPr>
        <w:t xml:space="preserve">condensate dump site and transformer installation sites   </w:t>
      </w:r>
    </w:p>
    <w:p w14:paraId="5A96804E" w14:textId="6F78D360" w:rsidR="006A4BFC" w:rsidRPr="006A4BFC" w:rsidRDefault="006A4BFC" w:rsidP="006A4BFC">
      <w:pPr>
        <w:spacing w:line="360" w:lineRule="auto"/>
        <w:jc w:val="both"/>
        <w:rPr>
          <w:rFonts w:ascii="Times New Roman" w:hAnsi="Times New Roman" w:cs="Times New Roman"/>
          <w:color w:val="000000" w:themeColor="text1"/>
          <w:sz w:val="24"/>
          <w:szCs w:val="24"/>
        </w:rPr>
      </w:pPr>
      <w:r w:rsidRPr="006A4BFC">
        <w:rPr>
          <w:rFonts w:ascii="Times New Roman" w:hAnsi="Times New Roman" w:cs="Times New Roman"/>
          <w:color w:val="000000" w:themeColor="text1"/>
          <w:sz w:val="24"/>
          <w:szCs w:val="24"/>
        </w:rPr>
        <w:t>Metal content of condensate, used electrical transformer oil, condensate dump site soil</w:t>
      </w:r>
      <w:r w:rsidR="003E2CF9">
        <w:rPr>
          <w:rFonts w:ascii="Times New Roman" w:hAnsi="Times New Roman" w:cs="Times New Roman"/>
          <w:color w:val="000000" w:themeColor="text1"/>
          <w:sz w:val="24"/>
          <w:szCs w:val="24"/>
        </w:rPr>
        <w:t>,</w:t>
      </w:r>
      <w:r w:rsidRPr="006A4BFC">
        <w:rPr>
          <w:rFonts w:ascii="Times New Roman" w:hAnsi="Times New Roman" w:cs="Times New Roman"/>
          <w:color w:val="000000" w:themeColor="text1"/>
          <w:sz w:val="24"/>
          <w:szCs w:val="24"/>
        </w:rPr>
        <w:t xml:space="preserve"> and electrical transformer </w:t>
      </w:r>
      <w:r w:rsidR="003E2CF9">
        <w:rPr>
          <w:rFonts w:ascii="Times New Roman" w:hAnsi="Times New Roman" w:cs="Times New Roman"/>
          <w:color w:val="000000" w:themeColor="text1"/>
          <w:sz w:val="24"/>
          <w:szCs w:val="24"/>
        </w:rPr>
        <w:t>installation</w:t>
      </w:r>
      <w:r w:rsidRPr="006A4BFC">
        <w:rPr>
          <w:rFonts w:ascii="Times New Roman" w:hAnsi="Times New Roman" w:cs="Times New Roman"/>
          <w:color w:val="000000" w:themeColor="text1"/>
          <w:sz w:val="24"/>
          <w:szCs w:val="24"/>
        </w:rPr>
        <w:t xml:space="preserve"> site soil</w:t>
      </w:r>
      <w:r w:rsidR="003E2CF9">
        <w:rPr>
          <w:rFonts w:ascii="Times New Roman" w:hAnsi="Times New Roman" w:cs="Times New Roman"/>
          <w:color w:val="000000" w:themeColor="text1"/>
          <w:sz w:val="24"/>
          <w:szCs w:val="24"/>
        </w:rPr>
        <w:t>,</w:t>
      </w:r>
      <w:r w:rsidRPr="006A4BFC">
        <w:rPr>
          <w:rFonts w:ascii="Times New Roman" w:hAnsi="Times New Roman" w:cs="Times New Roman"/>
          <w:color w:val="000000" w:themeColor="text1"/>
          <w:sz w:val="24"/>
          <w:szCs w:val="24"/>
        </w:rPr>
        <w:t xml:space="preserve"> as presented as mean ± </w:t>
      </w:r>
      <w:r w:rsidR="00B8669C" w:rsidRPr="006A4BFC">
        <w:rPr>
          <w:rFonts w:ascii="Times New Roman" w:hAnsi="Times New Roman" w:cs="Times New Roman"/>
          <w:color w:val="000000" w:themeColor="text1"/>
          <w:sz w:val="24"/>
          <w:szCs w:val="24"/>
        </w:rPr>
        <w:t>SD in</w:t>
      </w:r>
      <w:r w:rsidRPr="006A4BFC">
        <w:rPr>
          <w:rFonts w:ascii="Times New Roman" w:hAnsi="Times New Roman" w:cs="Times New Roman"/>
          <w:color w:val="000000" w:themeColor="text1"/>
          <w:sz w:val="24"/>
          <w:szCs w:val="24"/>
        </w:rPr>
        <w:t xml:space="preserve"> Table 2</w:t>
      </w:r>
      <w:r w:rsidR="003E2CF9">
        <w:rPr>
          <w:rFonts w:ascii="Times New Roman" w:hAnsi="Times New Roman" w:cs="Times New Roman"/>
          <w:color w:val="000000" w:themeColor="text1"/>
          <w:sz w:val="24"/>
          <w:szCs w:val="24"/>
        </w:rPr>
        <w:t>,</w:t>
      </w:r>
      <w:r w:rsidRPr="006A4BFC">
        <w:rPr>
          <w:rFonts w:ascii="Times New Roman" w:hAnsi="Times New Roman" w:cs="Times New Roman"/>
          <w:color w:val="000000" w:themeColor="text1"/>
          <w:sz w:val="24"/>
          <w:szCs w:val="24"/>
        </w:rPr>
        <w:t xml:space="preserve"> shows that the heavy metals in the condensate and used electrical transformer oil were significantly (p&lt;0.05) higher when compared with heavy metals in the soil samples at their dump site. </w:t>
      </w:r>
      <w:r w:rsidR="003E2CF9">
        <w:rPr>
          <w:rFonts w:ascii="Times New Roman" w:hAnsi="Times New Roman" w:cs="Times New Roman"/>
          <w:color w:val="000000" w:themeColor="text1"/>
          <w:sz w:val="24"/>
          <w:szCs w:val="24"/>
        </w:rPr>
        <w:t>The condensate</w:t>
      </w:r>
      <w:r w:rsidRPr="006A4BFC">
        <w:rPr>
          <w:rFonts w:ascii="Times New Roman" w:hAnsi="Times New Roman" w:cs="Times New Roman"/>
          <w:color w:val="000000" w:themeColor="text1"/>
          <w:sz w:val="24"/>
          <w:szCs w:val="24"/>
        </w:rPr>
        <w:t xml:space="preserve"> dump site soil sample and the electrical transformer site sample showed </w:t>
      </w:r>
      <w:r w:rsidR="003E2CF9">
        <w:rPr>
          <w:rFonts w:ascii="Times New Roman" w:hAnsi="Times New Roman" w:cs="Times New Roman"/>
          <w:color w:val="000000" w:themeColor="text1"/>
          <w:sz w:val="24"/>
          <w:szCs w:val="24"/>
        </w:rPr>
        <w:t xml:space="preserve">a </w:t>
      </w:r>
      <w:r w:rsidRPr="006A4BFC">
        <w:rPr>
          <w:rFonts w:ascii="Times New Roman" w:hAnsi="Times New Roman" w:cs="Times New Roman"/>
          <w:color w:val="000000" w:themeColor="text1"/>
          <w:sz w:val="24"/>
          <w:szCs w:val="24"/>
        </w:rPr>
        <w:t xml:space="preserve">significant increase (p &lt;0.05) in most of the metals when compared with </w:t>
      </w:r>
      <w:r w:rsidR="003E2CF9">
        <w:rPr>
          <w:rFonts w:ascii="Times New Roman" w:hAnsi="Times New Roman" w:cs="Times New Roman"/>
          <w:color w:val="000000" w:themeColor="text1"/>
          <w:sz w:val="24"/>
          <w:szCs w:val="24"/>
        </w:rPr>
        <w:t xml:space="preserve">the </w:t>
      </w:r>
      <w:r w:rsidRPr="006A4BFC">
        <w:rPr>
          <w:rFonts w:ascii="Times New Roman" w:hAnsi="Times New Roman" w:cs="Times New Roman"/>
          <w:color w:val="000000" w:themeColor="text1"/>
          <w:sz w:val="24"/>
          <w:szCs w:val="24"/>
        </w:rPr>
        <w:t xml:space="preserve">control (non-contaminated soil sample). The order of increase in the metals of the contaminated soil samples was Zn &gt; Cu &gt; As &gt; Pb &gt; Fe &gt; Hg &gt; Cr. </w:t>
      </w:r>
    </w:p>
    <w:p w14:paraId="5AC5156A" w14:textId="568B9036" w:rsidR="006A4BFC" w:rsidRPr="006A4BFC" w:rsidRDefault="006A4BFC" w:rsidP="006A4BFC">
      <w:pPr>
        <w:spacing w:line="240" w:lineRule="auto"/>
        <w:jc w:val="both"/>
        <w:rPr>
          <w:rFonts w:ascii="Times New Roman" w:hAnsi="Times New Roman" w:cs="Times New Roman"/>
          <w:color w:val="000000"/>
          <w:sz w:val="24"/>
          <w:szCs w:val="24"/>
        </w:rPr>
      </w:pPr>
      <w:r w:rsidRPr="006A4BFC">
        <w:rPr>
          <w:rFonts w:ascii="Times New Roman" w:hAnsi="Times New Roman" w:cs="Times New Roman"/>
          <w:b/>
          <w:color w:val="000000"/>
          <w:sz w:val="24"/>
          <w:szCs w:val="24"/>
        </w:rPr>
        <w:t xml:space="preserve">Table 3: Heavy </w:t>
      </w:r>
      <w:r w:rsidR="00641D3A">
        <w:rPr>
          <w:rFonts w:ascii="Times New Roman" w:hAnsi="Times New Roman" w:cs="Times New Roman"/>
          <w:b/>
          <w:color w:val="000000"/>
          <w:sz w:val="24"/>
          <w:szCs w:val="24"/>
        </w:rPr>
        <w:t>metal</w:t>
      </w:r>
      <w:r w:rsidRPr="006A4BFC">
        <w:rPr>
          <w:rFonts w:ascii="Times New Roman" w:hAnsi="Times New Roman" w:cs="Times New Roman"/>
          <w:b/>
          <w:color w:val="000000"/>
          <w:sz w:val="24"/>
          <w:szCs w:val="24"/>
        </w:rPr>
        <w:t xml:space="preserve"> content of </w:t>
      </w:r>
      <w:r w:rsidR="00641D3A">
        <w:rPr>
          <w:rFonts w:ascii="Times New Roman" w:hAnsi="Times New Roman" w:cs="Times New Roman"/>
          <w:b/>
          <w:color w:val="000000"/>
          <w:sz w:val="24"/>
          <w:szCs w:val="24"/>
        </w:rPr>
        <w:t>Earthworms</w:t>
      </w:r>
      <w:r w:rsidRPr="006A4BFC">
        <w:rPr>
          <w:rFonts w:ascii="Times New Roman" w:hAnsi="Times New Roman" w:cs="Times New Roman"/>
          <w:b/>
          <w:color w:val="000000"/>
          <w:sz w:val="24"/>
          <w:szCs w:val="24"/>
        </w:rPr>
        <w:t xml:space="preserve"> introduced into different </w:t>
      </w:r>
      <w:r w:rsidR="003E2CF9">
        <w:rPr>
          <w:rFonts w:ascii="Times New Roman" w:hAnsi="Times New Roman" w:cs="Times New Roman"/>
          <w:b/>
          <w:color w:val="000000"/>
          <w:sz w:val="24"/>
          <w:szCs w:val="24"/>
        </w:rPr>
        <w:t>percentages</w:t>
      </w:r>
      <w:r w:rsidRPr="006A4BFC">
        <w:rPr>
          <w:rFonts w:ascii="Times New Roman" w:hAnsi="Times New Roman" w:cs="Times New Roman"/>
          <w:b/>
          <w:color w:val="000000"/>
          <w:sz w:val="24"/>
          <w:szCs w:val="24"/>
        </w:rPr>
        <w:t xml:space="preserve"> of contaminated soil samples for 28 days</w:t>
      </w:r>
    </w:p>
    <w:tbl>
      <w:tblPr>
        <w:tblW w:w="11624" w:type="dxa"/>
        <w:tblInd w:w="-1134" w:type="dxa"/>
        <w:tblLayout w:type="fixed"/>
        <w:tblLook w:val="04A0" w:firstRow="1" w:lastRow="0" w:firstColumn="1" w:lastColumn="0" w:noHBand="0" w:noVBand="1"/>
      </w:tblPr>
      <w:tblGrid>
        <w:gridCol w:w="992"/>
        <w:gridCol w:w="1134"/>
        <w:gridCol w:w="1134"/>
        <w:gridCol w:w="1135"/>
        <w:gridCol w:w="1276"/>
        <w:gridCol w:w="1134"/>
        <w:gridCol w:w="1134"/>
        <w:gridCol w:w="1134"/>
        <w:gridCol w:w="1276"/>
        <w:gridCol w:w="1275"/>
      </w:tblGrid>
      <w:tr w:rsidR="006A4BFC" w:rsidRPr="006A4BFC" w14:paraId="1BB1BB40" w14:textId="77777777" w:rsidTr="006A4BFC">
        <w:trPr>
          <w:trHeight w:val="316"/>
        </w:trPr>
        <w:tc>
          <w:tcPr>
            <w:tcW w:w="992" w:type="dxa"/>
            <w:tcBorders>
              <w:top w:val="single" w:sz="4" w:space="0" w:color="auto"/>
              <w:bottom w:val="single" w:sz="4" w:space="0" w:color="auto"/>
            </w:tcBorders>
          </w:tcPr>
          <w:p w14:paraId="55D35E9F"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Metals (ppm)</w:t>
            </w:r>
          </w:p>
        </w:tc>
        <w:tc>
          <w:tcPr>
            <w:tcW w:w="1134" w:type="dxa"/>
            <w:tcBorders>
              <w:top w:val="single" w:sz="4" w:space="0" w:color="auto"/>
              <w:bottom w:val="single" w:sz="4" w:space="0" w:color="auto"/>
            </w:tcBorders>
          </w:tcPr>
          <w:p w14:paraId="28E1CECF"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w:t>
            </w:r>
          </w:p>
        </w:tc>
        <w:tc>
          <w:tcPr>
            <w:tcW w:w="1134" w:type="dxa"/>
            <w:tcBorders>
              <w:top w:val="single" w:sz="4" w:space="0" w:color="auto"/>
              <w:bottom w:val="single" w:sz="4" w:space="0" w:color="auto"/>
            </w:tcBorders>
          </w:tcPr>
          <w:p w14:paraId="79C794E4"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10% C</w:t>
            </w:r>
          </w:p>
        </w:tc>
        <w:tc>
          <w:tcPr>
            <w:tcW w:w="1135" w:type="dxa"/>
            <w:tcBorders>
              <w:top w:val="single" w:sz="4" w:space="0" w:color="auto"/>
              <w:bottom w:val="single" w:sz="4" w:space="0" w:color="auto"/>
            </w:tcBorders>
          </w:tcPr>
          <w:p w14:paraId="78A7E9C8"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30%C</w:t>
            </w:r>
          </w:p>
        </w:tc>
        <w:tc>
          <w:tcPr>
            <w:tcW w:w="1276" w:type="dxa"/>
            <w:tcBorders>
              <w:top w:val="single" w:sz="4" w:space="0" w:color="auto"/>
              <w:bottom w:val="single" w:sz="4" w:space="0" w:color="auto"/>
            </w:tcBorders>
          </w:tcPr>
          <w:p w14:paraId="5CC0A0B4"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50%C</w:t>
            </w:r>
          </w:p>
        </w:tc>
        <w:tc>
          <w:tcPr>
            <w:tcW w:w="1134" w:type="dxa"/>
            <w:tcBorders>
              <w:top w:val="single" w:sz="4" w:space="0" w:color="auto"/>
              <w:bottom w:val="single" w:sz="4" w:space="0" w:color="auto"/>
            </w:tcBorders>
          </w:tcPr>
          <w:p w14:paraId="64E20DC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70%C</w:t>
            </w:r>
          </w:p>
        </w:tc>
        <w:tc>
          <w:tcPr>
            <w:tcW w:w="1134" w:type="dxa"/>
            <w:tcBorders>
              <w:top w:val="single" w:sz="4" w:space="0" w:color="auto"/>
              <w:bottom w:val="single" w:sz="4" w:space="0" w:color="auto"/>
            </w:tcBorders>
          </w:tcPr>
          <w:p w14:paraId="4F368253"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10%T</w:t>
            </w:r>
          </w:p>
        </w:tc>
        <w:tc>
          <w:tcPr>
            <w:tcW w:w="1134" w:type="dxa"/>
            <w:tcBorders>
              <w:top w:val="single" w:sz="4" w:space="0" w:color="auto"/>
              <w:bottom w:val="single" w:sz="4" w:space="0" w:color="auto"/>
            </w:tcBorders>
          </w:tcPr>
          <w:p w14:paraId="7932827D"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30%T</w:t>
            </w:r>
          </w:p>
        </w:tc>
        <w:tc>
          <w:tcPr>
            <w:tcW w:w="1276" w:type="dxa"/>
            <w:tcBorders>
              <w:top w:val="single" w:sz="4" w:space="0" w:color="auto"/>
              <w:bottom w:val="single" w:sz="4" w:space="0" w:color="auto"/>
            </w:tcBorders>
          </w:tcPr>
          <w:p w14:paraId="21C4FB89"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50%T</w:t>
            </w:r>
          </w:p>
        </w:tc>
        <w:tc>
          <w:tcPr>
            <w:tcW w:w="1275" w:type="dxa"/>
            <w:tcBorders>
              <w:top w:val="single" w:sz="4" w:space="0" w:color="auto"/>
              <w:bottom w:val="single" w:sz="4" w:space="0" w:color="auto"/>
            </w:tcBorders>
          </w:tcPr>
          <w:p w14:paraId="1CF26FA4"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70%T</w:t>
            </w:r>
          </w:p>
        </w:tc>
      </w:tr>
      <w:tr w:rsidR="006A4BFC" w:rsidRPr="006A4BFC" w14:paraId="5A12BBC0" w14:textId="77777777" w:rsidTr="006A4BFC">
        <w:trPr>
          <w:trHeight w:val="312"/>
        </w:trPr>
        <w:tc>
          <w:tcPr>
            <w:tcW w:w="992" w:type="dxa"/>
            <w:tcBorders>
              <w:top w:val="single" w:sz="4" w:space="0" w:color="auto"/>
            </w:tcBorders>
          </w:tcPr>
          <w:p w14:paraId="0C694378"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Cu</w:t>
            </w:r>
          </w:p>
        </w:tc>
        <w:tc>
          <w:tcPr>
            <w:tcW w:w="1134" w:type="dxa"/>
            <w:tcBorders>
              <w:top w:val="single" w:sz="4" w:space="0" w:color="auto"/>
            </w:tcBorders>
          </w:tcPr>
          <w:p w14:paraId="3D4E156E"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ND  </w:t>
            </w:r>
          </w:p>
        </w:tc>
        <w:tc>
          <w:tcPr>
            <w:tcW w:w="1134" w:type="dxa"/>
            <w:tcBorders>
              <w:top w:val="single" w:sz="4" w:space="0" w:color="auto"/>
            </w:tcBorders>
          </w:tcPr>
          <w:p w14:paraId="7798F7B2"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5" w:type="dxa"/>
            <w:tcBorders>
              <w:top w:val="single" w:sz="4" w:space="0" w:color="auto"/>
            </w:tcBorders>
          </w:tcPr>
          <w:p w14:paraId="42636698"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276" w:type="dxa"/>
            <w:tcBorders>
              <w:top w:val="single" w:sz="4" w:space="0" w:color="auto"/>
            </w:tcBorders>
          </w:tcPr>
          <w:p w14:paraId="7A63A3AA"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Borders>
              <w:top w:val="single" w:sz="4" w:space="0" w:color="auto"/>
            </w:tcBorders>
          </w:tcPr>
          <w:p w14:paraId="5B8AB7C7"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Borders>
              <w:top w:val="single" w:sz="4" w:space="0" w:color="auto"/>
            </w:tcBorders>
          </w:tcPr>
          <w:p w14:paraId="73B9336B"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Borders>
              <w:top w:val="single" w:sz="4" w:space="0" w:color="auto"/>
            </w:tcBorders>
          </w:tcPr>
          <w:p w14:paraId="22F67FD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276" w:type="dxa"/>
            <w:tcBorders>
              <w:top w:val="single" w:sz="4" w:space="0" w:color="auto"/>
            </w:tcBorders>
          </w:tcPr>
          <w:p w14:paraId="659236C9"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275" w:type="dxa"/>
            <w:tcBorders>
              <w:top w:val="single" w:sz="4" w:space="0" w:color="auto"/>
            </w:tcBorders>
          </w:tcPr>
          <w:p w14:paraId="354CB043"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r>
      <w:tr w:rsidR="006A4BFC" w:rsidRPr="006A4BFC" w14:paraId="4B6404DE" w14:textId="77777777" w:rsidTr="006A4BFC">
        <w:trPr>
          <w:trHeight w:val="625"/>
        </w:trPr>
        <w:tc>
          <w:tcPr>
            <w:tcW w:w="992" w:type="dxa"/>
          </w:tcPr>
          <w:p w14:paraId="1BB9A48C"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Zn</w:t>
            </w:r>
          </w:p>
        </w:tc>
        <w:tc>
          <w:tcPr>
            <w:tcW w:w="1134" w:type="dxa"/>
          </w:tcPr>
          <w:p w14:paraId="3BEA42A3"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Pr>
          <w:p w14:paraId="250B2E66"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0.32±0.02</w:t>
            </w:r>
          </w:p>
        </w:tc>
        <w:tc>
          <w:tcPr>
            <w:tcW w:w="1135" w:type="dxa"/>
          </w:tcPr>
          <w:p w14:paraId="38FFC7F6"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0.45±0.01</w:t>
            </w:r>
          </w:p>
        </w:tc>
        <w:tc>
          <w:tcPr>
            <w:tcW w:w="1276" w:type="dxa"/>
          </w:tcPr>
          <w:p w14:paraId="47A6F817"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0.460±0.01</w:t>
            </w:r>
          </w:p>
        </w:tc>
        <w:tc>
          <w:tcPr>
            <w:tcW w:w="1134" w:type="dxa"/>
          </w:tcPr>
          <w:p w14:paraId="6B886E62"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0.82±0.00</w:t>
            </w:r>
          </w:p>
        </w:tc>
        <w:tc>
          <w:tcPr>
            <w:tcW w:w="1134" w:type="dxa"/>
          </w:tcPr>
          <w:p w14:paraId="6BFF923F"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0.22±0.02</w:t>
            </w:r>
          </w:p>
        </w:tc>
        <w:tc>
          <w:tcPr>
            <w:tcW w:w="1134" w:type="dxa"/>
          </w:tcPr>
          <w:p w14:paraId="469A6369"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0.36±0.02</w:t>
            </w:r>
          </w:p>
        </w:tc>
        <w:tc>
          <w:tcPr>
            <w:tcW w:w="1276" w:type="dxa"/>
          </w:tcPr>
          <w:p w14:paraId="2BE49BF9"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0.384±0.06</w:t>
            </w:r>
          </w:p>
        </w:tc>
        <w:tc>
          <w:tcPr>
            <w:tcW w:w="1275" w:type="dxa"/>
          </w:tcPr>
          <w:p w14:paraId="7C40575A"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3.24±0.03</w:t>
            </w:r>
          </w:p>
        </w:tc>
      </w:tr>
      <w:tr w:rsidR="006A4BFC" w:rsidRPr="006A4BFC" w14:paraId="2EC428EB" w14:textId="77777777" w:rsidTr="006A4BFC">
        <w:trPr>
          <w:trHeight w:val="638"/>
        </w:trPr>
        <w:tc>
          <w:tcPr>
            <w:tcW w:w="992" w:type="dxa"/>
          </w:tcPr>
          <w:p w14:paraId="571B8526"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As</w:t>
            </w:r>
          </w:p>
        </w:tc>
        <w:tc>
          <w:tcPr>
            <w:tcW w:w="1134" w:type="dxa"/>
          </w:tcPr>
          <w:p w14:paraId="55CFEE1A"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Pr>
          <w:p w14:paraId="24EE397B"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0.19±0.01</w:t>
            </w:r>
          </w:p>
        </w:tc>
        <w:tc>
          <w:tcPr>
            <w:tcW w:w="1135" w:type="dxa"/>
          </w:tcPr>
          <w:p w14:paraId="621FFBF3"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0.27±0.00</w:t>
            </w:r>
          </w:p>
        </w:tc>
        <w:tc>
          <w:tcPr>
            <w:tcW w:w="1276" w:type="dxa"/>
          </w:tcPr>
          <w:p w14:paraId="00117212"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0.53±0.40</w:t>
            </w:r>
          </w:p>
        </w:tc>
        <w:tc>
          <w:tcPr>
            <w:tcW w:w="1134" w:type="dxa"/>
          </w:tcPr>
          <w:p w14:paraId="3851D962"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0.83±0.30</w:t>
            </w:r>
          </w:p>
        </w:tc>
        <w:tc>
          <w:tcPr>
            <w:tcW w:w="1134" w:type="dxa"/>
          </w:tcPr>
          <w:p w14:paraId="370D4AF6"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0.24±0.01</w:t>
            </w:r>
          </w:p>
        </w:tc>
        <w:tc>
          <w:tcPr>
            <w:tcW w:w="1134" w:type="dxa"/>
          </w:tcPr>
          <w:p w14:paraId="140195FD"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0.47±0.10</w:t>
            </w:r>
          </w:p>
        </w:tc>
        <w:tc>
          <w:tcPr>
            <w:tcW w:w="1276" w:type="dxa"/>
          </w:tcPr>
          <w:p w14:paraId="1BE3BD7D"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0.88±0.01</w:t>
            </w:r>
          </w:p>
        </w:tc>
        <w:tc>
          <w:tcPr>
            <w:tcW w:w="1275" w:type="dxa"/>
          </w:tcPr>
          <w:p w14:paraId="0AE92F3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1.94±0.01</w:t>
            </w:r>
          </w:p>
        </w:tc>
      </w:tr>
      <w:tr w:rsidR="006A4BFC" w:rsidRPr="006A4BFC" w14:paraId="15FF5AB2" w14:textId="77777777" w:rsidTr="006A4BFC">
        <w:trPr>
          <w:trHeight w:val="638"/>
        </w:trPr>
        <w:tc>
          <w:tcPr>
            <w:tcW w:w="992" w:type="dxa"/>
          </w:tcPr>
          <w:p w14:paraId="3662891A"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Hg</w:t>
            </w:r>
          </w:p>
        </w:tc>
        <w:tc>
          <w:tcPr>
            <w:tcW w:w="1134" w:type="dxa"/>
          </w:tcPr>
          <w:p w14:paraId="7D327A17"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Pr>
          <w:p w14:paraId="1482C7C8"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5" w:type="dxa"/>
          </w:tcPr>
          <w:p w14:paraId="78370E35"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276" w:type="dxa"/>
          </w:tcPr>
          <w:p w14:paraId="7328FD30"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0.01±0.00</w:t>
            </w:r>
          </w:p>
        </w:tc>
        <w:tc>
          <w:tcPr>
            <w:tcW w:w="1134" w:type="dxa"/>
          </w:tcPr>
          <w:p w14:paraId="0686170C"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0.02±0.00</w:t>
            </w:r>
          </w:p>
        </w:tc>
        <w:tc>
          <w:tcPr>
            <w:tcW w:w="1134" w:type="dxa"/>
          </w:tcPr>
          <w:p w14:paraId="612EDD88"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0.03±0.00</w:t>
            </w:r>
          </w:p>
        </w:tc>
        <w:tc>
          <w:tcPr>
            <w:tcW w:w="1134" w:type="dxa"/>
          </w:tcPr>
          <w:p w14:paraId="5DF590C2"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276" w:type="dxa"/>
          </w:tcPr>
          <w:p w14:paraId="30BF40F6"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275" w:type="dxa"/>
          </w:tcPr>
          <w:p w14:paraId="342BF915"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0.04±0.01</w:t>
            </w:r>
          </w:p>
        </w:tc>
      </w:tr>
      <w:tr w:rsidR="006A4BFC" w:rsidRPr="006A4BFC" w14:paraId="310577D5" w14:textId="77777777" w:rsidTr="006A4BFC">
        <w:trPr>
          <w:trHeight w:val="638"/>
        </w:trPr>
        <w:tc>
          <w:tcPr>
            <w:tcW w:w="992" w:type="dxa"/>
          </w:tcPr>
          <w:p w14:paraId="00471DC2"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Fe</w:t>
            </w:r>
          </w:p>
        </w:tc>
        <w:tc>
          <w:tcPr>
            <w:tcW w:w="1134" w:type="dxa"/>
          </w:tcPr>
          <w:p w14:paraId="434D4CB4"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0.16±0.01</w:t>
            </w:r>
          </w:p>
        </w:tc>
        <w:tc>
          <w:tcPr>
            <w:tcW w:w="1134" w:type="dxa"/>
          </w:tcPr>
          <w:p w14:paraId="07847C33"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0.19±0.07</w:t>
            </w:r>
          </w:p>
        </w:tc>
        <w:tc>
          <w:tcPr>
            <w:tcW w:w="1135" w:type="dxa"/>
          </w:tcPr>
          <w:p w14:paraId="009D541F"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0.21±0.01</w:t>
            </w:r>
          </w:p>
        </w:tc>
        <w:tc>
          <w:tcPr>
            <w:tcW w:w="1276" w:type="dxa"/>
          </w:tcPr>
          <w:p w14:paraId="2EB0E774"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0.52±0.03</w:t>
            </w:r>
          </w:p>
        </w:tc>
        <w:tc>
          <w:tcPr>
            <w:tcW w:w="1134" w:type="dxa"/>
          </w:tcPr>
          <w:p w14:paraId="53AC1DD7"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1.13±0.80</w:t>
            </w:r>
          </w:p>
        </w:tc>
        <w:tc>
          <w:tcPr>
            <w:tcW w:w="1134" w:type="dxa"/>
          </w:tcPr>
          <w:p w14:paraId="0D019823"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0.78±0.20</w:t>
            </w:r>
          </w:p>
        </w:tc>
        <w:tc>
          <w:tcPr>
            <w:tcW w:w="1134" w:type="dxa"/>
          </w:tcPr>
          <w:p w14:paraId="11363C67"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0.82±0.03</w:t>
            </w:r>
          </w:p>
        </w:tc>
        <w:tc>
          <w:tcPr>
            <w:tcW w:w="1276" w:type="dxa"/>
          </w:tcPr>
          <w:p w14:paraId="68B7EC0B"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0.83±0.01</w:t>
            </w:r>
          </w:p>
        </w:tc>
        <w:tc>
          <w:tcPr>
            <w:tcW w:w="1275" w:type="dxa"/>
          </w:tcPr>
          <w:p w14:paraId="72E75DC6"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2.53±0.10</w:t>
            </w:r>
          </w:p>
        </w:tc>
      </w:tr>
      <w:tr w:rsidR="006A4BFC" w:rsidRPr="006A4BFC" w14:paraId="24B39C9E" w14:textId="77777777" w:rsidTr="006A4BFC">
        <w:trPr>
          <w:trHeight w:val="625"/>
        </w:trPr>
        <w:tc>
          <w:tcPr>
            <w:tcW w:w="992" w:type="dxa"/>
          </w:tcPr>
          <w:p w14:paraId="39D2E671"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Cr</w:t>
            </w:r>
          </w:p>
        </w:tc>
        <w:tc>
          <w:tcPr>
            <w:tcW w:w="1134" w:type="dxa"/>
          </w:tcPr>
          <w:p w14:paraId="6ADF6280"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Pr>
          <w:p w14:paraId="16D2C675"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5" w:type="dxa"/>
          </w:tcPr>
          <w:p w14:paraId="2F143705"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0.01±0.00</w:t>
            </w:r>
          </w:p>
        </w:tc>
        <w:tc>
          <w:tcPr>
            <w:tcW w:w="1276" w:type="dxa"/>
          </w:tcPr>
          <w:p w14:paraId="358F7D5B"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0.40±0.02</w:t>
            </w:r>
          </w:p>
        </w:tc>
        <w:tc>
          <w:tcPr>
            <w:tcW w:w="1134" w:type="dxa"/>
          </w:tcPr>
          <w:p w14:paraId="5CC8CAEC"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0.20±0.01</w:t>
            </w:r>
          </w:p>
        </w:tc>
        <w:tc>
          <w:tcPr>
            <w:tcW w:w="1134" w:type="dxa"/>
          </w:tcPr>
          <w:p w14:paraId="1E1DA8C9"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0.02±0.00</w:t>
            </w:r>
          </w:p>
        </w:tc>
        <w:tc>
          <w:tcPr>
            <w:tcW w:w="1134" w:type="dxa"/>
          </w:tcPr>
          <w:p w14:paraId="72E0F3D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0.03±0.01</w:t>
            </w:r>
          </w:p>
        </w:tc>
        <w:tc>
          <w:tcPr>
            <w:tcW w:w="1276" w:type="dxa"/>
          </w:tcPr>
          <w:p w14:paraId="3AF6A019"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0.24±0.02</w:t>
            </w:r>
          </w:p>
        </w:tc>
        <w:tc>
          <w:tcPr>
            <w:tcW w:w="1275" w:type="dxa"/>
          </w:tcPr>
          <w:p w14:paraId="2268ACA3"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0.24±0.04</w:t>
            </w:r>
          </w:p>
        </w:tc>
      </w:tr>
      <w:tr w:rsidR="006A4BFC" w:rsidRPr="006A4BFC" w14:paraId="047AFA9F" w14:textId="77777777" w:rsidTr="006A4BFC">
        <w:trPr>
          <w:trHeight w:val="638"/>
        </w:trPr>
        <w:tc>
          <w:tcPr>
            <w:tcW w:w="992" w:type="dxa"/>
          </w:tcPr>
          <w:p w14:paraId="198C241B"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 xml:space="preserve">       Cd </w:t>
            </w:r>
          </w:p>
        </w:tc>
        <w:tc>
          <w:tcPr>
            <w:tcW w:w="1134" w:type="dxa"/>
          </w:tcPr>
          <w:p w14:paraId="3051D6F5"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Pr>
          <w:p w14:paraId="4EB042DB"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0.06 ±0.03</w:t>
            </w:r>
          </w:p>
        </w:tc>
        <w:tc>
          <w:tcPr>
            <w:tcW w:w="1135" w:type="dxa"/>
          </w:tcPr>
          <w:p w14:paraId="5B019AD5"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0.36±0.04</w:t>
            </w:r>
          </w:p>
        </w:tc>
        <w:tc>
          <w:tcPr>
            <w:tcW w:w="1276" w:type="dxa"/>
          </w:tcPr>
          <w:p w14:paraId="679DBDF6"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0.44±0.01</w:t>
            </w:r>
          </w:p>
        </w:tc>
        <w:tc>
          <w:tcPr>
            <w:tcW w:w="1134" w:type="dxa"/>
          </w:tcPr>
          <w:p w14:paraId="298D656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0.63±0.20</w:t>
            </w:r>
          </w:p>
        </w:tc>
        <w:tc>
          <w:tcPr>
            <w:tcW w:w="1134" w:type="dxa"/>
          </w:tcPr>
          <w:p w14:paraId="3076FA0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Pr>
          <w:p w14:paraId="5F61C1F1"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276" w:type="dxa"/>
          </w:tcPr>
          <w:p w14:paraId="445A22A0"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0.19±0.04</w:t>
            </w:r>
          </w:p>
        </w:tc>
        <w:tc>
          <w:tcPr>
            <w:tcW w:w="1275" w:type="dxa"/>
          </w:tcPr>
          <w:p w14:paraId="50EF396D"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0.83±0.00</w:t>
            </w:r>
          </w:p>
        </w:tc>
      </w:tr>
      <w:tr w:rsidR="006A4BFC" w:rsidRPr="006A4BFC" w14:paraId="04581340" w14:textId="77777777" w:rsidTr="006A4BFC">
        <w:trPr>
          <w:trHeight w:val="402"/>
        </w:trPr>
        <w:tc>
          <w:tcPr>
            <w:tcW w:w="992" w:type="dxa"/>
            <w:tcBorders>
              <w:bottom w:val="single" w:sz="4" w:space="0" w:color="auto"/>
            </w:tcBorders>
          </w:tcPr>
          <w:p w14:paraId="7CED4813"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lastRenderedPageBreak/>
              <w:t xml:space="preserve">       Pb</w:t>
            </w:r>
          </w:p>
        </w:tc>
        <w:tc>
          <w:tcPr>
            <w:tcW w:w="1134" w:type="dxa"/>
            <w:tcBorders>
              <w:bottom w:val="single" w:sz="4" w:space="0" w:color="auto"/>
            </w:tcBorders>
          </w:tcPr>
          <w:p w14:paraId="35F30873"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Borders>
              <w:bottom w:val="single" w:sz="4" w:space="0" w:color="auto"/>
            </w:tcBorders>
          </w:tcPr>
          <w:p w14:paraId="4797EDE2"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0.28±0.02</w:t>
            </w:r>
          </w:p>
        </w:tc>
        <w:tc>
          <w:tcPr>
            <w:tcW w:w="1135" w:type="dxa"/>
            <w:tcBorders>
              <w:bottom w:val="single" w:sz="4" w:space="0" w:color="auto"/>
            </w:tcBorders>
          </w:tcPr>
          <w:p w14:paraId="2A8DC33B"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0.82±0.02</w:t>
            </w:r>
          </w:p>
        </w:tc>
        <w:tc>
          <w:tcPr>
            <w:tcW w:w="1276" w:type="dxa"/>
            <w:tcBorders>
              <w:bottom w:val="single" w:sz="4" w:space="0" w:color="auto"/>
            </w:tcBorders>
          </w:tcPr>
          <w:p w14:paraId="1B8776E4"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0.74±0.05</w:t>
            </w:r>
          </w:p>
        </w:tc>
        <w:tc>
          <w:tcPr>
            <w:tcW w:w="1134" w:type="dxa"/>
            <w:tcBorders>
              <w:bottom w:val="single" w:sz="4" w:space="0" w:color="auto"/>
            </w:tcBorders>
          </w:tcPr>
          <w:p w14:paraId="36E8D51B"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0.86±0.15</w:t>
            </w:r>
          </w:p>
        </w:tc>
        <w:tc>
          <w:tcPr>
            <w:tcW w:w="1134" w:type="dxa"/>
            <w:tcBorders>
              <w:bottom w:val="single" w:sz="4" w:space="0" w:color="auto"/>
            </w:tcBorders>
          </w:tcPr>
          <w:p w14:paraId="1D444334"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ND</w:t>
            </w:r>
          </w:p>
        </w:tc>
        <w:tc>
          <w:tcPr>
            <w:tcW w:w="1134" w:type="dxa"/>
            <w:tcBorders>
              <w:bottom w:val="single" w:sz="4" w:space="0" w:color="auto"/>
            </w:tcBorders>
          </w:tcPr>
          <w:p w14:paraId="5ED2E5ED"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0.21±0.30</w:t>
            </w:r>
          </w:p>
        </w:tc>
        <w:tc>
          <w:tcPr>
            <w:tcW w:w="1276" w:type="dxa"/>
            <w:tcBorders>
              <w:bottom w:val="single" w:sz="4" w:space="0" w:color="auto"/>
            </w:tcBorders>
          </w:tcPr>
          <w:p w14:paraId="5BCB8C3D" w14:textId="77777777" w:rsidR="006A4BFC" w:rsidRPr="006A4BFC" w:rsidRDefault="006A4BFC" w:rsidP="006A4BFC">
            <w:pPr>
              <w:spacing w:after="0"/>
              <w:jc w:val="both"/>
              <w:rPr>
                <w:rFonts w:ascii="Times New Roman" w:hAnsi="Times New Roman" w:cs="Times New Roman"/>
                <w:color w:val="000000"/>
              </w:rPr>
            </w:pPr>
            <w:r w:rsidRPr="006A4BFC">
              <w:rPr>
                <w:rFonts w:ascii="Times New Roman" w:hAnsi="Times New Roman" w:cs="Times New Roman"/>
                <w:color w:val="000000"/>
              </w:rPr>
              <w:t>0.51±0.10</w:t>
            </w:r>
          </w:p>
        </w:tc>
        <w:tc>
          <w:tcPr>
            <w:tcW w:w="1275" w:type="dxa"/>
            <w:tcBorders>
              <w:bottom w:val="single" w:sz="4" w:space="0" w:color="auto"/>
            </w:tcBorders>
          </w:tcPr>
          <w:p w14:paraId="2ACFE384" w14:textId="77777777" w:rsidR="006A4BFC" w:rsidRPr="006A4BFC" w:rsidRDefault="006A4BFC" w:rsidP="006A4BFC">
            <w:pPr>
              <w:pStyle w:val="NoSpacing"/>
              <w:spacing w:line="276" w:lineRule="auto"/>
              <w:jc w:val="both"/>
              <w:rPr>
                <w:rFonts w:ascii="Times New Roman" w:hAnsi="Times New Roman" w:cs="Times New Roman"/>
                <w:color w:val="000000"/>
              </w:rPr>
            </w:pPr>
            <w:r w:rsidRPr="006A4BFC">
              <w:rPr>
                <w:rFonts w:ascii="Times New Roman" w:hAnsi="Times New Roman" w:cs="Times New Roman"/>
                <w:color w:val="000000"/>
              </w:rPr>
              <w:t>0.66±0.80</w:t>
            </w:r>
          </w:p>
        </w:tc>
      </w:tr>
    </w:tbl>
    <w:p w14:paraId="41E73EFD" w14:textId="77777777" w:rsidR="006A4BFC" w:rsidRPr="006A4BFC" w:rsidRDefault="006A4BFC" w:rsidP="006A4BFC">
      <w:pPr>
        <w:jc w:val="both"/>
        <w:rPr>
          <w:rFonts w:ascii="Times New Roman" w:hAnsi="Times New Roman" w:cs="Times New Roman"/>
          <w:color w:val="000000"/>
          <w:sz w:val="24"/>
          <w:szCs w:val="24"/>
        </w:rPr>
      </w:pPr>
      <w:r w:rsidRPr="006A4BFC">
        <w:rPr>
          <w:rFonts w:ascii="Times New Roman" w:hAnsi="Times New Roman" w:cs="Times New Roman"/>
          <w:color w:val="000000"/>
          <w:sz w:val="24"/>
          <w:szCs w:val="24"/>
        </w:rPr>
        <w:t>Mean ± SEM; n = 3; ND = not detected</w:t>
      </w:r>
    </w:p>
    <w:p w14:paraId="5F68475A" w14:textId="224DFC42" w:rsidR="006A4BFC" w:rsidRPr="006A4BFC" w:rsidRDefault="006A4BFC" w:rsidP="006A4BFC">
      <w:pPr>
        <w:jc w:val="both"/>
        <w:rPr>
          <w:rFonts w:ascii="Times New Roman" w:hAnsi="Times New Roman" w:cs="Times New Roman"/>
          <w:color w:val="000000"/>
          <w:sz w:val="24"/>
          <w:szCs w:val="24"/>
        </w:rPr>
      </w:pPr>
      <w:r w:rsidRPr="006A4BFC">
        <w:rPr>
          <w:rFonts w:ascii="Times New Roman" w:hAnsi="Times New Roman" w:cs="Times New Roman"/>
          <w:b/>
          <w:color w:val="000000"/>
          <w:sz w:val="24"/>
          <w:szCs w:val="24"/>
        </w:rPr>
        <w:t xml:space="preserve"> Heavy </w:t>
      </w:r>
      <w:r w:rsidR="003E2CF9">
        <w:rPr>
          <w:rFonts w:ascii="Times New Roman" w:hAnsi="Times New Roman" w:cs="Times New Roman"/>
          <w:b/>
          <w:color w:val="000000"/>
          <w:sz w:val="24"/>
          <w:szCs w:val="24"/>
        </w:rPr>
        <w:t>metal</w:t>
      </w:r>
      <w:r w:rsidRPr="006A4BFC">
        <w:rPr>
          <w:rFonts w:ascii="Times New Roman" w:hAnsi="Times New Roman" w:cs="Times New Roman"/>
          <w:b/>
          <w:color w:val="000000"/>
          <w:sz w:val="24"/>
          <w:szCs w:val="24"/>
        </w:rPr>
        <w:t xml:space="preserve"> content of </w:t>
      </w:r>
      <w:r w:rsidR="003E2CF9">
        <w:rPr>
          <w:rFonts w:ascii="Times New Roman" w:hAnsi="Times New Roman" w:cs="Times New Roman"/>
          <w:b/>
          <w:color w:val="000000"/>
          <w:sz w:val="24"/>
          <w:szCs w:val="24"/>
        </w:rPr>
        <w:t>Earthworms</w:t>
      </w:r>
      <w:r w:rsidRPr="006A4BFC">
        <w:rPr>
          <w:rFonts w:ascii="Times New Roman" w:hAnsi="Times New Roman" w:cs="Times New Roman"/>
          <w:b/>
          <w:color w:val="000000"/>
          <w:sz w:val="24"/>
          <w:szCs w:val="24"/>
        </w:rPr>
        <w:t xml:space="preserve"> incubated </w:t>
      </w:r>
      <w:r w:rsidR="003E2CF9">
        <w:rPr>
          <w:rFonts w:ascii="Times New Roman" w:hAnsi="Times New Roman" w:cs="Times New Roman"/>
          <w:b/>
          <w:color w:val="000000"/>
          <w:sz w:val="24"/>
          <w:szCs w:val="24"/>
        </w:rPr>
        <w:t>in</w:t>
      </w:r>
      <w:r w:rsidRPr="006A4BFC">
        <w:rPr>
          <w:rFonts w:ascii="Times New Roman" w:hAnsi="Times New Roman" w:cs="Times New Roman"/>
          <w:b/>
          <w:color w:val="000000"/>
          <w:sz w:val="24"/>
          <w:szCs w:val="24"/>
        </w:rPr>
        <w:t xml:space="preserve"> different </w:t>
      </w:r>
      <w:r w:rsidR="003E2CF9">
        <w:rPr>
          <w:rFonts w:ascii="Times New Roman" w:hAnsi="Times New Roman" w:cs="Times New Roman"/>
          <w:b/>
          <w:color w:val="000000"/>
          <w:sz w:val="24"/>
          <w:szCs w:val="24"/>
        </w:rPr>
        <w:t>percentages</w:t>
      </w:r>
      <w:r w:rsidRPr="006A4BFC">
        <w:rPr>
          <w:rFonts w:ascii="Times New Roman" w:hAnsi="Times New Roman" w:cs="Times New Roman"/>
          <w:b/>
          <w:color w:val="000000"/>
          <w:sz w:val="24"/>
          <w:szCs w:val="24"/>
        </w:rPr>
        <w:t xml:space="preserve"> of contaminated soil samples for 28 days         </w:t>
      </w:r>
    </w:p>
    <w:p w14:paraId="1AC8DEC0" w14:textId="61639CAD" w:rsidR="006A4BFC" w:rsidRPr="006A4BFC" w:rsidRDefault="006A4BFC" w:rsidP="003E2CF9">
      <w:pPr>
        <w:spacing w:line="360" w:lineRule="auto"/>
        <w:jc w:val="both"/>
        <w:rPr>
          <w:rFonts w:ascii="Times New Roman" w:hAnsi="Times New Roman" w:cs="Times New Roman"/>
          <w:b/>
          <w:sz w:val="24"/>
          <w:szCs w:val="24"/>
        </w:rPr>
      </w:pPr>
      <w:r w:rsidRPr="006A4BFC">
        <w:rPr>
          <w:rFonts w:ascii="Times New Roman" w:hAnsi="Times New Roman" w:cs="Times New Roman"/>
          <w:color w:val="000000"/>
          <w:sz w:val="24"/>
          <w:szCs w:val="24"/>
        </w:rPr>
        <w:t xml:space="preserve">The heavy metal analysis of the Earthworm introduced into the different percentages of contaminated soil samples and non-contaminated soil </w:t>
      </w:r>
      <w:r w:rsidR="003E2CF9">
        <w:rPr>
          <w:rFonts w:ascii="Times New Roman" w:hAnsi="Times New Roman" w:cs="Times New Roman"/>
          <w:color w:val="000000"/>
          <w:sz w:val="24"/>
          <w:szCs w:val="24"/>
        </w:rPr>
        <w:t>samples</w:t>
      </w:r>
      <w:r w:rsidRPr="006A4BFC">
        <w:rPr>
          <w:rFonts w:ascii="Times New Roman" w:hAnsi="Times New Roman" w:cs="Times New Roman"/>
          <w:color w:val="000000"/>
          <w:sz w:val="24"/>
          <w:szCs w:val="24"/>
        </w:rPr>
        <w:t xml:space="preserve"> shows </w:t>
      </w:r>
      <w:r w:rsidR="003E2CF9">
        <w:rPr>
          <w:rFonts w:ascii="Times New Roman" w:hAnsi="Times New Roman" w:cs="Times New Roman"/>
          <w:color w:val="000000"/>
          <w:sz w:val="24"/>
          <w:szCs w:val="24"/>
        </w:rPr>
        <w:t xml:space="preserve">a </w:t>
      </w:r>
      <w:r w:rsidRPr="006A4BFC">
        <w:rPr>
          <w:rFonts w:ascii="Times New Roman" w:hAnsi="Times New Roman" w:cs="Times New Roman"/>
          <w:color w:val="000000"/>
          <w:sz w:val="24"/>
          <w:szCs w:val="24"/>
        </w:rPr>
        <w:t xml:space="preserve">significant (p &lt; 0.05) </w:t>
      </w:r>
      <w:r w:rsidR="003E2CF9">
        <w:rPr>
          <w:rFonts w:ascii="Times New Roman" w:hAnsi="Times New Roman" w:cs="Times New Roman"/>
          <w:color w:val="000000"/>
          <w:sz w:val="24"/>
          <w:szCs w:val="24"/>
        </w:rPr>
        <w:t>increase</w:t>
      </w:r>
      <w:r w:rsidRPr="006A4BFC">
        <w:rPr>
          <w:rFonts w:ascii="Times New Roman" w:hAnsi="Times New Roman" w:cs="Times New Roman"/>
          <w:color w:val="000000"/>
          <w:sz w:val="24"/>
          <w:szCs w:val="24"/>
        </w:rPr>
        <w:t xml:space="preserve"> in </w:t>
      </w:r>
      <w:r w:rsidR="003E2CF9">
        <w:rPr>
          <w:rFonts w:ascii="Times New Roman" w:hAnsi="Times New Roman" w:cs="Times New Roman"/>
          <w:color w:val="000000"/>
          <w:sz w:val="24"/>
          <w:szCs w:val="24"/>
        </w:rPr>
        <w:t>metal</w:t>
      </w:r>
      <w:r w:rsidRPr="006A4BFC">
        <w:rPr>
          <w:rFonts w:ascii="Times New Roman" w:hAnsi="Times New Roman" w:cs="Times New Roman"/>
          <w:color w:val="000000"/>
          <w:sz w:val="24"/>
          <w:szCs w:val="24"/>
        </w:rPr>
        <w:t xml:space="preserve"> levels as the percentage of contamination </w:t>
      </w:r>
      <w:r w:rsidR="003E2CF9">
        <w:rPr>
          <w:rFonts w:ascii="Times New Roman" w:hAnsi="Times New Roman" w:cs="Times New Roman"/>
          <w:color w:val="000000"/>
          <w:sz w:val="24"/>
          <w:szCs w:val="24"/>
        </w:rPr>
        <w:t>increases</w:t>
      </w:r>
      <w:r w:rsidRPr="006A4BFC">
        <w:rPr>
          <w:rFonts w:ascii="Times New Roman" w:hAnsi="Times New Roman" w:cs="Times New Roman"/>
          <w:color w:val="000000"/>
          <w:sz w:val="24"/>
          <w:szCs w:val="24"/>
        </w:rPr>
        <w:t xml:space="preserve"> in all the analyzed metals. Condensate contaminated site soil samples</w:t>
      </w:r>
      <w:r w:rsidR="003E2CF9">
        <w:rPr>
          <w:rFonts w:ascii="Times New Roman" w:hAnsi="Times New Roman" w:cs="Times New Roman"/>
          <w:color w:val="000000"/>
          <w:sz w:val="24"/>
          <w:szCs w:val="24"/>
        </w:rPr>
        <w:t>,</w:t>
      </w:r>
      <w:r w:rsidRPr="006A4BFC">
        <w:rPr>
          <w:rFonts w:ascii="Times New Roman" w:hAnsi="Times New Roman" w:cs="Times New Roman"/>
          <w:color w:val="000000"/>
          <w:sz w:val="24"/>
          <w:szCs w:val="24"/>
        </w:rPr>
        <w:t xml:space="preserve"> earthworms had higher metal </w:t>
      </w:r>
      <w:r w:rsidR="003E2CF9">
        <w:rPr>
          <w:rFonts w:ascii="Times New Roman" w:hAnsi="Times New Roman" w:cs="Times New Roman"/>
          <w:color w:val="000000"/>
          <w:sz w:val="24"/>
          <w:szCs w:val="24"/>
        </w:rPr>
        <w:t>levels</w:t>
      </w:r>
      <w:r w:rsidRPr="006A4BFC">
        <w:rPr>
          <w:rFonts w:ascii="Times New Roman" w:hAnsi="Times New Roman" w:cs="Times New Roman"/>
          <w:color w:val="000000"/>
          <w:sz w:val="24"/>
          <w:szCs w:val="24"/>
        </w:rPr>
        <w:t xml:space="preserve"> when compared to the transformers site soil samples</w:t>
      </w:r>
      <w:r w:rsidR="003E2CF9">
        <w:rPr>
          <w:rFonts w:ascii="Times New Roman" w:hAnsi="Times New Roman" w:cs="Times New Roman"/>
          <w:color w:val="000000"/>
          <w:sz w:val="24"/>
          <w:szCs w:val="24"/>
        </w:rPr>
        <w:t>, earthworms</w:t>
      </w:r>
      <w:r w:rsidRPr="006A4BFC">
        <w:rPr>
          <w:rFonts w:ascii="Times New Roman" w:hAnsi="Times New Roman" w:cs="Times New Roman"/>
          <w:color w:val="000000"/>
          <w:sz w:val="24"/>
          <w:szCs w:val="24"/>
        </w:rPr>
        <w:t xml:space="preserve"> in table 3. Copper was not detected in all the soil samples. In </w:t>
      </w:r>
      <w:r w:rsidR="003E2CF9">
        <w:rPr>
          <w:rFonts w:ascii="Times New Roman" w:hAnsi="Times New Roman" w:cs="Times New Roman"/>
          <w:color w:val="000000"/>
          <w:sz w:val="24"/>
          <w:szCs w:val="24"/>
        </w:rPr>
        <w:t xml:space="preserve">a </w:t>
      </w:r>
      <w:r w:rsidRPr="006A4BFC">
        <w:rPr>
          <w:rFonts w:ascii="Times New Roman" w:hAnsi="Times New Roman" w:cs="Times New Roman"/>
          <w:color w:val="000000"/>
          <w:sz w:val="24"/>
          <w:szCs w:val="24"/>
        </w:rPr>
        <w:t>non-contaminated soil sample</w:t>
      </w:r>
      <w:r w:rsidR="003E2CF9">
        <w:rPr>
          <w:rFonts w:ascii="Times New Roman" w:hAnsi="Times New Roman" w:cs="Times New Roman"/>
          <w:color w:val="000000"/>
          <w:sz w:val="24"/>
          <w:szCs w:val="24"/>
        </w:rPr>
        <w:t>,</w:t>
      </w:r>
      <w:r w:rsidRPr="006A4BFC">
        <w:rPr>
          <w:rFonts w:ascii="Times New Roman" w:hAnsi="Times New Roman" w:cs="Times New Roman"/>
          <w:color w:val="000000"/>
          <w:sz w:val="24"/>
          <w:szCs w:val="24"/>
        </w:rPr>
        <w:t xml:space="preserve"> earthworm, only Iron was detected. Zn was having the highest metal concentration in the earthworm samples</w:t>
      </w:r>
      <w:r w:rsidR="003E2CF9">
        <w:rPr>
          <w:rFonts w:ascii="Times New Roman" w:hAnsi="Times New Roman" w:cs="Times New Roman"/>
          <w:color w:val="000000"/>
          <w:sz w:val="24"/>
          <w:szCs w:val="24"/>
        </w:rPr>
        <w:t>,</w:t>
      </w:r>
      <w:r w:rsidRPr="006A4BFC">
        <w:rPr>
          <w:rFonts w:ascii="Times New Roman" w:hAnsi="Times New Roman" w:cs="Times New Roman"/>
          <w:color w:val="000000"/>
          <w:sz w:val="24"/>
          <w:szCs w:val="24"/>
        </w:rPr>
        <w:t xml:space="preserve"> followed by Fe&gt; As&gt; Cd &gt; Pb &gt; Cr &gt; Hg</w:t>
      </w:r>
      <w:r w:rsidR="003E2CF9">
        <w:rPr>
          <w:rFonts w:ascii="Times New Roman" w:hAnsi="Times New Roman" w:cs="Times New Roman"/>
          <w:color w:val="000000"/>
          <w:sz w:val="24"/>
          <w:szCs w:val="24"/>
        </w:rPr>
        <w:t>,</w:t>
      </w:r>
      <w:r w:rsidRPr="006A4BFC">
        <w:rPr>
          <w:rFonts w:ascii="Times New Roman" w:hAnsi="Times New Roman" w:cs="Times New Roman"/>
          <w:color w:val="000000"/>
          <w:sz w:val="24"/>
          <w:szCs w:val="24"/>
        </w:rPr>
        <w:t xml:space="preserve"> with the lowest value. </w:t>
      </w:r>
    </w:p>
    <w:p w14:paraId="2716370E" w14:textId="5E280630" w:rsidR="006A4BFC" w:rsidRPr="006A4BFC" w:rsidRDefault="006A4BFC" w:rsidP="006A4BFC">
      <w:pPr>
        <w:jc w:val="both"/>
        <w:rPr>
          <w:rFonts w:ascii="Times New Roman" w:hAnsi="Times New Roman" w:cs="Times New Roman"/>
          <w:b/>
          <w:sz w:val="24"/>
          <w:szCs w:val="24"/>
        </w:rPr>
      </w:pPr>
      <w:r w:rsidRPr="006A4BFC">
        <w:rPr>
          <w:rFonts w:ascii="Times New Roman" w:hAnsi="Times New Roman" w:cs="Times New Roman"/>
          <w:b/>
          <w:sz w:val="24"/>
          <w:szCs w:val="24"/>
        </w:rPr>
        <w:t xml:space="preserve">Table 4: Bioaccumulation factor of some heavy metals in </w:t>
      </w:r>
      <w:r w:rsidR="003E2CF9">
        <w:rPr>
          <w:rFonts w:ascii="Times New Roman" w:hAnsi="Times New Roman" w:cs="Times New Roman"/>
          <w:b/>
          <w:sz w:val="24"/>
          <w:szCs w:val="24"/>
        </w:rPr>
        <w:t>earthworms</w:t>
      </w:r>
      <w:r w:rsidRPr="006A4BFC">
        <w:rPr>
          <w:rFonts w:ascii="Times New Roman" w:hAnsi="Times New Roman" w:cs="Times New Roman"/>
          <w:b/>
          <w:sz w:val="24"/>
          <w:szCs w:val="24"/>
        </w:rPr>
        <w:t xml:space="preserve"> exposed to 50% dilution contaminated soil samples</w:t>
      </w:r>
    </w:p>
    <w:tbl>
      <w:tblPr>
        <w:tblStyle w:val="LightShading1"/>
        <w:tblW w:w="0" w:type="auto"/>
        <w:tblLook w:val="04A0" w:firstRow="1" w:lastRow="0" w:firstColumn="1" w:lastColumn="0" w:noHBand="0" w:noVBand="1"/>
      </w:tblPr>
      <w:tblGrid>
        <w:gridCol w:w="1312"/>
        <w:gridCol w:w="1416"/>
        <w:gridCol w:w="1307"/>
        <w:gridCol w:w="1301"/>
        <w:gridCol w:w="1416"/>
        <w:gridCol w:w="1307"/>
        <w:gridCol w:w="1301"/>
      </w:tblGrid>
      <w:tr w:rsidR="006A4BFC" w:rsidRPr="006A4BFC" w14:paraId="55291BD0" w14:textId="77777777" w:rsidTr="006A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A4ADC9F" w14:textId="77777777" w:rsidR="006A4BFC" w:rsidRPr="006A4BFC" w:rsidRDefault="006A4BFC" w:rsidP="006A4BFC">
            <w:pPr>
              <w:jc w:val="both"/>
              <w:rPr>
                <w:bCs w:val="0"/>
                <w:sz w:val="24"/>
                <w:szCs w:val="24"/>
              </w:rPr>
            </w:pPr>
            <w:r w:rsidRPr="006A4BFC">
              <w:rPr>
                <w:b w:val="0"/>
                <w:sz w:val="24"/>
                <w:szCs w:val="24"/>
              </w:rPr>
              <w:t>Metals</w:t>
            </w:r>
          </w:p>
        </w:tc>
        <w:tc>
          <w:tcPr>
            <w:tcW w:w="1368" w:type="dxa"/>
          </w:tcPr>
          <w:p w14:paraId="44FE6CA5" w14:textId="77777777" w:rsidR="006A4BFC" w:rsidRPr="006A4BFC" w:rsidRDefault="006A4BFC" w:rsidP="006A4BFC">
            <w:pPr>
              <w:jc w:val="both"/>
              <w:cnfStyle w:val="100000000000" w:firstRow="1" w:lastRow="0" w:firstColumn="0" w:lastColumn="0" w:oddVBand="0" w:evenVBand="0" w:oddHBand="0" w:evenHBand="0" w:firstRowFirstColumn="0" w:firstRowLastColumn="0" w:lastRowFirstColumn="0" w:lastRowLastColumn="0"/>
              <w:rPr>
                <w:bCs w:val="0"/>
                <w:sz w:val="24"/>
                <w:szCs w:val="24"/>
              </w:rPr>
            </w:pPr>
            <w:r w:rsidRPr="006A4BFC">
              <w:rPr>
                <w:b w:val="0"/>
                <w:sz w:val="24"/>
                <w:szCs w:val="24"/>
              </w:rPr>
              <w:t>Condensate dump site soil</w:t>
            </w:r>
          </w:p>
        </w:tc>
        <w:tc>
          <w:tcPr>
            <w:tcW w:w="1368" w:type="dxa"/>
          </w:tcPr>
          <w:p w14:paraId="6F9AC836" w14:textId="77777777" w:rsidR="006A4BFC" w:rsidRPr="006A4BFC" w:rsidRDefault="006A4BFC" w:rsidP="006A4BFC">
            <w:pPr>
              <w:jc w:val="both"/>
              <w:cnfStyle w:val="100000000000" w:firstRow="1" w:lastRow="0" w:firstColumn="0" w:lastColumn="0" w:oddVBand="0" w:evenVBand="0" w:oddHBand="0" w:evenHBand="0" w:firstRowFirstColumn="0" w:firstRowLastColumn="0" w:lastRowFirstColumn="0" w:lastRowLastColumn="0"/>
              <w:rPr>
                <w:bCs w:val="0"/>
                <w:sz w:val="24"/>
                <w:szCs w:val="24"/>
              </w:rPr>
            </w:pPr>
          </w:p>
        </w:tc>
        <w:tc>
          <w:tcPr>
            <w:tcW w:w="1368" w:type="dxa"/>
            <w:tcBorders>
              <w:right w:val="single" w:sz="4" w:space="0" w:color="auto"/>
            </w:tcBorders>
          </w:tcPr>
          <w:p w14:paraId="1FFFAA64" w14:textId="77777777" w:rsidR="006A4BFC" w:rsidRPr="006A4BFC" w:rsidRDefault="006A4BFC" w:rsidP="006A4BFC">
            <w:pPr>
              <w:jc w:val="both"/>
              <w:cnfStyle w:val="100000000000" w:firstRow="1" w:lastRow="0" w:firstColumn="0" w:lastColumn="0" w:oddVBand="0" w:evenVBand="0" w:oddHBand="0" w:evenHBand="0" w:firstRowFirstColumn="0" w:firstRowLastColumn="0" w:lastRowFirstColumn="0" w:lastRowLastColumn="0"/>
              <w:rPr>
                <w:bCs w:val="0"/>
                <w:sz w:val="24"/>
                <w:szCs w:val="24"/>
              </w:rPr>
            </w:pPr>
          </w:p>
        </w:tc>
        <w:tc>
          <w:tcPr>
            <w:tcW w:w="1368" w:type="dxa"/>
            <w:tcBorders>
              <w:left w:val="single" w:sz="4" w:space="0" w:color="auto"/>
            </w:tcBorders>
          </w:tcPr>
          <w:p w14:paraId="2E389206" w14:textId="77777777" w:rsidR="006A4BFC" w:rsidRPr="006A4BFC" w:rsidRDefault="006A4BFC" w:rsidP="006A4BFC">
            <w:pPr>
              <w:jc w:val="both"/>
              <w:cnfStyle w:val="100000000000" w:firstRow="1" w:lastRow="0" w:firstColumn="0" w:lastColumn="0" w:oddVBand="0" w:evenVBand="0" w:oddHBand="0" w:evenHBand="0" w:firstRowFirstColumn="0" w:firstRowLastColumn="0" w:lastRowFirstColumn="0" w:lastRowLastColumn="0"/>
              <w:rPr>
                <w:bCs w:val="0"/>
                <w:sz w:val="24"/>
                <w:szCs w:val="24"/>
              </w:rPr>
            </w:pPr>
            <w:r w:rsidRPr="006A4BFC">
              <w:rPr>
                <w:b w:val="0"/>
                <w:sz w:val="24"/>
                <w:szCs w:val="24"/>
              </w:rPr>
              <w:t>Transformer site soil</w:t>
            </w:r>
          </w:p>
        </w:tc>
        <w:tc>
          <w:tcPr>
            <w:tcW w:w="1368" w:type="dxa"/>
          </w:tcPr>
          <w:p w14:paraId="4B46C5E6" w14:textId="77777777" w:rsidR="006A4BFC" w:rsidRPr="006A4BFC" w:rsidRDefault="006A4BFC" w:rsidP="006A4BFC">
            <w:pPr>
              <w:jc w:val="both"/>
              <w:cnfStyle w:val="100000000000" w:firstRow="1" w:lastRow="0" w:firstColumn="0" w:lastColumn="0" w:oddVBand="0" w:evenVBand="0" w:oddHBand="0" w:evenHBand="0" w:firstRowFirstColumn="0" w:firstRowLastColumn="0" w:lastRowFirstColumn="0" w:lastRowLastColumn="0"/>
              <w:rPr>
                <w:bCs w:val="0"/>
                <w:sz w:val="24"/>
                <w:szCs w:val="24"/>
              </w:rPr>
            </w:pPr>
          </w:p>
        </w:tc>
        <w:tc>
          <w:tcPr>
            <w:tcW w:w="1368" w:type="dxa"/>
          </w:tcPr>
          <w:p w14:paraId="7522DA99" w14:textId="77777777" w:rsidR="006A4BFC" w:rsidRPr="006A4BFC" w:rsidRDefault="006A4BFC" w:rsidP="006A4BFC">
            <w:pPr>
              <w:jc w:val="both"/>
              <w:cnfStyle w:val="100000000000" w:firstRow="1" w:lastRow="0" w:firstColumn="0" w:lastColumn="0" w:oddVBand="0" w:evenVBand="0" w:oddHBand="0" w:evenHBand="0" w:firstRowFirstColumn="0" w:firstRowLastColumn="0" w:lastRowFirstColumn="0" w:lastRowLastColumn="0"/>
              <w:rPr>
                <w:bCs w:val="0"/>
                <w:sz w:val="24"/>
                <w:szCs w:val="24"/>
              </w:rPr>
            </w:pPr>
          </w:p>
        </w:tc>
      </w:tr>
      <w:tr w:rsidR="006A4BFC" w:rsidRPr="006A4BFC" w14:paraId="1E7E2066" w14:textId="77777777" w:rsidTr="006A4BFC">
        <w:tc>
          <w:tcPr>
            <w:cnfStyle w:val="001000000000" w:firstRow="0" w:lastRow="0" w:firstColumn="1" w:lastColumn="0" w:oddVBand="0" w:evenVBand="0" w:oddHBand="0" w:evenHBand="0" w:firstRowFirstColumn="0" w:firstRowLastColumn="0" w:lastRowFirstColumn="0" w:lastRowLastColumn="0"/>
            <w:tcW w:w="1368" w:type="dxa"/>
            <w:tcBorders>
              <w:top w:val="single" w:sz="8" w:space="0" w:color="000000" w:themeColor="text1"/>
              <w:bottom w:val="single" w:sz="4" w:space="0" w:color="auto"/>
            </w:tcBorders>
          </w:tcPr>
          <w:p w14:paraId="251CDAB3" w14:textId="77777777" w:rsidR="006A4BFC" w:rsidRPr="006A4BFC" w:rsidRDefault="006A4BFC" w:rsidP="006A4BFC">
            <w:pPr>
              <w:jc w:val="both"/>
              <w:rPr>
                <w:bCs w:val="0"/>
                <w:sz w:val="24"/>
                <w:szCs w:val="24"/>
              </w:rPr>
            </w:pPr>
          </w:p>
        </w:tc>
        <w:tc>
          <w:tcPr>
            <w:tcW w:w="1368" w:type="dxa"/>
            <w:tcBorders>
              <w:top w:val="single" w:sz="8" w:space="0" w:color="000000" w:themeColor="text1"/>
              <w:bottom w:val="single" w:sz="4" w:space="0" w:color="auto"/>
            </w:tcBorders>
          </w:tcPr>
          <w:p w14:paraId="5EFEBA3A" w14:textId="77777777" w:rsidR="006A4BFC" w:rsidRPr="006A4BFC" w:rsidRDefault="006A4BFC" w:rsidP="006A4BFC">
            <w:pPr>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Conc. in Earthworm</w:t>
            </w:r>
          </w:p>
        </w:tc>
        <w:tc>
          <w:tcPr>
            <w:tcW w:w="1368" w:type="dxa"/>
            <w:tcBorders>
              <w:top w:val="single" w:sz="8" w:space="0" w:color="000000" w:themeColor="text1"/>
              <w:bottom w:val="single" w:sz="4" w:space="0" w:color="auto"/>
            </w:tcBorders>
          </w:tcPr>
          <w:p w14:paraId="6D3B1B8F" w14:textId="51A50B48" w:rsidR="006A4BFC" w:rsidRPr="006A4BFC" w:rsidRDefault="006A4BFC" w:rsidP="006A4BFC">
            <w:pPr>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Conc.</w:t>
            </w:r>
            <w:r>
              <w:rPr>
                <w:b/>
                <w:sz w:val="24"/>
                <w:szCs w:val="24"/>
              </w:rPr>
              <w:t xml:space="preserve"> </w:t>
            </w:r>
            <w:r w:rsidRPr="006A4BFC">
              <w:rPr>
                <w:b/>
                <w:sz w:val="24"/>
                <w:szCs w:val="24"/>
              </w:rPr>
              <w:t>in Soil</w:t>
            </w:r>
          </w:p>
        </w:tc>
        <w:tc>
          <w:tcPr>
            <w:tcW w:w="1368" w:type="dxa"/>
            <w:tcBorders>
              <w:top w:val="single" w:sz="8" w:space="0" w:color="000000" w:themeColor="text1"/>
              <w:bottom w:val="single" w:sz="4" w:space="0" w:color="auto"/>
              <w:right w:val="single" w:sz="4" w:space="0" w:color="auto"/>
            </w:tcBorders>
          </w:tcPr>
          <w:p w14:paraId="0F9D2AA6"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BAF</w:t>
            </w:r>
          </w:p>
        </w:tc>
        <w:tc>
          <w:tcPr>
            <w:tcW w:w="1368" w:type="dxa"/>
            <w:tcBorders>
              <w:top w:val="single" w:sz="8" w:space="0" w:color="000000" w:themeColor="text1"/>
              <w:left w:val="single" w:sz="4" w:space="0" w:color="auto"/>
              <w:bottom w:val="single" w:sz="4" w:space="0" w:color="auto"/>
            </w:tcBorders>
          </w:tcPr>
          <w:p w14:paraId="1B79D2C9" w14:textId="77777777" w:rsidR="006A4BFC" w:rsidRPr="006A4BFC" w:rsidRDefault="006A4BFC" w:rsidP="006A4BFC">
            <w:pPr>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 xml:space="preserve">Conc. in Earthworm </w:t>
            </w:r>
          </w:p>
        </w:tc>
        <w:tc>
          <w:tcPr>
            <w:tcW w:w="1368" w:type="dxa"/>
            <w:tcBorders>
              <w:top w:val="single" w:sz="8" w:space="0" w:color="000000" w:themeColor="text1"/>
              <w:bottom w:val="single" w:sz="4" w:space="0" w:color="auto"/>
            </w:tcBorders>
          </w:tcPr>
          <w:p w14:paraId="2B983081" w14:textId="77777777" w:rsidR="006A4BFC" w:rsidRPr="006A4BFC" w:rsidRDefault="006A4BFC" w:rsidP="006A4BFC">
            <w:pPr>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Conc. in Soil</w:t>
            </w:r>
          </w:p>
        </w:tc>
        <w:tc>
          <w:tcPr>
            <w:tcW w:w="1368" w:type="dxa"/>
            <w:tcBorders>
              <w:top w:val="single" w:sz="8" w:space="0" w:color="000000" w:themeColor="text1"/>
              <w:bottom w:val="single" w:sz="4" w:space="0" w:color="auto"/>
            </w:tcBorders>
          </w:tcPr>
          <w:p w14:paraId="08898348"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BAF</w:t>
            </w:r>
          </w:p>
        </w:tc>
      </w:tr>
      <w:tr w:rsidR="006A4BFC" w:rsidRPr="006A4BFC" w14:paraId="38095C91" w14:textId="77777777" w:rsidTr="006A4BFC">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14:paraId="67ADA838" w14:textId="77777777" w:rsidR="006A4BFC" w:rsidRPr="006A4BFC" w:rsidRDefault="006A4BFC" w:rsidP="006A4BFC">
            <w:pPr>
              <w:jc w:val="both"/>
              <w:rPr>
                <w:bCs w:val="0"/>
                <w:sz w:val="24"/>
                <w:szCs w:val="24"/>
              </w:rPr>
            </w:pPr>
            <w:r w:rsidRPr="006A4BFC">
              <w:rPr>
                <w:b w:val="0"/>
                <w:sz w:val="24"/>
                <w:szCs w:val="24"/>
              </w:rPr>
              <w:t>Zn</w:t>
            </w:r>
          </w:p>
        </w:tc>
        <w:tc>
          <w:tcPr>
            <w:tcW w:w="1368" w:type="dxa"/>
            <w:tcBorders>
              <w:top w:val="single" w:sz="4" w:space="0" w:color="auto"/>
            </w:tcBorders>
          </w:tcPr>
          <w:p w14:paraId="0C1B4AE8"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2.99</w:t>
            </w:r>
          </w:p>
        </w:tc>
        <w:tc>
          <w:tcPr>
            <w:tcW w:w="1368" w:type="dxa"/>
            <w:tcBorders>
              <w:top w:val="single" w:sz="4" w:space="0" w:color="auto"/>
            </w:tcBorders>
          </w:tcPr>
          <w:p w14:paraId="0E15629A"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0.46</w:t>
            </w:r>
          </w:p>
        </w:tc>
        <w:tc>
          <w:tcPr>
            <w:tcW w:w="1368" w:type="dxa"/>
            <w:tcBorders>
              <w:top w:val="single" w:sz="4" w:space="0" w:color="auto"/>
              <w:right w:val="single" w:sz="4" w:space="0" w:color="auto"/>
            </w:tcBorders>
          </w:tcPr>
          <w:p w14:paraId="657469E3"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0.153</w:t>
            </w:r>
          </w:p>
        </w:tc>
        <w:tc>
          <w:tcPr>
            <w:tcW w:w="1368" w:type="dxa"/>
            <w:tcBorders>
              <w:top w:val="single" w:sz="4" w:space="0" w:color="auto"/>
              <w:left w:val="single" w:sz="4" w:space="0" w:color="auto"/>
            </w:tcBorders>
          </w:tcPr>
          <w:p w14:paraId="3E0F0F4B"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2.41</w:t>
            </w:r>
          </w:p>
        </w:tc>
        <w:tc>
          <w:tcPr>
            <w:tcW w:w="1368" w:type="dxa"/>
            <w:tcBorders>
              <w:top w:val="single" w:sz="4" w:space="0" w:color="auto"/>
            </w:tcBorders>
          </w:tcPr>
          <w:p w14:paraId="62CA8450"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0.38</w:t>
            </w:r>
          </w:p>
        </w:tc>
        <w:tc>
          <w:tcPr>
            <w:tcW w:w="1368" w:type="dxa"/>
            <w:tcBorders>
              <w:top w:val="single" w:sz="4" w:space="0" w:color="auto"/>
            </w:tcBorders>
          </w:tcPr>
          <w:p w14:paraId="0E42E9A0"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0.158</w:t>
            </w:r>
          </w:p>
        </w:tc>
      </w:tr>
      <w:tr w:rsidR="006A4BFC" w:rsidRPr="006A4BFC" w14:paraId="0F6CCA22"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5A30FE6A" w14:textId="77777777" w:rsidR="006A4BFC" w:rsidRPr="006A4BFC" w:rsidRDefault="006A4BFC" w:rsidP="006A4BFC">
            <w:pPr>
              <w:jc w:val="both"/>
              <w:rPr>
                <w:bCs w:val="0"/>
                <w:sz w:val="24"/>
                <w:szCs w:val="24"/>
              </w:rPr>
            </w:pPr>
            <w:r w:rsidRPr="006A4BFC">
              <w:rPr>
                <w:b w:val="0"/>
                <w:sz w:val="24"/>
                <w:szCs w:val="24"/>
              </w:rPr>
              <w:t>As</w:t>
            </w:r>
          </w:p>
        </w:tc>
        <w:tc>
          <w:tcPr>
            <w:tcW w:w="1368" w:type="dxa"/>
          </w:tcPr>
          <w:p w14:paraId="249D1D40"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2.44</w:t>
            </w:r>
          </w:p>
        </w:tc>
        <w:tc>
          <w:tcPr>
            <w:tcW w:w="1368" w:type="dxa"/>
          </w:tcPr>
          <w:p w14:paraId="3A77D394"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0.53</w:t>
            </w:r>
          </w:p>
        </w:tc>
        <w:tc>
          <w:tcPr>
            <w:tcW w:w="1368" w:type="dxa"/>
            <w:tcBorders>
              <w:right w:val="single" w:sz="4" w:space="0" w:color="auto"/>
            </w:tcBorders>
          </w:tcPr>
          <w:p w14:paraId="21FC9881"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0.217</w:t>
            </w:r>
          </w:p>
        </w:tc>
        <w:tc>
          <w:tcPr>
            <w:tcW w:w="1368" w:type="dxa"/>
            <w:tcBorders>
              <w:left w:val="single" w:sz="4" w:space="0" w:color="auto"/>
            </w:tcBorders>
          </w:tcPr>
          <w:p w14:paraId="72734821"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1.68</w:t>
            </w:r>
          </w:p>
        </w:tc>
        <w:tc>
          <w:tcPr>
            <w:tcW w:w="1368" w:type="dxa"/>
          </w:tcPr>
          <w:p w14:paraId="4BA30DD4"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0.88</w:t>
            </w:r>
          </w:p>
        </w:tc>
        <w:tc>
          <w:tcPr>
            <w:tcW w:w="1368" w:type="dxa"/>
          </w:tcPr>
          <w:p w14:paraId="495650F6"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0.523</w:t>
            </w:r>
          </w:p>
        </w:tc>
      </w:tr>
      <w:tr w:rsidR="006A4BFC" w:rsidRPr="006A4BFC" w14:paraId="3A6330C3"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5B9328E1" w14:textId="77777777" w:rsidR="006A4BFC" w:rsidRPr="006A4BFC" w:rsidRDefault="006A4BFC" w:rsidP="006A4BFC">
            <w:pPr>
              <w:jc w:val="both"/>
              <w:rPr>
                <w:bCs w:val="0"/>
                <w:sz w:val="24"/>
                <w:szCs w:val="24"/>
              </w:rPr>
            </w:pPr>
            <w:r w:rsidRPr="006A4BFC">
              <w:rPr>
                <w:b w:val="0"/>
                <w:sz w:val="24"/>
                <w:szCs w:val="24"/>
              </w:rPr>
              <w:t>Cd</w:t>
            </w:r>
          </w:p>
        </w:tc>
        <w:tc>
          <w:tcPr>
            <w:tcW w:w="1368" w:type="dxa"/>
          </w:tcPr>
          <w:p w14:paraId="37943839"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0.73</w:t>
            </w:r>
          </w:p>
        </w:tc>
        <w:tc>
          <w:tcPr>
            <w:tcW w:w="1368" w:type="dxa"/>
          </w:tcPr>
          <w:p w14:paraId="4C3DBF8B"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0.44</w:t>
            </w:r>
          </w:p>
        </w:tc>
        <w:tc>
          <w:tcPr>
            <w:tcW w:w="1368" w:type="dxa"/>
            <w:tcBorders>
              <w:right w:val="single" w:sz="4" w:space="0" w:color="auto"/>
            </w:tcBorders>
          </w:tcPr>
          <w:p w14:paraId="77EA135B"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0.57</w:t>
            </w:r>
          </w:p>
        </w:tc>
        <w:tc>
          <w:tcPr>
            <w:tcW w:w="1368" w:type="dxa"/>
            <w:tcBorders>
              <w:left w:val="single" w:sz="4" w:space="0" w:color="auto"/>
            </w:tcBorders>
          </w:tcPr>
          <w:p w14:paraId="69F57E6C"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0.35</w:t>
            </w:r>
          </w:p>
        </w:tc>
        <w:tc>
          <w:tcPr>
            <w:tcW w:w="1368" w:type="dxa"/>
          </w:tcPr>
          <w:p w14:paraId="09FFD286"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0.19</w:t>
            </w:r>
          </w:p>
        </w:tc>
        <w:tc>
          <w:tcPr>
            <w:tcW w:w="1368" w:type="dxa"/>
          </w:tcPr>
          <w:p w14:paraId="363C17A0"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0.54</w:t>
            </w:r>
          </w:p>
        </w:tc>
      </w:tr>
      <w:tr w:rsidR="006A4BFC" w:rsidRPr="006A4BFC" w14:paraId="5BA040E9"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0A52884D" w14:textId="77777777" w:rsidR="006A4BFC" w:rsidRPr="006A4BFC" w:rsidRDefault="006A4BFC" w:rsidP="006A4BFC">
            <w:pPr>
              <w:jc w:val="both"/>
              <w:rPr>
                <w:bCs w:val="0"/>
                <w:sz w:val="24"/>
                <w:szCs w:val="24"/>
              </w:rPr>
            </w:pPr>
            <w:r w:rsidRPr="006A4BFC">
              <w:rPr>
                <w:b w:val="0"/>
                <w:sz w:val="24"/>
                <w:szCs w:val="24"/>
              </w:rPr>
              <w:t>Pb</w:t>
            </w:r>
          </w:p>
        </w:tc>
        <w:tc>
          <w:tcPr>
            <w:tcW w:w="1368" w:type="dxa"/>
          </w:tcPr>
          <w:p w14:paraId="1B43B530"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2.11</w:t>
            </w:r>
          </w:p>
        </w:tc>
        <w:tc>
          <w:tcPr>
            <w:tcW w:w="1368" w:type="dxa"/>
          </w:tcPr>
          <w:p w14:paraId="0F8AA34B"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0.74</w:t>
            </w:r>
          </w:p>
        </w:tc>
        <w:tc>
          <w:tcPr>
            <w:tcW w:w="1368" w:type="dxa"/>
            <w:tcBorders>
              <w:right w:val="single" w:sz="4" w:space="0" w:color="auto"/>
            </w:tcBorders>
          </w:tcPr>
          <w:p w14:paraId="54A73835"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0.35</w:t>
            </w:r>
          </w:p>
        </w:tc>
        <w:tc>
          <w:tcPr>
            <w:tcW w:w="1368" w:type="dxa"/>
            <w:tcBorders>
              <w:left w:val="single" w:sz="4" w:space="0" w:color="auto"/>
            </w:tcBorders>
          </w:tcPr>
          <w:p w14:paraId="2E24196E"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1.05</w:t>
            </w:r>
          </w:p>
        </w:tc>
        <w:tc>
          <w:tcPr>
            <w:tcW w:w="1368" w:type="dxa"/>
          </w:tcPr>
          <w:p w14:paraId="39F05213"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0.51</w:t>
            </w:r>
          </w:p>
        </w:tc>
        <w:tc>
          <w:tcPr>
            <w:tcW w:w="1368" w:type="dxa"/>
          </w:tcPr>
          <w:p w14:paraId="538976D2"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0.48</w:t>
            </w:r>
          </w:p>
        </w:tc>
      </w:tr>
      <w:tr w:rsidR="006A4BFC" w:rsidRPr="006A4BFC" w14:paraId="4226F3E4"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2DE716B1" w14:textId="77777777" w:rsidR="006A4BFC" w:rsidRPr="006A4BFC" w:rsidRDefault="006A4BFC" w:rsidP="006A4BFC">
            <w:pPr>
              <w:jc w:val="both"/>
              <w:rPr>
                <w:bCs w:val="0"/>
                <w:sz w:val="24"/>
                <w:szCs w:val="24"/>
              </w:rPr>
            </w:pPr>
            <w:r w:rsidRPr="006A4BFC">
              <w:rPr>
                <w:b w:val="0"/>
                <w:sz w:val="24"/>
                <w:szCs w:val="24"/>
              </w:rPr>
              <w:t>Hg</w:t>
            </w:r>
          </w:p>
        </w:tc>
        <w:tc>
          <w:tcPr>
            <w:tcW w:w="1368" w:type="dxa"/>
          </w:tcPr>
          <w:p w14:paraId="155E5B4C"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0.81</w:t>
            </w:r>
          </w:p>
        </w:tc>
        <w:tc>
          <w:tcPr>
            <w:tcW w:w="1368" w:type="dxa"/>
          </w:tcPr>
          <w:p w14:paraId="5FE121AA"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0.120</w:t>
            </w:r>
          </w:p>
        </w:tc>
        <w:tc>
          <w:tcPr>
            <w:tcW w:w="1368" w:type="dxa"/>
            <w:tcBorders>
              <w:right w:val="single" w:sz="4" w:space="0" w:color="auto"/>
            </w:tcBorders>
          </w:tcPr>
          <w:p w14:paraId="5AD5534B"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0.012</w:t>
            </w:r>
          </w:p>
        </w:tc>
        <w:tc>
          <w:tcPr>
            <w:tcW w:w="1368" w:type="dxa"/>
            <w:tcBorders>
              <w:left w:val="single" w:sz="4" w:space="0" w:color="auto"/>
            </w:tcBorders>
          </w:tcPr>
          <w:p w14:paraId="44E94A99"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0.62</w:t>
            </w:r>
          </w:p>
        </w:tc>
        <w:tc>
          <w:tcPr>
            <w:tcW w:w="1368" w:type="dxa"/>
          </w:tcPr>
          <w:p w14:paraId="44DFAE11"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BDL</w:t>
            </w:r>
          </w:p>
        </w:tc>
        <w:tc>
          <w:tcPr>
            <w:tcW w:w="1368" w:type="dxa"/>
          </w:tcPr>
          <w:p w14:paraId="54259DE3"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w:t>
            </w:r>
          </w:p>
        </w:tc>
      </w:tr>
      <w:tr w:rsidR="006A4BFC" w:rsidRPr="006A4BFC" w14:paraId="071444FF"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6B675747" w14:textId="77777777" w:rsidR="006A4BFC" w:rsidRPr="006A4BFC" w:rsidRDefault="006A4BFC" w:rsidP="006A4BFC">
            <w:pPr>
              <w:jc w:val="both"/>
              <w:rPr>
                <w:bCs w:val="0"/>
                <w:sz w:val="24"/>
                <w:szCs w:val="24"/>
              </w:rPr>
            </w:pPr>
            <w:r w:rsidRPr="006A4BFC">
              <w:rPr>
                <w:b w:val="0"/>
                <w:sz w:val="24"/>
                <w:szCs w:val="24"/>
              </w:rPr>
              <w:t>Fe</w:t>
            </w:r>
          </w:p>
        </w:tc>
        <w:tc>
          <w:tcPr>
            <w:tcW w:w="1368" w:type="dxa"/>
          </w:tcPr>
          <w:p w14:paraId="768C3CBF"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1.17</w:t>
            </w:r>
          </w:p>
        </w:tc>
        <w:tc>
          <w:tcPr>
            <w:tcW w:w="1368" w:type="dxa"/>
          </w:tcPr>
          <w:p w14:paraId="7D035243"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0.52</w:t>
            </w:r>
          </w:p>
        </w:tc>
        <w:tc>
          <w:tcPr>
            <w:tcW w:w="1368" w:type="dxa"/>
            <w:tcBorders>
              <w:right w:val="single" w:sz="4" w:space="0" w:color="auto"/>
            </w:tcBorders>
          </w:tcPr>
          <w:p w14:paraId="0377BD52"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0.44</w:t>
            </w:r>
          </w:p>
        </w:tc>
        <w:tc>
          <w:tcPr>
            <w:tcW w:w="1368" w:type="dxa"/>
            <w:tcBorders>
              <w:left w:val="single" w:sz="4" w:space="0" w:color="auto"/>
            </w:tcBorders>
          </w:tcPr>
          <w:p w14:paraId="23A69256"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1.06</w:t>
            </w:r>
          </w:p>
        </w:tc>
        <w:tc>
          <w:tcPr>
            <w:tcW w:w="1368" w:type="dxa"/>
          </w:tcPr>
          <w:p w14:paraId="4848B2C7"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0.83</w:t>
            </w:r>
          </w:p>
        </w:tc>
        <w:tc>
          <w:tcPr>
            <w:tcW w:w="1368" w:type="dxa"/>
          </w:tcPr>
          <w:p w14:paraId="27FF455A"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0.78</w:t>
            </w:r>
          </w:p>
        </w:tc>
      </w:tr>
      <w:tr w:rsidR="006A4BFC" w:rsidRPr="006A4BFC" w14:paraId="4F92A8C9"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2FA7A010" w14:textId="77777777" w:rsidR="006A4BFC" w:rsidRPr="006A4BFC" w:rsidRDefault="006A4BFC" w:rsidP="006A4BFC">
            <w:pPr>
              <w:jc w:val="both"/>
              <w:rPr>
                <w:bCs w:val="0"/>
                <w:sz w:val="24"/>
                <w:szCs w:val="24"/>
              </w:rPr>
            </w:pPr>
            <w:r w:rsidRPr="006A4BFC">
              <w:rPr>
                <w:b w:val="0"/>
                <w:sz w:val="24"/>
                <w:szCs w:val="24"/>
              </w:rPr>
              <w:t>Cr</w:t>
            </w:r>
          </w:p>
        </w:tc>
        <w:tc>
          <w:tcPr>
            <w:tcW w:w="1368" w:type="dxa"/>
          </w:tcPr>
          <w:p w14:paraId="4CB44CD8"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0.91</w:t>
            </w:r>
          </w:p>
        </w:tc>
        <w:tc>
          <w:tcPr>
            <w:tcW w:w="1368" w:type="dxa"/>
          </w:tcPr>
          <w:p w14:paraId="3BF4DBCD"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0.40</w:t>
            </w:r>
          </w:p>
        </w:tc>
        <w:tc>
          <w:tcPr>
            <w:tcW w:w="1368" w:type="dxa"/>
            <w:tcBorders>
              <w:bottom w:val="nil"/>
              <w:right w:val="single" w:sz="4" w:space="0" w:color="auto"/>
            </w:tcBorders>
          </w:tcPr>
          <w:p w14:paraId="3BA11F70"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0.439</w:t>
            </w:r>
          </w:p>
        </w:tc>
        <w:tc>
          <w:tcPr>
            <w:tcW w:w="1368" w:type="dxa"/>
            <w:tcBorders>
              <w:left w:val="single" w:sz="4" w:space="0" w:color="auto"/>
            </w:tcBorders>
          </w:tcPr>
          <w:p w14:paraId="2F3FEEF8"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0.72</w:t>
            </w:r>
          </w:p>
        </w:tc>
        <w:tc>
          <w:tcPr>
            <w:tcW w:w="1368" w:type="dxa"/>
          </w:tcPr>
          <w:p w14:paraId="42BF6D6B"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sz w:val="24"/>
                <w:szCs w:val="24"/>
              </w:rPr>
            </w:pPr>
            <w:r w:rsidRPr="006A4BFC">
              <w:rPr>
                <w:sz w:val="24"/>
                <w:szCs w:val="24"/>
              </w:rPr>
              <w:t>0.24</w:t>
            </w:r>
          </w:p>
        </w:tc>
        <w:tc>
          <w:tcPr>
            <w:tcW w:w="1368" w:type="dxa"/>
          </w:tcPr>
          <w:p w14:paraId="44D58D18"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r w:rsidRPr="006A4BFC">
              <w:rPr>
                <w:b/>
                <w:sz w:val="24"/>
                <w:szCs w:val="24"/>
              </w:rPr>
              <w:t>0.33</w:t>
            </w:r>
          </w:p>
        </w:tc>
      </w:tr>
      <w:tr w:rsidR="006A4BFC" w:rsidRPr="006A4BFC" w14:paraId="30F3F235" w14:textId="77777777" w:rsidTr="006A4BFC">
        <w:tc>
          <w:tcPr>
            <w:cnfStyle w:val="001000000000" w:firstRow="0" w:lastRow="0" w:firstColumn="1" w:lastColumn="0" w:oddVBand="0" w:evenVBand="0" w:oddHBand="0" w:evenHBand="0" w:firstRowFirstColumn="0" w:firstRowLastColumn="0" w:lastRowFirstColumn="0" w:lastRowLastColumn="0"/>
            <w:tcW w:w="1368" w:type="dxa"/>
          </w:tcPr>
          <w:p w14:paraId="48620368" w14:textId="77777777" w:rsidR="006A4BFC" w:rsidRPr="006A4BFC" w:rsidRDefault="006A4BFC" w:rsidP="006A4BFC">
            <w:pPr>
              <w:jc w:val="both"/>
              <w:rPr>
                <w:bCs w:val="0"/>
                <w:sz w:val="24"/>
                <w:szCs w:val="24"/>
              </w:rPr>
            </w:pPr>
          </w:p>
        </w:tc>
        <w:tc>
          <w:tcPr>
            <w:tcW w:w="1368" w:type="dxa"/>
          </w:tcPr>
          <w:p w14:paraId="73298532"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p>
        </w:tc>
        <w:tc>
          <w:tcPr>
            <w:tcW w:w="1368" w:type="dxa"/>
          </w:tcPr>
          <w:p w14:paraId="1AE7B5E5"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p>
        </w:tc>
        <w:tc>
          <w:tcPr>
            <w:tcW w:w="1368" w:type="dxa"/>
            <w:tcBorders>
              <w:top w:val="nil"/>
            </w:tcBorders>
          </w:tcPr>
          <w:p w14:paraId="4639C6DE"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p>
        </w:tc>
        <w:tc>
          <w:tcPr>
            <w:tcW w:w="1368" w:type="dxa"/>
          </w:tcPr>
          <w:p w14:paraId="318F00BA"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p>
        </w:tc>
        <w:tc>
          <w:tcPr>
            <w:tcW w:w="1368" w:type="dxa"/>
          </w:tcPr>
          <w:p w14:paraId="561B9D63"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p>
        </w:tc>
        <w:tc>
          <w:tcPr>
            <w:tcW w:w="1368" w:type="dxa"/>
          </w:tcPr>
          <w:p w14:paraId="7C71B32E" w14:textId="77777777" w:rsidR="006A4BFC" w:rsidRPr="006A4BFC" w:rsidRDefault="006A4BFC" w:rsidP="006A4BFC">
            <w:pPr>
              <w:jc w:val="both"/>
              <w:cnfStyle w:val="000000000000" w:firstRow="0" w:lastRow="0" w:firstColumn="0" w:lastColumn="0" w:oddVBand="0" w:evenVBand="0" w:oddHBand="0" w:evenHBand="0" w:firstRowFirstColumn="0" w:firstRowLastColumn="0" w:lastRowFirstColumn="0" w:lastRowLastColumn="0"/>
              <w:rPr>
                <w:b/>
                <w:sz w:val="24"/>
                <w:szCs w:val="24"/>
              </w:rPr>
            </w:pPr>
          </w:p>
        </w:tc>
      </w:tr>
    </w:tbl>
    <w:p w14:paraId="199FB6E5" w14:textId="77777777" w:rsidR="006A4BFC" w:rsidRPr="006A4BFC" w:rsidRDefault="006A4BFC" w:rsidP="006A4BFC">
      <w:pPr>
        <w:jc w:val="both"/>
        <w:rPr>
          <w:rFonts w:ascii="Times New Roman" w:hAnsi="Times New Roman" w:cs="Times New Roman"/>
          <w:b/>
          <w:sz w:val="24"/>
          <w:szCs w:val="24"/>
        </w:rPr>
      </w:pPr>
    </w:p>
    <w:p w14:paraId="1F38284A" w14:textId="77777777" w:rsidR="006A4BFC" w:rsidRPr="006A4BFC" w:rsidRDefault="006A4BFC" w:rsidP="006A4BFC">
      <w:pPr>
        <w:jc w:val="both"/>
        <w:rPr>
          <w:rFonts w:ascii="Times New Roman" w:hAnsi="Times New Roman" w:cs="Times New Roman"/>
          <w:b/>
          <w:sz w:val="24"/>
          <w:szCs w:val="24"/>
        </w:rPr>
      </w:pPr>
      <w:r w:rsidRPr="006A4BFC">
        <w:rPr>
          <w:rFonts w:ascii="Times New Roman" w:hAnsi="Times New Roman" w:cs="Times New Roman"/>
          <w:b/>
          <w:sz w:val="24"/>
          <w:szCs w:val="24"/>
        </w:rPr>
        <w:t xml:space="preserve">Where 50% concentration in the soil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Total concentration in soil</m:t>
            </m:r>
          </m:num>
          <m:den>
            <m:r>
              <m:rPr>
                <m:sty m:val="bi"/>
              </m:rPr>
              <w:rPr>
                <w:rFonts w:ascii="Cambria Math" w:hAnsi="Cambria Math" w:cs="Times New Roman"/>
                <w:sz w:val="24"/>
                <w:szCs w:val="24"/>
              </w:rPr>
              <m:t>2</m:t>
            </m:r>
          </m:den>
        </m:f>
      </m:oMath>
    </w:p>
    <w:p w14:paraId="486E6218" w14:textId="4AED128F" w:rsidR="006A4BFC" w:rsidRPr="006A4BFC" w:rsidRDefault="006A4BFC" w:rsidP="006A4BFC">
      <w:pPr>
        <w:jc w:val="both"/>
        <w:rPr>
          <w:rFonts w:ascii="Times New Roman" w:hAnsi="Times New Roman" w:cs="Times New Roman"/>
          <w:b/>
          <w:sz w:val="24"/>
          <w:szCs w:val="24"/>
        </w:rPr>
      </w:pPr>
      <w:r w:rsidRPr="006A4BFC">
        <w:rPr>
          <w:rFonts w:ascii="Times New Roman" w:hAnsi="Times New Roman" w:cs="Times New Roman"/>
          <w:b/>
          <w:sz w:val="24"/>
          <w:szCs w:val="24"/>
        </w:rPr>
        <w:t xml:space="preserve"> Bioaccumulation factor for some heavy metals in </w:t>
      </w:r>
      <w:r w:rsidR="000C5120">
        <w:rPr>
          <w:rFonts w:ascii="Times New Roman" w:hAnsi="Times New Roman" w:cs="Times New Roman"/>
          <w:b/>
          <w:sz w:val="24"/>
          <w:szCs w:val="24"/>
        </w:rPr>
        <w:t>earthworms</w:t>
      </w:r>
      <w:r w:rsidRPr="006A4BFC">
        <w:rPr>
          <w:rFonts w:ascii="Times New Roman" w:hAnsi="Times New Roman" w:cs="Times New Roman"/>
          <w:b/>
          <w:sz w:val="24"/>
          <w:szCs w:val="24"/>
        </w:rPr>
        <w:t xml:space="preserve"> exposed to 50% dilution </w:t>
      </w:r>
      <w:r w:rsidR="000C5120">
        <w:rPr>
          <w:rFonts w:ascii="Times New Roman" w:hAnsi="Times New Roman" w:cs="Times New Roman"/>
          <w:b/>
          <w:sz w:val="24"/>
          <w:szCs w:val="24"/>
        </w:rPr>
        <w:t xml:space="preserve">of </w:t>
      </w:r>
      <w:r w:rsidRPr="006A4BFC">
        <w:rPr>
          <w:rFonts w:ascii="Times New Roman" w:hAnsi="Times New Roman" w:cs="Times New Roman"/>
          <w:b/>
          <w:sz w:val="24"/>
          <w:szCs w:val="24"/>
        </w:rPr>
        <w:t>contaminated soil samples.</w:t>
      </w:r>
    </w:p>
    <w:p w14:paraId="4DB609EF" w14:textId="740B125A" w:rsidR="006A4BFC" w:rsidRPr="006A4BFC" w:rsidRDefault="006A4BFC" w:rsidP="006A4BFC">
      <w:pPr>
        <w:jc w:val="both"/>
        <w:rPr>
          <w:rFonts w:ascii="Times New Roman" w:hAnsi="Times New Roman" w:cs="Times New Roman"/>
          <w:sz w:val="24"/>
          <w:szCs w:val="24"/>
        </w:rPr>
      </w:pPr>
      <w:r w:rsidRPr="006A4BFC">
        <w:rPr>
          <w:rFonts w:ascii="Times New Roman" w:hAnsi="Times New Roman" w:cs="Times New Roman"/>
          <w:sz w:val="24"/>
          <w:szCs w:val="24"/>
        </w:rPr>
        <w:t xml:space="preserve">The bioaccumulation factor of heavy metals in </w:t>
      </w:r>
      <w:r w:rsidR="000C5120">
        <w:rPr>
          <w:rFonts w:ascii="Times New Roman" w:hAnsi="Times New Roman" w:cs="Times New Roman"/>
          <w:sz w:val="24"/>
          <w:szCs w:val="24"/>
        </w:rPr>
        <w:t>earthworms</w:t>
      </w:r>
      <w:r w:rsidRPr="006A4BFC">
        <w:rPr>
          <w:rFonts w:ascii="Times New Roman" w:hAnsi="Times New Roman" w:cs="Times New Roman"/>
          <w:sz w:val="24"/>
          <w:szCs w:val="24"/>
        </w:rPr>
        <w:t xml:space="preserve"> exposed to 50% dilution of contaminated soils presented in </w:t>
      </w:r>
      <w:r w:rsidR="000C5120">
        <w:rPr>
          <w:rFonts w:ascii="Times New Roman" w:hAnsi="Times New Roman" w:cs="Times New Roman"/>
          <w:sz w:val="24"/>
          <w:szCs w:val="24"/>
        </w:rPr>
        <w:t>Table 4</w:t>
      </w:r>
      <w:r w:rsidRPr="006A4BFC">
        <w:rPr>
          <w:rFonts w:ascii="Times New Roman" w:hAnsi="Times New Roman" w:cs="Times New Roman"/>
          <w:sz w:val="24"/>
          <w:szCs w:val="24"/>
        </w:rPr>
        <w:t xml:space="preserve">, revealed that BAF for Zn, As, Cd, </w:t>
      </w:r>
      <w:r w:rsidR="000C5120">
        <w:rPr>
          <w:rFonts w:ascii="Times New Roman" w:hAnsi="Times New Roman" w:cs="Times New Roman"/>
          <w:sz w:val="24"/>
          <w:szCs w:val="24"/>
        </w:rPr>
        <w:t xml:space="preserve">and </w:t>
      </w:r>
      <w:r w:rsidRPr="006A4BFC">
        <w:rPr>
          <w:rFonts w:ascii="Times New Roman" w:hAnsi="Times New Roman" w:cs="Times New Roman"/>
          <w:sz w:val="24"/>
          <w:szCs w:val="24"/>
        </w:rPr>
        <w:t xml:space="preserve">Pb were all less than 1, for </w:t>
      </w:r>
      <w:r w:rsidR="000C5120">
        <w:rPr>
          <w:rFonts w:ascii="Times New Roman" w:hAnsi="Times New Roman" w:cs="Times New Roman"/>
          <w:sz w:val="24"/>
          <w:szCs w:val="24"/>
        </w:rPr>
        <w:t xml:space="preserve">the </w:t>
      </w:r>
      <w:r w:rsidRPr="006A4BFC">
        <w:rPr>
          <w:rFonts w:ascii="Times New Roman" w:hAnsi="Times New Roman" w:cs="Times New Roman"/>
          <w:sz w:val="24"/>
          <w:szCs w:val="24"/>
        </w:rPr>
        <w:t>condensate dump site soil</w:t>
      </w:r>
      <w:r w:rsidR="000C5120">
        <w:rPr>
          <w:rFonts w:ascii="Times New Roman" w:hAnsi="Times New Roman" w:cs="Times New Roman"/>
          <w:sz w:val="24"/>
          <w:szCs w:val="24"/>
        </w:rPr>
        <w:t>,</w:t>
      </w:r>
      <w:r w:rsidRPr="006A4BFC">
        <w:rPr>
          <w:rFonts w:ascii="Times New Roman" w:hAnsi="Times New Roman" w:cs="Times New Roman"/>
          <w:sz w:val="24"/>
          <w:szCs w:val="24"/>
        </w:rPr>
        <w:t xml:space="preserve"> earthworm</w:t>
      </w:r>
      <w:r w:rsidR="000C5120">
        <w:rPr>
          <w:rFonts w:ascii="Times New Roman" w:hAnsi="Times New Roman" w:cs="Times New Roman"/>
          <w:sz w:val="24"/>
          <w:szCs w:val="24"/>
        </w:rPr>
        <w:t>,</w:t>
      </w:r>
      <w:r w:rsidRPr="006A4BFC">
        <w:rPr>
          <w:rFonts w:ascii="Times New Roman" w:hAnsi="Times New Roman" w:cs="Times New Roman"/>
          <w:sz w:val="24"/>
          <w:szCs w:val="24"/>
        </w:rPr>
        <w:t xml:space="preserve"> and transformer instillation site.</w:t>
      </w:r>
    </w:p>
    <w:p w14:paraId="422AA72D" w14:textId="7F1DA3B3" w:rsidR="006A4BFC" w:rsidRPr="006A4BFC" w:rsidRDefault="006A4BFC" w:rsidP="006A4BFC">
      <w:pPr>
        <w:autoSpaceDE w:val="0"/>
        <w:autoSpaceDN w:val="0"/>
        <w:adjustRightInd w:val="0"/>
        <w:spacing w:after="0" w:line="240" w:lineRule="auto"/>
        <w:jc w:val="both"/>
        <w:rPr>
          <w:rFonts w:ascii="Times New Roman" w:hAnsi="Times New Roman" w:cs="Times New Roman"/>
          <w:b/>
          <w:bCs/>
          <w:sz w:val="24"/>
          <w:szCs w:val="24"/>
        </w:rPr>
      </w:pPr>
      <w:r w:rsidRPr="006A4BFC">
        <w:rPr>
          <w:rFonts w:ascii="Times New Roman" w:hAnsi="Times New Roman" w:cs="Times New Roman"/>
          <w:b/>
          <w:bCs/>
          <w:sz w:val="24"/>
          <w:szCs w:val="24"/>
        </w:rPr>
        <w:t>Discussion</w:t>
      </w:r>
    </w:p>
    <w:p w14:paraId="1D8E107D" w14:textId="0890CF22"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lastRenderedPageBreak/>
        <w:t xml:space="preserve">Soil chemistry, organic matter content, redox conditions, clay content, cation exchange capacity, heavy metal characteristics, pH, and other soil variables all affect the amount of heavy metals that are released into the soil environment (Sauve </w:t>
      </w:r>
      <w:r w:rsidRPr="006A4BFC">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2000). According to </w:t>
      </w:r>
      <w:proofErr w:type="spellStart"/>
      <w:r w:rsidRPr="006A4BFC">
        <w:rPr>
          <w:rFonts w:ascii="Times New Roman" w:eastAsia="SimSun" w:hAnsi="Times New Roman" w:cs="Times New Roman"/>
          <w:sz w:val="24"/>
          <w:szCs w:val="24"/>
          <w:shd w:val="clear" w:color="auto" w:fill="FFFFFF"/>
        </w:rPr>
        <w:t>Tukura</w:t>
      </w:r>
      <w:proofErr w:type="spellEnd"/>
      <w:r w:rsidRPr="006A4BFC">
        <w:rPr>
          <w:rFonts w:ascii="Times New Roman" w:eastAsia="SimSun" w:hAnsi="Times New Roman" w:cs="Times New Roman"/>
          <w:sz w:val="24"/>
          <w:szCs w:val="24"/>
          <w:shd w:val="clear" w:color="auto" w:fill="FFFFFF"/>
        </w:rPr>
        <w:t xml:space="preserve"> </w:t>
      </w:r>
      <w:r w:rsidRPr="006A4BFC">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(2007), the physicochemical characteristics of soil have a significant impact on the bioavailability and movement of pollutants in the soil.</w:t>
      </w:r>
    </w:p>
    <w:p w14:paraId="2AE8A6DB" w14:textId="358CC118"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From our present study the significant difference in most of the soil physicochemical properties  in the condensate dump site soil and electrical transformer site soil when compared to non-contaminated soil sample as shown in Table 1 could be as a result of the contamination of the soil samples with condensate and transformer oil that loaded the soil with hydrocarbons and inorganic contaminants, which in turn lead to significant increase in organic carbon, moisture content and soil </w:t>
      </w:r>
      <w:r w:rsidR="00236828" w:rsidRPr="006A4BFC">
        <w:rPr>
          <w:rFonts w:ascii="Times New Roman" w:eastAsia="SimSun" w:hAnsi="Times New Roman" w:cs="Times New Roman"/>
          <w:sz w:val="24"/>
          <w:szCs w:val="24"/>
          <w:shd w:val="clear" w:color="auto" w:fill="FFFFFF"/>
        </w:rPr>
        <w:t>temperature</w:t>
      </w:r>
      <w:r w:rsidRPr="006A4BFC">
        <w:rPr>
          <w:rFonts w:ascii="Times New Roman" w:eastAsia="SimSun" w:hAnsi="Times New Roman" w:cs="Times New Roman"/>
          <w:sz w:val="24"/>
          <w:szCs w:val="24"/>
          <w:shd w:val="clear" w:color="auto" w:fill="FFFFFF"/>
        </w:rPr>
        <w:t xml:space="preserve">. </w:t>
      </w:r>
    </w:p>
    <w:p w14:paraId="3A55EF35" w14:textId="53593187"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Additionally, table 1's findings indicated that the soil was low in pH and had a sandy texture in comparison to the control. This indicates that the soil at the electric transformer location and the </w:t>
      </w:r>
      <w:r w:rsidR="00236828" w:rsidRPr="006A4BFC">
        <w:rPr>
          <w:rFonts w:ascii="Times New Roman" w:eastAsia="SimSun" w:hAnsi="Times New Roman" w:cs="Times New Roman"/>
          <w:sz w:val="24"/>
          <w:szCs w:val="24"/>
          <w:shd w:val="clear" w:color="auto" w:fill="FFFFFF"/>
        </w:rPr>
        <w:t>condensate</w:t>
      </w:r>
      <w:r w:rsidRPr="006A4BFC">
        <w:rPr>
          <w:rFonts w:ascii="Times New Roman" w:eastAsia="SimSun" w:hAnsi="Times New Roman" w:cs="Times New Roman"/>
          <w:sz w:val="24"/>
          <w:szCs w:val="24"/>
          <w:shd w:val="clear" w:color="auto" w:fill="FFFFFF"/>
        </w:rPr>
        <w:t xml:space="preserve"> disposal site are somewhat acidic. The pH of the soil significantly impacts the availability of elements in the soil for absorption by plants (Marschner, 1995). It was once believed that low pH had an impact on the rate at which bacteria degraded oil in oil-contaminated soil (Okoh, 2006). Because there are more metal cations present in the soil at extremely low pH, such as Cd, Cu, Hg, Ni, Pb, and Zn (Bada et al., 2014), acidic soil is a challenge for agricultural soil. But, microbial breakdown is not favored by this kind of acidic soil.</w:t>
      </w:r>
    </w:p>
    <w:p w14:paraId="0DC6A151" w14:textId="3C30C0CE"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Most of the physical and chemical fertility of a soil is </w:t>
      </w:r>
      <w:proofErr w:type="spellStart"/>
      <w:r w:rsidRPr="006A4BFC">
        <w:rPr>
          <w:rFonts w:ascii="Times New Roman" w:eastAsia="SimSun" w:hAnsi="Times New Roman" w:cs="Times New Roman"/>
          <w:sz w:val="24"/>
          <w:szCs w:val="24"/>
          <w:shd w:val="clear" w:color="auto" w:fill="FFFFFF"/>
        </w:rPr>
        <w:t>dueto</w:t>
      </w:r>
      <w:proofErr w:type="spellEnd"/>
      <w:r w:rsidRPr="006A4BFC">
        <w:rPr>
          <w:rFonts w:ascii="Times New Roman" w:eastAsia="SimSun" w:hAnsi="Times New Roman" w:cs="Times New Roman"/>
          <w:sz w:val="24"/>
          <w:szCs w:val="24"/>
          <w:shd w:val="clear" w:color="auto" w:fill="FFFFFF"/>
        </w:rPr>
        <w:t xml:space="preserve"> organic matter. The low level of organic matter indicates that the contaminated soil has a very poor structural condition and very low structural stability (</w:t>
      </w:r>
      <w:proofErr w:type="spellStart"/>
      <w:r w:rsidRPr="006A4BFC">
        <w:rPr>
          <w:rFonts w:ascii="Times New Roman" w:eastAsia="SimSun" w:hAnsi="Times New Roman" w:cs="Times New Roman"/>
          <w:sz w:val="24"/>
          <w:szCs w:val="24"/>
          <w:shd w:val="clear" w:color="auto" w:fill="FFFFFF"/>
        </w:rPr>
        <w:t>Atafar</w:t>
      </w:r>
      <w:proofErr w:type="spellEnd"/>
      <w:r w:rsidRPr="006A4BFC">
        <w:rPr>
          <w:rFonts w:ascii="Times New Roman" w:eastAsia="SimSun" w:hAnsi="Times New Roman" w:cs="Times New Roman"/>
          <w:sz w:val="24"/>
          <w:szCs w:val="24"/>
          <w:shd w:val="clear" w:color="auto" w:fill="FFFFFF"/>
        </w:rPr>
        <w:t xml:space="preserve"> </w:t>
      </w:r>
      <w:r w:rsidRPr="00236828">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2010). When compared to the control soil sample, the amount of organic matter in the condensate and transformer oil </w:t>
      </w:r>
      <w:r w:rsidR="00236828" w:rsidRPr="006A4BFC">
        <w:rPr>
          <w:rFonts w:ascii="Times New Roman" w:eastAsia="SimSun" w:hAnsi="Times New Roman" w:cs="Times New Roman"/>
          <w:sz w:val="24"/>
          <w:szCs w:val="24"/>
          <w:shd w:val="clear" w:color="auto" w:fill="FFFFFF"/>
        </w:rPr>
        <w:t>contaminated</w:t>
      </w:r>
      <w:r w:rsidRPr="006A4BFC">
        <w:rPr>
          <w:rFonts w:ascii="Times New Roman" w:eastAsia="SimSun" w:hAnsi="Times New Roman" w:cs="Times New Roman"/>
          <w:sz w:val="24"/>
          <w:szCs w:val="24"/>
          <w:shd w:val="clear" w:color="auto" w:fill="FFFFFF"/>
        </w:rPr>
        <w:t xml:space="preserve"> is much lower.</w:t>
      </w:r>
    </w:p>
    <w:p w14:paraId="18276AD5" w14:textId="744BB9F4"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When compared to the control, our research reveals reduced levels of potassium, phosphorus, nitrogen, and CEC. Nitrogen is a key element in the energy metabolism and protein synthesis that support plant growth, while phosphorus is a necessary component of many compounds involved in photosynthesis and respiration in plants (</w:t>
      </w:r>
      <w:proofErr w:type="spellStart"/>
      <w:r w:rsidRPr="006A4BFC">
        <w:rPr>
          <w:rFonts w:ascii="Times New Roman" w:eastAsia="SimSun" w:hAnsi="Times New Roman" w:cs="Times New Roman"/>
          <w:sz w:val="24"/>
          <w:szCs w:val="24"/>
          <w:shd w:val="clear" w:color="auto" w:fill="FFFFFF"/>
        </w:rPr>
        <w:t>Nwakife</w:t>
      </w:r>
      <w:proofErr w:type="spellEnd"/>
      <w:r w:rsidRPr="006A4BFC">
        <w:rPr>
          <w:rFonts w:ascii="Times New Roman" w:eastAsia="SimSun" w:hAnsi="Times New Roman" w:cs="Times New Roman"/>
          <w:sz w:val="24"/>
          <w:szCs w:val="24"/>
          <w:shd w:val="clear" w:color="auto" w:fill="FFFFFF"/>
        </w:rPr>
        <w:t xml:space="preserve"> </w:t>
      </w:r>
      <w:r w:rsidRPr="00236828">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2022). Additionally, a high concentration of nitrogen and phosphorus promotes microbial activity (</w:t>
      </w:r>
      <w:proofErr w:type="spellStart"/>
      <w:r w:rsidRPr="006A4BFC">
        <w:rPr>
          <w:rFonts w:ascii="Times New Roman" w:eastAsia="SimSun" w:hAnsi="Times New Roman" w:cs="Times New Roman"/>
          <w:sz w:val="24"/>
          <w:szCs w:val="24"/>
          <w:shd w:val="clear" w:color="auto" w:fill="FFFFFF"/>
        </w:rPr>
        <w:t>Agamuthu</w:t>
      </w:r>
      <w:proofErr w:type="spellEnd"/>
      <w:r w:rsidRPr="006A4BFC">
        <w:rPr>
          <w:rFonts w:ascii="Times New Roman" w:eastAsia="SimSun" w:hAnsi="Times New Roman" w:cs="Times New Roman"/>
          <w:sz w:val="24"/>
          <w:szCs w:val="24"/>
          <w:shd w:val="clear" w:color="auto" w:fill="FFFFFF"/>
        </w:rPr>
        <w:t xml:space="preserve"> and </w:t>
      </w:r>
      <w:proofErr w:type="spellStart"/>
      <w:r w:rsidRPr="006A4BFC">
        <w:rPr>
          <w:rFonts w:ascii="Times New Roman" w:eastAsia="SimSun" w:hAnsi="Times New Roman" w:cs="Times New Roman"/>
          <w:sz w:val="24"/>
          <w:szCs w:val="24"/>
          <w:shd w:val="clear" w:color="auto" w:fill="FFFFFF"/>
        </w:rPr>
        <w:t>Dadrasnia</w:t>
      </w:r>
      <w:proofErr w:type="spellEnd"/>
      <w:r w:rsidRPr="006A4BFC">
        <w:rPr>
          <w:rFonts w:ascii="Times New Roman" w:eastAsia="SimSun" w:hAnsi="Times New Roman" w:cs="Times New Roman"/>
          <w:sz w:val="24"/>
          <w:szCs w:val="24"/>
          <w:shd w:val="clear" w:color="auto" w:fill="FFFFFF"/>
        </w:rPr>
        <w:t xml:space="preserve">, 2013). Through changes in the soil organism and microbial activities, soil contaminants can impact the soil's physical and chemical properties. The rise in these parameters in the uncontaminated soil sample might be a sign of the soil microbe's efficiency. Environmental variables, such as soil pH, nutrient availability, and the bioavailability of the pollutant, </w:t>
      </w:r>
      <w:r w:rsidR="00236828" w:rsidRPr="006A4BFC">
        <w:rPr>
          <w:rFonts w:ascii="Times New Roman" w:eastAsia="SimSun" w:hAnsi="Times New Roman" w:cs="Times New Roman"/>
          <w:sz w:val="24"/>
          <w:szCs w:val="24"/>
          <w:shd w:val="clear" w:color="auto" w:fill="FFFFFF"/>
        </w:rPr>
        <w:t>may clearly</w:t>
      </w:r>
      <w:r w:rsidRPr="006A4BFC">
        <w:rPr>
          <w:rFonts w:ascii="Times New Roman" w:eastAsia="SimSun" w:hAnsi="Times New Roman" w:cs="Times New Roman"/>
          <w:sz w:val="24"/>
          <w:szCs w:val="24"/>
          <w:shd w:val="clear" w:color="auto" w:fill="FFFFFF"/>
        </w:rPr>
        <w:t xml:space="preserve"> have an impact on bioremediation by limiting the growth of the microorganisms that break down the contaminant (Osuji et al., 2007). According to </w:t>
      </w:r>
      <w:proofErr w:type="spellStart"/>
      <w:r w:rsidRPr="006A4BFC">
        <w:rPr>
          <w:rFonts w:ascii="Times New Roman" w:eastAsia="SimSun" w:hAnsi="Times New Roman" w:cs="Times New Roman"/>
          <w:sz w:val="24"/>
          <w:szCs w:val="24"/>
          <w:shd w:val="clear" w:color="auto" w:fill="FFFFFF"/>
        </w:rPr>
        <w:t>Fliepbach</w:t>
      </w:r>
      <w:proofErr w:type="spellEnd"/>
      <w:r w:rsidRPr="006A4BFC">
        <w:rPr>
          <w:rFonts w:ascii="Times New Roman" w:eastAsia="SimSun" w:hAnsi="Times New Roman" w:cs="Times New Roman"/>
          <w:sz w:val="24"/>
          <w:szCs w:val="24"/>
          <w:shd w:val="clear" w:color="auto" w:fill="FFFFFF"/>
        </w:rPr>
        <w:t xml:space="preserve"> </w:t>
      </w:r>
      <w:r w:rsidRPr="00236828">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(1994), excessive concentrations of heavy metals can significantly reduce soil microbial biomass, but low concentrations can encourage microbial growth and increase microbial biomass.</w:t>
      </w:r>
    </w:p>
    <w:p w14:paraId="3B3A2F04" w14:textId="77777777" w:rsidR="006A4BFC" w:rsidRPr="006A4BFC" w:rsidRDefault="006A4BFC" w:rsidP="006A4BFC">
      <w:pPr>
        <w:jc w:val="both"/>
        <w:rPr>
          <w:rFonts w:ascii="Times New Roman" w:eastAsia="SimSun" w:hAnsi="Times New Roman" w:cs="Times New Roman"/>
          <w:sz w:val="24"/>
          <w:szCs w:val="24"/>
          <w:shd w:val="clear" w:color="auto" w:fill="FFFFFF"/>
        </w:rPr>
      </w:pPr>
    </w:p>
    <w:p w14:paraId="422A8ACA" w14:textId="77777777"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In crude oil-contaminated soil, </w:t>
      </w:r>
      <w:proofErr w:type="spellStart"/>
      <w:r w:rsidRPr="006A4BFC">
        <w:rPr>
          <w:rFonts w:ascii="Times New Roman" w:eastAsia="SimSun" w:hAnsi="Times New Roman" w:cs="Times New Roman"/>
          <w:sz w:val="24"/>
          <w:szCs w:val="24"/>
          <w:shd w:val="clear" w:color="auto" w:fill="FFFFFF"/>
        </w:rPr>
        <w:t>Ayedum</w:t>
      </w:r>
      <w:proofErr w:type="spellEnd"/>
      <w:r w:rsidRPr="006A4BFC">
        <w:rPr>
          <w:rFonts w:ascii="Times New Roman" w:eastAsia="SimSun" w:hAnsi="Times New Roman" w:cs="Times New Roman"/>
          <w:sz w:val="24"/>
          <w:szCs w:val="24"/>
          <w:shd w:val="clear" w:color="auto" w:fill="FFFFFF"/>
        </w:rPr>
        <w:t xml:space="preserve"> et al. (2024) found similar levels of organic matter and pH to our existing findings. In petroleum-contaminated soil, </w:t>
      </w:r>
      <w:proofErr w:type="spellStart"/>
      <w:r w:rsidRPr="006A4BFC">
        <w:rPr>
          <w:rFonts w:ascii="Times New Roman" w:eastAsia="SimSun" w:hAnsi="Times New Roman" w:cs="Times New Roman"/>
          <w:sz w:val="24"/>
          <w:szCs w:val="24"/>
          <w:shd w:val="clear" w:color="auto" w:fill="FFFFFF"/>
        </w:rPr>
        <w:t>Riskuwa</w:t>
      </w:r>
      <w:proofErr w:type="spellEnd"/>
      <w:r w:rsidRPr="006A4BFC">
        <w:rPr>
          <w:rFonts w:ascii="Times New Roman" w:eastAsia="SimSun" w:hAnsi="Times New Roman" w:cs="Times New Roman"/>
          <w:sz w:val="24"/>
          <w:szCs w:val="24"/>
          <w:shd w:val="clear" w:color="auto" w:fill="FFFFFF"/>
        </w:rPr>
        <w:t xml:space="preserve">-Shehu </w:t>
      </w:r>
      <w:r w:rsidRPr="00236828">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(2022) found a </w:t>
      </w:r>
      <w:r w:rsidRPr="006A4BFC">
        <w:rPr>
          <w:rFonts w:ascii="Times New Roman" w:eastAsia="SimSun" w:hAnsi="Times New Roman" w:cs="Times New Roman"/>
          <w:sz w:val="24"/>
          <w:szCs w:val="24"/>
          <w:shd w:val="clear" w:color="auto" w:fill="FFFFFF"/>
        </w:rPr>
        <w:lastRenderedPageBreak/>
        <w:t>similar range of some of the soil physiochemical parameters (pH, N, k, and CEC). Additionally, Adamu et al. 2023 found a similar outcome to the current research.</w:t>
      </w:r>
    </w:p>
    <w:p w14:paraId="53A03F4E" w14:textId="51258074"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Results obtained in Table 2 showed that Heavy metals analyzed were significantly (p &lt; 0.005) higher in the condensate dump site soil compared to the electrical transformer site soil samples. The presence of these metals in the condensate dump site soil of the power station could be attributed to the source of the natural gas used in the power station, since it has been shown that natural gas </w:t>
      </w:r>
      <w:r w:rsidR="00236828" w:rsidRPr="006A4BFC">
        <w:rPr>
          <w:rFonts w:ascii="Times New Roman" w:eastAsia="SimSun" w:hAnsi="Times New Roman" w:cs="Times New Roman"/>
          <w:sz w:val="24"/>
          <w:szCs w:val="24"/>
          <w:shd w:val="clear" w:color="auto" w:fill="FFFFFF"/>
        </w:rPr>
        <w:t>contains</w:t>
      </w:r>
      <w:r w:rsidRPr="006A4BFC">
        <w:rPr>
          <w:rFonts w:ascii="Times New Roman" w:eastAsia="SimSun" w:hAnsi="Times New Roman" w:cs="Times New Roman"/>
          <w:sz w:val="24"/>
          <w:szCs w:val="24"/>
          <w:shd w:val="clear" w:color="auto" w:fill="FFFFFF"/>
        </w:rPr>
        <w:t xml:space="preserve"> some trace of heavy metals in them, depending on their sources. </w:t>
      </w:r>
      <w:proofErr w:type="gramStart"/>
      <w:r w:rsidRPr="006A4BFC">
        <w:rPr>
          <w:rFonts w:ascii="Times New Roman" w:eastAsia="SimSun" w:hAnsi="Times New Roman" w:cs="Times New Roman"/>
          <w:sz w:val="24"/>
          <w:szCs w:val="24"/>
          <w:shd w:val="clear" w:color="auto" w:fill="FFFFFF"/>
        </w:rPr>
        <w:t>Also</w:t>
      </w:r>
      <w:proofErr w:type="gramEnd"/>
      <w:r w:rsidRPr="006A4BFC">
        <w:rPr>
          <w:rFonts w:ascii="Times New Roman" w:eastAsia="SimSun" w:hAnsi="Times New Roman" w:cs="Times New Roman"/>
          <w:sz w:val="24"/>
          <w:szCs w:val="24"/>
          <w:shd w:val="clear" w:color="auto" w:fill="FFFFFF"/>
        </w:rPr>
        <w:t xml:space="preserve"> the lubricating oil used in the turbine unit and some other gases used in cooling the turbine may have contributed to the level of metals in the condensate that in turn spilled into </w:t>
      </w:r>
      <w:r w:rsidR="00236828" w:rsidRPr="006A4BFC">
        <w:rPr>
          <w:rFonts w:ascii="Times New Roman" w:eastAsia="SimSun" w:hAnsi="Times New Roman" w:cs="Times New Roman"/>
          <w:sz w:val="24"/>
          <w:szCs w:val="24"/>
          <w:shd w:val="clear" w:color="auto" w:fill="FFFFFF"/>
        </w:rPr>
        <w:t>the dump</w:t>
      </w:r>
      <w:r w:rsidRPr="006A4BFC">
        <w:rPr>
          <w:rFonts w:ascii="Times New Roman" w:eastAsia="SimSun" w:hAnsi="Times New Roman" w:cs="Times New Roman"/>
          <w:sz w:val="24"/>
          <w:szCs w:val="24"/>
          <w:shd w:val="clear" w:color="auto" w:fill="FFFFFF"/>
        </w:rPr>
        <w:t xml:space="preserve"> site soil. The presence of heavy metals in the electrical transformer site soil could be from the source of the oil that leaked into the soil. The presence of metals in the soil samples cannot simply be glossed over, since some of the </w:t>
      </w:r>
      <w:r w:rsidR="00AB759C" w:rsidRPr="006A4BFC">
        <w:rPr>
          <w:rFonts w:ascii="Times New Roman" w:eastAsia="SimSun" w:hAnsi="Times New Roman" w:cs="Times New Roman"/>
          <w:sz w:val="24"/>
          <w:szCs w:val="24"/>
          <w:shd w:val="clear" w:color="auto" w:fill="FFFFFF"/>
        </w:rPr>
        <w:t>metals concentrations</w:t>
      </w:r>
      <w:r w:rsidRPr="006A4BFC">
        <w:rPr>
          <w:rFonts w:ascii="Times New Roman" w:eastAsia="SimSun" w:hAnsi="Times New Roman" w:cs="Times New Roman"/>
          <w:sz w:val="24"/>
          <w:szCs w:val="24"/>
          <w:shd w:val="clear" w:color="auto" w:fill="FFFFFF"/>
        </w:rPr>
        <w:t xml:space="preserve"> has surpassed the limits allowable in soil by regulatory agencies including the Nigerian Federal Environmental Protection Agency (FEPA, 1991) and World Health Organization (WHO, 1984)</w:t>
      </w:r>
      <w:r w:rsidR="00FD1E3F">
        <w:rPr>
          <w:rFonts w:ascii="Times New Roman" w:eastAsia="SimSun" w:hAnsi="Times New Roman" w:cs="Times New Roman"/>
          <w:sz w:val="24"/>
          <w:szCs w:val="24"/>
          <w:shd w:val="clear" w:color="auto" w:fill="FFFFFF"/>
        </w:rPr>
        <w:t>.</w:t>
      </w:r>
    </w:p>
    <w:p w14:paraId="14376F0B" w14:textId="15BAC3E7"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Heavy metal contamination of soil may pose risks and hazards to humans and the ecosystem through indirect ingestion or contact with contaminated soil, the food chain (soil-plant-human or soil-plant-animal-human), reduction in food quality via phytotoxicity, and reduction in land usability for agricultural production causing food insecurity (Carvalho et al., 2012). In topsoil surrounding an oil and natural gas drilling location in Andhra Pradesh, India, </w:t>
      </w:r>
      <w:proofErr w:type="spellStart"/>
      <w:r w:rsidRPr="006A4BFC">
        <w:rPr>
          <w:rFonts w:ascii="Times New Roman" w:eastAsia="SimSun" w:hAnsi="Times New Roman" w:cs="Times New Roman"/>
          <w:sz w:val="24"/>
          <w:szCs w:val="24"/>
          <w:shd w:val="clear" w:color="auto" w:fill="FFFFFF"/>
        </w:rPr>
        <w:t>Aradhi</w:t>
      </w:r>
      <w:proofErr w:type="spellEnd"/>
      <w:r w:rsidRPr="006A4BFC">
        <w:rPr>
          <w:rFonts w:ascii="Times New Roman" w:eastAsia="SimSun" w:hAnsi="Times New Roman" w:cs="Times New Roman"/>
          <w:sz w:val="24"/>
          <w:szCs w:val="24"/>
          <w:shd w:val="clear" w:color="auto" w:fill="FFFFFF"/>
        </w:rPr>
        <w:t xml:space="preserve"> et al 2023 discovered a higher concentration of some metals. Additionally, Bankole et al, 2024, reported a higher metal concentration from crude oil impacted agricultural soil in Okpara-</w:t>
      </w:r>
      <w:proofErr w:type="spellStart"/>
      <w:r w:rsidRPr="006A4BFC">
        <w:rPr>
          <w:rFonts w:ascii="Times New Roman" w:eastAsia="SimSun" w:hAnsi="Times New Roman" w:cs="Times New Roman"/>
          <w:sz w:val="24"/>
          <w:szCs w:val="24"/>
          <w:shd w:val="clear" w:color="auto" w:fill="FFFFFF"/>
        </w:rPr>
        <w:t>Oloma</w:t>
      </w:r>
      <w:proofErr w:type="spellEnd"/>
      <w:r w:rsidRPr="006A4BFC">
        <w:rPr>
          <w:rFonts w:ascii="Times New Roman" w:eastAsia="SimSun" w:hAnsi="Times New Roman" w:cs="Times New Roman"/>
          <w:sz w:val="24"/>
          <w:szCs w:val="24"/>
          <w:shd w:val="clear" w:color="auto" w:fill="FFFFFF"/>
        </w:rPr>
        <w:t xml:space="preserve">, Ughelli. In oil spilled sites in Nigeria's Niger Delta, </w:t>
      </w:r>
      <w:proofErr w:type="spellStart"/>
      <w:r w:rsidRPr="006A4BFC">
        <w:rPr>
          <w:rFonts w:ascii="Times New Roman" w:eastAsia="SimSun" w:hAnsi="Times New Roman" w:cs="Times New Roman"/>
          <w:sz w:val="24"/>
          <w:szCs w:val="24"/>
          <w:shd w:val="clear" w:color="auto" w:fill="FFFFFF"/>
        </w:rPr>
        <w:t>Udoetok</w:t>
      </w:r>
      <w:proofErr w:type="spellEnd"/>
      <w:r w:rsidRPr="006A4BFC">
        <w:rPr>
          <w:rFonts w:ascii="Times New Roman" w:eastAsia="SimSun" w:hAnsi="Times New Roman" w:cs="Times New Roman"/>
          <w:sz w:val="24"/>
          <w:szCs w:val="24"/>
          <w:shd w:val="clear" w:color="auto" w:fill="FFFFFF"/>
        </w:rPr>
        <w:t xml:space="preserve"> et al 2011 found a lower concentration of metals (As, Cr, Ni, Pb, Cu, Co, and Zn) than our current work. In both condensate dump site soil and electrical transformer site soil, all the metals were within the DPR limit except for Cd.</w:t>
      </w:r>
    </w:p>
    <w:p w14:paraId="2DABB551" w14:textId="77777777"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Through a very permeable skin and an alimentary system, earthworms are constantly in close proximity to soil particles and microbes in the soil (Jager et al., 2003; Drake and Horn, 2007). Earthworms can be exposed to pollutants in a variety of ways. First, direct interaction with the water in the soil pores, and hence with the contaminants that are dissolved in it. Earthworms' skin is highly permeable to water (Wallwork, 1983) and serves as a primary pathway for the absorption of pollutants (</w:t>
      </w:r>
      <w:proofErr w:type="spellStart"/>
      <w:r w:rsidRPr="006A4BFC">
        <w:rPr>
          <w:rFonts w:ascii="Times New Roman" w:eastAsia="SimSun" w:hAnsi="Times New Roman" w:cs="Times New Roman"/>
          <w:sz w:val="24"/>
          <w:szCs w:val="24"/>
          <w:shd w:val="clear" w:color="auto" w:fill="FFFFFF"/>
        </w:rPr>
        <w:t>Roubalová</w:t>
      </w:r>
      <w:proofErr w:type="spellEnd"/>
      <w:r w:rsidRPr="006A4BFC">
        <w:rPr>
          <w:rFonts w:ascii="Times New Roman" w:eastAsia="SimSun" w:hAnsi="Times New Roman" w:cs="Times New Roman"/>
          <w:sz w:val="24"/>
          <w:szCs w:val="24"/>
          <w:shd w:val="clear" w:color="auto" w:fill="FFFFFF"/>
        </w:rPr>
        <w:t xml:space="preserve">, 2015). In addition, these creatures eat a lot of dirt, which means that their alimentary system is always exposed to pollutants that have been absorbed by solid particles (Morgan </w:t>
      </w:r>
      <w:r w:rsidRPr="00AB759C">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2004).</w:t>
      </w:r>
    </w:p>
    <w:p w14:paraId="2F57A05F" w14:textId="77777777" w:rsidR="006A4BFC" w:rsidRP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  Our findings, as shown in Table 2, indicate that the earthworm's buildup of metals was concentration-dependent. According to Ma et al., 1983, the physiochemical interactions and the overall concentration of metals in a particular soil partially determine the concentration of metals in earthworm tissue. In this current study, there was no buildup of Cu in the tissues of the worms. The ability of Cu to create robust complexes in soil could account for this </w:t>
      </w:r>
      <w:proofErr w:type="gramStart"/>
      <w:r w:rsidRPr="006A4BFC">
        <w:rPr>
          <w:rFonts w:ascii="Times New Roman" w:eastAsia="SimSun" w:hAnsi="Times New Roman" w:cs="Times New Roman"/>
          <w:sz w:val="24"/>
          <w:szCs w:val="24"/>
          <w:shd w:val="clear" w:color="auto" w:fill="FFFFFF"/>
        </w:rPr>
        <w:t xml:space="preserve">( </w:t>
      </w:r>
      <w:proofErr w:type="spellStart"/>
      <w:r w:rsidRPr="006A4BFC">
        <w:rPr>
          <w:rFonts w:ascii="Times New Roman" w:eastAsia="SimSun" w:hAnsi="Times New Roman" w:cs="Times New Roman"/>
          <w:sz w:val="24"/>
          <w:szCs w:val="24"/>
          <w:shd w:val="clear" w:color="auto" w:fill="FFFFFF"/>
        </w:rPr>
        <w:t>Wuana</w:t>
      </w:r>
      <w:proofErr w:type="spellEnd"/>
      <w:proofErr w:type="gramEnd"/>
      <w:r w:rsidRPr="006A4BFC">
        <w:rPr>
          <w:rFonts w:ascii="Times New Roman" w:eastAsia="SimSun" w:hAnsi="Times New Roman" w:cs="Times New Roman"/>
          <w:sz w:val="24"/>
          <w:szCs w:val="24"/>
          <w:shd w:val="clear" w:color="auto" w:fill="FFFFFF"/>
        </w:rPr>
        <w:t xml:space="preserve"> and </w:t>
      </w:r>
      <w:proofErr w:type="spellStart"/>
      <w:r w:rsidRPr="006A4BFC">
        <w:rPr>
          <w:rFonts w:ascii="Times New Roman" w:eastAsia="SimSun" w:hAnsi="Times New Roman" w:cs="Times New Roman"/>
          <w:sz w:val="24"/>
          <w:szCs w:val="24"/>
          <w:shd w:val="clear" w:color="auto" w:fill="FFFFFF"/>
        </w:rPr>
        <w:t>Okielme</w:t>
      </w:r>
      <w:proofErr w:type="spellEnd"/>
      <w:r w:rsidRPr="006A4BFC">
        <w:rPr>
          <w:rFonts w:ascii="Times New Roman" w:eastAsia="SimSun" w:hAnsi="Times New Roman" w:cs="Times New Roman"/>
          <w:sz w:val="24"/>
          <w:szCs w:val="24"/>
          <w:shd w:val="clear" w:color="auto" w:fill="FFFFFF"/>
        </w:rPr>
        <w:t>, 2011). Additionally, Joan and Bert published in 1992 that soil and soil components adsorb a large amount of Cu compared to other metals. As seen in Table 3 above, the quantity of metals in earthworms was much less than in the soil.</w:t>
      </w:r>
    </w:p>
    <w:p w14:paraId="4FB01BFA" w14:textId="0DE3D7D1" w:rsidR="006A4BFC"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lastRenderedPageBreak/>
        <w:t xml:space="preserve">The reason for the lower concentration of metals in earthworms compared to the soil may be that the overall concentration of heavy metals in the soil is not a good indicator of risks in the field. Metals are only absorbed by organisms through eating tainted plants or animals, or through direct contact with metals dissolved in the pore water (Van </w:t>
      </w:r>
      <w:proofErr w:type="spellStart"/>
      <w:r w:rsidRPr="006A4BFC">
        <w:rPr>
          <w:rFonts w:ascii="Times New Roman" w:eastAsia="SimSun" w:hAnsi="Times New Roman" w:cs="Times New Roman"/>
          <w:sz w:val="24"/>
          <w:szCs w:val="24"/>
          <w:shd w:val="clear" w:color="auto" w:fill="FFFFFF"/>
        </w:rPr>
        <w:t>Gestel</w:t>
      </w:r>
      <w:proofErr w:type="spellEnd"/>
      <w:r w:rsidRPr="006A4BFC">
        <w:rPr>
          <w:rFonts w:ascii="Times New Roman" w:eastAsia="SimSun" w:hAnsi="Times New Roman" w:cs="Times New Roman"/>
          <w:sz w:val="24"/>
          <w:szCs w:val="24"/>
          <w:shd w:val="clear" w:color="auto" w:fill="FFFFFF"/>
        </w:rPr>
        <w:t xml:space="preserve"> </w:t>
      </w:r>
      <w:r w:rsidRPr="00AB759C">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1992). Because the main pathway for earthworms to absorb dissolved metals is through their skin from the water in the soil pores (Vijver </w:t>
      </w:r>
      <w:r w:rsidRPr="00AB759C">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2003). Toxic metals, even at low concentrations, can have a detrimental impact on the earthworm, which in turn affects the earthworm's role in the soil. Additionally, the bioaccumulation level of a particular metal is influenced by a number of toxicokinetic variables, such as ingestion, distribution, metabolism in the target organ, and potential detoxification pathways (</w:t>
      </w:r>
      <w:proofErr w:type="spellStart"/>
      <w:r w:rsidRPr="006A4BFC">
        <w:rPr>
          <w:rFonts w:ascii="Times New Roman" w:eastAsia="SimSun" w:hAnsi="Times New Roman" w:cs="Times New Roman"/>
          <w:sz w:val="24"/>
          <w:szCs w:val="24"/>
          <w:shd w:val="clear" w:color="auto" w:fill="FFFFFF"/>
        </w:rPr>
        <w:t>Augustyniak</w:t>
      </w:r>
      <w:proofErr w:type="spellEnd"/>
      <w:r w:rsidRPr="006A4BFC">
        <w:rPr>
          <w:rFonts w:ascii="Times New Roman" w:eastAsia="SimSun" w:hAnsi="Times New Roman" w:cs="Times New Roman"/>
          <w:sz w:val="24"/>
          <w:szCs w:val="24"/>
          <w:shd w:val="clear" w:color="auto" w:fill="FFFFFF"/>
        </w:rPr>
        <w:t xml:space="preserve"> and </w:t>
      </w:r>
      <w:proofErr w:type="spellStart"/>
      <w:r w:rsidRPr="006A4BFC">
        <w:rPr>
          <w:rFonts w:ascii="Times New Roman" w:eastAsia="SimSun" w:hAnsi="Times New Roman" w:cs="Times New Roman"/>
          <w:sz w:val="24"/>
          <w:szCs w:val="24"/>
          <w:shd w:val="clear" w:color="auto" w:fill="FFFFFF"/>
        </w:rPr>
        <w:t>Migula</w:t>
      </w:r>
      <w:proofErr w:type="spellEnd"/>
      <w:r w:rsidRPr="006A4BFC">
        <w:rPr>
          <w:rFonts w:ascii="Times New Roman" w:eastAsia="SimSun" w:hAnsi="Times New Roman" w:cs="Times New Roman"/>
          <w:sz w:val="24"/>
          <w:szCs w:val="24"/>
          <w:shd w:val="clear" w:color="auto" w:fill="FFFFFF"/>
        </w:rPr>
        <w:t xml:space="preserve"> 2000). Similar to our current study, the following researchers</w:t>
      </w:r>
      <w:r w:rsid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 xml:space="preserve"> Morgan and Morgan 1999, Dedeke </w:t>
      </w:r>
      <w:r w:rsidRPr="00AB759C">
        <w:rPr>
          <w:rFonts w:ascii="Times New Roman" w:eastAsia="SimSun" w:hAnsi="Times New Roman" w:cs="Times New Roman"/>
          <w:i/>
          <w:iCs/>
          <w:sz w:val="24"/>
          <w:szCs w:val="24"/>
          <w:shd w:val="clear" w:color="auto" w:fill="FFFFFF"/>
        </w:rPr>
        <w:t>et al.</w:t>
      </w:r>
      <w:r w:rsidR="000C5120">
        <w:rPr>
          <w:rFonts w:ascii="Times New Roman" w:eastAsia="SimSun" w:hAnsi="Times New Roman" w:cs="Times New Roman"/>
          <w:i/>
          <w:iCs/>
          <w:sz w:val="24"/>
          <w:szCs w:val="24"/>
          <w:shd w:val="clear" w:color="auto" w:fill="FFFFFF"/>
        </w:rPr>
        <w:t xml:space="preserve"> </w:t>
      </w:r>
      <w:r w:rsidR="000C5120" w:rsidRP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2016</w:t>
      </w:r>
      <w:r w:rsid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 xml:space="preserve">, reported that earthworm tissue had a lower concentration of metals (Cu, Zn, Pb, Cd, Cr, Ni, and Mn) than soil that had been contaminated by an abattoir pollutant. Similar findings were made by </w:t>
      </w:r>
      <w:proofErr w:type="spellStart"/>
      <w:r w:rsidRPr="006A4BFC">
        <w:rPr>
          <w:rFonts w:ascii="Times New Roman" w:eastAsia="SimSun" w:hAnsi="Times New Roman" w:cs="Times New Roman"/>
          <w:sz w:val="24"/>
          <w:szCs w:val="24"/>
          <w:shd w:val="clear" w:color="auto" w:fill="FFFFFF"/>
        </w:rPr>
        <w:t>Kennette</w:t>
      </w:r>
      <w:proofErr w:type="spellEnd"/>
      <w:r w:rsidR="000C5120">
        <w:rPr>
          <w:rFonts w:ascii="Times New Roman" w:eastAsia="SimSun" w:hAnsi="Times New Roman" w:cs="Times New Roman"/>
          <w:sz w:val="24"/>
          <w:szCs w:val="24"/>
          <w:shd w:val="clear" w:color="auto" w:fill="FFFFFF"/>
        </w:rPr>
        <w:t xml:space="preserve"> (</w:t>
      </w:r>
      <w:r w:rsidRPr="006A4BFC">
        <w:rPr>
          <w:rFonts w:ascii="Times New Roman" w:eastAsia="SimSun" w:hAnsi="Times New Roman" w:cs="Times New Roman"/>
          <w:sz w:val="24"/>
          <w:szCs w:val="24"/>
          <w:shd w:val="clear" w:color="auto" w:fill="FFFFFF"/>
        </w:rPr>
        <w:t>2002</w:t>
      </w:r>
      <w:r w:rsid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 xml:space="preserve"> and </w:t>
      </w:r>
      <w:proofErr w:type="spellStart"/>
      <w:r w:rsidRPr="006A4BFC">
        <w:rPr>
          <w:rFonts w:ascii="Times New Roman" w:eastAsia="SimSun" w:hAnsi="Times New Roman" w:cs="Times New Roman"/>
          <w:sz w:val="24"/>
          <w:szCs w:val="24"/>
          <w:shd w:val="clear" w:color="auto" w:fill="FFFFFF"/>
        </w:rPr>
        <w:t>Olyinkel</w:t>
      </w:r>
      <w:proofErr w:type="spellEnd"/>
      <w:r w:rsidRPr="006A4BFC">
        <w:rPr>
          <w:rFonts w:ascii="Times New Roman" w:eastAsia="SimSun" w:hAnsi="Times New Roman" w:cs="Times New Roman"/>
          <w:sz w:val="24"/>
          <w:szCs w:val="24"/>
          <w:shd w:val="clear" w:color="auto" w:fill="FFFFFF"/>
        </w:rPr>
        <w:t xml:space="preserve"> </w:t>
      </w:r>
      <w:r w:rsidRPr="00AB759C">
        <w:rPr>
          <w:rFonts w:ascii="Times New Roman" w:eastAsia="SimSun" w:hAnsi="Times New Roman" w:cs="Times New Roman"/>
          <w:i/>
          <w:iCs/>
          <w:sz w:val="24"/>
          <w:szCs w:val="24"/>
          <w:shd w:val="clear" w:color="auto" w:fill="FFFFFF"/>
        </w:rPr>
        <w:t>et al.</w:t>
      </w:r>
      <w:r w:rsidR="000C5120">
        <w:rPr>
          <w:rFonts w:ascii="Times New Roman" w:eastAsia="SimSun" w:hAnsi="Times New Roman" w:cs="Times New Roman"/>
          <w:i/>
          <w:iCs/>
          <w:sz w:val="24"/>
          <w:szCs w:val="24"/>
          <w:shd w:val="clear" w:color="auto" w:fill="FFFFFF"/>
        </w:rPr>
        <w:t xml:space="preserve"> </w:t>
      </w:r>
      <w:r w:rsidR="000C5120" w:rsidRP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2011</w:t>
      </w:r>
      <w:r w:rsid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 xml:space="preserve">, who both observed lower </w:t>
      </w:r>
      <w:r w:rsidR="000C5120">
        <w:rPr>
          <w:rFonts w:ascii="Times New Roman" w:eastAsia="SimSun" w:hAnsi="Times New Roman" w:cs="Times New Roman"/>
          <w:sz w:val="24"/>
          <w:szCs w:val="24"/>
          <w:shd w:val="clear" w:color="auto" w:fill="FFFFFF"/>
        </w:rPr>
        <w:t>concentrations of</w:t>
      </w:r>
      <w:r w:rsidRPr="006A4BFC">
        <w:rPr>
          <w:rFonts w:ascii="Times New Roman" w:eastAsia="SimSun" w:hAnsi="Times New Roman" w:cs="Times New Roman"/>
          <w:sz w:val="24"/>
          <w:szCs w:val="24"/>
          <w:shd w:val="clear" w:color="auto" w:fill="FFFFFF"/>
        </w:rPr>
        <w:t xml:space="preserve"> heavy metals in earthworm tissue when compared to the contaminated soil. According to </w:t>
      </w:r>
      <w:r w:rsidR="000C5120">
        <w:rPr>
          <w:rFonts w:ascii="Times New Roman" w:eastAsia="SimSun" w:hAnsi="Times New Roman" w:cs="Times New Roman"/>
          <w:sz w:val="24"/>
          <w:szCs w:val="24"/>
          <w:shd w:val="clear" w:color="auto" w:fill="FFFFFF"/>
        </w:rPr>
        <w:t>Karczewska</w:t>
      </w:r>
      <w:r w:rsidRPr="006A4BFC">
        <w:rPr>
          <w:rFonts w:ascii="Times New Roman" w:eastAsia="SimSun" w:hAnsi="Times New Roman" w:cs="Times New Roman"/>
          <w:sz w:val="24"/>
          <w:szCs w:val="24"/>
          <w:shd w:val="clear" w:color="auto" w:fill="FFFFFF"/>
        </w:rPr>
        <w:t xml:space="preserve"> </w:t>
      </w:r>
      <w:r w:rsidRPr="00AB759C">
        <w:rPr>
          <w:rFonts w:ascii="Times New Roman" w:eastAsia="SimSun" w:hAnsi="Times New Roman" w:cs="Times New Roman"/>
          <w:i/>
          <w:iCs/>
          <w:sz w:val="24"/>
          <w:szCs w:val="24"/>
          <w:shd w:val="clear" w:color="auto" w:fill="FFFFFF"/>
        </w:rPr>
        <w:t>et al.</w:t>
      </w:r>
      <w:r w:rsidR="000C5120">
        <w:rPr>
          <w:rFonts w:ascii="Times New Roman" w:eastAsia="SimSun" w:hAnsi="Times New Roman" w:cs="Times New Roman"/>
          <w:i/>
          <w:iCs/>
          <w:sz w:val="24"/>
          <w:szCs w:val="24"/>
          <w:shd w:val="clear" w:color="auto" w:fill="FFFFFF"/>
        </w:rPr>
        <w:t xml:space="preserve"> </w:t>
      </w:r>
      <w:r w:rsidR="000C5120" w:rsidRP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2023</w:t>
      </w:r>
      <w:r w:rsid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 xml:space="preserve">, the concentration of </w:t>
      </w:r>
      <w:proofErr w:type="gramStart"/>
      <w:r w:rsidRPr="006A4BFC">
        <w:rPr>
          <w:rFonts w:ascii="Times New Roman" w:eastAsia="SimSun" w:hAnsi="Times New Roman" w:cs="Times New Roman"/>
          <w:sz w:val="24"/>
          <w:szCs w:val="24"/>
          <w:shd w:val="clear" w:color="auto" w:fill="FFFFFF"/>
        </w:rPr>
        <w:t>As</w:t>
      </w:r>
      <w:proofErr w:type="gramEnd"/>
      <w:r w:rsidRPr="006A4BFC">
        <w:rPr>
          <w:rFonts w:ascii="Times New Roman" w:eastAsia="SimSun" w:hAnsi="Times New Roman" w:cs="Times New Roman"/>
          <w:sz w:val="24"/>
          <w:szCs w:val="24"/>
          <w:shd w:val="clear" w:color="auto" w:fill="FFFFFF"/>
        </w:rPr>
        <w:t xml:space="preserve"> in polluted soil was higher than that in earthworm tissue, which is consistent with our findings. Because these metals accumulate in the tissues of earthworms, they may be used as bioremediation agents and as organisms that monitor environmental pollution. In a study published in 2016, Dada et al. utilized a tropical wetland earthworm to remediate soil that had been contaminated ex situ with Zn, Pb, and Cd in various and combined concentrations over the course of 12 weeks. In addition, Chang-</w:t>
      </w:r>
      <w:proofErr w:type="spellStart"/>
      <w:r w:rsidRPr="006A4BFC">
        <w:rPr>
          <w:rFonts w:ascii="Times New Roman" w:eastAsia="SimSun" w:hAnsi="Times New Roman" w:cs="Times New Roman"/>
          <w:sz w:val="24"/>
          <w:szCs w:val="24"/>
          <w:shd w:val="clear" w:color="auto" w:fill="FFFFFF"/>
        </w:rPr>
        <w:t>kima</w:t>
      </w:r>
      <w:proofErr w:type="spellEnd"/>
      <w:r w:rsidRPr="006A4BFC">
        <w:rPr>
          <w:rFonts w:ascii="Times New Roman" w:eastAsia="SimSun" w:hAnsi="Times New Roman" w:cs="Times New Roman"/>
          <w:sz w:val="24"/>
          <w:szCs w:val="24"/>
          <w:shd w:val="clear" w:color="auto" w:fill="FFFFFF"/>
        </w:rPr>
        <w:t xml:space="preserve"> </w:t>
      </w:r>
      <w:r w:rsidRPr="000C5120">
        <w:rPr>
          <w:rFonts w:ascii="Times New Roman" w:eastAsia="SimSun" w:hAnsi="Times New Roman" w:cs="Times New Roman"/>
          <w:i/>
          <w:iCs/>
          <w:sz w:val="24"/>
          <w:szCs w:val="24"/>
          <w:shd w:val="clear" w:color="auto" w:fill="FFFFFF"/>
        </w:rPr>
        <w:t>et al</w:t>
      </w:r>
      <w:r w:rsidRPr="006A4BFC">
        <w:rPr>
          <w:rFonts w:ascii="Times New Roman" w:eastAsia="SimSun" w:hAnsi="Times New Roman" w:cs="Times New Roman"/>
          <w:sz w:val="24"/>
          <w:szCs w:val="24"/>
          <w:shd w:val="clear" w:color="auto" w:fill="FFFFFF"/>
        </w:rPr>
        <w:t xml:space="preserve">. (2016) utilized </w:t>
      </w:r>
      <w:proofErr w:type="spellStart"/>
      <w:r w:rsidR="000C5120" w:rsidRPr="000C5120">
        <w:rPr>
          <w:rFonts w:ascii="Times New Roman" w:eastAsia="SimSun" w:hAnsi="Times New Roman" w:cs="Times New Roman"/>
          <w:i/>
          <w:iCs/>
          <w:sz w:val="24"/>
          <w:szCs w:val="24"/>
          <w:shd w:val="clear" w:color="auto" w:fill="FFFFFF"/>
        </w:rPr>
        <w:t>Lumbricus</w:t>
      </w:r>
      <w:proofErr w:type="spellEnd"/>
      <w:r w:rsidRPr="000C5120">
        <w:rPr>
          <w:rFonts w:ascii="Times New Roman" w:eastAsia="SimSun" w:hAnsi="Times New Roman" w:cs="Times New Roman"/>
          <w:i/>
          <w:iCs/>
          <w:sz w:val="24"/>
          <w:szCs w:val="24"/>
          <w:shd w:val="clear" w:color="auto" w:fill="FFFFFF"/>
        </w:rPr>
        <w:t xml:space="preserve"> </w:t>
      </w:r>
      <w:proofErr w:type="spellStart"/>
      <w:r w:rsidRPr="000C5120">
        <w:rPr>
          <w:rFonts w:ascii="Times New Roman" w:eastAsia="SimSun" w:hAnsi="Times New Roman" w:cs="Times New Roman"/>
          <w:i/>
          <w:iCs/>
          <w:sz w:val="24"/>
          <w:szCs w:val="24"/>
          <w:shd w:val="clear" w:color="auto" w:fill="FFFFFF"/>
        </w:rPr>
        <w:t>rubellus</w:t>
      </w:r>
      <w:proofErr w:type="spellEnd"/>
      <w:r w:rsidRPr="006A4BFC">
        <w:rPr>
          <w:rFonts w:ascii="Times New Roman" w:eastAsia="SimSun" w:hAnsi="Times New Roman" w:cs="Times New Roman"/>
          <w:sz w:val="24"/>
          <w:szCs w:val="24"/>
          <w:shd w:val="clear" w:color="auto" w:fill="FFFFFF"/>
        </w:rPr>
        <w:t xml:space="preserve"> in Malaysia for 90 days to treat soil samples polluted with metals (Cu, Mn, Pb, Cr, Ni</w:t>
      </w:r>
      <w:r w:rsidR="000C5120">
        <w:rPr>
          <w:rFonts w:ascii="Times New Roman" w:eastAsia="SimSun" w:hAnsi="Times New Roman" w:cs="Times New Roman"/>
          <w:sz w:val="24"/>
          <w:szCs w:val="24"/>
          <w:shd w:val="clear" w:color="auto" w:fill="FFFFFF"/>
        </w:rPr>
        <w:t>,</w:t>
      </w:r>
      <w:r w:rsidRPr="006A4BFC">
        <w:rPr>
          <w:rFonts w:ascii="Times New Roman" w:eastAsia="SimSun" w:hAnsi="Times New Roman" w:cs="Times New Roman"/>
          <w:sz w:val="24"/>
          <w:szCs w:val="24"/>
          <w:shd w:val="clear" w:color="auto" w:fill="FFFFFF"/>
        </w:rPr>
        <w:t xml:space="preserve"> </w:t>
      </w:r>
      <w:r w:rsidR="000C5120">
        <w:rPr>
          <w:rFonts w:ascii="Times New Roman" w:eastAsia="SimSun" w:hAnsi="Times New Roman" w:cs="Times New Roman"/>
          <w:sz w:val="24"/>
          <w:szCs w:val="24"/>
          <w:shd w:val="clear" w:color="auto" w:fill="FFFFFF"/>
        </w:rPr>
        <w:t>Zn</w:t>
      </w:r>
      <w:r w:rsidRPr="006A4BFC">
        <w:rPr>
          <w:rFonts w:ascii="Times New Roman" w:eastAsia="SimSun" w:hAnsi="Times New Roman" w:cs="Times New Roman"/>
          <w:sz w:val="24"/>
          <w:szCs w:val="24"/>
          <w:shd w:val="clear" w:color="auto" w:fill="FFFFFF"/>
        </w:rPr>
        <w:t>, and As). All of this resulted in a noticeable cleanup of metals in the contaminated soil.</w:t>
      </w:r>
    </w:p>
    <w:p w14:paraId="5AC6FC7D" w14:textId="77777777" w:rsidR="00FD1E3F" w:rsidRPr="006A4BFC" w:rsidRDefault="00FD1E3F" w:rsidP="006A4BFC">
      <w:pPr>
        <w:jc w:val="both"/>
        <w:rPr>
          <w:rFonts w:ascii="Times New Roman" w:eastAsia="SimSun" w:hAnsi="Times New Roman" w:cs="Times New Roman"/>
          <w:sz w:val="24"/>
          <w:szCs w:val="24"/>
          <w:shd w:val="clear" w:color="auto" w:fill="FFFFFF"/>
        </w:rPr>
      </w:pPr>
    </w:p>
    <w:p w14:paraId="322E19E4" w14:textId="7F5C8BCB" w:rsidR="006A4BFC" w:rsidRPr="00AB759C" w:rsidRDefault="00AB759C" w:rsidP="006A4BFC">
      <w:pPr>
        <w:jc w:val="both"/>
        <w:rPr>
          <w:rFonts w:ascii="Times New Roman" w:eastAsia="SimSun" w:hAnsi="Times New Roman" w:cs="Times New Roman"/>
          <w:b/>
          <w:bCs/>
          <w:sz w:val="24"/>
          <w:szCs w:val="24"/>
          <w:shd w:val="clear" w:color="auto" w:fill="FFFFFF"/>
        </w:rPr>
      </w:pPr>
      <w:r w:rsidRPr="00AB759C">
        <w:rPr>
          <w:rFonts w:ascii="Times New Roman" w:eastAsia="SimSun" w:hAnsi="Times New Roman" w:cs="Times New Roman"/>
          <w:b/>
          <w:bCs/>
          <w:sz w:val="24"/>
          <w:szCs w:val="24"/>
          <w:shd w:val="clear" w:color="auto" w:fill="FFFFFF"/>
        </w:rPr>
        <w:t>CONCLUSION</w:t>
      </w:r>
      <w:r w:rsidR="006A4BFC" w:rsidRPr="00AB759C">
        <w:rPr>
          <w:rFonts w:ascii="Times New Roman" w:eastAsia="SimSun" w:hAnsi="Times New Roman" w:cs="Times New Roman"/>
          <w:b/>
          <w:bCs/>
          <w:sz w:val="24"/>
          <w:szCs w:val="24"/>
          <w:shd w:val="clear" w:color="auto" w:fill="FFFFFF"/>
        </w:rPr>
        <w:t xml:space="preserve"> </w:t>
      </w:r>
    </w:p>
    <w:p w14:paraId="4B4B81C4" w14:textId="40A9F6A4" w:rsidR="009A5F8B" w:rsidRDefault="006A4BFC" w:rsidP="006A4BFC">
      <w:pPr>
        <w:jc w:val="both"/>
        <w:rPr>
          <w:rFonts w:ascii="Times New Roman" w:eastAsia="SimSun" w:hAnsi="Times New Roman" w:cs="Times New Roman"/>
          <w:sz w:val="24"/>
          <w:szCs w:val="24"/>
          <w:shd w:val="clear" w:color="auto" w:fill="FFFFFF"/>
        </w:rPr>
      </w:pPr>
      <w:r w:rsidRPr="006A4BFC">
        <w:rPr>
          <w:rFonts w:ascii="Times New Roman" w:eastAsia="SimSun" w:hAnsi="Times New Roman" w:cs="Times New Roman"/>
          <w:sz w:val="24"/>
          <w:szCs w:val="24"/>
          <w:shd w:val="clear" w:color="auto" w:fill="FFFFFF"/>
        </w:rPr>
        <w:t xml:space="preserve">According to the findings, some of the </w:t>
      </w:r>
      <w:r w:rsidR="000C5120">
        <w:rPr>
          <w:rFonts w:ascii="Times New Roman" w:eastAsia="SimSun" w:hAnsi="Times New Roman" w:cs="Times New Roman"/>
          <w:sz w:val="24"/>
          <w:szCs w:val="24"/>
          <w:shd w:val="clear" w:color="auto" w:fill="FFFFFF"/>
        </w:rPr>
        <w:t>physicochemical</w:t>
      </w:r>
      <w:r w:rsidRPr="006A4BFC">
        <w:rPr>
          <w:rFonts w:ascii="Times New Roman" w:eastAsia="SimSun" w:hAnsi="Times New Roman" w:cs="Times New Roman"/>
          <w:sz w:val="24"/>
          <w:szCs w:val="24"/>
          <w:shd w:val="clear" w:color="auto" w:fill="FFFFFF"/>
        </w:rPr>
        <w:t xml:space="preserve"> parameters in soil that is polluted with condensate and electric transformers are higher than in the control sample (uncontaminated soil). Some of the heavy metals investigated in thermal power plant condensate and utilized electrical transformer oil may have originated from the origin of the transformer oil and natural gas. These metals may have also originated from the processes that take place within the facility. The presence of these metals in the polluted soil suggests that the condensate and electric transformer oil site soil may have accumulated in it over the year. The </w:t>
      </w:r>
      <w:r w:rsidR="000C5120" w:rsidRPr="006A4BFC">
        <w:rPr>
          <w:rFonts w:ascii="Times New Roman" w:eastAsia="SimSun" w:hAnsi="Times New Roman" w:cs="Times New Roman"/>
          <w:sz w:val="24"/>
          <w:szCs w:val="24"/>
          <w:shd w:val="clear" w:color="auto" w:fill="FFFFFF"/>
        </w:rPr>
        <w:t>number</w:t>
      </w:r>
      <w:r w:rsidRPr="006A4BFC">
        <w:rPr>
          <w:rFonts w:ascii="Times New Roman" w:eastAsia="SimSun" w:hAnsi="Times New Roman" w:cs="Times New Roman"/>
          <w:sz w:val="24"/>
          <w:szCs w:val="24"/>
          <w:shd w:val="clear" w:color="auto" w:fill="FFFFFF"/>
        </w:rPr>
        <w:t xml:space="preserve"> of metals that earthworms accumulated was proportional to the level of pollution. Even if the quantities of the metals were below the DPR restriction, their persistence in the soil over time might have a negative impact on the earthworm, which would eventually have an impact on the earthworm's function in the soil and result in a loss of soil fertility. Additionally, the metal's concentration in soil is a direct risk to people, but the potential for groundwater contamination and erosion into nearby water bodies is cause for worry due to the lack of an adequate leachate collection system in the power plant.</w:t>
      </w:r>
    </w:p>
    <w:p w14:paraId="4B59A494" w14:textId="77777777" w:rsidR="000C5120" w:rsidRDefault="000C5120" w:rsidP="006A4BFC">
      <w:pPr>
        <w:jc w:val="both"/>
        <w:rPr>
          <w:rFonts w:ascii="Times New Roman" w:eastAsia="SimSun" w:hAnsi="Times New Roman" w:cs="Times New Roman"/>
          <w:sz w:val="24"/>
          <w:szCs w:val="24"/>
          <w:shd w:val="clear" w:color="auto" w:fill="FFFFFF"/>
        </w:rPr>
      </w:pPr>
    </w:p>
    <w:p w14:paraId="5CD2372D" w14:textId="079B9E0E" w:rsidR="00AB759C" w:rsidRDefault="00AB759C" w:rsidP="006A4BFC">
      <w:pPr>
        <w:jc w:val="both"/>
        <w:rPr>
          <w:rFonts w:ascii="Times New Roman" w:eastAsia="SimSun" w:hAnsi="Times New Roman" w:cs="Times New Roman"/>
          <w:sz w:val="24"/>
          <w:szCs w:val="24"/>
          <w:shd w:val="clear" w:color="auto" w:fill="FFFFFF"/>
        </w:rPr>
      </w:pPr>
    </w:p>
    <w:p w14:paraId="01E19261" w14:textId="184B42E8" w:rsidR="00AB759C" w:rsidRPr="00AB759C" w:rsidRDefault="00AB759C" w:rsidP="00AB759C">
      <w:pPr>
        <w:autoSpaceDE w:val="0"/>
        <w:autoSpaceDN w:val="0"/>
        <w:adjustRightInd w:val="0"/>
        <w:spacing w:after="0" w:line="360" w:lineRule="auto"/>
        <w:jc w:val="both"/>
        <w:rPr>
          <w:rFonts w:ascii="Times New Roman" w:eastAsia="Humanist777BT-RomanB" w:hAnsi="Times New Roman" w:cs="Times New Roman"/>
          <w:b/>
          <w:bCs/>
          <w:sz w:val="24"/>
          <w:szCs w:val="24"/>
          <w:lang w:eastAsia="zh-CN" w:bidi="ar"/>
        </w:rPr>
      </w:pPr>
      <w:r w:rsidRPr="00AB759C">
        <w:rPr>
          <w:rFonts w:ascii="Times New Roman" w:hAnsi="Times New Roman" w:cs="Times New Roman"/>
          <w:b/>
          <w:bCs/>
          <w:sz w:val="24"/>
          <w:szCs w:val="24"/>
        </w:rPr>
        <w:lastRenderedPageBreak/>
        <w:t>REFERENCE</w:t>
      </w:r>
    </w:p>
    <w:p w14:paraId="45B94717" w14:textId="0910931A" w:rsidR="00AB759C" w:rsidRDefault="00AB759C" w:rsidP="00AB759C">
      <w:pPr>
        <w:ind w:left="720" w:hanging="720"/>
        <w:jc w:val="both"/>
        <w:rPr>
          <w:rFonts w:ascii="Times New Roman" w:hAnsi="Times New Roman" w:cs="Times New Roman"/>
          <w:sz w:val="24"/>
          <w:szCs w:val="24"/>
        </w:rPr>
      </w:pPr>
      <w:r>
        <w:rPr>
          <w:rFonts w:ascii="Times New Roman" w:eastAsia="Humanist777BT-RomanB" w:hAnsi="Times New Roman" w:cs="Times New Roman"/>
          <w:sz w:val="24"/>
          <w:szCs w:val="24"/>
          <w:lang w:eastAsia="zh-CN" w:bidi="ar"/>
        </w:rPr>
        <w:t xml:space="preserve">Adamu, Y. </w:t>
      </w:r>
      <w:proofErr w:type="gramStart"/>
      <w:r>
        <w:rPr>
          <w:rFonts w:ascii="Times New Roman" w:eastAsia="Humanist777BT-RomanB" w:hAnsi="Times New Roman" w:cs="Times New Roman"/>
          <w:sz w:val="24"/>
          <w:szCs w:val="24"/>
          <w:lang w:eastAsia="zh-CN" w:bidi="ar"/>
        </w:rPr>
        <w:t>A. ,</w:t>
      </w:r>
      <w:proofErr w:type="gramEnd"/>
      <w:r>
        <w:rPr>
          <w:rFonts w:ascii="Times New Roman" w:eastAsia="Humanist777BT-RomanB" w:hAnsi="Times New Roman" w:cs="Times New Roman"/>
          <w:sz w:val="24"/>
          <w:szCs w:val="24"/>
          <w:lang w:eastAsia="zh-CN" w:bidi="ar"/>
        </w:rPr>
        <w:t xml:space="preserve"> Musa, Y. and Nasir, S (2023). Phytoremediation Potential of </w:t>
      </w:r>
      <w:r>
        <w:rPr>
          <w:rFonts w:ascii="Times New Roman" w:eastAsia="Humanist777BT-RomanB" w:hAnsi="Times New Roman" w:cs="Times New Roman"/>
          <w:i/>
          <w:iCs/>
          <w:sz w:val="24"/>
          <w:szCs w:val="24"/>
          <w:lang w:eastAsia="zh-CN" w:bidi="ar"/>
        </w:rPr>
        <w:t>Ficus Benjamina</w:t>
      </w:r>
      <w:r>
        <w:rPr>
          <w:rFonts w:ascii="Times New Roman" w:eastAsia="Humanist777BT-RomanB" w:hAnsi="Times New Roman" w:cs="Times New Roman"/>
          <w:sz w:val="24"/>
          <w:szCs w:val="24"/>
          <w:lang w:eastAsia="zh-CN" w:bidi="ar"/>
        </w:rPr>
        <w:t xml:space="preserve"> for the removal of Naphthalene, Acenaphthene and Phenanthrene in Contaminated Soil,</w:t>
      </w:r>
      <w:r>
        <w:rPr>
          <w:rFonts w:ascii="Times New Roman" w:eastAsia="Humanist777BT-RomanB" w:hAnsi="Times New Roman" w:cs="Times New Roman"/>
          <w:i/>
          <w:iCs/>
          <w:sz w:val="24"/>
          <w:szCs w:val="24"/>
          <w:lang w:eastAsia="zh-CN" w:bidi="ar"/>
        </w:rPr>
        <w:t xml:space="preserve"> </w:t>
      </w:r>
      <w:proofErr w:type="spellStart"/>
      <w:r>
        <w:rPr>
          <w:rFonts w:ascii="Times New Roman" w:eastAsia="Humanist521BT-Bold" w:hAnsi="Times New Roman" w:cs="Times New Roman"/>
          <w:i/>
          <w:iCs/>
          <w:sz w:val="24"/>
          <w:szCs w:val="24"/>
          <w:lang w:eastAsia="zh-CN" w:bidi="ar"/>
        </w:rPr>
        <w:t>Dutse</w:t>
      </w:r>
      <w:proofErr w:type="spellEnd"/>
      <w:r>
        <w:rPr>
          <w:rFonts w:ascii="Times New Roman" w:eastAsia="Humanist521BT-Bold" w:hAnsi="Times New Roman" w:cs="Times New Roman"/>
          <w:i/>
          <w:iCs/>
          <w:sz w:val="24"/>
          <w:szCs w:val="24"/>
          <w:lang w:eastAsia="zh-CN" w:bidi="ar"/>
        </w:rPr>
        <w:t xml:space="preserve"> Journal of Pure and Applied Sciences (DUJOPAS</w:t>
      </w:r>
      <w:proofErr w:type="gramStart"/>
      <w:r>
        <w:rPr>
          <w:rFonts w:ascii="Times New Roman" w:eastAsia="Humanist521BT-BoldItalic" w:hAnsi="Times New Roman" w:cs="Times New Roman"/>
          <w:i/>
          <w:iCs/>
          <w:sz w:val="24"/>
          <w:szCs w:val="24"/>
          <w:lang w:eastAsia="zh-CN" w:bidi="ar"/>
        </w:rPr>
        <w:t>),</w:t>
      </w:r>
      <w:r>
        <w:rPr>
          <w:rFonts w:ascii="Times New Roman" w:eastAsia="Humanist521BT-Italic" w:hAnsi="Times New Roman" w:cs="Times New Roman"/>
          <w:i/>
          <w:iCs/>
          <w:sz w:val="24"/>
          <w:szCs w:val="24"/>
          <w:lang w:eastAsia="zh-CN" w:bidi="ar"/>
        </w:rPr>
        <w:t>.</w:t>
      </w:r>
      <w:proofErr w:type="gramEnd"/>
      <w:r>
        <w:rPr>
          <w:rFonts w:ascii="Times New Roman" w:eastAsia="Humanist521BT-Italic" w:hAnsi="Times New Roman" w:cs="Times New Roman"/>
          <w:i/>
          <w:iCs/>
          <w:sz w:val="24"/>
          <w:szCs w:val="24"/>
          <w:lang w:eastAsia="zh-CN" w:bidi="ar"/>
        </w:rPr>
        <w:t xml:space="preserve"> 9</w:t>
      </w:r>
      <w:r w:rsidR="00B8669C">
        <w:rPr>
          <w:rFonts w:ascii="Times New Roman" w:eastAsia="Humanist521BT-Italic" w:hAnsi="Times New Roman" w:cs="Times New Roman"/>
          <w:i/>
          <w:iCs/>
          <w:sz w:val="24"/>
          <w:szCs w:val="24"/>
          <w:lang w:eastAsia="zh-CN" w:bidi="ar"/>
        </w:rPr>
        <w:t xml:space="preserve"> </w:t>
      </w:r>
      <w:r>
        <w:rPr>
          <w:rFonts w:ascii="Times New Roman" w:eastAsia="Humanist521BT-Italic" w:hAnsi="Times New Roman" w:cs="Times New Roman"/>
          <w:i/>
          <w:iCs/>
          <w:sz w:val="24"/>
          <w:szCs w:val="24"/>
          <w:lang w:eastAsia="zh-CN" w:bidi="ar"/>
        </w:rPr>
        <w:t xml:space="preserve">(2), </w:t>
      </w:r>
      <w:r>
        <w:rPr>
          <w:rFonts w:ascii="Times New Roman" w:eastAsia="Humanist777BT-RomanB" w:hAnsi="Times New Roman" w:cs="Times New Roman"/>
          <w:sz w:val="24"/>
          <w:szCs w:val="24"/>
          <w:lang w:eastAsia="zh-CN" w:bidi="ar"/>
        </w:rPr>
        <w:t>238-247</w:t>
      </w:r>
    </w:p>
    <w:p w14:paraId="6FE90B81" w14:textId="6717F9D0"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Times-Roman" w:hAnsi="Times New Roman" w:cs="Times New Roman"/>
          <w:sz w:val="24"/>
          <w:szCs w:val="24"/>
          <w:lang w:eastAsia="zh-CN" w:bidi="ar"/>
        </w:rPr>
        <w:t>Agamuthu</w:t>
      </w:r>
      <w:proofErr w:type="spellEnd"/>
      <w:r>
        <w:rPr>
          <w:rFonts w:ascii="Times New Roman" w:eastAsia="Times-Roman" w:hAnsi="Times New Roman" w:cs="Times New Roman"/>
          <w:sz w:val="24"/>
          <w:szCs w:val="24"/>
          <w:lang w:eastAsia="zh-CN" w:bidi="ar"/>
        </w:rPr>
        <w:t xml:space="preserve">, P.; </w:t>
      </w:r>
      <w:proofErr w:type="spellStart"/>
      <w:r>
        <w:rPr>
          <w:rFonts w:ascii="Times New Roman" w:eastAsia="Times-Roman" w:hAnsi="Times New Roman" w:cs="Times New Roman"/>
          <w:sz w:val="24"/>
          <w:szCs w:val="24"/>
          <w:lang w:eastAsia="zh-CN" w:bidi="ar"/>
        </w:rPr>
        <w:t>Dadrasnia</w:t>
      </w:r>
      <w:proofErr w:type="spellEnd"/>
      <w:r>
        <w:rPr>
          <w:rFonts w:ascii="Times New Roman" w:eastAsia="Times-Roman" w:hAnsi="Times New Roman" w:cs="Times New Roman"/>
          <w:sz w:val="24"/>
          <w:szCs w:val="24"/>
          <w:lang w:eastAsia="zh-CN" w:bidi="ar"/>
        </w:rPr>
        <w:t>, A.</w:t>
      </w:r>
      <w:r w:rsidR="00B8669C">
        <w:rPr>
          <w:rFonts w:ascii="Times New Roman" w:eastAsia="Times-Roman" w:hAnsi="Times New Roman" w:cs="Times New Roman"/>
          <w:sz w:val="24"/>
          <w:szCs w:val="24"/>
          <w:lang w:eastAsia="zh-CN" w:bidi="ar"/>
        </w:rPr>
        <w:t xml:space="preserve"> </w:t>
      </w:r>
      <w:r>
        <w:rPr>
          <w:rFonts w:ascii="Times New Roman" w:eastAsia="Times-Roman" w:hAnsi="Times New Roman" w:cs="Times New Roman"/>
          <w:sz w:val="24"/>
          <w:szCs w:val="24"/>
          <w:lang w:eastAsia="zh-CN" w:bidi="ar"/>
        </w:rPr>
        <w:t xml:space="preserve">(2013). Potential of biowastes to remediate diesel </w:t>
      </w:r>
      <w:r w:rsidR="00B8669C">
        <w:rPr>
          <w:rFonts w:ascii="Times New Roman" w:eastAsia="Times-Roman" w:hAnsi="Times New Roman" w:cs="Times New Roman"/>
          <w:sz w:val="24"/>
          <w:szCs w:val="24"/>
          <w:lang w:eastAsia="zh-CN" w:bidi="ar"/>
        </w:rPr>
        <w:t>fuel-contaminated</w:t>
      </w:r>
      <w:r>
        <w:rPr>
          <w:rFonts w:ascii="Times New Roman" w:eastAsia="Times-Roman" w:hAnsi="Times New Roman" w:cs="Times New Roman"/>
          <w:sz w:val="24"/>
          <w:szCs w:val="24"/>
          <w:lang w:eastAsia="zh-CN" w:bidi="ar"/>
        </w:rPr>
        <w:t xml:space="preserve"> </w:t>
      </w:r>
      <w:proofErr w:type="spellStart"/>
      <w:proofErr w:type="gramStart"/>
      <w:r>
        <w:rPr>
          <w:rFonts w:ascii="Times New Roman" w:eastAsia="Times-Roman" w:hAnsi="Times New Roman" w:cs="Times New Roman"/>
          <w:sz w:val="24"/>
          <w:szCs w:val="24"/>
          <w:lang w:eastAsia="zh-CN" w:bidi="ar"/>
        </w:rPr>
        <w:t>soil.</w:t>
      </w:r>
      <w:r>
        <w:rPr>
          <w:rFonts w:ascii="Times New Roman" w:eastAsia="Times-Italic" w:hAnsi="Times New Roman" w:cs="Times New Roman"/>
          <w:i/>
          <w:iCs/>
          <w:sz w:val="24"/>
          <w:szCs w:val="24"/>
          <w:lang w:eastAsia="zh-CN" w:bidi="ar"/>
        </w:rPr>
        <w:t>Global</w:t>
      </w:r>
      <w:proofErr w:type="spellEnd"/>
      <w:proofErr w:type="gramEnd"/>
      <w:r>
        <w:rPr>
          <w:rFonts w:ascii="Times New Roman" w:eastAsia="Times-Italic" w:hAnsi="Times New Roman" w:cs="Times New Roman"/>
          <w:i/>
          <w:iCs/>
          <w:sz w:val="24"/>
          <w:szCs w:val="24"/>
          <w:lang w:eastAsia="zh-CN" w:bidi="ar"/>
        </w:rPr>
        <w:t xml:space="preserve"> NEST Journal,</w:t>
      </w:r>
      <w:r>
        <w:rPr>
          <w:rFonts w:ascii="Times New Roman" w:eastAsia="Times-Roman" w:hAnsi="Times New Roman" w:cs="Times New Roman"/>
          <w:sz w:val="24"/>
          <w:szCs w:val="24"/>
          <w:lang w:eastAsia="zh-CN" w:bidi="ar"/>
        </w:rPr>
        <w:t xml:space="preserve"> 15(4): 474 - 484.</w:t>
      </w:r>
    </w:p>
    <w:p w14:paraId="5A6B5603" w14:textId="77777777" w:rsidR="00AB759C" w:rsidRDefault="00AB759C" w:rsidP="00AB759C">
      <w:pPr>
        <w:ind w:left="720" w:hanging="720"/>
        <w:jc w:val="both"/>
        <w:rPr>
          <w:rFonts w:ascii="Times New Roman" w:hAnsi="Times New Roman" w:cs="Times New Roman"/>
          <w:sz w:val="24"/>
          <w:szCs w:val="24"/>
        </w:rPr>
      </w:pPr>
      <w:r>
        <w:rPr>
          <w:rFonts w:ascii="Times New Roman" w:eastAsia="AdvOT1ef757c0" w:hAnsi="Times New Roman" w:cs="Times New Roman"/>
          <w:sz w:val="24"/>
          <w:szCs w:val="24"/>
          <w:lang w:eastAsia="zh-CN" w:bidi="ar"/>
        </w:rPr>
        <w:t xml:space="preserve">Akhila, A., and </w:t>
      </w:r>
      <w:proofErr w:type="spellStart"/>
      <w:r>
        <w:rPr>
          <w:rFonts w:ascii="Times New Roman" w:eastAsia="AdvOT1ef757c0" w:hAnsi="Times New Roman" w:cs="Times New Roman"/>
          <w:sz w:val="24"/>
          <w:szCs w:val="24"/>
          <w:lang w:eastAsia="zh-CN" w:bidi="ar"/>
        </w:rPr>
        <w:t>Entoori</w:t>
      </w:r>
      <w:proofErr w:type="spellEnd"/>
      <w:r>
        <w:rPr>
          <w:rFonts w:ascii="Times New Roman" w:eastAsia="AdvOT1ef757c0" w:hAnsi="Times New Roman" w:cs="Times New Roman"/>
          <w:sz w:val="24"/>
          <w:szCs w:val="24"/>
          <w:lang w:eastAsia="zh-CN" w:bidi="ar"/>
        </w:rPr>
        <w:t xml:space="preserve">, K. (2022). Role of earthworms in soil fertility and its impact on agriculture: A review. </w:t>
      </w:r>
      <w:r>
        <w:rPr>
          <w:rFonts w:ascii="Times New Roman" w:eastAsia="AdvOT7d6df7ab.I" w:hAnsi="Times New Roman" w:cs="Times New Roman"/>
          <w:i/>
          <w:iCs/>
          <w:sz w:val="24"/>
          <w:szCs w:val="24"/>
          <w:lang w:eastAsia="zh-CN" w:bidi="ar"/>
        </w:rPr>
        <w:t xml:space="preserve">International Journal </w:t>
      </w:r>
      <w:proofErr w:type="gramStart"/>
      <w:r>
        <w:rPr>
          <w:rFonts w:ascii="Times New Roman" w:eastAsia="AdvOT7d6df7ab.I" w:hAnsi="Times New Roman" w:cs="Times New Roman"/>
          <w:i/>
          <w:iCs/>
          <w:sz w:val="24"/>
          <w:szCs w:val="24"/>
          <w:lang w:eastAsia="zh-CN" w:bidi="ar"/>
        </w:rPr>
        <w:t>of  Fauna</w:t>
      </w:r>
      <w:proofErr w:type="gramEnd"/>
      <w:r>
        <w:rPr>
          <w:rFonts w:ascii="Times New Roman" w:eastAsia="AdvOT7d6df7ab.I" w:hAnsi="Times New Roman" w:cs="Times New Roman"/>
          <w:i/>
          <w:iCs/>
          <w:sz w:val="24"/>
          <w:szCs w:val="24"/>
          <w:lang w:eastAsia="zh-CN" w:bidi="ar"/>
        </w:rPr>
        <w:t xml:space="preserve"> and Biological Studies,</w:t>
      </w:r>
      <w:r>
        <w:rPr>
          <w:rFonts w:ascii="Times New Roman" w:eastAsia="AdvOT7d6df7ab.I" w:hAnsi="Times New Roman" w:cs="Times New Roman"/>
          <w:sz w:val="24"/>
          <w:szCs w:val="24"/>
          <w:lang w:eastAsia="zh-CN" w:bidi="ar"/>
        </w:rPr>
        <w:t xml:space="preserve"> </w:t>
      </w:r>
      <w:r>
        <w:rPr>
          <w:rFonts w:ascii="Times New Roman" w:eastAsia="AdvOT1ef757c0" w:hAnsi="Times New Roman" w:cs="Times New Roman"/>
          <w:sz w:val="24"/>
          <w:szCs w:val="24"/>
          <w:lang w:eastAsia="zh-CN" w:bidi="ar"/>
        </w:rPr>
        <w:t>9 (3): 55</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 xml:space="preserve">63.  </w:t>
      </w:r>
    </w:p>
    <w:p w14:paraId="5202BC40" w14:textId="078AB6EF" w:rsidR="00AB759C" w:rsidRDefault="00AB759C" w:rsidP="00AB759C">
      <w:pPr>
        <w:ind w:left="720" w:hanging="720"/>
        <w:jc w:val="both"/>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Arora M, Kiran B, Rani S, Rani A, Kaur B, Mittal N (2008) Heavy metal accumulation in vegetables irrigated with water from different sources. </w:t>
      </w:r>
      <w:r>
        <w:rPr>
          <w:rFonts w:ascii="Times New Roman" w:eastAsia="SimSun" w:hAnsi="Times New Roman" w:cs="Times New Roman"/>
          <w:i/>
          <w:iCs/>
          <w:sz w:val="24"/>
          <w:szCs w:val="24"/>
          <w:lang w:eastAsia="zh-CN" w:bidi="ar"/>
        </w:rPr>
        <w:t>Food Chemistry</w:t>
      </w:r>
      <w:r>
        <w:rPr>
          <w:rFonts w:ascii="Times New Roman" w:eastAsia="SimSun" w:hAnsi="Times New Roman" w:cs="Times New Roman"/>
          <w:sz w:val="24"/>
          <w:szCs w:val="24"/>
          <w:lang w:eastAsia="zh-CN" w:bidi="ar"/>
        </w:rPr>
        <w:t xml:space="preserve"> 111, 811-815.</w:t>
      </w:r>
    </w:p>
    <w:p w14:paraId="4DFCB718" w14:textId="0B9C2A84"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Book Antiqua" w:hAnsi="Times New Roman" w:cs="Times New Roman"/>
          <w:sz w:val="24"/>
          <w:szCs w:val="24"/>
          <w:lang w:eastAsia="zh-CN" w:bidi="ar"/>
        </w:rPr>
        <w:t>Atarfar</w:t>
      </w:r>
      <w:proofErr w:type="spellEnd"/>
      <w:r>
        <w:rPr>
          <w:rFonts w:ascii="Times New Roman" w:eastAsia="Book Antiqua" w:hAnsi="Times New Roman" w:cs="Times New Roman"/>
          <w:sz w:val="24"/>
          <w:szCs w:val="24"/>
          <w:lang w:eastAsia="zh-CN" w:bidi="ar"/>
        </w:rPr>
        <w:t xml:space="preserve">, Z., </w:t>
      </w:r>
      <w:proofErr w:type="spellStart"/>
      <w:r>
        <w:rPr>
          <w:rFonts w:ascii="Times New Roman" w:eastAsia="Book Antiqua" w:hAnsi="Times New Roman" w:cs="Times New Roman"/>
          <w:sz w:val="24"/>
          <w:szCs w:val="24"/>
          <w:lang w:eastAsia="zh-CN" w:bidi="ar"/>
        </w:rPr>
        <w:t>Mesdaghinia</w:t>
      </w:r>
      <w:proofErr w:type="spellEnd"/>
      <w:r>
        <w:rPr>
          <w:rFonts w:ascii="Times New Roman" w:eastAsia="Book Antiqua" w:hAnsi="Times New Roman" w:cs="Times New Roman"/>
          <w:sz w:val="24"/>
          <w:szCs w:val="24"/>
          <w:lang w:eastAsia="zh-CN" w:bidi="ar"/>
        </w:rPr>
        <w:t xml:space="preserve">, A. R., Nouri, J., </w:t>
      </w:r>
      <w:proofErr w:type="spellStart"/>
      <w:r>
        <w:rPr>
          <w:rFonts w:ascii="Times New Roman" w:eastAsia="Book Antiqua" w:hAnsi="Times New Roman" w:cs="Times New Roman"/>
          <w:sz w:val="24"/>
          <w:szCs w:val="24"/>
          <w:lang w:eastAsia="zh-CN" w:bidi="ar"/>
        </w:rPr>
        <w:t>Homaea</w:t>
      </w:r>
      <w:proofErr w:type="spellEnd"/>
      <w:r>
        <w:rPr>
          <w:rFonts w:ascii="Times New Roman" w:eastAsia="Book Antiqua" w:hAnsi="Times New Roman" w:cs="Times New Roman"/>
          <w:sz w:val="24"/>
          <w:szCs w:val="24"/>
          <w:lang w:eastAsia="zh-CN" w:bidi="ar"/>
        </w:rPr>
        <w:t xml:space="preserve">, M., </w:t>
      </w:r>
      <w:proofErr w:type="spellStart"/>
      <w:r>
        <w:rPr>
          <w:rFonts w:ascii="Times New Roman" w:eastAsia="Book Antiqua" w:hAnsi="Times New Roman" w:cs="Times New Roman"/>
          <w:sz w:val="24"/>
          <w:szCs w:val="24"/>
          <w:lang w:eastAsia="zh-CN" w:bidi="ar"/>
        </w:rPr>
        <w:t>Yunesian</w:t>
      </w:r>
      <w:proofErr w:type="spellEnd"/>
      <w:r>
        <w:rPr>
          <w:rFonts w:ascii="Times New Roman" w:eastAsia="Book Antiqua" w:hAnsi="Times New Roman" w:cs="Times New Roman"/>
          <w:sz w:val="24"/>
          <w:szCs w:val="24"/>
          <w:lang w:eastAsia="zh-CN" w:bidi="ar"/>
        </w:rPr>
        <w:t xml:space="preserve">, M., </w:t>
      </w:r>
      <w:proofErr w:type="spellStart"/>
      <w:r>
        <w:rPr>
          <w:rFonts w:ascii="Times New Roman" w:eastAsia="Book Antiqua" w:hAnsi="Times New Roman" w:cs="Times New Roman"/>
          <w:sz w:val="24"/>
          <w:szCs w:val="24"/>
          <w:lang w:eastAsia="zh-CN" w:bidi="ar"/>
        </w:rPr>
        <w:t>Ahmadimoghaddam</w:t>
      </w:r>
      <w:proofErr w:type="spellEnd"/>
      <w:r>
        <w:rPr>
          <w:rFonts w:ascii="Times New Roman" w:eastAsia="Book Antiqua" w:hAnsi="Times New Roman" w:cs="Times New Roman"/>
          <w:sz w:val="24"/>
          <w:szCs w:val="24"/>
          <w:lang w:eastAsia="zh-CN" w:bidi="ar"/>
        </w:rPr>
        <w:t>, M.</w:t>
      </w:r>
      <w:r w:rsidR="00B8669C">
        <w:rPr>
          <w:rFonts w:ascii="Times New Roman" w:eastAsia="Book Antiqua" w:hAnsi="Times New Roman" w:cs="Times New Roman"/>
          <w:sz w:val="24"/>
          <w:szCs w:val="24"/>
          <w:lang w:eastAsia="zh-CN" w:bidi="ar"/>
        </w:rPr>
        <w:t>,</w:t>
      </w:r>
      <w:r>
        <w:rPr>
          <w:rFonts w:ascii="Times New Roman" w:eastAsia="Book Antiqua" w:hAnsi="Times New Roman" w:cs="Times New Roman"/>
          <w:sz w:val="24"/>
          <w:szCs w:val="24"/>
          <w:lang w:eastAsia="zh-CN" w:bidi="ar"/>
        </w:rPr>
        <w:t xml:space="preserve"> and </w:t>
      </w:r>
      <w:proofErr w:type="spellStart"/>
      <w:r>
        <w:rPr>
          <w:rFonts w:ascii="Times New Roman" w:eastAsia="Book Antiqua" w:hAnsi="Times New Roman" w:cs="Times New Roman"/>
          <w:sz w:val="24"/>
          <w:szCs w:val="24"/>
          <w:lang w:eastAsia="zh-CN" w:bidi="ar"/>
        </w:rPr>
        <w:t>Mahvi</w:t>
      </w:r>
      <w:proofErr w:type="spellEnd"/>
      <w:r>
        <w:rPr>
          <w:rFonts w:ascii="Times New Roman" w:eastAsia="Book Antiqua" w:hAnsi="Times New Roman" w:cs="Times New Roman"/>
          <w:sz w:val="24"/>
          <w:szCs w:val="24"/>
          <w:lang w:eastAsia="zh-CN" w:bidi="ar"/>
        </w:rPr>
        <w:t xml:space="preserve">, A. H. (2010). Effect of fertilizer application on soil heavy </w:t>
      </w:r>
      <w:r w:rsidR="00B8669C">
        <w:rPr>
          <w:rFonts w:ascii="Times New Roman" w:eastAsia="Book Antiqua" w:hAnsi="Times New Roman" w:cs="Times New Roman"/>
          <w:sz w:val="24"/>
          <w:szCs w:val="24"/>
          <w:lang w:eastAsia="zh-CN" w:bidi="ar"/>
        </w:rPr>
        <w:t>metal</w:t>
      </w:r>
      <w:r>
        <w:rPr>
          <w:rFonts w:ascii="Times New Roman" w:eastAsia="Book Antiqua" w:hAnsi="Times New Roman" w:cs="Times New Roman"/>
          <w:sz w:val="24"/>
          <w:szCs w:val="24"/>
          <w:lang w:eastAsia="zh-CN" w:bidi="ar"/>
        </w:rPr>
        <w:t xml:space="preserve"> concentration. Environmental</w:t>
      </w:r>
      <w:r>
        <w:rPr>
          <w:rFonts w:ascii="Times New Roman" w:eastAsia="BookAntiqua-Italic" w:hAnsi="Times New Roman" w:cs="Times New Roman"/>
          <w:i/>
          <w:iCs/>
          <w:sz w:val="24"/>
          <w:szCs w:val="24"/>
          <w:lang w:eastAsia="zh-CN" w:bidi="ar"/>
        </w:rPr>
        <w:t xml:space="preserve"> </w:t>
      </w:r>
      <w:r w:rsidR="00B8669C">
        <w:rPr>
          <w:rFonts w:ascii="Times New Roman" w:eastAsia="BookAntiqua-Italic" w:hAnsi="Times New Roman" w:cs="Times New Roman"/>
          <w:i/>
          <w:iCs/>
          <w:sz w:val="24"/>
          <w:szCs w:val="24"/>
          <w:lang w:eastAsia="zh-CN" w:bidi="ar"/>
        </w:rPr>
        <w:t>Monitoring</w:t>
      </w:r>
      <w:r>
        <w:rPr>
          <w:rFonts w:ascii="Times New Roman" w:eastAsia="BookAntiqua-Italic" w:hAnsi="Times New Roman" w:cs="Times New Roman"/>
          <w:i/>
          <w:iCs/>
          <w:sz w:val="24"/>
          <w:szCs w:val="24"/>
          <w:lang w:eastAsia="zh-CN" w:bidi="ar"/>
        </w:rPr>
        <w:t xml:space="preserve"> and Assessment</w:t>
      </w:r>
      <w:r>
        <w:rPr>
          <w:rFonts w:ascii="Times New Roman" w:eastAsia="Book Antiqua" w:hAnsi="Times New Roman" w:cs="Times New Roman"/>
          <w:sz w:val="24"/>
          <w:szCs w:val="24"/>
          <w:lang w:eastAsia="zh-CN" w:bidi="ar"/>
        </w:rPr>
        <w:t>, 160 (1-4):83-96</w:t>
      </w:r>
    </w:p>
    <w:p w14:paraId="7308F75F" w14:textId="2789A8A8"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Augustyniak, M. </w:t>
      </w:r>
      <w:r w:rsidR="00B8669C">
        <w:rPr>
          <w:rFonts w:ascii="Times New Roman" w:hAnsi="Times New Roman" w:cs="Times New Roman"/>
          <w:sz w:val="24"/>
          <w:szCs w:val="24"/>
        </w:rPr>
        <w:t xml:space="preserve">and </w:t>
      </w:r>
      <w:proofErr w:type="spellStart"/>
      <w:r w:rsidR="00B8669C">
        <w:rPr>
          <w:rFonts w:ascii="Times New Roman" w:hAnsi="Times New Roman" w:cs="Times New Roman"/>
          <w:sz w:val="24"/>
          <w:szCs w:val="24"/>
        </w:rPr>
        <w:t>Migula</w:t>
      </w:r>
      <w:proofErr w:type="spellEnd"/>
      <w:r>
        <w:rPr>
          <w:rFonts w:ascii="Times New Roman" w:hAnsi="Times New Roman" w:cs="Times New Roman"/>
          <w:sz w:val="24"/>
          <w:szCs w:val="24"/>
        </w:rPr>
        <w:t>, P. (2000). Body Burden with Metals and Detoxifying Abilities of the Grasshopper—</w:t>
      </w:r>
      <w:proofErr w:type="spellStart"/>
      <w:r>
        <w:rPr>
          <w:rFonts w:ascii="Times New Roman" w:hAnsi="Times New Roman" w:cs="Times New Roman"/>
          <w:i/>
          <w:iCs/>
          <w:sz w:val="24"/>
          <w:szCs w:val="24"/>
        </w:rPr>
        <w:t>Chorthippus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brunneus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(Thunberg) from Industrially Polluted areas. In: Markert B, Friese K, editors. Trace elements—their distribution and effects in the environment. Amsterdam:  pp. 423–454.</w:t>
      </w:r>
    </w:p>
    <w:p w14:paraId="35F2D4E7" w14:textId="16438451" w:rsidR="00AB759C" w:rsidRDefault="00AB759C" w:rsidP="00AB759C">
      <w:pPr>
        <w:ind w:left="720" w:hanging="720"/>
        <w:jc w:val="both"/>
        <w:rPr>
          <w:rFonts w:ascii="Times New Roman" w:eastAsia="Times-Roman" w:hAnsi="Times New Roman" w:cs="Times New Roman"/>
          <w:sz w:val="24"/>
          <w:szCs w:val="24"/>
          <w:lang w:eastAsia="zh-CN" w:bidi="ar"/>
        </w:rPr>
      </w:pPr>
      <w:r>
        <w:rPr>
          <w:rFonts w:ascii="Times New Roman" w:eastAsia="Times-Roman" w:hAnsi="Times New Roman" w:cs="Times New Roman"/>
          <w:sz w:val="24"/>
          <w:szCs w:val="24"/>
          <w:lang w:eastAsia="zh-CN" w:bidi="ar"/>
        </w:rPr>
        <w:t>Bada, B. S. Arowolo, T. A.</w:t>
      </w:r>
      <w:r w:rsidR="00B8669C">
        <w:rPr>
          <w:rFonts w:ascii="Times New Roman" w:eastAsia="Times-Roman" w:hAnsi="Times New Roman" w:cs="Times New Roman"/>
          <w:sz w:val="24"/>
          <w:szCs w:val="24"/>
          <w:lang w:eastAsia="zh-CN" w:bidi="ar"/>
        </w:rPr>
        <w:t>,</w:t>
      </w:r>
      <w:r>
        <w:rPr>
          <w:rFonts w:ascii="Times New Roman" w:eastAsia="Times-Roman" w:hAnsi="Times New Roman" w:cs="Times New Roman"/>
          <w:sz w:val="24"/>
          <w:szCs w:val="24"/>
          <w:lang w:eastAsia="zh-CN" w:bidi="ar"/>
        </w:rPr>
        <w:t xml:space="preserve"> </w:t>
      </w:r>
      <w:proofErr w:type="spellStart"/>
      <w:r>
        <w:rPr>
          <w:rFonts w:ascii="Times New Roman" w:eastAsia="Times-Roman" w:hAnsi="Times New Roman" w:cs="Times New Roman"/>
          <w:sz w:val="24"/>
          <w:szCs w:val="24"/>
          <w:lang w:eastAsia="zh-CN" w:bidi="ar"/>
        </w:rPr>
        <w:t>Ozoike</w:t>
      </w:r>
      <w:proofErr w:type="spellEnd"/>
      <w:r>
        <w:rPr>
          <w:rFonts w:ascii="Times New Roman" w:eastAsia="Times-Roman" w:hAnsi="Times New Roman" w:cs="Times New Roman"/>
          <w:sz w:val="24"/>
          <w:szCs w:val="24"/>
          <w:lang w:eastAsia="zh-CN" w:bidi="ar"/>
        </w:rPr>
        <w:t>, P. N. (2014). Assessment of heavy metal content of soil and Kenaf (</w:t>
      </w:r>
      <w:r>
        <w:rPr>
          <w:rFonts w:ascii="Times New Roman" w:eastAsia="Times-Italic" w:hAnsi="Times New Roman" w:cs="Times New Roman"/>
          <w:i/>
          <w:iCs/>
          <w:sz w:val="24"/>
          <w:szCs w:val="24"/>
          <w:lang w:eastAsia="zh-CN" w:bidi="ar"/>
        </w:rPr>
        <w:t>Hibiscus cannabinus l.</w:t>
      </w:r>
      <w:r>
        <w:rPr>
          <w:rFonts w:ascii="Times New Roman" w:eastAsia="Times-Roman" w:hAnsi="Times New Roman" w:cs="Times New Roman"/>
          <w:sz w:val="24"/>
          <w:szCs w:val="24"/>
          <w:lang w:eastAsia="zh-CN" w:bidi="ar"/>
        </w:rPr>
        <w:t xml:space="preserve">) in a </w:t>
      </w:r>
      <w:r w:rsidR="00B8669C">
        <w:rPr>
          <w:rFonts w:ascii="Times New Roman" w:eastAsia="Times-Roman" w:hAnsi="Times New Roman" w:cs="Times New Roman"/>
          <w:sz w:val="24"/>
          <w:szCs w:val="24"/>
          <w:lang w:eastAsia="zh-CN" w:bidi="ar"/>
        </w:rPr>
        <w:t>nutrient-degraded</w:t>
      </w:r>
      <w:r>
        <w:rPr>
          <w:rFonts w:ascii="Times New Roman" w:eastAsia="Times-Roman" w:hAnsi="Times New Roman" w:cs="Times New Roman"/>
          <w:sz w:val="24"/>
          <w:szCs w:val="24"/>
          <w:lang w:eastAsia="zh-CN" w:bidi="ar"/>
        </w:rPr>
        <w:t xml:space="preserve"> soil amended with dairy sludge. </w:t>
      </w:r>
      <w:r>
        <w:rPr>
          <w:rFonts w:ascii="Times New Roman" w:eastAsia="Times-Italic" w:hAnsi="Times New Roman" w:cs="Times New Roman"/>
          <w:i/>
          <w:iCs/>
          <w:sz w:val="24"/>
          <w:szCs w:val="24"/>
          <w:lang w:eastAsia="zh-CN" w:bidi="ar"/>
        </w:rPr>
        <w:t>Journal of Applied Phytotechnology in Environmental Sanitation</w:t>
      </w:r>
      <w:r>
        <w:rPr>
          <w:rFonts w:ascii="Times New Roman" w:eastAsia="Times-Roman" w:hAnsi="Times New Roman" w:cs="Times New Roman"/>
          <w:sz w:val="24"/>
          <w:szCs w:val="24"/>
          <w:lang w:eastAsia="zh-CN" w:bidi="ar"/>
        </w:rPr>
        <w:t>, 3(4): 137 - 145</w:t>
      </w:r>
    </w:p>
    <w:p w14:paraId="3FDE81D4" w14:textId="5163D3D9"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Times-Bold" w:hAnsi="Times New Roman" w:cs="Times New Roman"/>
          <w:sz w:val="24"/>
          <w:szCs w:val="24"/>
          <w:lang w:eastAsia="zh-CN" w:bidi="ar"/>
        </w:rPr>
        <w:t xml:space="preserve">Bada, B. S., </w:t>
      </w:r>
      <w:proofErr w:type="spellStart"/>
      <w:r>
        <w:rPr>
          <w:rFonts w:ascii="Times New Roman" w:eastAsia="Times-Bold" w:hAnsi="Times New Roman" w:cs="Times New Roman"/>
          <w:sz w:val="24"/>
          <w:szCs w:val="24"/>
          <w:lang w:eastAsia="zh-CN" w:bidi="ar"/>
        </w:rPr>
        <w:t>Towolawi</w:t>
      </w:r>
      <w:proofErr w:type="spellEnd"/>
      <w:r>
        <w:rPr>
          <w:rFonts w:ascii="Times New Roman" w:eastAsia="Times-Bold" w:hAnsi="Times New Roman" w:cs="Times New Roman"/>
          <w:sz w:val="24"/>
          <w:szCs w:val="24"/>
          <w:lang w:eastAsia="zh-CN" w:bidi="ar"/>
        </w:rPr>
        <w:t>, A. T.</w:t>
      </w:r>
      <w:r w:rsidR="00B8669C">
        <w:rPr>
          <w:rFonts w:ascii="Times New Roman" w:eastAsia="Times-Bold" w:hAnsi="Times New Roman" w:cs="Times New Roman"/>
          <w:sz w:val="24"/>
          <w:szCs w:val="24"/>
          <w:lang w:eastAsia="zh-CN" w:bidi="ar"/>
        </w:rPr>
        <w:t>,</w:t>
      </w:r>
      <w:r>
        <w:rPr>
          <w:rFonts w:ascii="Times New Roman" w:eastAsia="Times-Bold" w:hAnsi="Times New Roman" w:cs="Times New Roman"/>
          <w:sz w:val="24"/>
          <w:szCs w:val="24"/>
          <w:lang w:eastAsia="zh-CN" w:bidi="ar"/>
        </w:rPr>
        <w:t xml:space="preserve"> and Anyiam, D. C. (2018). Biodegradation of Polycyclic Aromatic Hydrocarbons in Crude </w:t>
      </w:r>
      <w:r w:rsidR="00B8669C">
        <w:rPr>
          <w:rFonts w:ascii="Times New Roman" w:eastAsia="Times-Bold" w:hAnsi="Times New Roman" w:cs="Times New Roman"/>
          <w:sz w:val="24"/>
          <w:szCs w:val="24"/>
          <w:lang w:eastAsia="zh-CN" w:bidi="ar"/>
        </w:rPr>
        <w:t>Oil-Contaminated</w:t>
      </w:r>
      <w:r>
        <w:rPr>
          <w:rFonts w:ascii="Times New Roman" w:eastAsia="Times-Bold" w:hAnsi="Times New Roman" w:cs="Times New Roman"/>
          <w:sz w:val="24"/>
          <w:szCs w:val="24"/>
          <w:lang w:eastAsia="zh-CN" w:bidi="ar"/>
        </w:rPr>
        <w:t xml:space="preserve"> Soil using Composted Market Waste,</w:t>
      </w:r>
      <w:r>
        <w:rPr>
          <w:rFonts w:ascii="Times New Roman" w:eastAsia="Times-Bold" w:hAnsi="Times New Roman" w:cs="Times New Roman"/>
          <w:i/>
          <w:iCs/>
          <w:sz w:val="24"/>
          <w:szCs w:val="24"/>
          <w:lang w:eastAsia="zh-CN" w:bidi="ar"/>
        </w:rPr>
        <w:t xml:space="preserve"> </w:t>
      </w:r>
      <w:r>
        <w:rPr>
          <w:rFonts w:ascii="Times New Roman" w:eastAsia="Helvetica" w:hAnsi="Times New Roman" w:cs="Times New Roman"/>
          <w:i/>
          <w:iCs/>
          <w:sz w:val="24"/>
          <w:szCs w:val="24"/>
          <w:lang w:eastAsia="zh-CN" w:bidi="ar"/>
        </w:rPr>
        <w:t xml:space="preserve">Journal </w:t>
      </w:r>
      <w:r w:rsidR="00B8669C">
        <w:rPr>
          <w:rFonts w:ascii="Times New Roman" w:eastAsia="Helvetica" w:hAnsi="Times New Roman" w:cs="Times New Roman"/>
          <w:i/>
          <w:iCs/>
          <w:sz w:val="24"/>
          <w:szCs w:val="24"/>
          <w:lang w:eastAsia="zh-CN" w:bidi="ar"/>
        </w:rPr>
        <w:t>of Applied</w:t>
      </w:r>
      <w:r>
        <w:rPr>
          <w:rFonts w:ascii="Times New Roman" w:eastAsia="Helvetica" w:hAnsi="Times New Roman" w:cs="Times New Roman"/>
          <w:i/>
          <w:iCs/>
          <w:sz w:val="24"/>
          <w:szCs w:val="24"/>
          <w:lang w:eastAsia="zh-CN" w:bidi="ar"/>
        </w:rPr>
        <w:t xml:space="preserve"> Science </w:t>
      </w:r>
      <w:r w:rsidR="00B8669C">
        <w:rPr>
          <w:rFonts w:ascii="Times New Roman" w:eastAsia="Helvetica" w:hAnsi="Times New Roman" w:cs="Times New Roman"/>
          <w:i/>
          <w:iCs/>
          <w:sz w:val="24"/>
          <w:szCs w:val="24"/>
          <w:lang w:eastAsia="zh-CN" w:bidi="ar"/>
        </w:rPr>
        <w:t>and Environmental</w:t>
      </w:r>
      <w:r>
        <w:rPr>
          <w:rFonts w:ascii="Times New Roman" w:eastAsia="Helvetica" w:hAnsi="Times New Roman" w:cs="Times New Roman"/>
          <w:i/>
          <w:iCs/>
          <w:sz w:val="24"/>
          <w:szCs w:val="24"/>
          <w:lang w:eastAsia="zh-CN" w:bidi="ar"/>
        </w:rPr>
        <w:t xml:space="preserve"> </w:t>
      </w:r>
      <w:r w:rsidR="00B8669C">
        <w:rPr>
          <w:rFonts w:ascii="Times New Roman" w:eastAsia="Helvetica" w:hAnsi="Times New Roman" w:cs="Times New Roman"/>
          <w:i/>
          <w:iCs/>
          <w:sz w:val="24"/>
          <w:szCs w:val="24"/>
          <w:lang w:eastAsia="zh-CN" w:bidi="ar"/>
        </w:rPr>
        <w:t>Management</w:t>
      </w:r>
      <w:r w:rsidR="00B8669C">
        <w:rPr>
          <w:rFonts w:ascii="Times New Roman" w:eastAsia="Helvetica" w:hAnsi="Times New Roman" w:cs="Times New Roman"/>
          <w:sz w:val="24"/>
          <w:szCs w:val="24"/>
          <w:lang w:eastAsia="zh-CN" w:bidi="ar"/>
        </w:rPr>
        <w:t>, 22</w:t>
      </w:r>
      <w:r>
        <w:rPr>
          <w:rFonts w:ascii="Times New Roman" w:eastAsia="Helvetica" w:hAnsi="Times New Roman" w:cs="Times New Roman"/>
          <w:sz w:val="24"/>
          <w:szCs w:val="24"/>
          <w:lang w:eastAsia="zh-CN" w:bidi="ar"/>
        </w:rPr>
        <w:t xml:space="preserve"> (1): 141-145</w:t>
      </w:r>
    </w:p>
    <w:p w14:paraId="562768AC" w14:textId="4B34699F" w:rsidR="00AB759C" w:rsidRDefault="00AB759C" w:rsidP="00AB759C">
      <w:pPr>
        <w:ind w:left="720" w:hanging="720"/>
        <w:jc w:val="both"/>
        <w:rPr>
          <w:rFonts w:ascii="Times New Roman" w:eastAsia="Calibri-Bold" w:hAnsi="Times New Roman" w:cs="Times New Roman"/>
          <w:sz w:val="24"/>
          <w:szCs w:val="24"/>
          <w:lang w:eastAsia="zh-CN" w:bidi="ar"/>
        </w:rPr>
      </w:pPr>
      <w:r>
        <w:rPr>
          <w:rFonts w:ascii="Times New Roman" w:eastAsia="Cambria-Bold" w:hAnsi="Times New Roman" w:cs="Times New Roman"/>
          <w:sz w:val="24"/>
          <w:szCs w:val="24"/>
          <w:lang w:eastAsia="zh-CN" w:bidi="ar"/>
        </w:rPr>
        <w:t xml:space="preserve"> Bankole, A. O., </w:t>
      </w:r>
      <w:proofErr w:type="spellStart"/>
      <w:r>
        <w:rPr>
          <w:rFonts w:ascii="Times New Roman" w:eastAsia="Cambria-Bold" w:hAnsi="Times New Roman" w:cs="Times New Roman"/>
          <w:sz w:val="24"/>
          <w:szCs w:val="24"/>
          <w:lang w:eastAsia="zh-CN" w:bidi="ar"/>
        </w:rPr>
        <w:t>Ogunkeyede</w:t>
      </w:r>
      <w:proofErr w:type="spellEnd"/>
      <w:r>
        <w:rPr>
          <w:rFonts w:ascii="Times New Roman" w:eastAsia="Cambria-Bold" w:hAnsi="Times New Roman" w:cs="Times New Roman"/>
          <w:sz w:val="24"/>
          <w:szCs w:val="24"/>
          <w:lang w:eastAsia="zh-CN" w:bidi="ar"/>
        </w:rPr>
        <w:t xml:space="preserve">, A. O., </w:t>
      </w:r>
      <w:proofErr w:type="spellStart"/>
      <w:r>
        <w:rPr>
          <w:rFonts w:ascii="Times New Roman" w:eastAsia="Cambria-Bold" w:hAnsi="Times New Roman" w:cs="Times New Roman"/>
          <w:sz w:val="24"/>
          <w:szCs w:val="24"/>
          <w:lang w:eastAsia="zh-CN" w:bidi="ar"/>
        </w:rPr>
        <w:t>Agboro</w:t>
      </w:r>
      <w:proofErr w:type="spellEnd"/>
      <w:r>
        <w:rPr>
          <w:rFonts w:ascii="Times New Roman" w:eastAsia="Cambria-Bold" w:hAnsi="Times New Roman" w:cs="Times New Roman"/>
          <w:sz w:val="24"/>
          <w:szCs w:val="24"/>
          <w:lang w:eastAsia="zh-CN" w:bidi="ar"/>
        </w:rPr>
        <w:t xml:space="preserve">, H., </w:t>
      </w:r>
      <w:proofErr w:type="spellStart"/>
      <w:r>
        <w:rPr>
          <w:rFonts w:ascii="Times New Roman" w:eastAsia="Cambria-Bold" w:hAnsi="Times New Roman" w:cs="Times New Roman"/>
          <w:sz w:val="24"/>
          <w:szCs w:val="24"/>
          <w:lang w:eastAsia="zh-CN" w:bidi="ar"/>
        </w:rPr>
        <w:t>Ekhorutomwen</w:t>
      </w:r>
      <w:proofErr w:type="spellEnd"/>
      <w:r>
        <w:rPr>
          <w:rFonts w:ascii="Times New Roman" w:eastAsia="Cambria-Bold" w:hAnsi="Times New Roman" w:cs="Times New Roman"/>
          <w:sz w:val="24"/>
          <w:szCs w:val="24"/>
          <w:lang w:eastAsia="zh-CN" w:bidi="ar"/>
        </w:rPr>
        <w:t>, P. A.</w:t>
      </w:r>
      <w:proofErr w:type="gramStart"/>
      <w:r>
        <w:rPr>
          <w:rFonts w:ascii="Times New Roman" w:eastAsia="Cambria-Bold" w:hAnsi="Times New Roman" w:cs="Times New Roman"/>
          <w:sz w:val="24"/>
          <w:szCs w:val="24"/>
          <w:lang w:eastAsia="zh-CN" w:bidi="ar"/>
        </w:rPr>
        <w:t xml:space="preserve">,  </w:t>
      </w:r>
      <w:proofErr w:type="spellStart"/>
      <w:r>
        <w:rPr>
          <w:rFonts w:ascii="Times New Roman" w:eastAsia="Cambria-Bold" w:hAnsi="Times New Roman" w:cs="Times New Roman"/>
          <w:sz w:val="24"/>
          <w:szCs w:val="24"/>
          <w:lang w:eastAsia="zh-CN" w:bidi="ar"/>
        </w:rPr>
        <w:t>Otuomagie</w:t>
      </w:r>
      <w:proofErr w:type="spellEnd"/>
      <w:proofErr w:type="gramEnd"/>
      <w:r>
        <w:rPr>
          <w:rFonts w:ascii="Times New Roman" w:eastAsia="Cambria-Bold" w:hAnsi="Times New Roman" w:cs="Times New Roman"/>
          <w:sz w:val="24"/>
          <w:szCs w:val="24"/>
          <w:lang w:eastAsia="zh-CN" w:bidi="ar"/>
        </w:rPr>
        <w:t xml:space="preserve">, O. I.,  </w:t>
      </w:r>
      <w:proofErr w:type="spellStart"/>
      <w:r>
        <w:rPr>
          <w:rFonts w:ascii="Times New Roman" w:eastAsia="Cambria-Bold" w:hAnsi="Times New Roman" w:cs="Times New Roman"/>
          <w:sz w:val="24"/>
          <w:szCs w:val="24"/>
          <w:lang w:eastAsia="zh-CN" w:bidi="ar"/>
        </w:rPr>
        <w:t>Isimekhai</w:t>
      </w:r>
      <w:proofErr w:type="spellEnd"/>
      <w:r>
        <w:rPr>
          <w:rFonts w:ascii="Times New Roman" w:eastAsia="Cambria-Bold" w:hAnsi="Times New Roman" w:cs="Times New Roman"/>
          <w:sz w:val="24"/>
          <w:szCs w:val="24"/>
          <w:lang w:eastAsia="zh-CN" w:bidi="ar"/>
        </w:rPr>
        <w:t>, K. A.</w:t>
      </w:r>
      <w:r w:rsidR="00B8669C">
        <w:rPr>
          <w:rFonts w:ascii="Times New Roman" w:eastAsia="Cambria-Bold" w:hAnsi="Times New Roman" w:cs="Times New Roman"/>
          <w:sz w:val="24"/>
          <w:szCs w:val="24"/>
          <w:lang w:eastAsia="zh-CN" w:bidi="ar"/>
        </w:rPr>
        <w:t>, Fadairo</w:t>
      </w:r>
      <w:r>
        <w:rPr>
          <w:rFonts w:ascii="Times New Roman" w:eastAsia="Cambria-Bold" w:hAnsi="Times New Roman" w:cs="Times New Roman"/>
          <w:sz w:val="24"/>
          <w:szCs w:val="24"/>
          <w:lang w:eastAsia="zh-CN" w:bidi="ar"/>
        </w:rPr>
        <w:t>, E. A.</w:t>
      </w:r>
      <w:r w:rsidR="00B8669C">
        <w:rPr>
          <w:rFonts w:ascii="Times New Roman" w:eastAsia="Cambria-Bold" w:hAnsi="Times New Roman" w:cs="Times New Roman"/>
          <w:sz w:val="24"/>
          <w:szCs w:val="24"/>
          <w:lang w:eastAsia="zh-CN" w:bidi="ar"/>
        </w:rPr>
        <w:t>,</w:t>
      </w:r>
      <w:r>
        <w:rPr>
          <w:rFonts w:ascii="Times New Roman" w:eastAsia="Cambria-Bold" w:hAnsi="Times New Roman" w:cs="Times New Roman"/>
          <w:sz w:val="24"/>
          <w:szCs w:val="24"/>
          <w:lang w:eastAsia="zh-CN" w:bidi="ar"/>
        </w:rPr>
        <w:t xml:space="preserve"> and  </w:t>
      </w:r>
      <w:proofErr w:type="spellStart"/>
      <w:r>
        <w:rPr>
          <w:rFonts w:ascii="Times New Roman" w:eastAsia="Cambria-Bold" w:hAnsi="Times New Roman" w:cs="Times New Roman"/>
          <w:sz w:val="24"/>
          <w:szCs w:val="24"/>
          <w:lang w:eastAsia="zh-CN" w:bidi="ar"/>
        </w:rPr>
        <w:t>Isukuru</w:t>
      </w:r>
      <w:proofErr w:type="spellEnd"/>
      <w:r>
        <w:rPr>
          <w:rFonts w:ascii="Times New Roman" w:eastAsia="Cambria-Bold" w:hAnsi="Times New Roman" w:cs="Times New Roman"/>
          <w:sz w:val="24"/>
          <w:szCs w:val="24"/>
          <w:lang w:eastAsia="zh-CN" w:bidi="ar"/>
        </w:rPr>
        <w:t xml:space="preserve">, E. J. (2024). Heavy Metal Levels and Ecological Risk in Crude Oil-Contaminated Soils from </w:t>
      </w:r>
      <w:proofErr w:type="spellStart"/>
      <w:r>
        <w:rPr>
          <w:rFonts w:ascii="Times New Roman" w:eastAsia="Cambria-Bold" w:hAnsi="Times New Roman" w:cs="Times New Roman"/>
          <w:sz w:val="24"/>
          <w:szCs w:val="24"/>
          <w:lang w:eastAsia="zh-CN" w:bidi="ar"/>
        </w:rPr>
        <w:t>Okpare-Olomu</w:t>
      </w:r>
      <w:proofErr w:type="spellEnd"/>
      <w:r>
        <w:rPr>
          <w:rFonts w:ascii="Times New Roman" w:eastAsia="Cambria-Bold" w:hAnsi="Times New Roman" w:cs="Times New Roman"/>
          <w:sz w:val="24"/>
          <w:szCs w:val="24"/>
          <w:lang w:eastAsia="zh-CN" w:bidi="ar"/>
        </w:rPr>
        <w:t xml:space="preserve">, Niger Delta, </w:t>
      </w:r>
      <w:r w:rsidR="00B8669C">
        <w:rPr>
          <w:rFonts w:ascii="Times New Roman" w:eastAsia="Cambria-Bold" w:hAnsi="Times New Roman" w:cs="Times New Roman"/>
          <w:sz w:val="24"/>
          <w:szCs w:val="24"/>
          <w:lang w:eastAsia="zh-CN" w:bidi="ar"/>
        </w:rPr>
        <w:t>Nigeria Journal</w:t>
      </w:r>
      <w:r>
        <w:rPr>
          <w:rFonts w:ascii="Times New Roman" w:eastAsia="Calibri-Bold" w:hAnsi="Times New Roman" w:cs="Times New Roman"/>
          <w:i/>
          <w:iCs/>
          <w:sz w:val="24"/>
          <w:szCs w:val="24"/>
          <w:lang w:eastAsia="zh-CN" w:bidi="ar"/>
        </w:rPr>
        <w:t xml:space="preserve"> of Environmental Protection</w:t>
      </w:r>
      <w:r>
        <w:rPr>
          <w:rFonts w:ascii="Times New Roman" w:eastAsia="Calibri-Bold" w:hAnsi="Times New Roman" w:cs="Times New Roman"/>
          <w:sz w:val="24"/>
          <w:szCs w:val="24"/>
          <w:lang w:eastAsia="zh-CN" w:bidi="ar"/>
        </w:rPr>
        <w:t>, 15, 415-438</w:t>
      </w:r>
    </w:p>
    <w:p w14:paraId="40E77357" w14:textId="1791B030" w:rsidR="00AB759C" w:rsidRDefault="00AB759C" w:rsidP="00AB759C">
      <w:pPr>
        <w:ind w:left="720" w:hanging="720"/>
        <w:jc w:val="both"/>
        <w:rPr>
          <w:rFonts w:ascii="Times New Roman" w:eastAsia="Calibri-Bold" w:hAnsi="Times New Roman" w:cs="Times New Roman"/>
          <w:i/>
          <w:iCs/>
          <w:sz w:val="24"/>
          <w:szCs w:val="24"/>
          <w:lang w:eastAsia="zh-CN" w:bidi="ar"/>
        </w:rPr>
      </w:pPr>
      <w:r>
        <w:rPr>
          <w:rFonts w:ascii="Times New Roman" w:eastAsia="Calibri-Bold" w:hAnsi="Times New Roman" w:cs="Times New Roman"/>
          <w:sz w:val="24"/>
          <w:szCs w:val="24"/>
          <w:lang w:eastAsia="zh-CN" w:bidi="ar"/>
        </w:rPr>
        <w:t>Bartlett, M. A., Briones, M. J. I., Neilson, R.</w:t>
      </w:r>
      <w:r w:rsidR="00B8669C">
        <w:rPr>
          <w:rFonts w:ascii="Times New Roman" w:eastAsia="Calibri-Bold" w:hAnsi="Times New Roman" w:cs="Times New Roman"/>
          <w:sz w:val="24"/>
          <w:szCs w:val="24"/>
          <w:lang w:eastAsia="zh-CN" w:bidi="ar"/>
        </w:rPr>
        <w:t>, Schmidt</w:t>
      </w:r>
      <w:r>
        <w:rPr>
          <w:rFonts w:ascii="Times New Roman" w:eastAsia="Calibri-Bold" w:hAnsi="Times New Roman" w:cs="Times New Roman"/>
          <w:sz w:val="24"/>
          <w:szCs w:val="24"/>
          <w:lang w:eastAsia="zh-CN" w:bidi="ar"/>
        </w:rPr>
        <w:t>, O., Spurgeon, D.</w:t>
      </w:r>
      <w:r w:rsidR="00B8669C">
        <w:rPr>
          <w:rFonts w:ascii="Times New Roman" w:eastAsia="Calibri-Bold" w:hAnsi="Times New Roman" w:cs="Times New Roman"/>
          <w:sz w:val="24"/>
          <w:szCs w:val="24"/>
          <w:lang w:eastAsia="zh-CN" w:bidi="ar"/>
        </w:rPr>
        <w:t>,</w:t>
      </w:r>
      <w:r>
        <w:rPr>
          <w:rFonts w:ascii="Times New Roman" w:eastAsia="Calibri-Bold" w:hAnsi="Times New Roman" w:cs="Times New Roman"/>
          <w:sz w:val="24"/>
          <w:szCs w:val="24"/>
          <w:lang w:eastAsia="zh-CN" w:bidi="ar"/>
        </w:rPr>
        <w:t xml:space="preserve"> and Creamer, R. E. (2010). </w:t>
      </w:r>
      <w:r w:rsidR="00B8669C">
        <w:rPr>
          <w:rFonts w:ascii="Times New Roman" w:eastAsia="Calibri-Bold" w:hAnsi="Times New Roman" w:cs="Times New Roman"/>
          <w:sz w:val="24"/>
          <w:szCs w:val="24"/>
          <w:lang w:eastAsia="zh-CN" w:bidi="ar"/>
        </w:rPr>
        <w:t>A Critical</w:t>
      </w:r>
      <w:r>
        <w:rPr>
          <w:rFonts w:ascii="Times New Roman" w:eastAsia="Calibri-Bold" w:hAnsi="Times New Roman" w:cs="Times New Roman"/>
          <w:sz w:val="24"/>
          <w:szCs w:val="24"/>
          <w:lang w:eastAsia="zh-CN" w:bidi="ar"/>
        </w:rPr>
        <w:t xml:space="preserve"> Review of </w:t>
      </w:r>
      <w:r w:rsidR="00B8669C">
        <w:rPr>
          <w:rFonts w:ascii="Times New Roman" w:eastAsia="Calibri-Bold" w:hAnsi="Times New Roman" w:cs="Times New Roman"/>
          <w:sz w:val="24"/>
          <w:szCs w:val="24"/>
          <w:lang w:eastAsia="zh-CN" w:bidi="ar"/>
        </w:rPr>
        <w:t>Current Methods</w:t>
      </w:r>
      <w:r>
        <w:rPr>
          <w:rFonts w:ascii="Times New Roman" w:eastAsia="Calibri-Bold" w:hAnsi="Times New Roman" w:cs="Times New Roman"/>
          <w:sz w:val="24"/>
          <w:szCs w:val="24"/>
          <w:lang w:eastAsia="zh-CN" w:bidi="ar"/>
        </w:rPr>
        <w:t xml:space="preserve"> in Earthworm Ecology: from individuals to </w:t>
      </w:r>
      <w:r w:rsidR="00B8669C">
        <w:rPr>
          <w:rFonts w:ascii="Times New Roman" w:eastAsia="Calibri-Bold" w:hAnsi="Times New Roman" w:cs="Times New Roman"/>
          <w:sz w:val="24"/>
          <w:szCs w:val="24"/>
          <w:lang w:eastAsia="zh-CN" w:bidi="ar"/>
        </w:rPr>
        <w:t>Population</w:t>
      </w:r>
      <w:r>
        <w:rPr>
          <w:rFonts w:ascii="Times New Roman" w:eastAsia="Calibri-Bold" w:hAnsi="Times New Roman" w:cs="Times New Roman"/>
          <w:sz w:val="24"/>
          <w:szCs w:val="24"/>
          <w:lang w:eastAsia="zh-CN" w:bidi="ar"/>
        </w:rPr>
        <w:t xml:space="preserve">, </w:t>
      </w:r>
      <w:r w:rsidR="00B8669C">
        <w:rPr>
          <w:rFonts w:ascii="Times New Roman" w:eastAsia="Calibri-Bold" w:hAnsi="Times New Roman" w:cs="Times New Roman"/>
          <w:i/>
          <w:iCs/>
          <w:sz w:val="24"/>
          <w:szCs w:val="24"/>
          <w:lang w:eastAsia="zh-CN" w:bidi="ar"/>
        </w:rPr>
        <w:t>European</w:t>
      </w:r>
      <w:r>
        <w:rPr>
          <w:rFonts w:ascii="Times New Roman" w:eastAsia="Calibri-Bold" w:hAnsi="Times New Roman" w:cs="Times New Roman"/>
          <w:i/>
          <w:iCs/>
          <w:sz w:val="24"/>
          <w:szCs w:val="24"/>
          <w:lang w:eastAsia="zh-CN" w:bidi="ar"/>
        </w:rPr>
        <w:t xml:space="preserve"> Journal of Soil Biology, 46 (2):67-73</w:t>
      </w:r>
    </w:p>
    <w:p w14:paraId="0A4096D1" w14:textId="487EBC95"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Bouyoucos</w:t>
      </w:r>
      <w:proofErr w:type="spellEnd"/>
      <w:r>
        <w:rPr>
          <w:rFonts w:ascii="Times New Roman" w:hAnsi="Times New Roman" w:cs="Times New Roman"/>
          <w:sz w:val="24"/>
          <w:szCs w:val="24"/>
        </w:rPr>
        <w:t xml:space="preserve">, G. J. (1962). </w:t>
      </w:r>
      <w:r w:rsidR="00B8669C">
        <w:rPr>
          <w:rFonts w:ascii="Times New Roman" w:hAnsi="Times New Roman" w:cs="Times New Roman"/>
          <w:sz w:val="24"/>
          <w:szCs w:val="24"/>
        </w:rPr>
        <w:t>The hydrometer</w:t>
      </w:r>
      <w:r>
        <w:rPr>
          <w:rFonts w:ascii="Times New Roman" w:hAnsi="Times New Roman" w:cs="Times New Roman"/>
          <w:sz w:val="24"/>
          <w:szCs w:val="24"/>
        </w:rPr>
        <w:t xml:space="preserve"> method </w:t>
      </w:r>
      <w:r w:rsidR="00B8669C">
        <w:rPr>
          <w:rFonts w:ascii="Times New Roman" w:hAnsi="Times New Roman" w:cs="Times New Roman"/>
          <w:sz w:val="24"/>
          <w:szCs w:val="24"/>
        </w:rPr>
        <w:t xml:space="preserve">has been </w:t>
      </w:r>
      <w:r>
        <w:rPr>
          <w:rFonts w:ascii="Times New Roman" w:hAnsi="Times New Roman" w:cs="Times New Roman"/>
          <w:sz w:val="24"/>
          <w:szCs w:val="24"/>
        </w:rPr>
        <w:t xml:space="preserve">improved for making particle </w:t>
      </w:r>
      <w:r w:rsidR="00B8669C">
        <w:rPr>
          <w:rFonts w:ascii="Times New Roman" w:hAnsi="Times New Roman" w:cs="Times New Roman"/>
          <w:sz w:val="24"/>
          <w:szCs w:val="24"/>
        </w:rPr>
        <w:t>size analysis</w:t>
      </w:r>
      <w:r>
        <w:rPr>
          <w:rFonts w:ascii="Times New Roman" w:hAnsi="Times New Roman" w:cs="Times New Roman"/>
          <w:sz w:val="24"/>
          <w:szCs w:val="24"/>
        </w:rPr>
        <w:t xml:space="preserve"> of soils. </w:t>
      </w:r>
      <w:r>
        <w:rPr>
          <w:rFonts w:ascii="Times New Roman" w:hAnsi="Times New Roman" w:cs="Times New Roman"/>
          <w:i/>
          <w:iCs/>
          <w:sz w:val="24"/>
          <w:szCs w:val="24"/>
        </w:rPr>
        <w:t xml:space="preserve">Journal of </w:t>
      </w:r>
      <w:r w:rsidR="00B8669C">
        <w:rPr>
          <w:rFonts w:ascii="Times New Roman" w:hAnsi="Times New Roman" w:cs="Times New Roman"/>
          <w:i/>
          <w:iCs/>
          <w:sz w:val="24"/>
          <w:szCs w:val="24"/>
        </w:rPr>
        <w:t>Agronomy,</w:t>
      </w:r>
      <w:r>
        <w:rPr>
          <w:rFonts w:ascii="Times New Roman" w:hAnsi="Times New Roman" w:cs="Times New Roman"/>
          <w:sz w:val="24"/>
          <w:szCs w:val="24"/>
        </w:rPr>
        <w:t xml:space="preserve"> </w:t>
      </w:r>
      <w:r>
        <w:rPr>
          <w:rFonts w:ascii="Times New Roman" w:hAnsi="Times New Roman" w:cs="Times New Roman"/>
          <w:b/>
          <w:bCs/>
          <w:sz w:val="24"/>
          <w:szCs w:val="24"/>
        </w:rPr>
        <w:t>54</w:t>
      </w:r>
      <w:r>
        <w:rPr>
          <w:rFonts w:ascii="Times New Roman" w:hAnsi="Times New Roman" w:cs="Times New Roman"/>
          <w:sz w:val="24"/>
          <w:szCs w:val="24"/>
        </w:rPr>
        <w:t>: 464-465.</w:t>
      </w:r>
    </w:p>
    <w:p w14:paraId="296E2B08" w14:textId="5A614F77" w:rsidR="00AB759C" w:rsidRDefault="00AB759C" w:rsidP="00AB759C">
      <w:pPr>
        <w:spacing w:after="0" w:line="360" w:lineRule="atLeast"/>
        <w:ind w:left="720" w:hanging="720"/>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lang w:eastAsia="zh-CN" w:bidi="ar"/>
        </w:rPr>
        <w:t>Brussaard</w:t>
      </w:r>
      <w:proofErr w:type="spellEnd"/>
      <w:r>
        <w:rPr>
          <w:rFonts w:ascii="Times New Roman" w:eastAsia="Arial" w:hAnsi="Times New Roman" w:cs="Times New Roman"/>
          <w:sz w:val="24"/>
          <w:szCs w:val="24"/>
          <w:lang w:eastAsia="zh-CN" w:bidi="ar"/>
        </w:rPr>
        <w:t xml:space="preserve">, L. (1997). </w:t>
      </w:r>
      <w:r>
        <w:rPr>
          <w:rFonts w:ascii="Times New Roman" w:eastAsia="Georgia" w:hAnsi="Times New Roman" w:cs="Times New Roman"/>
          <w:sz w:val="24"/>
          <w:szCs w:val="24"/>
          <w:lang w:eastAsia="zh-CN" w:bidi="ar"/>
        </w:rPr>
        <w:t xml:space="preserve">Biodiversity and ecosystem functioning in soil </w:t>
      </w:r>
      <w:proofErr w:type="spellStart"/>
      <w:r>
        <w:rPr>
          <w:rFonts w:ascii="Times New Roman" w:eastAsia="Arial" w:hAnsi="Times New Roman" w:cs="Times New Roman"/>
          <w:sz w:val="24"/>
          <w:szCs w:val="24"/>
          <w:lang w:eastAsia="zh-CN" w:bidi="ar"/>
        </w:rPr>
        <w:t>Ambio</w:t>
      </w:r>
      <w:proofErr w:type="spellEnd"/>
      <w:r>
        <w:rPr>
          <w:rFonts w:ascii="Times New Roman" w:eastAsia="Arial" w:hAnsi="Times New Roman" w:cs="Times New Roman"/>
          <w:sz w:val="24"/>
          <w:szCs w:val="24"/>
          <w:lang w:eastAsia="zh-CN" w:bidi="ar"/>
        </w:rPr>
        <w:t>, 26, pp. 563-570</w:t>
      </w:r>
    </w:p>
    <w:p w14:paraId="02758AC8" w14:textId="77777777"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p>
    <w:p w14:paraId="7259C8F6" w14:textId="77777777"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SimSun" w:hAnsi="Times New Roman" w:cs="Times New Roman"/>
          <w:sz w:val="24"/>
          <w:szCs w:val="24"/>
        </w:rPr>
        <w:t xml:space="preserve">Capri, E. and Trevisan, M. (Eds.). (2002). I </w:t>
      </w:r>
      <w:proofErr w:type="spellStart"/>
      <w:r>
        <w:rPr>
          <w:rFonts w:ascii="Times New Roman" w:eastAsia="SimSun" w:hAnsi="Times New Roman" w:cs="Times New Roman"/>
          <w:sz w:val="24"/>
          <w:szCs w:val="24"/>
        </w:rPr>
        <w:t>metalli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pesanti</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origine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agricola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nei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suoli</w:t>
      </w:r>
      <w:proofErr w:type="spellEnd"/>
      <w:r>
        <w:rPr>
          <w:rFonts w:ascii="Times New Roman" w:eastAsia="SimSun" w:hAnsi="Times New Roman" w:cs="Times New Roman"/>
          <w:sz w:val="24"/>
          <w:szCs w:val="24"/>
        </w:rPr>
        <w:t xml:space="preserve"> e </w:t>
      </w:r>
      <w:proofErr w:type="spellStart"/>
      <w:r>
        <w:rPr>
          <w:rFonts w:ascii="Times New Roman" w:eastAsia="SimSun" w:hAnsi="Times New Roman" w:cs="Times New Roman"/>
          <w:sz w:val="24"/>
          <w:szCs w:val="24"/>
        </w:rPr>
        <w:t>nelle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acque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sotterranee</w:t>
      </w:r>
      <w:proofErr w:type="spellEnd"/>
      <w:r>
        <w:rPr>
          <w:rFonts w:ascii="Times New Roman" w:eastAsia="SimSun" w:hAnsi="Times New Roman" w:cs="Times New Roman"/>
          <w:sz w:val="24"/>
          <w:szCs w:val="24"/>
        </w:rPr>
        <w:t xml:space="preserve"> (No. 2479). </w:t>
      </w:r>
      <w:proofErr w:type="spellStart"/>
      <w:r>
        <w:rPr>
          <w:rFonts w:ascii="Times New Roman" w:eastAsia="SimSun" w:hAnsi="Times New Roman" w:cs="Times New Roman"/>
          <w:sz w:val="24"/>
          <w:szCs w:val="24"/>
        </w:rPr>
        <w:t>Pitagora</w:t>
      </w:r>
      <w:proofErr w:type="spellEnd"/>
      <w:r>
        <w:rPr>
          <w:rFonts w:ascii="Times New Roman" w:eastAsia="SimSun" w:hAnsi="Times New Roman" w:cs="Times New Roman"/>
          <w:sz w:val="24"/>
          <w:szCs w:val="24"/>
        </w:rPr>
        <w:t>. </w:t>
      </w:r>
    </w:p>
    <w:p w14:paraId="797F68F2" w14:textId="77777777"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AdvOT1ef757c0" w:hAnsi="Times New Roman" w:cs="Times New Roman"/>
          <w:sz w:val="24"/>
          <w:szCs w:val="24"/>
          <w:lang w:eastAsia="zh-CN" w:bidi="ar"/>
        </w:rPr>
        <w:lastRenderedPageBreak/>
        <w:t>Capowiez</w:t>
      </w:r>
      <w:proofErr w:type="spellEnd"/>
      <w:r>
        <w:rPr>
          <w:rFonts w:ascii="Times New Roman" w:eastAsia="AdvOT1ef757c0" w:hAnsi="Times New Roman" w:cs="Times New Roman"/>
          <w:sz w:val="24"/>
          <w:szCs w:val="24"/>
          <w:lang w:eastAsia="zh-CN" w:bidi="ar"/>
        </w:rPr>
        <w:t xml:space="preserve">, Y., Sammartino, S., and Michel, E. (2014). Burrow systems of </w:t>
      </w:r>
      <w:proofErr w:type="spellStart"/>
      <w:r>
        <w:rPr>
          <w:rFonts w:ascii="Times New Roman" w:eastAsia="AdvOT1ef757c0" w:hAnsi="Times New Roman" w:cs="Times New Roman"/>
          <w:sz w:val="24"/>
          <w:szCs w:val="24"/>
          <w:lang w:eastAsia="zh-CN" w:bidi="ar"/>
        </w:rPr>
        <w:t>endogeic</w:t>
      </w:r>
      <w:proofErr w:type="spellEnd"/>
      <w:r>
        <w:rPr>
          <w:rFonts w:ascii="Times New Roman" w:eastAsia="AdvOT1ef757c0" w:hAnsi="Times New Roman" w:cs="Times New Roman"/>
          <w:sz w:val="24"/>
          <w:szCs w:val="24"/>
          <w:lang w:eastAsia="zh-CN" w:bidi="ar"/>
        </w:rPr>
        <w:t xml:space="preserve"> earthworms: Effects of earthworm abundance and consequences for soil water in</w:t>
      </w:r>
      <w:r>
        <w:rPr>
          <w:rFonts w:ascii="Times New Roman" w:eastAsia="AdvOT1ef757c0+fb" w:hAnsi="Times New Roman" w:cs="Times New Roman"/>
          <w:sz w:val="24"/>
          <w:szCs w:val="24"/>
          <w:lang w:eastAsia="zh-CN" w:bidi="ar"/>
        </w:rPr>
        <w:t>fi</w:t>
      </w:r>
      <w:r>
        <w:rPr>
          <w:rFonts w:ascii="Times New Roman" w:eastAsia="AdvOT1ef757c0" w:hAnsi="Times New Roman" w:cs="Times New Roman"/>
          <w:sz w:val="24"/>
          <w:szCs w:val="24"/>
          <w:lang w:eastAsia="zh-CN" w:bidi="ar"/>
        </w:rPr>
        <w:t xml:space="preserve">ltration. </w:t>
      </w:r>
      <w:proofErr w:type="spellStart"/>
      <w:r>
        <w:rPr>
          <w:rFonts w:ascii="Times New Roman" w:eastAsia="AdvOT7d6df7ab.I" w:hAnsi="Times New Roman" w:cs="Times New Roman"/>
          <w:i/>
          <w:iCs/>
          <w:sz w:val="24"/>
          <w:szCs w:val="24"/>
          <w:lang w:eastAsia="zh-CN" w:bidi="ar"/>
        </w:rPr>
        <w:t>Pedobiologia</w:t>
      </w:r>
      <w:proofErr w:type="spellEnd"/>
      <w:r>
        <w:rPr>
          <w:rFonts w:ascii="Times New Roman" w:eastAsia="AdvOT7d6df7ab.I" w:hAnsi="Times New Roman" w:cs="Times New Roman"/>
          <w:sz w:val="24"/>
          <w:szCs w:val="24"/>
          <w:lang w:eastAsia="zh-CN" w:bidi="ar"/>
        </w:rPr>
        <w:t xml:space="preserve"> </w:t>
      </w:r>
      <w:r>
        <w:rPr>
          <w:rFonts w:ascii="Times New Roman" w:eastAsia="AdvOT1ef757c0" w:hAnsi="Times New Roman" w:cs="Times New Roman"/>
          <w:sz w:val="24"/>
          <w:szCs w:val="24"/>
          <w:lang w:eastAsia="zh-CN" w:bidi="ar"/>
        </w:rPr>
        <w:t>57 (4-6), 303</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309.</w:t>
      </w:r>
    </w:p>
    <w:p w14:paraId="27EA0C1E" w14:textId="383FE62A" w:rsidR="00AB759C" w:rsidRDefault="00AB759C" w:rsidP="00AB759C">
      <w:pPr>
        <w:autoSpaceDE w:val="0"/>
        <w:autoSpaceDN w:val="0"/>
        <w:adjustRightInd w:val="0"/>
        <w:spacing w:after="0"/>
        <w:ind w:left="720" w:hanging="720"/>
        <w:jc w:val="both"/>
        <w:rPr>
          <w:rFonts w:ascii="Times New Roman" w:eastAsia="Roboto-Light" w:hAnsi="Times New Roman" w:cs="Times New Roman"/>
          <w:sz w:val="24"/>
          <w:szCs w:val="24"/>
        </w:rPr>
      </w:pPr>
      <w:r>
        <w:rPr>
          <w:rFonts w:ascii="Times New Roman" w:eastAsia="Roboto-Light" w:hAnsi="Times New Roman" w:cs="Times New Roman"/>
          <w:sz w:val="24"/>
          <w:szCs w:val="24"/>
        </w:rPr>
        <w:t>Carvalho, C. S., Vanessa, A. B.</w:t>
      </w:r>
      <w:r w:rsidR="00C159DF">
        <w:rPr>
          <w:rFonts w:ascii="Times New Roman" w:eastAsia="Roboto-Light" w:hAnsi="Times New Roman" w:cs="Times New Roman"/>
          <w:sz w:val="24"/>
          <w:szCs w:val="24"/>
        </w:rPr>
        <w:t>,</w:t>
      </w:r>
      <w:r>
        <w:rPr>
          <w:rFonts w:ascii="Times New Roman" w:eastAsia="Roboto-Light" w:hAnsi="Times New Roman" w:cs="Times New Roman"/>
          <w:sz w:val="24"/>
          <w:szCs w:val="24"/>
        </w:rPr>
        <w:t xml:space="preserve"> Heloísa, S. S. </w:t>
      </w:r>
      <w:proofErr w:type="gramStart"/>
      <w:r>
        <w:rPr>
          <w:rFonts w:ascii="Times New Roman" w:eastAsia="Roboto-Light" w:hAnsi="Times New Roman" w:cs="Times New Roman"/>
          <w:sz w:val="24"/>
          <w:szCs w:val="24"/>
        </w:rPr>
        <w:t>Araújo  E.</w:t>
      </w:r>
      <w:proofErr w:type="gramEnd"/>
      <w:r>
        <w:rPr>
          <w:rFonts w:ascii="Times New Roman" w:eastAsia="Roboto-Light" w:hAnsi="Times New Roman" w:cs="Times New Roman"/>
          <w:sz w:val="24"/>
          <w:szCs w:val="24"/>
        </w:rPr>
        <w:t xml:space="preserve"> L.</w:t>
      </w:r>
      <w:r w:rsidR="00113A7B">
        <w:rPr>
          <w:rFonts w:ascii="Times New Roman" w:eastAsia="Roboto-Light" w:hAnsi="Times New Roman" w:cs="Times New Roman"/>
          <w:sz w:val="24"/>
          <w:szCs w:val="24"/>
        </w:rPr>
        <w:t>,</w:t>
      </w:r>
      <w:r>
        <w:rPr>
          <w:rFonts w:ascii="Times New Roman" w:eastAsia="Roboto-Light" w:hAnsi="Times New Roman" w:cs="Times New Roman"/>
          <w:sz w:val="24"/>
          <w:szCs w:val="24"/>
        </w:rPr>
        <w:t xml:space="preserve"> Gaeta, E. M. and Fernandes, N (2012). Biomarker responses as indication of contaminant effects in </w:t>
      </w:r>
      <w:r>
        <w:rPr>
          <w:rFonts w:ascii="Times New Roman" w:eastAsia="Roboto-Light" w:hAnsi="Times New Roman" w:cs="Times New Roman"/>
          <w:i/>
          <w:iCs/>
          <w:sz w:val="24"/>
          <w:szCs w:val="24"/>
        </w:rPr>
        <w:t xml:space="preserve">Oreochromis niloticus </w:t>
      </w:r>
      <w:r>
        <w:rPr>
          <w:rFonts w:ascii="Times New Roman" w:eastAsia="Roboto-Light" w:hAnsi="Times New Roman" w:cs="Times New Roman"/>
          <w:i/>
          <w:sz w:val="24"/>
          <w:szCs w:val="24"/>
        </w:rPr>
        <w:t xml:space="preserve">Chemosphere, </w:t>
      </w:r>
      <w:r>
        <w:rPr>
          <w:rFonts w:ascii="Times New Roman" w:eastAsia="Roboto-Light" w:hAnsi="Times New Roman" w:cs="Times New Roman"/>
          <w:sz w:val="24"/>
          <w:szCs w:val="24"/>
        </w:rPr>
        <w:t xml:space="preserve">89(1):60–69. </w:t>
      </w:r>
    </w:p>
    <w:p w14:paraId="58DFACA5" w14:textId="77777777" w:rsidR="00AB759C" w:rsidRDefault="00AB759C" w:rsidP="00AB759C">
      <w:pPr>
        <w:autoSpaceDE w:val="0"/>
        <w:autoSpaceDN w:val="0"/>
        <w:adjustRightInd w:val="0"/>
        <w:spacing w:after="0"/>
        <w:ind w:left="720" w:hanging="720"/>
        <w:jc w:val="both"/>
        <w:rPr>
          <w:rFonts w:ascii="Times New Roman" w:eastAsia="Roboto-Light" w:hAnsi="Times New Roman" w:cs="Times New Roman"/>
          <w:sz w:val="24"/>
          <w:szCs w:val="24"/>
        </w:rPr>
      </w:pPr>
    </w:p>
    <w:p w14:paraId="17EF164D" w14:textId="77777777" w:rsidR="00AB759C" w:rsidRDefault="00AB759C" w:rsidP="00AB759C">
      <w:pPr>
        <w:ind w:left="720" w:hanging="720"/>
        <w:jc w:val="both"/>
        <w:rPr>
          <w:rFonts w:ascii="Times New Roman" w:hAnsi="Times New Roman" w:cs="Times New Roman"/>
          <w:sz w:val="24"/>
          <w:szCs w:val="24"/>
        </w:rPr>
      </w:pPr>
      <w:r>
        <w:rPr>
          <w:rFonts w:ascii="Times New Roman" w:eastAsia="AdvOT1ef757c0" w:hAnsi="Times New Roman" w:cs="Times New Roman"/>
          <w:sz w:val="24"/>
          <w:szCs w:val="24"/>
          <w:lang w:eastAsia="zh-CN" w:bidi="ar"/>
        </w:rPr>
        <w:t xml:space="preserve">Chagnon, M., </w:t>
      </w:r>
      <w:proofErr w:type="spellStart"/>
      <w:r>
        <w:rPr>
          <w:rFonts w:ascii="Times New Roman" w:eastAsia="AdvOT1ef757c0" w:hAnsi="Times New Roman" w:cs="Times New Roman"/>
          <w:sz w:val="24"/>
          <w:szCs w:val="24"/>
          <w:lang w:eastAsia="zh-CN" w:bidi="ar"/>
        </w:rPr>
        <w:t>Kreutzweiser</w:t>
      </w:r>
      <w:proofErr w:type="spellEnd"/>
      <w:r>
        <w:rPr>
          <w:rFonts w:ascii="Times New Roman" w:eastAsia="AdvOT1ef757c0" w:hAnsi="Times New Roman" w:cs="Times New Roman"/>
          <w:sz w:val="24"/>
          <w:szCs w:val="24"/>
          <w:lang w:eastAsia="zh-CN" w:bidi="ar"/>
        </w:rPr>
        <w:t xml:space="preserve">, D., Mitchell, E. A., Morrissey, C. A., </w:t>
      </w:r>
      <w:proofErr w:type="spellStart"/>
      <w:r>
        <w:rPr>
          <w:rFonts w:ascii="Times New Roman" w:eastAsia="AdvOT1ef757c0" w:hAnsi="Times New Roman" w:cs="Times New Roman"/>
          <w:sz w:val="24"/>
          <w:szCs w:val="24"/>
          <w:lang w:eastAsia="zh-CN" w:bidi="ar"/>
        </w:rPr>
        <w:t>Noome</w:t>
      </w:r>
      <w:proofErr w:type="spellEnd"/>
      <w:r>
        <w:rPr>
          <w:rFonts w:ascii="Times New Roman" w:eastAsia="AdvOT1ef757c0" w:hAnsi="Times New Roman" w:cs="Times New Roman"/>
          <w:sz w:val="24"/>
          <w:szCs w:val="24"/>
          <w:lang w:eastAsia="zh-CN" w:bidi="ar"/>
        </w:rPr>
        <w:t xml:space="preserve">, D. A., and Van der Sluijs, J. P. (2015). Risks of large-scale use of systemic insecticides to ecosystem functioning and services. Journal of </w:t>
      </w:r>
      <w:r>
        <w:rPr>
          <w:rFonts w:ascii="Times New Roman" w:eastAsia="AdvOT7d6df7ab.I" w:hAnsi="Times New Roman" w:cs="Times New Roman"/>
          <w:sz w:val="24"/>
          <w:szCs w:val="24"/>
          <w:lang w:eastAsia="zh-CN" w:bidi="ar"/>
        </w:rPr>
        <w:t xml:space="preserve">Environmental Science and Pollution </w:t>
      </w:r>
      <w:proofErr w:type="spellStart"/>
      <w:r>
        <w:rPr>
          <w:rFonts w:ascii="Times New Roman" w:eastAsia="AdvOT7d6df7ab.I" w:hAnsi="Times New Roman" w:cs="Times New Roman"/>
          <w:sz w:val="24"/>
          <w:szCs w:val="24"/>
          <w:lang w:eastAsia="zh-CN" w:bidi="ar"/>
        </w:rPr>
        <w:t>Reearch</w:t>
      </w:r>
      <w:proofErr w:type="spellEnd"/>
      <w:r>
        <w:rPr>
          <w:rFonts w:ascii="Times New Roman" w:eastAsia="AdvOT7d6df7ab.I" w:hAnsi="Times New Roman" w:cs="Times New Roman"/>
          <w:sz w:val="24"/>
          <w:szCs w:val="24"/>
          <w:lang w:eastAsia="zh-CN" w:bidi="ar"/>
        </w:rPr>
        <w:t xml:space="preserve">. </w:t>
      </w:r>
      <w:r>
        <w:rPr>
          <w:rFonts w:ascii="Times New Roman" w:eastAsia="AdvOT1ef757c0" w:hAnsi="Times New Roman" w:cs="Times New Roman"/>
          <w:sz w:val="24"/>
          <w:szCs w:val="24"/>
          <w:lang w:eastAsia="zh-CN" w:bidi="ar"/>
        </w:rPr>
        <w:t>22 (1): 119</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 xml:space="preserve">134. </w:t>
      </w:r>
    </w:p>
    <w:p w14:paraId="4A375214" w14:textId="77777777" w:rsidR="00AB759C" w:rsidRDefault="00AB759C" w:rsidP="00AB759C">
      <w:pPr>
        <w:ind w:left="720" w:hanging="720"/>
        <w:jc w:val="both"/>
        <w:rPr>
          <w:rFonts w:ascii="Times New Roman" w:hAnsi="Times New Roman" w:cs="Times New Roman"/>
          <w:sz w:val="24"/>
          <w:szCs w:val="24"/>
        </w:rPr>
      </w:pPr>
      <w:r>
        <w:rPr>
          <w:rFonts w:ascii="Times New Roman" w:eastAsia="MinionPro-Bold" w:hAnsi="Times New Roman" w:cs="Times New Roman"/>
          <w:sz w:val="24"/>
          <w:szCs w:val="24"/>
          <w:lang w:eastAsia="zh-CN" w:bidi="ar"/>
        </w:rPr>
        <w:t xml:space="preserve">Cheng-Kim S, </w:t>
      </w:r>
      <w:proofErr w:type="spellStart"/>
      <w:r>
        <w:rPr>
          <w:rFonts w:ascii="Times New Roman" w:eastAsia="MinionPro-Bold" w:hAnsi="Times New Roman" w:cs="Times New Roman"/>
          <w:sz w:val="24"/>
          <w:szCs w:val="24"/>
          <w:lang w:eastAsia="zh-CN" w:bidi="ar"/>
        </w:rPr>
        <w:t>AbuBakar</w:t>
      </w:r>
      <w:proofErr w:type="spellEnd"/>
      <w:r>
        <w:rPr>
          <w:rFonts w:ascii="Times New Roman" w:eastAsia="MinionPro-Bold" w:hAnsi="Times New Roman" w:cs="Times New Roman"/>
          <w:sz w:val="24"/>
          <w:szCs w:val="24"/>
          <w:lang w:eastAsia="zh-CN" w:bidi="ar"/>
        </w:rPr>
        <w:t xml:space="preserve"> A, Mahmood NZ, Abdullah N. (2016). </w:t>
      </w:r>
      <w:r>
        <w:rPr>
          <w:rFonts w:ascii="Times New Roman" w:eastAsia="MinionPro-Semibold" w:hAnsi="Times New Roman" w:cs="Times New Roman"/>
          <w:sz w:val="24"/>
          <w:szCs w:val="24"/>
          <w:lang w:eastAsia="zh-CN" w:bidi="ar"/>
        </w:rPr>
        <w:t>Heavy metal contaminated soil bioremediation via vermicomposting with spent mushroom compost.</w:t>
      </w:r>
      <w:r>
        <w:rPr>
          <w:rFonts w:ascii="Times New Roman" w:eastAsia="MinionPro-Capt" w:hAnsi="Times New Roman" w:cs="Times New Roman"/>
          <w:sz w:val="24"/>
          <w:szCs w:val="24"/>
          <w:lang w:eastAsia="zh-CN" w:bidi="ar"/>
        </w:rPr>
        <w:t xml:space="preserve"> </w:t>
      </w:r>
      <w:r>
        <w:rPr>
          <w:rFonts w:ascii="Times New Roman" w:eastAsia="MinionPro-Capt" w:hAnsi="Times New Roman" w:cs="Times New Roman"/>
          <w:i/>
          <w:iCs/>
          <w:sz w:val="24"/>
          <w:szCs w:val="24"/>
          <w:lang w:eastAsia="zh-CN" w:bidi="ar"/>
        </w:rPr>
        <w:t>Science Asia</w:t>
      </w:r>
      <w:r>
        <w:rPr>
          <w:rFonts w:ascii="Times New Roman" w:eastAsia="MinionPro-Capt" w:hAnsi="Times New Roman" w:cs="Times New Roman"/>
          <w:sz w:val="24"/>
          <w:szCs w:val="24"/>
          <w:lang w:eastAsia="zh-CN" w:bidi="ar"/>
        </w:rPr>
        <w:t xml:space="preserve">. 42:367-375. </w:t>
      </w:r>
    </w:p>
    <w:p w14:paraId="47549565" w14:textId="77777777" w:rsidR="00AB759C" w:rsidRDefault="00AB759C" w:rsidP="00AB759C">
      <w:pPr>
        <w:ind w:left="720" w:hanging="720"/>
        <w:jc w:val="both"/>
        <w:rPr>
          <w:rFonts w:ascii="Times New Roman" w:hAnsi="Times New Roman" w:cs="Times New Roman"/>
          <w:sz w:val="24"/>
          <w:szCs w:val="24"/>
        </w:rPr>
      </w:pPr>
      <w:r>
        <w:rPr>
          <w:rFonts w:ascii="Times New Roman" w:eastAsia="MinionPro-Bold" w:hAnsi="Times New Roman" w:cs="Times New Roman"/>
          <w:sz w:val="24"/>
          <w:szCs w:val="24"/>
          <w:lang w:eastAsia="zh-CN" w:bidi="ar"/>
        </w:rPr>
        <w:t xml:space="preserve">Dada, E. O., Njoku, K. L., </w:t>
      </w:r>
      <w:proofErr w:type="spellStart"/>
      <w:r>
        <w:rPr>
          <w:rFonts w:ascii="Times New Roman" w:eastAsia="MinionPro-Bold" w:hAnsi="Times New Roman" w:cs="Times New Roman"/>
          <w:sz w:val="24"/>
          <w:szCs w:val="24"/>
          <w:lang w:eastAsia="zh-CN" w:bidi="ar"/>
        </w:rPr>
        <w:t>Osuntoki</w:t>
      </w:r>
      <w:proofErr w:type="spellEnd"/>
      <w:r>
        <w:rPr>
          <w:rFonts w:ascii="Times New Roman" w:eastAsia="MinionPro-Bold" w:hAnsi="Times New Roman" w:cs="Times New Roman"/>
          <w:sz w:val="24"/>
          <w:szCs w:val="24"/>
          <w:lang w:eastAsia="zh-CN" w:bidi="ar"/>
        </w:rPr>
        <w:t xml:space="preserve">, A. A., Akinola, M. O. (2015). </w:t>
      </w:r>
      <w:r>
        <w:rPr>
          <w:rFonts w:ascii="Times New Roman" w:eastAsia="MinionPro-Semibold" w:hAnsi="Times New Roman" w:cs="Times New Roman"/>
          <w:sz w:val="24"/>
          <w:szCs w:val="24"/>
          <w:lang w:eastAsia="zh-CN" w:bidi="ar"/>
        </w:rPr>
        <w:t>A review of current techniques of in situ physicochemical and biological remediation of heavy metals polluted soil.</w:t>
      </w:r>
      <w:r>
        <w:rPr>
          <w:rFonts w:ascii="Times New Roman" w:eastAsia="MinionPro-Capt" w:hAnsi="Times New Roman" w:cs="Times New Roman"/>
          <w:sz w:val="24"/>
          <w:szCs w:val="24"/>
          <w:lang w:eastAsia="zh-CN" w:bidi="ar"/>
        </w:rPr>
        <w:t xml:space="preserve"> </w:t>
      </w:r>
      <w:r>
        <w:rPr>
          <w:rFonts w:ascii="Times New Roman" w:eastAsia="MinionPro-Capt" w:hAnsi="Times New Roman" w:cs="Times New Roman"/>
          <w:i/>
          <w:iCs/>
          <w:sz w:val="24"/>
          <w:szCs w:val="24"/>
          <w:lang w:eastAsia="zh-CN" w:bidi="ar"/>
        </w:rPr>
        <w:t>Ethiopian Journal of Environmental Studies and Management</w:t>
      </w:r>
      <w:r>
        <w:rPr>
          <w:rFonts w:ascii="Times New Roman" w:eastAsia="MinionPro-Capt" w:hAnsi="Times New Roman" w:cs="Times New Roman"/>
          <w:sz w:val="24"/>
          <w:szCs w:val="24"/>
          <w:lang w:eastAsia="zh-CN" w:bidi="ar"/>
        </w:rPr>
        <w:t xml:space="preserve"> :8(5):606- 615. </w:t>
      </w:r>
    </w:p>
    <w:p w14:paraId="12F40C26" w14:textId="77777777" w:rsidR="00AB759C" w:rsidRDefault="00AB759C" w:rsidP="00AB759C">
      <w:pPr>
        <w:ind w:left="720" w:hanging="720"/>
        <w:jc w:val="both"/>
        <w:rPr>
          <w:rFonts w:ascii="Times New Roman" w:eastAsia="MinionPro-Capt" w:hAnsi="Times New Roman" w:cs="Times New Roman"/>
          <w:sz w:val="24"/>
          <w:szCs w:val="24"/>
          <w:lang w:eastAsia="zh-CN" w:bidi="ar"/>
        </w:rPr>
      </w:pPr>
      <w:r>
        <w:rPr>
          <w:rFonts w:ascii="Times New Roman" w:eastAsia="MinionPro-Bold" w:hAnsi="Times New Roman" w:cs="Times New Roman"/>
          <w:sz w:val="24"/>
          <w:szCs w:val="24"/>
          <w:lang w:eastAsia="zh-CN" w:bidi="ar"/>
        </w:rPr>
        <w:t xml:space="preserve">Dada, E. O., Njoku, K. L., </w:t>
      </w:r>
      <w:proofErr w:type="spellStart"/>
      <w:r>
        <w:rPr>
          <w:rFonts w:ascii="Times New Roman" w:eastAsia="MinionPro-Bold" w:hAnsi="Times New Roman" w:cs="Times New Roman"/>
          <w:sz w:val="24"/>
          <w:szCs w:val="24"/>
          <w:lang w:eastAsia="zh-CN" w:bidi="ar"/>
        </w:rPr>
        <w:t>Osuntoki</w:t>
      </w:r>
      <w:proofErr w:type="spellEnd"/>
      <w:r>
        <w:rPr>
          <w:rFonts w:ascii="Times New Roman" w:eastAsia="MinionPro-Bold" w:hAnsi="Times New Roman" w:cs="Times New Roman"/>
          <w:sz w:val="24"/>
          <w:szCs w:val="24"/>
          <w:lang w:eastAsia="zh-CN" w:bidi="ar"/>
        </w:rPr>
        <w:t xml:space="preserve">, A. A., Akinola, M. O. (2016). </w:t>
      </w:r>
      <w:r>
        <w:rPr>
          <w:rFonts w:ascii="Times New Roman" w:eastAsia="MinionPro-Semibold" w:hAnsi="Times New Roman" w:cs="Times New Roman"/>
          <w:sz w:val="24"/>
          <w:szCs w:val="24"/>
          <w:lang w:eastAsia="zh-CN" w:bidi="ar"/>
        </w:rPr>
        <w:t xml:space="preserve">Heavy metal remediation potential of a tropical wetland earthworm, </w:t>
      </w:r>
      <w:proofErr w:type="spellStart"/>
      <w:r>
        <w:rPr>
          <w:rFonts w:ascii="Times New Roman" w:eastAsia="MinionPro-Semibold" w:hAnsi="Times New Roman" w:cs="Times New Roman"/>
          <w:sz w:val="24"/>
          <w:szCs w:val="24"/>
          <w:lang w:eastAsia="zh-CN" w:bidi="ar"/>
        </w:rPr>
        <w:t>Libyodrilus</w:t>
      </w:r>
      <w:proofErr w:type="spellEnd"/>
      <w:r>
        <w:rPr>
          <w:rFonts w:ascii="Times New Roman" w:eastAsia="MinionPro-Semibold" w:hAnsi="Times New Roman" w:cs="Times New Roman"/>
          <w:sz w:val="24"/>
          <w:szCs w:val="24"/>
          <w:lang w:eastAsia="zh-CN" w:bidi="ar"/>
        </w:rPr>
        <w:t xml:space="preserve"> violaceus (</w:t>
      </w:r>
      <w:proofErr w:type="spellStart"/>
      <w:r>
        <w:rPr>
          <w:rFonts w:ascii="Times New Roman" w:eastAsia="MinionPro-Semibold" w:hAnsi="Times New Roman" w:cs="Times New Roman"/>
          <w:sz w:val="24"/>
          <w:szCs w:val="24"/>
          <w:lang w:eastAsia="zh-CN" w:bidi="ar"/>
        </w:rPr>
        <w:t>Beddard</w:t>
      </w:r>
      <w:proofErr w:type="spellEnd"/>
      <w:r>
        <w:rPr>
          <w:rFonts w:ascii="Times New Roman" w:eastAsia="MinionPro-Semibold" w:hAnsi="Times New Roman" w:cs="Times New Roman"/>
          <w:sz w:val="24"/>
          <w:szCs w:val="24"/>
          <w:lang w:eastAsia="zh-CN" w:bidi="ar"/>
        </w:rPr>
        <w:t xml:space="preserve">). </w:t>
      </w:r>
      <w:proofErr w:type="spellStart"/>
      <w:r>
        <w:rPr>
          <w:rFonts w:ascii="Times New Roman" w:eastAsia="MinionPro-Capt" w:hAnsi="Times New Roman" w:cs="Times New Roman"/>
          <w:i/>
          <w:iCs/>
          <w:sz w:val="24"/>
          <w:szCs w:val="24"/>
          <w:lang w:eastAsia="zh-CN" w:bidi="ar"/>
        </w:rPr>
        <w:t>Iranica</w:t>
      </w:r>
      <w:proofErr w:type="spellEnd"/>
      <w:r>
        <w:rPr>
          <w:rFonts w:ascii="Times New Roman" w:eastAsia="MinionPro-Capt" w:hAnsi="Times New Roman" w:cs="Times New Roman"/>
          <w:i/>
          <w:iCs/>
          <w:sz w:val="24"/>
          <w:szCs w:val="24"/>
          <w:lang w:eastAsia="zh-CN" w:bidi="ar"/>
        </w:rPr>
        <w:t xml:space="preserve"> Journal </w:t>
      </w:r>
      <w:proofErr w:type="gramStart"/>
      <w:r>
        <w:rPr>
          <w:rFonts w:ascii="Times New Roman" w:eastAsia="MinionPro-Capt" w:hAnsi="Times New Roman" w:cs="Times New Roman"/>
          <w:i/>
          <w:iCs/>
          <w:sz w:val="24"/>
          <w:szCs w:val="24"/>
          <w:lang w:eastAsia="zh-CN" w:bidi="ar"/>
        </w:rPr>
        <w:t>of  Energy</w:t>
      </w:r>
      <w:proofErr w:type="gramEnd"/>
      <w:r>
        <w:rPr>
          <w:rFonts w:ascii="Times New Roman" w:eastAsia="MinionPro-Capt" w:hAnsi="Times New Roman" w:cs="Times New Roman"/>
          <w:i/>
          <w:iCs/>
          <w:sz w:val="24"/>
          <w:szCs w:val="24"/>
          <w:lang w:eastAsia="zh-CN" w:bidi="ar"/>
        </w:rPr>
        <w:t xml:space="preserve"> Environment</w:t>
      </w:r>
      <w:r>
        <w:rPr>
          <w:rFonts w:ascii="Times New Roman" w:eastAsia="MinionPro-Capt" w:hAnsi="Times New Roman" w:cs="Times New Roman"/>
          <w:sz w:val="24"/>
          <w:szCs w:val="24"/>
          <w:lang w:eastAsia="zh-CN" w:bidi="ar"/>
        </w:rPr>
        <w:t xml:space="preserve"> 7(3):247-254. </w:t>
      </w:r>
    </w:p>
    <w:p w14:paraId="3782DA15" w14:textId="77777777" w:rsidR="00AB759C" w:rsidRDefault="00AB759C" w:rsidP="00AB759C">
      <w:pPr>
        <w:ind w:left="720" w:hanging="720"/>
        <w:jc w:val="both"/>
        <w:rPr>
          <w:rFonts w:ascii="Times New Roman" w:eastAsia="MinionPro-Capt" w:hAnsi="Times New Roman" w:cs="Times New Roman"/>
          <w:sz w:val="24"/>
          <w:szCs w:val="24"/>
          <w:lang w:eastAsia="zh-CN" w:bidi="ar"/>
        </w:rPr>
      </w:pPr>
      <w:r>
        <w:rPr>
          <w:rFonts w:ascii="Times New Roman" w:eastAsia="MinionPro-Bold" w:hAnsi="Times New Roman" w:cs="Times New Roman"/>
          <w:sz w:val="24"/>
          <w:szCs w:val="24"/>
          <w:lang w:eastAsia="zh-CN" w:bidi="ar"/>
        </w:rPr>
        <w:t xml:space="preserve">Dedeke, G. A., </w:t>
      </w:r>
      <w:proofErr w:type="spellStart"/>
      <w:r>
        <w:rPr>
          <w:rFonts w:ascii="Times New Roman" w:eastAsia="MinionPro-Bold" w:hAnsi="Times New Roman" w:cs="Times New Roman"/>
          <w:sz w:val="24"/>
          <w:szCs w:val="24"/>
          <w:lang w:eastAsia="zh-CN" w:bidi="ar"/>
        </w:rPr>
        <w:t>Owagboriaye</w:t>
      </w:r>
      <w:proofErr w:type="spellEnd"/>
      <w:r>
        <w:rPr>
          <w:rFonts w:ascii="Times New Roman" w:eastAsia="MinionPro-Bold" w:hAnsi="Times New Roman" w:cs="Times New Roman"/>
          <w:sz w:val="24"/>
          <w:szCs w:val="24"/>
          <w:lang w:eastAsia="zh-CN" w:bidi="ar"/>
        </w:rPr>
        <w:t xml:space="preserve">, F. O., </w:t>
      </w:r>
      <w:proofErr w:type="spellStart"/>
      <w:r>
        <w:rPr>
          <w:rFonts w:ascii="Times New Roman" w:eastAsia="MinionPro-Bold" w:hAnsi="Times New Roman" w:cs="Times New Roman"/>
          <w:sz w:val="24"/>
          <w:szCs w:val="24"/>
          <w:lang w:eastAsia="zh-CN" w:bidi="ar"/>
        </w:rPr>
        <w:t>Adebambo</w:t>
      </w:r>
      <w:proofErr w:type="spellEnd"/>
      <w:r>
        <w:rPr>
          <w:rFonts w:ascii="Times New Roman" w:eastAsia="MinionPro-Bold" w:hAnsi="Times New Roman" w:cs="Times New Roman"/>
          <w:sz w:val="24"/>
          <w:szCs w:val="24"/>
          <w:lang w:eastAsia="zh-CN" w:bidi="ar"/>
        </w:rPr>
        <w:t xml:space="preserve">, A. O., </w:t>
      </w:r>
      <w:proofErr w:type="spellStart"/>
      <w:r>
        <w:rPr>
          <w:rFonts w:ascii="Times New Roman" w:eastAsia="MinionPro-Bold" w:hAnsi="Times New Roman" w:cs="Times New Roman"/>
          <w:sz w:val="24"/>
          <w:szCs w:val="24"/>
          <w:lang w:eastAsia="zh-CN" w:bidi="ar"/>
        </w:rPr>
        <w:t>Ademolu</w:t>
      </w:r>
      <w:proofErr w:type="spellEnd"/>
      <w:r>
        <w:rPr>
          <w:rFonts w:ascii="Times New Roman" w:eastAsia="MinionPro-Bold" w:hAnsi="Times New Roman" w:cs="Times New Roman"/>
          <w:sz w:val="24"/>
          <w:szCs w:val="24"/>
          <w:lang w:eastAsia="zh-CN" w:bidi="ar"/>
        </w:rPr>
        <w:t xml:space="preserve">, K. O. (2016). </w:t>
      </w:r>
      <w:r>
        <w:rPr>
          <w:rFonts w:ascii="Times New Roman" w:eastAsia="MinionPro-Semibold" w:hAnsi="Times New Roman" w:cs="Times New Roman"/>
          <w:sz w:val="24"/>
          <w:szCs w:val="24"/>
          <w:lang w:eastAsia="zh-CN" w:bidi="ar"/>
        </w:rPr>
        <w:t xml:space="preserve">Earthworm metallothionein production as biomarker of heavy metal pollution in abattoir soil. </w:t>
      </w:r>
      <w:r>
        <w:rPr>
          <w:rFonts w:ascii="Times New Roman" w:eastAsia="MinionPro-Capt" w:hAnsi="Times New Roman" w:cs="Times New Roman"/>
          <w:i/>
          <w:iCs/>
          <w:sz w:val="24"/>
          <w:szCs w:val="24"/>
          <w:lang w:eastAsia="zh-CN" w:bidi="ar"/>
        </w:rPr>
        <w:t xml:space="preserve">Applied Soil </w:t>
      </w:r>
      <w:proofErr w:type="gramStart"/>
      <w:r>
        <w:rPr>
          <w:rFonts w:ascii="Times New Roman" w:eastAsia="MinionPro-Capt" w:hAnsi="Times New Roman" w:cs="Times New Roman"/>
          <w:i/>
          <w:iCs/>
          <w:sz w:val="24"/>
          <w:szCs w:val="24"/>
          <w:lang w:eastAsia="zh-CN" w:bidi="ar"/>
        </w:rPr>
        <w:t xml:space="preserve">Ecology </w:t>
      </w:r>
      <w:r>
        <w:rPr>
          <w:rFonts w:ascii="Times New Roman" w:eastAsia="MinionPro-Capt" w:hAnsi="Times New Roman" w:cs="Times New Roman"/>
          <w:sz w:val="24"/>
          <w:szCs w:val="24"/>
          <w:lang w:eastAsia="zh-CN" w:bidi="ar"/>
        </w:rPr>
        <w:t xml:space="preserve"> 23:104:42</w:t>
      </w:r>
      <w:proofErr w:type="gramEnd"/>
      <w:r>
        <w:rPr>
          <w:rFonts w:ascii="Times New Roman" w:eastAsia="MinionPro-Capt" w:hAnsi="Times New Roman" w:cs="Times New Roman"/>
          <w:sz w:val="24"/>
          <w:szCs w:val="24"/>
          <w:lang w:eastAsia="zh-CN" w:bidi="ar"/>
        </w:rPr>
        <w:t>-47.</w:t>
      </w:r>
    </w:p>
    <w:p w14:paraId="31F52E06" w14:textId="77777777" w:rsidR="00AB759C" w:rsidRDefault="00AB759C" w:rsidP="00AB759C">
      <w:pPr>
        <w:ind w:left="720" w:hanging="720"/>
        <w:jc w:val="both"/>
        <w:rPr>
          <w:rFonts w:ascii="Times New Roman" w:hAnsi="Times New Roman" w:cs="Times New Roman"/>
          <w:sz w:val="24"/>
          <w:szCs w:val="24"/>
        </w:rPr>
      </w:pPr>
      <w:r>
        <w:rPr>
          <w:rFonts w:ascii="Times New Roman" w:hAnsi="Times New Roman" w:cs="Times New Roman"/>
          <w:sz w:val="24"/>
          <w:szCs w:val="24"/>
        </w:rPr>
        <w:t>Drake, H. L. and Horn, M. A. (2007). As the worm turns: the earthworm gut as a transient habitat for soil microbial biomes.</w:t>
      </w:r>
      <w:r>
        <w:rPr>
          <w:rFonts w:ascii="Times New Roman" w:hAnsi="Times New Roman" w:cs="Times New Roman"/>
          <w:i/>
          <w:sz w:val="24"/>
          <w:szCs w:val="24"/>
        </w:rPr>
        <w:t xml:space="preserve"> Annual. Review. Microbiology</w:t>
      </w:r>
      <w:r>
        <w:rPr>
          <w:rFonts w:ascii="Times New Roman" w:hAnsi="Times New Roman" w:cs="Times New Roman"/>
          <w:sz w:val="24"/>
          <w:szCs w:val="24"/>
        </w:rPr>
        <w:t xml:space="preserve">.  61: 169-189.  </w:t>
      </w:r>
    </w:p>
    <w:p w14:paraId="25F36037" w14:textId="77777777" w:rsidR="00AB759C" w:rsidRDefault="00AB759C" w:rsidP="00AB759C">
      <w:pPr>
        <w:pStyle w:val="Default"/>
        <w:spacing w:line="276" w:lineRule="auto"/>
        <w:ind w:left="720" w:hanging="720"/>
        <w:jc w:val="both"/>
        <w:rPr>
          <w:color w:val="auto"/>
        </w:rPr>
      </w:pPr>
    </w:p>
    <w:p w14:paraId="04BEF520" w14:textId="77777777" w:rsidR="00AB759C" w:rsidRDefault="00AB759C" w:rsidP="00AB759C">
      <w:pPr>
        <w:pStyle w:val="Default"/>
        <w:spacing w:line="276" w:lineRule="auto"/>
        <w:ind w:left="720" w:hanging="720"/>
        <w:jc w:val="both"/>
        <w:rPr>
          <w:color w:val="auto"/>
        </w:rPr>
      </w:pPr>
      <w:r>
        <w:rPr>
          <w:color w:val="auto"/>
        </w:rPr>
        <w:t xml:space="preserve">FEPA, (1991). Guidelines and Standards for Environmental Pollution Control in Nigeria”. Federal Environmental Protection Agency (FEPA). Nigeria.  </w:t>
      </w:r>
    </w:p>
    <w:p w14:paraId="2CCE899E" w14:textId="77777777" w:rsidR="00AB759C" w:rsidRDefault="00AB759C" w:rsidP="00AB759C">
      <w:pPr>
        <w:pStyle w:val="Default"/>
        <w:spacing w:line="276" w:lineRule="auto"/>
        <w:ind w:left="720" w:hanging="720"/>
        <w:jc w:val="both"/>
        <w:rPr>
          <w:color w:val="auto"/>
        </w:rPr>
      </w:pPr>
    </w:p>
    <w:p w14:paraId="0A8246B2" w14:textId="77777777" w:rsidR="00AB759C" w:rsidRDefault="00AB759C" w:rsidP="00AB759C">
      <w:pPr>
        <w:pStyle w:val="Default"/>
        <w:spacing w:line="276" w:lineRule="auto"/>
        <w:ind w:left="720" w:hanging="720"/>
        <w:jc w:val="both"/>
        <w:rPr>
          <w:i/>
          <w:iCs/>
          <w:color w:val="auto"/>
        </w:rPr>
      </w:pPr>
      <w:proofErr w:type="spellStart"/>
      <w:r>
        <w:rPr>
          <w:color w:val="auto"/>
        </w:rPr>
        <w:t>Fliepbach</w:t>
      </w:r>
      <w:proofErr w:type="spellEnd"/>
      <w:r>
        <w:rPr>
          <w:color w:val="auto"/>
        </w:rPr>
        <w:t xml:space="preserve">, A., Martens, R. and Reber, H. H. (1994). Soil Microbial Biomass and Activity in Soil Treated with Heavy Metal contaminated Sewage Sludge, </w:t>
      </w:r>
      <w:r>
        <w:rPr>
          <w:i/>
          <w:iCs/>
          <w:color w:val="auto"/>
        </w:rPr>
        <w:t xml:space="preserve">Journal of Soil Biology and Biochemistry, </w:t>
      </w:r>
      <w:r>
        <w:rPr>
          <w:color w:val="auto"/>
        </w:rPr>
        <w:t>26(9):1201-1205</w:t>
      </w:r>
      <w:r>
        <w:rPr>
          <w:i/>
          <w:iCs/>
          <w:color w:val="auto"/>
        </w:rPr>
        <w:t xml:space="preserve">. </w:t>
      </w:r>
    </w:p>
    <w:p w14:paraId="42DEDB67" w14:textId="77777777" w:rsidR="00AB759C" w:rsidRDefault="00AB759C" w:rsidP="00AB759C">
      <w:pPr>
        <w:pStyle w:val="Default"/>
        <w:spacing w:line="276" w:lineRule="auto"/>
        <w:ind w:left="720" w:hanging="720"/>
        <w:jc w:val="both"/>
        <w:rPr>
          <w:i/>
          <w:iCs/>
          <w:color w:val="auto"/>
        </w:rPr>
      </w:pPr>
    </w:p>
    <w:p w14:paraId="7A93D5DB" w14:textId="77777777" w:rsidR="00AB759C" w:rsidRDefault="00AB759C" w:rsidP="00AB759C">
      <w:pPr>
        <w:ind w:left="720" w:hanging="720"/>
        <w:jc w:val="both"/>
        <w:rPr>
          <w:rFonts w:ascii="Times New Roman" w:hAnsi="Times New Roman" w:cs="Times New Roman"/>
          <w:sz w:val="24"/>
          <w:szCs w:val="24"/>
        </w:rPr>
      </w:pPr>
      <w:r>
        <w:rPr>
          <w:rFonts w:ascii="Times New Roman" w:eastAsia="STIX" w:hAnsi="Times New Roman" w:cs="Times New Roman"/>
          <w:sz w:val="24"/>
          <w:szCs w:val="24"/>
          <w:lang w:eastAsia="zh-CN" w:bidi="ar"/>
        </w:rPr>
        <w:t xml:space="preserve">Garcia-Velasco, N., </w:t>
      </w:r>
      <w:proofErr w:type="spellStart"/>
      <w:r>
        <w:rPr>
          <w:rFonts w:ascii="Times New Roman" w:eastAsia="STIX" w:hAnsi="Times New Roman" w:cs="Times New Roman"/>
          <w:sz w:val="24"/>
          <w:szCs w:val="24"/>
          <w:lang w:eastAsia="zh-CN" w:bidi="ar"/>
        </w:rPr>
        <w:t>Gandariasbeitia</w:t>
      </w:r>
      <w:proofErr w:type="spellEnd"/>
      <w:r>
        <w:rPr>
          <w:rFonts w:ascii="Times New Roman" w:eastAsia="STIX" w:hAnsi="Times New Roman" w:cs="Times New Roman"/>
          <w:sz w:val="24"/>
          <w:szCs w:val="24"/>
          <w:lang w:eastAsia="zh-CN" w:bidi="ar"/>
        </w:rPr>
        <w:t xml:space="preserve">, M., Irizar, A., and Soto, M. (2016). Uptake route and resulting toxicity of silver nanoparticles in </w:t>
      </w:r>
      <w:r>
        <w:rPr>
          <w:rFonts w:ascii="Times New Roman" w:eastAsia="STIX-Italic" w:hAnsi="Times New Roman" w:cs="Times New Roman"/>
          <w:i/>
          <w:iCs/>
          <w:sz w:val="24"/>
          <w:szCs w:val="24"/>
          <w:lang w:eastAsia="zh-CN" w:bidi="ar"/>
        </w:rPr>
        <w:t xml:space="preserve">Eisenia </w:t>
      </w:r>
      <w:proofErr w:type="spellStart"/>
      <w:r>
        <w:rPr>
          <w:rFonts w:ascii="Times New Roman" w:eastAsia="STIX-Italic" w:hAnsi="Times New Roman" w:cs="Times New Roman"/>
          <w:i/>
          <w:iCs/>
          <w:sz w:val="24"/>
          <w:szCs w:val="24"/>
          <w:lang w:eastAsia="zh-CN" w:bidi="ar"/>
        </w:rPr>
        <w:t>fetida</w:t>
      </w:r>
      <w:proofErr w:type="spellEnd"/>
      <w:r>
        <w:rPr>
          <w:rFonts w:ascii="Times New Roman" w:eastAsia="STIX" w:hAnsi="Times New Roman" w:cs="Times New Roman"/>
          <w:sz w:val="24"/>
          <w:szCs w:val="24"/>
          <w:lang w:eastAsia="zh-CN" w:bidi="ar"/>
        </w:rPr>
        <w:t xml:space="preserve"> earthworm exposed through Standard OECD Tests. </w:t>
      </w:r>
      <w:r>
        <w:rPr>
          <w:rFonts w:ascii="Times New Roman" w:eastAsia="STIX-Italic" w:hAnsi="Times New Roman" w:cs="Times New Roman"/>
          <w:i/>
          <w:iCs/>
          <w:sz w:val="24"/>
          <w:szCs w:val="24"/>
          <w:lang w:eastAsia="zh-CN" w:bidi="ar"/>
        </w:rPr>
        <w:t>Ecotoxicology, 25</w:t>
      </w:r>
      <w:r>
        <w:rPr>
          <w:rFonts w:ascii="Times New Roman" w:eastAsia="STIX" w:hAnsi="Times New Roman" w:cs="Times New Roman"/>
          <w:sz w:val="24"/>
          <w:szCs w:val="24"/>
          <w:lang w:eastAsia="zh-CN" w:bidi="ar"/>
        </w:rPr>
        <w:t>, 1543–1555.</w:t>
      </w:r>
    </w:p>
    <w:p w14:paraId="148031CA" w14:textId="77777777" w:rsidR="00AB759C" w:rsidRDefault="00AB759C" w:rsidP="00AB759C">
      <w:pPr>
        <w:ind w:left="720" w:hanging="720"/>
        <w:jc w:val="both"/>
        <w:rPr>
          <w:rFonts w:ascii="Times New Roman" w:eastAsia="AdvOT1ef757c0" w:hAnsi="Times New Roman" w:cs="Times New Roman"/>
          <w:sz w:val="24"/>
          <w:szCs w:val="24"/>
          <w:lang w:eastAsia="zh-CN" w:bidi="ar"/>
        </w:rPr>
      </w:pPr>
      <w:r>
        <w:rPr>
          <w:rFonts w:ascii="Times New Roman" w:eastAsia="AdvOT1ef757c0" w:hAnsi="Times New Roman" w:cs="Times New Roman"/>
          <w:sz w:val="24"/>
          <w:szCs w:val="24"/>
          <w:lang w:eastAsia="zh-CN" w:bidi="ar"/>
        </w:rPr>
        <w:lastRenderedPageBreak/>
        <w:t>Hoang, D. T., Pausch, J., Razavi, B. S., Kuzyakova, I., Ban</w:t>
      </w:r>
      <w:r>
        <w:rPr>
          <w:rFonts w:ascii="Times New Roman" w:eastAsia="AdvOT1ef757c0+fb" w:hAnsi="Times New Roman" w:cs="Times New Roman"/>
          <w:sz w:val="24"/>
          <w:szCs w:val="24"/>
          <w:lang w:eastAsia="zh-CN" w:bidi="ar"/>
        </w:rPr>
        <w:t>fi</w:t>
      </w:r>
      <w:r>
        <w:rPr>
          <w:rFonts w:ascii="Times New Roman" w:eastAsia="AdvOT1ef757c0" w:hAnsi="Times New Roman" w:cs="Times New Roman"/>
          <w:sz w:val="24"/>
          <w:szCs w:val="24"/>
          <w:lang w:eastAsia="zh-CN" w:bidi="ar"/>
        </w:rPr>
        <w:t xml:space="preserve">eld, C. C., and Kuzyakov, Y. (2016). Hotspots of microbial activity induced by earthworm burrows, old root channels, and their combination in subsoil. </w:t>
      </w:r>
      <w:r>
        <w:rPr>
          <w:rFonts w:ascii="Times New Roman" w:eastAsia="AdvOT7d6df7ab.I" w:hAnsi="Times New Roman" w:cs="Times New Roman"/>
          <w:sz w:val="24"/>
          <w:szCs w:val="24"/>
          <w:lang w:eastAsia="zh-CN" w:bidi="ar"/>
        </w:rPr>
        <w:t xml:space="preserve">Biology </w:t>
      </w:r>
      <w:proofErr w:type="gramStart"/>
      <w:r>
        <w:rPr>
          <w:rFonts w:ascii="Times New Roman" w:eastAsia="AdvOT7d6df7ab.I" w:hAnsi="Times New Roman" w:cs="Times New Roman"/>
          <w:sz w:val="24"/>
          <w:szCs w:val="24"/>
          <w:lang w:eastAsia="zh-CN" w:bidi="ar"/>
        </w:rPr>
        <w:t>and  Fertility</w:t>
      </w:r>
      <w:proofErr w:type="gramEnd"/>
      <w:r>
        <w:rPr>
          <w:rFonts w:ascii="Times New Roman" w:eastAsia="AdvOT7d6df7ab.I" w:hAnsi="Times New Roman" w:cs="Times New Roman"/>
          <w:sz w:val="24"/>
          <w:szCs w:val="24"/>
          <w:lang w:eastAsia="zh-CN" w:bidi="ar"/>
        </w:rPr>
        <w:t xml:space="preserve"> of  Soils </w:t>
      </w:r>
      <w:r>
        <w:rPr>
          <w:rFonts w:ascii="Times New Roman" w:eastAsia="AdvOT1ef757c0" w:hAnsi="Times New Roman" w:cs="Times New Roman"/>
          <w:sz w:val="24"/>
          <w:szCs w:val="24"/>
          <w:lang w:eastAsia="zh-CN" w:bidi="ar"/>
        </w:rPr>
        <w:t>52 (8), 1105</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1119.</w:t>
      </w:r>
    </w:p>
    <w:p w14:paraId="1502D659" w14:textId="1AAC096D" w:rsidR="00AB759C" w:rsidRDefault="00AB759C" w:rsidP="00AB759C">
      <w:pPr>
        <w:ind w:left="720" w:hanging="720"/>
        <w:jc w:val="both"/>
        <w:rPr>
          <w:rFonts w:ascii="Times New Roman" w:eastAsia="AdvOT1ef757c0" w:hAnsi="Times New Roman" w:cs="Times New Roman"/>
          <w:sz w:val="24"/>
          <w:szCs w:val="24"/>
          <w:lang w:eastAsia="zh-CN" w:bidi="ar"/>
        </w:rPr>
      </w:pPr>
      <w:r>
        <w:rPr>
          <w:rFonts w:ascii="Times New Roman" w:hAnsi="Times New Roman" w:cs="Times New Roman"/>
          <w:sz w:val="24"/>
          <w:szCs w:val="24"/>
        </w:rPr>
        <w:t>Jackson, M. L. (1967). Soil Chemical analysis. Prentice Hall of India, Pvt. Ltd., New Delhi. p 498</w:t>
      </w:r>
      <w:r>
        <w:rPr>
          <w:rFonts w:ascii="Arial" w:hAnsi="Arial" w:cs="Arial"/>
          <w:sz w:val="24"/>
          <w:szCs w:val="24"/>
        </w:rPr>
        <w:t>.</w:t>
      </w:r>
    </w:p>
    <w:p w14:paraId="28E5BE25" w14:textId="77777777" w:rsidR="00AB759C" w:rsidRDefault="00AB759C" w:rsidP="00AB759C">
      <w:pPr>
        <w:ind w:left="720" w:hanging="720"/>
        <w:jc w:val="both"/>
        <w:rPr>
          <w:rFonts w:ascii="Times New Roman" w:hAnsi="Times New Roman" w:cs="Times New Roman"/>
          <w:sz w:val="24"/>
          <w:szCs w:val="24"/>
        </w:rPr>
      </w:pPr>
      <w:r>
        <w:rPr>
          <w:rFonts w:ascii="Times New Roman" w:eastAsia="MinionPro-Bold" w:hAnsi="Times New Roman" w:cs="Times New Roman"/>
          <w:sz w:val="24"/>
          <w:szCs w:val="24"/>
          <w:lang w:eastAsia="zh-CN" w:bidi="ar"/>
        </w:rPr>
        <w:t xml:space="preserve">Jager, T., </w:t>
      </w:r>
      <w:proofErr w:type="spellStart"/>
      <w:r>
        <w:rPr>
          <w:rFonts w:ascii="Times New Roman" w:eastAsia="MinionPro-Bold" w:hAnsi="Times New Roman" w:cs="Times New Roman"/>
          <w:sz w:val="24"/>
          <w:szCs w:val="24"/>
          <w:lang w:eastAsia="zh-CN" w:bidi="ar"/>
        </w:rPr>
        <w:t>Baerselman</w:t>
      </w:r>
      <w:proofErr w:type="spellEnd"/>
      <w:r>
        <w:rPr>
          <w:rFonts w:ascii="Times New Roman" w:eastAsia="MinionPro-Bold" w:hAnsi="Times New Roman" w:cs="Times New Roman"/>
          <w:sz w:val="24"/>
          <w:szCs w:val="24"/>
          <w:lang w:eastAsia="zh-CN" w:bidi="ar"/>
        </w:rPr>
        <w:t xml:space="preserve">, R, </w:t>
      </w:r>
      <w:proofErr w:type="spellStart"/>
      <w:r>
        <w:rPr>
          <w:rFonts w:ascii="Times New Roman" w:eastAsia="MinionPro-Bold" w:hAnsi="Times New Roman" w:cs="Times New Roman"/>
          <w:sz w:val="24"/>
          <w:szCs w:val="24"/>
          <w:lang w:eastAsia="zh-CN" w:bidi="ar"/>
        </w:rPr>
        <w:t>Dukeman</w:t>
      </w:r>
      <w:proofErr w:type="spellEnd"/>
      <w:r>
        <w:rPr>
          <w:rFonts w:ascii="Times New Roman" w:eastAsia="MinionPro-Bold" w:hAnsi="Times New Roman" w:cs="Times New Roman"/>
          <w:sz w:val="24"/>
          <w:szCs w:val="24"/>
          <w:lang w:eastAsia="zh-CN" w:bidi="ar"/>
        </w:rPr>
        <w:t xml:space="preserve">, E., De Groot, A. C., </w:t>
      </w:r>
      <w:proofErr w:type="spellStart"/>
      <w:r>
        <w:rPr>
          <w:rFonts w:ascii="Times New Roman" w:eastAsia="MinionPro-Bold" w:hAnsi="Times New Roman" w:cs="Times New Roman"/>
          <w:sz w:val="24"/>
          <w:szCs w:val="24"/>
          <w:lang w:eastAsia="zh-CN" w:bidi="ar"/>
        </w:rPr>
        <w:t>Hogendoorn</w:t>
      </w:r>
      <w:proofErr w:type="spellEnd"/>
      <w:r>
        <w:rPr>
          <w:rFonts w:ascii="Times New Roman" w:eastAsia="MinionPro-Bold" w:hAnsi="Times New Roman" w:cs="Times New Roman"/>
          <w:sz w:val="24"/>
          <w:szCs w:val="24"/>
          <w:lang w:eastAsia="zh-CN" w:bidi="ar"/>
        </w:rPr>
        <w:t xml:space="preserve">, E. A., Jong, A. D., </w:t>
      </w:r>
      <w:proofErr w:type="spellStart"/>
      <w:r>
        <w:rPr>
          <w:rFonts w:ascii="Times New Roman" w:eastAsia="MinionPro-Bold" w:hAnsi="Times New Roman" w:cs="Times New Roman"/>
          <w:sz w:val="24"/>
          <w:szCs w:val="24"/>
          <w:lang w:eastAsia="zh-CN" w:bidi="ar"/>
        </w:rPr>
        <w:t>Kruitbosch</w:t>
      </w:r>
      <w:proofErr w:type="spellEnd"/>
      <w:r>
        <w:rPr>
          <w:rFonts w:ascii="Times New Roman" w:eastAsia="MinionPro-Bold" w:hAnsi="Times New Roman" w:cs="Times New Roman"/>
          <w:sz w:val="24"/>
          <w:szCs w:val="24"/>
          <w:lang w:eastAsia="zh-CN" w:bidi="ar"/>
        </w:rPr>
        <w:t xml:space="preserve">, J. and Peijn, W. (2003). </w:t>
      </w:r>
      <w:r>
        <w:rPr>
          <w:rFonts w:ascii="Times New Roman" w:eastAsia="MinionPro-Semibold" w:hAnsi="Times New Roman" w:cs="Times New Roman"/>
          <w:sz w:val="24"/>
          <w:szCs w:val="24"/>
          <w:lang w:eastAsia="zh-CN" w:bidi="ar"/>
        </w:rPr>
        <w:t xml:space="preserve">Availability of PAH to earthworms (Eisenia </w:t>
      </w:r>
      <w:proofErr w:type="spellStart"/>
      <w:r>
        <w:rPr>
          <w:rFonts w:ascii="Times New Roman" w:eastAsia="MinionPro-Semibold" w:hAnsi="Times New Roman" w:cs="Times New Roman"/>
          <w:sz w:val="24"/>
          <w:szCs w:val="24"/>
          <w:lang w:eastAsia="zh-CN" w:bidi="ar"/>
        </w:rPr>
        <w:t>andrei</w:t>
      </w:r>
      <w:proofErr w:type="spellEnd"/>
      <w:r>
        <w:rPr>
          <w:rFonts w:ascii="Times New Roman" w:eastAsia="MinionPro-Semibold" w:hAnsi="Times New Roman" w:cs="Times New Roman"/>
          <w:sz w:val="24"/>
          <w:szCs w:val="24"/>
          <w:lang w:eastAsia="zh-CN" w:bidi="ar"/>
        </w:rPr>
        <w:t>) in field polluted soil and soil-sediment mixtures.</w:t>
      </w:r>
      <w:r>
        <w:rPr>
          <w:rFonts w:ascii="Times New Roman" w:eastAsia="MinionPro-Capt" w:hAnsi="Times New Roman" w:cs="Times New Roman"/>
          <w:sz w:val="24"/>
          <w:szCs w:val="24"/>
          <w:lang w:eastAsia="zh-CN" w:bidi="ar"/>
        </w:rPr>
        <w:t xml:space="preserve"> Journal </w:t>
      </w:r>
      <w:proofErr w:type="gramStart"/>
      <w:r>
        <w:rPr>
          <w:rFonts w:ascii="Times New Roman" w:eastAsia="MinionPro-Capt" w:hAnsi="Times New Roman" w:cs="Times New Roman"/>
          <w:sz w:val="24"/>
          <w:szCs w:val="24"/>
          <w:lang w:eastAsia="zh-CN" w:bidi="ar"/>
        </w:rPr>
        <w:t>of  Environmental</w:t>
      </w:r>
      <w:proofErr w:type="gramEnd"/>
      <w:r>
        <w:rPr>
          <w:rFonts w:ascii="Times New Roman" w:eastAsia="MinionPro-Capt" w:hAnsi="Times New Roman" w:cs="Times New Roman"/>
          <w:sz w:val="24"/>
          <w:szCs w:val="24"/>
          <w:lang w:eastAsia="zh-CN" w:bidi="ar"/>
        </w:rPr>
        <w:t xml:space="preserve"> Toxicology and Chemistry 22(4):767-775.</w:t>
      </w:r>
    </w:p>
    <w:p w14:paraId="10BC528F" w14:textId="77777777"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Helvetica" w:hAnsi="Times New Roman" w:cs="Times New Roman"/>
          <w:sz w:val="24"/>
          <w:szCs w:val="24"/>
          <w:lang w:eastAsia="zh-CN" w:bidi="ar"/>
        </w:rPr>
        <w:t xml:space="preserve">Joan, E. M. and Bert, E. B. U.S. </w:t>
      </w:r>
      <w:proofErr w:type="gramStart"/>
      <w:r>
        <w:rPr>
          <w:rFonts w:ascii="Times New Roman" w:eastAsia="Helvetica" w:hAnsi="Times New Roman" w:cs="Times New Roman"/>
          <w:sz w:val="24"/>
          <w:szCs w:val="24"/>
          <w:lang w:eastAsia="zh-CN" w:bidi="ar"/>
        </w:rPr>
        <w:t>EPA(</w:t>
      </w:r>
      <w:proofErr w:type="gramEnd"/>
      <w:r>
        <w:rPr>
          <w:rFonts w:ascii="Times New Roman" w:eastAsia="Helvetica" w:hAnsi="Times New Roman" w:cs="Times New Roman"/>
          <w:sz w:val="24"/>
          <w:szCs w:val="24"/>
          <w:lang w:eastAsia="zh-CN" w:bidi="ar"/>
        </w:rPr>
        <w:t>1992) ground water issues: Behavior of Metals in Soils. EPA/540/S-92/018. U.S. Environmental Protection Agency, Washington DC; 1992.</w:t>
      </w:r>
    </w:p>
    <w:p w14:paraId="23B7E582" w14:textId="77777777"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Helvetica" w:hAnsi="Times New Roman" w:cs="Times New Roman"/>
          <w:sz w:val="24"/>
          <w:szCs w:val="24"/>
          <w:lang w:eastAsia="zh-CN" w:bidi="ar"/>
        </w:rPr>
        <w:t>Akinloye</w:t>
      </w:r>
      <w:proofErr w:type="spellEnd"/>
      <w:r>
        <w:rPr>
          <w:rFonts w:ascii="Times New Roman" w:eastAsia="Helvetica" w:hAnsi="Times New Roman" w:cs="Times New Roman"/>
          <w:sz w:val="24"/>
          <w:szCs w:val="24"/>
          <w:lang w:eastAsia="zh-CN" w:bidi="ar"/>
        </w:rPr>
        <w:t xml:space="preserve"> OA, </w:t>
      </w:r>
      <w:proofErr w:type="spellStart"/>
      <w:r>
        <w:rPr>
          <w:rFonts w:ascii="Times New Roman" w:eastAsia="Helvetica" w:hAnsi="Times New Roman" w:cs="Times New Roman"/>
          <w:sz w:val="24"/>
          <w:szCs w:val="24"/>
          <w:lang w:eastAsia="zh-CN" w:bidi="ar"/>
        </w:rPr>
        <w:t>Ademolu</w:t>
      </w:r>
      <w:proofErr w:type="spellEnd"/>
      <w:r>
        <w:rPr>
          <w:rFonts w:ascii="Times New Roman" w:eastAsia="Helvetica" w:hAnsi="Times New Roman" w:cs="Times New Roman"/>
          <w:sz w:val="24"/>
          <w:szCs w:val="24"/>
          <w:lang w:eastAsia="zh-CN" w:bidi="ar"/>
        </w:rPr>
        <w:t xml:space="preserve"> KO, </w:t>
      </w:r>
      <w:proofErr w:type="spellStart"/>
      <w:r>
        <w:rPr>
          <w:rFonts w:ascii="Times New Roman" w:eastAsia="Helvetica" w:hAnsi="Times New Roman" w:cs="Times New Roman"/>
          <w:sz w:val="24"/>
          <w:szCs w:val="24"/>
          <w:lang w:eastAsia="zh-CN" w:bidi="ar"/>
        </w:rPr>
        <w:t>Bamgbola</w:t>
      </w:r>
      <w:proofErr w:type="spellEnd"/>
      <w:r>
        <w:rPr>
          <w:rFonts w:ascii="Times New Roman" w:eastAsia="Helvetica" w:hAnsi="Times New Roman" w:cs="Times New Roman"/>
          <w:sz w:val="24"/>
          <w:szCs w:val="24"/>
          <w:lang w:eastAsia="zh-CN" w:bidi="ar"/>
        </w:rPr>
        <w:t xml:space="preserve"> AA. (2011) Earthworm as bio indicator of heavy metal pollution around Lafarge, </w:t>
      </w:r>
      <w:proofErr w:type="spellStart"/>
      <w:r>
        <w:rPr>
          <w:rFonts w:ascii="Times New Roman" w:eastAsia="Helvetica" w:hAnsi="Times New Roman" w:cs="Times New Roman"/>
          <w:sz w:val="24"/>
          <w:szCs w:val="24"/>
          <w:lang w:eastAsia="zh-CN" w:bidi="ar"/>
        </w:rPr>
        <w:t>Wapco</w:t>
      </w:r>
      <w:proofErr w:type="spellEnd"/>
      <w:r>
        <w:rPr>
          <w:rFonts w:ascii="Times New Roman" w:eastAsia="Helvetica" w:hAnsi="Times New Roman" w:cs="Times New Roman"/>
          <w:sz w:val="24"/>
          <w:szCs w:val="24"/>
          <w:lang w:eastAsia="zh-CN" w:bidi="ar"/>
        </w:rPr>
        <w:t xml:space="preserve"> cement factory, </w:t>
      </w:r>
      <w:proofErr w:type="spellStart"/>
      <w:r>
        <w:rPr>
          <w:rFonts w:ascii="Times New Roman" w:eastAsia="Helvetica" w:hAnsi="Times New Roman" w:cs="Times New Roman"/>
          <w:sz w:val="24"/>
          <w:szCs w:val="24"/>
          <w:lang w:eastAsia="zh-CN" w:bidi="ar"/>
        </w:rPr>
        <w:t>Ewekoro</w:t>
      </w:r>
      <w:proofErr w:type="spellEnd"/>
      <w:r>
        <w:rPr>
          <w:rFonts w:ascii="Times New Roman" w:eastAsia="Helvetica" w:hAnsi="Times New Roman" w:cs="Times New Roman"/>
          <w:sz w:val="24"/>
          <w:szCs w:val="24"/>
          <w:lang w:eastAsia="zh-CN" w:bidi="ar"/>
        </w:rPr>
        <w:t xml:space="preserve">, Nigeria. The proceedings of the environmental management conference. Federal University of agriculture Abeokuta, Nigeria; </w:t>
      </w:r>
    </w:p>
    <w:p w14:paraId="60EC707C" w14:textId="77777777" w:rsidR="00AB759C" w:rsidRDefault="00AB759C" w:rsidP="00AB759C">
      <w:pPr>
        <w:ind w:left="720" w:hanging="720"/>
        <w:jc w:val="both"/>
        <w:rPr>
          <w:rFonts w:ascii="Times New Roman" w:hAnsi="Times New Roman" w:cs="Times New Roman"/>
          <w:sz w:val="24"/>
          <w:szCs w:val="24"/>
        </w:rPr>
      </w:pPr>
      <w:r>
        <w:rPr>
          <w:rFonts w:ascii="Times New Roman" w:eastAsia="STIX-Bold" w:hAnsi="Times New Roman" w:cs="Times New Roman"/>
          <w:sz w:val="24"/>
          <w:szCs w:val="24"/>
          <w:lang w:eastAsia="zh-CN" w:bidi="ar"/>
        </w:rPr>
        <w:t>Karczewska, A.</w:t>
      </w:r>
      <w:proofErr w:type="gramStart"/>
      <w:r>
        <w:rPr>
          <w:rFonts w:ascii="Times New Roman" w:eastAsia="STIX-Bold" w:hAnsi="Times New Roman" w:cs="Times New Roman"/>
          <w:sz w:val="24"/>
          <w:szCs w:val="24"/>
          <w:lang w:eastAsia="zh-CN" w:bidi="ar"/>
        </w:rPr>
        <w:t>,  Gruss</w:t>
      </w:r>
      <w:proofErr w:type="gramEnd"/>
      <w:r>
        <w:rPr>
          <w:rFonts w:ascii="Times New Roman" w:eastAsia="STIX-Bold" w:hAnsi="Times New Roman" w:cs="Times New Roman"/>
          <w:sz w:val="24"/>
          <w:szCs w:val="24"/>
          <w:lang w:eastAsia="zh-CN" w:bidi="ar"/>
        </w:rPr>
        <w:t xml:space="preserve">, I., </w:t>
      </w:r>
      <w:proofErr w:type="spellStart"/>
      <w:r>
        <w:rPr>
          <w:rFonts w:ascii="Times New Roman" w:eastAsia="STIX-Bold" w:hAnsi="Times New Roman" w:cs="Times New Roman"/>
          <w:sz w:val="24"/>
          <w:szCs w:val="24"/>
          <w:lang w:eastAsia="zh-CN" w:bidi="ar"/>
        </w:rPr>
        <w:t>Szopka</w:t>
      </w:r>
      <w:proofErr w:type="spellEnd"/>
      <w:r>
        <w:rPr>
          <w:rFonts w:ascii="Times New Roman" w:eastAsia="STIX-Bold" w:hAnsi="Times New Roman" w:cs="Times New Roman"/>
          <w:sz w:val="24"/>
          <w:szCs w:val="24"/>
          <w:lang w:eastAsia="zh-CN" w:bidi="ar"/>
        </w:rPr>
        <w:t xml:space="preserve">, K., </w:t>
      </w:r>
      <w:proofErr w:type="spellStart"/>
      <w:r>
        <w:rPr>
          <w:rFonts w:ascii="Times New Roman" w:eastAsia="STIX-Bold" w:hAnsi="Times New Roman" w:cs="Times New Roman"/>
          <w:sz w:val="24"/>
          <w:szCs w:val="24"/>
          <w:lang w:eastAsia="zh-CN" w:bidi="ar"/>
        </w:rPr>
        <w:t>Dradrach</w:t>
      </w:r>
      <w:proofErr w:type="spellEnd"/>
      <w:r>
        <w:rPr>
          <w:rFonts w:ascii="Times New Roman" w:eastAsia="STIX-Bold" w:hAnsi="Times New Roman" w:cs="Times New Roman"/>
          <w:sz w:val="24"/>
          <w:szCs w:val="24"/>
          <w:lang w:eastAsia="zh-CN" w:bidi="ar"/>
        </w:rPr>
        <w:t xml:space="preserve">, A.  · Jacek </w:t>
      </w:r>
      <w:proofErr w:type="gramStart"/>
      <w:r>
        <w:rPr>
          <w:rFonts w:ascii="Times New Roman" w:eastAsia="STIX-Bold" w:hAnsi="Times New Roman" w:cs="Times New Roman"/>
          <w:sz w:val="24"/>
          <w:szCs w:val="24"/>
          <w:lang w:eastAsia="zh-CN" w:bidi="ar"/>
        </w:rPr>
        <w:t>Twardowski ,</w:t>
      </w:r>
      <w:proofErr w:type="gramEnd"/>
      <w:r>
        <w:rPr>
          <w:rFonts w:ascii="Times New Roman" w:eastAsia="STIX-Bold" w:hAnsi="Times New Roman" w:cs="Times New Roman"/>
          <w:sz w:val="24"/>
          <w:szCs w:val="24"/>
          <w:lang w:eastAsia="zh-CN" w:bidi="ar"/>
        </w:rPr>
        <w:t xml:space="preserve"> J. and Twardowska, K. (2023). Arsenic toxicity to earthworms in soils of historical </w:t>
      </w:r>
      <w:proofErr w:type="gramStart"/>
      <w:r>
        <w:rPr>
          <w:rFonts w:ascii="Times New Roman" w:eastAsia="STIX-Bold" w:hAnsi="Times New Roman" w:cs="Times New Roman"/>
          <w:sz w:val="24"/>
          <w:szCs w:val="24"/>
          <w:lang w:eastAsia="zh-CN" w:bidi="ar"/>
        </w:rPr>
        <w:t>As</w:t>
      </w:r>
      <w:proofErr w:type="gramEnd"/>
      <w:r>
        <w:rPr>
          <w:rFonts w:ascii="Times New Roman" w:eastAsia="STIX-Bold" w:hAnsi="Times New Roman" w:cs="Times New Roman"/>
          <w:sz w:val="24"/>
          <w:szCs w:val="24"/>
          <w:lang w:eastAsia="zh-CN" w:bidi="ar"/>
        </w:rPr>
        <w:t xml:space="preserve"> mining sites: an assessment based on various endpoints and chemical extractions, </w:t>
      </w:r>
      <w:r>
        <w:rPr>
          <w:rFonts w:ascii="Times New Roman" w:eastAsia="STIX" w:hAnsi="Times New Roman" w:cs="Times New Roman"/>
          <w:i/>
          <w:iCs/>
          <w:sz w:val="24"/>
          <w:szCs w:val="24"/>
          <w:lang w:eastAsia="zh-CN" w:bidi="ar"/>
        </w:rPr>
        <w:t>Environmental Geochemistry and Health,</w:t>
      </w:r>
      <w:r>
        <w:rPr>
          <w:rFonts w:ascii="Times New Roman" w:eastAsia="STIX" w:hAnsi="Times New Roman" w:cs="Times New Roman"/>
          <w:sz w:val="24"/>
          <w:szCs w:val="24"/>
          <w:lang w:eastAsia="zh-CN" w:bidi="ar"/>
        </w:rPr>
        <w:t xml:space="preserve"> 45:6713–6726</w:t>
      </w:r>
    </w:p>
    <w:p w14:paraId="69A43117" w14:textId="77777777"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Helvetica" w:hAnsi="Times New Roman" w:cs="Times New Roman"/>
          <w:sz w:val="24"/>
          <w:szCs w:val="24"/>
          <w:lang w:eastAsia="zh-CN" w:bidi="ar"/>
        </w:rPr>
        <w:t xml:space="preserve">Kennette D, Hendershot W, Tomlin A, Sauve S. (2002). Uptake of trace metals by the earthworm </w:t>
      </w:r>
      <w:proofErr w:type="spellStart"/>
      <w:r>
        <w:rPr>
          <w:rFonts w:ascii="Times New Roman" w:eastAsia="Helvetica-Oblique" w:hAnsi="Times New Roman" w:cs="Times New Roman"/>
          <w:i/>
          <w:iCs/>
          <w:sz w:val="24"/>
          <w:szCs w:val="24"/>
          <w:lang w:eastAsia="zh-CN" w:bidi="ar"/>
        </w:rPr>
        <w:t>umbricus</w:t>
      </w:r>
      <w:proofErr w:type="spellEnd"/>
      <w:r>
        <w:rPr>
          <w:rFonts w:ascii="Times New Roman" w:eastAsia="Helvetica-Oblique" w:hAnsi="Times New Roman" w:cs="Times New Roman"/>
          <w:i/>
          <w:iCs/>
          <w:sz w:val="24"/>
          <w:szCs w:val="24"/>
          <w:lang w:eastAsia="zh-CN" w:bidi="ar"/>
        </w:rPr>
        <w:t xml:space="preserve"> </w:t>
      </w:r>
      <w:proofErr w:type="spellStart"/>
      <w:r>
        <w:rPr>
          <w:rFonts w:ascii="Times New Roman" w:eastAsia="Helvetica-Oblique" w:hAnsi="Times New Roman" w:cs="Times New Roman"/>
          <w:i/>
          <w:iCs/>
          <w:sz w:val="24"/>
          <w:szCs w:val="24"/>
          <w:lang w:eastAsia="zh-CN" w:bidi="ar"/>
        </w:rPr>
        <w:t>terrestris</w:t>
      </w:r>
      <w:proofErr w:type="spellEnd"/>
      <w:r>
        <w:rPr>
          <w:rFonts w:ascii="Times New Roman" w:eastAsia="Helvetica-Oblique" w:hAnsi="Times New Roman" w:cs="Times New Roman"/>
          <w:i/>
          <w:iCs/>
          <w:sz w:val="24"/>
          <w:szCs w:val="24"/>
          <w:lang w:eastAsia="zh-CN" w:bidi="ar"/>
        </w:rPr>
        <w:t xml:space="preserve"> </w:t>
      </w:r>
      <w:r>
        <w:rPr>
          <w:rFonts w:ascii="Times New Roman" w:eastAsia="Helvetica" w:hAnsi="Times New Roman" w:cs="Times New Roman"/>
          <w:sz w:val="24"/>
          <w:szCs w:val="24"/>
          <w:lang w:eastAsia="zh-CN" w:bidi="ar"/>
        </w:rPr>
        <w:t xml:space="preserve">in urban contaminated soil. </w:t>
      </w:r>
      <w:r>
        <w:rPr>
          <w:rFonts w:ascii="Times New Roman" w:eastAsia="Helvetica" w:hAnsi="Times New Roman" w:cs="Times New Roman"/>
          <w:i/>
          <w:iCs/>
          <w:sz w:val="24"/>
          <w:szCs w:val="24"/>
          <w:lang w:eastAsia="zh-CN" w:bidi="ar"/>
        </w:rPr>
        <w:t xml:space="preserve">Applied soil Ecology, </w:t>
      </w:r>
      <w:r>
        <w:rPr>
          <w:rFonts w:ascii="Times New Roman" w:eastAsia="Helvetica" w:hAnsi="Times New Roman" w:cs="Times New Roman"/>
          <w:sz w:val="24"/>
          <w:szCs w:val="24"/>
          <w:lang w:eastAsia="zh-CN" w:bidi="ar"/>
        </w:rPr>
        <w:t>19:191-198</w:t>
      </w:r>
    </w:p>
    <w:p w14:paraId="5AFC3CB6" w14:textId="77777777"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AdvOT1ef757c0" w:hAnsi="Times New Roman" w:cs="Times New Roman"/>
          <w:sz w:val="24"/>
          <w:szCs w:val="24"/>
          <w:lang w:eastAsia="zh-CN" w:bidi="ar"/>
        </w:rPr>
        <w:t>Kibblewhite</w:t>
      </w:r>
      <w:proofErr w:type="spellEnd"/>
      <w:r>
        <w:rPr>
          <w:rFonts w:ascii="Times New Roman" w:eastAsia="AdvOT1ef757c0" w:hAnsi="Times New Roman" w:cs="Times New Roman"/>
          <w:sz w:val="24"/>
          <w:szCs w:val="24"/>
          <w:lang w:eastAsia="zh-CN" w:bidi="ar"/>
        </w:rPr>
        <w:t xml:space="preserve">, M. G., Ritz, K., and Swift, M. J. (2008). Soil health in agricultural systems. </w:t>
      </w:r>
      <w:r>
        <w:rPr>
          <w:rFonts w:ascii="Times New Roman" w:eastAsia="AdvOT7d6df7ab.I" w:hAnsi="Times New Roman" w:cs="Times New Roman"/>
          <w:sz w:val="24"/>
          <w:szCs w:val="24"/>
          <w:lang w:eastAsia="zh-CN" w:bidi="ar"/>
        </w:rPr>
        <w:t xml:space="preserve">Phil. Trans. R. Soc. B </w:t>
      </w:r>
      <w:r>
        <w:rPr>
          <w:rFonts w:ascii="Times New Roman" w:eastAsia="AdvOT1ef757c0" w:hAnsi="Times New Roman" w:cs="Times New Roman"/>
          <w:sz w:val="24"/>
          <w:szCs w:val="24"/>
          <w:lang w:eastAsia="zh-CN" w:bidi="ar"/>
        </w:rPr>
        <w:t>363 (1492), 685</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701. doi:10.1098/rstb.2007.2178</w:t>
      </w:r>
    </w:p>
    <w:p w14:paraId="19B1E78A" w14:textId="77777777" w:rsidR="00AB759C" w:rsidRDefault="00AB759C" w:rsidP="00AB759C">
      <w:pPr>
        <w:ind w:left="720" w:hanging="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 xml:space="preserve">Lavelle, P. and A.V. Spain. 2001. Soil Ecology, Kluwer Scientific, Amsterdam </w:t>
      </w:r>
      <w:proofErr w:type="spellStart"/>
      <w:r>
        <w:rPr>
          <w:rFonts w:ascii="Times New Roman" w:eastAsia="SimSun" w:hAnsi="Times New Roman" w:cs="Times New Roman"/>
          <w:sz w:val="24"/>
          <w:szCs w:val="24"/>
        </w:rPr>
        <w:t>kluwer</w:t>
      </w:r>
      <w:proofErr w:type="spellEnd"/>
      <w:r>
        <w:rPr>
          <w:rFonts w:ascii="Times New Roman" w:eastAsia="SimSun" w:hAnsi="Times New Roman" w:cs="Times New Roman"/>
          <w:sz w:val="24"/>
          <w:szCs w:val="24"/>
        </w:rPr>
        <w:t xml:space="preserve"> Academic Publishers, Dordrecht, The Netherlands, 2001, 654pp. </w:t>
      </w:r>
      <w:proofErr w:type="gramStart"/>
      <w:r>
        <w:rPr>
          <w:rFonts w:ascii="Times New Roman" w:eastAsia="SimSun" w:hAnsi="Times New Roman" w:cs="Times New Roman"/>
          <w:sz w:val="24"/>
          <w:szCs w:val="24"/>
        </w:rPr>
        <w:t>U,S.</w:t>
      </w:r>
      <w:proofErr w:type="gramEnd"/>
      <w:r>
        <w:rPr>
          <w:rFonts w:ascii="Times New Roman" w:eastAsia="SimSun" w:hAnsi="Times New Roman" w:cs="Times New Roman"/>
          <w:sz w:val="24"/>
          <w:szCs w:val="24"/>
        </w:rPr>
        <w:t xml:space="preserve"> 295.00, Hard bound, ISBN 0-7923-7123-2Applied soil ecology, 21(1) 89-89</w:t>
      </w:r>
    </w:p>
    <w:p w14:paraId="590C4F4E" w14:textId="77777777" w:rsidR="00AB759C" w:rsidRDefault="00AB759C" w:rsidP="00AB759C">
      <w:pPr>
        <w:ind w:left="720" w:hanging="720"/>
        <w:jc w:val="both"/>
        <w:rPr>
          <w:rFonts w:ascii="Times New Roman" w:hAnsi="Times New Roman" w:cs="Times New Roman"/>
          <w:sz w:val="24"/>
          <w:szCs w:val="24"/>
        </w:rPr>
      </w:pPr>
    </w:p>
    <w:p w14:paraId="484B49B0" w14:textId="77777777" w:rsidR="00AB759C" w:rsidRDefault="00AB759C" w:rsidP="00AB759C">
      <w:pPr>
        <w:ind w:left="720" w:hanging="720"/>
        <w:jc w:val="both"/>
        <w:rPr>
          <w:rFonts w:ascii="Times New Roman" w:hAnsi="Times New Roman" w:cs="Times New Roman"/>
          <w:sz w:val="24"/>
          <w:szCs w:val="24"/>
        </w:rPr>
      </w:pPr>
      <w:r>
        <w:rPr>
          <w:rFonts w:ascii="Times New Roman" w:eastAsia="STIX" w:hAnsi="Times New Roman" w:cs="Times New Roman"/>
          <w:sz w:val="24"/>
          <w:szCs w:val="24"/>
          <w:lang w:eastAsia="zh-CN" w:bidi="ar"/>
        </w:rPr>
        <w:t xml:space="preserve">Leveque, T., </w:t>
      </w:r>
      <w:proofErr w:type="spellStart"/>
      <w:r>
        <w:rPr>
          <w:rFonts w:ascii="Times New Roman" w:eastAsia="STIX" w:hAnsi="Times New Roman" w:cs="Times New Roman"/>
          <w:sz w:val="24"/>
          <w:szCs w:val="24"/>
          <w:lang w:eastAsia="zh-CN" w:bidi="ar"/>
        </w:rPr>
        <w:t>Capowiez</w:t>
      </w:r>
      <w:proofErr w:type="spellEnd"/>
      <w:r>
        <w:rPr>
          <w:rFonts w:ascii="Times New Roman" w:eastAsia="STIX" w:hAnsi="Times New Roman" w:cs="Times New Roman"/>
          <w:sz w:val="24"/>
          <w:szCs w:val="24"/>
          <w:lang w:eastAsia="zh-CN" w:bidi="ar"/>
        </w:rPr>
        <w:t xml:space="preserve">, Y., Schreck, E., </w:t>
      </w:r>
      <w:proofErr w:type="spellStart"/>
      <w:r>
        <w:rPr>
          <w:rFonts w:ascii="Times New Roman" w:eastAsia="STIX" w:hAnsi="Times New Roman" w:cs="Times New Roman"/>
          <w:sz w:val="24"/>
          <w:szCs w:val="24"/>
          <w:lang w:eastAsia="zh-CN" w:bidi="ar"/>
        </w:rPr>
        <w:t>Mazzia</w:t>
      </w:r>
      <w:proofErr w:type="spellEnd"/>
      <w:r>
        <w:rPr>
          <w:rFonts w:ascii="Times New Roman" w:eastAsia="STIX" w:hAnsi="Times New Roman" w:cs="Times New Roman"/>
          <w:sz w:val="24"/>
          <w:szCs w:val="24"/>
          <w:lang w:eastAsia="zh-CN" w:bidi="ar"/>
        </w:rPr>
        <w:t xml:space="preserve">, C., </w:t>
      </w:r>
      <w:proofErr w:type="spellStart"/>
      <w:r>
        <w:rPr>
          <w:rFonts w:ascii="Times New Roman" w:eastAsia="STIX" w:hAnsi="Times New Roman" w:cs="Times New Roman"/>
          <w:sz w:val="24"/>
          <w:szCs w:val="24"/>
          <w:lang w:eastAsia="zh-CN" w:bidi="ar"/>
        </w:rPr>
        <w:t>Auffan</w:t>
      </w:r>
      <w:proofErr w:type="spellEnd"/>
      <w:r>
        <w:rPr>
          <w:rFonts w:ascii="Times New Roman" w:eastAsia="STIX" w:hAnsi="Times New Roman" w:cs="Times New Roman"/>
          <w:sz w:val="24"/>
          <w:szCs w:val="24"/>
          <w:lang w:eastAsia="zh-CN" w:bidi="ar"/>
        </w:rPr>
        <w:t xml:space="preserve">, M., Foucault, Y., </w:t>
      </w:r>
      <w:proofErr w:type="spellStart"/>
      <w:r>
        <w:rPr>
          <w:rFonts w:ascii="Times New Roman" w:eastAsia="STIX" w:hAnsi="Times New Roman" w:cs="Times New Roman"/>
          <w:sz w:val="24"/>
          <w:szCs w:val="24"/>
          <w:lang w:eastAsia="zh-CN" w:bidi="ar"/>
        </w:rPr>
        <w:t>Austruy</w:t>
      </w:r>
      <w:proofErr w:type="spellEnd"/>
      <w:r>
        <w:rPr>
          <w:rFonts w:ascii="Times New Roman" w:eastAsia="STIX" w:hAnsi="Times New Roman" w:cs="Times New Roman"/>
          <w:sz w:val="24"/>
          <w:szCs w:val="24"/>
          <w:lang w:eastAsia="zh-CN" w:bidi="ar"/>
        </w:rPr>
        <w:t xml:space="preserve">, A., &amp; </w:t>
      </w:r>
      <w:proofErr w:type="spellStart"/>
      <w:r>
        <w:rPr>
          <w:rFonts w:ascii="Times New Roman" w:eastAsia="STIX" w:hAnsi="Times New Roman" w:cs="Times New Roman"/>
          <w:sz w:val="24"/>
          <w:szCs w:val="24"/>
          <w:lang w:eastAsia="zh-CN" w:bidi="ar"/>
        </w:rPr>
        <w:t>Dumat</w:t>
      </w:r>
      <w:proofErr w:type="spellEnd"/>
      <w:r>
        <w:rPr>
          <w:rFonts w:ascii="Times New Roman" w:eastAsia="STIX" w:hAnsi="Times New Roman" w:cs="Times New Roman"/>
          <w:sz w:val="24"/>
          <w:szCs w:val="24"/>
          <w:lang w:eastAsia="zh-CN" w:bidi="ar"/>
        </w:rPr>
        <w:t>, C. (2013). Assessing ecotoxicity and uptake of metals and metalloids in relation to two different earthworm species (</w:t>
      </w:r>
      <w:proofErr w:type="spellStart"/>
      <w:r>
        <w:rPr>
          <w:rFonts w:ascii="Times New Roman" w:eastAsia="STIX-Italic" w:hAnsi="Times New Roman" w:cs="Times New Roman"/>
          <w:i/>
          <w:iCs/>
          <w:sz w:val="24"/>
          <w:szCs w:val="24"/>
          <w:lang w:eastAsia="zh-CN" w:bidi="ar"/>
        </w:rPr>
        <w:t>Eiseina</w:t>
      </w:r>
      <w:proofErr w:type="spellEnd"/>
      <w:r>
        <w:rPr>
          <w:rFonts w:ascii="Times New Roman" w:eastAsia="STIX-Italic" w:hAnsi="Times New Roman" w:cs="Times New Roman"/>
          <w:i/>
          <w:iCs/>
          <w:sz w:val="24"/>
          <w:szCs w:val="24"/>
          <w:lang w:eastAsia="zh-CN" w:bidi="ar"/>
        </w:rPr>
        <w:t xml:space="preserve"> </w:t>
      </w:r>
      <w:proofErr w:type="spellStart"/>
      <w:r>
        <w:rPr>
          <w:rFonts w:ascii="Times New Roman" w:eastAsia="STIX-Italic" w:hAnsi="Times New Roman" w:cs="Times New Roman"/>
          <w:i/>
          <w:iCs/>
          <w:sz w:val="24"/>
          <w:szCs w:val="24"/>
          <w:lang w:eastAsia="zh-CN" w:bidi="ar"/>
        </w:rPr>
        <w:t>hortensis</w:t>
      </w:r>
      <w:proofErr w:type="spellEnd"/>
      <w:r>
        <w:rPr>
          <w:rFonts w:ascii="Times New Roman" w:eastAsia="STIX" w:hAnsi="Times New Roman" w:cs="Times New Roman"/>
          <w:sz w:val="24"/>
          <w:szCs w:val="24"/>
          <w:lang w:eastAsia="zh-CN" w:bidi="ar"/>
        </w:rPr>
        <w:t xml:space="preserve"> and </w:t>
      </w:r>
      <w:proofErr w:type="spellStart"/>
      <w:r>
        <w:rPr>
          <w:rFonts w:ascii="Times New Roman" w:eastAsia="STIX-Italic" w:hAnsi="Times New Roman" w:cs="Times New Roman"/>
          <w:i/>
          <w:iCs/>
          <w:sz w:val="24"/>
          <w:szCs w:val="24"/>
          <w:lang w:eastAsia="zh-CN" w:bidi="ar"/>
        </w:rPr>
        <w:t>Lumbricus</w:t>
      </w:r>
      <w:proofErr w:type="spellEnd"/>
      <w:r>
        <w:rPr>
          <w:rFonts w:ascii="Times New Roman" w:eastAsia="STIX-Italic" w:hAnsi="Times New Roman" w:cs="Times New Roman"/>
          <w:i/>
          <w:iCs/>
          <w:sz w:val="24"/>
          <w:szCs w:val="24"/>
          <w:lang w:eastAsia="zh-CN" w:bidi="ar"/>
        </w:rPr>
        <w:t xml:space="preserve"> terrestris</w:t>
      </w:r>
      <w:r>
        <w:rPr>
          <w:rFonts w:ascii="Times New Roman" w:eastAsia="STIX" w:hAnsi="Times New Roman" w:cs="Times New Roman"/>
          <w:sz w:val="24"/>
          <w:szCs w:val="24"/>
          <w:lang w:eastAsia="zh-CN" w:bidi="ar"/>
        </w:rPr>
        <w:t xml:space="preserve">). </w:t>
      </w:r>
      <w:r>
        <w:rPr>
          <w:rFonts w:ascii="Times New Roman" w:eastAsia="STIX-Italic" w:hAnsi="Times New Roman" w:cs="Times New Roman"/>
          <w:i/>
          <w:iCs/>
          <w:sz w:val="24"/>
          <w:szCs w:val="24"/>
          <w:lang w:eastAsia="zh-CN" w:bidi="ar"/>
        </w:rPr>
        <w:t>Environmental Pollution, 179</w:t>
      </w:r>
      <w:r>
        <w:rPr>
          <w:rFonts w:ascii="Times New Roman" w:eastAsia="STIX" w:hAnsi="Times New Roman" w:cs="Times New Roman"/>
          <w:sz w:val="24"/>
          <w:szCs w:val="24"/>
          <w:lang w:eastAsia="zh-CN" w:bidi="ar"/>
        </w:rPr>
        <w:t>, 232–241.</w:t>
      </w:r>
    </w:p>
    <w:p w14:paraId="0B56C36D" w14:textId="77777777"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Helvetica" w:hAnsi="Times New Roman" w:cs="Times New Roman"/>
          <w:sz w:val="24"/>
          <w:szCs w:val="24"/>
          <w:lang w:eastAsia="zh-CN" w:bidi="ar"/>
        </w:rPr>
        <w:t xml:space="preserve">Ma, W. C., Edleman, I., </w:t>
      </w:r>
      <w:proofErr w:type="spellStart"/>
      <w:r>
        <w:rPr>
          <w:rFonts w:ascii="Times New Roman" w:eastAsia="Helvetica" w:hAnsi="Times New Roman" w:cs="Times New Roman"/>
          <w:sz w:val="24"/>
          <w:szCs w:val="24"/>
          <w:lang w:eastAsia="zh-CN" w:bidi="ar"/>
        </w:rPr>
        <w:t>Beersum</w:t>
      </w:r>
      <w:proofErr w:type="spellEnd"/>
      <w:r>
        <w:rPr>
          <w:rFonts w:ascii="Times New Roman" w:eastAsia="Helvetica" w:hAnsi="Times New Roman" w:cs="Times New Roman"/>
          <w:sz w:val="24"/>
          <w:szCs w:val="24"/>
          <w:lang w:eastAsia="zh-CN" w:bidi="ar"/>
        </w:rPr>
        <w:t xml:space="preserve">, V. and Jane, T. </w:t>
      </w:r>
      <w:proofErr w:type="gramStart"/>
      <w:r>
        <w:rPr>
          <w:rFonts w:ascii="Times New Roman" w:eastAsia="Helvetica" w:hAnsi="Times New Roman" w:cs="Times New Roman"/>
          <w:sz w:val="24"/>
          <w:szCs w:val="24"/>
          <w:lang w:eastAsia="zh-CN" w:bidi="ar"/>
        </w:rPr>
        <w:t>H.(</w:t>
      </w:r>
      <w:proofErr w:type="gramEnd"/>
      <w:r>
        <w:rPr>
          <w:rFonts w:ascii="Times New Roman" w:eastAsia="Helvetica" w:hAnsi="Times New Roman" w:cs="Times New Roman"/>
          <w:sz w:val="24"/>
          <w:szCs w:val="24"/>
          <w:lang w:eastAsia="zh-CN" w:bidi="ar"/>
        </w:rPr>
        <w:t xml:space="preserve">1953).  Uptake of cadmium, zinc, lead zinc smelting complex. Influence of soil pH and organic matter. Bulletin of </w:t>
      </w:r>
      <w:proofErr w:type="spellStart"/>
      <w:r>
        <w:rPr>
          <w:rFonts w:ascii="Times New Roman" w:eastAsia="Helvetica" w:hAnsi="Times New Roman" w:cs="Times New Roman"/>
          <w:sz w:val="24"/>
          <w:szCs w:val="24"/>
          <w:lang w:eastAsia="zh-CN" w:bidi="ar"/>
        </w:rPr>
        <w:t>Enviromental</w:t>
      </w:r>
      <w:proofErr w:type="spellEnd"/>
      <w:r>
        <w:rPr>
          <w:rFonts w:ascii="Times New Roman" w:eastAsia="Helvetica" w:hAnsi="Times New Roman" w:cs="Times New Roman"/>
          <w:sz w:val="24"/>
          <w:szCs w:val="24"/>
          <w:lang w:eastAsia="zh-CN" w:bidi="ar"/>
        </w:rPr>
        <w:t xml:space="preserve"> Contamination and Toxicology </w:t>
      </w:r>
      <w:proofErr w:type="gramStart"/>
      <w:r>
        <w:rPr>
          <w:rFonts w:ascii="Times New Roman" w:eastAsia="Helvetica" w:hAnsi="Times New Roman" w:cs="Times New Roman"/>
          <w:sz w:val="24"/>
          <w:szCs w:val="24"/>
          <w:lang w:eastAsia="zh-CN" w:bidi="ar"/>
        </w:rPr>
        <w:t>1983;30:424</w:t>
      </w:r>
      <w:proofErr w:type="gramEnd"/>
      <w:r>
        <w:rPr>
          <w:rFonts w:ascii="Times New Roman" w:eastAsia="Helvetica" w:hAnsi="Times New Roman" w:cs="Times New Roman"/>
          <w:sz w:val="24"/>
          <w:szCs w:val="24"/>
          <w:lang w:eastAsia="zh-CN" w:bidi="ar"/>
        </w:rPr>
        <w:t xml:space="preserve">-427 </w:t>
      </w:r>
    </w:p>
    <w:p w14:paraId="1A93E1F3" w14:textId="77777777" w:rsidR="00AB759C" w:rsidRDefault="00AB759C" w:rsidP="00AB759C">
      <w:pPr>
        <w:ind w:left="720" w:hanging="720"/>
        <w:jc w:val="both"/>
        <w:rPr>
          <w:rFonts w:ascii="Times New Roman" w:hAnsi="Times New Roman" w:cs="Times New Roman"/>
          <w:sz w:val="24"/>
          <w:szCs w:val="24"/>
        </w:rPr>
      </w:pPr>
      <w:r>
        <w:rPr>
          <w:rFonts w:ascii="Times New Roman" w:eastAsia="Times-Roman" w:hAnsi="Times New Roman" w:cs="Times New Roman"/>
          <w:sz w:val="24"/>
          <w:szCs w:val="24"/>
          <w:lang w:eastAsia="zh-CN" w:bidi="ar"/>
        </w:rPr>
        <w:t>Marschner, H (1995). Mineral nutrition of higher plants (2nd ed.). New York, Academic Press, 56(4): 889.</w:t>
      </w:r>
    </w:p>
    <w:p w14:paraId="364FE758" w14:textId="77777777"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Helvetica" w:hAnsi="Times New Roman" w:cs="Times New Roman"/>
          <w:sz w:val="24"/>
          <w:szCs w:val="24"/>
          <w:lang w:eastAsia="zh-CN" w:bidi="ar"/>
        </w:rPr>
        <w:lastRenderedPageBreak/>
        <w:t xml:space="preserve"> Morgan, J. E. </w:t>
      </w:r>
      <w:proofErr w:type="gramStart"/>
      <w:r>
        <w:rPr>
          <w:rFonts w:ascii="Times New Roman" w:eastAsia="Helvetica" w:hAnsi="Times New Roman" w:cs="Times New Roman"/>
          <w:sz w:val="24"/>
          <w:szCs w:val="24"/>
          <w:lang w:eastAsia="zh-CN" w:bidi="ar"/>
        </w:rPr>
        <w:t>and  Morgan</w:t>
      </w:r>
      <w:proofErr w:type="gramEnd"/>
      <w:r>
        <w:rPr>
          <w:rFonts w:ascii="Times New Roman" w:eastAsia="Helvetica" w:hAnsi="Times New Roman" w:cs="Times New Roman"/>
          <w:sz w:val="24"/>
          <w:szCs w:val="24"/>
          <w:lang w:eastAsia="zh-CN" w:bidi="ar"/>
        </w:rPr>
        <w:t xml:space="preserve">, A. J. (1999). </w:t>
      </w:r>
      <w:proofErr w:type="gramStart"/>
      <w:r>
        <w:rPr>
          <w:rFonts w:ascii="Times New Roman" w:eastAsia="Helvetica" w:hAnsi="Times New Roman" w:cs="Times New Roman"/>
          <w:sz w:val="24"/>
          <w:szCs w:val="24"/>
          <w:lang w:eastAsia="zh-CN" w:bidi="ar"/>
        </w:rPr>
        <w:t>The  accumulation</w:t>
      </w:r>
      <w:proofErr w:type="gramEnd"/>
      <w:r>
        <w:rPr>
          <w:rFonts w:ascii="Times New Roman" w:eastAsia="Helvetica" w:hAnsi="Times New Roman" w:cs="Times New Roman"/>
          <w:sz w:val="24"/>
          <w:szCs w:val="24"/>
          <w:lang w:eastAsia="zh-CN" w:bidi="ar"/>
        </w:rPr>
        <w:t xml:space="preserve"> of metals (Cd, Cu, Pb, Zn and (a) by two ecological contrasting  earthworm species (</w:t>
      </w:r>
      <w:proofErr w:type="spellStart"/>
      <w:r>
        <w:rPr>
          <w:rFonts w:ascii="Times New Roman" w:eastAsia="Helvetica-Oblique" w:hAnsi="Times New Roman" w:cs="Times New Roman"/>
          <w:i/>
          <w:iCs/>
          <w:sz w:val="24"/>
          <w:szCs w:val="24"/>
          <w:lang w:eastAsia="zh-CN" w:bidi="ar"/>
        </w:rPr>
        <w:t>Lumbricus</w:t>
      </w:r>
      <w:proofErr w:type="spellEnd"/>
      <w:r>
        <w:rPr>
          <w:rFonts w:ascii="Times New Roman" w:eastAsia="Helvetica-Oblique" w:hAnsi="Times New Roman" w:cs="Times New Roman"/>
          <w:i/>
          <w:iCs/>
          <w:sz w:val="24"/>
          <w:szCs w:val="24"/>
          <w:lang w:eastAsia="zh-CN" w:bidi="ar"/>
        </w:rPr>
        <w:t xml:space="preserve"> </w:t>
      </w:r>
      <w:proofErr w:type="spellStart"/>
      <w:r>
        <w:rPr>
          <w:rFonts w:ascii="Times New Roman" w:eastAsia="Helvetica-Oblique" w:hAnsi="Times New Roman" w:cs="Times New Roman"/>
          <w:i/>
          <w:iCs/>
          <w:sz w:val="24"/>
          <w:szCs w:val="24"/>
          <w:lang w:eastAsia="zh-CN" w:bidi="ar"/>
        </w:rPr>
        <w:t>rubellus</w:t>
      </w:r>
      <w:proofErr w:type="spellEnd"/>
      <w:r>
        <w:rPr>
          <w:rFonts w:ascii="Times New Roman" w:eastAsia="Helvetica-Oblique" w:hAnsi="Times New Roman" w:cs="Times New Roman"/>
          <w:i/>
          <w:iCs/>
          <w:sz w:val="24"/>
          <w:szCs w:val="24"/>
          <w:lang w:eastAsia="zh-CN" w:bidi="ar"/>
        </w:rPr>
        <w:t xml:space="preserve"> </w:t>
      </w:r>
      <w:r>
        <w:rPr>
          <w:rFonts w:ascii="Times New Roman" w:eastAsia="Helvetica" w:hAnsi="Times New Roman" w:cs="Times New Roman"/>
          <w:sz w:val="24"/>
          <w:szCs w:val="24"/>
          <w:lang w:eastAsia="zh-CN" w:bidi="ar"/>
        </w:rPr>
        <w:t xml:space="preserve">and </w:t>
      </w:r>
      <w:proofErr w:type="spellStart"/>
      <w:r>
        <w:rPr>
          <w:rFonts w:ascii="Times New Roman" w:eastAsia="Helvetica-Oblique" w:hAnsi="Times New Roman" w:cs="Times New Roman"/>
          <w:i/>
          <w:iCs/>
          <w:sz w:val="24"/>
          <w:szCs w:val="24"/>
          <w:lang w:eastAsia="zh-CN" w:bidi="ar"/>
        </w:rPr>
        <w:t>Aporrectodea</w:t>
      </w:r>
      <w:proofErr w:type="spellEnd"/>
      <w:r>
        <w:rPr>
          <w:rFonts w:ascii="Times New Roman" w:eastAsia="Helvetica-Oblique" w:hAnsi="Times New Roman" w:cs="Times New Roman"/>
          <w:i/>
          <w:iCs/>
          <w:sz w:val="24"/>
          <w:szCs w:val="24"/>
          <w:lang w:eastAsia="zh-CN" w:bidi="ar"/>
        </w:rPr>
        <w:t xml:space="preserve"> </w:t>
      </w:r>
      <w:proofErr w:type="spellStart"/>
      <w:r>
        <w:rPr>
          <w:rFonts w:ascii="Times New Roman" w:eastAsia="Helvetica-Oblique" w:hAnsi="Times New Roman" w:cs="Times New Roman"/>
          <w:i/>
          <w:iCs/>
          <w:sz w:val="24"/>
          <w:szCs w:val="24"/>
          <w:lang w:eastAsia="zh-CN" w:bidi="ar"/>
        </w:rPr>
        <w:t>calignosa</w:t>
      </w:r>
      <w:proofErr w:type="spellEnd"/>
      <w:r>
        <w:rPr>
          <w:rFonts w:ascii="Times New Roman" w:eastAsia="Helvetica" w:hAnsi="Times New Roman" w:cs="Times New Roman"/>
          <w:sz w:val="24"/>
          <w:szCs w:val="24"/>
          <w:lang w:eastAsia="zh-CN" w:bidi="ar"/>
        </w:rPr>
        <w:t xml:space="preserve">); implications for </w:t>
      </w:r>
      <w:proofErr w:type="spellStart"/>
      <w:r>
        <w:rPr>
          <w:rFonts w:ascii="Times New Roman" w:eastAsia="Helvetica" w:hAnsi="Times New Roman" w:cs="Times New Roman"/>
          <w:sz w:val="24"/>
          <w:szCs w:val="24"/>
          <w:lang w:eastAsia="zh-CN" w:bidi="ar"/>
        </w:rPr>
        <w:t>ecotoxicologicaltesting</w:t>
      </w:r>
      <w:proofErr w:type="spellEnd"/>
      <w:r>
        <w:rPr>
          <w:rFonts w:ascii="Times New Roman" w:eastAsia="Helvetica" w:hAnsi="Times New Roman" w:cs="Times New Roman"/>
          <w:sz w:val="24"/>
          <w:szCs w:val="24"/>
          <w:lang w:eastAsia="zh-CN" w:bidi="ar"/>
        </w:rPr>
        <w:t xml:space="preserve">. </w:t>
      </w:r>
      <w:r>
        <w:rPr>
          <w:rFonts w:ascii="Times New Roman" w:eastAsia="Helvetica" w:hAnsi="Times New Roman" w:cs="Times New Roman"/>
          <w:i/>
          <w:iCs/>
          <w:sz w:val="24"/>
          <w:szCs w:val="24"/>
          <w:lang w:eastAsia="zh-CN" w:bidi="ar"/>
        </w:rPr>
        <w:t xml:space="preserve">Applied soil Ecology, </w:t>
      </w:r>
      <w:r>
        <w:rPr>
          <w:rFonts w:ascii="Times New Roman" w:eastAsia="Helvetica" w:hAnsi="Times New Roman" w:cs="Times New Roman"/>
          <w:sz w:val="24"/>
          <w:szCs w:val="24"/>
          <w:lang w:eastAsia="zh-CN" w:bidi="ar"/>
        </w:rPr>
        <w:t xml:space="preserve">13:9-20. </w:t>
      </w:r>
    </w:p>
    <w:p w14:paraId="326ADA0F" w14:textId="77777777" w:rsidR="00AB759C" w:rsidRDefault="00AB759C" w:rsidP="00AB759C">
      <w:pPr>
        <w:ind w:left="720" w:hanging="720"/>
        <w:jc w:val="both"/>
        <w:rPr>
          <w:rFonts w:ascii="Times New Roman" w:eastAsia="Helvetica" w:hAnsi="Times New Roman" w:cs="Times New Roman"/>
          <w:sz w:val="24"/>
          <w:szCs w:val="24"/>
          <w:lang w:eastAsia="zh-CN" w:bidi="ar"/>
        </w:rPr>
      </w:pPr>
      <w:r>
        <w:rPr>
          <w:rFonts w:ascii="Times New Roman" w:eastAsia="Helvetica" w:hAnsi="Times New Roman" w:cs="Times New Roman"/>
          <w:sz w:val="24"/>
          <w:szCs w:val="24"/>
          <w:lang w:eastAsia="zh-CN"/>
        </w:rPr>
        <w:t>Morgan, A. J., Stürzenbaum, S. R., Winters, C., Grime, G.W., Aziz, N.A.A., Kille, P., (2004). Differential metallothionein expression in earthworm (</w:t>
      </w:r>
      <w:proofErr w:type="spellStart"/>
      <w:r>
        <w:rPr>
          <w:rFonts w:ascii="Times New Roman" w:eastAsia="Helvetica" w:hAnsi="Times New Roman" w:cs="Times New Roman"/>
          <w:sz w:val="24"/>
          <w:szCs w:val="24"/>
          <w:lang w:eastAsia="zh-CN"/>
        </w:rPr>
        <w:t>Lumbricus</w:t>
      </w:r>
      <w:proofErr w:type="spellEnd"/>
      <w:r>
        <w:rPr>
          <w:rFonts w:ascii="Times New Roman" w:eastAsia="Helvetica" w:hAnsi="Times New Roman" w:cs="Times New Roman"/>
          <w:sz w:val="24"/>
          <w:szCs w:val="24"/>
          <w:lang w:eastAsia="zh-CN"/>
        </w:rPr>
        <w:t xml:space="preserve"> </w:t>
      </w:r>
      <w:proofErr w:type="spellStart"/>
      <w:r>
        <w:rPr>
          <w:rFonts w:ascii="Times New Roman" w:eastAsia="Helvetica" w:hAnsi="Times New Roman" w:cs="Times New Roman"/>
          <w:sz w:val="24"/>
          <w:szCs w:val="24"/>
          <w:lang w:eastAsia="zh-CN"/>
        </w:rPr>
        <w:t>rubellus</w:t>
      </w:r>
      <w:proofErr w:type="spellEnd"/>
      <w:r>
        <w:rPr>
          <w:rFonts w:ascii="Times New Roman" w:eastAsia="Helvetica" w:hAnsi="Times New Roman" w:cs="Times New Roman"/>
          <w:sz w:val="24"/>
          <w:szCs w:val="24"/>
          <w:lang w:eastAsia="zh-CN"/>
        </w:rPr>
        <w:t xml:space="preserve">) tissues. </w:t>
      </w:r>
      <w:r>
        <w:rPr>
          <w:rFonts w:ascii="Times New Roman" w:eastAsia="Helvetica" w:hAnsi="Times New Roman" w:cs="Times New Roman"/>
          <w:i/>
          <w:iCs/>
          <w:sz w:val="24"/>
          <w:szCs w:val="24"/>
          <w:lang w:eastAsia="zh-CN"/>
        </w:rPr>
        <w:t xml:space="preserve">Ecotoxicology </w:t>
      </w:r>
      <w:proofErr w:type="gramStart"/>
      <w:r>
        <w:rPr>
          <w:rFonts w:ascii="Times New Roman" w:eastAsia="Helvetica" w:hAnsi="Times New Roman" w:cs="Times New Roman"/>
          <w:i/>
          <w:iCs/>
          <w:sz w:val="24"/>
          <w:szCs w:val="24"/>
          <w:lang w:eastAsia="zh-CN"/>
        </w:rPr>
        <w:t>and  Environmental</w:t>
      </w:r>
      <w:proofErr w:type="gramEnd"/>
      <w:r>
        <w:rPr>
          <w:rFonts w:ascii="Times New Roman" w:eastAsia="Helvetica" w:hAnsi="Times New Roman" w:cs="Times New Roman"/>
          <w:i/>
          <w:iCs/>
          <w:sz w:val="24"/>
          <w:szCs w:val="24"/>
          <w:lang w:eastAsia="zh-CN"/>
        </w:rPr>
        <w:t xml:space="preserve"> Safety</w:t>
      </w:r>
      <w:r>
        <w:rPr>
          <w:rFonts w:ascii="Times New Roman" w:eastAsia="Helvetica" w:hAnsi="Times New Roman" w:cs="Times New Roman"/>
          <w:sz w:val="24"/>
          <w:szCs w:val="24"/>
          <w:lang w:eastAsia="zh-CN"/>
        </w:rPr>
        <w:t xml:space="preserve">, 57: 52011–52019. </w:t>
      </w:r>
    </w:p>
    <w:p w14:paraId="483C490A" w14:textId="77777777" w:rsidR="00AB759C" w:rsidRDefault="00AB759C" w:rsidP="00AB759C">
      <w:pPr>
        <w:ind w:left="720" w:hanging="720"/>
        <w:jc w:val="both"/>
        <w:rPr>
          <w:rFonts w:ascii="Times New Roman" w:eastAsia="SimSun" w:hAnsi="Times New Roman" w:cs="Times New Roman"/>
          <w:i/>
          <w:iCs/>
          <w:sz w:val="24"/>
          <w:szCs w:val="24"/>
          <w:lang w:eastAsia="zh-CN" w:bidi="ar"/>
        </w:rPr>
      </w:pPr>
      <w:proofErr w:type="spellStart"/>
      <w:r>
        <w:rPr>
          <w:rFonts w:ascii="Times New Roman" w:eastAsia="SimSun" w:hAnsi="Times New Roman" w:cs="Times New Roman"/>
          <w:sz w:val="24"/>
          <w:szCs w:val="24"/>
          <w:lang w:eastAsia="zh-CN" w:bidi="ar"/>
        </w:rPr>
        <w:t>Nwadiogbu</w:t>
      </w:r>
      <w:proofErr w:type="spellEnd"/>
      <w:r>
        <w:rPr>
          <w:rFonts w:ascii="Times New Roman" w:eastAsia="SimSun" w:hAnsi="Times New Roman" w:cs="Times New Roman"/>
          <w:sz w:val="24"/>
          <w:szCs w:val="24"/>
          <w:lang w:eastAsia="zh-CN" w:bidi="ar"/>
        </w:rPr>
        <w:t xml:space="preserve">, J. O., </w:t>
      </w:r>
      <w:proofErr w:type="spellStart"/>
      <w:r>
        <w:rPr>
          <w:rFonts w:ascii="Times New Roman" w:eastAsia="SimSun" w:hAnsi="Times New Roman" w:cs="Times New Roman"/>
          <w:sz w:val="24"/>
          <w:szCs w:val="24"/>
          <w:lang w:eastAsia="zh-CN" w:bidi="ar"/>
        </w:rPr>
        <w:t>Ikelle</w:t>
      </w:r>
      <w:proofErr w:type="spellEnd"/>
      <w:r>
        <w:rPr>
          <w:rFonts w:ascii="Times New Roman" w:eastAsia="SimSun" w:hAnsi="Times New Roman" w:cs="Times New Roman"/>
          <w:sz w:val="24"/>
          <w:szCs w:val="24"/>
          <w:lang w:eastAsia="zh-CN" w:bidi="ar"/>
        </w:rPr>
        <w:t xml:space="preserve">, I. I., </w:t>
      </w:r>
      <w:proofErr w:type="spellStart"/>
      <w:r>
        <w:rPr>
          <w:rFonts w:ascii="Times New Roman" w:eastAsia="SimSun" w:hAnsi="Times New Roman" w:cs="Times New Roman"/>
          <w:sz w:val="24"/>
          <w:szCs w:val="24"/>
          <w:lang w:eastAsia="zh-CN" w:bidi="ar"/>
        </w:rPr>
        <w:t>Onwuka</w:t>
      </w:r>
      <w:proofErr w:type="spellEnd"/>
      <w:r>
        <w:rPr>
          <w:rFonts w:ascii="Times New Roman" w:eastAsia="SimSun" w:hAnsi="Times New Roman" w:cs="Times New Roman"/>
          <w:sz w:val="24"/>
          <w:szCs w:val="24"/>
          <w:lang w:eastAsia="zh-CN" w:bidi="ar"/>
        </w:rPr>
        <w:t xml:space="preserve">, J.C., </w:t>
      </w:r>
      <w:proofErr w:type="spellStart"/>
      <w:r>
        <w:rPr>
          <w:rFonts w:ascii="Times New Roman" w:eastAsia="SimSun" w:hAnsi="Times New Roman" w:cs="Times New Roman"/>
          <w:sz w:val="24"/>
          <w:szCs w:val="24"/>
          <w:lang w:eastAsia="zh-CN" w:bidi="ar"/>
        </w:rPr>
        <w:t>Ikeh</w:t>
      </w:r>
      <w:proofErr w:type="spellEnd"/>
      <w:r>
        <w:rPr>
          <w:rFonts w:ascii="Times New Roman" w:eastAsia="SimSun" w:hAnsi="Times New Roman" w:cs="Times New Roman"/>
          <w:sz w:val="24"/>
          <w:szCs w:val="24"/>
          <w:lang w:eastAsia="zh-CN" w:bidi="ar"/>
        </w:rPr>
        <w:t xml:space="preserve">, O. A., Nwankwo, N.V. and </w:t>
      </w:r>
      <w:proofErr w:type="spellStart"/>
      <w:r>
        <w:rPr>
          <w:rFonts w:ascii="Times New Roman" w:eastAsia="SimSun" w:hAnsi="Times New Roman" w:cs="Times New Roman"/>
          <w:sz w:val="24"/>
          <w:szCs w:val="24"/>
          <w:lang w:eastAsia="zh-CN" w:bidi="ar"/>
        </w:rPr>
        <w:t>Anarado</w:t>
      </w:r>
      <w:proofErr w:type="spellEnd"/>
      <w:r>
        <w:rPr>
          <w:rFonts w:ascii="Times New Roman" w:eastAsia="SimSun" w:hAnsi="Times New Roman" w:cs="Times New Roman"/>
          <w:sz w:val="24"/>
          <w:szCs w:val="24"/>
          <w:lang w:eastAsia="zh-CN" w:bidi="ar"/>
        </w:rPr>
        <w:t>, I. L. (2024</w:t>
      </w:r>
      <w:proofErr w:type="gramStart"/>
      <w:r>
        <w:rPr>
          <w:rFonts w:ascii="Times New Roman" w:eastAsia="SimSun" w:hAnsi="Times New Roman" w:cs="Times New Roman"/>
          <w:sz w:val="24"/>
          <w:szCs w:val="24"/>
          <w:lang w:eastAsia="zh-CN" w:bidi="ar"/>
        </w:rPr>
        <w:t>).Assessment</w:t>
      </w:r>
      <w:proofErr w:type="gramEnd"/>
      <w:r>
        <w:rPr>
          <w:rFonts w:ascii="Times New Roman" w:eastAsia="SimSun" w:hAnsi="Times New Roman" w:cs="Times New Roman"/>
          <w:sz w:val="24"/>
          <w:szCs w:val="24"/>
          <w:lang w:eastAsia="zh-CN" w:bidi="ar"/>
        </w:rPr>
        <w:t xml:space="preserve"> of Heavy Metals in a Soil Contaminated by Petroleum Hydrocarbons at </w:t>
      </w:r>
      <w:proofErr w:type="spellStart"/>
      <w:r>
        <w:rPr>
          <w:rFonts w:ascii="Times New Roman" w:eastAsia="SimSun" w:hAnsi="Times New Roman" w:cs="Times New Roman"/>
          <w:sz w:val="24"/>
          <w:szCs w:val="24"/>
          <w:lang w:eastAsia="zh-CN" w:bidi="ar"/>
        </w:rPr>
        <w:t>Ebudu</w:t>
      </w:r>
      <w:proofErr w:type="spellEnd"/>
      <w:r>
        <w:rPr>
          <w:rFonts w:ascii="Times New Roman" w:eastAsia="SimSun" w:hAnsi="Times New Roman" w:cs="Times New Roman"/>
          <w:sz w:val="24"/>
          <w:szCs w:val="24"/>
          <w:lang w:eastAsia="zh-CN" w:bidi="ar"/>
        </w:rPr>
        <w:t xml:space="preserve">, Rivers State, Nigeria. </w:t>
      </w:r>
      <w:r>
        <w:rPr>
          <w:rFonts w:ascii="Times New Roman" w:eastAsia="SimSun" w:hAnsi="Times New Roman" w:cs="Times New Roman"/>
          <w:i/>
          <w:iCs/>
          <w:sz w:val="24"/>
          <w:szCs w:val="24"/>
          <w:lang w:eastAsia="zh-CN" w:bidi="ar"/>
        </w:rPr>
        <w:t>Greener Journal of Environmental Management and Public Safety, 12(1):  10-15.</w:t>
      </w:r>
    </w:p>
    <w:p w14:paraId="4BCAEB6F" w14:textId="77777777"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Book Antiqua" w:hAnsi="Times New Roman" w:cs="Times New Roman"/>
          <w:sz w:val="24"/>
          <w:szCs w:val="24"/>
          <w:lang w:eastAsia="zh-CN" w:bidi="ar"/>
        </w:rPr>
        <w:t>Nwakife</w:t>
      </w:r>
      <w:proofErr w:type="spellEnd"/>
      <w:r>
        <w:rPr>
          <w:rFonts w:ascii="Times New Roman" w:eastAsia="Book Antiqua" w:hAnsi="Times New Roman" w:cs="Times New Roman"/>
          <w:sz w:val="24"/>
          <w:szCs w:val="24"/>
          <w:lang w:eastAsia="zh-CN" w:bidi="ar"/>
        </w:rPr>
        <w:t xml:space="preserve">, C. N., Esther, U. L., Musah, M., Morah, E. J., </w:t>
      </w:r>
      <w:proofErr w:type="spellStart"/>
      <w:r>
        <w:rPr>
          <w:rFonts w:ascii="Times New Roman" w:eastAsia="Book Antiqua" w:hAnsi="Times New Roman" w:cs="Times New Roman"/>
          <w:sz w:val="24"/>
          <w:szCs w:val="24"/>
          <w:lang w:eastAsia="zh-CN" w:bidi="ar"/>
        </w:rPr>
        <w:t>Inobeme</w:t>
      </w:r>
      <w:proofErr w:type="spellEnd"/>
      <w:r>
        <w:rPr>
          <w:rFonts w:ascii="Times New Roman" w:eastAsia="Book Antiqua" w:hAnsi="Times New Roman" w:cs="Times New Roman"/>
          <w:sz w:val="24"/>
          <w:szCs w:val="24"/>
          <w:lang w:eastAsia="zh-CN" w:bidi="ar"/>
        </w:rPr>
        <w:t xml:space="preserve">, A. and Andrew, A. L. (2022). Determination of the Physicochemical Properties and some Heavy Metals in Soils around Selected Automobile Workshops in Minna, Nigeria. </w:t>
      </w:r>
      <w:r>
        <w:rPr>
          <w:rFonts w:ascii="Times New Roman" w:eastAsia="BookAntiqua-Italic" w:hAnsi="Times New Roman" w:cs="Times New Roman"/>
          <w:i/>
          <w:iCs/>
          <w:sz w:val="24"/>
          <w:szCs w:val="24"/>
          <w:lang w:eastAsia="zh-CN" w:bidi="ar"/>
        </w:rPr>
        <w:t>African Journal of Environment and Natural Science Research</w:t>
      </w:r>
      <w:r>
        <w:rPr>
          <w:rFonts w:ascii="Times New Roman" w:eastAsia="Book Antiqua" w:hAnsi="Times New Roman" w:cs="Times New Roman"/>
          <w:sz w:val="24"/>
          <w:szCs w:val="24"/>
          <w:lang w:eastAsia="zh-CN" w:bidi="ar"/>
        </w:rPr>
        <w:t>, Volume 5, Issue, pp. 69-81 l</w:t>
      </w:r>
    </w:p>
    <w:p w14:paraId="42B6E341" w14:textId="77777777" w:rsidR="00AB759C" w:rsidRDefault="00AB759C" w:rsidP="00AB759C">
      <w:pPr>
        <w:ind w:left="720" w:hanging="720"/>
        <w:jc w:val="both"/>
        <w:rPr>
          <w:rFonts w:ascii="Times New Roman" w:eastAsia="Times-Roman" w:hAnsi="Times New Roman" w:cs="Times New Roman"/>
          <w:sz w:val="24"/>
          <w:szCs w:val="24"/>
          <w:lang w:eastAsia="zh-CN" w:bidi="ar"/>
        </w:rPr>
      </w:pPr>
      <w:r>
        <w:rPr>
          <w:rFonts w:ascii="Times New Roman" w:eastAsia="Times-Roman" w:hAnsi="Times New Roman" w:cs="Times New Roman"/>
          <w:sz w:val="24"/>
          <w:szCs w:val="24"/>
          <w:lang w:eastAsia="zh-CN" w:bidi="ar"/>
        </w:rPr>
        <w:t xml:space="preserve">Okoh, I. O. (2006). Biodegradation alternative in the clean-up of petroleum hydrocarbon pollutants. </w:t>
      </w:r>
      <w:r>
        <w:rPr>
          <w:rFonts w:ascii="Times New Roman" w:eastAsia="Times-Italic" w:hAnsi="Times New Roman" w:cs="Times New Roman"/>
          <w:i/>
          <w:iCs/>
          <w:sz w:val="24"/>
          <w:szCs w:val="24"/>
          <w:lang w:eastAsia="zh-CN" w:bidi="ar"/>
        </w:rPr>
        <w:t xml:space="preserve">Biotechnology and Molecular Biology Review, </w:t>
      </w:r>
      <w:r>
        <w:rPr>
          <w:rFonts w:ascii="Times New Roman" w:eastAsia="Times-Roman" w:hAnsi="Times New Roman" w:cs="Times New Roman"/>
          <w:sz w:val="24"/>
          <w:szCs w:val="24"/>
          <w:lang w:eastAsia="zh-CN" w:bidi="ar"/>
        </w:rPr>
        <w:t xml:space="preserve">1(2): 38 - 50. </w:t>
      </w:r>
    </w:p>
    <w:p w14:paraId="7D391DF6" w14:textId="77777777" w:rsidR="00AB759C" w:rsidRDefault="00AB759C" w:rsidP="00AB759C">
      <w:pPr>
        <w:ind w:left="720" w:hanging="720"/>
        <w:jc w:val="both"/>
        <w:rPr>
          <w:rFonts w:ascii="Times New Roman" w:eastAsia="Times-Roman" w:hAnsi="Times New Roman" w:cs="Times New Roman"/>
          <w:sz w:val="24"/>
          <w:szCs w:val="24"/>
          <w:lang w:eastAsia="zh-CN" w:bidi="ar"/>
        </w:rPr>
      </w:pPr>
      <w:r>
        <w:rPr>
          <w:rFonts w:ascii="Times New Roman" w:eastAsia="SimSun" w:hAnsi="Times New Roman" w:cs="Times New Roman"/>
          <w:sz w:val="24"/>
          <w:szCs w:val="24"/>
        </w:rPr>
        <w:t xml:space="preserve">Olayinka, O. </w:t>
      </w:r>
      <w:proofErr w:type="spellStart"/>
      <w:proofErr w:type="gramStart"/>
      <w:r>
        <w:rPr>
          <w:rFonts w:ascii="Times New Roman" w:eastAsia="SimSun" w:hAnsi="Times New Roman" w:cs="Times New Roman"/>
          <w:sz w:val="24"/>
          <w:szCs w:val="24"/>
        </w:rPr>
        <w:t>T.,Idowu</w:t>
      </w:r>
      <w:proofErr w:type="spellEnd"/>
      <w:proofErr w:type="gramEnd"/>
      <w:r>
        <w:rPr>
          <w:rFonts w:ascii="Times New Roman" w:eastAsia="SimSun" w:hAnsi="Times New Roman" w:cs="Times New Roman"/>
          <w:sz w:val="24"/>
          <w:szCs w:val="24"/>
        </w:rPr>
        <w:t xml:space="preserve">, A. B., Dedeke, G. A.,  </w:t>
      </w:r>
      <w:proofErr w:type="spellStart"/>
      <w:r>
        <w:rPr>
          <w:rFonts w:ascii="Times New Roman" w:eastAsia="SimSun" w:hAnsi="Times New Roman" w:cs="Times New Roman"/>
          <w:sz w:val="24"/>
          <w:szCs w:val="24"/>
        </w:rPr>
        <w:t>Akinloye</w:t>
      </w:r>
      <w:proofErr w:type="spellEnd"/>
      <w:r>
        <w:rPr>
          <w:rFonts w:ascii="Times New Roman" w:eastAsia="SimSun" w:hAnsi="Times New Roman" w:cs="Times New Roman"/>
          <w:sz w:val="24"/>
          <w:szCs w:val="24"/>
        </w:rPr>
        <w:t xml:space="preserve"> O. A., </w:t>
      </w:r>
      <w:proofErr w:type="spellStart"/>
      <w:r>
        <w:rPr>
          <w:rFonts w:ascii="Times New Roman" w:eastAsia="SimSun" w:hAnsi="Times New Roman" w:cs="Times New Roman"/>
          <w:sz w:val="24"/>
          <w:szCs w:val="24"/>
        </w:rPr>
        <w:t>Ademolu</w:t>
      </w:r>
      <w:proofErr w:type="spellEnd"/>
      <w:r>
        <w:rPr>
          <w:rFonts w:ascii="Times New Roman" w:eastAsia="SimSun" w:hAnsi="Times New Roman" w:cs="Times New Roman"/>
          <w:sz w:val="24"/>
          <w:szCs w:val="24"/>
        </w:rPr>
        <w:t xml:space="preserve">, K. </w:t>
      </w:r>
      <w:proofErr w:type="spellStart"/>
      <w:r>
        <w:rPr>
          <w:rFonts w:ascii="Times New Roman" w:eastAsia="SimSun" w:hAnsi="Times New Roman" w:cs="Times New Roman"/>
          <w:sz w:val="24"/>
          <w:szCs w:val="24"/>
        </w:rPr>
        <w:t>O.and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Bamgbola</w:t>
      </w:r>
      <w:proofErr w:type="spellEnd"/>
      <w:r>
        <w:rPr>
          <w:rFonts w:ascii="Times New Roman" w:eastAsia="SimSun" w:hAnsi="Times New Roman" w:cs="Times New Roman"/>
          <w:sz w:val="24"/>
          <w:szCs w:val="24"/>
        </w:rPr>
        <w:t xml:space="preserve"> A (2011).Earthworm as Bio-indicator of Heavy Metal Pollution around Lafarge, </w:t>
      </w:r>
      <w:proofErr w:type="spellStart"/>
      <w:r>
        <w:rPr>
          <w:rFonts w:ascii="Times New Roman" w:eastAsia="SimSun" w:hAnsi="Times New Roman" w:cs="Times New Roman"/>
          <w:sz w:val="24"/>
          <w:szCs w:val="24"/>
        </w:rPr>
        <w:t>Wapco</w:t>
      </w:r>
      <w:proofErr w:type="spellEnd"/>
      <w:r>
        <w:rPr>
          <w:rFonts w:ascii="Times New Roman" w:eastAsia="SimSun" w:hAnsi="Times New Roman" w:cs="Times New Roman"/>
          <w:sz w:val="24"/>
          <w:szCs w:val="24"/>
        </w:rPr>
        <w:t xml:space="preserve"> Cement Factory, </w:t>
      </w:r>
      <w:proofErr w:type="spellStart"/>
      <w:r>
        <w:rPr>
          <w:rFonts w:ascii="Times New Roman" w:eastAsia="SimSun" w:hAnsi="Times New Roman" w:cs="Times New Roman"/>
          <w:sz w:val="24"/>
          <w:szCs w:val="24"/>
        </w:rPr>
        <w:t>Ewekoro</w:t>
      </w:r>
      <w:proofErr w:type="spellEnd"/>
      <w:r>
        <w:rPr>
          <w:rFonts w:ascii="Times New Roman" w:eastAsia="SimSun" w:hAnsi="Times New Roman" w:cs="Times New Roman"/>
          <w:sz w:val="24"/>
          <w:szCs w:val="24"/>
        </w:rPr>
        <w:t xml:space="preserve">, Nigeria Proceedings of the Environmental Management Conference, Federal University of Agriculture, Abeokuta, Nigeria, </w:t>
      </w:r>
    </w:p>
    <w:p w14:paraId="133F4F0C" w14:textId="77777777" w:rsidR="00AB759C" w:rsidRDefault="00AB759C" w:rsidP="00AB759C">
      <w:pPr>
        <w:ind w:left="720" w:hanging="720"/>
        <w:jc w:val="both"/>
        <w:rPr>
          <w:rFonts w:ascii="Times New Roman" w:eastAsia="Times-Roman" w:hAnsi="Times New Roman" w:cs="Times New Roman"/>
          <w:sz w:val="24"/>
          <w:szCs w:val="24"/>
          <w:lang w:eastAsia="zh-CN" w:bidi="ar"/>
        </w:rPr>
      </w:pPr>
      <w:r>
        <w:rPr>
          <w:rFonts w:ascii="Times New Roman" w:eastAsia="Times-Roman" w:hAnsi="Times New Roman" w:cs="Times New Roman"/>
          <w:sz w:val="24"/>
          <w:szCs w:val="24"/>
          <w:lang w:eastAsia="zh-CN" w:bidi="ar"/>
        </w:rPr>
        <w:t xml:space="preserve">Osuji, L. C. and Nwoye, I. (2007). An appraisal of the impact of petroleum hydrocarbons on soil fertility: The </w:t>
      </w:r>
      <w:proofErr w:type="spellStart"/>
      <w:r>
        <w:rPr>
          <w:rFonts w:ascii="Times New Roman" w:eastAsia="Times-Roman" w:hAnsi="Times New Roman" w:cs="Times New Roman"/>
          <w:sz w:val="24"/>
          <w:szCs w:val="24"/>
          <w:lang w:eastAsia="zh-CN" w:bidi="ar"/>
        </w:rPr>
        <w:t>Owaza</w:t>
      </w:r>
      <w:proofErr w:type="spellEnd"/>
      <w:r>
        <w:rPr>
          <w:rFonts w:ascii="Times New Roman" w:eastAsia="Times-Roman" w:hAnsi="Times New Roman" w:cs="Times New Roman"/>
          <w:sz w:val="24"/>
          <w:szCs w:val="24"/>
          <w:lang w:eastAsia="zh-CN" w:bidi="ar"/>
        </w:rPr>
        <w:t xml:space="preserve"> Experience, </w:t>
      </w:r>
      <w:r>
        <w:rPr>
          <w:rFonts w:ascii="Times New Roman" w:eastAsia="Times-Italic" w:hAnsi="Times New Roman" w:cs="Times New Roman"/>
          <w:i/>
          <w:iCs/>
          <w:sz w:val="24"/>
          <w:szCs w:val="24"/>
          <w:lang w:eastAsia="zh-CN" w:bidi="ar"/>
        </w:rPr>
        <w:t xml:space="preserve">African Journal of Agric. Resources, </w:t>
      </w:r>
      <w:r>
        <w:rPr>
          <w:rFonts w:ascii="Times New Roman" w:eastAsia="Times-Roman" w:hAnsi="Times New Roman" w:cs="Times New Roman"/>
          <w:sz w:val="24"/>
          <w:szCs w:val="24"/>
          <w:lang w:eastAsia="zh-CN" w:bidi="ar"/>
        </w:rPr>
        <w:t>2 (B): 318 – 324.</w:t>
      </w:r>
    </w:p>
    <w:p w14:paraId="7EC82964" w14:textId="77777777" w:rsidR="00AB759C" w:rsidRDefault="00AB759C" w:rsidP="00AB759C">
      <w:pPr>
        <w:ind w:left="720" w:hanging="720"/>
        <w:jc w:val="both"/>
        <w:rPr>
          <w:rFonts w:ascii="Times New Roman" w:hAnsi="Times New Roman" w:cs="Times New Roman"/>
          <w:sz w:val="24"/>
          <w:szCs w:val="24"/>
        </w:rPr>
      </w:pPr>
      <w:proofErr w:type="spellStart"/>
      <w:r>
        <w:rPr>
          <w:rFonts w:ascii="Times New Roman" w:eastAsia="AdvOT1ef757c0" w:hAnsi="Times New Roman" w:cs="Times New Roman"/>
          <w:sz w:val="24"/>
          <w:szCs w:val="24"/>
          <w:lang w:eastAsia="zh-CN" w:bidi="ar"/>
        </w:rPr>
        <w:t>Perrings</w:t>
      </w:r>
      <w:proofErr w:type="spellEnd"/>
      <w:r>
        <w:rPr>
          <w:rFonts w:ascii="Times New Roman" w:eastAsia="AdvOT1ef757c0" w:hAnsi="Times New Roman" w:cs="Times New Roman"/>
          <w:sz w:val="24"/>
          <w:szCs w:val="24"/>
          <w:lang w:eastAsia="zh-CN" w:bidi="ar"/>
        </w:rPr>
        <w:t xml:space="preserve">, C., Jackson, L., Bawa, K., </w:t>
      </w:r>
      <w:proofErr w:type="spellStart"/>
      <w:r>
        <w:rPr>
          <w:rFonts w:ascii="Times New Roman" w:eastAsia="AdvOT1ef757c0" w:hAnsi="Times New Roman" w:cs="Times New Roman"/>
          <w:sz w:val="24"/>
          <w:szCs w:val="24"/>
          <w:lang w:eastAsia="zh-CN" w:bidi="ar"/>
        </w:rPr>
        <w:t>Brussaard</w:t>
      </w:r>
      <w:proofErr w:type="spellEnd"/>
      <w:r>
        <w:rPr>
          <w:rFonts w:ascii="Times New Roman" w:eastAsia="AdvOT1ef757c0" w:hAnsi="Times New Roman" w:cs="Times New Roman"/>
          <w:sz w:val="24"/>
          <w:szCs w:val="24"/>
          <w:lang w:eastAsia="zh-CN" w:bidi="ar"/>
        </w:rPr>
        <w:t xml:space="preserve">, L., Brush, S., Gavin, T., et al. (2006). Biodiversity in agricultural landscapes: Saving natural capital without losing interest. </w:t>
      </w:r>
      <w:proofErr w:type="spellStart"/>
      <w:proofErr w:type="gramStart"/>
      <w:r>
        <w:rPr>
          <w:rFonts w:ascii="Times New Roman" w:eastAsia="AdvOT7d6df7ab.I" w:hAnsi="Times New Roman" w:cs="Times New Roman"/>
          <w:i/>
          <w:iCs/>
          <w:sz w:val="24"/>
          <w:szCs w:val="24"/>
          <w:lang w:eastAsia="zh-CN" w:bidi="ar"/>
        </w:rPr>
        <w:t>Conservetive</w:t>
      </w:r>
      <w:proofErr w:type="spellEnd"/>
      <w:r>
        <w:rPr>
          <w:rFonts w:ascii="Times New Roman" w:eastAsia="AdvOT7d6df7ab.I" w:hAnsi="Times New Roman" w:cs="Times New Roman"/>
          <w:i/>
          <w:iCs/>
          <w:sz w:val="24"/>
          <w:szCs w:val="24"/>
          <w:lang w:eastAsia="zh-CN" w:bidi="ar"/>
        </w:rPr>
        <w:t xml:space="preserve">  </w:t>
      </w:r>
      <w:proofErr w:type="spellStart"/>
      <w:r>
        <w:rPr>
          <w:rFonts w:ascii="Times New Roman" w:eastAsia="AdvOT7d6df7ab.I" w:hAnsi="Times New Roman" w:cs="Times New Roman"/>
          <w:i/>
          <w:iCs/>
          <w:sz w:val="24"/>
          <w:szCs w:val="24"/>
          <w:lang w:eastAsia="zh-CN" w:bidi="ar"/>
        </w:rPr>
        <w:t>Bioogy</w:t>
      </w:r>
      <w:proofErr w:type="spellEnd"/>
      <w:proofErr w:type="gramEnd"/>
      <w:r>
        <w:rPr>
          <w:rFonts w:ascii="Times New Roman" w:eastAsia="AdvOT7d6df7ab.I" w:hAnsi="Times New Roman" w:cs="Times New Roman"/>
          <w:sz w:val="24"/>
          <w:szCs w:val="24"/>
          <w:lang w:eastAsia="zh-CN" w:bidi="ar"/>
        </w:rPr>
        <w:t xml:space="preserve">. </w:t>
      </w:r>
      <w:r>
        <w:rPr>
          <w:rFonts w:ascii="Times New Roman" w:eastAsia="AdvOT1ef757c0" w:hAnsi="Times New Roman" w:cs="Times New Roman"/>
          <w:sz w:val="24"/>
          <w:szCs w:val="24"/>
          <w:lang w:eastAsia="zh-CN" w:bidi="ar"/>
        </w:rPr>
        <w:t>20 (2): 263</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 xml:space="preserve">264. </w:t>
      </w:r>
    </w:p>
    <w:p w14:paraId="5FE8DDB5" w14:textId="7FD703A7" w:rsidR="00AB759C" w:rsidRDefault="00AB759C" w:rsidP="00AB759C">
      <w:pPr>
        <w:ind w:left="720" w:hanging="720"/>
        <w:jc w:val="both"/>
        <w:rPr>
          <w:rFonts w:ascii="Times New Roman" w:eastAsia="URWPalladioL-Roma" w:hAnsi="Times New Roman" w:cs="Times New Roman"/>
          <w:sz w:val="24"/>
          <w:szCs w:val="24"/>
          <w:lang w:eastAsia="zh-CN" w:bidi="ar"/>
        </w:rPr>
      </w:pPr>
      <w:r>
        <w:rPr>
          <w:rFonts w:ascii="Times New Roman" w:eastAsia="URWPalladioL-Roma" w:hAnsi="Times New Roman" w:cs="Times New Roman"/>
          <w:sz w:val="24"/>
          <w:szCs w:val="24"/>
          <w:lang w:eastAsia="zh-CN" w:bidi="ar"/>
        </w:rPr>
        <w:t xml:space="preserve">Rai, P.K.; </w:t>
      </w:r>
      <w:proofErr w:type="spellStart"/>
      <w:r>
        <w:rPr>
          <w:rFonts w:ascii="Times New Roman" w:eastAsia="URWPalladioL-Roma" w:hAnsi="Times New Roman" w:cs="Times New Roman"/>
          <w:sz w:val="24"/>
          <w:szCs w:val="24"/>
          <w:lang w:eastAsia="zh-CN" w:bidi="ar"/>
        </w:rPr>
        <w:t>Leeb</w:t>
      </w:r>
      <w:proofErr w:type="spellEnd"/>
      <w:r>
        <w:rPr>
          <w:rFonts w:ascii="Times New Roman" w:eastAsia="URWPalladioL-Roma" w:hAnsi="Times New Roman" w:cs="Times New Roman"/>
          <w:sz w:val="24"/>
          <w:szCs w:val="24"/>
          <w:lang w:eastAsia="zh-CN" w:bidi="ar"/>
        </w:rPr>
        <w:t xml:space="preserve">, S.S.; </w:t>
      </w:r>
      <w:proofErr w:type="spellStart"/>
      <w:r>
        <w:rPr>
          <w:rFonts w:ascii="Times New Roman" w:eastAsia="URWPalladioL-Roma" w:hAnsi="Times New Roman" w:cs="Times New Roman"/>
          <w:sz w:val="24"/>
          <w:szCs w:val="24"/>
          <w:lang w:eastAsia="zh-CN" w:bidi="ar"/>
        </w:rPr>
        <w:t>Zhangc</w:t>
      </w:r>
      <w:proofErr w:type="spellEnd"/>
      <w:r>
        <w:rPr>
          <w:rFonts w:ascii="Times New Roman" w:eastAsia="URWPalladioL-Roma" w:hAnsi="Times New Roman" w:cs="Times New Roman"/>
          <w:sz w:val="24"/>
          <w:szCs w:val="24"/>
          <w:lang w:eastAsia="zh-CN" w:bidi="ar"/>
        </w:rPr>
        <w:t xml:space="preserve"> </w:t>
      </w:r>
      <w:proofErr w:type="spellStart"/>
      <w:r>
        <w:rPr>
          <w:rFonts w:ascii="Times New Roman" w:eastAsia="URWPalladioL-Roma" w:hAnsi="Times New Roman" w:cs="Times New Roman"/>
          <w:sz w:val="24"/>
          <w:szCs w:val="24"/>
          <w:lang w:eastAsia="zh-CN" w:bidi="ar"/>
        </w:rPr>
        <w:t>Tsangd</w:t>
      </w:r>
      <w:proofErr w:type="spellEnd"/>
      <w:r>
        <w:rPr>
          <w:rFonts w:ascii="Times New Roman" w:eastAsia="URWPalladioL-Roma" w:hAnsi="Times New Roman" w:cs="Times New Roman"/>
          <w:sz w:val="24"/>
          <w:szCs w:val="24"/>
          <w:lang w:eastAsia="zh-CN" w:bidi="ar"/>
        </w:rPr>
        <w:t xml:space="preserve">, U.F.; </w:t>
      </w:r>
      <w:proofErr w:type="spellStart"/>
      <w:r>
        <w:rPr>
          <w:rFonts w:ascii="Times New Roman" w:eastAsia="URWPalladioL-Roma" w:hAnsi="Times New Roman" w:cs="Times New Roman"/>
          <w:sz w:val="24"/>
          <w:szCs w:val="24"/>
          <w:lang w:eastAsia="zh-CN" w:bidi="ar"/>
        </w:rPr>
        <w:t>Kime</w:t>
      </w:r>
      <w:proofErr w:type="spellEnd"/>
      <w:r>
        <w:rPr>
          <w:rFonts w:ascii="Times New Roman" w:eastAsia="URWPalladioL-Roma" w:hAnsi="Times New Roman" w:cs="Times New Roman"/>
          <w:sz w:val="24"/>
          <w:szCs w:val="24"/>
          <w:lang w:eastAsia="zh-CN" w:bidi="ar"/>
        </w:rPr>
        <w:t xml:space="preserve">, K.H. Heavy metals in food crops: Health risks, fate, mechanisms, and management. </w:t>
      </w:r>
      <w:r>
        <w:rPr>
          <w:rFonts w:ascii="Times New Roman" w:eastAsia="URWPalladioL-Ital" w:hAnsi="Times New Roman" w:cs="Times New Roman"/>
          <w:i/>
          <w:iCs/>
          <w:sz w:val="24"/>
          <w:szCs w:val="24"/>
          <w:lang w:eastAsia="zh-CN" w:bidi="ar"/>
        </w:rPr>
        <w:t xml:space="preserve">Environmental </w:t>
      </w:r>
      <w:r w:rsidR="008A69C2">
        <w:rPr>
          <w:rFonts w:ascii="Times New Roman" w:eastAsia="URWPalladioL-Ital" w:hAnsi="Times New Roman" w:cs="Times New Roman"/>
          <w:i/>
          <w:iCs/>
          <w:sz w:val="24"/>
          <w:szCs w:val="24"/>
          <w:lang w:eastAsia="zh-CN" w:bidi="ar"/>
        </w:rPr>
        <w:t>Inter.,</w:t>
      </w:r>
      <w:r>
        <w:rPr>
          <w:rFonts w:ascii="Times New Roman" w:eastAsia="URWPalladioL-Roma" w:hAnsi="Times New Roman" w:cs="Times New Roman"/>
          <w:sz w:val="24"/>
          <w:szCs w:val="24"/>
          <w:lang w:eastAsia="zh-CN" w:bidi="ar"/>
        </w:rPr>
        <w:t xml:space="preserve"> </w:t>
      </w:r>
      <w:r>
        <w:rPr>
          <w:rFonts w:ascii="Times New Roman" w:eastAsia="URWPalladioL-Ital" w:hAnsi="Times New Roman" w:cs="Times New Roman"/>
          <w:i/>
          <w:iCs/>
          <w:sz w:val="24"/>
          <w:szCs w:val="24"/>
          <w:lang w:eastAsia="zh-CN" w:bidi="ar"/>
        </w:rPr>
        <w:t>125</w:t>
      </w:r>
      <w:r>
        <w:rPr>
          <w:rFonts w:ascii="Times New Roman" w:eastAsia="URWPalladioL-Roma" w:hAnsi="Times New Roman" w:cs="Times New Roman"/>
          <w:sz w:val="24"/>
          <w:szCs w:val="24"/>
          <w:lang w:eastAsia="zh-CN" w:bidi="ar"/>
        </w:rPr>
        <w:t>, 365–385.</w:t>
      </w:r>
    </w:p>
    <w:p w14:paraId="038E56AD" w14:textId="2ED774E4" w:rsidR="00AB759C" w:rsidRDefault="00AB759C" w:rsidP="00AB759C">
      <w:pPr>
        <w:ind w:left="720" w:hanging="720"/>
        <w:jc w:val="both"/>
        <w:rPr>
          <w:rFonts w:ascii="Times New Roman" w:hAnsi="Times New Roman" w:cs="Times New Roman"/>
          <w:sz w:val="24"/>
          <w:szCs w:val="24"/>
          <w:highlight w:val="green"/>
        </w:rPr>
      </w:pPr>
      <w:proofErr w:type="spellStart"/>
      <w:r>
        <w:rPr>
          <w:rFonts w:ascii="Times New Roman" w:eastAsia="SimSun" w:hAnsi="Times New Roman" w:cs="Times New Roman"/>
          <w:sz w:val="24"/>
          <w:szCs w:val="24"/>
          <w:lang w:eastAsia="zh-CN" w:bidi="ar"/>
        </w:rPr>
        <w:t>Riskuwa</w:t>
      </w:r>
      <w:proofErr w:type="spellEnd"/>
      <w:r>
        <w:rPr>
          <w:rFonts w:ascii="Times New Roman" w:eastAsia="SimSun" w:hAnsi="Times New Roman" w:cs="Times New Roman"/>
          <w:sz w:val="24"/>
          <w:szCs w:val="24"/>
          <w:lang w:eastAsia="zh-CN" w:bidi="ar"/>
        </w:rPr>
        <w:t xml:space="preserve">-Shehu, M. L. Ismail, H. Y. </w:t>
      </w:r>
      <w:proofErr w:type="spellStart"/>
      <w:r>
        <w:rPr>
          <w:rFonts w:ascii="Times New Roman" w:eastAsia="SimSun" w:hAnsi="Times New Roman" w:cs="Times New Roman"/>
          <w:sz w:val="24"/>
          <w:szCs w:val="24"/>
          <w:lang w:eastAsia="zh-CN" w:bidi="ar"/>
        </w:rPr>
        <w:t>Fardami</w:t>
      </w:r>
      <w:proofErr w:type="spellEnd"/>
      <w:r>
        <w:rPr>
          <w:rFonts w:ascii="Times New Roman" w:eastAsia="SimSun" w:hAnsi="Times New Roman" w:cs="Times New Roman"/>
          <w:sz w:val="24"/>
          <w:szCs w:val="24"/>
          <w:lang w:eastAsia="zh-CN" w:bidi="ar"/>
        </w:rPr>
        <w:t xml:space="preserve">, A. Y. Ibrahim, U. B. (2022). Pennise Purpureum Improved polycyclic Aromatic Hydrocarbons removal in Weathered-Petroleum Contaminated Soil, </w:t>
      </w:r>
      <w:r>
        <w:rPr>
          <w:rFonts w:ascii="Times New Roman" w:eastAsia="SimSun" w:hAnsi="Times New Roman" w:cs="Times New Roman"/>
          <w:i/>
          <w:iCs/>
          <w:sz w:val="24"/>
          <w:szCs w:val="24"/>
          <w:lang w:eastAsia="zh-CN" w:bidi="ar"/>
        </w:rPr>
        <w:t>European Journal of Biology and Biotechnology</w:t>
      </w:r>
      <w:r>
        <w:rPr>
          <w:rFonts w:ascii="Times New Roman" w:eastAsia="SimSun" w:hAnsi="Times New Roman" w:cs="Times New Roman"/>
          <w:sz w:val="24"/>
          <w:szCs w:val="24"/>
          <w:lang w:eastAsia="zh-CN" w:bidi="ar"/>
        </w:rPr>
        <w:t>, 3(3): 7-13</w:t>
      </w:r>
    </w:p>
    <w:p w14:paraId="069FF03C" w14:textId="27D049A4" w:rsidR="00AB759C" w:rsidRDefault="00AB759C" w:rsidP="00AB759C">
      <w:pPr>
        <w:pStyle w:val="Default"/>
        <w:spacing w:line="276" w:lineRule="auto"/>
        <w:ind w:left="720" w:hanging="720"/>
        <w:jc w:val="both"/>
        <w:rPr>
          <w:color w:val="auto"/>
        </w:rPr>
      </w:pPr>
      <w:proofErr w:type="spellStart"/>
      <w:r>
        <w:rPr>
          <w:color w:val="auto"/>
        </w:rPr>
        <w:t>Roubalová</w:t>
      </w:r>
      <w:proofErr w:type="spellEnd"/>
      <w:r>
        <w:rPr>
          <w:color w:val="auto"/>
        </w:rPr>
        <w:t xml:space="preserve"> R.</w:t>
      </w:r>
      <w:proofErr w:type="gramStart"/>
      <w:r>
        <w:rPr>
          <w:color w:val="auto"/>
        </w:rPr>
        <w:t xml:space="preserve">,  </w:t>
      </w:r>
      <w:proofErr w:type="spellStart"/>
      <w:r>
        <w:rPr>
          <w:color w:val="auto"/>
        </w:rPr>
        <w:t>Procházková</w:t>
      </w:r>
      <w:proofErr w:type="gramEnd"/>
      <w:r>
        <w:rPr>
          <w:color w:val="auto"/>
        </w:rPr>
        <w:t>,P</w:t>
      </w:r>
      <w:proofErr w:type="spellEnd"/>
      <w:r>
        <w:rPr>
          <w:color w:val="auto"/>
        </w:rPr>
        <w:t>.  Dvořák J.</w:t>
      </w:r>
      <w:proofErr w:type="gramStart"/>
      <w:r>
        <w:rPr>
          <w:color w:val="auto"/>
        </w:rPr>
        <w:t xml:space="preserve">,  </w:t>
      </w:r>
      <w:proofErr w:type="spellStart"/>
      <w:r>
        <w:rPr>
          <w:color w:val="auto"/>
        </w:rPr>
        <w:t>Škanta</w:t>
      </w:r>
      <w:proofErr w:type="spellEnd"/>
      <w:proofErr w:type="gramEnd"/>
      <w:r>
        <w:rPr>
          <w:color w:val="auto"/>
        </w:rPr>
        <w:t xml:space="preserve"> F.</w:t>
      </w:r>
      <w:r w:rsidR="008A69C2">
        <w:rPr>
          <w:color w:val="auto"/>
        </w:rPr>
        <w:t>, and</w:t>
      </w:r>
      <w:r>
        <w:rPr>
          <w:color w:val="auto"/>
        </w:rPr>
        <w:t xml:space="preserve"> Bilej, M. (2015). The role of earthworm defense mechanisms in ecotoxicity studies</w:t>
      </w:r>
      <w:r w:rsidR="008A69C2">
        <w:rPr>
          <w:color w:val="auto"/>
        </w:rPr>
        <w:t>.</w:t>
      </w:r>
      <w:r>
        <w:rPr>
          <w:color w:val="auto"/>
        </w:rPr>
        <w:t xml:space="preserve"> </w:t>
      </w:r>
      <w:r>
        <w:rPr>
          <w:i/>
          <w:color w:val="auto"/>
        </w:rPr>
        <w:t xml:space="preserve">Information System Journal </w:t>
      </w:r>
      <w:r>
        <w:rPr>
          <w:color w:val="auto"/>
        </w:rPr>
        <w:t>12: 203-213,</w:t>
      </w:r>
    </w:p>
    <w:p w14:paraId="40CFE8EA" w14:textId="77777777" w:rsidR="00AB759C" w:rsidRDefault="00AB759C" w:rsidP="00AB759C">
      <w:pPr>
        <w:ind w:left="720" w:hanging="720"/>
        <w:jc w:val="both"/>
        <w:rPr>
          <w:rFonts w:ascii="Times New Roman" w:hAnsi="Times New Roman" w:cs="Times New Roman"/>
          <w:sz w:val="24"/>
          <w:szCs w:val="24"/>
        </w:rPr>
      </w:pPr>
      <w:r>
        <w:rPr>
          <w:rFonts w:ascii="Times New Roman" w:eastAsia="AdvOT1ef757c0" w:hAnsi="Times New Roman" w:cs="Times New Roman"/>
          <w:sz w:val="24"/>
          <w:szCs w:val="24"/>
          <w:lang w:eastAsia="zh-CN" w:bidi="ar"/>
        </w:rPr>
        <w:t xml:space="preserve">Sanchez-Hernandez, J. C. (2019). </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Bioremediation of pesticide-contaminated soils by using earthworms,</w:t>
      </w:r>
      <w:r>
        <w:rPr>
          <w:rFonts w:ascii="Times New Roman" w:eastAsia="AdvOT1ef757c0+20" w:hAnsi="Times New Roman" w:cs="Times New Roman"/>
          <w:sz w:val="24"/>
          <w:szCs w:val="24"/>
          <w:lang w:eastAsia="zh-CN" w:bidi="ar"/>
        </w:rPr>
        <w:t xml:space="preserve">” </w:t>
      </w:r>
      <w:r>
        <w:rPr>
          <w:rFonts w:ascii="Times New Roman" w:eastAsia="AdvOT1ef757c0" w:hAnsi="Times New Roman" w:cs="Times New Roman"/>
          <w:sz w:val="24"/>
          <w:szCs w:val="24"/>
          <w:lang w:eastAsia="zh-CN" w:bidi="ar"/>
        </w:rPr>
        <w:t xml:space="preserve">in </w:t>
      </w:r>
      <w:r>
        <w:rPr>
          <w:rFonts w:ascii="Times New Roman" w:eastAsia="AdvOT7d6df7ab.I" w:hAnsi="Times New Roman" w:cs="Times New Roman"/>
          <w:sz w:val="24"/>
          <w:szCs w:val="24"/>
          <w:lang w:eastAsia="zh-CN" w:bidi="ar"/>
        </w:rPr>
        <w:t xml:space="preserve">Bioremediation of agricultural soils </w:t>
      </w:r>
      <w:r>
        <w:rPr>
          <w:rFonts w:ascii="Times New Roman" w:eastAsia="AdvOT1ef757c0" w:hAnsi="Times New Roman" w:cs="Times New Roman"/>
          <w:sz w:val="24"/>
          <w:szCs w:val="24"/>
          <w:lang w:eastAsia="zh-CN" w:bidi="ar"/>
        </w:rPr>
        <w:t>(Boca Raton: CRC Press), 165</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 xml:space="preserve">192. </w:t>
      </w:r>
    </w:p>
    <w:p w14:paraId="03273EEA" w14:textId="53CB4FD4" w:rsidR="00AB759C" w:rsidRDefault="00AB759C" w:rsidP="00AB759C">
      <w:pPr>
        <w:ind w:left="720" w:hanging="720"/>
        <w:jc w:val="both"/>
        <w:rPr>
          <w:rFonts w:ascii="Times New Roman" w:eastAsia="Tahoma" w:hAnsi="Times New Roman" w:cs="Times New Roman"/>
          <w:sz w:val="24"/>
          <w:szCs w:val="24"/>
          <w:lang w:eastAsia="zh-CN" w:bidi="ar"/>
        </w:rPr>
      </w:pPr>
      <w:r>
        <w:rPr>
          <w:rFonts w:ascii="Times New Roman" w:eastAsia="Tahoma" w:hAnsi="Times New Roman" w:cs="Times New Roman"/>
          <w:sz w:val="24"/>
          <w:szCs w:val="24"/>
          <w:lang w:eastAsia="zh-CN" w:bidi="ar"/>
        </w:rPr>
        <w:t>Sauve, S., Henderson, W.</w:t>
      </w:r>
      <w:r w:rsidR="008A69C2">
        <w:rPr>
          <w:rFonts w:ascii="Times New Roman" w:eastAsia="Tahoma" w:hAnsi="Times New Roman" w:cs="Times New Roman"/>
          <w:sz w:val="24"/>
          <w:szCs w:val="24"/>
          <w:lang w:eastAsia="zh-CN" w:bidi="ar"/>
        </w:rPr>
        <w:t>,</w:t>
      </w:r>
      <w:r>
        <w:rPr>
          <w:rFonts w:ascii="Times New Roman" w:eastAsia="Tahoma" w:hAnsi="Times New Roman" w:cs="Times New Roman"/>
          <w:sz w:val="24"/>
          <w:szCs w:val="24"/>
          <w:lang w:eastAsia="zh-CN" w:bidi="ar"/>
        </w:rPr>
        <w:t xml:space="preserve"> and Allen, H.E. (2000). </w:t>
      </w:r>
      <w:r w:rsidR="008A69C2">
        <w:rPr>
          <w:rFonts w:ascii="Times New Roman" w:eastAsia="Tahoma" w:hAnsi="Times New Roman" w:cs="Times New Roman"/>
          <w:sz w:val="24"/>
          <w:szCs w:val="24"/>
          <w:lang w:eastAsia="zh-CN" w:bidi="ar"/>
        </w:rPr>
        <w:t>Solid–solution</w:t>
      </w:r>
      <w:r>
        <w:rPr>
          <w:rFonts w:ascii="Times New Roman" w:eastAsia="Tahoma" w:hAnsi="Times New Roman" w:cs="Times New Roman"/>
          <w:sz w:val="24"/>
          <w:szCs w:val="24"/>
          <w:lang w:eastAsia="zh-CN" w:bidi="ar"/>
        </w:rPr>
        <w:t xml:space="preserve"> portion of metals in contaminated soils, dependent on PH, total metal burden</w:t>
      </w:r>
      <w:r w:rsidR="008A69C2">
        <w:rPr>
          <w:rFonts w:ascii="Times New Roman" w:eastAsia="Tahoma" w:hAnsi="Times New Roman" w:cs="Times New Roman"/>
          <w:sz w:val="24"/>
          <w:szCs w:val="24"/>
          <w:lang w:eastAsia="zh-CN" w:bidi="ar"/>
        </w:rPr>
        <w:t>,</w:t>
      </w:r>
      <w:r>
        <w:rPr>
          <w:rFonts w:ascii="Times New Roman" w:eastAsia="Tahoma" w:hAnsi="Times New Roman" w:cs="Times New Roman"/>
          <w:sz w:val="24"/>
          <w:szCs w:val="24"/>
          <w:lang w:eastAsia="zh-CN" w:bidi="ar"/>
        </w:rPr>
        <w:t xml:space="preserve"> and organic matter. </w:t>
      </w:r>
      <w:r>
        <w:rPr>
          <w:rFonts w:ascii="Times New Roman" w:eastAsia="Tahoma" w:hAnsi="Times New Roman" w:cs="Times New Roman"/>
          <w:i/>
          <w:iCs/>
          <w:sz w:val="24"/>
          <w:szCs w:val="24"/>
          <w:lang w:eastAsia="zh-CN" w:bidi="ar"/>
        </w:rPr>
        <w:t>Environmental Science and Technology</w:t>
      </w:r>
      <w:r>
        <w:rPr>
          <w:rFonts w:ascii="Times New Roman" w:eastAsia="Tahoma" w:hAnsi="Times New Roman" w:cs="Times New Roman"/>
          <w:sz w:val="24"/>
          <w:szCs w:val="24"/>
          <w:lang w:eastAsia="zh-CN" w:bidi="ar"/>
        </w:rPr>
        <w:t>. 34:11125-1131.</w:t>
      </w:r>
    </w:p>
    <w:p w14:paraId="13A54BAF" w14:textId="77777777"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Subbiah, B. and Asija, G. L. (1956). Alkaline permanganate method of available nitrogen determination. </w:t>
      </w:r>
      <w:r>
        <w:rPr>
          <w:rFonts w:ascii="Times New Roman" w:hAnsi="Times New Roman" w:cs="Times New Roman"/>
          <w:i/>
          <w:sz w:val="24"/>
          <w:szCs w:val="24"/>
        </w:rPr>
        <w:t>Current Science</w:t>
      </w:r>
      <w:r>
        <w:rPr>
          <w:rFonts w:ascii="Times New Roman" w:hAnsi="Times New Roman" w:cs="Times New Roman"/>
          <w:sz w:val="24"/>
          <w:szCs w:val="24"/>
        </w:rPr>
        <w:t xml:space="preserve">, </w:t>
      </w:r>
      <w:r>
        <w:rPr>
          <w:rFonts w:ascii="Times New Roman" w:hAnsi="Times New Roman" w:cs="Times New Roman"/>
          <w:b/>
          <w:sz w:val="24"/>
          <w:szCs w:val="24"/>
        </w:rPr>
        <w:t>25</w:t>
      </w:r>
      <w:r>
        <w:rPr>
          <w:rFonts w:ascii="Times New Roman" w:hAnsi="Times New Roman" w:cs="Times New Roman"/>
          <w:sz w:val="24"/>
          <w:szCs w:val="24"/>
        </w:rPr>
        <w:t>: 259</w:t>
      </w:r>
    </w:p>
    <w:p w14:paraId="475546A7" w14:textId="77777777"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p>
    <w:p w14:paraId="2D84497D" w14:textId="5343614A" w:rsidR="00AB759C" w:rsidRDefault="00AB759C" w:rsidP="008A69C2">
      <w:pPr>
        <w:autoSpaceDE w:val="0"/>
        <w:autoSpaceDN w:val="0"/>
        <w:adjustRightInd w:val="0"/>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Tukura</w:t>
      </w:r>
      <w:proofErr w:type="spellEnd"/>
      <w:r>
        <w:rPr>
          <w:rFonts w:ascii="Times New Roman" w:hAnsi="Times New Roman" w:cs="Times New Roman"/>
          <w:sz w:val="24"/>
          <w:szCs w:val="24"/>
        </w:rPr>
        <w:t xml:space="preserve">, B W., </w:t>
      </w:r>
      <w:proofErr w:type="spellStart"/>
      <w:r>
        <w:rPr>
          <w:rFonts w:ascii="Times New Roman" w:hAnsi="Times New Roman" w:cs="Times New Roman"/>
          <w:sz w:val="24"/>
          <w:szCs w:val="24"/>
        </w:rPr>
        <w:t>Kagbu</w:t>
      </w:r>
      <w:proofErr w:type="spellEnd"/>
      <w:r>
        <w:rPr>
          <w:rFonts w:ascii="Times New Roman" w:hAnsi="Times New Roman" w:cs="Times New Roman"/>
          <w:sz w:val="24"/>
          <w:szCs w:val="24"/>
        </w:rPr>
        <w:t>, J. A.</w:t>
      </w:r>
      <w:r w:rsidR="008A69C2">
        <w:rPr>
          <w:rFonts w:ascii="Times New Roman" w:hAnsi="Times New Roman" w:cs="Times New Roman"/>
          <w:sz w:val="24"/>
          <w:szCs w:val="24"/>
        </w:rPr>
        <w:t>,</w:t>
      </w:r>
      <w:r>
        <w:rPr>
          <w:rFonts w:ascii="Times New Roman" w:hAnsi="Times New Roman" w:cs="Times New Roman"/>
          <w:sz w:val="24"/>
          <w:szCs w:val="24"/>
        </w:rPr>
        <w:t xml:space="preserve"> and Gimba, C. E. (2007). Effect of pH and Total Organic Carbon (TOC) on the Distribution of </w:t>
      </w:r>
      <w:r w:rsidR="008A69C2">
        <w:rPr>
          <w:rFonts w:ascii="Times New Roman" w:hAnsi="Times New Roman" w:cs="Times New Roman"/>
          <w:sz w:val="24"/>
          <w:szCs w:val="24"/>
        </w:rPr>
        <w:t>Trace</w:t>
      </w:r>
      <w:r>
        <w:rPr>
          <w:rFonts w:ascii="Times New Roman" w:hAnsi="Times New Roman" w:cs="Times New Roman"/>
          <w:sz w:val="24"/>
          <w:szCs w:val="24"/>
        </w:rPr>
        <w:t xml:space="preserve"> Metals in </w:t>
      </w:r>
      <w:proofErr w:type="spellStart"/>
      <w:r>
        <w:rPr>
          <w:rFonts w:ascii="Times New Roman" w:hAnsi="Times New Roman" w:cs="Times New Roman"/>
          <w:sz w:val="24"/>
          <w:szCs w:val="24"/>
        </w:rPr>
        <w:t>Kubaanni</w:t>
      </w:r>
      <w:proofErr w:type="spellEnd"/>
      <w:r>
        <w:rPr>
          <w:rFonts w:ascii="Times New Roman" w:hAnsi="Times New Roman" w:cs="Times New Roman"/>
          <w:sz w:val="24"/>
          <w:szCs w:val="24"/>
        </w:rPr>
        <w:t xml:space="preserve"> Dam Sediments, Zaria, Nigeria, Science World Journal 2 (3): 1-6  </w:t>
      </w:r>
    </w:p>
    <w:p w14:paraId="013C7446" w14:textId="21F3F5FA" w:rsidR="00AB759C" w:rsidRDefault="00AB759C" w:rsidP="008A69C2">
      <w:pPr>
        <w:ind w:left="720" w:hanging="720"/>
        <w:jc w:val="both"/>
        <w:rPr>
          <w:rFonts w:ascii="Times New Roman" w:hAnsi="Times New Roman" w:cs="Times New Roman"/>
          <w:sz w:val="24"/>
          <w:szCs w:val="24"/>
        </w:rPr>
      </w:pPr>
      <w:proofErr w:type="spellStart"/>
      <w:r>
        <w:rPr>
          <w:rFonts w:ascii="Times New Roman" w:eastAsia="Helvetica-Bold" w:hAnsi="Times New Roman" w:cs="Times New Roman"/>
          <w:sz w:val="24"/>
          <w:szCs w:val="24"/>
          <w:lang w:eastAsia="zh-CN" w:bidi="ar"/>
        </w:rPr>
        <w:t>Udoetok</w:t>
      </w:r>
      <w:proofErr w:type="spellEnd"/>
      <w:r>
        <w:rPr>
          <w:rFonts w:ascii="Times New Roman" w:eastAsia="Helvetica-Bold" w:hAnsi="Times New Roman" w:cs="Times New Roman"/>
          <w:sz w:val="24"/>
          <w:szCs w:val="24"/>
          <w:lang w:eastAsia="zh-CN" w:bidi="ar"/>
        </w:rPr>
        <w:t>, I. A.</w:t>
      </w:r>
      <w:r w:rsidR="008A69C2">
        <w:rPr>
          <w:rFonts w:ascii="Times New Roman" w:eastAsia="Helvetica-Bold" w:hAnsi="Times New Roman" w:cs="Times New Roman"/>
          <w:sz w:val="24"/>
          <w:szCs w:val="24"/>
          <w:lang w:eastAsia="zh-CN" w:bidi="ar"/>
        </w:rPr>
        <w:t xml:space="preserve">, </w:t>
      </w:r>
      <w:proofErr w:type="spellStart"/>
      <w:r w:rsidR="008A69C2">
        <w:rPr>
          <w:rFonts w:ascii="Times New Roman" w:eastAsia="Helvetica-Bold" w:hAnsi="Times New Roman" w:cs="Times New Roman"/>
          <w:sz w:val="24"/>
          <w:szCs w:val="24"/>
          <w:lang w:eastAsia="zh-CN" w:bidi="ar"/>
        </w:rPr>
        <w:t>Akpanudo</w:t>
      </w:r>
      <w:proofErr w:type="spellEnd"/>
      <w:r>
        <w:rPr>
          <w:rFonts w:ascii="Times New Roman" w:eastAsia="Helvetica-Bold" w:hAnsi="Times New Roman" w:cs="Times New Roman"/>
          <w:sz w:val="24"/>
          <w:szCs w:val="24"/>
          <w:lang w:eastAsia="zh-CN" w:bidi="ar"/>
        </w:rPr>
        <w:t xml:space="preserve">, N. </w:t>
      </w:r>
      <w:r w:rsidR="008A69C2">
        <w:rPr>
          <w:rFonts w:ascii="Times New Roman" w:eastAsia="Helvetica-Bold" w:hAnsi="Times New Roman" w:cs="Times New Roman"/>
          <w:sz w:val="24"/>
          <w:szCs w:val="24"/>
          <w:lang w:eastAsia="zh-CN" w:bidi="ar"/>
        </w:rPr>
        <w:t>W.,</w:t>
      </w:r>
      <w:r>
        <w:rPr>
          <w:rFonts w:ascii="Times New Roman" w:eastAsia="Helvetica-Bold" w:hAnsi="Times New Roman" w:cs="Times New Roman"/>
          <w:sz w:val="24"/>
          <w:szCs w:val="24"/>
          <w:lang w:eastAsia="zh-CN" w:bidi="ar"/>
        </w:rPr>
        <w:t xml:space="preserve"> Uwanta, E. J.</w:t>
      </w:r>
      <w:r w:rsidR="008A69C2">
        <w:rPr>
          <w:rFonts w:ascii="Times New Roman" w:eastAsia="Helvetica-Bold" w:hAnsi="Times New Roman" w:cs="Times New Roman"/>
          <w:sz w:val="24"/>
          <w:szCs w:val="24"/>
          <w:lang w:eastAsia="zh-CN" w:bidi="ar"/>
        </w:rPr>
        <w:t>,</w:t>
      </w:r>
      <w:r>
        <w:rPr>
          <w:rFonts w:ascii="Times New Roman" w:eastAsia="Helvetica-Bold" w:hAnsi="Times New Roman" w:cs="Times New Roman"/>
          <w:sz w:val="24"/>
          <w:szCs w:val="24"/>
          <w:lang w:eastAsia="zh-CN" w:bidi="ar"/>
        </w:rPr>
        <w:t xml:space="preserve"> </w:t>
      </w:r>
      <w:r w:rsidR="008A69C2">
        <w:rPr>
          <w:rFonts w:ascii="Times New Roman" w:eastAsia="Helvetica-Bold" w:hAnsi="Times New Roman" w:cs="Times New Roman"/>
          <w:sz w:val="24"/>
          <w:szCs w:val="24"/>
          <w:lang w:eastAsia="zh-CN" w:bidi="ar"/>
        </w:rPr>
        <w:t>and Ukpong</w:t>
      </w:r>
      <w:r>
        <w:rPr>
          <w:rFonts w:ascii="Times New Roman" w:eastAsia="Helvetica-Bold" w:hAnsi="Times New Roman" w:cs="Times New Roman"/>
          <w:sz w:val="24"/>
          <w:szCs w:val="24"/>
          <w:lang w:eastAsia="zh-CN" w:bidi="ar"/>
        </w:rPr>
        <w:t>, E. J. (2011</w:t>
      </w:r>
      <w:r w:rsidR="008A69C2">
        <w:rPr>
          <w:rFonts w:ascii="Times New Roman" w:eastAsia="Helvetica-Bold" w:hAnsi="Times New Roman" w:cs="Times New Roman"/>
          <w:sz w:val="24"/>
          <w:szCs w:val="24"/>
          <w:lang w:eastAsia="zh-CN" w:bidi="ar"/>
        </w:rPr>
        <w:t>). Associated</w:t>
      </w:r>
      <w:r>
        <w:rPr>
          <w:rFonts w:ascii="Times New Roman" w:eastAsia="Helvetica-Bold" w:hAnsi="Times New Roman" w:cs="Times New Roman"/>
          <w:sz w:val="24"/>
          <w:szCs w:val="24"/>
          <w:lang w:eastAsia="zh-CN" w:bidi="ar"/>
        </w:rPr>
        <w:t xml:space="preserve"> petroleum hydrocarbons and heavy metals of an </w:t>
      </w:r>
      <w:r w:rsidR="008A69C2">
        <w:rPr>
          <w:rFonts w:ascii="Times New Roman" w:eastAsia="Helvetica-Bold" w:hAnsi="Times New Roman" w:cs="Times New Roman"/>
          <w:sz w:val="24"/>
          <w:szCs w:val="24"/>
          <w:lang w:eastAsia="zh-CN" w:bidi="ar"/>
        </w:rPr>
        <w:t>oil-spilled</w:t>
      </w:r>
      <w:r>
        <w:rPr>
          <w:rFonts w:ascii="Times New Roman" w:eastAsia="Helvetica-Bold" w:hAnsi="Times New Roman" w:cs="Times New Roman"/>
          <w:sz w:val="24"/>
          <w:szCs w:val="24"/>
          <w:lang w:eastAsia="zh-CN" w:bidi="ar"/>
        </w:rPr>
        <w:t xml:space="preserve"> site in the Niger Delta, </w:t>
      </w:r>
      <w:r w:rsidR="008A69C2">
        <w:rPr>
          <w:rFonts w:ascii="Times New Roman" w:eastAsia="Helvetica-Bold" w:hAnsi="Times New Roman" w:cs="Times New Roman"/>
          <w:sz w:val="24"/>
          <w:szCs w:val="24"/>
          <w:lang w:eastAsia="zh-CN" w:bidi="ar"/>
        </w:rPr>
        <w:t>Nigeria. Global</w:t>
      </w:r>
      <w:r>
        <w:rPr>
          <w:rFonts w:ascii="Times New Roman" w:eastAsia="Helvetica-Bold" w:hAnsi="Times New Roman" w:cs="Times New Roman"/>
          <w:i/>
          <w:iCs/>
          <w:sz w:val="24"/>
          <w:szCs w:val="24"/>
          <w:lang w:eastAsia="zh-CN" w:bidi="ar"/>
        </w:rPr>
        <w:t xml:space="preserve"> Journal of Pure and Applied Sciences</w:t>
      </w:r>
      <w:r>
        <w:rPr>
          <w:rFonts w:ascii="Times New Roman" w:eastAsia="Helvetica-Bold" w:hAnsi="Times New Roman" w:cs="Times New Roman"/>
          <w:sz w:val="24"/>
          <w:szCs w:val="24"/>
          <w:lang w:eastAsia="zh-CN" w:bidi="ar"/>
        </w:rPr>
        <w:t xml:space="preserve"> 17(3): 261-265</w:t>
      </w:r>
    </w:p>
    <w:p w14:paraId="0745568F" w14:textId="4244D489"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Gestel</w:t>
      </w:r>
      <w:proofErr w:type="spellEnd"/>
      <w:r>
        <w:rPr>
          <w:rFonts w:ascii="Times New Roman" w:hAnsi="Times New Roman" w:cs="Times New Roman"/>
          <w:sz w:val="24"/>
          <w:szCs w:val="24"/>
        </w:rPr>
        <w:t xml:space="preserve">, C.A.M., Dirven-van </w:t>
      </w:r>
      <w:proofErr w:type="spellStart"/>
      <w:r>
        <w:rPr>
          <w:rFonts w:ascii="Times New Roman" w:hAnsi="Times New Roman" w:cs="Times New Roman"/>
          <w:sz w:val="24"/>
          <w:szCs w:val="24"/>
        </w:rPr>
        <w:t>Breemen</w:t>
      </w:r>
      <w:proofErr w:type="spellEnd"/>
      <w:r>
        <w:rPr>
          <w:rFonts w:ascii="Times New Roman" w:hAnsi="Times New Roman" w:cs="Times New Roman"/>
          <w:sz w:val="24"/>
          <w:szCs w:val="24"/>
        </w:rPr>
        <w:t xml:space="preserve">, E.M. </w:t>
      </w:r>
      <w:r w:rsidR="008A69C2">
        <w:rPr>
          <w:rFonts w:ascii="Times New Roman" w:hAnsi="Times New Roman" w:cs="Times New Roman"/>
          <w:sz w:val="24"/>
          <w:szCs w:val="24"/>
        </w:rPr>
        <w:t xml:space="preserve">and </w:t>
      </w:r>
      <w:proofErr w:type="spellStart"/>
      <w:r w:rsidR="008A69C2">
        <w:rPr>
          <w:rFonts w:ascii="Times New Roman" w:hAnsi="Times New Roman" w:cs="Times New Roman"/>
          <w:sz w:val="24"/>
          <w:szCs w:val="24"/>
        </w:rPr>
        <w:t>Kamerman</w:t>
      </w:r>
      <w:proofErr w:type="spellEnd"/>
      <w:r>
        <w:rPr>
          <w:rFonts w:ascii="Times New Roman" w:hAnsi="Times New Roman" w:cs="Times New Roman"/>
          <w:sz w:val="24"/>
          <w:szCs w:val="24"/>
        </w:rPr>
        <w:t xml:space="preserve">, J.W. (1992). </w:t>
      </w:r>
      <w:proofErr w:type="spellStart"/>
      <w:r w:rsidR="008A69C2">
        <w:rPr>
          <w:rFonts w:ascii="Times New Roman" w:hAnsi="Times New Roman" w:cs="Times New Roman"/>
          <w:sz w:val="24"/>
          <w:szCs w:val="24"/>
        </w:rPr>
        <w:t>Beoordeling</w:t>
      </w:r>
      <w:proofErr w:type="spellEnd"/>
      <w:r w:rsidR="008A69C2">
        <w:rPr>
          <w:rFonts w:ascii="Times New Roman" w:hAnsi="Times New Roman" w:cs="Times New Roman"/>
          <w:sz w:val="24"/>
          <w:szCs w:val="24"/>
        </w:rPr>
        <w:t xml:space="preserve"> van</w:t>
      </w:r>
      <w:r>
        <w:rPr>
          <w:rFonts w:ascii="Times New Roman" w:hAnsi="Times New Roman" w:cs="Times New Roman"/>
          <w:sz w:val="24"/>
          <w:szCs w:val="24"/>
        </w:rPr>
        <w:t xml:space="preserve"> </w:t>
      </w:r>
      <w:proofErr w:type="spellStart"/>
      <w:r>
        <w:rPr>
          <w:rFonts w:ascii="Times New Roman" w:hAnsi="Times New Roman" w:cs="Times New Roman"/>
          <w:sz w:val="24"/>
          <w:szCs w:val="24"/>
        </w:rPr>
        <w:t>gereinigde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grond</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Toepassing</w:t>
      </w:r>
      <w:proofErr w:type="spellEnd"/>
      <w:r>
        <w:rPr>
          <w:rFonts w:ascii="Times New Roman" w:hAnsi="Times New Roman" w:cs="Times New Roman"/>
          <w:sz w:val="24"/>
          <w:szCs w:val="24"/>
        </w:rPr>
        <w:t xml:space="preserve"> van bioassays met </w:t>
      </w:r>
      <w:proofErr w:type="spellStart"/>
      <w:r>
        <w:rPr>
          <w:rFonts w:ascii="Times New Roman" w:hAnsi="Times New Roman" w:cs="Times New Roman"/>
          <w:sz w:val="24"/>
          <w:szCs w:val="24"/>
        </w:rPr>
        <w:t>planten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regenwormen</w:t>
      </w:r>
      <w:proofErr w:type="spellEnd"/>
      <w:r>
        <w:rPr>
          <w:rFonts w:ascii="Times New Roman" w:hAnsi="Times New Roman" w:cs="Times New Roman"/>
          <w:sz w:val="24"/>
          <w:szCs w:val="24"/>
        </w:rPr>
        <w:t xml:space="preserve"> op </w:t>
      </w:r>
      <w:proofErr w:type="spellStart"/>
      <w:r>
        <w:rPr>
          <w:rFonts w:ascii="Times New Roman" w:hAnsi="Times New Roman" w:cs="Times New Roman"/>
          <w:sz w:val="24"/>
          <w:szCs w:val="24"/>
        </w:rPr>
        <w:t>referentiegronden</w:t>
      </w:r>
      <w:proofErr w:type="spellEnd"/>
      <w:r>
        <w:rPr>
          <w:rFonts w:ascii="Times New Roman" w:hAnsi="Times New Roman" w:cs="Times New Roman"/>
          <w:sz w:val="24"/>
          <w:szCs w:val="24"/>
        </w:rPr>
        <w:t xml:space="preserve">. National Institute of Public Health and Environmental Protection Report 216402004, </w:t>
      </w:r>
      <w:proofErr w:type="spellStart"/>
      <w:r>
        <w:rPr>
          <w:rFonts w:ascii="Times New Roman" w:hAnsi="Times New Roman" w:cs="Times New Roman"/>
          <w:sz w:val="24"/>
          <w:szCs w:val="24"/>
        </w:rPr>
        <w:t>Bilthoven</w:t>
      </w:r>
      <w:proofErr w:type="spellEnd"/>
      <w:r>
        <w:rPr>
          <w:rFonts w:ascii="Times New Roman" w:hAnsi="Times New Roman" w:cs="Times New Roman"/>
          <w:sz w:val="24"/>
          <w:szCs w:val="24"/>
        </w:rPr>
        <w:t xml:space="preserve"> (in Dutch). pp 24</w:t>
      </w:r>
    </w:p>
    <w:p w14:paraId="0A16571D" w14:textId="77777777"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p>
    <w:p w14:paraId="7722F870" w14:textId="41671288"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Vijver</w:t>
      </w:r>
      <w:proofErr w:type="spellEnd"/>
      <w:r>
        <w:rPr>
          <w:rFonts w:ascii="Times New Roman" w:hAnsi="Times New Roman" w:cs="Times New Roman"/>
          <w:sz w:val="24"/>
          <w:szCs w:val="24"/>
        </w:rPr>
        <w:t xml:space="preserve">, M.G., </w:t>
      </w:r>
      <w:proofErr w:type="spellStart"/>
      <w:r>
        <w:rPr>
          <w:rFonts w:ascii="Times New Roman" w:hAnsi="Times New Roman" w:cs="Times New Roman"/>
          <w:sz w:val="24"/>
          <w:szCs w:val="24"/>
        </w:rPr>
        <w:t>Vink</w:t>
      </w:r>
      <w:proofErr w:type="spellEnd"/>
      <w:r>
        <w:rPr>
          <w:rFonts w:ascii="Times New Roman" w:hAnsi="Times New Roman" w:cs="Times New Roman"/>
          <w:sz w:val="24"/>
          <w:szCs w:val="24"/>
        </w:rPr>
        <w:t xml:space="preserve">, J.P.M., </w:t>
      </w:r>
      <w:proofErr w:type="spellStart"/>
      <w:r>
        <w:rPr>
          <w:rFonts w:ascii="Times New Roman" w:hAnsi="Times New Roman" w:cs="Times New Roman"/>
          <w:sz w:val="24"/>
          <w:szCs w:val="24"/>
        </w:rPr>
        <w:t>Miermans</w:t>
      </w:r>
      <w:proofErr w:type="spellEnd"/>
      <w:r>
        <w:rPr>
          <w:rFonts w:ascii="Times New Roman" w:hAnsi="Times New Roman" w:cs="Times New Roman"/>
          <w:sz w:val="24"/>
          <w:szCs w:val="24"/>
        </w:rPr>
        <w:t xml:space="preserve">, C.J.H. </w:t>
      </w:r>
      <w:r w:rsidR="008A69C2">
        <w:rPr>
          <w:rFonts w:ascii="Times New Roman" w:hAnsi="Times New Roman" w:cs="Times New Roman"/>
          <w:sz w:val="24"/>
          <w:szCs w:val="24"/>
        </w:rPr>
        <w:t>and Van</w:t>
      </w:r>
      <w:r>
        <w:rPr>
          <w:rFonts w:ascii="Times New Roman" w:hAnsi="Times New Roman" w:cs="Times New Roman"/>
          <w:sz w:val="24"/>
          <w:szCs w:val="24"/>
        </w:rPr>
        <w:t xml:space="preserve"> Gestel, C.A.M., (2003). Oral sealing using glue: a new method to distinguish between intestinal and dermal uptake of metals in earthworms. </w:t>
      </w:r>
      <w:r>
        <w:rPr>
          <w:rFonts w:ascii="Times New Roman" w:hAnsi="Times New Roman" w:cs="Times New Roman"/>
          <w:i/>
          <w:sz w:val="24"/>
          <w:szCs w:val="24"/>
        </w:rPr>
        <w:t>Soil Biology and Biochemistry,</w:t>
      </w:r>
      <w:r>
        <w:rPr>
          <w:rFonts w:ascii="Times New Roman" w:hAnsi="Times New Roman" w:cs="Times New Roman"/>
          <w:sz w:val="24"/>
          <w:szCs w:val="24"/>
        </w:rPr>
        <w:t xml:space="preserve"> 35: 125–132.</w:t>
      </w:r>
    </w:p>
    <w:p w14:paraId="13A1C6E5" w14:textId="77777777" w:rsidR="00AB759C" w:rsidRDefault="00AB759C" w:rsidP="00AB759C">
      <w:pPr>
        <w:ind w:left="720" w:hanging="720"/>
        <w:jc w:val="both"/>
        <w:rPr>
          <w:rFonts w:ascii="Times New Roman" w:hAnsi="Times New Roman" w:cs="Times New Roman"/>
          <w:sz w:val="24"/>
          <w:szCs w:val="24"/>
        </w:rPr>
      </w:pPr>
    </w:p>
    <w:p w14:paraId="07A0EBD5" w14:textId="0B3F25EC" w:rsidR="00AB759C" w:rsidRDefault="00AB759C" w:rsidP="00AB759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Wallwork, J. A. (1983). </w:t>
      </w:r>
      <w:r>
        <w:rPr>
          <w:rFonts w:ascii="Times New Roman" w:hAnsi="Times New Roman" w:cs="Times New Roman"/>
          <w:i/>
          <w:iCs/>
          <w:sz w:val="24"/>
          <w:szCs w:val="24"/>
        </w:rPr>
        <w:t>Annelids: The First Coelomates. Earthworms Biology</w:t>
      </w:r>
      <w:r>
        <w:rPr>
          <w:rFonts w:ascii="Times New Roman" w:hAnsi="Times New Roman" w:cs="Times New Roman"/>
          <w:sz w:val="24"/>
          <w:szCs w:val="24"/>
        </w:rPr>
        <w:t>. Edward Arnold Publisher, ISBN 0713128844, London, United Kingdom pp 42</w:t>
      </w:r>
    </w:p>
    <w:p w14:paraId="3DDC8A3C" w14:textId="77777777" w:rsidR="00AB759C" w:rsidRDefault="00AB759C" w:rsidP="00AB759C">
      <w:pPr>
        <w:autoSpaceDE w:val="0"/>
        <w:autoSpaceDN w:val="0"/>
        <w:adjustRightInd w:val="0"/>
        <w:spacing w:after="0"/>
        <w:ind w:left="720" w:hanging="720"/>
        <w:jc w:val="both"/>
        <w:rPr>
          <w:rFonts w:ascii="Times New Roman" w:eastAsia="AdvEPSTIM" w:hAnsi="Times New Roman" w:cs="Times New Roman"/>
          <w:sz w:val="24"/>
          <w:szCs w:val="24"/>
        </w:rPr>
      </w:pPr>
    </w:p>
    <w:p w14:paraId="438409B2" w14:textId="77777777" w:rsidR="00AB759C" w:rsidRDefault="00AB759C" w:rsidP="00AB759C">
      <w:pPr>
        <w:pStyle w:val="Default"/>
        <w:spacing w:line="276" w:lineRule="auto"/>
        <w:ind w:left="720" w:hanging="720"/>
        <w:jc w:val="both"/>
        <w:rPr>
          <w:color w:val="auto"/>
        </w:rPr>
      </w:pPr>
      <w:r>
        <w:rPr>
          <w:color w:val="auto"/>
        </w:rPr>
        <w:t xml:space="preserve">WHO. (1984) “International Standards for Drinking Water Quality” World Health Organization, Geneva. </w:t>
      </w:r>
    </w:p>
    <w:p w14:paraId="3B74B7CC" w14:textId="77777777" w:rsidR="00AB759C" w:rsidRDefault="00AB759C" w:rsidP="00AB759C">
      <w:pPr>
        <w:ind w:left="720" w:hanging="720"/>
        <w:jc w:val="both"/>
        <w:rPr>
          <w:rFonts w:ascii="Times New Roman" w:eastAsia="Helvetica" w:hAnsi="Times New Roman" w:cs="Times New Roman"/>
          <w:sz w:val="24"/>
          <w:szCs w:val="24"/>
          <w:lang w:eastAsia="zh-CN" w:bidi="ar"/>
        </w:rPr>
      </w:pPr>
      <w:proofErr w:type="spellStart"/>
      <w:r>
        <w:rPr>
          <w:rFonts w:ascii="Times New Roman" w:eastAsia="Helvetica" w:hAnsi="Times New Roman" w:cs="Times New Roman"/>
          <w:sz w:val="24"/>
          <w:szCs w:val="24"/>
          <w:lang w:eastAsia="zh-CN" w:bidi="ar"/>
        </w:rPr>
        <w:t>Wuana</w:t>
      </w:r>
      <w:proofErr w:type="spellEnd"/>
      <w:r>
        <w:rPr>
          <w:rFonts w:ascii="Times New Roman" w:eastAsia="Helvetica" w:hAnsi="Times New Roman" w:cs="Times New Roman"/>
          <w:sz w:val="24"/>
          <w:szCs w:val="24"/>
          <w:lang w:eastAsia="zh-CN" w:bidi="ar"/>
        </w:rPr>
        <w:t xml:space="preserve"> RA, </w:t>
      </w:r>
      <w:proofErr w:type="spellStart"/>
      <w:r>
        <w:rPr>
          <w:rFonts w:ascii="Times New Roman" w:eastAsia="Helvetica" w:hAnsi="Times New Roman" w:cs="Times New Roman"/>
          <w:sz w:val="24"/>
          <w:szCs w:val="24"/>
          <w:lang w:eastAsia="zh-CN" w:bidi="ar"/>
        </w:rPr>
        <w:t>Okieimen</w:t>
      </w:r>
      <w:proofErr w:type="spellEnd"/>
      <w:r>
        <w:rPr>
          <w:rFonts w:ascii="Times New Roman" w:eastAsia="Helvetica" w:hAnsi="Times New Roman" w:cs="Times New Roman"/>
          <w:sz w:val="24"/>
          <w:szCs w:val="24"/>
          <w:lang w:eastAsia="zh-CN" w:bidi="ar"/>
        </w:rPr>
        <w:t xml:space="preserve"> FE. (2011) Heavy metals in Contaminated Soils: A review of sources, chemistry, risks and best available strategies for remediation. </w:t>
      </w:r>
      <w:r>
        <w:rPr>
          <w:rFonts w:ascii="Times New Roman" w:eastAsia="Helvetica" w:hAnsi="Times New Roman" w:cs="Times New Roman"/>
          <w:i/>
          <w:iCs/>
          <w:sz w:val="24"/>
          <w:szCs w:val="24"/>
          <w:lang w:eastAsia="zh-CN" w:bidi="ar"/>
        </w:rPr>
        <w:t>International Scholarly Research Network Ecology</w:t>
      </w:r>
      <w:r>
        <w:rPr>
          <w:rFonts w:ascii="Times New Roman" w:eastAsia="Helvetica" w:hAnsi="Times New Roman" w:cs="Times New Roman"/>
          <w:sz w:val="24"/>
          <w:szCs w:val="24"/>
          <w:lang w:eastAsia="zh-CN" w:bidi="ar"/>
        </w:rPr>
        <w:t xml:space="preserve">. 2011;20. DOI: 10.5402/2011/402647, </w:t>
      </w:r>
    </w:p>
    <w:p w14:paraId="07BBE78D" w14:textId="77777777" w:rsidR="00AB759C" w:rsidRDefault="00AB759C" w:rsidP="00AB759C">
      <w:pPr>
        <w:ind w:left="720" w:hanging="720"/>
        <w:jc w:val="both"/>
        <w:rPr>
          <w:rFonts w:ascii="Times New Roman" w:hAnsi="Times New Roman" w:cs="Times New Roman"/>
          <w:sz w:val="24"/>
          <w:szCs w:val="24"/>
        </w:rPr>
      </w:pPr>
      <w:r>
        <w:rPr>
          <w:rFonts w:ascii="Times New Roman" w:eastAsia="AdvOT1ef757c0" w:hAnsi="Times New Roman" w:cs="Times New Roman"/>
          <w:sz w:val="24"/>
          <w:szCs w:val="24"/>
          <w:lang w:eastAsia="zh-CN" w:bidi="ar"/>
        </w:rPr>
        <w:t xml:space="preserve">Wurst, S. (2010). Effects of earthworms on above-and belowground herbivores. </w:t>
      </w:r>
      <w:r>
        <w:rPr>
          <w:rFonts w:ascii="Times New Roman" w:eastAsia="AdvOT7d6df7ab.I" w:hAnsi="Times New Roman" w:cs="Times New Roman"/>
          <w:sz w:val="24"/>
          <w:szCs w:val="24"/>
          <w:lang w:eastAsia="zh-CN" w:bidi="ar"/>
        </w:rPr>
        <w:t xml:space="preserve">Applied </w:t>
      </w:r>
      <w:proofErr w:type="gramStart"/>
      <w:r>
        <w:rPr>
          <w:rFonts w:ascii="Times New Roman" w:eastAsia="AdvOT7d6df7ab.I" w:hAnsi="Times New Roman" w:cs="Times New Roman"/>
          <w:sz w:val="24"/>
          <w:szCs w:val="24"/>
          <w:lang w:eastAsia="zh-CN" w:bidi="ar"/>
        </w:rPr>
        <w:t>Soil  and</w:t>
      </w:r>
      <w:proofErr w:type="gramEnd"/>
      <w:r>
        <w:rPr>
          <w:rFonts w:ascii="Times New Roman" w:eastAsia="AdvOT7d6df7ab.I" w:hAnsi="Times New Roman" w:cs="Times New Roman"/>
          <w:sz w:val="24"/>
          <w:szCs w:val="24"/>
          <w:lang w:eastAsia="zh-CN" w:bidi="ar"/>
        </w:rPr>
        <w:t xml:space="preserve"> Ecology, </w:t>
      </w:r>
      <w:r>
        <w:rPr>
          <w:rFonts w:ascii="Times New Roman" w:eastAsia="AdvOT1ef757c0" w:hAnsi="Times New Roman" w:cs="Times New Roman"/>
          <w:sz w:val="24"/>
          <w:szCs w:val="24"/>
          <w:lang w:eastAsia="zh-CN" w:bidi="ar"/>
        </w:rPr>
        <w:t>45 (3), 123</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 xml:space="preserve">130. </w:t>
      </w:r>
      <w:proofErr w:type="gramStart"/>
      <w:r>
        <w:rPr>
          <w:rFonts w:ascii="Times New Roman" w:eastAsia="AdvOT1ef757c0" w:hAnsi="Times New Roman" w:cs="Times New Roman"/>
          <w:sz w:val="24"/>
          <w:szCs w:val="24"/>
          <w:lang w:eastAsia="zh-CN" w:bidi="ar"/>
        </w:rPr>
        <w:t>doi:10.1016/j.apsoil</w:t>
      </w:r>
      <w:proofErr w:type="gramEnd"/>
      <w:r>
        <w:rPr>
          <w:rFonts w:ascii="Times New Roman" w:eastAsia="AdvOT1ef757c0" w:hAnsi="Times New Roman" w:cs="Times New Roman"/>
          <w:sz w:val="24"/>
          <w:szCs w:val="24"/>
          <w:lang w:eastAsia="zh-CN" w:bidi="ar"/>
        </w:rPr>
        <w:t>.2010.04.005</w:t>
      </w:r>
    </w:p>
    <w:p w14:paraId="4EAEC8EA" w14:textId="77777777" w:rsidR="00AB759C" w:rsidRDefault="00AB759C" w:rsidP="00AB759C">
      <w:pPr>
        <w:ind w:left="720" w:hanging="720"/>
        <w:jc w:val="both"/>
        <w:rPr>
          <w:rFonts w:ascii="Times New Roman" w:eastAsia="AdvOT1ef757c0" w:hAnsi="Times New Roman" w:cs="Times New Roman"/>
          <w:sz w:val="24"/>
          <w:szCs w:val="24"/>
          <w:lang w:eastAsia="zh-CN" w:bidi="ar"/>
        </w:rPr>
      </w:pPr>
      <w:r>
        <w:rPr>
          <w:rFonts w:ascii="Times New Roman" w:eastAsia="AdvOT1ef757c0" w:hAnsi="Times New Roman" w:cs="Times New Roman"/>
          <w:sz w:val="24"/>
          <w:szCs w:val="24"/>
          <w:lang w:eastAsia="zh-CN" w:bidi="ar"/>
        </w:rPr>
        <w:t xml:space="preserve">Xiao, Z., Wang, X., Koricheva, J., </w:t>
      </w:r>
      <w:proofErr w:type="spellStart"/>
      <w:r>
        <w:rPr>
          <w:rFonts w:ascii="Times New Roman" w:eastAsia="AdvOT1ef757c0" w:hAnsi="Times New Roman" w:cs="Times New Roman"/>
          <w:sz w:val="24"/>
          <w:szCs w:val="24"/>
          <w:lang w:eastAsia="zh-CN" w:bidi="ar"/>
        </w:rPr>
        <w:t>Kergunteuil</w:t>
      </w:r>
      <w:proofErr w:type="spellEnd"/>
      <w:r>
        <w:rPr>
          <w:rFonts w:ascii="Times New Roman" w:eastAsia="AdvOT1ef757c0" w:hAnsi="Times New Roman" w:cs="Times New Roman"/>
          <w:sz w:val="24"/>
          <w:szCs w:val="24"/>
          <w:lang w:eastAsia="zh-CN" w:bidi="ar"/>
        </w:rPr>
        <w:t xml:space="preserve">, A., Le Bayon, R. C., Liu, M. (2018). Earthworms affect plant growth and resistance against herbivores: A </w:t>
      </w:r>
      <w:proofErr w:type="spellStart"/>
      <w:r>
        <w:rPr>
          <w:rFonts w:ascii="Times New Roman" w:eastAsia="AdvOT1ef757c0" w:hAnsi="Times New Roman" w:cs="Times New Roman"/>
          <w:sz w:val="24"/>
          <w:szCs w:val="24"/>
          <w:lang w:eastAsia="zh-CN" w:bidi="ar"/>
        </w:rPr>
        <w:t>meta analysis</w:t>
      </w:r>
      <w:proofErr w:type="spellEnd"/>
      <w:r>
        <w:rPr>
          <w:rFonts w:ascii="Times New Roman" w:eastAsia="AdvOT1ef757c0" w:hAnsi="Times New Roman" w:cs="Times New Roman"/>
          <w:sz w:val="24"/>
          <w:szCs w:val="24"/>
          <w:lang w:eastAsia="zh-CN" w:bidi="ar"/>
        </w:rPr>
        <w:t xml:space="preserve">. </w:t>
      </w:r>
      <w:r>
        <w:rPr>
          <w:rFonts w:ascii="Times New Roman" w:eastAsia="AdvOT7d6df7ab.I" w:hAnsi="Times New Roman" w:cs="Times New Roman"/>
          <w:sz w:val="24"/>
          <w:szCs w:val="24"/>
          <w:lang w:eastAsia="zh-CN" w:bidi="ar"/>
        </w:rPr>
        <w:t xml:space="preserve">Functional Ecology, </w:t>
      </w:r>
      <w:r>
        <w:rPr>
          <w:rFonts w:ascii="Times New Roman" w:eastAsia="AdvOT1ef757c0" w:hAnsi="Times New Roman" w:cs="Times New Roman"/>
          <w:sz w:val="24"/>
          <w:szCs w:val="24"/>
          <w:lang w:eastAsia="zh-CN" w:bidi="ar"/>
        </w:rPr>
        <w:t>32 (1): 150</w:t>
      </w:r>
      <w:r>
        <w:rPr>
          <w:rFonts w:ascii="Times New Roman" w:eastAsia="AdvOT1ef757c0+20" w:hAnsi="Times New Roman" w:cs="Times New Roman"/>
          <w:sz w:val="24"/>
          <w:szCs w:val="24"/>
          <w:lang w:eastAsia="zh-CN" w:bidi="ar"/>
        </w:rPr>
        <w:t>–</w:t>
      </w:r>
      <w:r>
        <w:rPr>
          <w:rFonts w:ascii="Times New Roman" w:eastAsia="AdvOT1ef757c0" w:hAnsi="Times New Roman" w:cs="Times New Roman"/>
          <w:sz w:val="24"/>
          <w:szCs w:val="24"/>
          <w:lang w:eastAsia="zh-CN" w:bidi="ar"/>
        </w:rPr>
        <w:t>160. doi:10.1111/1365-2435.12969</w:t>
      </w:r>
    </w:p>
    <w:p w14:paraId="225E97CB" w14:textId="77777777" w:rsidR="00AB759C" w:rsidRDefault="00AB759C" w:rsidP="00AB759C">
      <w:pPr>
        <w:ind w:left="720" w:hanging="720"/>
        <w:jc w:val="both"/>
        <w:rPr>
          <w:rFonts w:ascii="Times New Roman" w:hAnsi="Times New Roman" w:cs="Times New Roman"/>
          <w:sz w:val="24"/>
          <w:szCs w:val="24"/>
        </w:rPr>
      </w:pPr>
      <w:r>
        <w:rPr>
          <w:rFonts w:ascii="Times New Roman" w:eastAsia="STIX" w:hAnsi="Times New Roman" w:cs="Times New Roman"/>
          <w:sz w:val="24"/>
          <w:szCs w:val="24"/>
          <w:lang w:eastAsia="zh-CN" w:bidi="ar"/>
        </w:rPr>
        <w:t>Yan, X., Wang, J., Zhu, L., Wang, J., Li, S., &amp; Kim, Y. M. (2021). Oxidative stress, growth inhibition, and DNA</w:t>
      </w:r>
    </w:p>
    <w:p w14:paraId="21F217F8" w14:textId="77777777" w:rsidR="00AB759C" w:rsidRDefault="00AB759C" w:rsidP="00AB759C">
      <w:pPr>
        <w:ind w:left="720" w:hanging="720"/>
        <w:jc w:val="both"/>
        <w:rPr>
          <w:rFonts w:ascii="Times New Roman" w:hAnsi="Times New Roman" w:cs="Times New Roman"/>
          <w:sz w:val="24"/>
          <w:szCs w:val="24"/>
        </w:rPr>
      </w:pPr>
      <w:r>
        <w:rPr>
          <w:rFonts w:ascii="Times New Roman" w:eastAsia="Tahoma" w:hAnsi="Times New Roman" w:cs="Times New Roman"/>
          <w:sz w:val="24"/>
          <w:szCs w:val="24"/>
          <w:lang w:eastAsia="zh-CN" w:bidi="ar"/>
        </w:rPr>
        <w:t>Yu Rui-</w:t>
      </w:r>
      <w:proofErr w:type="spellStart"/>
      <w:r>
        <w:rPr>
          <w:rFonts w:ascii="Times New Roman" w:eastAsia="Tahoma" w:hAnsi="Times New Roman" w:cs="Times New Roman"/>
          <w:sz w:val="24"/>
          <w:szCs w:val="24"/>
          <w:lang w:eastAsia="zh-CN" w:bidi="ar"/>
        </w:rPr>
        <w:t>lian</w:t>
      </w:r>
      <w:proofErr w:type="spellEnd"/>
      <w:r>
        <w:rPr>
          <w:rFonts w:ascii="Times New Roman" w:eastAsia="Tahoma" w:hAnsi="Times New Roman" w:cs="Times New Roman"/>
          <w:sz w:val="24"/>
          <w:szCs w:val="24"/>
          <w:lang w:eastAsia="zh-CN" w:bidi="ar"/>
        </w:rPr>
        <w:t xml:space="preserve">, Yuan- </w:t>
      </w:r>
      <w:proofErr w:type="spellStart"/>
      <w:r>
        <w:rPr>
          <w:rFonts w:ascii="Times New Roman" w:eastAsia="Tahoma" w:hAnsi="Times New Roman" w:cs="Times New Roman"/>
          <w:sz w:val="24"/>
          <w:szCs w:val="24"/>
          <w:lang w:eastAsia="zh-CN" w:bidi="ar"/>
        </w:rPr>
        <w:t>xing</w:t>
      </w:r>
      <w:proofErr w:type="spellEnd"/>
      <w:r>
        <w:rPr>
          <w:rFonts w:ascii="Times New Roman" w:eastAsia="Tahoma" w:hAnsi="Times New Roman" w:cs="Times New Roman"/>
          <w:sz w:val="24"/>
          <w:szCs w:val="24"/>
          <w:lang w:eastAsia="zh-CN" w:bidi="ar"/>
        </w:rPr>
        <w:t>, Zhao, Yuan-hui, Hu, Gong-ren, and Tu. Xian-</w:t>
      </w:r>
      <w:proofErr w:type="spellStart"/>
      <w:r>
        <w:rPr>
          <w:rFonts w:ascii="Times New Roman" w:eastAsia="Tahoma" w:hAnsi="Times New Roman" w:cs="Times New Roman"/>
          <w:sz w:val="24"/>
          <w:szCs w:val="24"/>
          <w:lang w:eastAsia="zh-CN" w:bidi="ar"/>
        </w:rPr>
        <w:t>lian</w:t>
      </w:r>
      <w:proofErr w:type="spellEnd"/>
      <w:r>
        <w:rPr>
          <w:rFonts w:ascii="Times New Roman" w:eastAsia="Tahoma" w:hAnsi="Times New Roman" w:cs="Times New Roman"/>
          <w:sz w:val="24"/>
          <w:szCs w:val="24"/>
          <w:lang w:eastAsia="zh-CN" w:bidi="ar"/>
        </w:rPr>
        <w:t xml:space="preserve">. (2008). Heavy metal pollution in intertidal sediments from Quanzhou Bay, China, </w:t>
      </w:r>
      <w:r>
        <w:rPr>
          <w:rFonts w:ascii="Times New Roman" w:eastAsia="Tahoma" w:hAnsi="Times New Roman" w:cs="Times New Roman"/>
          <w:i/>
          <w:iCs/>
          <w:sz w:val="24"/>
          <w:szCs w:val="24"/>
          <w:lang w:eastAsia="zh-CN" w:bidi="ar"/>
        </w:rPr>
        <w:t xml:space="preserve">Journal of environmental Sciences, </w:t>
      </w:r>
      <w:r>
        <w:rPr>
          <w:rFonts w:ascii="Times New Roman" w:eastAsia="Tahoma" w:hAnsi="Times New Roman" w:cs="Times New Roman"/>
          <w:sz w:val="24"/>
          <w:szCs w:val="24"/>
          <w:lang w:eastAsia="zh-CN" w:bidi="ar"/>
        </w:rPr>
        <w:t>20(6): 6664-669</w:t>
      </w:r>
    </w:p>
    <w:p w14:paraId="5F8E5B09" w14:textId="77777777" w:rsidR="00AB759C" w:rsidRDefault="00AB759C" w:rsidP="00AB759C">
      <w:pPr>
        <w:ind w:left="720" w:hanging="720"/>
        <w:jc w:val="both"/>
        <w:rPr>
          <w:rFonts w:ascii="Times New Roman" w:hAnsi="Times New Roman" w:cs="Times New Roman"/>
          <w:sz w:val="24"/>
          <w:szCs w:val="24"/>
        </w:rPr>
      </w:pPr>
      <w:r>
        <w:rPr>
          <w:rFonts w:ascii="Times New Roman" w:eastAsia="STIX" w:hAnsi="Times New Roman" w:cs="Times New Roman"/>
          <w:sz w:val="24"/>
          <w:szCs w:val="24"/>
          <w:lang w:eastAsia="zh-CN" w:bidi="ar"/>
        </w:rPr>
        <w:t xml:space="preserve">Wang, Z., and Cui, Z. (2016). Accumulation, biotransformation, and multi-biomarker responses after exposure to arsenic species in the earthworm </w:t>
      </w:r>
      <w:r>
        <w:rPr>
          <w:rFonts w:ascii="Times New Roman" w:eastAsia="STIX-Italic" w:hAnsi="Times New Roman" w:cs="Times New Roman"/>
          <w:i/>
          <w:iCs/>
          <w:sz w:val="24"/>
          <w:szCs w:val="24"/>
          <w:lang w:eastAsia="zh-CN" w:bidi="ar"/>
        </w:rPr>
        <w:t xml:space="preserve">Eisenia </w:t>
      </w:r>
      <w:proofErr w:type="spellStart"/>
      <w:r>
        <w:rPr>
          <w:rFonts w:ascii="Times New Roman" w:eastAsia="STIX-Italic" w:hAnsi="Times New Roman" w:cs="Times New Roman"/>
          <w:i/>
          <w:iCs/>
          <w:sz w:val="24"/>
          <w:szCs w:val="24"/>
          <w:lang w:eastAsia="zh-CN" w:bidi="ar"/>
        </w:rPr>
        <w:t>fetida</w:t>
      </w:r>
      <w:proofErr w:type="spellEnd"/>
      <w:r>
        <w:rPr>
          <w:rFonts w:ascii="Times New Roman" w:eastAsia="STIX" w:hAnsi="Times New Roman" w:cs="Times New Roman"/>
          <w:sz w:val="24"/>
          <w:szCs w:val="24"/>
          <w:lang w:eastAsia="zh-CN" w:bidi="ar"/>
        </w:rPr>
        <w:t xml:space="preserve">. </w:t>
      </w:r>
      <w:r>
        <w:rPr>
          <w:rFonts w:ascii="Times New Roman" w:eastAsia="STIX-Italic" w:hAnsi="Times New Roman" w:cs="Times New Roman"/>
          <w:i/>
          <w:iCs/>
          <w:sz w:val="24"/>
          <w:szCs w:val="24"/>
          <w:lang w:eastAsia="zh-CN" w:bidi="ar"/>
        </w:rPr>
        <w:t>Toxicology Research, 5</w:t>
      </w:r>
      <w:r>
        <w:rPr>
          <w:rFonts w:ascii="Times New Roman" w:eastAsia="STIX" w:hAnsi="Times New Roman" w:cs="Times New Roman"/>
          <w:sz w:val="24"/>
          <w:szCs w:val="24"/>
          <w:lang w:eastAsia="zh-CN" w:bidi="ar"/>
        </w:rPr>
        <w:t xml:space="preserve">(2), 500–510. </w:t>
      </w:r>
    </w:p>
    <w:p w14:paraId="7D481276" w14:textId="77777777" w:rsidR="00AB759C" w:rsidRPr="006A4BFC" w:rsidRDefault="00AB759C" w:rsidP="006A4BFC">
      <w:pPr>
        <w:jc w:val="both"/>
        <w:rPr>
          <w:rFonts w:ascii="Times New Roman" w:hAnsi="Times New Roman" w:cs="Times New Roman"/>
          <w:sz w:val="24"/>
          <w:szCs w:val="24"/>
        </w:rPr>
      </w:pPr>
    </w:p>
    <w:sectPr w:rsidR="00AB759C" w:rsidRPr="006A4B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728CC" w14:textId="77777777" w:rsidR="00F050EF" w:rsidRDefault="00F050EF" w:rsidP="00FF2074">
      <w:pPr>
        <w:spacing w:after="0" w:line="240" w:lineRule="auto"/>
      </w:pPr>
      <w:r>
        <w:separator/>
      </w:r>
    </w:p>
  </w:endnote>
  <w:endnote w:type="continuationSeparator" w:id="0">
    <w:p w14:paraId="27061431" w14:textId="77777777" w:rsidR="00F050EF" w:rsidRDefault="00F050EF" w:rsidP="00FF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umanist777BT-RomanB">
    <w:altName w:val="Segoe Print"/>
    <w:charset w:val="00"/>
    <w:family w:val="auto"/>
    <w:pitch w:val="default"/>
  </w:font>
  <w:font w:name="Humanist521BT-Bold">
    <w:altName w:val="Segoe Print"/>
    <w:charset w:val="00"/>
    <w:family w:val="auto"/>
    <w:pitch w:val="default"/>
  </w:font>
  <w:font w:name="Humanist521BT-BoldItalic">
    <w:altName w:val="Segoe Print"/>
    <w:charset w:val="00"/>
    <w:family w:val="auto"/>
    <w:pitch w:val="default"/>
  </w:font>
  <w:font w:name="Humanist521BT-Italic">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AdvOT1ef757c0">
    <w:altName w:val="Segoe Print"/>
    <w:charset w:val="00"/>
    <w:family w:val="auto"/>
    <w:pitch w:val="default"/>
  </w:font>
  <w:font w:name="AdvOT7d6df7ab.I">
    <w:altName w:val="Segoe Print"/>
    <w:charset w:val="00"/>
    <w:family w:val="auto"/>
    <w:pitch w:val="default"/>
  </w:font>
  <w:font w:name="AdvOT1ef757c0+20">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BookAntiqua-Italic">
    <w:altName w:val="Segoe Print"/>
    <w:charset w:val="00"/>
    <w:family w:val="auto"/>
    <w:pitch w:val="default"/>
  </w:font>
  <w:font w:name="Times-Bold">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Bold">
    <w:altName w:val="Segoe Print"/>
    <w:charset w:val="00"/>
    <w:family w:val="auto"/>
    <w:pitch w:val="default"/>
  </w:font>
  <w:font w:name="Calibri-Bold">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vOT1ef757c0+fb">
    <w:altName w:val="Segoe Print"/>
    <w:charset w:val="00"/>
    <w:family w:val="auto"/>
    <w:pitch w:val="default"/>
  </w:font>
  <w:font w:name="Roboto-Light">
    <w:altName w:val="Yu Gothic"/>
    <w:charset w:val="80"/>
    <w:family w:val="auto"/>
    <w:pitch w:val="default"/>
    <w:sig w:usb0="00000000" w:usb1="00000000" w:usb2="00000010" w:usb3="00000000" w:csb0="00020000" w:csb1="00000000"/>
  </w:font>
  <w:font w:name="MinionPro-Bold">
    <w:altName w:val="Segoe Print"/>
    <w:charset w:val="00"/>
    <w:family w:val="auto"/>
    <w:pitch w:val="default"/>
  </w:font>
  <w:font w:name="MinionPro-Semibold">
    <w:altName w:val="Segoe Print"/>
    <w:charset w:val="00"/>
    <w:family w:val="auto"/>
    <w:pitch w:val="default"/>
  </w:font>
  <w:font w:name="MinionPro-Capt">
    <w:altName w:val="Segoe Print"/>
    <w:charset w:val="00"/>
    <w:family w:val="auto"/>
    <w:pitch w:val="default"/>
  </w:font>
  <w:font w:name="STIX">
    <w:altName w:val="Segoe Print"/>
    <w:charset w:val="00"/>
    <w:family w:val="auto"/>
    <w:pitch w:val="default"/>
  </w:font>
  <w:font w:name="STIX-Italic">
    <w:altName w:val="Segoe Print"/>
    <w:charset w:val="00"/>
    <w:family w:val="auto"/>
    <w:pitch w:val="default"/>
  </w:font>
  <w:font w:name="STIX-Bold">
    <w:altName w:val="Segoe Print"/>
    <w:charset w:val="00"/>
    <w:family w:val="auto"/>
    <w:pitch w:val="default"/>
  </w:font>
  <w:font w:name="Helvetica-Oblique">
    <w:altName w:val="Segoe Print"/>
    <w:charset w:val="00"/>
    <w:family w:val="auto"/>
    <w:pitch w:val="default"/>
  </w:font>
  <w:font w:name="URWPalladioL-Roma">
    <w:altName w:val="Segoe Print"/>
    <w:charset w:val="00"/>
    <w:family w:val="auto"/>
    <w:pitch w:val="default"/>
  </w:font>
  <w:font w:name="URWPalladioL-Ital">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Bold">
    <w:altName w:val="Segoe Print"/>
    <w:charset w:val="00"/>
    <w:family w:val="auto"/>
    <w:pitch w:val="default"/>
  </w:font>
  <w:font w:name="AdvEPSTIM">
    <w:altName w:val="Yu Gothic"/>
    <w:charset w:val="80"/>
    <w:family w:val="auto"/>
    <w:pitch w:val="default"/>
    <w:sig w:usb0="00000000" w:usb1="0000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3065" w14:textId="77777777" w:rsidR="00FF2074" w:rsidRDefault="00FF2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CD57" w14:textId="77777777" w:rsidR="00FF2074" w:rsidRDefault="00FF2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26CE" w14:textId="77777777" w:rsidR="00FF2074" w:rsidRDefault="00FF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ACCB2" w14:textId="77777777" w:rsidR="00F050EF" w:rsidRDefault="00F050EF" w:rsidP="00FF2074">
      <w:pPr>
        <w:spacing w:after="0" w:line="240" w:lineRule="auto"/>
      </w:pPr>
      <w:r>
        <w:separator/>
      </w:r>
    </w:p>
  </w:footnote>
  <w:footnote w:type="continuationSeparator" w:id="0">
    <w:p w14:paraId="13EB6F69" w14:textId="77777777" w:rsidR="00F050EF" w:rsidRDefault="00F050EF" w:rsidP="00FF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B3CD" w14:textId="0059AA3E" w:rsidR="00FF2074" w:rsidRDefault="00FF2074">
    <w:pPr>
      <w:pStyle w:val="Header"/>
    </w:pPr>
    <w:r>
      <w:rPr>
        <w:noProof/>
      </w:rPr>
      <w:pict w14:anchorId="6A740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46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3E60" w14:textId="352367A9" w:rsidR="00FF2074" w:rsidRDefault="00FF2074">
    <w:pPr>
      <w:pStyle w:val="Header"/>
    </w:pPr>
    <w:r>
      <w:rPr>
        <w:noProof/>
      </w:rPr>
      <w:pict w14:anchorId="4F1D6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46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4ACF" w14:textId="587DDA22" w:rsidR="00FF2074" w:rsidRDefault="00FF2074">
    <w:pPr>
      <w:pStyle w:val="Header"/>
    </w:pPr>
    <w:r>
      <w:rPr>
        <w:noProof/>
      </w:rPr>
      <w:pict w14:anchorId="41A7A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46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FC"/>
    <w:rsid w:val="000C5120"/>
    <w:rsid w:val="00113A7B"/>
    <w:rsid w:val="00236828"/>
    <w:rsid w:val="00384746"/>
    <w:rsid w:val="003E2CF9"/>
    <w:rsid w:val="00435627"/>
    <w:rsid w:val="00465D85"/>
    <w:rsid w:val="00551400"/>
    <w:rsid w:val="005D7025"/>
    <w:rsid w:val="005E1635"/>
    <w:rsid w:val="00641D3A"/>
    <w:rsid w:val="006A4BFC"/>
    <w:rsid w:val="006F1C38"/>
    <w:rsid w:val="008A69C2"/>
    <w:rsid w:val="009659C7"/>
    <w:rsid w:val="009A5F8B"/>
    <w:rsid w:val="00AB759C"/>
    <w:rsid w:val="00B518D0"/>
    <w:rsid w:val="00B70CB5"/>
    <w:rsid w:val="00B8669C"/>
    <w:rsid w:val="00C159DF"/>
    <w:rsid w:val="00D507B8"/>
    <w:rsid w:val="00DE2C00"/>
    <w:rsid w:val="00F050EF"/>
    <w:rsid w:val="00FD1E3F"/>
    <w:rsid w:val="00FF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B27E7"/>
  <w15:chartTrackingRefBased/>
  <w15:docId w15:val="{C8B9EECA-0915-447D-8273-F98FBC76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A4B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6A4BF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4BFC"/>
    <w:pPr>
      <w:spacing w:after="0" w:line="240" w:lineRule="auto"/>
    </w:pPr>
  </w:style>
  <w:style w:type="character" w:customStyle="1" w:styleId="NoSpacingChar">
    <w:name w:val="No Spacing Char"/>
    <w:link w:val="NoSpacing"/>
    <w:uiPriority w:val="1"/>
    <w:qFormat/>
    <w:locked/>
    <w:rsid w:val="006A4BFC"/>
  </w:style>
  <w:style w:type="table" w:customStyle="1" w:styleId="LightShading1">
    <w:name w:val="Light Shading1"/>
    <w:basedOn w:val="TableNormal"/>
    <w:uiPriority w:val="60"/>
    <w:qFormat/>
    <w:rsid w:val="006A4BFC"/>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rsid w:val="00AB759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1C38"/>
    <w:rPr>
      <w:color w:val="0563C1" w:themeColor="hyperlink"/>
      <w:u w:val="single"/>
    </w:rPr>
  </w:style>
  <w:style w:type="character" w:styleId="UnresolvedMention">
    <w:name w:val="Unresolved Mention"/>
    <w:basedOn w:val="DefaultParagraphFont"/>
    <w:uiPriority w:val="99"/>
    <w:semiHidden/>
    <w:unhideWhenUsed/>
    <w:rsid w:val="006F1C38"/>
    <w:rPr>
      <w:color w:val="605E5C"/>
      <w:shd w:val="clear" w:color="auto" w:fill="E1DFDD"/>
    </w:rPr>
  </w:style>
  <w:style w:type="paragraph" w:styleId="Header">
    <w:name w:val="header"/>
    <w:basedOn w:val="Normal"/>
    <w:link w:val="HeaderChar"/>
    <w:uiPriority w:val="99"/>
    <w:unhideWhenUsed/>
    <w:rsid w:val="00FF2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74"/>
  </w:style>
  <w:style w:type="paragraph" w:styleId="Footer">
    <w:name w:val="footer"/>
    <w:basedOn w:val="Normal"/>
    <w:link w:val="FooterChar"/>
    <w:uiPriority w:val="99"/>
    <w:unhideWhenUsed/>
    <w:rsid w:val="00FF2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16</Pages>
  <Words>6154</Words>
  <Characters>35083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Ejike Orji</dc:creator>
  <cp:keywords/>
  <dc:description/>
  <cp:lastModifiedBy>SDI 1084</cp:lastModifiedBy>
  <cp:revision>5</cp:revision>
  <dcterms:created xsi:type="dcterms:W3CDTF">2026-04-27T09:55:00Z</dcterms:created>
  <dcterms:modified xsi:type="dcterms:W3CDTF">2026-05-12T11:51:00Z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cd0e594e-c808-44f5-b697-c3d9b7706097</vt:lpwstr>
  </property>
</Properties>
</file>