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9CE8A" w14:textId="77777777" w:rsidR="004E2F7B" w:rsidRDefault="004E2F7B" w:rsidP="004828E6">
      <w:pPr>
        <w:jc w:val="both"/>
        <w:rPr>
          <w:rFonts w:ascii="Times New Roman" w:hAnsi="Times New Roman" w:cs="Times New Roman"/>
          <w:b/>
          <w:bCs/>
          <w:sz w:val="28"/>
          <w:szCs w:val="28"/>
        </w:rPr>
      </w:pPr>
      <w:r w:rsidRPr="004E2F7B">
        <w:rPr>
          <w:rFonts w:ascii="Times New Roman" w:hAnsi="Times New Roman" w:cs="Times New Roman"/>
          <w:b/>
          <w:bCs/>
          <w:sz w:val="28"/>
          <w:szCs w:val="28"/>
        </w:rPr>
        <w:t>Review Article</w:t>
      </w:r>
    </w:p>
    <w:p w14:paraId="607E2A4B" w14:textId="77777777" w:rsidR="004E2F7B" w:rsidRDefault="004E2F7B" w:rsidP="004828E6">
      <w:pPr>
        <w:jc w:val="both"/>
        <w:rPr>
          <w:rFonts w:ascii="Times New Roman" w:hAnsi="Times New Roman" w:cs="Times New Roman"/>
          <w:b/>
          <w:bCs/>
          <w:sz w:val="28"/>
          <w:szCs w:val="28"/>
        </w:rPr>
      </w:pPr>
    </w:p>
    <w:p w14:paraId="0080675F" w14:textId="3F454BEA" w:rsidR="007F6049" w:rsidRDefault="001C255B" w:rsidP="004828E6">
      <w:pPr>
        <w:jc w:val="both"/>
        <w:rPr>
          <w:rFonts w:ascii="Times New Roman" w:hAnsi="Times New Roman" w:cs="Times New Roman"/>
          <w:b/>
          <w:bCs/>
          <w:sz w:val="28"/>
          <w:szCs w:val="28"/>
        </w:rPr>
      </w:pPr>
      <w:r>
        <w:rPr>
          <w:rFonts w:ascii="Times New Roman" w:hAnsi="Times New Roman" w:cs="Times New Roman"/>
          <w:b/>
          <w:bCs/>
          <w:sz w:val="28"/>
          <w:szCs w:val="28"/>
        </w:rPr>
        <w:t>Precision-Enhanced Biological Nitrogen Fixation: Transitioning from Natural Symbiosis to High Nitrogen-Fixing Legume Varieties- A Review</w:t>
      </w:r>
    </w:p>
    <w:p w14:paraId="5C098A47" w14:textId="77777777" w:rsidR="004E2F7B" w:rsidRDefault="004E2F7B" w:rsidP="004828E6">
      <w:pPr>
        <w:jc w:val="both"/>
        <w:rPr>
          <w:rFonts w:ascii="Times New Roman" w:hAnsi="Times New Roman" w:cs="Times New Roman"/>
          <w:b/>
          <w:bCs/>
          <w:sz w:val="28"/>
          <w:szCs w:val="28"/>
        </w:rPr>
      </w:pPr>
    </w:p>
    <w:p w14:paraId="5CE698E2" w14:textId="77777777" w:rsidR="004E2F7B" w:rsidRDefault="004E2F7B" w:rsidP="004E2F7B">
      <w:pPr>
        <w:jc w:val="both"/>
        <w:rPr>
          <w:rFonts w:ascii="Times New Roman" w:hAnsi="Times New Roman" w:cs="Times New Roman"/>
          <w:sz w:val="24"/>
          <w:szCs w:val="24"/>
        </w:rPr>
      </w:pPr>
    </w:p>
    <w:p w14:paraId="5C0E997A" w14:textId="77777777" w:rsidR="009B451D" w:rsidRDefault="00654A0D" w:rsidP="009B451D">
      <w:pPr>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7194F532" w14:textId="4EBDA277" w:rsidR="00654A0D" w:rsidRPr="009B451D" w:rsidRDefault="00654A0D" w:rsidP="009B451D">
      <w:pPr>
        <w:jc w:val="both"/>
        <w:rPr>
          <w:rFonts w:ascii="Times New Roman" w:hAnsi="Times New Roman" w:cs="Times New Roman"/>
          <w:b/>
          <w:bCs/>
          <w:sz w:val="24"/>
          <w:szCs w:val="24"/>
        </w:rPr>
      </w:pPr>
      <w:r w:rsidRPr="00654A0D">
        <w:rPr>
          <w:rFonts w:ascii="Times New Roman" w:hAnsi="Times New Roman" w:cs="Times New Roman"/>
          <w:sz w:val="24"/>
          <w:szCs w:val="24"/>
        </w:rPr>
        <w:br/>
        <w:t>Biological nitrogen fixation (BNF) is a key ecological process that converts atmospheric nitrogen into plant-available forms through symbiosis between legumes and nitrogen-fixing microorganisms. Although essential for sustainable agriculture, its natural efficiency is often constrained by environmental variability, soil nutrient imbalances, and genetic limitations of host plants. Recent technological advancements have led to the development of precision-enhanced BNF systems to overcome these limitations and improve crop productivity.</w:t>
      </w:r>
      <w:r w:rsidRPr="00654A0D">
        <w:rPr>
          <w:rFonts w:ascii="Times New Roman" w:hAnsi="Times New Roman" w:cs="Times New Roman"/>
          <w:sz w:val="24"/>
          <w:szCs w:val="24"/>
        </w:rPr>
        <w:br/>
        <w:t>This review synthesizes findings from multiple recent studies focusing on natural BNF mechanisms, limitations of conventional systems, genetic and microbial innovations, and the integration of precision agriculture tools. The studies employed approaches such as molecular and genomic analyses, evaluation of advanced microbial inoculants, and field-based assessments of site-specific nutrient management to examine their effects on nitrogen fixation and</w:t>
      </w:r>
      <w:r w:rsidR="009B451D">
        <w:rPr>
          <w:rFonts w:ascii="Times New Roman" w:hAnsi="Times New Roman" w:cs="Times New Roman"/>
          <w:sz w:val="24"/>
          <w:szCs w:val="24"/>
        </w:rPr>
        <w:t xml:space="preserve"> </w:t>
      </w:r>
      <w:r w:rsidRPr="00654A0D">
        <w:rPr>
          <w:rFonts w:ascii="Times New Roman" w:hAnsi="Times New Roman" w:cs="Times New Roman"/>
          <w:sz w:val="24"/>
          <w:szCs w:val="24"/>
        </w:rPr>
        <w:t>plant</w:t>
      </w:r>
      <w:r w:rsidR="009B451D">
        <w:rPr>
          <w:rFonts w:ascii="Times New Roman" w:hAnsi="Times New Roman" w:cs="Times New Roman"/>
          <w:sz w:val="24"/>
          <w:szCs w:val="24"/>
        </w:rPr>
        <w:t xml:space="preserve"> </w:t>
      </w:r>
      <w:r w:rsidRPr="00654A0D">
        <w:rPr>
          <w:rFonts w:ascii="Times New Roman" w:hAnsi="Times New Roman" w:cs="Times New Roman"/>
          <w:sz w:val="24"/>
          <w:szCs w:val="24"/>
        </w:rPr>
        <w:t>performance</w:t>
      </w:r>
      <w:r w:rsidR="009B451D">
        <w:rPr>
          <w:rFonts w:ascii="Times New Roman" w:hAnsi="Times New Roman" w:cs="Times New Roman"/>
          <w:sz w:val="24"/>
          <w:szCs w:val="24"/>
        </w:rPr>
        <w:t xml:space="preserve">. </w:t>
      </w:r>
      <w:r w:rsidRPr="00654A0D">
        <w:rPr>
          <w:rFonts w:ascii="Times New Roman" w:hAnsi="Times New Roman" w:cs="Times New Roman"/>
          <w:sz w:val="24"/>
          <w:szCs w:val="24"/>
        </w:rPr>
        <w:t>The reviewed studies consistently show that integrating genomic-assisted breeding, efficient microbial inoculants, and precision nutrient management significantly enhances nitrogen fixation efficiency, nodulation, and overall legume productivity. However, variability in environmental conditions, challenges in large-scale implementation, and adoption barriers among farmers remain important constraints.</w:t>
      </w:r>
    </w:p>
    <w:p w14:paraId="75CA69F3" w14:textId="77777777" w:rsidR="007F6049" w:rsidRDefault="001C255B">
      <w:pPr>
        <w:jc w:val="both"/>
        <w:rPr>
          <w:rFonts w:ascii="Times New Roman" w:hAnsi="Times New Roman" w:cs="Times New Roman"/>
          <w:b/>
          <w:bCs/>
          <w:sz w:val="24"/>
          <w:szCs w:val="24"/>
        </w:rPr>
      </w:pPr>
      <w:r>
        <w:rPr>
          <w:rFonts w:ascii="Times New Roman" w:hAnsi="Times New Roman" w:cs="Times New Roman"/>
          <w:b/>
          <w:bCs/>
          <w:sz w:val="24"/>
          <w:szCs w:val="24"/>
        </w:rPr>
        <w:t>Keywords</w:t>
      </w:r>
    </w:p>
    <w:p w14:paraId="714F7806" w14:textId="77777777" w:rsidR="007F6049" w:rsidRPr="009B451D" w:rsidRDefault="001C255B">
      <w:pPr>
        <w:jc w:val="both"/>
        <w:rPr>
          <w:rFonts w:ascii="Times New Roman" w:hAnsi="Times New Roman" w:cs="Times New Roman"/>
          <w:b/>
          <w:bCs/>
          <w:sz w:val="24"/>
          <w:szCs w:val="24"/>
        </w:rPr>
      </w:pPr>
      <w:r w:rsidRPr="009B451D">
        <w:rPr>
          <w:rFonts w:ascii="Times New Roman" w:hAnsi="Times New Roman" w:cs="Times New Roman"/>
          <w:b/>
          <w:bCs/>
          <w:sz w:val="24"/>
          <w:szCs w:val="24"/>
        </w:rPr>
        <w:t>Biological nitrogen fixation; Genomics; Legumes; Precision agriculture; Rhizobium; Sustainable intensification</w:t>
      </w:r>
    </w:p>
    <w:p w14:paraId="10BC7BFD" w14:textId="741DBD55" w:rsidR="007F6049" w:rsidRDefault="00654A0D" w:rsidP="004E4583">
      <w:pPr>
        <w:jc w:val="center"/>
        <w:rPr>
          <w:rFonts w:ascii="Times New Roman" w:hAnsi="Times New Roman" w:cs="Times New Roman"/>
          <w:b/>
          <w:bCs/>
          <w:sz w:val="24"/>
          <w:szCs w:val="24"/>
        </w:rPr>
      </w:pPr>
      <w:r>
        <w:rPr>
          <w:rFonts w:ascii="Times New Roman" w:hAnsi="Times New Roman" w:cs="Times New Roman"/>
          <w:b/>
          <w:bCs/>
          <w:sz w:val="24"/>
          <w:szCs w:val="24"/>
        </w:rPr>
        <w:t>INTRODUCTION</w:t>
      </w:r>
    </w:p>
    <w:p w14:paraId="29ED4B7D"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Biological nitrogen fixation is a fundamental biological process that sustains terrestrial ecosystems by converting atmospheric nitrogen into ammonia through enzymatic activity mediated by nitrogenase complexes (Ladha et al., 2022). Leguminous crops such as soybean, chickpea, and lentil are uniquely adapted to form symbiotic associations with rhizobia, enabling them to meet a significant portion of their nitrogen requirements independently (Peoples et al., 2022). This symbiotic interaction contributes to soil fertility enhancement and reduces the reliance on synthetic nitrogen fertilizers in cropping systems (Mukherjee and Sen, 2021). Globally, BNF is estimated to contribute millions of tonnes of nitrogen annually, making it a critical component of nutrient cycling in agricultural ecosystems (Herridge et al., 2021). Despite its ecological importance, the efficiency of natural BNF varies widely across environments and crop species (Bantilan and Johansen, 1995). Environmental factors such as soil pH, temperature fluctuations, and moisture stress can significantly influence nodulation </w:t>
      </w:r>
      <w:r>
        <w:rPr>
          <w:rFonts w:ascii="Times New Roman" w:hAnsi="Times New Roman" w:cs="Times New Roman"/>
          <w:sz w:val="24"/>
          <w:szCs w:val="24"/>
        </w:rPr>
        <w:lastRenderedPageBreak/>
        <w:t>and nitrogenase activity (Hungria et al., 2020). High levels of available mineral nitrogen in soils often suppress biological fixation through feedback inhibition mechanisms (Guo et al., 2025). Furthermore, modern breeding practices have frequently prioritized yield traits over symbiotic efficiency, leading to reduced BNF capacity in improved cultivars (</w:t>
      </w:r>
      <w:proofErr w:type="spellStart"/>
      <w:r>
        <w:rPr>
          <w:rFonts w:ascii="Times New Roman" w:hAnsi="Times New Roman" w:cs="Times New Roman"/>
          <w:sz w:val="24"/>
          <w:szCs w:val="24"/>
        </w:rPr>
        <w:t>Lépiz</w:t>
      </w:r>
      <w:proofErr w:type="spellEnd"/>
      <w:r>
        <w:rPr>
          <w:rFonts w:ascii="Times New Roman" w:hAnsi="Times New Roman" w:cs="Times New Roman"/>
          <w:sz w:val="24"/>
          <w:szCs w:val="24"/>
        </w:rPr>
        <w:t>-Ildefonso et al., 2024). The increasing demand for food production in the face of population growth has intensified the need for sustainable nitrogen management strategies (Tilman et al., 2021). Excessive application of synthetic fertilizers has resulted in environmental degradation, including greenhouse gas emissions, eutrophication, and soil health deterioration (Ladha et al., 2022). Therefore, enhancing the efficiency of BNF represents a viable strategy for achieving sustainable intensification of agriculture (Zhang et al., 2021). Recent advancements in genomics, phenotyping technologies, and digital agriculture have opened new avenues for improving BNF efficiency (Nkurunziza et al., 2025). The concept of precision-enhanced BNF involves integrating genetic, microbial, and agronomic approaches to optimize nitrogen fixation under specific environmental conditions (Guo et al., 2025). Technologies such as remote sensing, machine learning, and sensor-based nutrient monitoring enable real-time assessment of crop nitrogen status (Jafari et al., 2024). The objective of this review is to critically examine the evolution of BNF from natural symbiotic processes to precision-enhanced systems. Additionally, the review aims to identify key research gaps and future directions for developing high nitrogen-fixing legume varieties.</w:t>
      </w:r>
    </w:p>
    <w:p w14:paraId="0F75C531" w14:textId="5B47C0DF" w:rsidR="007F6049" w:rsidRDefault="004E4583" w:rsidP="004E4583">
      <w:pPr>
        <w:jc w:val="center"/>
        <w:rPr>
          <w:rFonts w:ascii="Times New Roman" w:hAnsi="Times New Roman" w:cs="Times New Roman"/>
          <w:b/>
          <w:bCs/>
          <w:sz w:val="24"/>
          <w:szCs w:val="24"/>
        </w:rPr>
      </w:pPr>
      <w:r>
        <w:rPr>
          <w:rFonts w:ascii="Times New Roman" w:hAnsi="Times New Roman" w:cs="Times New Roman"/>
          <w:b/>
          <w:bCs/>
          <w:sz w:val="24"/>
          <w:szCs w:val="24"/>
        </w:rPr>
        <w:t>MATERIAL AND METHODOLOGY</w:t>
      </w:r>
    </w:p>
    <w:p w14:paraId="341AA6EB"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This review adopts a systematic approach to synthesize existing knowledge on biological nitrogen fixation in legumes (Ladha et al., 2022). Relevant literature was retrieved from major scientific databases including Web of Science, Scopus, PubMed, and Google Scholar (Peoples et al., 2022). Search terms such as “biological nitrogen fixation,” “legume symbiosis,” “rhizobium inoculation,” and “precision agriculture” were used to identify pertinent studies (Mukherjee and Sen, 2021). The time frame for literature selection ranged from 1995 to 2025 to capture both foundational and recent developments (Bantilan and Johansen, 1995). A total of 20 original research articles were selected based on relevance, methodological rigor, and contribution to BNF enhancement strategies (Nkurunziza et al., 2025). Studies lacking experimental validation or focusing on non-legume systems were excluded from the analysis (Guo et al., 2025). Data were categorized into thematic sections to facilitate structured analysis and synthesis of findings (Jafari et al., 2024). The review emphasizes comparative evaluation of different approaches to improving BNF efficiency in legumes.</w:t>
      </w:r>
    </w:p>
    <w:p w14:paraId="7D824F19" w14:textId="77777777" w:rsidR="007F6049" w:rsidRDefault="001C255B">
      <w:pPr>
        <w:jc w:val="both"/>
        <w:rPr>
          <w:rFonts w:ascii="Times New Roman" w:hAnsi="Times New Roman" w:cs="Times New Roman"/>
          <w:b/>
          <w:bCs/>
          <w:sz w:val="24"/>
          <w:szCs w:val="24"/>
        </w:rPr>
      </w:pPr>
      <w:r>
        <w:rPr>
          <w:rFonts w:ascii="Times New Roman" w:hAnsi="Times New Roman" w:cs="Times New Roman"/>
          <w:b/>
          <w:bCs/>
          <w:sz w:val="24"/>
          <w:szCs w:val="24"/>
        </w:rPr>
        <w:t xml:space="preserve">1. Natural BNF Mechanisms and Ecophysiology </w:t>
      </w:r>
    </w:p>
    <w:p w14:paraId="0B216819"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Biological nitrogen fixation in legumes is mediated through a highly specialized symbiotic interaction between plant roots and rhizobia (Peoples et al., 2022). The process begins with molecular </w:t>
      </w:r>
      <w:proofErr w:type="spellStart"/>
      <w:r>
        <w:rPr>
          <w:rFonts w:ascii="Times New Roman" w:hAnsi="Times New Roman" w:cs="Times New Roman"/>
          <w:sz w:val="24"/>
          <w:szCs w:val="24"/>
        </w:rPr>
        <w:t>signaling</w:t>
      </w:r>
      <w:proofErr w:type="spellEnd"/>
      <w:r>
        <w:rPr>
          <w:rFonts w:ascii="Times New Roman" w:hAnsi="Times New Roman" w:cs="Times New Roman"/>
          <w:sz w:val="24"/>
          <w:szCs w:val="24"/>
        </w:rPr>
        <w:t xml:space="preserve"> between host plants and bacteria, leading to the formation of root nodules (Oldroyd et al., 2019). Within these nodules, rhizobia differentiate into </w:t>
      </w:r>
      <w:proofErr w:type="spellStart"/>
      <w:r>
        <w:rPr>
          <w:rFonts w:ascii="Times New Roman" w:hAnsi="Times New Roman" w:cs="Times New Roman"/>
          <w:sz w:val="24"/>
          <w:szCs w:val="24"/>
        </w:rPr>
        <w:t>bacteroids</w:t>
      </w:r>
      <w:proofErr w:type="spellEnd"/>
      <w:r>
        <w:rPr>
          <w:rFonts w:ascii="Times New Roman" w:hAnsi="Times New Roman" w:cs="Times New Roman"/>
          <w:sz w:val="24"/>
          <w:szCs w:val="24"/>
        </w:rPr>
        <w:t xml:space="preserve"> that actively fix atmospheric nitrogen using nitrogenase enzymes (Udvardi and Poole, 2013). The fixed nitrogen is then assimilated into amino acids and transported to the plant for growth and development (White et al., 2019). The efficiency of this process is influenced by multiple environmental factors including soil temperature, moisture availability, and nutrient status (Hungria et al., 2020). Soil pH plays a crucial role in determining </w:t>
      </w:r>
      <w:proofErr w:type="spellStart"/>
      <w:r>
        <w:rPr>
          <w:rFonts w:ascii="Times New Roman" w:hAnsi="Times New Roman" w:cs="Times New Roman"/>
          <w:sz w:val="24"/>
          <w:szCs w:val="24"/>
        </w:rPr>
        <w:t>rhizobial</w:t>
      </w:r>
      <w:proofErr w:type="spellEnd"/>
      <w:r>
        <w:rPr>
          <w:rFonts w:ascii="Times New Roman" w:hAnsi="Times New Roman" w:cs="Times New Roman"/>
          <w:sz w:val="24"/>
          <w:szCs w:val="24"/>
        </w:rPr>
        <w:t xml:space="preserve"> survival and nodulation efficiency (Bantilan and Johansen, 1995). Water stress can reduce nodule formation </w:t>
      </w:r>
      <w:r>
        <w:rPr>
          <w:rFonts w:ascii="Times New Roman" w:hAnsi="Times New Roman" w:cs="Times New Roman"/>
          <w:sz w:val="24"/>
          <w:szCs w:val="24"/>
        </w:rPr>
        <w:lastRenderedPageBreak/>
        <w:t>and impair nitrogenase activity, thereby limiting BNF efficiency (</w:t>
      </w:r>
      <w:proofErr w:type="spellStart"/>
      <w:r>
        <w:rPr>
          <w:rFonts w:ascii="Times New Roman" w:hAnsi="Times New Roman" w:cs="Times New Roman"/>
          <w:sz w:val="24"/>
          <w:szCs w:val="24"/>
        </w:rPr>
        <w:t>Serraj</w:t>
      </w:r>
      <w:proofErr w:type="spellEnd"/>
      <w:r>
        <w:rPr>
          <w:rFonts w:ascii="Times New Roman" w:hAnsi="Times New Roman" w:cs="Times New Roman"/>
          <w:sz w:val="24"/>
          <w:szCs w:val="24"/>
        </w:rPr>
        <w:t xml:space="preserve"> et al., 2004). Similarly, phosphorus deficiency restricts energy availability required for nitrogen fixation (Sulieman and Tran, 2015). Genotypic variation among legumes significantly affects nodulation characteristics and nitrogen fixation capacity (</w:t>
      </w:r>
      <w:proofErr w:type="spellStart"/>
      <w:r>
        <w:rPr>
          <w:rFonts w:ascii="Times New Roman" w:hAnsi="Times New Roman" w:cs="Times New Roman"/>
          <w:sz w:val="24"/>
          <w:szCs w:val="24"/>
        </w:rPr>
        <w:t>Lépiz</w:t>
      </w:r>
      <w:proofErr w:type="spellEnd"/>
      <w:r>
        <w:rPr>
          <w:rFonts w:ascii="Times New Roman" w:hAnsi="Times New Roman" w:cs="Times New Roman"/>
          <w:sz w:val="24"/>
          <w:szCs w:val="24"/>
        </w:rPr>
        <w:t>-Ildefonso et al., 2024). Some genotypes exhibit higher nodule number and size, leading to increased nitrogen fixation rates (Nkurunziza et al., 2025). Wild relatives of cultivated legumes often possess superior symbiotic efficiency, indicating potential for genetic improvement (Dwivedi et al., 2015). Despite its ecological significance, natural BNF is often insufficient to meet the nitrogen demands of high-yielding cropping systems (Zahran, 1999). This limitation necessitates the development of strategies to enhance BNF efficiency under field conditions.</w:t>
      </w:r>
    </w:p>
    <w:p w14:paraId="1BA33DDB" w14:textId="77777777" w:rsidR="007F6049" w:rsidRDefault="001C255B">
      <w:pPr>
        <w:jc w:val="both"/>
        <w:rPr>
          <w:rFonts w:ascii="Times New Roman" w:hAnsi="Times New Roman" w:cs="Times New Roman"/>
          <w:b/>
          <w:bCs/>
          <w:sz w:val="24"/>
          <w:szCs w:val="24"/>
        </w:rPr>
      </w:pPr>
      <w:r>
        <w:rPr>
          <w:rFonts w:ascii="Times New Roman" w:hAnsi="Times New Roman" w:cs="Times New Roman"/>
          <w:b/>
          <w:bCs/>
          <w:sz w:val="24"/>
          <w:szCs w:val="24"/>
        </w:rPr>
        <w:t xml:space="preserve">2. Constraints and Limitations of Conventional BNF </w:t>
      </w:r>
    </w:p>
    <w:p w14:paraId="6088CBEE"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One of the primary constraints of natural BNF is its sensitivity to environmental variability (Bantilan and Johansen, 1995). Soil nitrogen levels exert a strong regulatory effect on nodulation and nitrogen fixation (Guo et al., 2025). High nitrogen availability suppresses BNF through feedback inhibition mechanisms that reduce nodule formation (Streeter and Wong, 1988). Another limitation is the inconsistency in performance of </w:t>
      </w:r>
      <w:proofErr w:type="spellStart"/>
      <w:r>
        <w:rPr>
          <w:rFonts w:ascii="Times New Roman" w:hAnsi="Times New Roman" w:cs="Times New Roman"/>
          <w:sz w:val="24"/>
          <w:szCs w:val="24"/>
        </w:rPr>
        <w:t>rhizobial</w:t>
      </w:r>
      <w:proofErr w:type="spellEnd"/>
      <w:r>
        <w:rPr>
          <w:rFonts w:ascii="Times New Roman" w:hAnsi="Times New Roman" w:cs="Times New Roman"/>
          <w:sz w:val="24"/>
          <w:szCs w:val="24"/>
        </w:rPr>
        <w:t xml:space="preserve"> inoculants across different environments (Herridge et al., 2008). Competition between introduced and native rhizobia often reduces the effectiveness of inoculation (Thies et al., 1991). Additionally, poor quality control in inoculant production can lead to reduced field performance (Singleton et al., 1992). Environmental stresses such as drought, salinity, and temperature extremes further constrain BNF efficiency (Hungria et al., 2020)</w:t>
      </w:r>
      <w:r>
        <w:rPr>
          <w:rFonts w:ascii="Times New Roman" w:hAnsi="Times New Roman" w:cs="Times New Roman"/>
          <w:sz w:val="24"/>
          <w:szCs w:val="24"/>
          <w:lang w:val="en-US"/>
        </w:rPr>
        <w:t xml:space="preserve"> </w:t>
      </w:r>
      <w:r w:rsidRPr="005F48F0">
        <w:rPr>
          <w:rFonts w:ascii="Times New Roman" w:hAnsi="Times New Roman" w:cs="Times New Roman"/>
          <w:sz w:val="24"/>
          <w:szCs w:val="24"/>
          <w:lang w:val="en-US"/>
        </w:rPr>
        <w:t>(</w:t>
      </w:r>
      <w:r w:rsidRPr="005F48F0">
        <w:rPr>
          <w:rFonts w:ascii="Times New Roman" w:hAnsi="Times New Roman" w:cs="Times New Roman"/>
          <w:sz w:val="24"/>
          <w:szCs w:val="24"/>
        </w:rPr>
        <w:t>Table 3</w:t>
      </w:r>
      <w:r w:rsidRPr="005F48F0">
        <w:rPr>
          <w:rFonts w:ascii="Times New Roman" w:hAnsi="Times New Roman" w:cs="Times New Roman"/>
          <w:sz w:val="24"/>
          <w:szCs w:val="24"/>
          <w:lang w:val="en-US"/>
        </w:rPr>
        <w:t>)</w:t>
      </w:r>
      <w:proofErr w:type="gramStart"/>
      <w:r w:rsidRPr="005F48F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These stresses affect both plant physiology and microbial activity, leading to reduced nitrogen fixation rates (</w:t>
      </w:r>
      <w:proofErr w:type="spellStart"/>
      <w:r>
        <w:rPr>
          <w:rFonts w:ascii="Times New Roman" w:hAnsi="Times New Roman" w:cs="Times New Roman"/>
          <w:sz w:val="24"/>
          <w:szCs w:val="24"/>
        </w:rPr>
        <w:t>Serraj</w:t>
      </w:r>
      <w:proofErr w:type="spellEnd"/>
      <w:r>
        <w:rPr>
          <w:rFonts w:ascii="Times New Roman" w:hAnsi="Times New Roman" w:cs="Times New Roman"/>
          <w:sz w:val="24"/>
          <w:szCs w:val="24"/>
        </w:rPr>
        <w:t xml:space="preserve"> et al., 2004). The lack of reliable methods for measuring BNF in field conditions has also limited research progress (Jafari et al., 2024). Traditional methods such as acetylene reduction assays are </w:t>
      </w:r>
      <w:proofErr w:type="spellStart"/>
      <w:r>
        <w:rPr>
          <w:rFonts w:ascii="Times New Roman" w:hAnsi="Times New Roman" w:cs="Times New Roman"/>
          <w:sz w:val="24"/>
          <w:szCs w:val="24"/>
        </w:rPr>
        <w:t>labor-intensive</w:t>
      </w:r>
      <w:proofErr w:type="spellEnd"/>
      <w:r>
        <w:rPr>
          <w:rFonts w:ascii="Times New Roman" w:hAnsi="Times New Roman" w:cs="Times New Roman"/>
          <w:sz w:val="24"/>
          <w:szCs w:val="24"/>
        </w:rPr>
        <w:t xml:space="preserve"> and often inaccurate (Hardy et al., 1968). These limitations highlight the need for innovative approaches to enhance BNF efficiency.</w:t>
      </w:r>
    </w:p>
    <w:p w14:paraId="7B044D56" w14:textId="77777777" w:rsidR="007F6049" w:rsidRDefault="001C255B">
      <w:pPr>
        <w:jc w:val="both"/>
        <w:rPr>
          <w:rFonts w:ascii="Times New Roman" w:hAnsi="Times New Roman" w:cs="Times New Roman"/>
          <w:b/>
          <w:bCs/>
          <w:sz w:val="24"/>
          <w:szCs w:val="24"/>
        </w:rPr>
      </w:pPr>
      <w:r>
        <w:rPr>
          <w:rFonts w:ascii="Times New Roman" w:hAnsi="Times New Roman" w:cs="Times New Roman"/>
          <w:b/>
          <w:bCs/>
          <w:sz w:val="24"/>
          <w:szCs w:val="24"/>
        </w:rPr>
        <w:t xml:space="preserve">3. Precision-Enhanced BNF Approaches </w:t>
      </w:r>
    </w:p>
    <w:p w14:paraId="6F17E150"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Precision-enhanced BNF integrates modern technologies to optimize nitrogen fixation processes (Guo et al., 2025). Site-specific nutrient management is a key component of this approach (Zhang et al., 2021). Optimizing nitrogen and phosphorus inputs can enhance both nodulation and crop yield (Sulieman and Tran, 2015). Remote sensing technologies enable real-time monitoring of crop nitrogen status (Jafari et al., 2024). Machine learning algorithms can predict nitrogen demand and optimize fertilization strategies (Liakos et al., 2018). Non-invasive techniques such as hyperspectral imaging allow rapid assessment of plant health and nitrogen fixation activity (Mahajan et al., 2014). Precision agriculture tools also facilitate variable rate application of inputs, improving resource use efficiency (</w:t>
      </w:r>
      <w:proofErr w:type="spellStart"/>
      <w:r>
        <w:rPr>
          <w:rFonts w:ascii="Times New Roman" w:hAnsi="Times New Roman" w:cs="Times New Roman"/>
          <w:sz w:val="24"/>
          <w:szCs w:val="24"/>
        </w:rPr>
        <w:t>Gebbers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Adamchuk</w:t>
      </w:r>
      <w:proofErr w:type="spellEnd"/>
      <w:r>
        <w:rPr>
          <w:rFonts w:ascii="Times New Roman" w:hAnsi="Times New Roman" w:cs="Times New Roman"/>
          <w:sz w:val="24"/>
          <w:szCs w:val="24"/>
        </w:rPr>
        <w:t>, 2010). These technologies enable farmers to tailor management practices according to site-specific conditions (Zhang et al., 2021</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integration of precision tools with BNF represents a significant advancement in sustainable agriculture</w:t>
      </w:r>
      <w:r>
        <w:rPr>
          <w:rFonts w:ascii="Times New Roman" w:hAnsi="Times New Roman" w:cs="Times New Roman"/>
          <w:sz w:val="24"/>
          <w:szCs w:val="24"/>
          <w:lang w:val="en-US"/>
        </w:rPr>
        <w:t xml:space="preserve"> (</w:t>
      </w:r>
      <w:r w:rsidRPr="002E55F3">
        <w:rPr>
          <w:rFonts w:ascii="Times New Roman" w:hAnsi="Times New Roman" w:cs="Times New Roman"/>
          <w:sz w:val="24"/>
          <w:szCs w:val="24"/>
        </w:rPr>
        <w:t>Table 1</w:t>
      </w:r>
      <w:r w:rsidRPr="002E55F3">
        <w:rPr>
          <w:rFonts w:ascii="Times New Roman" w:hAnsi="Times New Roman" w:cs="Times New Roman"/>
          <w:sz w:val="24"/>
          <w:szCs w:val="24"/>
          <w:lang w:val="en-US"/>
        </w:rPr>
        <w:t>)</w:t>
      </w:r>
      <w:r w:rsidRPr="002E55F3">
        <w:rPr>
          <w:rFonts w:ascii="Times New Roman" w:hAnsi="Times New Roman" w:cs="Times New Roman"/>
          <w:sz w:val="24"/>
          <w:szCs w:val="24"/>
        </w:rPr>
        <w:t>.</w:t>
      </w:r>
    </w:p>
    <w:p w14:paraId="022BAAAF" w14:textId="77777777" w:rsidR="007F6049" w:rsidRDefault="001C255B">
      <w:pPr>
        <w:jc w:val="both"/>
        <w:rPr>
          <w:rFonts w:ascii="Times New Roman" w:hAnsi="Times New Roman" w:cs="Times New Roman"/>
          <w:b/>
          <w:bCs/>
          <w:sz w:val="24"/>
          <w:szCs w:val="24"/>
        </w:rPr>
      </w:pPr>
      <w:r>
        <w:rPr>
          <w:rFonts w:ascii="Times New Roman" w:hAnsi="Times New Roman" w:cs="Times New Roman"/>
          <w:b/>
          <w:bCs/>
          <w:sz w:val="24"/>
          <w:szCs w:val="24"/>
        </w:rPr>
        <w:t xml:space="preserve">4. Genetic Improvement of Legumes for Enhanced Nitrogen Fixation </w:t>
      </w:r>
    </w:p>
    <w:p w14:paraId="603FAF59"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Genetic improvement of legumes has emerged as a critical strategy for enhancing biological nitrogen fixation efficiency (Nkurunziza et al., 2025). The genetic basis of nodulation and nitrogen fixation involves complex interactions between plant </w:t>
      </w:r>
      <w:proofErr w:type="spellStart"/>
      <w:r>
        <w:rPr>
          <w:rFonts w:ascii="Times New Roman" w:hAnsi="Times New Roman" w:cs="Times New Roman"/>
          <w:sz w:val="24"/>
          <w:szCs w:val="24"/>
        </w:rPr>
        <w:t>signaling</w:t>
      </w:r>
      <w:proofErr w:type="spellEnd"/>
      <w:r>
        <w:rPr>
          <w:rFonts w:ascii="Times New Roman" w:hAnsi="Times New Roman" w:cs="Times New Roman"/>
          <w:sz w:val="24"/>
          <w:szCs w:val="24"/>
        </w:rPr>
        <w:t xml:space="preserve"> pathways and </w:t>
      </w:r>
      <w:r>
        <w:rPr>
          <w:rFonts w:ascii="Times New Roman" w:hAnsi="Times New Roman" w:cs="Times New Roman"/>
          <w:sz w:val="24"/>
          <w:szCs w:val="24"/>
        </w:rPr>
        <w:lastRenderedPageBreak/>
        <w:t>microbial symbiosis genes (Oldroyd, 2013). Recent advances in genomics have enabled the identification of quantitative trait loci associated with nodulation efficiency and nitrogenase activity (Dwivedi et al., 2015). Genome-wide association studies have revealed significant variation in BNF traits across different legume germplasm collections (Nkurunziza et al., 2025). Marker-assisted selection has facilitated the development of improved cultivars with enhanced nitrogen fixation capacity (Varshney et al., 2017).</w:t>
      </w:r>
      <w:r>
        <w:rPr>
          <w:rFonts w:ascii="Times New Roman" w:hAnsi="Times New Roman" w:cs="Times New Roman"/>
          <w:sz w:val="24"/>
          <w:szCs w:val="24"/>
        </w:rPr>
        <w:br/>
        <w:t>These approaches allow breeders to target specific genes involved in symbiotic efficiency and stress tolerance (Kumar et al., 2018). Genomic selection models are increasingly being used to predict complex traits such as nitrogen fixation based on genome-wide markers (Crossa et al., 2017). Wild relatives of legumes represent an important source of genetic diversity for improving BNF traits (</w:t>
      </w:r>
      <w:proofErr w:type="spellStart"/>
      <w:r>
        <w:rPr>
          <w:rFonts w:ascii="Times New Roman" w:hAnsi="Times New Roman" w:cs="Times New Roman"/>
          <w:sz w:val="24"/>
          <w:szCs w:val="24"/>
        </w:rPr>
        <w:t>Lépiz</w:t>
      </w:r>
      <w:proofErr w:type="spellEnd"/>
      <w:r>
        <w:rPr>
          <w:rFonts w:ascii="Times New Roman" w:hAnsi="Times New Roman" w:cs="Times New Roman"/>
          <w:sz w:val="24"/>
          <w:szCs w:val="24"/>
        </w:rPr>
        <w:t xml:space="preserve">-Ildefonso et al., 2024). Introgression of beneficial alleles from wild species into cultivated varieties has been shown to enhance nodulation and nitrogen fixation efficiency (Dwivedi et al., 2015). Such approaches are particularly valuable for developing climate-resilient cultivars with stable BNF performance under stress conditions (Araújo et al., 2019). Biotechnological interventions such as gene editing are also being explored to enhance BNF efficiency (Chen et al., 2020). CRISPR-Cas systems enable precise modification of genes involved in nodulation </w:t>
      </w:r>
      <w:proofErr w:type="spellStart"/>
      <w:r>
        <w:rPr>
          <w:rFonts w:ascii="Times New Roman" w:hAnsi="Times New Roman" w:cs="Times New Roman"/>
          <w:sz w:val="24"/>
          <w:szCs w:val="24"/>
        </w:rPr>
        <w:t>signaling</w:t>
      </w:r>
      <w:proofErr w:type="spellEnd"/>
      <w:r>
        <w:rPr>
          <w:rFonts w:ascii="Times New Roman" w:hAnsi="Times New Roman" w:cs="Times New Roman"/>
          <w:sz w:val="24"/>
          <w:szCs w:val="24"/>
        </w:rPr>
        <w:t xml:space="preserve"> pathways (Wang et al., 2022). These technologies offer new opportunities for engineering legumes with improved symbiotic interactions and nitrogen fixation capacity (Oldroyd, 2013). The integration of genomics, phenomics, and bioinformatics is accelerating the development of high nitrogen-fixing legume varieties (Varshney et al., 2017). However, challenges related to genotype-by-environment interactions remain significant in breeding programs (Crossa et al., 2017).</w:t>
      </w:r>
    </w:p>
    <w:p w14:paraId="0636D6E2" w14:textId="77777777" w:rsidR="007F6049" w:rsidRDefault="001C255B">
      <w:pPr>
        <w:jc w:val="both"/>
        <w:rPr>
          <w:rFonts w:ascii="Times New Roman" w:hAnsi="Times New Roman" w:cs="Times New Roman"/>
          <w:b/>
          <w:bCs/>
          <w:sz w:val="24"/>
          <w:szCs w:val="24"/>
        </w:rPr>
      </w:pPr>
      <w:r>
        <w:rPr>
          <w:rFonts w:ascii="Times New Roman" w:hAnsi="Times New Roman" w:cs="Times New Roman"/>
          <w:b/>
          <w:bCs/>
          <w:sz w:val="24"/>
          <w:szCs w:val="24"/>
        </w:rPr>
        <w:t xml:space="preserve">5. Microbial Innovations and Rhizosphere Engineering </w:t>
      </w:r>
    </w:p>
    <w:p w14:paraId="00DE55A7"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The efficiency of biological nitrogen fixation is strongly influenced by the quality and compatibility of </w:t>
      </w:r>
      <w:proofErr w:type="spellStart"/>
      <w:r>
        <w:rPr>
          <w:rFonts w:ascii="Times New Roman" w:hAnsi="Times New Roman" w:cs="Times New Roman"/>
          <w:sz w:val="24"/>
          <w:szCs w:val="24"/>
        </w:rPr>
        <w:t>rhizobial</w:t>
      </w:r>
      <w:proofErr w:type="spellEnd"/>
      <w:r>
        <w:rPr>
          <w:rFonts w:ascii="Times New Roman" w:hAnsi="Times New Roman" w:cs="Times New Roman"/>
          <w:sz w:val="24"/>
          <w:szCs w:val="24"/>
        </w:rPr>
        <w:t xml:space="preserve"> strains (</w:t>
      </w:r>
      <w:proofErr w:type="spellStart"/>
      <w:r>
        <w:rPr>
          <w:rFonts w:ascii="Times New Roman" w:hAnsi="Times New Roman" w:cs="Times New Roman"/>
          <w:sz w:val="24"/>
          <w:szCs w:val="24"/>
        </w:rPr>
        <w:t>Bantilan</w:t>
      </w:r>
      <w:proofErr w:type="spellEnd"/>
      <w:r>
        <w:rPr>
          <w:rFonts w:ascii="Times New Roman" w:hAnsi="Times New Roman" w:cs="Times New Roman"/>
          <w:sz w:val="24"/>
          <w:szCs w:val="24"/>
        </w:rPr>
        <w:t xml:space="preserve"> and Johansen, 1995). Selection of highly efficient </w:t>
      </w:r>
      <w:proofErr w:type="spellStart"/>
      <w:r>
        <w:rPr>
          <w:rFonts w:ascii="Times New Roman" w:hAnsi="Times New Roman" w:cs="Times New Roman"/>
          <w:sz w:val="24"/>
          <w:szCs w:val="24"/>
        </w:rPr>
        <w:t>rhizobial</w:t>
      </w:r>
      <w:proofErr w:type="spellEnd"/>
      <w:r>
        <w:rPr>
          <w:rFonts w:ascii="Times New Roman" w:hAnsi="Times New Roman" w:cs="Times New Roman"/>
          <w:sz w:val="24"/>
          <w:szCs w:val="24"/>
        </w:rPr>
        <w:t xml:space="preserve"> strains can significantly improve nodulation and nitrogen fixation rates (Herridge et al., 2008). Advances in microbial genomics have enabled the identification of key genes responsible for symbiotic efficiency (Poole et al., 2018)</w:t>
      </w:r>
      <w:r>
        <w:rPr>
          <w:rFonts w:ascii="Times New Roman" w:hAnsi="Times New Roman" w:cs="Times New Roman"/>
          <w:sz w:val="24"/>
          <w:szCs w:val="24"/>
          <w:lang w:val="en-US"/>
        </w:rPr>
        <w:t xml:space="preserve"> </w:t>
      </w:r>
      <w:r w:rsidRPr="002E55F3">
        <w:rPr>
          <w:rFonts w:ascii="Times New Roman" w:hAnsi="Times New Roman" w:cs="Times New Roman"/>
          <w:sz w:val="24"/>
          <w:szCs w:val="24"/>
          <w:lang w:val="en-US"/>
        </w:rPr>
        <w:t>(</w:t>
      </w:r>
      <w:r w:rsidRPr="002E55F3">
        <w:rPr>
          <w:rFonts w:ascii="Times New Roman" w:hAnsi="Times New Roman" w:cs="Times New Roman"/>
          <w:sz w:val="24"/>
          <w:szCs w:val="24"/>
        </w:rPr>
        <w:t>Table</w:t>
      </w:r>
      <w:r w:rsidRPr="002E55F3">
        <w:rPr>
          <w:rFonts w:ascii="Times New Roman" w:hAnsi="Times New Roman" w:cs="Times New Roman"/>
          <w:sz w:val="24"/>
          <w:szCs w:val="24"/>
          <w:lang w:val="en-US"/>
        </w:rPr>
        <w:t xml:space="preserve"> 2)</w:t>
      </w:r>
      <w:r w:rsidRPr="002E55F3">
        <w:rPr>
          <w:rFonts w:ascii="Times New Roman" w:hAnsi="Times New Roman" w:cs="Times New Roman"/>
          <w:sz w:val="24"/>
          <w:szCs w:val="24"/>
        </w:rPr>
        <w:t>.</w:t>
      </w:r>
      <w:r>
        <w:rPr>
          <w:rFonts w:ascii="Times New Roman" w:hAnsi="Times New Roman" w:cs="Times New Roman"/>
          <w:sz w:val="24"/>
          <w:szCs w:val="24"/>
        </w:rPr>
        <w:t xml:space="preserve"> The development of elite inoculant strains with enhanced competitiveness and stress tolerance is a major focus of current research (Hungria et al., 2020). These strains are capable of outperforming native rhizobia in establishing symbiosis with host plants (Thies et al., 1991).</w:t>
      </w:r>
      <w:r>
        <w:rPr>
          <w:rFonts w:ascii="Times New Roman" w:hAnsi="Times New Roman" w:cs="Times New Roman"/>
          <w:sz w:val="24"/>
          <w:szCs w:val="24"/>
        </w:rPr>
        <w:br/>
        <w:t>Improved inoculant formulations incorporating carriers and protective agents have been shown to enhance field performance (Singleton et al., 1992). The rhizosphere microbiome plays a critical role in regulating plant health and nutrient cycling (Berendsen et al., 2012). Interactions between rhizobia and other soil microorganisms can influence nodulation and nitrogen fixation efficiency (</w:t>
      </w:r>
      <w:proofErr w:type="spellStart"/>
      <w:r>
        <w:rPr>
          <w:rFonts w:ascii="Times New Roman" w:hAnsi="Times New Roman" w:cs="Times New Roman"/>
          <w:sz w:val="24"/>
          <w:szCs w:val="24"/>
        </w:rPr>
        <w:t>Compant</w:t>
      </w:r>
      <w:proofErr w:type="spellEnd"/>
      <w:r>
        <w:rPr>
          <w:rFonts w:ascii="Times New Roman" w:hAnsi="Times New Roman" w:cs="Times New Roman"/>
          <w:sz w:val="24"/>
          <w:szCs w:val="24"/>
        </w:rPr>
        <w:t xml:space="preserve"> et al., 2019). Plant growth-promoting rhizobacteria can enhance BNF by improving nutrient availability and reducing stress effects (Vessey, 2003). Synthetic microbial consortia are being developed to optimize rhizosphere interactions and enhance nitrogen fixation (Vorholt et al., 2017</w:t>
      </w:r>
      <w:proofErr w:type="gramStart"/>
      <w:r>
        <w:rPr>
          <w:rFonts w:ascii="Times New Roman" w:hAnsi="Times New Roman" w:cs="Times New Roman"/>
          <w:sz w:val="24"/>
          <w:szCs w:val="24"/>
        </w:rPr>
        <w:t>).These</w:t>
      </w:r>
      <w:proofErr w:type="gramEnd"/>
      <w:r>
        <w:rPr>
          <w:rFonts w:ascii="Times New Roman" w:hAnsi="Times New Roman" w:cs="Times New Roman"/>
          <w:sz w:val="24"/>
          <w:szCs w:val="24"/>
        </w:rPr>
        <w:t xml:space="preserve"> consortia combine multiple beneficial microorganisms to improve plant growth and resilience (</w:t>
      </w:r>
      <w:proofErr w:type="spellStart"/>
      <w:r>
        <w:rPr>
          <w:rFonts w:ascii="Times New Roman" w:hAnsi="Times New Roman" w:cs="Times New Roman"/>
          <w:sz w:val="24"/>
          <w:szCs w:val="24"/>
        </w:rPr>
        <w:t>Compant</w:t>
      </w:r>
      <w:proofErr w:type="spellEnd"/>
      <w:r>
        <w:rPr>
          <w:rFonts w:ascii="Times New Roman" w:hAnsi="Times New Roman" w:cs="Times New Roman"/>
          <w:sz w:val="24"/>
          <w:szCs w:val="24"/>
        </w:rPr>
        <w:t xml:space="preserve"> et al., 2019). Such approaches represent a promising strategy for enhancing BNF under diverse environmental conditions (Berendsen et al., 2012). Agronomic practices such as crop rotation and intercropping can also influence rhizosphere microbial dynamics (Drinkwater et al., 1998). Diversified cropping systems promote microbial diversity and improve nitrogen cycling efficiency (Singh et al., 2023). These </w:t>
      </w:r>
      <w:r>
        <w:rPr>
          <w:rFonts w:ascii="Times New Roman" w:hAnsi="Times New Roman" w:cs="Times New Roman"/>
          <w:sz w:val="24"/>
          <w:szCs w:val="24"/>
        </w:rPr>
        <w:lastRenderedPageBreak/>
        <w:t>findings highlight the importance of integrating microbial and agronomic strategies for optimizing BNF.</w:t>
      </w:r>
    </w:p>
    <w:p w14:paraId="6C8887F6" w14:textId="77777777" w:rsidR="007F6049" w:rsidRDefault="001C255B">
      <w:pPr>
        <w:jc w:val="both"/>
        <w:rPr>
          <w:rFonts w:ascii="Times New Roman" w:hAnsi="Times New Roman" w:cs="Times New Roman"/>
          <w:b/>
          <w:bCs/>
          <w:sz w:val="24"/>
          <w:szCs w:val="24"/>
        </w:rPr>
      </w:pPr>
      <w:r>
        <w:rPr>
          <w:rFonts w:ascii="Times New Roman" w:hAnsi="Times New Roman" w:cs="Times New Roman"/>
          <w:b/>
          <w:bCs/>
          <w:sz w:val="24"/>
          <w:szCs w:val="24"/>
        </w:rPr>
        <w:t xml:space="preserve">6. Integration of BNF with Precision and Climate-Smart Agriculture </w:t>
      </w:r>
    </w:p>
    <w:p w14:paraId="4CD4CD39"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Biological nitrogen fixation is increasingly being integrated into precision agriculture frameworks to enhance sustainability (</w:t>
      </w:r>
      <w:proofErr w:type="spellStart"/>
      <w:r>
        <w:rPr>
          <w:rFonts w:ascii="Times New Roman" w:hAnsi="Times New Roman" w:cs="Times New Roman"/>
          <w:sz w:val="24"/>
          <w:szCs w:val="24"/>
        </w:rPr>
        <w:t>Gebbers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Adamchuk</w:t>
      </w:r>
      <w:proofErr w:type="spellEnd"/>
      <w:r>
        <w:rPr>
          <w:rFonts w:ascii="Times New Roman" w:hAnsi="Times New Roman" w:cs="Times New Roman"/>
          <w:sz w:val="24"/>
          <w:szCs w:val="24"/>
        </w:rPr>
        <w:t>, 2010). Precision agriculture technologies enable site-specific management of inputs, improving nitrogen use efficiency (Zhang et al., 2021). The use of sensors and remote sensing tools allows real-time monitoring of crop nitrogen status and BNF activity (Jafari et al., 2024). Climate-smart agriculture emphasizes the need to enhance productivity while reducing environmental impacts (Lipper et al., 2014). BNF contributes to climate mitigation by reducing greenhouse gas emissions associated with synthetic fertilizer production (Ladha et al., 2022). Legume-based cropping systems improve soil carbon sequestration and ecosystem resilience (Peoples et al., 2022). The integration of BNF into cropping systems can reduce dependency on external nitrogen inputs (Mukherjee and Sen, 2021). This approach aligns with sustainable intensification goals aimed at increasing productivity without environmental degradation (Tilman et al., 2021). Precision-enhanced BNF systems provide a pathway for achieving these objectives through optimized resource use (Guo et al., 2025). However, the adoption of precision agriculture technologies is influenced by economic and infrastructural factors (</w:t>
      </w:r>
      <w:proofErr w:type="spellStart"/>
      <w:r>
        <w:rPr>
          <w:rFonts w:ascii="Times New Roman" w:hAnsi="Times New Roman" w:cs="Times New Roman"/>
          <w:sz w:val="24"/>
          <w:szCs w:val="24"/>
        </w:rPr>
        <w:t>Gebbers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Adamchuk</w:t>
      </w:r>
      <w:proofErr w:type="spellEnd"/>
      <w:r>
        <w:rPr>
          <w:rFonts w:ascii="Times New Roman" w:hAnsi="Times New Roman" w:cs="Times New Roman"/>
          <w:sz w:val="24"/>
          <w:szCs w:val="24"/>
        </w:rPr>
        <w:t>, 2010).</w:t>
      </w:r>
      <w:r>
        <w:rPr>
          <w:rFonts w:ascii="Times New Roman" w:hAnsi="Times New Roman" w:cs="Times New Roman"/>
          <w:sz w:val="24"/>
          <w:szCs w:val="24"/>
        </w:rPr>
        <w:br/>
        <w:t>Smallholder farmers may face challenges in accessing advanced technologies required for precision BNF (Lipper et al., 2014). Addressing these barriers is essential for widespread implementation of precision-enhanced BNF systems</w:t>
      </w:r>
      <w:r>
        <w:rPr>
          <w:rFonts w:ascii="Times New Roman" w:hAnsi="Times New Roman" w:cs="Times New Roman"/>
          <w:sz w:val="24"/>
          <w:szCs w:val="24"/>
          <w:lang w:val="en-US"/>
        </w:rPr>
        <w:t xml:space="preserve"> (picture1)</w:t>
      </w:r>
      <w:r>
        <w:rPr>
          <w:rFonts w:ascii="Times New Roman" w:hAnsi="Times New Roman" w:cs="Times New Roman"/>
          <w:sz w:val="24"/>
          <w:szCs w:val="24"/>
        </w:rPr>
        <w:t>.</w:t>
      </w:r>
    </w:p>
    <w:p w14:paraId="1AD1D575" w14:textId="3DF888E9" w:rsidR="007F6049" w:rsidRDefault="004E4583" w:rsidP="004E4583">
      <w:pPr>
        <w:jc w:val="center"/>
        <w:rPr>
          <w:rFonts w:ascii="Times New Roman" w:hAnsi="Times New Roman" w:cs="Times New Roman"/>
          <w:b/>
          <w:bCs/>
          <w:sz w:val="24"/>
          <w:szCs w:val="24"/>
        </w:rPr>
      </w:pPr>
      <w:r>
        <w:rPr>
          <w:rFonts w:ascii="Times New Roman" w:hAnsi="Times New Roman" w:cs="Times New Roman"/>
          <w:b/>
          <w:bCs/>
          <w:sz w:val="24"/>
          <w:szCs w:val="24"/>
        </w:rPr>
        <w:t>DISCUSSION</w:t>
      </w:r>
    </w:p>
    <w:p w14:paraId="7EF6A37F" w14:textId="23385EB8" w:rsidR="007F6049" w:rsidRDefault="001C255B">
      <w:pPr>
        <w:jc w:val="both"/>
        <w:rPr>
          <w:rFonts w:ascii="Times New Roman" w:hAnsi="Times New Roman" w:cs="Times New Roman"/>
          <w:b/>
          <w:bCs/>
          <w:sz w:val="24"/>
          <w:szCs w:val="24"/>
        </w:rPr>
      </w:pPr>
      <w:r>
        <w:rPr>
          <w:rFonts w:ascii="Times New Roman" w:hAnsi="Times New Roman" w:cs="Times New Roman"/>
          <w:sz w:val="24"/>
          <w:szCs w:val="24"/>
        </w:rPr>
        <w:t xml:space="preserve">Precision-enhanced approaches offer improved control over nutrient management and symbiotic interactions (Jafari et al., </w:t>
      </w:r>
      <w:proofErr w:type="gramStart"/>
      <w:r>
        <w:rPr>
          <w:rFonts w:ascii="Times New Roman" w:hAnsi="Times New Roman" w:cs="Times New Roman"/>
          <w:sz w:val="24"/>
          <w:szCs w:val="24"/>
        </w:rPr>
        <w:t>2024)</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figure1)</w:t>
      </w:r>
      <w:r>
        <w:rPr>
          <w:rFonts w:ascii="Times New Roman" w:hAnsi="Times New Roman" w:cs="Times New Roman"/>
          <w:sz w:val="24"/>
          <w:szCs w:val="24"/>
        </w:rPr>
        <w:t>.The transition from natural biological nitrogen fixation to precision-enhanced systems represents a paradigm shift in agricultural science (Guo et al., 2025)</w:t>
      </w:r>
      <w:r>
        <w:rPr>
          <w:rFonts w:ascii="Times New Roman" w:hAnsi="Times New Roman" w:cs="Times New Roman"/>
          <w:sz w:val="24"/>
          <w:szCs w:val="24"/>
          <w:lang w:val="en-US"/>
        </w:rPr>
        <w:t>(figure 2)</w:t>
      </w:r>
      <w:r>
        <w:rPr>
          <w:rFonts w:ascii="Times New Roman" w:hAnsi="Times New Roman" w:cs="Times New Roman"/>
          <w:sz w:val="24"/>
          <w:szCs w:val="24"/>
        </w:rPr>
        <w:t xml:space="preserve">. Natural BNF provides a sustainable source of nitrogen but is often limited by environmental variability and genetic constraints (Peoples et al., 2022). </w:t>
      </w:r>
      <w:r>
        <w:rPr>
          <w:rFonts w:ascii="Times New Roman" w:hAnsi="Times New Roman" w:cs="Times New Roman"/>
          <w:b/>
          <w:bCs/>
          <w:sz w:val="24"/>
          <w:szCs w:val="24"/>
        </w:rPr>
        <w:t xml:space="preserve"> </w:t>
      </w:r>
      <w:r>
        <w:rPr>
          <w:rFonts w:ascii="Times New Roman" w:hAnsi="Times New Roman" w:cs="Times New Roman"/>
          <w:sz w:val="24"/>
          <w:szCs w:val="24"/>
        </w:rPr>
        <w:t>The integration of genomics and precision agriculture tools has significantly improved the efficiency of BNF (Nkurunziza et al., 2025). However, variability in field performance remains a major challenge (Bantilan and Johansen, 1995). Differences in soil properties, climate conditions, and microbial communities can influence BNF outcomes (Hungria et al., 2020).</w:t>
      </w:r>
      <w:r>
        <w:rPr>
          <w:rFonts w:ascii="Times New Roman" w:hAnsi="Times New Roman" w:cs="Times New Roman"/>
          <w:b/>
          <w:bCs/>
          <w:sz w:val="24"/>
          <w:szCs w:val="24"/>
        </w:rPr>
        <w:t xml:space="preserve"> </w:t>
      </w:r>
      <w:r>
        <w:rPr>
          <w:rFonts w:ascii="Times New Roman" w:hAnsi="Times New Roman" w:cs="Times New Roman"/>
          <w:sz w:val="24"/>
          <w:szCs w:val="24"/>
        </w:rPr>
        <w:t>Conflicting findings exist regarding the optimal balance between nitrogen fertilization and biological fixation (Guo et al., 2025). Some studies suggest that moderate nitrogen application can enhance overall productivity without suppressing BNF (Zhang et al., 2021). Other studies indicate that excessive nitrogen inputs reduce nodulation and fixation efficiency (Streeter and Wong, 1988).</w:t>
      </w:r>
      <w:r>
        <w:rPr>
          <w:rFonts w:ascii="Times New Roman" w:hAnsi="Times New Roman" w:cs="Times New Roman"/>
          <w:b/>
          <w:bCs/>
          <w:sz w:val="24"/>
          <w:szCs w:val="24"/>
        </w:rPr>
        <w:t xml:space="preserve"> </w:t>
      </w:r>
      <w:r>
        <w:rPr>
          <w:rFonts w:ascii="Times New Roman" w:hAnsi="Times New Roman" w:cs="Times New Roman"/>
          <w:sz w:val="24"/>
          <w:szCs w:val="24"/>
        </w:rPr>
        <w:t>The effectiveness of microbial inoculants also varies across different agroecological regions (Herridge et al., 2008). Competition between introduced and native rhizobia can reduce inoculant performance (Thies et al., 1991). These challenges highlight the need for location-specific strategies for optimizing BNF (Singh et al., 2023).</w:t>
      </w:r>
      <w:r>
        <w:rPr>
          <w:rFonts w:ascii="Times New Roman" w:hAnsi="Times New Roman" w:cs="Times New Roman"/>
          <w:b/>
          <w:bCs/>
          <w:sz w:val="24"/>
          <w:szCs w:val="24"/>
        </w:rPr>
        <w:t xml:space="preserve"> </w:t>
      </w:r>
      <w:r>
        <w:rPr>
          <w:rFonts w:ascii="Times New Roman" w:hAnsi="Times New Roman" w:cs="Times New Roman"/>
          <w:sz w:val="24"/>
          <w:szCs w:val="24"/>
        </w:rPr>
        <w:t>Economic considerations also play a role in the adoption of precision-enhanced BNF technologies (Lipper et al., 2014). High initial costs and limited access to technology may hinder adoption among smallholder farmers (</w:t>
      </w:r>
      <w:proofErr w:type="spellStart"/>
      <w:r>
        <w:rPr>
          <w:rFonts w:ascii="Times New Roman" w:hAnsi="Times New Roman" w:cs="Times New Roman"/>
          <w:sz w:val="24"/>
          <w:szCs w:val="24"/>
        </w:rPr>
        <w:t>Gebbers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Adamchuk</w:t>
      </w:r>
      <w:proofErr w:type="spellEnd"/>
      <w:r>
        <w:rPr>
          <w:rFonts w:ascii="Times New Roman" w:hAnsi="Times New Roman" w:cs="Times New Roman"/>
          <w:sz w:val="24"/>
          <w:szCs w:val="24"/>
        </w:rPr>
        <w:t>, 2010). Therefore, policy support and capacity building are essential for promoting these technologies.</w:t>
      </w:r>
    </w:p>
    <w:p w14:paraId="56EB2F9A" w14:textId="18AA3198" w:rsidR="007F6049" w:rsidRDefault="009205B1" w:rsidP="009205B1">
      <w:pPr>
        <w:jc w:val="center"/>
        <w:rPr>
          <w:rFonts w:ascii="Times New Roman" w:hAnsi="Times New Roman" w:cs="Times New Roman"/>
          <w:b/>
          <w:bCs/>
          <w:sz w:val="24"/>
          <w:szCs w:val="24"/>
        </w:rPr>
      </w:pPr>
      <w:r>
        <w:rPr>
          <w:rFonts w:ascii="Times New Roman" w:hAnsi="Times New Roman" w:cs="Times New Roman"/>
          <w:b/>
          <w:bCs/>
          <w:sz w:val="24"/>
          <w:szCs w:val="24"/>
        </w:rPr>
        <w:t>FUTURE CHALLENGES</w:t>
      </w:r>
    </w:p>
    <w:p w14:paraId="178E1983"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lastRenderedPageBreak/>
        <w:t>Future research should focus on improving the stability of biological nitrogen fixation under changing climatic conditions (Peoples et al., 2022). Climate variability poses significant challenges to both plant growth and microbial activity (Hungria et al., 2020). Developing climate-resilient legume varieties with stable BNF performance is a key research priority (</w:t>
      </w:r>
      <w:proofErr w:type="spellStart"/>
      <w:r>
        <w:rPr>
          <w:rFonts w:ascii="Times New Roman" w:hAnsi="Times New Roman" w:cs="Times New Roman"/>
          <w:sz w:val="24"/>
          <w:szCs w:val="24"/>
        </w:rPr>
        <w:t>Lépiz</w:t>
      </w:r>
      <w:proofErr w:type="spellEnd"/>
      <w:r>
        <w:rPr>
          <w:rFonts w:ascii="Times New Roman" w:hAnsi="Times New Roman" w:cs="Times New Roman"/>
          <w:sz w:val="24"/>
          <w:szCs w:val="24"/>
        </w:rPr>
        <w:t>-Ildefonso et al., 2024). The integration of multi-omics approaches can enhance understanding of plant–microbe interactions (Nkurunziza et al., 2025). Genomics, transcriptomics, and metabolomics provide insights into the molecular mechanisms underlying BNF (Chen et al., 2020). These approaches can facilitate the development of improved cultivars and microbial strains. There is also a need for cost-effective technologies for real-time monitoring of nitrogen fixation (Jafari et al., 2024). Advances in sensor technologies and data analytics can improve the accuracy and efficiency of BNF measurement (Liakos et al., 2018). Enhancing farmer awareness and adoption of BNF technologies is essential for large-scale implementation (Bantilan and Johansen, 1995). Extension services and training programs can play a critical role in promoting these technologies (Lipper et al., 2014). Policy support and investment in research infrastructure are also necessary to accelerate innovation in this field (Tilman et al., 2021).</w:t>
      </w:r>
    </w:p>
    <w:p w14:paraId="41758604" w14:textId="4FB1D54A" w:rsidR="007F6049" w:rsidRDefault="009205B1" w:rsidP="009205B1">
      <w:pPr>
        <w:jc w:val="center"/>
        <w:rPr>
          <w:rFonts w:ascii="Times New Roman" w:hAnsi="Times New Roman" w:cs="Times New Roman"/>
          <w:b/>
          <w:bCs/>
          <w:sz w:val="24"/>
          <w:szCs w:val="24"/>
        </w:rPr>
      </w:pPr>
      <w:r>
        <w:rPr>
          <w:rFonts w:ascii="Times New Roman" w:hAnsi="Times New Roman" w:cs="Times New Roman"/>
          <w:b/>
          <w:bCs/>
          <w:sz w:val="24"/>
          <w:szCs w:val="24"/>
        </w:rPr>
        <w:t>CONCLUSION</w:t>
      </w:r>
    </w:p>
    <w:p w14:paraId="54A30F9C"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Biological nitrogen fixation remains a cornerstone of sustainable agriculture by providing an environmentally friendly source of nitrogen (Ladha et al., 2022). Natural BNF systems are limited by environmental variability, genetic constraints, and management practices (Peoples et al., 2022). Precision-enhanced BNF represents a transformative approach that integrates modern technologies to optimize nitrogen fixation (Guo et al., 2025). Advances in genomics, microbial engineering, and precision agriculture have significantly improved BNF efficiency (Nkurunziza et al., 2025). These innovations enable the development of high nitrogen-fixing legume varieties capable of sustaining productivity under diverse conditions (</w:t>
      </w:r>
      <w:proofErr w:type="spellStart"/>
      <w:r>
        <w:rPr>
          <w:rFonts w:ascii="Times New Roman" w:hAnsi="Times New Roman" w:cs="Times New Roman"/>
          <w:sz w:val="24"/>
          <w:szCs w:val="24"/>
        </w:rPr>
        <w:t>Lépiz</w:t>
      </w:r>
      <w:proofErr w:type="spellEnd"/>
      <w:r>
        <w:rPr>
          <w:rFonts w:ascii="Times New Roman" w:hAnsi="Times New Roman" w:cs="Times New Roman"/>
          <w:sz w:val="24"/>
          <w:szCs w:val="24"/>
        </w:rPr>
        <w:t>-Ildefonso et al., 2024). Despite these advancements, challenges related to scalability, cost, and environmental variability remain (Jafari et al., 2024). The integration of precision-enhanced BNF into agricultural systems offers a promising pathway for achieving sustainable intensification (Mukherjee and Sen, 2021). Future research should focus on addressing existing gaps and promoting the adoption of these technologies (Tilman et al., 2021). Overall, precision-enhanced BNF has the potential to revolutionize nitrogen management in agriculture and contribute to global food security.</w:t>
      </w:r>
    </w:p>
    <w:p w14:paraId="0E9AAA71" w14:textId="4A4D4181" w:rsidR="007F6049" w:rsidRDefault="009205B1" w:rsidP="009205B1">
      <w:pPr>
        <w:jc w:val="center"/>
        <w:rPr>
          <w:rFonts w:ascii="Times New Roman" w:hAnsi="Times New Roman" w:cs="Times New Roman"/>
          <w:b/>
          <w:bCs/>
          <w:sz w:val="24"/>
          <w:szCs w:val="24"/>
        </w:rPr>
      </w:pPr>
      <w:r>
        <w:rPr>
          <w:rFonts w:ascii="Times New Roman" w:hAnsi="Times New Roman" w:cs="Times New Roman"/>
          <w:b/>
          <w:bCs/>
          <w:sz w:val="24"/>
          <w:szCs w:val="24"/>
        </w:rPr>
        <w:t>REFERENCES</w:t>
      </w:r>
    </w:p>
    <w:p w14:paraId="5E897190"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Araújo, S. S., Beebe, S., Crespi, M., </w:t>
      </w:r>
      <w:proofErr w:type="spellStart"/>
      <w:r>
        <w:rPr>
          <w:rFonts w:ascii="Times New Roman" w:hAnsi="Times New Roman" w:cs="Times New Roman"/>
          <w:sz w:val="24"/>
          <w:szCs w:val="24"/>
        </w:rPr>
        <w:t>Delbreil</w:t>
      </w:r>
      <w:proofErr w:type="spellEnd"/>
      <w:r>
        <w:rPr>
          <w:rFonts w:ascii="Times New Roman" w:hAnsi="Times New Roman" w:cs="Times New Roman"/>
          <w:sz w:val="24"/>
          <w:szCs w:val="24"/>
        </w:rPr>
        <w:t xml:space="preserve">, B., González, E. M., Gruber, V., </w:t>
      </w:r>
      <w:proofErr w:type="spellStart"/>
      <w:r>
        <w:rPr>
          <w:rFonts w:ascii="Times New Roman" w:hAnsi="Times New Roman" w:cs="Times New Roman"/>
          <w:sz w:val="24"/>
          <w:szCs w:val="24"/>
        </w:rPr>
        <w:t>Lejeune-Hénaut</w:t>
      </w:r>
      <w:proofErr w:type="spellEnd"/>
      <w:r>
        <w:rPr>
          <w:rFonts w:ascii="Times New Roman" w:hAnsi="Times New Roman" w:cs="Times New Roman"/>
          <w:sz w:val="24"/>
          <w:szCs w:val="24"/>
        </w:rPr>
        <w:t xml:space="preserve">, I., Link, W., Monteros, M., Prats, E., Rao, I., </w:t>
      </w:r>
      <w:proofErr w:type="spellStart"/>
      <w:r>
        <w:rPr>
          <w:rFonts w:ascii="Times New Roman" w:hAnsi="Times New Roman" w:cs="Times New Roman"/>
          <w:sz w:val="24"/>
          <w:szCs w:val="24"/>
        </w:rPr>
        <w:t>Vadez</w:t>
      </w:r>
      <w:proofErr w:type="spellEnd"/>
      <w:r>
        <w:rPr>
          <w:rFonts w:ascii="Times New Roman" w:hAnsi="Times New Roman" w:cs="Times New Roman"/>
          <w:sz w:val="24"/>
          <w:szCs w:val="24"/>
        </w:rPr>
        <w:t xml:space="preserve">, V., &amp; Vaz Patto, M. C. (2019). Abiotic stress responses in legumes: Strategies used to cope with environmental challenges. </w:t>
      </w:r>
      <w:r>
        <w:rPr>
          <w:rFonts w:ascii="Times New Roman" w:hAnsi="Times New Roman" w:cs="Times New Roman"/>
          <w:i/>
          <w:iCs/>
          <w:sz w:val="24"/>
          <w:szCs w:val="24"/>
        </w:rPr>
        <w:t>Critical Reviews in Plant Sciences</w:t>
      </w:r>
      <w:r>
        <w:rPr>
          <w:rFonts w:ascii="Times New Roman" w:hAnsi="Times New Roman" w:cs="Times New Roman"/>
          <w:sz w:val="24"/>
          <w:szCs w:val="24"/>
        </w:rPr>
        <w:t xml:space="preserve">, 38(2), 81–103. </w:t>
      </w:r>
      <w:hyperlink r:id="rId7" w:history="1">
        <w:r w:rsidR="007F6049">
          <w:rPr>
            <w:rStyle w:val="Hyperlink"/>
            <w:rFonts w:ascii="Times New Roman" w:hAnsi="Times New Roman" w:cs="Times New Roman"/>
            <w:sz w:val="24"/>
            <w:szCs w:val="24"/>
          </w:rPr>
          <w:t>https://doi.org/10.1080/07352689.2019.1595651</w:t>
        </w:r>
      </w:hyperlink>
    </w:p>
    <w:p w14:paraId="59D68A36"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Bantilan, M. C. S., &amp; Johansen, C. (1995). Biological nitrogen fixation in grain legumes: Potential and constraints in Asia. </w:t>
      </w:r>
      <w:r>
        <w:rPr>
          <w:rFonts w:ascii="Times New Roman" w:hAnsi="Times New Roman" w:cs="Times New Roman"/>
          <w:i/>
          <w:iCs/>
          <w:sz w:val="24"/>
          <w:szCs w:val="24"/>
        </w:rPr>
        <w:t>Plant and Soil</w:t>
      </w:r>
      <w:r>
        <w:rPr>
          <w:rFonts w:ascii="Times New Roman" w:hAnsi="Times New Roman" w:cs="Times New Roman"/>
          <w:sz w:val="24"/>
          <w:szCs w:val="24"/>
        </w:rPr>
        <w:t xml:space="preserve">, 174, 95–105. </w:t>
      </w:r>
      <w:hyperlink r:id="rId8" w:history="1">
        <w:r w:rsidR="007F6049">
          <w:rPr>
            <w:rStyle w:val="Hyperlink"/>
            <w:rFonts w:ascii="Times New Roman" w:hAnsi="Times New Roman" w:cs="Times New Roman"/>
            <w:sz w:val="24"/>
            <w:szCs w:val="24"/>
          </w:rPr>
          <w:t>https://doi.org/10.1007/BF00032252</w:t>
        </w:r>
      </w:hyperlink>
    </w:p>
    <w:p w14:paraId="16811ED9"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Berendsen, R. L., Pieterse, C. M. J., &amp; Bakker, P. A. H. M. (2012). The rhizosphere microbiome and plant health. </w:t>
      </w:r>
      <w:r>
        <w:rPr>
          <w:rFonts w:ascii="Times New Roman" w:hAnsi="Times New Roman" w:cs="Times New Roman"/>
          <w:i/>
          <w:iCs/>
          <w:sz w:val="24"/>
          <w:szCs w:val="24"/>
        </w:rPr>
        <w:t>Trends in Plant Science</w:t>
      </w:r>
      <w:r>
        <w:rPr>
          <w:rFonts w:ascii="Times New Roman" w:hAnsi="Times New Roman" w:cs="Times New Roman"/>
          <w:sz w:val="24"/>
          <w:szCs w:val="24"/>
        </w:rPr>
        <w:t xml:space="preserve">, 17(8), 478–486. </w:t>
      </w:r>
      <w:hyperlink r:id="rId9" w:history="1">
        <w:r w:rsidR="007F6049">
          <w:rPr>
            <w:rStyle w:val="Hyperlink"/>
            <w:rFonts w:ascii="Times New Roman" w:hAnsi="Times New Roman" w:cs="Times New Roman"/>
            <w:sz w:val="24"/>
            <w:szCs w:val="24"/>
          </w:rPr>
          <w:t>https://doi.org/10.1016/j.tplants.2012.04.001</w:t>
        </w:r>
      </w:hyperlink>
    </w:p>
    <w:p w14:paraId="72892D84"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Chen, L., Yang, H., Fang, Y., Guo, W., Chen, H., Zhang, X., Dai, W., Chen, S., Hao, Q., Yuan, S., Yu, D., &amp; Chen, S. (2020). Application of CRISPR/Cas9 technology in plant nitrogen fixation research. </w:t>
      </w:r>
      <w:r>
        <w:rPr>
          <w:rFonts w:ascii="Times New Roman" w:hAnsi="Times New Roman" w:cs="Times New Roman"/>
          <w:i/>
          <w:iCs/>
          <w:sz w:val="24"/>
          <w:szCs w:val="24"/>
        </w:rPr>
        <w:t>Plant Biotechnology Journal</w:t>
      </w:r>
      <w:r>
        <w:rPr>
          <w:rFonts w:ascii="Times New Roman" w:hAnsi="Times New Roman" w:cs="Times New Roman"/>
          <w:sz w:val="24"/>
          <w:szCs w:val="24"/>
        </w:rPr>
        <w:t xml:space="preserve">, 18(6), 1426–1436. </w:t>
      </w:r>
      <w:hyperlink r:id="rId10" w:history="1">
        <w:r w:rsidR="007F6049">
          <w:rPr>
            <w:rStyle w:val="Hyperlink"/>
            <w:rFonts w:ascii="Times New Roman" w:hAnsi="Times New Roman" w:cs="Times New Roman"/>
            <w:sz w:val="24"/>
            <w:szCs w:val="24"/>
          </w:rPr>
          <w:t>https://doi.org/10.1111/pbi.13305</w:t>
        </w:r>
      </w:hyperlink>
    </w:p>
    <w:p w14:paraId="13A4141F" w14:textId="77777777" w:rsidR="007F6049" w:rsidRDefault="001C255B">
      <w:pPr>
        <w:jc w:val="both"/>
        <w:rPr>
          <w:rFonts w:ascii="Times New Roman" w:hAnsi="Times New Roman" w:cs="Times New Roman"/>
          <w:sz w:val="24"/>
          <w:szCs w:val="24"/>
        </w:rPr>
      </w:pPr>
      <w:proofErr w:type="spellStart"/>
      <w:r>
        <w:rPr>
          <w:rFonts w:ascii="Times New Roman" w:hAnsi="Times New Roman" w:cs="Times New Roman"/>
          <w:sz w:val="24"/>
          <w:szCs w:val="24"/>
        </w:rPr>
        <w:t>Compant</w:t>
      </w:r>
      <w:proofErr w:type="spellEnd"/>
      <w:r>
        <w:rPr>
          <w:rFonts w:ascii="Times New Roman" w:hAnsi="Times New Roman" w:cs="Times New Roman"/>
          <w:sz w:val="24"/>
          <w:szCs w:val="24"/>
        </w:rPr>
        <w:t xml:space="preserve">, S., Samad, A., Faist, H., &amp; </w:t>
      </w:r>
      <w:proofErr w:type="spellStart"/>
      <w:r>
        <w:rPr>
          <w:rFonts w:ascii="Times New Roman" w:hAnsi="Times New Roman" w:cs="Times New Roman"/>
          <w:sz w:val="24"/>
          <w:szCs w:val="24"/>
        </w:rPr>
        <w:t>Sessitsch</w:t>
      </w:r>
      <w:proofErr w:type="spellEnd"/>
      <w:r>
        <w:rPr>
          <w:rFonts w:ascii="Times New Roman" w:hAnsi="Times New Roman" w:cs="Times New Roman"/>
          <w:sz w:val="24"/>
          <w:szCs w:val="24"/>
        </w:rPr>
        <w:t xml:space="preserve">, A. (2019). A review on the plant microbiome: Ecology, functions, and emerging trends. </w:t>
      </w:r>
      <w:r>
        <w:rPr>
          <w:rFonts w:ascii="Times New Roman" w:hAnsi="Times New Roman" w:cs="Times New Roman"/>
          <w:i/>
          <w:iCs/>
          <w:sz w:val="24"/>
          <w:szCs w:val="24"/>
        </w:rPr>
        <w:t>Microbiome</w:t>
      </w:r>
      <w:r>
        <w:rPr>
          <w:rFonts w:ascii="Times New Roman" w:hAnsi="Times New Roman" w:cs="Times New Roman"/>
          <w:sz w:val="24"/>
          <w:szCs w:val="24"/>
        </w:rPr>
        <w:t xml:space="preserve">, 7, 29. </w:t>
      </w:r>
      <w:hyperlink r:id="rId11" w:history="1">
        <w:r w:rsidR="007F6049">
          <w:rPr>
            <w:rStyle w:val="Hyperlink"/>
            <w:rFonts w:ascii="Times New Roman" w:hAnsi="Times New Roman" w:cs="Times New Roman"/>
            <w:sz w:val="24"/>
            <w:szCs w:val="24"/>
          </w:rPr>
          <w:t>https://doi.org/10.1186/s40168-019-0667-4</w:t>
        </w:r>
      </w:hyperlink>
    </w:p>
    <w:p w14:paraId="18A4A3C9"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Crossa, J., Pérez-Rodríguez, P., Cuevas, J., Montesinos-López, O., Jarquín, D., de Los Campos, G., Burgueño, J., González-Camacho, J. M., Pérez-Elizalde, S., Beyene, Y., </w:t>
      </w:r>
      <w:proofErr w:type="spellStart"/>
      <w:r>
        <w:rPr>
          <w:rFonts w:ascii="Times New Roman" w:hAnsi="Times New Roman" w:cs="Times New Roman"/>
          <w:sz w:val="24"/>
          <w:szCs w:val="24"/>
        </w:rPr>
        <w:t>Dreisigacker</w:t>
      </w:r>
      <w:proofErr w:type="spellEnd"/>
      <w:r>
        <w:rPr>
          <w:rFonts w:ascii="Times New Roman" w:hAnsi="Times New Roman" w:cs="Times New Roman"/>
          <w:sz w:val="24"/>
          <w:szCs w:val="24"/>
        </w:rPr>
        <w:t xml:space="preserve">, S., Singh, R., Zhang, X., Gowda, M., </w:t>
      </w:r>
      <w:proofErr w:type="spellStart"/>
      <w:r>
        <w:rPr>
          <w:rFonts w:ascii="Times New Roman" w:hAnsi="Times New Roman" w:cs="Times New Roman"/>
          <w:sz w:val="24"/>
          <w:szCs w:val="24"/>
        </w:rPr>
        <w:t>Roorkiwal</w:t>
      </w:r>
      <w:proofErr w:type="spellEnd"/>
      <w:r>
        <w:rPr>
          <w:rFonts w:ascii="Times New Roman" w:hAnsi="Times New Roman" w:cs="Times New Roman"/>
          <w:sz w:val="24"/>
          <w:szCs w:val="24"/>
        </w:rPr>
        <w:t xml:space="preserve">, M., Rutkoski, J., Varshney, R. K., &amp; Hickey, J. M. (2017). Genomic selection in plant breeding: Methods, models, and perspectives. </w:t>
      </w:r>
      <w:r>
        <w:rPr>
          <w:rFonts w:ascii="Times New Roman" w:hAnsi="Times New Roman" w:cs="Times New Roman"/>
          <w:i/>
          <w:iCs/>
          <w:sz w:val="24"/>
          <w:szCs w:val="24"/>
        </w:rPr>
        <w:t>Trends in Plant Science</w:t>
      </w:r>
      <w:r>
        <w:rPr>
          <w:rFonts w:ascii="Times New Roman" w:hAnsi="Times New Roman" w:cs="Times New Roman"/>
          <w:sz w:val="24"/>
          <w:szCs w:val="24"/>
        </w:rPr>
        <w:t xml:space="preserve">, 22(11), 961–975. </w:t>
      </w:r>
      <w:hyperlink r:id="rId12" w:history="1">
        <w:r w:rsidR="007F6049">
          <w:rPr>
            <w:rStyle w:val="Hyperlink"/>
            <w:rFonts w:ascii="Times New Roman" w:hAnsi="Times New Roman" w:cs="Times New Roman"/>
            <w:sz w:val="24"/>
            <w:szCs w:val="24"/>
          </w:rPr>
          <w:t>https://doi.org/10.1016/j.tplants.2017.08.011</w:t>
        </w:r>
      </w:hyperlink>
    </w:p>
    <w:p w14:paraId="7F2C042C"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Drinkwater, L. E., Wagoner, P., &amp; </w:t>
      </w:r>
      <w:proofErr w:type="spellStart"/>
      <w:r>
        <w:rPr>
          <w:rFonts w:ascii="Times New Roman" w:hAnsi="Times New Roman" w:cs="Times New Roman"/>
          <w:sz w:val="24"/>
          <w:szCs w:val="24"/>
        </w:rPr>
        <w:t>Sarrantonio</w:t>
      </w:r>
      <w:proofErr w:type="spellEnd"/>
      <w:r>
        <w:rPr>
          <w:rFonts w:ascii="Times New Roman" w:hAnsi="Times New Roman" w:cs="Times New Roman"/>
          <w:sz w:val="24"/>
          <w:szCs w:val="24"/>
        </w:rPr>
        <w:t xml:space="preserve">, M. (1998). Legume-based cropping systems have reduced carbon and nitrogen losses. </w:t>
      </w:r>
      <w:r>
        <w:rPr>
          <w:rFonts w:ascii="Times New Roman" w:hAnsi="Times New Roman" w:cs="Times New Roman"/>
          <w:i/>
          <w:iCs/>
          <w:sz w:val="24"/>
          <w:szCs w:val="24"/>
        </w:rPr>
        <w:t>Nature</w:t>
      </w:r>
      <w:r>
        <w:rPr>
          <w:rFonts w:ascii="Times New Roman" w:hAnsi="Times New Roman" w:cs="Times New Roman"/>
          <w:sz w:val="24"/>
          <w:szCs w:val="24"/>
        </w:rPr>
        <w:t xml:space="preserve">, 396, 262–265. </w:t>
      </w:r>
      <w:hyperlink r:id="rId13" w:history="1">
        <w:r w:rsidR="007F6049">
          <w:rPr>
            <w:rStyle w:val="Hyperlink"/>
            <w:rFonts w:ascii="Times New Roman" w:hAnsi="Times New Roman" w:cs="Times New Roman"/>
            <w:sz w:val="24"/>
            <w:szCs w:val="24"/>
          </w:rPr>
          <w:t>https://doi.org/10.1038/24376</w:t>
        </w:r>
      </w:hyperlink>
    </w:p>
    <w:p w14:paraId="56A907FD"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Dwivedi, S. L., </w:t>
      </w:r>
      <w:proofErr w:type="spellStart"/>
      <w:r>
        <w:rPr>
          <w:rFonts w:ascii="Times New Roman" w:hAnsi="Times New Roman" w:cs="Times New Roman"/>
          <w:sz w:val="24"/>
          <w:szCs w:val="24"/>
        </w:rPr>
        <w:t>Sahrawat</w:t>
      </w:r>
      <w:proofErr w:type="spellEnd"/>
      <w:r>
        <w:rPr>
          <w:rFonts w:ascii="Times New Roman" w:hAnsi="Times New Roman" w:cs="Times New Roman"/>
          <w:sz w:val="24"/>
          <w:szCs w:val="24"/>
        </w:rPr>
        <w:t xml:space="preserve">, K. L., Upadhyaya, H. D., Ortiz, R., &amp; Kumar, S. (2015). Enhancing nitrogen fixation in legumes through breeding. </w:t>
      </w:r>
      <w:r>
        <w:rPr>
          <w:rFonts w:ascii="Times New Roman" w:hAnsi="Times New Roman" w:cs="Times New Roman"/>
          <w:i/>
          <w:iCs/>
          <w:sz w:val="24"/>
          <w:szCs w:val="24"/>
        </w:rPr>
        <w:t>Plant Breeding Reviews</w:t>
      </w:r>
      <w:r>
        <w:rPr>
          <w:rFonts w:ascii="Times New Roman" w:hAnsi="Times New Roman" w:cs="Times New Roman"/>
          <w:sz w:val="24"/>
          <w:szCs w:val="24"/>
        </w:rPr>
        <w:t xml:space="preserve">, 39, 1–40. </w:t>
      </w:r>
      <w:hyperlink r:id="rId14" w:history="1">
        <w:r w:rsidR="007F6049">
          <w:rPr>
            <w:rStyle w:val="Hyperlink"/>
            <w:rFonts w:ascii="Times New Roman" w:hAnsi="Times New Roman" w:cs="Times New Roman"/>
            <w:sz w:val="24"/>
            <w:szCs w:val="24"/>
          </w:rPr>
          <w:t>https://doi.org/10.1002/9781119107743.ch01</w:t>
        </w:r>
      </w:hyperlink>
    </w:p>
    <w:p w14:paraId="2DA4666E" w14:textId="77777777" w:rsidR="007F6049" w:rsidRDefault="001C255B">
      <w:pPr>
        <w:jc w:val="both"/>
        <w:rPr>
          <w:rFonts w:ascii="Times New Roman" w:hAnsi="Times New Roman" w:cs="Times New Roman"/>
          <w:sz w:val="24"/>
          <w:szCs w:val="24"/>
        </w:rPr>
      </w:pPr>
      <w:proofErr w:type="spellStart"/>
      <w:r>
        <w:rPr>
          <w:rFonts w:ascii="Times New Roman" w:hAnsi="Times New Roman" w:cs="Times New Roman"/>
          <w:sz w:val="24"/>
          <w:szCs w:val="24"/>
        </w:rPr>
        <w:t>Gebbers</w:t>
      </w:r>
      <w:proofErr w:type="spellEnd"/>
      <w:r>
        <w:rPr>
          <w:rFonts w:ascii="Times New Roman" w:hAnsi="Times New Roman" w:cs="Times New Roman"/>
          <w:sz w:val="24"/>
          <w:szCs w:val="24"/>
        </w:rPr>
        <w:t xml:space="preserve">, R., &amp; Adamchuk, V. I. (2010). Precision agriculture and food security. </w:t>
      </w:r>
      <w:r>
        <w:rPr>
          <w:rFonts w:ascii="Times New Roman" w:hAnsi="Times New Roman" w:cs="Times New Roman"/>
          <w:i/>
          <w:iCs/>
          <w:sz w:val="24"/>
          <w:szCs w:val="24"/>
        </w:rPr>
        <w:t>Science</w:t>
      </w:r>
      <w:r>
        <w:rPr>
          <w:rFonts w:ascii="Times New Roman" w:hAnsi="Times New Roman" w:cs="Times New Roman"/>
          <w:sz w:val="24"/>
          <w:szCs w:val="24"/>
        </w:rPr>
        <w:t xml:space="preserve">, 327(5967), 828–831. </w:t>
      </w:r>
      <w:hyperlink r:id="rId15" w:history="1">
        <w:r w:rsidR="007F6049">
          <w:rPr>
            <w:rStyle w:val="Hyperlink"/>
            <w:rFonts w:ascii="Times New Roman" w:hAnsi="Times New Roman" w:cs="Times New Roman"/>
            <w:sz w:val="24"/>
            <w:szCs w:val="24"/>
          </w:rPr>
          <w:t>https://doi.org/10.1126/science.1183899</w:t>
        </w:r>
      </w:hyperlink>
    </w:p>
    <w:p w14:paraId="16FA448F"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Guo, X., Li, Y., Zhang, M., Chen, H., Liu, Y., &amp; Zhao, X. (2025). Optimizing nitrogen and phosphorus fertilization for enhancing biological nitrogen fixation in mung bean. </w:t>
      </w:r>
      <w:r>
        <w:rPr>
          <w:rFonts w:ascii="Times New Roman" w:hAnsi="Times New Roman" w:cs="Times New Roman"/>
          <w:i/>
          <w:iCs/>
          <w:sz w:val="24"/>
          <w:szCs w:val="24"/>
        </w:rPr>
        <w:t>Field Crops Research</w:t>
      </w:r>
      <w:r>
        <w:rPr>
          <w:rFonts w:ascii="Times New Roman" w:hAnsi="Times New Roman" w:cs="Times New Roman"/>
          <w:sz w:val="24"/>
          <w:szCs w:val="24"/>
        </w:rPr>
        <w:t xml:space="preserve">, 320, 109678. </w:t>
      </w:r>
      <w:hyperlink r:id="rId16" w:history="1">
        <w:r w:rsidR="007F6049">
          <w:rPr>
            <w:rStyle w:val="Hyperlink"/>
            <w:rFonts w:ascii="Times New Roman" w:hAnsi="Times New Roman" w:cs="Times New Roman"/>
            <w:sz w:val="24"/>
            <w:szCs w:val="24"/>
          </w:rPr>
          <w:t>https://doi.org/10.1016/j.fcr.2025.109678</w:t>
        </w:r>
      </w:hyperlink>
    </w:p>
    <w:p w14:paraId="1A24D713"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Hardy, R. W. F., Holsten, R. D., Jackson, E. K., &amp; Burns, R. C. (1968). The acetylene–ethylene assay for nitrogen fixation. </w:t>
      </w:r>
      <w:r>
        <w:rPr>
          <w:rFonts w:ascii="Times New Roman" w:hAnsi="Times New Roman" w:cs="Times New Roman"/>
          <w:i/>
          <w:iCs/>
          <w:sz w:val="24"/>
          <w:szCs w:val="24"/>
        </w:rPr>
        <w:t>Plant Physiology</w:t>
      </w:r>
      <w:r>
        <w:rPr>
          <w:rFonts w:ascii="Times New Roman" w:hAnsi="Times New Roman" w:cs="Times New Roman"/>
          <w:sz w:val="24"/>
          <w:szCs w:val="24"/>
        </w:rPr>
        <w:t xml:space="preserve">, 43(8), 1185–1207. </w:t>
      </w:r>
      <w:hyperlink r:id="rId17" w:history="1">
        <w:r w:rsidR="007F6049">
          <w:rPr>
            <w:rStyle w:val="Hyperlink"/>
            <w:rFonts w:ascii="Times New Roman" w:hAnsi="Times New Roman" w:cs="Times New Roman"/>
            <w:sz w:val="24"/>
            <w:szCs w:val="24"/>
          </w:rPr>
          <w:t>https://doi.org/10.1104/pp.43.8.1185</w:t>
        </w:r>
      </w:hyperlink>
    </w:p>
    <w:p w14:paraId="125BC56D"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Herridge, D. F., Peoples, M. B., &amp; </w:t>
      </w:r>
      <w:proofErr w:type="spellStart"/>
      <w:r>
        <w:rPr>
          <w:rFonts w:ascii="Times New Roman" w:hAnsi="Times New Roman" w:cs="Times New Roman"/>
          <w:sz w:val="24"/>
          <w:szCs w:val="24"/>
        </w:rPr>
        <w:t>Boddey</w:t>
      </w:r>
      <w:proofErr w:type="spellEnd"/>
      <w:r>
        <w:rPr>
          <w:rFonts w:ascii="Times New Roman" w:hAnsi="Times New Roman" w:cs="Times New Roman"/>
          <w:sz w:val="24"/>
          <w:szCs w:val="24"/>
        </w:rPr>
        <w:t xml:space="preserve">, R. M. (2008). Global inputs of biological nitrogen fixation in agricultural systems. </w:t>
      </w:r>
      <w:r>
        <w:rPr>
          <w:rFonts w:ascii="Times New Roman" w:hAnsi="Times New Roman" w:cs="Times New Roman"/>
          <w:i/>
          <w:iCs/>
          <w:sz w:val="24"/>
          <w:szCs w:val="24"/>
        </w:rPr>
        <w:t>Plant and Soil</w:t>
      </w:r>
      <w:r>
        <w:rPr>
          <w:rFonts w:ascii="Times New Roman" w:hAnsi="Times New Roman" w:cs="Times New Roman"/>
          <w:sz w:val="24"/>
          <w:szCs w:val="24"/>
        </w:rPr>
        <w:t xml:space="preserve">, 311, 1–18. </w:t>
      </w:r>
      <w:hyperlink r:id="rId18" w:history="1">
        <w:r w:rsidR="007F6049">
          <w:rPr>
            <w:rStyle w:val="Hyperlink"/>
            <w:rFonts w:ascii="Times New Roman" w:hAnsi="Times New Roman" w:cs="Times New Roman"/>
            <w:sz w:val="24"/>
            <w:szCs w:val="24"/>
          </w:rPr>
          <w:t>https://doi.org/10.1007/s11104-008-9668-3</w:t>
        </w:r>
      </w:hyperlink>
    </w:p>
    <w:p w14:paraId="65B1B20C"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Herridge, D. F., Peoples, M. B., &amp; Giller, K. E. (2021). Biological nitrogen fixation in sustainable agriculture. </w:t>
      </w:r>
      <w:r>
        <w:rPr>
          <w:rFonts w:ascii="Times New Roman" w:hAnsi="Times New Roman" w:cs="Times New Roman"/>
          <w:i/>
          <w:iCs/>
          <w:sz w:val="24"/>
          <w:szCs w:val="24"/>
        </w:rPr>
        <w:t>Agronomy Journal</w:t>
      </w:r>
      <w:r>
        <w:rPr>
          <w:rFonts w:ascii="Times New Roman" w:hAnsi="Times New Roman" w:cs="Times New Roman"/>
          <w:sz w:val="24"/>
          <w:szCs w:val="24"/>
        </w:rPr>
        <w:t xml:space="preserve">, 113(1), 1–12. </w:t>
      </w:r>
      <w:hyperlink r:id="rId19" w:history="1">
        <w:r w:rsidR="007F6049">
          <w:rPr>
            <w:rStyle w:val="Hyperlink"/>
            <w:rFonts w:ascii="Times New Roman" w:hAnsi="Times New Roman" w:cs="Times New Roman"/>
            <w:sz w:val="24"/>
            <w:szCs w:val="24"/>
          </w:rPr>
          <w:t>https://doi.org/10.1002/agj2.20489</w:t>
        </w:r>
      </w:hyperlink>
    </w:p>
    <w:p w14:paraId="6D087330"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Hungria, M., Nogueira, M. A., &amp; Araujo, R. S. (2020). Biological nitrogen fixation in soybean: Advances and challenges. </w:t>
      </w:r>
      <w:r>
        <w:rPr>
          <w:rFonts w:ascii="Times New Roman" w:hAnsi="Times New Roman" w:cs="Times New Roman"/>
          <w:i/>
          <w:iCs/>
          <w:sz w:val="24"/>
          <w:szCs w:val="24"/>
        </w:rPr>
        <w:t>Plant and Soil</w:t>
      </w:r>
      <w:r>
        <w:rPr>
          <w:rFonts w:ascii="Times New Roman" w:hAnsi="Times New Roman" w:cs="Times New Roman"/>
          <w:sz w:val="24"/>
          <w:szCs w:val="24"/>
        </w:rPr>
        <w:t xml:space="preserve">, 452, 1–19. </w:t>
      </w:r>
      <w:hyperlink r:id="rId20" w:history="1">
        <w:r w:rsidR="007F6049">
          <w:rPr>
            <w:rStyle w:val="Hyperlink"/>
            <w:rFonts w:ascii="Times New Roman" w:hAnsi="Times New Roman" w:cs="Times New Roman"/>
            <w:sz w:val="24"/>
            <w:szCs w:val="24"/>
          </w:rPr>
          <w:t>https://doi.org/10.1007/s11104-020-04529-2</w:t>
        </w:r>
      </w:hyperlink>
    </w:p>
    <w:p w14:paraId="7837E9CD"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Jafari, A., Mahdavi, S. M., &amp; Rezaei, E. E. (2024). Raman spectroscopy for rapid detection of nitrogen fixation in legumes. </w:t>
      </w:r>
      <w:r>
        <w:rPr>
          <w:rFonts w:ascii="Times New Roman" w:hAnsi="Times New Roman" w:cs="Times New Roman"/>
          <w:i/>
          <w:iCs/>
          <w:sz w:val="24"/>
          <w:szCs w:val="24"/>
        </w:rPr>
        <w:t>Biosystems Engineering</w:t>
      </w:r>
      <w:r>
        <w:rPr>
          <w:rFonts w:ascii="Times New Roman" w:hAnsi="Times New Roman" w:cs="Times New Roman"/>
          <w:sz w:val="24"/>
          <w:szCs w:val="24"/>
        </w:rPr>
        <w:t xml:space="preserve">, 238, 45–56. </w:t>
      </w:r>
      <w:hyperlink r:id="rId21" w:history="1">
        <w:r w:rsidR="007F6049">
          <w:rPr>
            <w:rStyle w:val="Hyperlink"/>
            <w:rFonts w:ascii="Times New Roman" w:hAnsi="Times New Roman" w:cs="Times New Roman"/>
            <w:sz w:val="24"/>
            <w:szCs w:val="24"/>
          </w:rPr>
          <w:t>https://doi.org/10.1016/j.biosystemseng.2024.01.005</w:t>
        </w:r>
      </w:hyperlink>
    </w:p>
    <w:p w14:paraId="141156EF" w14:textId="77777777" w:rsidR="007F6049" w:rsidRDefault="001C255B">
      <w:pPr>
        <w:jc w:val="both"/>
        <w:rPr>
          <w:rFonts w:ascii="Times New Roman" w:hAnsi="Times New Roman" w:cs="Times New Roman"/>
          <w:sz w:val="24"/>
          <w:szCs w:val="24"/>
        </w:rPr>
      </w:pPr>
      <w:proofErr w:type="spellStart"/>
      <w:r>
        <w:rPr>
          <w:rFonts w:ascii="Times New Roman" w:hAnsi="Times New Roman" w:cs="Times New Roman"/>
          <w:sz w:val="24"/>
          <w:szCs w:val="24"/>
        </w:rPr>
        <w:t>Kaziūnienė</w:t>
      </w:r>
      <w:proofErr w:type="spellEnd"/>
      <w:r>
        <w:rPr>
          <w:rFonts w:ascii="Times New Roman" w:hAnsi="Times New Roman" w:cs="Times New Roman"/>
          <w:sz w:val="24"/>
          <w:szCs w:val="24"/>
        </w:rPr>
        <w:t>, J., et al. (2025). </w:t>
      </w:r>
      <w:r>
        <w:rPr>
          <w:rFonts w:ascii="Times New Roman" w:hAnsi="Times New Roman" w:cs="Times New Roman"/>
          <w:i/>
          <w:iCs/>
          <w:sz w:val="24"/>
          <w:szCs w:val="24"/>
        </w:rPr>
        <w:t>Enhancing Biological Nitrogen Fixation in Legumes through Precision Strain Selection and Biopreparations</w:t>
      </w:r>
      <w:r>
        <w:rPr>
          <w:rFonts w:ascii="Times New Roman" w:hAnsi="Times New Roman" w:cs="Times New Roman"/>
          <w:sz w:val="24"/>
          <w:szCs w:val="24"/>
        </w:rPr>
        <w:t>. Agriculture, 15(1), 1784.</w:t>
      </w:r>
    </w:p>
    <w:p w14:paraId="7840D33B"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Kumar, J., Choudhary, A. K., Solanki, R. K., &amp; Pratap, A. (2018). Advances in genomics of legumes. </w:t>
      </w:r>
      <w:r>
        <w:rPr>
          <w:rFonts w:ascii="Times New Roman" w:hAnsi="Times New Roman" w:cs="Times New Roman"/>
          <w:i/>
          <w:iCs/>
          <w:sz w:val="24"/>
          <w:szCs w:val="24"/>
        </w:rPr>
        <w:t>Plant Cell Reports</w:t>
      </w:r>
      <w:r>
        <w:rPr>
          <w:rFonts w:ascii="Times New Roman" w:hAnsi="Times New Roman" w:cs="Times New Roman"/>
          <w:sz w:val="24"/>
          <w:szCs w:val="24"/>
        </w:rPr>
        <w:t xml:space="preserve">, 37, 1–18. </w:t>
      </w:r>
      <w:hyperlink r:id="rId22" w:history="1">
        <w:r w:rsidR="007F6049">
          <w:rPr>
            <w:rStyle w:val="Hyperlink"/>
            <w:rFonts w:ascii="Times New Roman" w:hAnsi="Times New Roman" w:cs="Times New Roman"/>
            <w:sz w:val="24"/>
            <w:szCs w:val="24"/>
          </w:rPr>
          <w:t>https://doi.org/10.1007/s00299-017-2229-6</w:t>
        </w:r>
      </w:hyperlink>
    </w:p>
    <w:p w14:paraId="69F4786A"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Ladha, J. K., Reddy, P. M., &amp; Padre, A. T. (2022). Role of biological nitrogen fixation in ecological intensification. </w:t>
      </w:r>
      <w:r>
        <w:rPr>
          <w:rFonts w:ascii="Times New Roman" w:hAnsi="Times New Roman" w:cs="Times New Roman"/>
          <w:i/>
          <w:iCs/>
          <w:sz w:val="24"/>
          <w:szCs w:val="24"/>
        </w:rPr>
        <w:t>Nature Reviews Earth &amp; Environment</w:t>
      </w:r>
      <w:r>
        <w:rPr>
          <w:rFonts w:ascii="Times New Roman" w:hAnsi="Times New Roman" w:cs="Times New Roman"/>
          <w:sz w:val="24"/>
          <w:szCs w:val="24"/>
        </w:rPr>
        <w:t xml:space="preserve">, 3, 403–416. </w:t>
      </w:r>
      <w:hyperlink r:id="rId23" w:history="1">
        <w:r w:rsidR="007F6049">
          <w:rPr>
            <w:rStyle w:val="Hyperlink"/>
            <w:rFonts w:ascii="Times New Roman" w:hAnsi="Times New Roman" w:cs="Times New Roman"/>
            <w:sz w:val="24"/>
            <w:szCs w:val="24"/>
          </w:rPr>
          <w:t>https://doi.org/10.1038/s43017-022-00291-9</w:t>
        </w:r>
      </w:hyperlink>
    </w:p>
    <w:p w14:paraId="62BC6F9E"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Liakos, K. G., Busato, P., </w:t>
      </w:r>
      <w:proofErr w:type="spellStart"/>
      <w:r>
        <w:rPr>
          <w:rFonts w:ascii="Times New Roman" w:hAnsi="Times New Roman" w:cs="Times New Roman"/>
          <w:sz w:val="24"/>
          <w:szCs w:val="24"/>
        </w:rPr>
        <w:t>Moshou</w:t>
      </w:r>
      <w:proofErr w:type="spellEnd"/>
      <w:r>
        <w:rPr>
          <w:rFonts w:ascii="Times New Roman" w:hAnsi="Times New Roman" w:cs="Times New Roman"/>
          <w:sz w:val="24"/>
          <w:szCs w:val="24"/>
        </w:rPr>
        <w:t xml:space="preserve">, D., Pearson, S., &amp; </w:t>
      </w:r>
      <w:proofErr w:type="spellStart"/>
      <w:r>
        <w:rPr>
          <w:rFonts w:ascii="Times New Roman" w:hAnsi="Times New Roman" w:cs="Times New Roman"/>
          <w:sz w:val="24"/>
          <w:szCs w:val="24"/>
        </w:rPr>
        <w:t>Bochtis</w:t>
      </w:r>
      <w:proofErr w:type="spellEnd"/>
      <w:r>
        <w:rPr>
          <w:rFonts w:ascii="Times New Roman" w:hAnsi="Times New Roman" w:cs="Times New Roman"/>
          <w:sz w:val="24"/>
          <w:szCs w:val="24"/>
        </w:rPr>
        <w:t xml:space="preserve">, D. (2018). Machine learning in agriculture: A review. </w:t>
      </w:r>
      <w:r>
        <w:rPr>
          <w:rFonts w:ascii="Times New Roman" w:hAnsi="Times New Roman" w:cs="Times New Roman"/>
          <w:i/>
          <w:iCs/>
          <w:sz w:val="24"/>
          <w:szCs w:val="24"/>
        </w:rPr>
        <w:t>Sensors</w:t>
      </w:r>
      <w:r>
        <w:rPr>
          <w:rFonts w:ascii="Times New Roman" w:hAnsi="Times New Roman" w:cs="Times New Roman"/>
          <w:sz w:val="24"/>
          <w:szCs w:val="24"/>
        </w:rPr>
        <w:t xml:space="preserve">, 18(8), 2674. </w:t>
      </w:r>
      <w:hyperlink r:id="rId24" w:history="1">
        <w:r w:rsidR="007F6049">
          <w:rPr>
            <w:rStyle w:val="Hyperlink"/>
            <w:rFonts w:ascii="Times New Roman" w:hAnsi="Times New Roman" w:cs="Times New Roman"/>
            <w:sz w:val="24"/>
            <w:szCs w:val="24"/>
          </w:rPr>
          <w:t>https://doi.org/10.3390/s18082674</w:t>
        </w:r>
      </w:hyperlink>
    </w:p>
    <w:p w14:paraId="7212FCED" w14:textId="77777777" w:rsidR="007F6049" w:rsidRDefault="001C255B">
      <w:pPr>
        <w:jc w:val="both"/>
        <w:rPr>
          <w:rFonts w:ascii="Times New Roman" w:hAnsi="Times New Roman" w:cs="Times New Roman"/>
          <w:sz w:val="24"/>
          <w:szCs w:val="24"/>
        </w:rPr>
      </w:pPr>
      <w:proofErr w:type="spellStart"/>
      <w:r>
        <w:rPr>
          <w:rFonts w:ascii="Times New Roman" w:hAnsi="Times New Roman" w:cs="Times New Roman"/>
          <w:sz w:val="24"/>
          <w:szCs w:val="24"/>
        </w:rPr>
        <w:t>Lépiz</w:t>
      </w:r>
      <w:proofErr w:type="spellEnd"/>
      <w:r>
        <w:rPr>
          <w:rFonts w:ascii="Times New Roman" w:hAnsi="Times New Roman" w:cs="Times New Roman"/>
          <w:sz w:val="24"/>
          <w:szCs w:val="24"/>
        </w:rPr>
        <w:t xml:space="preserve">-Ildefonso, R., López-López, A., &amp; Martínez-Romero, E. (2024). Nitrogen fixation efficiency in bean genotypes. </w:t>
      </w:r>
      <w:r>
        <w:rPr>
          <w:rFonts w:ascii="Times New Roman" w:hAnsi="Times New Roman" w:cs="Times New Roman"/>
          <w:i/>
          <w:iCs/>
          <w:sz w:val="24"/>
          <w:szCs w:val="24"/>
        </w:rPr>
        <w:t>Terra Latinoamericana</w:t>
      </w:r>
      <w:r>
        <w:rPr>
          <w:rFonts w:ascii="Times New Roman" w:hAnsi="Times New Roman" w:cs="Times New Roman"/>
          <w:sz w:val="24"/>
          <w:szCs w:val="24"/>
        </w:rPr>
        <w:t xml:space="preserve">, 42, e1082. </w:t>
      </w:r>
      <w:hyperlink r:id="rId25" w:history="1">
        <w:r w:rsidR="007F6049">
          <w:rPr>
            <w:rStyle w:val="Hyperlink"/>
            <w:rFonts w:ascii="Times New Roman" w:hAnsi="Times New Roman" w:cs="Times New Roman"/>
            <w:sz w:val="24"/>
            <w:szCs w:val="24"/>
          </w:rPr>
          <w:t>https://doi.org/10.28940/terra.v42i0.1082</w:t>
        </w:r>
      </w:hyperlink>
    </w:p>
    <w:p w14:paraId="5D7E0BF4"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Lipper, L., Thornton, P., Campbell, B. M., Baedeker, T., </w:t>
      </w:r>
      <w:proofErr w:type="spellStart"/>
      <w:r>
        <w:rPr>
          <w:rFonts w:ascii="Times New Roman" w:hAnsi="Times New Roman" w:cs="Times New Roman"/>
          <w:sz w:val="24"/>
          <w:szCs w:val="24"/>
        </w:rPr>
        <w:t>Braimoh</w:t>
      </w:r>
      <w:proofErr w:type="spellEnd"/>
      <w:r>
        <w:rPr>
          <w:rFonts w:ascii="Times New Roman" w:hAnsi="Times New Roman" w:cs="Times New Roman"/>
          <w:sz w:val="24"/>
          <w:szCs w:val="24"/>
        </w:rPr>
        <w:t xml:space="preserve">, A., Bwalya, M., Caron, P., Cattaneo, A., Garrity, D., Henry, K., Hottle, R., Jackson, L., Jarvis, A., </w:t>
      </w:r>
      <w:proofErr w:type="spellStart"/>
      <w:r>
        <w:rPr>
          <w:rFonts w:ascii="Times New Roman" w:hAnsi="Times New Roman" w:cs="Times New Roman"/>
          <w:sz w:val="24"/>
          <w:szCs w:val="24"/>
        </w:rPr>
        <w:t>Kossam</w:t>
      </w:r>
      <w:proofErr w:type="spellEnd"/>
      <w:r>
        <w:rPr>
          <w:rFonts w:ascii="Times New Roman" w:hAnsi="Times New Roman" w:cs="Times New Roman"/>
          <w:sz w:val="24"/>
          <w:szCs w:val="24"/>
        </w:rPr>
        <w:t xml:space="preserve">, F., Mann, W., McCarthy, N., </w:t>
      </w:r>
      <w:proofErr w:type="spellStart"/>
      <w:r>
        <w:rPr>
          <w:rFonts w:ascii="Times New Roman" w:hAnsi="Times New Roman" w:cs="Times New Roman"/>
          <w:sz w:val="24"/>
          <w:szCs w:val="24"/>
        </w:rPr>
        <w:t>Meybeck</w:t>
      </w:r>
      <w:proofErr w:type="spellEnd"/>
      <w:r>
        <w:rPr>
          <w:rFonts w:ascii="Times New Roman" w:hAnsi="Times New Roman" w:cs="Times New Roman"/>
          <w:sz w:val="24"/>
          <w:szCs w:val="24"/>
        </w:rPr>
        <w:t xml:space="preserve">, A., Neufeldt, H., Remington, T., … </w:t>
      </w:r>
      <w:proofErr w:type="spellStart"/>
      <w:r>
        <w:rPr>
          <w:rFonts w:ascii="Times New Roman" w:hAnsi="Times New Roman" w:cs="Times New Roman"/>
          <w:sz w:val="24"/>
          <w:szCs w:val="24"/>
        </w:rPr>
        <w:t>Torquebiau</w:t>
      </w:r>
      <w:proofErr w:type="spellEnd"/>
      <w:r>
        <w:rPr>
          <w:rFonts w:ascii="Times New Roman" w:hAnsi="Times New Roman" w:cs="Times New Roman"/>
          <w:sz w:val="24"/>
          <w:szCs w:val="24"/>
        </w:rPr>
        <w:t xml:space="preserve">, E. F. (2014). Climate-smart agriculture for food security. </w:t>
      </w:r>
      <w:r>
        <w:rPr>
          <w:rFonts w:ascii="Times New Roman" w:hAnsi="Times New Roman" w:cs="Times New Roman"/>
          <w:i/>
          <w:iCs/>
          <w:sz w:val="24"/>
          <w:szCs w:val="24"/>
        </w:rPr>
        <w:t>Nature Climate Change</w:t>
      </w:r>
      <w:r>
        <w:rPr>
          <w:rFonts w:ascii="Times New Roman" w:hAnsi="Times New Roman" w:cs="Times New Roman"/>
          <w:sz w:val="24"/>
          <w:szCs w:val="24"/>
        </w:rPr>
        <w:t xml:space="preserve">, 4, 1068–1072. </w:t>
      </w:r>
      <w:hyperlink r:id="rId26" w:history="1">
        <w:r w:rsidR="007F6049">
          <w:rPr>
            <w:rStyle w:val="Hyperlink"/>
            <w:rFonts w:ascii="Times New Roman" w:hAnsi="Times New Roman" w:cs="Times New Roman"/>
            <w:sz w:val="24"/>
            <w:szCs w:val="24"/>
          </w:rPr>
          <w:t>https://doi.org/10.1038/nclimate2437</w:t>
        </w:r>
      </w:hyperlink>
    </w:p>
    <w:p w14:paraId="479D7338" w14:textId="77777777" w:rsidR="007F6049" w:rsidRDefault="001C255B">
      <w:pPr>
        <w:jc w:val="both"/>
        <w:rPr>
          <w:rFonts w:ascii="Times New Roman" w:hAnsi="Times New Roman" w:cs="Times New Roman"/>
          <w:sz w:val="24"/>
          <w:szCs w:val="24"/>
        </w:rPr>
      </w:pPr>
      <w:proofErr w:type="spellStart"/>
      <w:r>
        <w:rPr>
          <w:rFonts w:ascii="Times New Roman" w:hAnsi="Times New Roman" w:cs="Times New Roman"/>
          <w:sz w:val="24"/>
          <w:szCs w:val="24"/>
        </w:rPr>
        <w:t>Malykhina</w:t>
      </w:r>
      <w:proofErr w:type="spellEnd"/>
      <w:r>
        <w:rPr>
          <w:rFonts w:ascii="Times New Roman" w:hAnsi="Times New Roman" w:cs="Times New Roman"/>
          <w:sz w:val="24"/>
          <w:szCs w:val="24"/>
        </w:rPr>
        <w:t>, A. N., et al. (2020). </w:t>
      </w:r>
      <w:r>
        <w:rPr>
          <w:rFonts w:ascii="Times New Roman" w:hAnsi="Times New Roman" w:cs="Times New Roman"/>
          <w:i/>
          <w:iCs/>
          <w:sz w:val="24"/>
          <w:szCs w:val="24"/>
        </w:rPr>
        <w:t>Effect of Biopreparations on the Development of the Symbiotic Apparatus and Yield of Legumes</w:t>
      </w:r>
      <w:r>
        <w:rPr>
          <w:rFonts w:ascii="Times New Roman" w:hAnsi="Times New Roman" w:cs="Times New Roman"/>
          <w:sz w:val="24"/>
          <w:szCs w:val="24"/>
        </w:rPr>
        <w:t>. BIO Web of Conferences, 25, 02006.</w:t>
      </w:r>
    </w:p>
    <w:p w14:paraId="7E5A148A"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Mukherjee, R., &amp; Sen, S. (2021). Role of biological nitrogen fixation in sustainable agriculture. </w:t>
      </w:r>
      <w:r>
        <w:rPr>
          <w:rFonts w:ascii="Times New Roman" w:hAnsi="Times New Roman" w:cs="Times New Roman"/>
          <w:i/>
          <w:iCs/>
          <w:sz w:val="24"/>
          <w:szCs w:val="24"/>
        </w:rPr>
        <w:t>Agricultural Reviews</w:t>
      </w:r>
      <w:r>
        <w:rPr>
          <w:rFonts w:ascii="Times New Roman" w:hAnsi="Times New Roman" w:cs="Times New Roman"/>
          <w:sz w:val="24"/>
          <w:szCs w:val="24"/>
        </w:rPr>
        <w:t xml:space="preserve">, 42(3), 250–258. </w:t>
      </w:r>
      <w:hyperlink r:id="rId27" w:history="1">
        <w:r w:rsidR="007F6049">
          <w:rPr>
            <w:rStyle w:val="Hyperlink"/>
            <w:rFonts w:ascii="Times New Roman" w:hAnsi="Times New Roman" w:cs="Times New Roman"/>
            <w:sz w:val="24"/>
            <w:szCs w:val="24"/>
          </w:rPr>
          <w:t>https://doi.org/10.18805/ag.R-2101</w:t>
        </w:r>
      </w:hyperlink>
    </w:p>
    <w:p w14:paraId="60D2F33C"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Nkurunziza, G., Ndayisaba, P., &amp; </w:t>
      </w:r>
      <w:proofErr w:type="spellStart"/>
      <w:r>
        <w:rPr>
          <w:rFonts w:ascii="Times New Roman" w:hAnsi="Times New Roman" w:cs="Times New Roman"/>
          <w:sz w:val="24"/>
          <w:szCs w:val="24"/>
        </w:rPr>
        <w:t>Habimana</w:t>
      </w:r>
      <w:proofErr w:type="spellEnd"/>
      <w:r>
        <w:rPr>
          <w:rFonts w:ascii="Times New Roman" w:hAnsi="Times New Roman" w:cs="Times New Roman"/>
          <w:sz w:val="24"/>
          <w:szCs w:val="24"/>
        </w:rPr>
        <w:t xml:space="preserve">, S. (2025). Genome-wide association study of nitrogen fixation traits in cowpea. </w:t>
      </w:r>
      <w:r>
        <w:rPr>
          <w:rFonts w:ascii="Times New Roman" w:hAnsi="Times New Roman" w:cs="Times New Roman"/>
          <w:i/>
          <w:iCs/>
          <w:sz w:val="24"/>
          <w:szCs w:val="24"/>
        </w:rPr>
        <w:t>PLOS ONE</w:t>
      </w:r>
      <w:r>
        <w:rPr>
          <w:rFonts w:ascii="Times New Roman" w:hAnsi="Times New Roman" w:cs="Times New Roman"/>
          <w:sz w:val="24"/>
          <w:szCs w:val="24"/>
        </w:rPr>
        <w:t xml:space="preserve">, 20(3), e0322203. </w:t>
      </w:r>
      <w:hyperlink r:id="rId28" w:history="1">
        <w:r w:rsidR="007F6049">
          <w:rPr>
            <w:rStyle w:val="Hyperlink"/>
            <w:rFonts w:ascii="Times New Roman" w:hAnsi="Times New Roman" w:cs="Times New Roman"/>
            <w:sz w:val="24"/>
            <w:szCs w:val="24"/>
          </w:rPr>
          <w:t>https://doi.org/10.1371/journal.pone.0322203</w:t>
        </w:r>
      </w:hyperlink>
    </w:p>
    <w:p w14:paraId="17CA1D71"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Oldroyd, G. E. D. (2013). Speak, friend, and enter: Signalling systems that promote beneficial symbiotic associations in plants. </w:t>
      </w:r>
      <w:r>
        <w:rPr>
          <w:rFonts w:ascii="Times New Roman" w:hAnsi="Times New Roman" w:cs="Times New Roman"/>
          <w:i/>
          <w:iCs/>
          <w:sz w:val="24"/>
          <w:szCs w:val="24"/>
        </w:rPr>
        <w:t>Nature Reviews Microbiology</w:t>
      </w:r>
      <w:r>
        <w:rPr>
          <w:rFonts w:ascii="Times New Roman" w:hAnsi="Times New Roman" w:cs="Times New Roman"/>
          <w:sz w:val="24"/>
          <w:szCs w:val="24"/>
        </w:rPr>
        <w:t xml:space="preserve">, 11, 252–263. </w:t>
      </w:r>
      <w:hyperlink r:id="rId29" w:history="1">
        <w:r w:rsidR="007F6049">
          <w:rPr>
            <w:rStyle w:val="Hyperlink"/>
            <w:rFonts w:ascii="Times New Roman" w:hAnsi="Times New Roman" w:cs="Times New Roman"/>
            <w:sz w:val="24"/>
            <w:szCs w:val="24"/>
          </w:rPr>
          <w:t>https://doi.org/10.1038/nrmicro2990</w:t>
        </w:r>
      </w:hyperlink>
    </w:p>
    <w:p w14:paraId="3FD826F5"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Oldroyd, G. E. D., Murray, J. D., Poole, P. S., &amp; Downie, J. A. (2019). The rules of engagement in the legume–</w:t>
      </w:r>
      <w:proofErr w:type="spellStart"/>
      <w:r>
        <w:rPr>
          <w:rFonts w:ascii="Times New Roman" w:hAnsi="Times New Roman" w:cs="Times New Roman"/>
          <w:sz w:val="24"/>
          <w:szCs w:val="24"/>
        </w:rPr>
        <w:t>rhizobial</w:t>
      </w:r>
      <w:proofErr w:type="spellEnd"/>
      <w:r>
        <w:rPr>
          <w:rFonts w:ascii="Times New Roman" w:hAnsi="Times New Roman" w:cs="Times New Roman"/>
          <w:sz w:val="24"/>
          <w:szCs w:val="24"/>
        </w:rPr>
        <w:t xml:space="preserve"> symbiosis. </w:t>
      </w:r>
      <w:r>
        <w:rPr>
          <w:rFonts w:ascii="Times New Roman" w:hAnsi="Times New Roman" w:cs="Times New Roman"/>
          <w:i/>
          <w:iCs/>
          <w:sz w:val="24"/>
          <w:szCs w:val="24"/>
        </w:rPr>
        <w:t>Annual Review of Genetics</w:t>
      </w:r>
      <w:r>
        <w:rPr>
          <w:rFonts w:ascii="Times New Roman" w:hAnsi="Times New Roman" w:cs="Times New Roman"/>
          <w:sz w:val="24"/>
          <w:szCs w:val="24"/>
        </w:rPr>
        <w:t xml:space="preserve">, 53, 493–522. </w:t>
      </w:r>
      <w:hyperlink r:id="rId30" w:history="1">
        <w:r w:rsidR="007F6049">
          <w:rPr>
            <w:rStyle w:val="Hyperlink"/>
            <w:rFonts w:ascii="Times New Roman" w:hAnsi="Times New Roman" w:cs="Times New Roman"/>
            <w:sz w:val="24"/>
            <w:szCs w:val="24"/>
          </w:rPr>
          <w:t>https://doi.org/10.1146/annurev-genet-112618-043617</w:t>
        </w:r>
      </w:hyperlink>
    </w:p>
    <w:p w14:paraId="625B539A"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Peoples, M. B., Brockwell, J., Herridge, D. F., Rochester, I. J., Alves, B. J. R., Urquiaga, S., </w:t>
      </w:r>
      <w:proofErr w:type="spellStart"/>
      <w:r>
        <w:rPr>
          <w:rFonts w:ascii="Times New Roman" w:hAnsi="Times New Roman" w:cs="Times New Roman"/>
          <w:sz w:val="24"/>
          <w:szCs w:val="24"/>
        </w:rPr>
        <w:t>Boddey</w:t>
      </w:r>
      <w:proofErr w:type="spellEnd"/>
      <w:r>
        <w:rPr>
          <w:rFonts w:ascii="Times New Roman" w:hAnsi="Times New Roman" w:cs="Times New Roman"/>
          <w:sz w:val="24"/>
          <w:szCs w:val="24"/>
        </w:rPr>
        <w:t xml:space="preserve">, R. M., </w:t>
      </w:r>
      <w:proofErr w:type="spellStart"/>
      <w:r>
        <w:rPr>
          <w:rFonts w:ascii="Times New Roman" w:hAnsi="Times New Roman" w:cs="Times New Roman"/>
          <w:sz w:val="24"/>
          <w:szCs w:val="24"/>
        </w:rPr>
        <w:t>Dakora</w:t>
      </w:r>
      <w:proofErr w:type="spellEnd"/>
      <w:r>
        <w:rPr>
          <w:rFonts w:ascii="Times New Roman" w:hAnsi="Times New Roman" w:cs="Times New Roman"/>
          <w:sz w:val="24"/>
          <w:szCs w:val="24"/>
        </w:rPr>
        <w:t xml:space="preserve">, F. D., Bhattarai, S., Maskey, S. L., </w:t>
      </w:r>
      <w:proofErr w:type="spellStart"/>
      <w:r>
        <w:rPr>
          <w:rFonts w:ascii="Times New Roman" w:hAnsi="Times New Roman" w:cs="Times New Roman"/>
          <w:sz w:val="24"/>
          <w:szCs w:val="24"/>
        </w:rPr>
        <w:t>Sampet</w:t>
      </w:r>
      <w:proofErr w:type="spellEnd"/>
      <w:r>
        <w:rPr>
          <w:rFonts w:ascii="Times New Roman" w:hAnsi="Times New Roman" w:cs="Times New Roman"/>
          <w:sz w:val="24"/>
          <w:szCs w:val="24"/>
        </w:rPr>
        <w:t xml:space="preserve">, C., Rerkasem, B., Khan, D. F., Hauggaard-Nielsen, H., &amp; Jensen, E. S. (2022). The contributions of nitrogen-fixing crop legumes to the productivity of agricultural systems. </w:t>
      </w:r>
      <w:r>
        <w:rPr>
          <w:rFonts w:ascii="Times New Roman" w:hAnsi="Times New Roman" w:cs="Times New Roman"/>
          <w:i/>
          <w:iCs/>
          <w:sz w:val="24"/>
          <w:szCs w:val="24"/>
        </w:rPr>
        <w:t>Field Crops Research</w:t>
      </w:r>
      <w:r>
        <w:rPr>
          <w:rFonts w:ascii="Times New Roman" w:hAnsi="Times New Roman" w:cs="Times New Roman"/>
          <w:sz w:val="24"/>
          <w:szCs w:val="24"/>
        </w:rPr>
        <w:t xml:space="preserve">, 284, 108568. </w:t>
      </w:r>
      <w:hyperlink r:id="rId31" w:history="1">
        <w:r w:rsidR="007F6049">
          <w:rPr>
            <w:rStyle w:val="Hyperlink"/>
            <w:rFonts w:ascii="Times New Roman" w:hAnsi="Times New Roman" w:cs="Times New Roman"/>
            <w:sz w:val="24"/>
            <w:szCs w:val="24"/>
          </w:rPr>
          <w:t>https://doi.org/10.1016/j.fcr.2022.108568</w:t>
        </w:r>
      </w:hyperlink>
    </w:p>
    <w:p w14:paraId="64A3298A"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Poole, P., Ramachandran, V., &amp; </w:t>
      </w:r>
      <w:proofErr w:type="spellStart"/>
      <w:r>
        <w:rPr>
          <w:rFonts w:ascii="Times New Roman" w:hAnsi="Times New Roman" w:cs="Times New Roman"/>
          <w:sz w:val="24"/>
          <w:szCs w:val="24"/>
        </w:rPr>
        <w:t>Terpolilli</w:t>
      </w:r>
      <w:proofErr w:type="spellEnd"/>
      <w:r>
        <w:rPr>
          <w:rFonts w:ascii="Times New Roman" w:hAnsi="Times New Roman" w:cs="Times New Roman"/>
          <w:sz w:val="24"/>
          <w:szCs w:val="24"/>
        </w:rPr>
        <w:t xml:space="preserve">, J. (2018). Rhizobia: From saprophytes to endosymbionts. </w:t>
      </w:r>
      <w:r>
        <w:rPr>
          <w:rFonts w:ascii="Times New Roman" w:hAnsi="Times New Roman" w:cs="Times New Roman"/>
          <w:i/>
          <w:iCs/>
          <w:sz w:val="24"/>
          <w:szCs w:val="24"/>
        </w:rPr>
        <w:t>Nature Reviews Microbiology</w:t>
      </w:r>
      <w:r>
        <w:rPr>
          <w:rFonts w:ascii="Times New Roman" w:hAnsi="Times New Roman" w:cs="Times New Roman"/>
          <w:sz w:val="24"/>
          <w:szCs w:val="24"/>
        </w:rPr>
        <w:t xml:space="preserve">, 16, 291–303. </w:t>
      </w:r>
      <w:hyperlink r:id="rId32" w:history="1">
        <w:r w:rsidR="007F6049">
          <w:rPr>
            <w:rStyle w:val="Hyperlink"/>
            <w:rFonts w:ascii="Times New Roman" w:hAnsi="Times New Roman" w:cs="Times New Roman"/>
            <w:sz w:val="24"/>
            <w:szCs w:val="24"/>
          </w:rPr>
          <w:t>https://doi.org/10.1038/nrmicro.2017.171</w:t>
        </w:r>
      </w:hyperlink>
    </w:p>
    <w:p w14:paraId="627D70DE"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Serraj, R., Sinclair, T. R., &amp; Purcell, L. C. (2004). Symbiotic N2 fixation response to drought. </w:t>
      </w:r>
      <w:r>
        <w:rPr>
          <w:rFonts w:ascii="Times New Roman" w:hAnsi="Times New Roman" w:cs="Times New Roman"/>
          <w:i/>
          <w:iCs/>
          <w:sz w:val="24"/>
          <w:szCs w:val="24"/>
        </w:rPr>
        <w:t>Journal of Experimental Botany</w:t>
      </w:r>
      <w:r>
        <w:rPr>
          <w:rFonts w:ascii="Times New Roman" w:hAnsi="Times New Roman" w:cs="Times New Roman"/>
          <w:sz w:val="24"/>
          <w:szCs w:val="24"/>
        </w:rPr>
        <w:t xml:space="preserve">, 55, 1543–1551. </w:t>
      </w:r>
      <w:hyperlink r:id="rId33" w:history="1">
        <w:r w:rsidR="007F6049">
          <w:rPr>
            <w:rStyle w:val="Hyperlink"/>
            <w:rFonts w:ascii="Times New Roman" w:hAnsi="Times New Roman" w:cs="Times New Roman"/>
            <w:sz w:val="24"/>
            <w:szCs w:val="24"/>
          </w:rPr>
          <w:t>https://doi.org/10.1093/jxb/erh156</w:t>
        </w:r>
      </w:hyperlink>
    </w:p>
    <w:p w14:paraId="015FD768"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Singleton, P. W., </w:t>
      </w:r>
      <w:proofErr w:type="spellStart"/>
      <w:r>
        <w:rPr>
          <w:rFonts w:ascii="Times New Roman" w:hAnsi="Times New Roman" w:cs="Times New Roman"/>
          <w:sz w:val="24"/>
          <w:szCs w:val="24"/>
        </w:rPr>
        <w:t>Bohlool</w:t>
      </w:r>
      <w:proofErr w:type="spellEnd"/>
      <w:r>
        <w:rPr>
          <w:rFonts w:ascii="Times New Roman" w:hAnsi="Times New Roman" w:cs="Times New Roman"/>
          <w:sz w:val="24"/>
          <w:szCs w:val="24"/>
        </w:rPr>
        <w:t xml:space="preserve">, B. B., &amp; Nakao, P. L. (1992). Legume response to </w:t>
      </w:r>
      <w:proofErr w:type="spellStart"/>
      <w:r>
        <w:rPr>
          <w:rFonts w:ascii="Times New Roman" w:hAnsi="Times New Roman" w:cs="Times New Roman"/>
          <w:sz w:val="24"/>
          <w:szCs w:val="24"/>
        </w:rPr>
        <w:t>rhizobial</w:t>
      </w:r>
      <w:proofErr w:type="spellEnd"/>
      <w:r>
        <w:rPr>
          <w:rFonts w:ascii="Times New Roman" w:hAnsi="Times New Roman" w:cs="Times New Roman"/>
          <w:sz w:val="24"/>
          <w:szCs w:val="24"/>
        </w:rPr>
        <w:t xml:space="preserve"> inoculation. </w:t>
      </w:r>
      <w:r>
        <w:rPr>
          <w:rFonts w:ascii="Times New Roman" w:hAnsi="Times New Roman" w:cs="Times New Roman"/>
          <w:i/>
          <w:iCs/>
          <w:sz w:val="24"/>
          <w:szCs w:val="24"/>
        </w:rPr>
        <w:t>Agronomy Journal</w:t>
      </w:r>
      <w:r>
        <w:rPr>
          <w:rFonts w:ascii="Times New Roman" w:hAnsi="Times New Roman" w:cs="Times New Roman"/>
          <w:sz w:val="24"/>
          <w:szCs w:val="24"/>
        </w:rPr>
        <w:t>, 84, 183–188.</w:t>
      </w:r>
    </w:p>
    <w:p w14:paraId="54D773B1"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Singh, A., Sharma, R., &amp; Kumar, P. (2023). Intercropping effects on nitrogen fixation in legumes. </w:t>
      </w:r>
      <w:r>
        <w:rPr>
          <w:rFonts w:ascii="Times New Roman" w:hAnsi="Times New Roman" w:cs="Times New Roman"/>
          <w:i/>
          <w:iCs/>
          <w:sz w:val="24"/>
          <w:szCs w:val="24"/>
        </w:rPr>
        <w:t>BMC Plant Biology</w:t>
      </w:r>
      <w:r>
        <w:rPr>
          <w:rFonts w:ascii="Times New Roman" w:hAnsi="Times New Roman" w:cs="Times New Roman"/>
          <w:sz w:val="24"/>
          <w:szCs w:val="24"/>
        </w:rPr>
        <w:t xml:space="preserve">, 23, 204. </w:t>
      </w:r>
      <w:hyperlink r:id="rId34" w:history="1">
        <w:r w:rsidR="007F6049">
          <w:rPr>
            <w:rStyle w:val="Hyperlink"/>
            <w:rFonts w:ascii="Times New Roman" w:hAnsi="Times New Roman" w:cs="Times New Roman"/>
            <w:sz w:val="24"/>
            <w:szCs w:val="24"/>
          </w:rPr>
          <w:t>https://doi.org/10.1186/s12870-023-04204-z</w:t>
        </w:r>
      </w:hyperlink>
    </w:p>
    <w:p w14:paraId="687E2F02"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Streeter, J. G., &amp; Wong, P. P. (1988). Inhibition of nitrogen fixation by nitrate. </w:t>
      </w:r>
      <w:r>
        <w:rPr>
          <w:rFonts w:ascii="Times New Roman" w:hAnsi="Times New Roman" w:cs="Times New Roman"/>
          <w:i/>
          <w:iCs/>
          <w:sz w:val="24"/>
          <w:szCs w:val="24"/>
        </w:rPr>
        <w:t>Critical Reviews in Plant Sciences</w:t>
      </w:r>
      <w:r>
        <w:rPr>
          <w:rFonts w:ascii="Times New Roman" w:hAnsi="Times New Roman" w:cs="Times New Roman"/>
          <w:sz w:val="24"/>
          <w:szCs w:val="24"/>
        </w:rPr>
        <w:t xml:space="preserve">, 7, 1–23. </w:t>
      </w:r>
      <w:hyperlink r:id="rId35" w:history="1">
        <w:r w:rsidR="007F6049">
          <w:rPr>
            <w:rStyle w:val="Hyperlink"/>
            <w:rFonts w:ascii="Times New Roman" w:hAnsi="Times New Roman" w:cs="Times New Roman"/>
            <w:sz w:val="24"/>
            <w:szCs w:val="24"/>
          </w:rPr>
          <w:t>https://doi.org/10.1080/07352688809382257</w:t>
        </w:r>
      </w:hyperlink>
    </w:p>
    <w:p w14:paraId="4BDE3FA2"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Sulieman, S., &amp; Tran, L. S. P. (2015). Phosphorus homeostasis in legume nodules. </w:t>
      </w:r>
      <w:r>
        <w:rPr>
          <w:rFonts w:ascii="Times New Roman" w:hAnsi="Times New Roman" w:cs="Times New Roman"/>
          <w:i/>
          <w:iCs/>
          <w:sz w:val="24"/>
          <w:szCs w:val="24"/>
        </w:rPr>
        <w:t>Frontiers in Plant Science</w:t>
      </w:r>
      <w:r>
        <w:rPr>
          <w:rFonts w:ascii="Times New Roman" w:hAnsi="Times New Roman" w:cs="Times New Roman"/>
          <w:sz w:val="24"/>
          <w:szCs w:val="24"/>
        </w:rPr>
        <w:t xml:space="preserve">, 6, 864. </w:t>
      </w:r>
      <w:hyperlink r:id="rId36" w:history="1">
        <w:r w:rsidR="007F6049">
          <w:rPr>
            <w:rStyle w:val="Hyperlink"/>
            <w:rFonts w:ascii="Times New Roman" w:hAnsi="Times New Roman" w:cs="Times New Roman"/>
            <w:sz w:val="24"/>
            <w:szCs w:val="24"/>
          </w:rPr>
          <w:t>https://doi.org/10.3389/fpls.2015.00864</w:t>
        </w:r>
      </w:hyperlink>
    </w:p>
    <w:p w14:paraId="283C16E0"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Thies, J. E., Singleton, P. W., &amp; </w:t>
      </w:r>
      <w:proofErr w:type="spellStart"/>
      <w:r>
        <w:rPr>
          <w:rFonts w:ascii="Times New Roman" w:hAnsi="Times New Roman" w:cs="Times New Roman"/>
          <w:sz w:val="24"/>
          <w:szCs w:val="24"/>
        </w:rPr>
        <w:t>Bohlool</w:t>
      </w:r>
      <w:proofErr w:type="spellEnd"/>
      <w:r>
        <w:rPr>
          <w:rFonts w:ascii="Times New Roman" w:hAnsi="Times New Roman" w:cs="Times New Roman"/>
          <w:sz w:val="24"/>
          <w:szCs w:val="24"/>
        </w:rPr>
        <w:t xml:space="preserve">, B. B. (1991). Influence of the size of indigenous </w:t>
      </w:r>
      <w:proofErr w:type="spellStart"/>
      <w:r>
        <w:rPr>
          <w:rFonts w:ascii="Times New Roman" w:hAnsi="Times New Roman" w:cs="Times New Roman"/>
          <w:sz w:val="24"/>
          <w:szCs w:val="24"/>
        </w:rPr>
        <w:t>rhizobial</w:t>
      </w:r>
      <w:proofErr w:type="spellEnd"/>
      <w:r>
        <w:rPr>
          <w:rFonts w:ascii="Times New Roman" w:hAnsi="Times New Roman" w:cs="Times New Roman"/>
          <w:sz w:val="24"/>
          <w:szCs w:val="24"/>
        </w:rPr>
        <w:t xml:space="preserve"> populations. </w:t>
      </w:r>
      <w:r>
        <w:rPr>
          <w:rFonts w:ascii="Times New Roman" w:hAnsi="Times New Roman" w:cs="Times New Roman"/>
          <w:i/>
          <w:iCs/>
          <w:sz w:val="24"/>
          <w:szCs w:val="24"/>
        </w:rPr>
        <w:t>Applied and Environmental Microbiology</w:t>
      </w:r>
      <w:r>
        <w:rPr>
          <w:rFonts w:ascii="Times New Roman" w:hAnsi="Times New Roman" w:cs="Times New Roman"/>
          <w:sz w:val="24"/>
          <w:szCs w:val="24"/>
        </w:rPr>
        <w:t>, 57, 19–28.</w:t>
      </w:r>
    </w:p>
    <w:p w14:paraId="24464DDE"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Tilman, D., Balzer, C., Hill, J., &amp; Befort, B. L. (2021). Global food demand and sustainable intensification. </w:t>
      </w:r>
      <w:r>
        <w:rPr>
          <w:rFonts w:ascii="Times New Roman" w:hAnsi="Times New Roman" w:cs="Times New Roman"/>
          <w:i/>
          <w:iCs/>
          <w:sz w:val="24"/>
          <w:szCs w:val="24"/>
        </w:rPr>
        <w:t>PNAS</w:t>
      </w:r>
      <w:r>
        <w:rPr>
          <w:rFonts w:ascii="Times New Roman" w:hAnsi="Times New Roman" w:cs="Times New Roman"/>
          <w:sz w:val="24"/>
          <w:szCs w:val="24"/>
        </w:rPr>
        <w:t xml:space="preserve">, 108(50), 20260–20264. </w:t>
      </w:r>
      <w:hyperlink r:id="rId37" w:history="1">
        <w:r w:rsidR="007F6049">
          <w:rPr>
            <w:rStyle w:val="Hyperlink"/>
            <w:rFonts w:ascii="Times New Roman" w:hAnsi="Times New Roman" w:cs="Times New Roman"/>
            <w:sz w:val="24"/>
            <w:szCs w:val="24"/>
          </w:rPr>
          <w:t>https://doi.org/10.1073/pnas.1116437108</w:t>
        </w:r>
      </w:hyperlink>
    </w:p>
    <w:p w14:paraId="382603DB"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Udvardi, M., &amp; Poole, P. S. (2013). Transport and metabolism in legume–rhizobia symbioses. </w:t>
      </w:r>
      <w:r>
        <w:rPr>
          <w:rFonts w:ascii="Times New Roman" w:hAnsi="Times New Roman" w:cs="Times New Roman"/>
          <w:i/>
          <w:iCs/>
          <w:sz w:val="24"/>
          <w:szCs w:val="24"/>
        </w:rPr>
        <w:t>Annual Review of Plant Biology</w:t>
      </w:r>
      <w:r>
        <w:rPr>
          <w:rFonts w:ascii="Times New Roman" w:hAnsi="Times New Roman" w:cs="Times New Roman"/>
          <w:sz w:val="24"/>
          <w:szCs w:val="24"/>
        </w:rPr>
        <w:t xml:space="preserve">, 64, 781–805. </w:t>
      </w:r>
      <w:hyperlink r:id="rId38" w:history="1">
        <w:r w:rsidR="007F6049">
          <w:rPr>
            <w:rStyle w:val="Hyperlink"/>
            <w:rFonts w:ascii="Times New Roman" w:hAnsi="Times New Roman" w:cs="Times New Roman"/>
            <w:sz w:val="24"/>
            <w:szCs w:val="24"/>
          </w:rPr>
          <w:t>https://doi.org/10.1146/annurev-arplant-050312-120235</w:t>
        </w:r>
      </w:hyperlink>
    </w:p>
    <w:p w14:paraId="256EC9F8"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Varshney, R. K., </w:t>
      </w:r>
      <w:proofErr w:type="spellStart"/>
      <w:r>
        <w:rPr>
          <w:rFonts w:ascii="Times New Roman" w:hAnsi="Times New Roman" w:cs="Times New Roman"/>
          <w:sz w:val="24"/>
          <w:szCs w:val="24"/>
        </w:rPr>
        <w:t>Thudi</w:t>
      </w:r>
      <w:proofErr w:type="spellEnd"/>
      <w:r>
        <w:rPr>
          <w:rFonts w:ascii="Times New Roman" w:hAnsi="Times New Roman" w:cs="Times New Roman"/>
          <w:sz w:val="24"/>
          <w:szCs w:val="24"/>
        </w:rPr>
        <w:t xml:space="preserve">, M., May, G. D., &amp; Jackson, S. A. (2017). Legume genomics and breeding. </w:t>
      </w:r>
      <w:r>
        <w:rPr>
          <w:rFonts w:ascii="Times New Roman" w:hAnsi="Times New Roman" w:cs="Times New Roman"/>
          <w:i/>
          <w:iCs/>
          <w:sz w:val="24"/>
          <w:szCs w:val="24"/>
        </w:rPr>
        <w:t>Plant Biotechnology Journal</w:t>
      </w:r>
      <w:r>
        <w:rPr>
          <w:rFonts w:ascii="Times New Roman" w:hAnsi="Times New Roman" w:cs="Times New Roman"/>
          <w:sz w:val="24"/>
          <w:szCs w:val="24"/>
        </w:rPr>
        <w:t xml:space="preserve">, 15, 1–13. </w:t>
      </w:r>
      <w:hyperlink r:id="rId39" w:history="1">
        <w:r w:rsidR="007F6049">
          <w:rPr>
            <w:rStyle w:val="Hyperlink"/>
            <w:rFonts w:ascii="Times New Roman" w:hAnsi="Times New Roman" w:cs="Times New Roman"/>
            <w:sz w:val="24"/>
            <w:szCs w:val="24"/>
          </w:rPr>
          <w:t>https://doi.org/10.1111/pbi.12687</w:t>
        </w:r>
      </w:hyperlink>
    </w:p>
    <w:p w14:paraId="2646E7AB"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Vessey, J. K. (2003). Plant growth-promoting rhizobacteria as biofertilizers. </w:t>
      </w:r>
      <w:r>
        <w:rPr>
          <w:rFonts w:ascii="Times New Roman" w:hAnsi="Times New Roman" w:cs="Times New Roman"/>
          <w:i/>
          <w:iCs/>
          <w:sz w:val="24"/>
          <w:szCs w:val="24"/>
        </w:rPr>
        <w:t>Plant and Soil</w:t>
      </w:r>
      <w:r>
        <w:rPr>
          <w:rFonts w:ascii="Times New Roman" w:hAnsi="Times New Roman" w:cs="Times New Roman"/>
          <w:sz w:val="24"/>
          <w:szCs w:val="24"/>
        </w:rPr>
        <w:t xml:space="preserve">, 255, 571–586. </w:t>
      </w:r>
      <w:hyperlink r:id="rId40" w:history="1">
        <w:r w:rsidR="007F6049">
          <w:rPr>
            <w:rStyle w:val="Hyperlink"/>
            <w:rFonts w:ascii="Times New Roman" w:hAnsi="Times New Roman" w:cs="Times New Roman"/>
            <w:sz w:val="24"/>
            <w:szCs w:val="24"/>
          </w:rPr>
          <w:t>https://doi.org/10.1023/A:1026037216893</w:t>
        </w:r>
      </w:hyperlink>
    </w:p>
    <w:p w14:paraId="093243EC"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Vorholt, J. A., Vogel, C., </w:t>
      </w:r>
      <w:proofErr w:type="spellStart"/>
      <w:r>
        <w:rPr>
          <w:rFonts w:ascii="Times New Roman" w:hAnsi="Times New Roman" w:cs="Times New Roman"/>
          <w:sz w:val="24"/>
          <w:szCs w:val="24"/>
        </w:rPr>
        <w:t>Carlström</w:t>
      </w:r>
      <w:proofErr w:type="spellEnd"/>
      <w:r>
        <w:rPr>
          <w:rFonts w:ascii="Times New Roman" w:hAnsi="Times New Roman" w:cs="Times New Roman"/>
          <w:sz w:val="24"/>
          <w:szCs w:val="24"/>
        </w:rPr>
        <w:t xml:space="preserve">, C. I., &amp; Müller, D. B. (2017). Establishing causality in microbiome research. </w:t>
      </w:r>
      <w:r>
        <w:rPr>
          <w:rFonts w:ascii="Times New Roman" w:hAnsi="Times New Roman" w:cs="Times New Roman"/>
          <w:i/>
          <w:iCs/>
          <w:sz w:val="24"/>
          <w:szCs w:val="24"/>
        </w:rPr>
        <w:t>Nature Reviews Microbiology</w:t>
      </w:r>
      <w:r>
        <w:rPr>
          <w:rFonts w:ascii="Times New Roman" w:hAnsi="Times New Roman" w:cs="Times New Roman"/>
          <w:sz w:val="24"/>
          <w:szCs w:val="24"/>
        </w:rPr>
        <w:t xml:space="preserve">, 15, 70–79. </w:t>
      </w:r>
      <w:hyperlink r:id="rId41" w:history="1">
        <w:r w:rsidR="007F6049">
          <w:rPr>
            <w:rStyle w:val="Hyperlink"/>
            <w:rFonts w:ascii="Times New Roman" w:hAnsi="Times New Roman" w:cs="Times New Roman"/>
            <w:sz w:val="24"/>
            <w:szCs w:val="24"/>
          </w:rPr>
          <w:t>https://doi.org/10.1038/nrmicro.2016.146</w:t>
        </w:r>
      </w:hyperlink>
    </w:p>
    <w:p w14:paraId="68645C12"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Wang, Q., Liu, Y., &amp; Yuan, S. (2022). CRISPR/Cas-mediated gene editing in legumes. </w:t>
      </w:r>
      <w:r>
        <w:rPr>
          <w:rFonts w:ascii="Times New Roman" w:hAnsi="Times New Roman" w:cs="Times New Roman"/>
          <w:i/>
          <w:iCs/>
          <w:sz w:val="24"/>
          <w:szCs w:val="24"/>
        </w:rPr>
        <w:t>Frontiers in Plant Science</w:t>
      </w:r>
      <w:r>
        <w:rPr>
          <w:rFonts w:ascii="Times New Roman" w:hAnsi="Times New Roman" w:cs="Times New Roman"/>
          <w:sz w:val="24"/>
          <w:szCs w:val="24"/>
        </w:rPr>
        <w:t xml:space="preserve">, 13, 841254. </w:t>
      </w:r>
      <w:hyperlink r:id="rId42" w:history="1">
        <w:r w:rsidR="007F6049">
          <w:rPr>
            <w:rStyle w:val="Hyperlink"/>
            <w:rFonts w:ascii="Times New Roman" w:hAnsi="Times New Roman" w:cs="Times New Roman"/>
            <w:sz w:val="24"/>
            <w:szCs w:val="24"/>
          </w:rPr>
          <w:t>https://doi.org/10.3389/fpls.2022.841254</w:t>
        </w:r>
      </w:hyperlink>
    </w:p>
    <w:p w14:paraId="6D2D063D"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White, P. J., George, T. S., Gregory, P. J., Bengough, A. G., Hallett, P. D., &amp; McKenzie, B. M. (2019). Root traits for sustainable crop production. </w:t>
      </w:r>
      <w:r>
        <w:rPr>
          <w:rFonts w:ascii="Times New Roman" w:hAnsi="Times New Roman" w:cs="Times New Roman"/>
          <w:i/>
          <w:iCs/>
          <w:sz w:val="24"/>
          <w:szCs w:val="24"/>
        </w:rPr>
        <w:t>Plant and Soil</w:t>
      </w:r>
      <w:r>
        <w:rPr>
          <w:rFonts w:ascii="Times New Roman" w:hAnsi="Times New Roman" w:cs="Times New Roman"/>
          <w:sz w:val="24"/>
          <w:szCs w:val="24"/>
        </w:rPr>
        <w:t xml:space="preserve">, 428, 1–18. </w:t>
      </w:r>
      <w:hyperlink r:id="rId43" w:history="1">
        <w:r w:rsidR="007F6049">
          <w:rPr>
            <w:rStyle w:val="Hyperlink"/>
            <w:rFonts w:ascii="Times New Roman" w:hAnsi="Times New Roman" w:cs="Times New Roman"/>
            <w:sz w:val="24"/>
            <w:szCs w:val="24"/>
          </w:rPr>
          <w:t>https://doi.org/10.1007/s11104-018-3720-8</w:t>
        </w:r>
      </w:hyperlink>
    </w:p>
    <w:p w14:paraId="73553AFB" w14:textId="77777777" w:rsidR="007F6049" w:rsidRDefault="001C255B">
      <w:pPr>
        <w:jc w:val="both"/>
        <w:rPr>
          <w:rFonts w:ascii="Times New Roman" w:hAnsi="Times New Roman" w:cs="Times New Roman"/>
          <w:sz w:val="24"/>
          <w:szCs w:val="24"/>
        </w:rPr>
      </w:pPr>
      <w:r>
        <w:rPr>
          <w:rFonts w:ascii="Times New Roman" w:hAnsi="Times New Roman" w:cs="Times New Roman"/>
          <w:sz w:val="24"/>
          <w:szCs w:val="24"/>
        </w:rPr>
        <w:t xml:space="preserve">Zahran, H. H. (1999). Rhizobium–legume symbiosis under stress conditions. </w:t>
      </w:r>
      <w:r>
        <w:rPr>
          <w:rFonts w:ascii="Times New Roman" w:hAnsi="Times New Roman" w:cs="Times New Roman"/>
          <w:i/>
          <w:iCs/>
          <w:sz w:val="24"/>
          <w:szCs w:val="24"/>
        </w:rPr>
        <w:t>Microbiology and Molecular Biology Reviews</w:t>
      </w:r>
      <w:r>
        <w:rPr>
          <w:rFonts w:ascii="Times New Roman" w:hAnsi="Times New Roman" w:cs="Times New Roman"/>
          <w:sz w:val="24"/>
          <w:szCs w:val="24"/>
        </w:rPr>
        <w:t>, 63, 968–989.</w:t>
      </w:r>
    </w:p>
    <w:p w14:paraId="7C4CD41C" w14:textId="729E9044" w:rsidR="004828E6" w:rsidRDefault="001C255B">
      <w:pPr>
        <w:jc w:val="both"/>
        <w:rPr>
          <w:rFonts w:ascii="Times New Roman" w:hAnsi="Times New Roman" w:cs="Times New Roman"/>
          <w:sz w:val="24"/>
          <w:szCs w:val="24"/>
        </w:rPr>
      </w:pPr>
      <w:r>
        <w:rPr>
          <w:rFonts w:ascii="Times New Roman" w:hAnsi="Times New Roman" w:cs="Times New Roman"/>
          <w:sz w:val="24"/>
          <w:szCs w:val="24"/>
        </w:rPr>
        <w:t xml:space="preserve">Zhang, X., Davidson, E. A., </w:t>
      </w:r>
      <w:proofErr w:type="spellStart"/>
      <w:r>
        <w:rPr>
          <w:rFonts w:ascii="Times New Roman" w:hAnsi="Times New Roman" w:cs="Times New Roman"/>
          <w:sz w:val="24"/>
          <w:szCs w:val="24"/>
        </w:rPr>
        <w:t>Mauzerall</w:t>
      </w:r>
      <w:proofErr w:type="spellEnd"/>
      <w:r>
        <w:rPr>
          <w:rFonts w:ascii="Times New Roman" w:hAnsi="Times New Roman" w:cs="Times New Roman"/>
          <w:sz w:val="24"/>
          <w:szCs w:val="24"/>
        </w:rPr>
        <w:t xml:space="preserve">, D. L., </w:t>
      </w:r>
      <w:proofErr w:type="spellStart"/>
      <w:r>
        <w:rPr>
          <w:rFonts w:ascii="Times New Roman" w:hAnsi="Times New Roman" w:cs="Times New Roman"/>
          <w:sz w:val="24"/>
          <w:szCs w:val="24"/>
        </w:rPr>
        <w:t>Searchinger</w:t>
      </w:r>
      <w:proofErr w:type="spellEnd"/>
      <w:r>
        <w:rPr>
          <w:rFonts w:ascii="Times New Roman" w:hAnsi="Times New Roman" w:cs="Times New Roman"/>
          <w:sz w:val="24"/>
          <w:szCs w:val="24"/>
        </w:rPr>
        <w:t xml:space="preserve">, T. D., Dumas, P., &amp; Shen, Y. (2021). Managing nitrogen for sustainable development. </w:t>
      </w:r>
      <w:r>
        <w:rPr>
          <w:rFonts w:ascii="Times New Roman" w:hAnsi="Times New Roman" w:cs="Times New Roman"/>
          <w:i/>
          <w:iCs/>
          <w:sz w:val="24"/>
          <w:szCs w:val="24"/>
        </w:rPr>
        <w:t>Nature</w:t>
      </w:r>
      <w:r>
        <w:rPr>
          <w:rFonts w:ascii="Times New Roman" w:hAnsi="Times New Roman" w:cs="Times New Roman"/>
          <w:sz w:val="24"/>
          <w:szCs w:val="24"/>
        </w:rPr>
        <w:t xml:space="preserve">, 528, 51–59. </w:t>
      </w:r>
      <w:hyperlink r:id="rId44" w:history="1">
        <w:r w:rsidR="004828E6">
          <w:rPr>
            <w:rStyle w:val="Hyperlink"/>
            <w:rFonts w:ascii="Times New Roman" w:hAnsi="Times New Roman" w:cs="Times New Roman"/>
            <w:sz w:val="24"/>
            <w:szCs w:val="24"/>
          </w:rPr>
          <w:t>https://doi.org/10.1038/nature15743</w:t>
        </w:r>
      </w:hyperlink>
    </w:p>
    <w:p w14:paraId="086F6685" w14:textId="77777777" w:rsidR="004828E6" w:rsidRDefault="004828E6" w:rsidP="006A6CAF">
      <w:pPr>
        <w:suppressLineNumbers/>
        <w:jc w:val="both"/>
        <w:rPr>
          <w:rFonts w:ascii="Times New Roman" w:hAnsi="Times New Roman" w:cs="Times New Roman"/>
          <w:sz w:val="24"/>
          <w:szCs w:val="24"/>
        </w:rPr>
      </w:pPr>
    </w:p>
    <w:p w14:paraId="4D1B0C10" w14:textId="2B2C0670" w:rsidR="009B451D" w:rsidRDefault="009B451D" w:rsidP="006A6CAF">
      <w:pPr>
        <w:suppressLineNumbers/>
        <w:jc w:val="both"/>
        <w:rPr>
          <w:rFonts w:ascii="Times New Roman" w:hAnsi="Times New Roman" w:cs="Times New Roman"/>
          <w:b/>
          <w:bCs/>
          <w:sz w:val="24"/>
          <w:szCs w:val="24"/>
        </w:rPr>
      </w:pPr>
    </w:p>
    <w:p w14:paraId="52FFBD7E" w14:textId="38157D90" w:rsidR="005A00C6" w:rsidRDefault="005A00C6" w:rsidP="006A6CAF">
      <w:pPr>
        <w:suppressLineNumbers/>
        <w:jc w:val="both"/>
        <w:rPr>
          <w:rFonts w:ascii="Times New Roman" w:hAnsi="Times New Roman" w:cs="Times New Roman"/>
          <w:b/>
          <w:bCs/>
          <w:sz w:val="24"/>
          <w:szCs w:val="24"/>
        </w:rPr>
      </w:pPr>
    </w:p>
    <w:p w14:paraId="2B7EE1A5" w14:textId="3DA332BC" w:rsidR="005A00C6" w:rsidRDefault="005A00C6" w:rsidP="006A6CAF">
      <w:pPr>
        <w:suppressLineNumbers/>
        <w:jc w:val="both"/>
        <w:rPr>
          <w:rFonts w:ascii="Times New Roman" w:hAnsi="Times New Roman" w:cs="Times New Roman"/>
          <w:b/>
          <w:bCs/>
          <w:sz w:val="24"/>
          <w:szCs w:val="24"/>
        </w:rPr>
      </w:pPr>
    </w:p>
    <w:p w14:paraId="38DE2E30" w14:textId="3E9EC3C0" w:rsidR="005A00C6" w:rsidRDefault="005A00C6" w:rsidP="006A6CAF">
      <w:pPr>
        <w:suppressLineNumbers/>
        <w:jc w:val="both"/>
        <w:rPr>
          <w:rFonts w:ascii="Times New Roman" w:hAnsi="Times New Roman" w:cs="Times New Roman"/>
          <w:b/>
          <w:bCs/>
          <w:sz w:val="24"/>
          <w:szCs w:val="24"/>
        </w:rPr>
      </w:pPr>
    </w:p>
    <w:p w14:paraId="6BC86E32" w14:textId="77777777" w:rsidR="005A00C6" w:rsidRDefault="005A00C6" w:rsidP="006A6CAF">
      <w:pPr>
        <w:suppressLineNumbers/>
        <w:jc w:val="both"/>
        <w:rPr>
          <w:rFonts w:ascii="Times New Roman" w:hAnsi="Times New Roman" w:cs="Times New Roman"/>
          <w:b/>
          <w:bCs/>
          <w:sz w:val="24"/>
          <w:szCs w:val="24"/>
        </w:rPr>
      </w:pPr>
    </w:p>
    <w:p w14:paraId="2830B234" w14:textId="77777777" w:rsidR="009B451D" w:rsidRDefault="009B451D" w:rsidP="006A6CAF">
      <w:pPr>
        <w:suppressLineNumbers/>
        <w:jc w:val="both"/>
        <w:rPr>
          <w:rFonts w:ascii="Times New Roman" w:hAnsi="Times New Roman" w:cs="Times New Roman"/>
          <w:b/>
          <w:bCs/>
          <w:sz w:val="24"/>
          <w:szCs w:val="24"/>
        </w:rPr>
      </w:pPr>
    </w:p>
    <w:p w14:paraId="4035B2F4" w14:textId="21AA955C" w:rsidR="007F6049" w:rsidRDefault="001C255B" w:rsidP="006A6CAF">
      <w:pPr>
        <w:suppressLineNumbers/>
        <w:jc w:val="both"/>
        <w:rPr>
          <w:rFonts w:ascii="Times New Roman" w:hAnsi="Times New Roman" w:cs="Times New Roman"/>
          <w:sz w:val="24"/>
          <w:szCs w:val="24"/>
        </w:rPr>
      </w:pPr>
      <w:r>
        <w:rPr>
          <w:rFonts w:ascii="Times New Roman" w:hAnsi="Times New Roman" w:cs="Times New Roman"/>
          <w:b/>
          <w:bCs/>
          <w:sz w:val="24"/>
          <w:szCs w:val="24"/>
        </w:rPr>
        <w:t>Table 1. Comparative overview of natural vs precision-enhanced biological nitrogen fixation</w:t>
      </w:r>
    </w:p>
    <w:tbl>
      <w:tblPr>
        <w:tblW w:w="992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709"/>
        <w:gridCol w:w="3121"/>
        <w:gridCol w:w="2897"/>
        <w:gridCol w:w="3196"/>
      </w:tblGrid>
      <w:tr w:rsidR="00FD4083" w14:paraId="76218D69" w14:textId="77777777" w:rsidTr="00FD4083">
        <w:trPr>
          <w:tblHeader/>
          <w:tblCellSpacing w:w="15" w:type="dxa"/>
        </w:trPr>
        <w:tc>
          <w:tcPr>
            <w:tcW w:w="664" w:type="dxa"/>
            <w:tcBorders>
              <w:top w:val="single" w:sz="4" w:space="0" w:color="auto"/>
              <w:left w:val="single" w:sz="4" w:space="0" w:color="auto"/>
              <w:bottom w:val="single" w:sz="4" w:space="0" w:color="auto"/>
            </w:tcBorders>
          </w:tcPr>
          <w:p w14:paraId="16DF94B4" w14:textId="0C7136C4" w:rsidR="00FD4083" w:rsidRDefault="00FD4083" w:rsidP="00FD4083">
            <w:pPr>
              <w:suppressLineNumbers/>
              <w:jc w:val="both"/>
              <w:rPr>
                <w:rFonts w:ascii="Times New Roman" w:hAnsi="Times New Roman" w:cs="Times New Roman"/>
                <w:b/>
                <w:bCs/>
                <w:sz w:val="24"/>
                <w:szCs w:val="24"/>
              </w:rPr>
            </w:pPr>
            <w:r>
              <w:rPr>
                <w:rFonts w:ascii="Times New Roman" w:hAnsi="Times New Roman" w:cs="Times New Roman"/>
                <w:b/>
                <w:bCs/>
                <w:sz w:val="24"/>
                <w:szCs w:val="24"/>
              </w:rPr>
              <w:t>S.NO.</w:t>
            </w:r>
          </w:p>
        </w:tc>
        <w:tc>
          <w:tcPr>
            <w:tcW w:w="3091" w:type="dxa"/>
            <w:tcBorders>
              <w:top w:val="single" w:sz="4" w:space="0" w:color="auto"/>
              <w:left w:val="single" w:sz="4" w:space="0" w:color="auto"/>
              <w:bottom w:val="single" w:sz="4" w:space="0" w:color="auto"/>
            </w:tcBorders>
            <w:vAlign w:val="center"/>
          </w:tcPr>
          <w:p w14:paraId="671F09EA" w14:textId="42F046F9" w:rsidR="00FD4083" w:rsidRDefault="00FD4083" w:rsidP="00FD4083">
            <w:pPr>
              <w:suppressLineNumbers/>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0" w:type="auto"/>
            <w:tcBorders>
              <w:top w:val="single" w:sz="4" w:space="0" w:color="auto"/>
              <w:left w:val="single" w:sz="4" w:space="0" w:color="auto"/>
              <w:bottom w:val="single" w:sz="4" w:space="0" w:color="auto"/>
            </w:tcBorders>
            <w:vAlign w:val="center"/>
          </w:tcPr>
          <w:p w14:paraId="2CCC3698" w14:textId="77777777" w:rsidR="00FD4083" w:rsidRDefault="00FD4083" w:rsidP="00FD4083">
            <w:pPr>
              <w:suppressLineNumbers/>
              <w:jc w:val="both"/>
              <w:rPr>
                <w:rFonts w:ascii="Times New Roman" w:hAnsi="Times New Roman" w:cs="Times New Roman"/>
                <w:b/>
                <w:bCs/>
                <w:sz w:val="24"/>
                <w:szCs w:val="24"/>
              </w:rPr>
            </w:pPr>
            <w:r>
              <w:rPr>
                <w:rFonts w:ascii="Times New Roman" w:hAnsi="Times New Roman" w:cs="Times New Roman"/>
                <w:b/>
                <w:bCs/>
                <w:sz w:val="24"/>
                <w:szCs w:val="24"/>
              </w:rPr>
              <w:t>Natural BNF</w:t>
            </w:r>
          </w:p>
        </w:tc>
        <w:tc>
          <w:tcPr>
            <w:tcW w:w="3151" w:type="dxa"/>
            <w:tcBorders>
              <w:top w:val="single" w:sz="4" w:space="0" w:color="auto"/>
              <w:left w:val="single" w:sz="4" w:space="0" w:color="auto"/>
              <w:bottom w:val="single" w:sz="4" w:space="0" w:color="auto"/>
              <w:right w:val="single" w:sz="4" w:space="0" w:color="auto"/>
            </w:tcBorders>
            <w:vAlign w:val="center"/>
          </w:tcPr>
          <w:p w14:paraId="31571DDE" w14:textId="77777777" w:rsidR="00FD4083" w:rsidRDefault="00FD4083" w:rsidP="00FD4083">
            <w:pPr>
              <w:suppressLineNumbers/>
              <w:jc w:val="both"/>
              <w:rPr>
                <w:rFonts w:ascii="Times New Roman" w:hAnsi="Times New Roman" w:cs="Times New Roman"/>
                <w:b/>
                <w:bCs/>
                <w:sz w:val="24"/>
                <w:szCs w:val="24"/>
              </w:rPr>
            </w:pPr>
            <w:r>
              <w:rPr>
                <w:rFonts w:ascii="Times New Roman" w:hAnsi="Times New Roman" w:cs="Times New Roman"/>
                <w:b/>
                <w:bCs/>
                <w:sz w:val="24"/>
                <w:szCs w:val="24"/>
              </w:rPr>
              <w:t>Precision-Enhanced BNF</w:t>
            </w:r>
          </w:p>
        </w:tc>
      </w:tr>
      <w:tr w:rsidR="00FD4083" w14:paraId="5C397481" w14:textId="77777777" w:rsidTr="00FD4083">
        <w:trPr>
          <w:tblCellSpacing w:w="15" w:type="dxa"/>
        </w:trPr>
        <w:tc>
          <w:tcPr>
            <w:tcW w:w="664" w:type="dxa"/>
            <w:tcBorders>
              <w:left w:val="single" w:sz="4" w:space="0" w:color="auto"/>
              <w:bottom w:val="single" w:sz="4" w:space="0" w:color="auto"/>
            </w:tcBorders>
          </w:tcPr>
          <w:p w14:paraId="4E5361CB" w14:textId="6E4EBA6B"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1</w:t>
            </w:r>
          </w:p>
        </w:tc>
        <w:tc>
          <w:tcPr>
            <w:tcW w:w="3091" w:type="dxa"/>
            <w:tcBorders>
              <w:left w:val="single" w:sz="4" w:space="0" w:color="auto"/>
              <w:bottom w:val="single" w:sz="4" w:space="0" w:color="auto"/>
            </w:tcBorders>
            <w:vAlign w:val="center"/>
          </w:tcPr>
          <w:p w14:paraId="003AE517" w14:textId="1A58737E"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Nitrogen fixation efficiency</w:t>
            </w:r>
          </w:p>
        </w:tc>
        <w:tc>
          <w:tcPr>
            <w:tcW w:w="0" w:type="auto"/>
            <w:tcBorders>
              <w:left w:val="single" w:sz="4" w:space="0" w:color="auto"/>
              <w:bottom w:val="single" w:sz="4" w:space="0" w:color="auto"/>
            </w:tcBorders>
            <w:vAlign w:val="center"/>
          </w:tcPr>
          <w:p w14:paraId="6E736537"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Moderate and variable</w:t>
            </w:r>
          </w:p>
        </w:tc>
        <w:tc>
          <w:tcPr>
            <w:tcW w:w="3151" w:type="dxa"/>
            <w:tcBorders>
              <w:left w:val="single" w:sz="4" w:space="0" w:color="auto"/>
              <w:bottom w:val="single" w:sz="4" w:space="0" w:color="auto"/>
              <w:right w:val="single" w:sz="4" w:space="0" w:color="auto"/>
            </w:tcBorders>
            <w:vAlign w:val="center"/>
          </w:tcPr>
          <w:p w14:paraId="5BFEE238"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High and optimized</w:t>
            </w:r>
          </w:p>
        </w:tc>
      </w:tr>
      <w:tr w:rsidR="00FD4083" w14:paraId="4C7E378D" w14:textId="77777777" w:rsidTr="00FD4083">
        <w:trPr>
          <w:tblCellSpacing w:w="15" w:type="dxa"/>
        </w:trPr>
        <w:tc>
          <w:tcPr>
            <w:tcW w:w="664" w:type="dxa"/>
            <w:tcBorders>
              <w:left w:val="single" w:sz="4" w:space="0" w:color="auto"/>
            </w:tcBorders>
          </w:tcPr>
          <w:p w14:paraId="547DD708" w14:textId="5D528412"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2</w:t>
            </w:r>
          </w:p>
        </w:tc>
        <w:tc>
          <w:tcPr>
            <w:tcW w:w="3091" w:type="dxa"/>
            <w:tcBorders>
              <w:left w:val="single" w:sz="4" w:space="0" w:color="auto"/>
            </w:tcBorders>
            <w:vAlign w:val="center"/>
          </w:tcPr>
          <w:p w14:paraId="233763DD" w14:textId="6FDB8B59"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Dependence on environment</w:t>
            </w:r>
          </w:p>
        </w:tc>
        <w:tc>
          <w:tcPr>
            <w:tcW w:w="0" w:type="auto"/>
            <w:tcBorders>
              <w:left w:val="single" w:sz="4" w:space="0" w:color="auto"/>
            </w:tcBorders>
            <w:vAlign w:val="center"/>
          </w:tcPr>
          <w:p w14:paraId="1EFED773"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Highly dependent</w:t>
            </w:r>
          </w:p>
        </w:tc>
        <w:tc>
          <w:tcPr>
            <w:tcW w:w="3151" w:type="dxa"/>
            <w:tcBorders>
              <w:left w:val="single" w:sz="4" w:space="0" w:color="auto"/>
              <w:right w:val="single" w:sz="4" w:space="0" w:color="auto"/>
            </w:tcBorders>
            <w:vAlign w:val="center"/>
          </w:tcPr>
          <w:p w14:paraId="319C192A"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Controlled through management</w:t>
            </w:r>
          </w:p>
        </w:tc>
      </w:tr>
      <w:tr w:rsidR="00FD4083" w14:paraId="23053190" w14:textId="77777777" w:rsidTr="00FD4083">
        <w:trPr>
          <w:tblCellSpacing w:w="15" w:type="dxa"/>
        </w:trPr>
        <w:tc>
          <w:tcPr>
            <w:tcW w:w="664" w:type="dxa"/>
            <w:tcBorders>
              <w:top w:val="single" w:sz="4" w:space="0" w:color="auto"/>
              <w:left w:val="single" w:sz="4" w:space="0" w:color="auto"/>
              <w:bottom w:val="single" w:sz="4" w:space="0" w:color="auto"/>
            </w:tcBorders>
          </w:tcPr>
          <w:p w14:paraId="2F018020" w14:textId="41A1814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3</w:t>
            </w:r>
          </w:p>
        </w:tc>
        <w:tc>
          <w:tcPr>
            <w:tcW w:w="3091" w:type="dxa"/>
            <w:tcBorders>
              <w:top w:val="single" w:sz="4" w:space="0" w:color="auto"/>
              <w:left w:val="single" w:sz="4" w:space="0" w:color="auto"/>
              <w:bottom w:val="single" w:sz="4" w:space="0" w:color="auto"/>
            </w:tcBorders>
            <w:vAlign w:val="center"/>
          </w:tcPr>
          <w:p w14:paraId="2125E727" w14:textId="7AAF37ED"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Genotype influence</w:t>
            </w:r>
          </w:p>
        </w:tc>
        <w:tc>
          <w:tcPr>
            <w:tcW w:w="0" w:type="auto"/>
            <w:tcBorders>
              <w:top w:val="single" w:sz="4" w:space="0" w:color="auto"/>
              <w:left w:val="single" w:sz="4" w:space="0" w:color="auto"/>
              <w:bottom w:val="single" w:sz="4" w:space="0" w:color="auto"/>
            </w:tcBorders>
            <w:vAlign w:val="center"/>
          </w:tcPr>
          <w:p w14:paraId="46218F38"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Limited exploitation</w:t>
            </w:r>
          </w:p>
        </w:tc>
        <w:tc>
          <w:tcPr>
            <w:tcW w:w="3151" w:type="dxa"/>
            <w:tcBorders>
              <w:top w:val="single" w:sz="4" w:space="0" w:color="auto"/>
              <w:left w:val="single" w:sz="4" w:space="0" w:color="auto"/>
              <w:bottom w:val="single" w:sz="4" w:space="0" w:color="auto"/>
              <w:right w:val="single" w:sz="4" w:space="0" w:color="auto"/>
            </w:tcBorders>
            <w:vAlign w:val="center"/>
          </w:tcPr>
          <w:p w14:paraId="10803F33"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Targeted genetic improvement</w:t>
            </w:r>
          </w:p>
        </w:tc>
      </w:tr>
      <w:tr w:rsidR="00FD4083" w14:paraId="07CCE12D" w14:textId="77777777" w:rsidTr="00FD4083">
        <w:trPr>
          <w:tblCellSpacing w:w="15" w:type="dxa"/>
        </w:trPr>
        <w:tc>
          <w:tcPr>
            <w:tcW w:w="664" w:type="dxa"/>
            <w:tcBorders>
              <w:left w:val="single" w:sz="4" w:space="0" w:color="auto"/>
              <w:bottom w:val="single" w:sz="4" w:space="0" w:color="auto"/>
            </w:tcBorders>
          </w:tcPr>
          <w:p w14:paraId="117CA5DF" w14:textId="6BE9595B"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4</w:t>
            </w:r>
          </w:p>
        </w:tc>
        <w:tc>
          <w:tcPr>
            <w:tcW w:w="3091" w:type="dxa"/>
            <w:tcBorders>
              <w:left w:val="single" w:sz="4" w:space="0" w:color="auto"/>
              <w:bottom w:val="single" w:sz="4" w:space="0" w:color="auto"/>
            </w:tcBorders>
            <w:vAlign w:val="center"/>
          </w:tcPr>
          <w:p w14:paraId="194B3755" w14:textId="679D1D5F" w:rsidR="00FD4083" w:rsidRDefault="00FD4083" w:rsidP="00FD4083">
            <w:pPr>
              <w:suppressLineNumbers/>
              <w:jc w:val="both"/>
              <w:rPr>
                <w:rFonts w:ascii="Times New Roman" w:hAnsi="Times New Roman" w:cs="Times New Roman"/>
                <w:sz w:val="24"/>
                <w:szCs w:val="24"/>
              </w:rPr>
            </w:pPr>
            <w:proofErr w:type="spellStart"/>
            <w:r>
              <w:rPr>
                <w:rFonts w:ascii="Times New Roman" w:hAnsi="Times New Roman" w:cs="Times New Roman"/>
                <w:sz w:val="24"/>
                <w:szCs w:val="24"/>
              </w:rPr>
              <w:t>Rhizobial</w:t>
            </w:r>
            <w:proofErr w:type="spellEnd"/>
            <w:r>
              <w:rPr>
                <w:rFonts w:ascii="Times New Roman" w:hAnsi="Times New Roman" w:cs="Times New Roman"/>
                <w:sz w:val="24"/>
                <w:szCs w:val="24"/>
              </w:rPr>
              <w:t xml:space="preserve"> interaction</w:t>
            </w:r>
          </w:p>
        </w:tc>
        <w:tc>
          <w:tcPr>
            <w:tcW w:w="0" w:type="auto"/>
            <w:tcBorders>
              <w:left w:val="single" w:sz="4" w:space="0" w:color="auto"/>
              <w:bottom w:val="single" w:sz="4" w:space="0" w:color="auto"/>
            </w:tcBorders>
            <w:vAlign w:val="center"/>
          </w:tcPr>
          <w:p w14:paraId="75967F6F"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Native strains dominate</w:t>
            </w:r>
          </w:p>
        </w:tc>
        <w:tc>
          <w:tcPr>
            <w:tcW w:w="3151" w:type="dxa"/>
            <w:tcBorders>
              <w:left w:val="single" w:sz="4" w:space="0" w:color="auto"/>
              <w:bottom w:val="single" w:sz="4" w:space="0" w:color="auto"/>
              <w:right w:val="single" w:sz="4" w:space="0" w:color="auto"/>
            </w:tcBorders>
            <w:vAlign w:val="center"/>
          </w:tcPr>
          <w:p w14:paraId="29A3B113"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Engineered/elite inoculants used</w:t>
            </w:r>
          </w:p>
        </w:tc>
      </w:tr>
      <w:tr w:rsidR="00FD4083" w14:paraId="0FFF4C45" w14:textId="77777777" w:rsidTr="00FD4083">
        <w:trPr>
          <w:tblCellSpacing w:w="15" w:type="dxa"/>
        </w:trPr>
        <w:tc>
          <w:tcPr>
            <w:tcW w:w="664" w:type="dxa"/>
            <w:tcBorders>
              <w:left w:val="single" w:sz="4" w:space="0" w:color="auto"/>
            </w:tcBorders>
          </w:tcPr>
          <w:p w14:paraId="32671907" w14:textId="7215ECB8"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5</w:t>
            </w:r>
          </w:p>
        </w:tc>
        <w:tc>
          <w:tcPr>
            <w:tcW w:w="3091" w:type="dxa"/>
            <w:tcBorders>
              <w:left w:val="single" w:sz="4" w:space="0" w:color="auto"/>
            </w:tcBorders>
            <w:vAlign w:val="center"/>
          </w:tcPr>
          <w:p w14:paraId="59E72275" w14:textId="75F4261D"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Nutrient management</w:t>
            </w:r>
          </w:p>
        </w:tc>
        <w:tc>
          <w:tcPr>
            <w:tcW w:w="0" w:type="auto"/>
            <w:tcBorders>
              <w:left w:val="single" w:sz="4" w:space="0" w:color="auto"/>
            </w:tcBorders>
            <w:vAlign w:val="center"/>
          </w:tcPr>
          <w:p w14:paraId="1321DBAA"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Generalized</w:t>
            </w:r>
          </w:p>
        </w:tc>
        <w:tc>
          <w:tcPr>
            <w:tcW w:w="3151" w:type="dxa"/>
            <w:tcBorders>
              <w:left w:val="single" w:sz="4" w:space="0" w:color="auto"/>
              <w:right w:val="single" w:sz="4" w:space="0" w:color="auto"/>
            </w:tcBorders>
            <w:vAlign w:val="center"/>
          </w:tcPr>
          <w:p w14:paraId="14F4D796"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Site-specific and data-driven</w:t>
            </w:r>
          </w:p>
        </w:tc>
      </w:tr>
      <w:tr w:rsidR="00FD4083" w14:paraId="64BFAD67" w14:textId="77777777" w:rsidTr="00FD4083">
        <w:trPr>
          <w:tblCellSpacing w:w="15" w:type="dxa"/>
        </w:trPr>
        <w:tc>
          <w:tcPr>
            <w:tcW w:w="664" w:type="dxa"/>
            <w:tcBorders>
              <w:top w:val="single" w:sz="4" w:space="0" w:color="auto"/>
              <w:left w:val="single" w:sz="4" w:space="0" w:color="auto"/>
              <w:bottom w:val="single" w:sz="4" w:space="0" w:color="auto"/>
            </w:tcBorders>
          </w:tcPr>
          <w:p w14:paraId="5418CE47" w14:textId="4E274801"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6</w:t>
            </w:r>
          </w:p>
        </w:tc>
        <w:tc>
          <w:tcPr>
            <w:tcW w:w="3091" w:type="dxa"/>
            <w:tcBorders>
              <w:top w:val="single" w:sz="4" w:space="0" w:color="auto"/>
              <w:left w:val="single" w:sz="4" w:space="0" w:color="auto"/>
              <w:bottom w:val="single" w:sz="4" w:space="0" w:color="auto"/>
            </w:tcBorders>
            <w:vAlign w:val="center"/>
          </w:tcPr>
          <w:p w14:paraId="501D9E13" w14:textId="3837EA00"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Monitoring tools</w:t>
            </w:r>
          </w:p>
        </w:tc>
        <w:tc>
          <w:tcPr>
            <w:tcW w:w="0" w:type="auto"/>
            <w:tcBorders>
              <w:top w:val="single" w:sz="4" w:space="0" w:color="auto"/>
              <w:left w:val="single" w:sz="4" w:space="0" w:color="auto"/>
              <w:bottom w:val="single" w:sz="4" w:space="0" w:color="auto"/>
            </w:tcBorders>
            <w:vAlign w:val="center"/>
          </w:tcPr>
          <w:p w14:paraId="1B4622C9"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Conventional methods</w:t>
            </w:r>
          </w:p>
        </w:tc>
        <w:tc>
          <w:tcPr>
            <w:tcW w:w="3151" w:type="dxa"/>
            <w:tcBorders>
              <w:top w:val="single" w:sz="4" w:space="0" w:color="auto"/>
              <w:left w:val="single" w:sz="4" w:space="0" w:color="auto"/>
              <w:bottom w:val="single" w:sz="4" w:space="0" w:color="auto"/>
              <w:right w:val="single" w:sz="4" w:space="0" w:color="auto"/>
            </w:tcBorders>
            <w:vAlign w:val="center"/>
          </w:tcPr>
          <w:p w14:paraId="6CB1315D"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Sensors, remote sensing, AI</w:t>
            </w:r>
          </w:p>
        </w:tc>
      </w:tr>
      <w:tr w:rsidR="00FD4083" w14:paraId="7CA4B7B2" w14:textId="77777777" w:rsidTr="00FD4083">
        <w:trPr>
          <w:tblCellSpacing w:w="15" w:type="dxa"/>
        </w:trPr>
        <w:tc>
          <w:tcPr>
            <w:tcW w:w="664" w:type="dxa"/>
            <w:tcBorders>
              <w:left w:val="single" w:sz="4" w:space="0" w:color="auto"/>
              <w:bottom w:val="single" w:sz="4" w:space="0" w:color="auto"/>
              <w:right w:val="single" w:sz="4" w:space="0" w:color="auto"/>
            </w:tcBorders>
          </w:tcPr>
          <w:p w14:paraId="78470578" w14:textId="54021D43"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7</w:t>
            </w:r>
          </w:p>
        </w:tc>
        <w:tc>
          <w:tcPr>
            <w:tcW w:w="3091" w:type="dxa"/>
            <w:tcBorders>
              <w:left w:val="single" w:sz="4" w:space="0" w:color="auto"/>
              <w:bottom w:val="single" w:sz="4" w:space="0" w:color="auto"/>
              <w:right w:val="single" w:sz="4" w:space="0" w:color="auto"/>
            </w:tcBorders>
            <w:vAlign w:val="center"/>
          </w:tcPr>
          <w:p w14:paraId="286C228F" w14:textId="56AE502F"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Yield contribution</w:t>
            </w:r>
          </w:p>
        </w:tc>
        <w:tc>
          <w:tcPr>
            <w:tcW w:w="0" w:type="auto"/>
            <w:tcBorders>
              <w:left w:val="single" w:sz="4" w:space="0" w:color="auto"/>
              <w:bottom w:val="single" w:sz="4" w:space="0" w:color="auto"/>
            </w:tcBorders>
            <w:vAlign w:val="center"/>
          </w:tcPr>
          <w:p w14:paraId="57768F21"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Inconsistent</w:t>
            </w:r>
          </w:p>
        </w:tc>
        <w:tc>
          <w:tcPr>
            <w:tcW w:w="3151" w:type="dxa"/>
            <w:tcBorders>
              <w:left w:val="single" w:sz="4" w:space="0" w:color="auto"/>
              <w:bottom w:val="single" w:sz="4" w:space="0" w:color="auto"/>
              <w:right w:val="single" w:sz="4" w:space="0" w:color="auto"/>
            </w:tcBorders>
            <w:vAlign w:val="center"/>
          </w:tcPr>
          <w:p w14:paraId="7A5DD441"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Stable and enhanced</w:t>
            </w:r>
          </w:p>
        </w:tc>
      </w:tr>
      <w:tr w:rsidR="00FD4083" w14:paraId="56E67867" w14:textId="77777777" w:rsidTr="00FD4083">
        <w:trPr>
          <w:tblCellSpacing w:w="15" w:type="dxa"/>
        </w:trPr>
        <w:tc>
          <w:tcPr>
            <w:tcW w:w="664" w:type="dxa"/>
            <w:tcBorders>
              <w:left w:val="single" w:sz="4" w:space="0" w:color="auto"/>
              <w:bottom w:val="single" w:sz="4" w:space="0" w:color="auto"/>
              <w:right w:val="single" w:sz="4" w:space="0" w:color="auto"/>
            </w:tcBorders>
          </w:tcPr>
          <w:p w14:paraId="27BB0484" w14:textId="70297771"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8</w:t>
            </w:r>
          </w:p>
        </w:tc>
        <w:tc>
          <w:tcPr>
            <w:tcW w:w="3091" w:type="dxa"/>
            <w:tcBorders>
              <w:left w:val="single" w:sz="4" w:space="0" w:color="auto"/>
              <w:bottom w:val="single" w:sz="4" w:space="0" w:color="auto"/>
              <w:right w:val="single" w:sz="4" w:space="0" w:color="auto"/>
            </w:tcBorders>
            <w:vAlign w:val="center"/>
          </w:tcPr>
          <w:p w14:paraId="5628320E" w14:textId="57A9CA19"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Sustainability impact</w:t>
            </w:r>
          </w:p>
        </w:tc>
        <w:tc>
          <w:tcPr>
            <w:tcW w:w="0" w:type="auto"/>
            <w:tcBorders>
              <w:bottom w:val="single" w:sz="4" w:space="0" w:color="auto"/>
            </w:tcBorders>
            <w:vAlign w:val="center"/>
          </w:tcPr>
          <w:p w14:paraId="5F152FCE"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Moderate</w:t>
            </w:r>
          </w:p>
        </w:tc>
        <w:tc>
          <w:tcPr>
            <w:tcW w:w="3151" w:type="dxa"/>
            <w:tcBorders>
              <w:left w:val="single" w:sz="4" w:space="0" w:color="auto"/>
              <w:bottom w:val="single" w:sz="4" w:space="0" w:color="auto"/>
              <w:right w:val="single" w:sz="4" w:space="0" w:color="auto"/>
            </w:tcBorders>
            <w:vAlign w:val="center"/>
          </w:tcPr>
          <w:p w14:paraId="4AD7E12E"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High (reduced fertilizer use)</w:t>
            </w:r>
          </w:p>
        </w:tc>
      </w:tr>
    </w:tbl>
    <w:p w14:paraId="62A5E753" w14:textId="77777777" w:rsidR="007F6049" w:rsidRDefault="007F6049" w:rsidP="006A6CAF">
      <w:pPr>
        <w:suppressLineNumbers/>
        <w:jc w:val="both"/>
        <w:rPr>
          <w:rFonts w:ascii="Times New Roman" w:hAnsi="Times New Roman" w:cs="Times New Roman"/>
          <w:sz w:val="24"/>
          <w:szCs w:val="24"/>
        </w:rPr>
      </w:pPr>
    </w:p>
    <w:p w14:paraId="11A8482D" w14:textId="77777777" w:rsidR="007F6049" w:rsidRDefault="007F6049" w:rsidP="006A6CAF">
      <w:pPr>
        <w:suppressLineNumbers/>
        <w:jc w:val="both"/>
        <w:rPr>
          <w:rFonts w:ascii="Times New Roman" w:hAnsi="Times New Roman" w:cs="Times New Roman"/>
          <w:sz w:val="24"/>
          <w:szCs w:val="24"/>
        </w:rPr>
      </w:pPr>
    </w:p>
    <w:p w14:paraId="7FE5A4D6" w14:textId="77777777" w:rsidR="007F6049" w:rsidRDefault="001C255B" w:rsidP="006A6CAF">
      <w:pPr>
        <w:suppressLineNumbers/>
        <w:jc w:val="both"/>
        <w:rPr>
          <w:rFonts w:ascii="Times New Roman" w:hAnsi="Times New Roman" w:cs="Times New Roman"/>
          <w:b/>
          <w:bCs/>
          <w:sz w:val="24"/>
          <w:szCs w:val="24"/>
        </w:rPr>
      </w:pPr>
      <w:r>
        <w:rPr>
          <w:rFonts w:ascii="Times New Roman" w:hAnsi="Times New Roman" w:cs="Times New Roman"/>
          <w:b/>
          <w:bCs/>
          <w:sz w:val="24"/>
          <w:szCs w:val="24"/>
        </w:rPr>
        <w:t>Table 2. Key genetic and microbial strategies for enhancing BNF in legumes</w:t>
      </w:r>
    </w:p>
    <w:tbl>
      <w:tblPr>
        <w:tblW w:w="11096" w:type="dxa"/>
        <w:tblCellSpacing w:w="15" w:type="dxa"/>
        <w:tblInd w:w="-1035" w:type="dxa"/>
        <w:tblCellMar>
          <w:top w:w="15" w:type="dxa"/>
          <w:left w:w="15" w:type="dxa"/>
          <w:bottom w:w="15" w:type="dxa"/>
          <w:right w:w="15" w:type="dxa"/>
        </w:tblCellMar>
        <w:tblLook w:val="04A0" w:firstRow="1" w:lastRow="0" w:firstColumn="1" w:lastColumn="0" w:noHBand="0" w:noVBand="1"/>
      </w:tblPr>
      <w:tblGrid>
        <w:gridCol w:w="749"/>
        <w:gridCol w:w="3157"/>
        <w:gridCol w:w="3505"/>
        <w:gridCol w:w="3685"/>
      </w:tblGrid>
      <w:tr w:rsidR="00FD4083" w14:paraId="142CDE18" w14:textId="77777777" w:rsidTr="00DF436B">
        <w:trPr>
          <w:tblHeader/>
          <w:tblCellSpacing w:w="15" w:type="dxa"/>
        </w:trPr>
        <w:tc>
          <w:tcPr>
            <w:tcW w:w="0" w:type="auto"/>
            <w:tcBorders>
              <w:top w:val="single" w:sz="4" w:space="0" w:color="auto"/>
              <w:left w:val="single" w:sz="4" w:space="0" w:color="auto"/>
              <w:bottom w:val="single" w:sz="4" w:space="0" w:color="auto"/>
            </w:tcBorders>
          </w:tcPr>
          <w:p w14:paraId="1AB7C9A4" w14:textId="5A73AB6F" w:rsidR="00FD4083" w:rsidRDefault="00FD4083" w:rsidP="00FD4083">
            <w:pPr>
              <w:suppressLineNumbers/>
              <w:jc w:val="both"/>
              <w:rPr>
                <w:rFonts w:ascii="Times New Roman" w:hAnsi="Times New Roman" w:cs="Times New Roman"/>
                <w:b/>
                <w:bCs/>
                <w:sz w:val="24"/>
                <w:szCs w:val="24"/>
              </w:rPr>
            </w:pPr>
            <w:r>
              <w:rPr>
                <w:rFonts w:ascii="Times New Roman" w:hAnsi="Times New Roman" w:cs="Times New Roman"/>
                <w:b/>
                <w:bCs/>
                <w:sz w:val="24"/>
                <w:szCs w:val="24"/>
              </w:rPr>
              <w:t>S.NO.</w:t>
            </w:r>
          </w:p>
        </w:tc>
        <w:tc>
          <w:tcPr>
            <w:tcW w:w="0" w:type="auto"/>
            <w:tcBorders>
              <w:top w:val="single" w:sz="4" w:space="0" w:color="auto"/>
              <w:left w:val="single" w:sz="4" w:space="0" w:color="auto"/>
              <w:bottom w:val="single" w:sz="4" w:space="0" w:color="auto"/>
            </w:tcBorders>
            <w:vAlign w:val="center"/>
          </w:tcPr>
          <w:p w14:paraId="27F19251" w14:textId="555AE2B3" w:rsidR="00FD4083" w:rsidRDefault="00FD4083" w:rsidP="00FD4083">
            <w:pPr>
              <w:suppressLineNumbers/>
              <w:jc w:val="both"/>
              <w:rPr>
                <w:rFonts w:ascii="Times New Roman" w:hAnsi="Times New Roman" w:cs="Times New Roman"/>
                <w:b/>
                <w:bCs/>
                <w:sz w:val="24"/>
                <w:szCs w:val="24"/>
              </w:rPr>
            </w:pPr>
            <w:r>
              <w:rPr>
                <w:rFonts w:ascii="Times New Roman" w:hAnsi="Times New Roman" w:cs="Times New Roman"/>
                <w:b/>
                <w:bCs/>
                <w:sz w:val="24"/>
                <w:szCs w:val="24"/>
              </w:rPr>
              <w:t>Strategy</w:t>
            </w:r>
          </w:p>
        </w:tc>
        <w:tc>
          <w:tcPr>
            <w:tcW w:w="3475" w:type="dxa"/>
            <w:tcBorders>
              <w:top w:val="single" w:sz="4" w:space="0" w:color="auto"/>
              <w:left w:val="single" w:sz="4" w:space="0" w:color="auto"/>
              <w:bottom w:val="single" w:sz="4" w:space="0" w:color="auto"/>
              <w:right w:val="single" w:sz="4" w:space="0" w:color="auto"/>
            </w:tcBorders>
            <w:vAlign w:val="center"/>
          </w:tcPr>
          <w:p w14:paraId="7986E88B" w14:textId="77777777" w:rsidR="00FD4083" w:rsidRDefault="00FD4083" w:rsidP="00FD4083">
            <w:pPr>
              <w:suppressLineNumbers/>
              <w:jc w:val="both"/>
              <w:rPr>
                <w:rFonts w:ascii="Times New Roman" w:hAnsi="Times New Roman" w:cs="Times New Roman"/>
                <w:b/>
                <w:bCs/>
                <w:sz w:val="24"/>
                <w:szCs w:val="24"/>
              </w:rPr>
            </w:pPr>
            <w:r>
              <w:rPr>
                <w:rFonts w:ascii="Times New Roman" w:hAnsi="Times New Roman" w:cs="Times New Roman"/>
                <w:b/>
                <w:bCs/>
                <w:sz w:val="24"/>
                <w:szCs w:val="24"/>
              </w:rPr>
              <w:t>Approach</w:t>
            </w:r>
          </w:p>
        </w:tc>
        <w:tc>
          <w:tcPr>
            <w:tcW w:w="3640" w:type="dxa"/>
            <w:tcBorders>
              <w:top w:val="single" w:sz="4" w:space="0" w:color="auto"/>
              <w:bottom w:val="single" w:sz="4" w:space="0" w:color="auto"/>
              <w:right w:val="single" w:sz="4" w:space="0" w:color="auto"/>
            </w:tcBorders>
            <w:vAlign w:val="center"/>
          </w:tcPr>
          <w:p w14:paraId="47940266" w14:textId="77777777" w:rsidR="00FD4083" w:rsidRDefault="00FD4083" w:rsidP="00FD4083">
            <w:pPr>
              <w:suppressLineNumbers/>
              <w:jc w:val="both"/>
              <w:rPr>
                <w:rFonts w:ascii="Times New Roman" w:hAnsi="Times New Roman" w:cs="Times New Roman"/>
                <w:b/>
                <w:bCs/>
                <w:sz w:val="24"/>
                <w:szCs w:val="24"/>
              </w:rPr>
            </w:pPr>
            <w:r>
              <w:rPr>
                <w:rFonts w:ascii="Times New Roman" w:hAnsi="Times New Roman" w:cs="Times New Roman"/>
                <w:b/>
                <w:bCs/>
                <w:sz w:val="24"/>
                <w:szCs w:val="24"/>
              </w:rPr>
              <w:t>Outcome</w:t>
            </w:r>
          </w:p>
        </w:tc>
      </w:tr>
      <w:tr w:rsidR="00FD4083" w14:paraId="17023E90" w14:textId="77777777" w:rsidTr="00DF436B">
        <w:trPr>
          <w:tblCellSpacing w:w="15" w:type="dxa"/>
        </w:trPr>
        <w:tc>
          <w:tcPr>
            <w:tcW w:w="0" w:type="auto"/>
            <w:tcBorders>
              <w:left w:val="single" w:sz="4" w:space="0" w:color="auto"/>
            </w:tcBorders>
          </w:tcPr>
          <w:p w14:paraId="23C0E523" w14:textId="2284A13C"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Borders>
              <w:left w:val="single" w:sz="4" w:space="0" w:color="auto"/>
            </w:tcBorders>
            <w:vAlign w:val="center"/>
          </w:tcPr>
          <w:p w14:paraId="18510CCC" w14:textId="17BF5F8A"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Marker-assisted selection</w:t>
            </w:r>
          </w:p>
        </w:tc>
        <w:tc>
          <w:tcPr>
            <w:tcW w:w="3475" w:type="dxa"/>
            <w:tcBorders>
              <w:left w:val="single" w:sz="4" w:space="0" w:color="auto"/>
              <w:right w:val="single" w:sz="4" w:space="0" w:color="auto"/>
            </w:tcBorders>
            <w:vAlign w:val="center"/>
          </w:tcPr>
          <w:p w14:paraId="7864ABEC"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Identification of BNF-related QTLs</w:t>
            </w:r>
          </w:p>
        </w:tc>
        <w:tc>
          <w:tcPr>
            <w:tcW w:w="3640" w:type="dxa"/>
            <w:tcBorders>
              <w:right w:val="single" w:sz="4" w:space="0" w:color="auto"/>
            </w:tcBorders>
            <w:vAlign w:val="center"/>
          </w:tcPr>
          <w:p w14:paraId="49247751"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Improved nodulation traits</w:t>
            </w:r>
          </w:p>
        </w:tc>
      </w:tr>
      <w:tr w:rsidR="00FD4083" w14:paraId="050E4537" w14:textId="77777777" w:rsidTr="00DF436B">
        <w:trPr>
          <w:tblCellSpacing w:w="15" w:type="dxa"/>
        </w:trPr>
        <w:tc>
          <w:tcPr>
            <w:tcW w:w="0" w:type="auto"/>
            <w:tcBorders>
              <w:top w:val="single" w:sz="4" w:space="0" w:color="auto"/>
              <w:left w:val="single" w:sz="4" w:space="0" w:color="auto"/>
              <w:bottom w:val="single" w:sz="4" w:space="0" w:color="auto"/>
            </w:tcBorders>
          </w:tcPr>
          <w:p w14:paraId="71601C97" w14:textId="552A4174"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tcBorders>
            <w:vAlign w:val="center"/>
          </w:tcPr>
          <w:p w14:paraId="4C26CF83" w14:textId="3A232570"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Genomic selection</w:t>
            </w:r>
          </w:p>
        </w:tc>
        <w:tc>
          <w:tcPr>
            <w:tcW w:w="3475" w:type="dxa"/>
            <w:tcBorders>
              <w:top w:val="single" w:sz="4" w:space="0" w:color="auto"/>
              <w:left w:val="single" w:sz="4" w:space="0" w:color="auto"/>
              <w:bottom w:val="single" w:sz="4" w:space="0" w:color="auto"/>
              <w:right w:val="single" w:sz="4" w:space="0" w:color="auto"/>
            </w:tcBorders>
            <w:vAlign w:val="center"/>
          </w:tcPr>
          <w:p w14:paraId="07F3AD15"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Genome-wide prediction models</w:t>
            </w:r>
          </w:p>
        </w:tc>
        <w:tc>
          <w:tcPr>
            <w:tcW w:w="3640" w:type="dxa"/>
            <w:tcBorders>
              <w:top w:val="single" w:sz="4" w:space="0" w:color="auto"/>
              <w:bottom w:val="single" w:sz="4" w:space="0" w:color="auto"/>
              <w:right w:val="single" w:sz="4" w:space="0" w:color="auto"/>
            </w:tcBorders>
            <w:vAlign w:val="center"/>
          </w:tcPr>
          <w:p w14:paraId="2A43C5F6"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Faster breeding cycles</w:t>
            </w:r>
          </w:p>
        </w:tc>
      </w:tr>
      <w:tr w:rsidR="00FD4083" w14:paraId="1008EE36" w14:textId="77777777" w:rsidTr="00DF436B">
        <w:trPr>
          <w:tblCellSpacing w:w="15" w:type="dxa"/>
        </w:trPr>
        <w:tc>
          <w:tcPr>
            <w:tcW w:w="0" w:type="auto"/>
            <w:tcBorders>
              <w:left w:val="single" w:sz="4" w:space="0" w:color="auto"/>
              <w:bottom w:val="single" w:sz="4" w:space="0" w:color="auto"/>
            </w:tcBorders>
          </w:tcPr>
          <w:p w14:paraId="1CAF99B8" w14:textId="511DE3FE"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Borders>
              <w:left w:val="single" w:sz="4" w:space="0" w:color="auto"/>
              <w:bottom w:val="single" w:sz="4" w:space="0" w:color="auto"/>
            </w:tcBorders>
            <w:vAlign w:val="center"/>
          </w:tcPr>
          <w:p w14:paraId="0F81F01A" w14:textId="0F35C412"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CRISPR gene editing</w:t>
            </w:r>
          </w:p>
        </w:tc>
        <w:tc>
          <w:tcPr>
            <w:tcW w:w="3475" w:type="dxa"/>
            <w:tcBorders>
              <w:left w:val="single" w:sz="4" w:space="0" w:color="auto"/>
              <w:bottom w:val="single" w:sz="4" w:space="0" w:color="auto"/>
              <w:right w:val="single" w:sz="4" w:space="0" w:color="auto"/>
            </w:tcBorders>
            <w:vAlign w:val="center"/>
          </w:tcPr>
          <w:p w14:paraId="06E4D3DD"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Modification of symbiotic genes</w:t>
            </w:r>
          </w:p>
        </w:tc>
        <w:tc>
          <w:tcPr>
            <w:tcW w:w="3640" w:type="dxa"/>
            <w:tcBorders>
              <w:bottom w:val="single" w:sz="4" w:space="0" w:color="auto"/>
              <w:right w:val="single" w:sz="4" w:space="0" w:color="auto"/>
            </w:tcBorders>
            <w:vAlign w:val="center"/>
          </w:tcPr>
          <w:p w14:paraId="13A08487"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Enhanced nitrogen fixation efficiency</w:t>
            </w:r>
          </w:p>
        </w:tc>
      </w:tr>
      <w:tr w:rsidR="00FD4083" w14:paraId="5FDBFDD7" w14:textId="77777777" w:rsidTr="00DF436B">
        <w:trPr>
          <w:tblCellSpacing w:w="15" w:type="dxa"/>
        </w:trPr>
        <w:tc>
          <w:tcPr>
            <w:tcW w:w="0" w:type="auto"/>
            <w:tcBorders>
              <w:left w:val="single" w:sz="4" w:space="0" w:color="auto"/>
              <w:bottom w:val="single" w:sz="4" w:space="0" w:color="auto"/>
            </w:tcBorders>
          </w:tcPr>
          <w:p w14:paraId="444BC674" w14:textId="02C073D9"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Borders>
              <w:left w:val="single" w:sz="4" w:space="0" w:color="auto"/>
              <w:bottom w:val="single" w:sz="4" w:space="0" w:color="auto"/>
            </w:tcBorders>
            <w:vAlign w:val="center"/>
          </w:tcPr>
          <w:p w14:paraId="41A745D0" w14:textId="17A8DDA5" w:rsidR="00FD4083" w:rsidRDefault="00FD4083" w:rsidP="00FD4083">
            <w:pPr>
              <w:suppressLineNumbers/>
              <w:jc w:val="both"/>
              <w:rPr>
                <w:rFonts w:ascii="Times New Roman" w:hAnsi="Times New Roman" w:cs="Times New Roman"/>
                <w:sz w:val="24"/>
                <w:szCs w:val="24"/>
              </w:rPr>
            </w:pPr>
            <w:proofErr w:type="spellStart"/>
            <w:r>
              <w:rPr>
                <w:rFonts w:ascii="Times New Roman" w:hAnsi="Times New Roman" w:cs="Times New Roman"/>
                <w:sz w:val="24"/>
                <w:szCs w:val="24"/>
              </w:rPr>
              <w:t>Rhizobial</w:t>
            </w:r>
            <w:proofErr w:type="spellEnd"/>
            <w:r>
              <w:rPr>
                <w:rFonts w:ascii="Times New Roman" w:hAnsi="Times New Roman" w:cs="Times New Roman"/>
                <w:sz w:val="24"/>
                <w:szCs w:val="24"/>
              </w:rPr>
              <w:t xml:space="preserve"> strain improvement</w:t>
            </w:r>
          </w:p>
        </w:tc>
        <w:tc>
          <w:tcPr>
            <w:tcW w:w="3475" w:type="dxa"/>
            <w:tcBorders>
              <w:left w:val="single" w:sz="4" w:space="0" w:color="auto"/>
              <w:bottom w:val="single" w:sz="4" w:space="0" w:color="auto"/>
              <w:right w:val="single" w:sz="4" w:space="0" w:color="auto"/>
            </w:tcBorders>
            <w:vAlign w:val="center"/>
          </w:tcPr>
          <w:p w14:paraId="492E1F3E"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Selection of elite strains</w:t>
            </w:r>
          </w:p>
        </w:tc>
        <w:tc>
          <w:tcPr>
            <w:tcW w:w="3640" w:type="dxa"/>
            <w:tcBorders>
              <w:bottom w:val="single" w:sz="4" w:space="0" w:color="auto"/>
              <w:right w:val="single" w:sz="4" w:space="0" w:color="auto"/>
            </w:tcBorders>
            <w:vAlign w:val="center"/>
          </w:tcPr>
          <w:p w14:paraId="09716FD5"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Increased nodulation and N fixation</w:t>
            </w:r>
          </w:p>
        </w:tc>
      </w:tr>
      <w:tr w:rsidR="00FD4083" w14:paraId="369A7A88" w14:textId="77777777" w:rsidTr="00DF436B">
        <w:trPr>
          <w:tblCellSpacing w:w="15" w:type="dxa"/>
        </w:trPr>
        <w:tc>
          <w:tcPr>
            <w:tcW w:w="0" w:type="auto"/>
            <w:tcBorders>
              <w:left w:val="single" w:sz="4" w:space="0" w:color="auto"/>
              <w:bottom w:val="single" w:sz="4" w:space="0" w:color="auto"/>
            </w:tcBorders>
          </w:tcPr>
          <w:p w14:paraId="3AA54A7D" w14:textId="2C2906E1"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5</w:t>
            </w:r>
          </w:p>
        </w:tc>
        <w:tc>
          <w:tcPr>
            <w:tcW w:w="0" w:type="auto"/>
            <w:tcBorders>
              <w:left w:val="single" w:sz="4" w:space="0" w:color="auto"/>
              <w:bottom w:val="single" w:sz="4" w:space="0" w:color="auto"/>
            </w:tcBorders>
            <w:vAlign w:val="center"/>
          </w:tcPr>
          <w:p w14:paraId="15A61B8B" w14:textId="2A091CDE"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Microbial consortia</w:t>
            </w:r>
          </w:p>
        </w:tc>
        <w:tc>
          <w:tcPr>
            <w:tcW w:w="3475" w:type="dxa"/>
            <w:tcBorders>
              <w:left w:val="single" w:sz="4" w:space="0" w:color="auto"/>
              <w:bottom w:val="single" w:sz="4" w:space="0" w:color="auto"/>
              <w:right w:val="single" w:sz="4" w:space="0" w:color="auto"/>
            </w:tcBorders>
            <w:vAlign w:val="center"/>
          </w:tcPr>
          <w:p w14:paraId="207B4F55"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Multi-strain inoculation</w:t>
            </w:r>
          </w:p>
        </w:tc>
        <w:tc>
          <w:tcPr>
            <w:tcW w:w="3640" w:type="dxa"/>
            <w:tcBorders>
              <w:bottom w:val="single" w:sz="4" w:space="0" w:color="auto"/>
              <w:right w:val="single" w:sz="4" w:space="0" w:color="auto"/>
            </w:tcBorders>
            <w:vAlign w:val="center"/>
          </w:tcPr>
          <w:p w14:paraId="359F2D52"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Improved rhizosphere function</w:t>
            </w:r>
          </w:p>
        </w:tc>
      </w:tr>
      <w:tr w:rsidR="00FD4083" w14:paraId="1FA146CF" w14:textId="77777777" w:rsidTr="00DF436B">
        <w:trPr>
          <w:tblCellSpacing w:w="15" w:type="dxa"/>
        </w:trPr>
        <w:tc>
          <w:tcPr>
            <w:tcW w:w="0" w:type="auto"/>
            <w:tcBorders>
              <w:left w:val="single" w:sz="4" w:space="0" w:color="auto"/>
              <w:bottom w:val="single" w:sz="4" w:space="0" w:color="auto"/>
            </w:tcBorders>
          </w:tcPr>
          <w:p w14:paraId="6DDD5204" w14:textId="3CF99E50"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6</w:t>
            </w:r>
          </w:p>
        </w:tc>
        <w:tc>
          <w:tcPr>
            <w:tcW w:w="0" w:type="auto"/>
            <w:tcBorders>
              <w:left w:val="single" w:sz="4" w:space="0" w:color="auto"/>
              <w:bottom w:val="single" w:sz="4" w:space="0" w:color="auto"/>
            </w:tcBorders>
            <w:vAlign w:val="center"/>
          </w:tcPr>
          <w:p w14:paraId="5F5B81C8" w14:textId="72276F14"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Wild germplasm utilization</w:t>
            </w:r>
          </w:p>
        </w:tc>
        <w:tc>
          <w:tcPr>
            <w:tcW w:w="3475" w:type="dxa"/>
            <w:tcBorders>
              <w:left w:val="single" w:sz="4" w:space="0" w:color="auto"/>
              <w:bottom w:val="single" w:sz="4" w:space="0" w:color="auto"/>
              <w:right w:val="single" w:sz="4" w:space="0" w:color="auto"/>
            </w:tcBorders>
            <w:vAlign w:val="center"/>
          </w:tcPr>
          <w:p w14:paraId="548EAF58"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Introgression of beneficial traits</w:t>
            </w:r>
          </w:p>
        </w:tc>
        <w:tc>
          <w:tcPr>
            <w:tcW w:w="3640" w:type="dxa"/>
            <w:tcBorders>
              <w:bottom w:val="single" w:sz="4" w:space="0" w:color="auto"/>
              <w:right w:val="single" w:sz="4" w:space="0" w:color="auto"/>
            </w:tcBorders>
            <w:vAlign w:val="center"/>
          </w:tcPr>
          <w:p w14:paraId="00E9AD12" w14:textId="77777777" w:rsidR="00FD4083" w:rsidRDefault="00FD4083" w:rsidP="00FD4083">
            <w:pPr>
              <w:suppressLineNumbers/>
              <w:jc w:val="both"/>
              <w:rPr>
                <w:rFonts w:ascii="Times New Roman" w:hAnsi="Times New Roman" w:cs="Times New Roman"/>
                <w:sz w:val="24"/>
                <w:szCs w:val="24"/>
              </w:rPr>
            </w:pPr>
            <w:r>
              <w:rPr>
                <w:rFonts w:ascii="Times New Roman" w:hAnsi="Times New Roman" w:cs="Times New Roman"/>
                <w:sz w:val="24"/>
                <w:szCs w:val="24"/>
              </w:rPr>
              <w:t>Stress-resilient varieties</w:t>
            </w:r>
          </w:p>
        </w:tc>
      </w:tr>
    </w:tbl>
    <w:p w14:paraId="657A837F" w14:textId="77777777" w:rsidR="00DF436B" w:rsidRDefault="00DF436B" w:rsidP="006A6CAF">
      <w:pPr>
        <w:suppressLineNumbers/>
        <w:jc w:val="both"/>
        <w:rPr>
          <w:rFonts w:ascii="Times New Roman" w:hAnsi="Times New Roman" w:cs="Times New Roman"/>
          <w:b/>
          <w:bCs/>
          <w:sz w:val="24"/>
          <w:szCs w:val="24"/>
        </w:rPr>
      </w:pPr>
    </w:p>
    <w:p w14:paraId="1F9736BB" w14:textId="0304AD57" w:rsidR="007F6049" w:rsidRPr="00BD7029" w:rsidRDefault="001C255B" w:rsidP="006A6CAF">
      <w:pPr>
        <w:suppressLineNumbers/>
        <w:jc w:val="both"/>
        <w:rPr>
          <w:rFonts w:ascii="Times New Roman" w:hAnsi="Times New Roman" w:cs="Times New Roman"/>
          <w:b/>
          <w:bCs/>
          <w:sz w:val="24"/>
          <w:szCs w:val="24"/>
        </w:rPr>
      </w:pPr>
      <w:r>
        <w:rPr>
          <w:rFonts w:ascii="Times New Roman" w:hAnsi="Times New Roman" w:cs="Times New Roman"/>
          <w:b/>
          <w:bCs/>
          <w:sz w:val="24"/>
          <w:szCs w:val="24"/>
        </w:rPr>
        <w:t>Table 3. Factors affecting biological nitrogen fixation in legumes</w:t>
      </w:r>
    </w:p>
    <w:tbl>
      <w:tblPr>
        <w:tblpPr w:leftFromText="180" w:rightFromText="180" w:vertAnchor="page" w:horzAnchor="margin" w:tblpY="2161"/>
        <w:tblW w:w="8648" w:type="dxa"/>
        <w:tblCellSpacing w:w="15" w:type="dxa"/>
        <w:tblCellMar>
          <w:top w:w="15" w:type="dxa"/>
          <w:left w:w="15" w:type="dxa"/>
          <w:bottom w:w="15" w:type="dxa"/>
          <w:right w:w="15" w:type="dxa"/>
        </w:tblCellMar>
        <w:tblLook w:val="04A0" w:firstRow="1" w:lastRow="0" w:firstColumn="1" w:lastColumn="0" w:noHBand="0" w:noVBand="1"/>
      </w:tblPr>
      <w:tblGrid>
        <w:gridCol w:w="709"/>
        <w:gridCol w:w="2335"/>
        <w:gridCol w:w="2296"/>
        <w:gridCol w:w="3308"/>
      </w:tblGrid>
      <w:tr w:rsidR="00DF436B" w14:paraId="0C7CD6C7" w14:textId="77777777" w:rsidTr="00DF436B">
        <w:trPr>
          <w:tblHeader/>
          <w:tblCellSpacing w:w="15" w:type="dxa"/>
        </w:trPr>
        <w:tc>
          <w:tcPr>
            <w:tcW w:w="664" w:type="dxa"/>
            <w:tcBorders>
              <w:top w:val="single" w:sz="4" w:space="0" w:color="auto"/>
              <w:left w:val="single" w:sz="4" w:space="0" w:color="auto"/>
              <w:bottom w:val="single" w:sz="4" w:space="0" w:color="auto"/>
              <w:right w:val="single" w:sz="4" w:space="0" w:color="auto"/>
            </w:tcBorders>
          </w:tcPr>
          <w:p w14:paraId="024F93D0" w14:textId="77777777" w:rsidR="00DF436B" w:rsidRDefault="00DF436B" w:rsidP="00DF436B">
            <w:pPr>
              <w:suppressLineNumbers/>
              <w:jc w:val="both"/>
              <w:rPr>
                <w:rFonts w:ascii="Times New Roman" w:hAnsi="Times New Roman" w:cs="Times New Roman"/>
                <w:b/>
                <w:bCs/>
                <w:sz w:val="24"/>
                <w:szCs w:val="24"/>
              </w:rPr>
            </w:pPr>
            <w:r>
              <w:rPr>
                <w:rFonts w:ascii="Times New Roman" w:hAnsi="Times New Roman" w:cs="Times New Roman"/>
                <w:b/>
                <w:bCs/>
                <w:sz w:val="24"/>
                <w:szCs w:val="24"/>
              </w:rPr>
              <w:lastRenderedPageBreak/>
              <w:t>S.NO.</w:t>
            </w:r>
          </w:p>
        </w:tc>
        <w:tc>
          <w:tcPr>
            <w:tcW w:w="2305" w:type="dxa"/>
            <w:tcBorders>
              <w:top w:val="single" w:sz="4" w:space="0" w:color="auto"/>
              <w:left w:val="single" w:sz="4" w:space="0" w:color="auto"/>
              <w:bottom w:val="single" w:sz="4" w:space="0" w:color="auto"/>
              <w:right w:val="single" w:sz="4" w:space="0" w:color="auto"/>
            </w:tcBorders>
            <w:vAlign w:val="center"/>
          </w:tcPr>
          <w:p w14:paraId="41E64DAE" w14:textId="77777777" w:rsidR="00DF436B" w:rsidRDefault="00DF436B" w:rsidP="00DF436B">
            <w:pPr>
              <w:suppressLineNumbers/>
              <w:jc w:val="both"/>
              <w:rPr>
                <w:rFonts w:ascii="Times New Roman" w:hAnsi="Times New Roman" w:cs="Times New Roman"/>
                <w:b/>
                <w:bCs/>
                <w:sz w:val="24"/>
                <w:szCs w:val="24"/>
              </w:rPr>
            </w:pPr>
            <w:r>
              <w:rPr>
                <w:rFonts w:ascii="Times New Roman" w:hAnsi="Times New Roman" w:cs="Times New Roman"/>
                <w:b/>
                <w:bCs/>
                <w:sz w:val="24"/>
                <w:szCs w:val="24"/>
              </w:rPr>
              <w:t>Factor</w:t>
            </w:r>
          </w:p>
        </w:tc>
        <w:tc>
          <w:tcPr>
            <w:tcW w:w="0" w:type="auto"/>
            <w:tcBorders>
              <w:top w:val="single" w:sz="4" w:space="0" w:color="auto"/>
              <w:bottom w:val="single" w:sz="4" w:space="0" w:color="auto"/>
              <w:right w:val="single" w:sz="4" w:space="0" w:color="auto"/>
            </w:tcBorders>
            <w:vAlign w:val="center"/>
          </w:tcPr>
          <w:p w14:paraId="3B3EF21E" w14:textId="77777777" w:rsidR="00DF436B" w:rsidRDefault="00DF436B" w:rsidP="00DF436B">
            <w:pPr>
              <w:suppressLineNumbers/>
              <w:jc w:val="both"/>
              <w:rPr>
                <w:rFonts w:ascii="Times New Roman" w:hAnsi="Times New Roman" w:cs="Times New Roman"/>
                <w:b/>
                <w:bCs/>
                <w:sz w:val="24"/>
                <w:szCs w:val="24"/>
              </w:rPr>
            </w:pPr>
            <w:r>
              <w:rPr>
                <w:rFonts w:ascii="Times New Roman" w:hAnsi="Times New Roman" w:cs="Times New Roman"/>
                <w:b/>
                <w:bCs/>
                <w:sz w:val="24"/>
                <w:szCs w:val="24"/>
              </w:rPr>
              <w:t>Effect on BNF</w:t>
            </w:r>
          </w:p>
        </w:tc>
        <w:tc>
          <w:tcPr>
            <w:tcW w:w="0" w:type="auto"/>
            <w:tcBorders>
              <w:top w:val="single" w:sz="4" w:space="0" w:color="auto"/>
              <w:bottom w:val="single" w:sz="4" w:space="0" w:color="auto"/>
              <w:right w:val="single" w:sz="4" w:space="0" w:color="auto"/>
            </w:tcBorders>
            <w:vAlign w:val="center"/>
          </w:tcPr>
          <w:p w14:paraId="78DB3493" w14:textId="77777777" w:rsidR="00DF436B" w:rsidRDefault="00DF436B" w:rsidP="00DF436B">
            <w:pPr>
              <w:suppressLineNumbers/>
              <w:jc w:val="both"/>
              <w:rPr>
                <w:rFonts w:ascii="Times New Roman" w:hAnsi="Times New Roman" w:cs="Times New Roman"/>
                <w:b/>
                <w:bCs/>
                <w:sz w:val="24"/>
                <w:szCs w:val="24"/>
              </w:rPr>
            </w:pPr>
            <w:r>
              <w:rPr>
                <w:rFonts w:ascii="Times New Roman" w:hAnsi="Times New Roman" w:cs="Times New Roman"/>
                <w:b/>
                <w:bCs/>
                <w:sz w:val="24"/>
                <w:szCs w:val="24"/>
              </w:rPr>
              <w:t>Mechanism</w:t>
            </w:r>
          </w:p>
        </w:tc>
      </w:tr>
      <w:tr w:rsidR="00DF436B" w14:paraId="0FF8F6D4" w14:textId="77777777" w:rsidTr="00DF436B">
        <w:trPr>
          <w:tblCellSpacing w:w="15" w:type="dxa"/>
        </w:trPr>
        <w:tc>
          <w:tcPr>
            <w:tcW w:w="664" w:type="dxa"/>
            <w:tcBorders>
              <w:left w:val="single" w:sz="4" w:space="0" w:color="auto"/>
              <w:bottom w:val="single" w:sz="4" w:space="0" w:color="auto"/>
              <w:right w:val="single" w:sz="4" w:space="0" w:color="auto"/>
            </w:tcBorders>
          </w:tcPr>
          <w:p w14:paraId="2C484F02"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1</w:t>
            </w:r>
          </w:p>
        </w:tc>
        <w:tc>
          <w:tcPr>
            <w:tcW w:w="2305" w:type="dxa"/>
            <w:tcBorders>
              <w:left w:val="single" w:sz="4" w:space="0" w:color="auto"/>
              <w:bottom w:val="single" w:sz="4" w:space="0" w:color="auto"/>
              <w:right w:val="single" w:sz="4" w:space="0" w:color="auto"/>
            </w:tcBorders>
            <w:vAlign w:val="center"/>
          </w:tcPr>
          <w:p w14:paraId="6D0BDAD6"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Soil nitrogen</w:t>
            </w:r>
          </w:p>
        </w:tc>
        <w:tc>
          <w:tcPr>
            <w:tcW w:w="0" w:type="auto"/>
            <w:tcBorders>
              <w:bottom w:val="single" w:sz="4" w:space="0" w:color="auto"/>
              <w:right w:val="single" w:sz="4" w:space="0" w:color="auto"/>
            </w:tcBorders>
            <w:vAlign w:val="center"/>
          </w:tcPr>
          <w:p w14:paraId="7AD73F25"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Negative (high levels)</w:t>
            </w:r>
          </w:p>
        </w:tc>
        <w:tc>
          <w:tcPr>
            <w:tcW w:w="0" w:type="auto"/>
            <w:tcBorders>
              <w:bottom w:val="single" w:sz="4" w:space="0" w:color="auto"/>
              <w:right w:val="single" w:sz="4" w:space="0" w:color="auto"/>
            </w:tcBorders>
            <w:vAlign w:val="center"/>
          </w:tcPr>
          <w:p w14:paraId="2E9E74F0"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Suppression of nodulation</w:t>
            </w:r>
          </w:p>
        </w:tc>
      </w:tr>
      <w:tr w:rsidR="00DF436B" w14:paraId="1620363E" w14:textId="77777777" w:rsidTr="00DF436B">
        <w:trPr>
          <w:tblCellSpacing w:w="15" w:type="dxa"/>
        </w:trPr>
        <w:tc>
          <w:tcPr>
            <w:tcW w:w="664" w:type="dxa"/>
            <w:tcBorders>
              <w:left w:val="single" w:sz="4" w:space="0" w:color="auto"/>
              <w:bottom w:val="single" w:sz="4" w:space="0" w:color="auto"/>
              <w:right w:val="single" w:sz="4" w:space="0" w:color="auto"/>
            </w:tcBorders>
          </w:tcPr>
          <w:p w14:paraId="5D21DC1C"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2</w:t>
            </w:r>
          </w:p>
        </w:tc>
        <w:tc>
          <w:tcPr>
            <w:tcW w:w="2305" w:type="dxa"/>
            <w:tcBorders>
              <w:left w:val="single" w:sz="4" w:space="0" w:color="auto"/>
              <w:bottom w:val="single" w:sz="4" w:space="0" w:color="auto"/>
              <w:right w:val="single" w:sz="4" w:space="0" w:color="auto"/>
            </w:tcBorders>
            <w:vAlign w:val="center"/>
          </w:tcPr>
          <w:p w14:paraId="770607BE"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Phosphorus availability</w:t>
            </w:r>
          </w:p>
        </w:tc>
        <w:tc>
          <w:tcPr>
            <w:tcW w:w="0" w:type="auto"/>
            <w:tcBorders>
              <w:bottom w:val="single" w:sz="4" w:space="0" w:color="auto"/>
              <w:right w:val="single" w:sz="4" w:space="0" w:color="auto"/>
            </w:tcBorders>
            <w:vAlign w:val="center"/>
          </w:tcPr>
          <w:p w14:paraId="3D64019B"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Positive</w:t>
            </w:r>
          </w:p>
        </w:tc>
        <w:tc>
          <w:tcPr>
            <w:tcW w:w="0" w:type="auto"/>
            <w:tcBorders>
              <w:bottom w:val="single" w:sz="4" w:space="0" w:color="auto"/>
              <w:right w:val="single" w:sz="4" w:space="0" w:color="auto"/>
            </w:tcBorders>
            <w:vAlign w:val="center"/>
          </w:tcPr>
          <w:p w14:paraId="409E5B45"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Energy supply for fixation</w:t>
            </w:r>
          </w:p>
        </w:tc>
      </w:tr>
      <w:tr w:rsidR="00DF436B" w14:paraId="644DC7DA" w14:textId="77777777" w:rsidTr="00DF436B">
        <w:trPr>
          <w:tblCellSpacing w:w="15" w:type="dxa"/>
        </w:trPr>
        <w:tc>
          <w:tcPr>
            <w:tcW w:w="664" w:type="dxa"/>
            <w:tcBorders>
              <w:left w:val="single" w:sz="4" w:space="0" w:color="auto"/>
              <w:right w:val="single" w:sz="4" w:space="0" w:color="auto"/>
            </w:tcBorders>
          </w:tcPr>
          <w:p w14:paraId="6CCDA9A2"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3</w:t>
            </w:r>
          </w:p>
        </w:tc>
        <w:tc>
          <w:tcPr>
            <w:tcW w:w="2305" w:type="dxa"/>
            <w:tcBorders>
              <w:left w:val="single" w:sz="4" w:space="0" w:color="auto"/>
              <w:right w:val="single" w:sz="4" w:space="0" w:color="auto"/>
            </w:tcBorders>
            <w:vAlign w:val="center"/>
          </w:tcPr>
          <w:p w14:paraId="28F1A623"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Soil moisture</w:t>
            </w:r>
          </w:p>
        </w:tc>
        <w:tc>
          <w:tcPr>
            <w:tcW w:w="0" w:type="auto"/>
            <w:tcBorders>
              <w:right w:val="single" w:sz="4" w:space="0" w:color="auto"/>
            </w:tcBorders>
            <w:vAlign w:val="center"/>
          </w:tcPr>
          <w:p w14:paraId="597F50F9"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Positive/Negative</w:t>
            </w:r>
          </w:p>
        </w:tc>
        <w:tc>
          <w:tcPr>
            <w:tcW w:w="0" w:type="auto"/>
            <w:tcBorders>
              <w:right w:val="single" w:sz="4" w:space="0" w:color="auto"/>
            </w:tcBorders>
            <w:vAlign w:val="center"/>
          </w:tcPr>
          <w:p w14:paraId="04524C82"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Affects nodule activity</w:t>
            </w:r>
          </w:p>
        </w:tc>
      </w:tr>
      <w:tr w:rsidR="00DF436B" w14:paraId="1566DF34" w14:textId="77777777" w:rsidTr="00DF436B">
        <w:trPr>
          <w:tblCellSpacing w:w="15" w:type="dxa"/>
        </w:trPr>
        <w:tc>
          <w:tcPr>
            <w:tcW w:w="664" w:type="dxa"/>
            <w:tcBorders>
              <w:top w:val="single" w:sz="4" w:space="0" w:color="auto"/>
              <w:left w:val="single" w:sz="4" w:space="0" w:color="auto"/>
              <w:right w:val="single" w:sz="4" w:space="0" w:color="auto"/>
            </w:tcBorders>
          </w:tcPr>
          <w:p w14:paraId="16F8F1FB"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4</w:t>
            </w:r>
          </w:p>
        </w:tc>
        <w:tc>
          <w:tcPr>
            <w:tcW w:w="2305" w:type="dxa"/>
            <w:tcBorders>
              <w:top w:val="single" w:sz="4" w:space="0" w:color="auto"/>
              <w:left w:val="single" w:sz="4" w:space="0" w:color="auto"/>
              <w:right w:val="single" w:sz="4" w:space="0" w:color="auto"/>
            </w:tcBorders>
            <w:vAlign w:val="center"/>
          </w:tcPr>
          <w:p w14:paraId="6767E05B"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Temperature</w:t>
            </w:r>
          </w:p>
        </w:tc>
        <w:tc>
          <w:tcPr>
            <w:tcW w:w="0" w:type="auto"/>
            <w:tcBorders>
              <w:top w:val="single" w:sz="4" w:space="0" w:color="auto"/>
              <w:right w:val="single" w:sz="4" w:space="0" w:color="auto"/>
            </w:tcBorders>
            <w:vAlign w:val="center"/>
          </w:tcPr>
          <w:p w14:paraId="1716E96A"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Optimal range required</w:t>
            </w:r>
          </w:p>
        </w:tc>
        <w:tc>
          <w:tcPr>
            <w:tcW w:w="0" w:type="auto"/>
            <w:tcBorders>
              <w:top w:val="single" w:sz="4" w:space="0" w:color="auto"/>
              <w:right w:val="single" w:sz="4" w:space="0" w:color="auto"/>
            </w:tcBorders>
            <w:vAlign w:val="center"/>
          </w:tcPr>
          <w:p w14:paraId="65053FA1"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Influences enzyme activity</w:t>
            </w:r>
          </w:p>
        </w:tc>
      </w:tr>
      <w:tr w:rsidR="00DF436B" w14:paraId="0D35146F" w14:textId="77777777" w:rsidTr="00DF436B">
        <w:trPr>
          <w:tblCellSpacing w:w="15" w:type="dxa"/>
        </w:trPr>
        <w:tc>
          <w:tcPr>
            <w:tcW w:w="664" w:type="dxa"/>
            <w:tcBorders>
              <w:top w:val="single" w:sz="4" w:space="0" w:color="auto"/>
              <w:left w:val="single" w:sz="4" w:space="0" w:color="auto"/>
              <w:bottom w:val="single" w:sz="4" w:space="0" w:color="auto"/>
              <w:right w:val="single" w:sz="4" w:space="0" w:color="auto"/>
            </w:tcBorders>
          </w:tcPr>
          <w:p w14:paraId="268D8DF5"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5</w:t>
            </w:r>
          </w:p>
        </w:tc>
        <w:tc>
          <w:tcPr>
            <w:tcW w:w="2305" w:type="dxa"/>
            <w:tcBorders>
              <w:top w:val="single" w:sz="4" w:space="0" w:color="auto"/>
              <w:left w:val="single" w:sz="4" w:space="0" w:color="auto"/>
              <w:bottom w:val="single" w:sz="4" w:space="0" w:color="auto"/>
              <w:right w:val="single" w:sz="4" w:space="0" w:color="auto"/>
            </w:tcBorders>
            <w:vAlign w:val="center"/>
          </w:tcPr>
          <w:p w14:paraId="1F8BAF19"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Soil pH</w:t>
            </w:r>
          </w:p>
        </w:tc>
        <w:tc>
          <w:tcPr>
            <w:tcW w:w="0" w:type="auto"/>
            <w:tcBorders>
              <w:top w:val="single" w:sz="4" w:space="0" w:color="auto"/>
              <w:bottom w:val="single" w:sz="4" w:space="0" w:color="auto"/>
              <w:right w:val="single" w:sz="4" w:space="0" w:color="auto"/>
            </w:tcBorders>
            <w:vAlign w:val="center"/>
          </w:tcPr>
          <w:p w14:paraId="4CC9034F"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Neutral preferred</w:t>
            </w:r>
          </w:p>
        </w:tc>
        <w:tc>
          <w:tcPr>
            <w:tcW w:w="0" w:type="auto"/>
            <w:tcBorders>
              <w:top w:val="single" w:sz="4" w:space="0" w:color="auto"/>
              <w:bottom w:val="single" w:sz="4" w:space="0" w:color="auto"/>
              <w:right w:val="single" w:sz="4" w:space="0" w:color="auto"/>
            </w:tcBorders>
            <w:vAlign w:val="center"/>
          </w:tcPr>
          <w:p w14:paraId="5690D480"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 xml:space="preserve">Affects </w:t>
            </w:r>
            <w:proofErr w:type="spellStart"/>
            <w:r>
              <w:rPr>
                <w:rFonts w:ascii="Times New Roman" w:hAnsi="Times New Roman" w:cs="Times New Roman"/>
                <w:sz w:val="24"/>
                <w:szCs w:val="24"/>
              </w:rPr>
              <w:t>rhizobial</w:t>
            </w:r>
            <w:proofErr w:type="spellEnd"/>
            <w:r>
              <w:rPr>
                <w:rFonts w:ascii="Times New Roman" w:hAnsi="Times New Roman" w:cs="Times New Roman"/>
                <w:sz w:val="24"/>
                <w:szCs w:val="24"/>
              </w:rPr>
              <w:t xml:space="preserve"> survival</w:t>
            </w:r>
          </w:p>
        </w:tc>
      </w:tr>
      <w:tr w:rsidR="00DF436B" w14:paraId="11CE7F72" w14:textId="77777777" w:rsidTr="00DF436B">
        <w:trPr>
          <w:tblCellSpacing w:w="15" w:type="dxa"/>
        </w:trPr>
        <w:tc>
          <w:tcPr>
            <w:tcW w:w="664" w:type="dxa"/>
            <w:tcBorders>
              <w:left w:val="single" w:sz="4" w:space="0" w:color="auto"/>
              <w:bottom w:val="single" w:sz="4" w:space="0" w:color="auto"/>
              <w:right w:val="single" w:sz="4" w:space="0" w:color="auto"/>
            </w:tcBorders>
          </w:tcPr>
          <w:p w14:paraId="485DA94F"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6</w:t>
            </w:r>
          </w:p>
        </w:tc>
        <w:tc>
          <w:tcPr>
            <w:tcW w:w="2305" w:type="dxa"/>
            <w:tcBorders>
              <w:left w:val="single" w:sz="4" w:space="0" w:color="auto"/>
              <w:bottom w:val="single" w:sz="4" w:space="0" w:color="auto"/>
              <w:right w:val="single" w:sz="4" w:space="0" w:color="auto"/>
            </w:tcBorders>
            <w:vAlign w:val="center"/>
          </w:tcPr>
          <w:p w14:paraId="4C352460"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Genotype</w:t>
            </w:r>
          </w:p>
        </w:tc>
        <w:tc>
          <w:tcPr>
            <w:tcW w:w="0" w:type="auto"/>
            <w:tcBorders>
              <w:bottom w:val="single" w:sz="4" w:space="0" w:color="auto"/>
              <w:right w:val="single" w:sz="4" w:space="0" w:color="auto"/>
            </w:tcBorders>
            <w:vAlign w:val="center"/>
          </w:tcPr>
          <w:p w14:paraId="2DC14733"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Highly variable</w:t>
            </w:r>
          </w:p>
        </w:tc>
        <w:tc>
          <w:tcPr>
            <w:tcW w:w="0" w:type="auto"/>
            <w:tcBorders>
              <w:bottom w:val="single" w:sz="4" w:space="0" w:color="auto"/>
              <w:right w:val="single" w:sz="4" w:space="0" w:color="auto"/>
            </w:tcBorders>
            <w:vAlign w:val="center"/>
          </w:tcPr>
          <w:p w14:paraId="6AD53E93"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Controls symbiotic efficiency</w:t>
            </w:r>
          </w:p>
        </w:tc>
      </w:tr>
      <w:tr w:rsidR="00DF436B" w14:paraId="3DAF2AEC" w14:textId="77777777" w:rsidTr="00DF436B">
        <w:trPr>
          <w:tblCellSpacing w:w="15" w:type="dxa"/>
        </w:trPr>
        <w:tc>
          <w:tcPr>
            <w:tcW w:w="664" w:type="dxa"/>
            <w:tcBorders>
              <w:left w:val="single" w:sz="4" w:space="0" w:color="auto"/>
              <w:bottom w:val="single" w:sz="4" w:space="0" w:color="auto"/>
              <w:right w:val="single" w:sz="4" w:space="0" w:color="auto"/>
            </w:tcBorders>
          </w:tcPr>
          <w:p w14:paraId="39FBFD93"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7</w:t>
            </w:r>
          </w:p>
        </w:tc>
        <w:tc>
          <w:tcPr>
            <w:tcW w:w="2305" w:type="dxa"/>
            <w:tcBorders>
              <w:left w:val="single" w:sz="4" w:space="0" w:color="auto"/>
              <w:bottom w:val="single" w:sz="4" w:space="0" w:color="auto"/>
              <w:right w:val="single" w:sz="4" w:space="0" w:color="auto"/>
            </w:tcBorders>
            <w:vAlign w:val="center"/>
          </w:tcPr>
          <w:p w14:paraId="133BBCFB"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Microbial diversity</w:t>
            </w:r>
          </w:p>
        </w:tc>
        <w:tc>
          <w:tcPr>
            <w:tcW w:w="0" w:type="auto"/>
            <w:tcBorders>
              <w:bottom w:val="single" w:sz="4" w:space="0" w:color="auto"/>
              <w:right w:val="single" w:sz="4" w:space="0" w:color="auto"/>
            </w:tcBorders>
            <w:vAlign w:val="center"/>
          </w:tcPr>
          <w:p w14:paraId="75CDB515"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Positive</w:t>
            </w:r>
          </w:p>
        </w:tc>
        <w:tc>
          <w:tcPr>
            <w:tcW w:w="0" w:type="auto"/>
            <w:tcBorders>
              <w:bottom w:val="single" w:sz="4" w:space="0" w:color="auto"/>
              <w:right w:val="single" w:sz="4" w:space="0" w:color="auto"/>
            </w:tcBorders>
            <w:vAlign w:val="center"/>
          </w:tcPr>
          <w:p w14:paraId="6FA8E6E7" w14:textId="77777777" w:rsidR="00DF436B" w:rsidRDefault="00DF436B" w:rsidP="00DF436B">
            <w:pPr>
              <w:suppressLineNumbers/>
              <w:jc w:val="both"/>
              <w:rPr>
                <w:rFonts w:ascii="Times New Roman" w:hAnsi="Times New Roman" w:cs="Times New Roman"/>
                <w:sz w:val="24"/>
                <w:szCs w:val="24"/>
              </w:rPr>
            </w:pPr>
            <w:r>
              <w:rPr>
                <w:rFonts w:ascii="Times New Roman" w:hAnsi="Times New Roman" w:cs="Times New Roman"/>
                <w:sz w:val="24"/>
                <w:szCs w:val="24"/>
              </w:rPr>
              <w:t>Enhances rhizosphere interactions</w:t>
            </w:r>
          </w:p>
        </w:tc>
      </w:tr>
    </w:tbl>
    <w:p w14:paraId="071B5A69" w14:textId="77777777" w:rsidR="007F6049" w:rsidRDefault="007F6049" w:rsidP="006A6CAF">
      <w:pPr>
        <w:suppressLineNumbers/>
        <w:jc w:val="both"/>
        <w:rPr>
          <w:rFonts w:ascii="Times New Roman" w:hAnsi="Times New Roman" w:cs="Times New Roman"/>
          <w:sz w:val="24"/>
          <w:szCs w:val="24"/>
        </w:rPr>
      </w:pPr>
    </w:p>
    <w:p w14:paraId="3F6823A5" w14:textId="77777777" w:rsidR="007F6049" w:rsidRDefault="007F6049" w:rsidP="006A6CAF">
      <w:pPr>
        <w:suppressLineNumbers/>
        <w:jc w:val="both"/>
        <w:rPr>
          <w:rFonts w:ascii="Times New Roman" w:hAnsi="Times New Roman" w:cs="Times New Roman"/>
          <w:sz w:val="24"/>
          <w:szCs w:val="24"/>
        </w:rPr>
      </w:pPr>
    </w:p>
    <w:p w14:paraId="192C3EF2" w14:textId="77777777" w:rsidR="007F6049" w:rsidRDefault="007F6049" w:rsidP="006A6CAF">
      <w:pPr>
        <w:suppressLineNumbers/>
        <w:jc w:val="both"/>
        <w:rPr>
          <w:rFonts w:ascii="Times New Roman" w:hAnsi="Times New Roman" w:cs="Times New Roman"/>
          <w:sz w:val="24"/>
          <w:szCs w:val="24"/>
        </w:rPr>
      </w:pPr>
    </w:p>
    <w:p w14:paraId="517780C3" w14:textId="77777777" w:rsidR="007F6049" w:rsidRDefault="007F6049" w:rsidP="006A6CAF">
      <w:pPr>
        <w:suppressLineNumbers/>
        <w:jc w:val="both"/>
        <w:rPr>
          <w:rFonts w:ascii="Times New Roman" w:hAnsi="Times New Roman" w:cs="Times New Roman"/>
          <w:sz w:val="24"/>
          <w:szCs w:val="24"/>
        </w:rPr>
      </w:pPr>
    </w:p>
    <w:p w14:paraId="7093912D" w14:textId="77777777" w:rsidR="007F6049" w:rsidRDefault="007F6049" w:rsidP="006A6CAF">
      <w:pPr>
        <w:suppressLineNumbers/>
        <w:jc w:val="both"/>
        <w:rPr>
          <w:rFonts w:ascii="Times New Roman" w:hAnsi="Times New Roman" w:cs="Times New Roman"/>
          <w:sz w:val="24"/>
          <w:szCs w:val="24"/>
        </w:rPr>
      </w:pPr>
    </w:p>
    <w:p w14:paraId="68357178" w14:textId="77777777" w:rsidR="007F6049" w:rsidRDefault="007F6049" w:rsidP="006A6CAF">
      <w:pPr>
        <w:suppressLineNumbers/>
        <w:jc w:val="both"/>
        <w:rPr>
          <w:rFonts w:ascii="Times New Roman" w:hAnsi="Times New Roman" w:cs="Times New Roman"/>
          <w:sz w:val="24"/>
          <w:szCs w:val="24"/>
        </w:rPr>
      </w:pPr>
    </w:p>
    <w:p w14:paraId="654EE7D3" w14:textId="77777777" w:rsidR="007F6049" w:rsidRDefault="007F6049" w:rsidP="006A6CAF">
      <w:pPr>
        <w:suppressLineNumbers/>
        <w:jc w:val="both"/>
        <w:rPr>
          <w:rFonts w:ascii="Times New Roman" w:hAnsi="Times New Roman" w:cs="Times New Roman"/>
          <w:sz w:val="24"/>
          <w:szCs w:val="24"/>
        </w:rPr>
      </w:pPr>
    </w:p>
    <w:p w14:paraId="1F2084B0" w14:textId="77777777" w:rsidR="007F6049" w:rsidRDefault="007F6049" w:rsidP="006A6CAF">
      <w:pPr>
        <w:suppressLineNumbers/>
        <w:jc w:val="both"/>
        <w:rPr>
          <w:rFonts w:ascii="Times New Roman" w:hAnsi="Times New Roman" w:cs="Times New Roman"/>
          <w:sz w:val="24"/>
          <w:szCs w:val="24"/>
        </w:rPr>
      </w:pPr>
    </w:p>
    <w:p w14:paraId="3D8F1128" w14:textId="77777777" w:rsidR="007F6049" w:rsidRDefault="007F6049" w:rsidP="006A6CAF">
      <w:pPr>
        <w:suppressLineNumbers/>
        <w:jc w:val="both"/>
        <w:rPr>
          <w:rFonts w:ascii="Times New Roman" w:hAnsi="Times New Roman" w:cs="Times New Roman"/>
          <w:sz w:val="24"/>
          <w:szCs w:val="24"/>
        </w:rPr>
      </w:pPr>
    </w:p>
    <w:p w14:paraId="3491EE5E" w14:textId="77777777" w:rsidR="007F6049" w:rsidRDefault="007F6049" w:rsidP="006A6CAF">
      <w:pPr>
        <w:suppressLineNumbers/>
        <w:jc w:val="both"/>
        <w:rPr>
          <w:rFonts w:ascii="Times New Roman" w:hAnsi="Times New Roman" w:cs="Times New Roman"/>
          <w:sz w:val="24"/>
          <w:szCs w:val="24"/>
        </w:rPr>
      </w:pPr>
    </w:p>
    <w:p w14:paraId="5D7266E3" w14:textId="77777777" w:rsidR="007F6049" w:rsidRDefault="007F6049" w:rsidP="006A6CAF">
      <w:pPr>
        <w:suppressLineNumbers/>
        <w:jc w:val="both"/>
        <w:rPr>
          <w:rFonts w:ascii="Times New Roman" w:hAnsi="Times New Roman" w:cs="Times New Roman"/>
          <w:sz w:val="24"/>
          <w:szCs w:val="24"/>
        </w:rPr>
      </w:pPr>
    </w:p>
    <w:p w14:paraId="08E1EB09" w14:textId="77777777" w:rsidR="007F6049" w:rsidRDefault="007F6049" w:rsidP="006A6CAF">
      <w:pPr>
        <w:suppressLineNumbers/>
        <w:jc w:val="both"/>
        <w:rPr>
          <w:rFonts w:ascii="Times New Roman" w:hAnsi="Times New Roman" w:cs="Times New Roman"/>
          <w:sz w:val="24"/>
          <w:szCs w:val="24"/>
        </w:rPr>
      </w:pPr>
    </w:p>
    <w:p w14:paraId="5E026034" w14:textId="77777777" w:rsidR="007F6049" w:rsidRDefault="007F6049" w:rsidP="006A6CAF">
      <w:pPr>
        <w:suppressLineNumbers/>
        <w:jc w:val="both"/>
        <w:rPr>
          <w:rFonts w:ascii="Times New Roman" w:hAnsi="Times New Roman" w:cs="Times New Roman"/>
          <w:sz w:val="24"/>
          <w:szCs w:val="24"/>
        </w:rPr>
      </w:pPr>
    </w:p>
    <w:p w14:paraId="1C31A3FA" w14:textId="77777777" w:rsidR="007F6049" w:rsidRDefault="007F6049" w:rsidP="006A6CAF">
      <w:pPr>
        <w:suppressLineNumbers/>
        <w:jc w:val="both"/>
        <w:rPr>
          <w:rFonts w:ascii="Times New Roman" w:hAnsi="Times New Roman" w:cs="Times New Roman"/>
          <w:sz w:val="24"/>
          <w:szCs w:val="24"/>
        </w:rPr>
      </w:pPr>
    </w:p>
    <w:p w14:paraId="376C75AD" w14:textId="03385F04" w:rsidR="007F6049" w:rsidRDefault="007F6049" w:rsidP="006A6CAF">
      <w:pPr>
        <w:suppressLineNumbers/>
        <w:jc w:val="both"/>
        <w:rPr>
          <w:rFonts w:ascii="Times New Roman" w:hAnsi="Times New Roman" w:cs="Times New Roman"/>
          <w:sz w:val="24"/>
          <w:szCs w:val="24"/>
        </w:rPr>
      </w:pPr>
    </w:p>
    <w:p w14:paraId="24A1D0D4" w14:textId="6ED52D95" w:rsidR="005A00C6" w:rsidRDefault="005A00C6" w:rsidP="006A6CAF">
      <w:pPr>
        <w:suppressLineNumbers/>
        <w:jc w:val="both"/>
        <w:rPr>
          <w:rFonts w:ascii="Times New Roman" w:hAnsi="Times New Roman" w:cs="Times New Roman"/>
          <w:sz w:val="24"/>
          <w:szCs w:val="24"/>
        </w:rPr>
      </w:pPr>
    </w:p>
    <w:p w14:paraId="03429270" w14:textId="2BF875FB" w:rsidR="005A00C6" w:rsidRDefault="005A00C6" w:rsidP="006A6CAF">
      <w:pPr>
        <w:suppressLineNumbers/>
        <w:jc w:val="both"/>
        <w:rPr>
          <w:rFonts w:ascii="Times New Roman" w:hAnsi="Times New Roman" w:cs="Times New Roman"/>
          <w:sz w:val="24"/>
          <w:szCs w:val="24"/>
        </w:rPr>
      </w:pPr>
    </w:p>
    <w:p w14:paraId="75D2E6DD" w14:textId="77777777" w:rsidR="005A00C6" w:rsidRDefault="005A00C6" w:rsidP="006A6CAF">
      <w:pPr>
        <w:suppressLineNumbers/>
        <w:jc w:val="both"/>
        <w:rPr>
          <w:rFonts w:ascii="Times New Roman" w:hAnsi="Times New Roman" w:cs="Times New Roman"/>
          <w:sz w:val="24"/>
          <w:szCs w:val="24"/>
        </w:rPr>
      </w:pPr>
    </w:p>
    <w:p w14:paraId="56EB4F1A" w14:textId="77777777" w:rsidR="007F6049" w:rsidRDefault="007F6049" w:rsidP="006A6CAF">
      <w:pPr>
        <w:suppressLineNumbers/>
        <w:jc w:val="both"/>
        <w:rPr>
          <w:rFonts w:ascii="Times New Roman" w:hAnsi="Times New Roman" w:cs="Times New Roman"/>
          <w:sz w:val="24"/>
          <w:szCs w:val="24"/>
        </w:rPr>
      </w:pPr>
    </w:p>
    <w:p w14:paraId="4AD5BA31" w14:textId="77777777" w:rsidR="00DF436B" w:rsidRDefault="00DF436B" w:rsidP="006A6CAF">
      <w:pPr>
        <w:suppressLineNumbers/>
        <w:jc w:val="both"/>
        <w:rPr>
          <w:rFonts w:ascii="Times New Roman" w:hAnsi="Times New Roman" w:cs="Times New Roman"/>
          <w:sz w:val="24"/>
          <w:szCs w:val="24"/>
        </w:rPr>
      </w:pPr>
    </w:p>
    <w:p w14:paraId="33C962A0" w14:textId="77CE9276" w:rsidR="007F6049" w:rsidRDefault="001C255B" w:rsidP="006A6CAF">
      <w:pPr>
        <w:suppressLineNumbers/>
        <w:jc w:val="both"/>
        <w:rPr>
          <w:rFonts w:ascii="Times New Roman" w:hAnsi="Times New Roman" w:cs="Times New Roman"/>
          <w:b/>
          <w:bCs/>
          <w:sz w:val="24"/>
          <w:szCs w:val="24"/>
        </w:rPr>
      </w:pPr>
      <w:r>
        <w:rPr>
          <w:rFonts w:ascii="Times New Roman" w:hAnsi="Times New Roman" w:cs="Times New Roman"/>
          <w:b/>
          <w:bCs/>
          <w:sz w:val="24"/>
          <w:szCs w:val="24"/>
        </w:rPr>
        <w:lastRenderedPageBreak/>
        <w:t>Picture 1</w:t>
      </w:r>
      <w:r>
        <w:rPr>
          <w:rFonts w:ascii="Times New Roman" w:hAnsi="Times New Roman" w:cs="Times New Roman"/>
          <w:sz w:val="24"/>
          <w:szCs w:val="24"/>
        </w:rPr>
        <w:t>-</w:t>
      </w:r>
      <w:r>
        <w:rPr>
          <w:rFonts w:ascii="Times New Roman" w:hAnsi="Times New Roman" w:cs="Times New Roman"/>
          <w:b/>
          <w:bCs/>
          <w:sz w:val="24"/>
          <w:szCs w:val="24"/>
        </w:rPr>
        <w:t xml:space="preserve"> Precision-Enhanced Biological Nitrogen Fixation: Transitioning from Natural Symbiosis to High Nitrogen-Fixing Legume Varieties</w:t>
      </w:r>
    </w:p>
    <w:p w14:paraId="4FD96F03" w14:textId="77777777" w:rsidR="007F6049" w:rsidRDefault="001C255B"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r>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t xml:space="preserve"> </w:t>
      </w:r>
      <w:r>
        <w:rPr>
          <w:rFonts w:ascii="Times New Roman" w:hAnsi="Times New Roman" w:cs="Times New Roman"/>
          <w:noProof/>
          <w:sz w:val="24"/>
          <w:szCs w:val="24"/>
        </w:rPr>
        <w:drawing>
          <wp:inline distT="0" distB="0" distL="0" distR="0" wp14:anchorId="2B477410" wp14:editId="6F3C4215">
            <wp:extent cx="5731510" cy="3820795"/>
            <wp:effectExtent l="0" t="0" r="2540" b="8255"/>
            <wp:docPr id="239833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33733"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731510" cy="3820795"/>
                    </a:xfrm>
                    <a:prstGeom prst="rect">
                      <a:avLst/>
                    </a:prstGeom>
                    <a:noFill/>
                    <a:ln>
                      <a:noFill/>
                    </a:ln>
                  </pic:spPr>
                </pic:pic>
              </a:graphicData>
            </a:graphic>
          </wp:inline>
        </w:drawing>
      </w:r>
    </w:p>
    <w:p w14:paraId="6384AC97" w14:textId="77777777" w:rsidR="007F6049"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73DE0946" w14:textId="77777777" w:rsidR="007F6049"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2816BC44" w14:textId="77777777" w:rsidR="007F6049"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0B413DAB" w14:textId="77777777" w:rsidR="007F6049"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60E78F1A" w14:textId="77777777" w:rsidR="007F6049"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2E69CB50" w14:textId="77777777" w:rsidR="007F6049"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2BA98100" w14:textId="77777777" w:rsidR="007F6049"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20C694AD" w14:textId="77777777" w:rsidR="007F6049"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7D4262BF" w14:textId="77777777" w:rsidR="007F6049"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76D33889" w14:textId="36EFA479" w:rsidR="007F6049" w:rsidRDefault="007F6049" w:rsidP="006A6CAF">
      <w:pPr>
        <w:suppressLineNumbers/>
        <w:jc w:val="both"/>
        <w:rPr>
          <w:rFonts w:ascii="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228576EC" w14:textId="753001B7" w:rsidR="005A00C6" w:rsidRDefault="005A00C6" w:rsidP="006A6CAF">
      <w:pPr>
        <w:suppressLineNumbers/>
        <w:jc w:val="both"/>
        <w:rPr>
          <w:rFonts w:ascii="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4DBEBC58" w14:textId="294C6758" w:rsidR="005A00C6" w:rsidRDefault="005A00C6" w:rsidP="006A6CAF">
      <w:pPr>
        <w:suppressLineNumbers/>
        <w:jc w:val="both"/>
        <w:rPr>
          <w:rFonts w:ascii="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7325599B" w14:textId="77777777" w:rsidR="005A00C6" w:rsidRPr="005A00C6" w:rsidRDefault="005A00C6" w:rsidP="006A6CAF">
      <w:pPr>
        <w:suppressLineNumbers/>
        <w:jc w:val="both"/>
        <w:rPr>
          <w:rFonts w:ascii="Times New Roman" w:hAnsi="Times New Roman" w:cs="Times New Roman" w:hint="eastAsia"/>
          <w:snapToGrid w:val="0"/>
          <w:color w:val="000000"/>
          <w:w w:val="0"/>
          <w:kern w:val="0"/>
          <w:sz w:val="24"/>
          <w:szCs w:val="24"/>
          <w:u w:color="000000"/>
          <w:shd w:val="clear" w:color="000000" w:fill="000000"/>
          <w:lang w:val="zh-CN" w:eastAsia="zh-CN" w:bidi="zh-CN"/>
          <w14:ligatures w14:val="none"/>
        </w:rPr>
      </w:pPr>
    </w:p>
    <w:p w14:paraId="51B76CD4" w14:textId="77777777" w:rsidR="009B451D" w:rsidRDefault="009B451D"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en-US" w:eastAsia="zh-CN" w:bidi="zh-CN"/>
          <w14:ligatures w14:val="none"/>
        </w:rPr>
      </w:pPr>
    </w:p>
    <w:p w14:paraId="336CB047" w14:textId="77777777" w:rsidR="00005C2B" w:rsidRDefault="00005C2B" w:rsidP="006A6CAF">
      <w:pPr>
        <w:suppressLineNumbers/>
        <w:jc w:val="both"/>
        <w:rPr>
          <w:rFonts w:ascii="Times New Roman" w:hAnsi="Times New Roman" w:cs="Times New Roman"/>
          <w:b/>
          <w:bCs/>
          <w:sz w:val="24"/>
          <w:szCs w:val="24"/>
        </w:rPr>
      </w:pPr>
    </w:p>
    <w:p w14:paraId="5A1906E7" w14:textId="0DF9638C" w:rsidR="007F6049" w:rsidRDefault="001C255B" w:rsidP="006A6CAF">
      <w:pPr>
        <w:suppressLineNumbers/>
        <w:jc w:val="both"/>
        <w:rPr>
          <w:rFonts w:ascii="Times New Roman" w:hAnsi="Times New Roman" w:cs="Times New Roman"/>
          <w:b/>
          <w:bCs/>
          <w:sz w:val="24"/>
          <w:szCs w:val="24"/>
        </w:rPr>
      </w:pPr>
      <w:r>
        <w:rPr>
          <w:rFonts w:ascii="Times New Roman" w:hAnsi="Times New Roman" w:cs="Times New Roman"/>
          <w:b/>
          <w:bCs/>
          <w:sz w:val="24"/>
          <w:szCs w:val="24"/>
        </w:rPr>
        <w:lastRenderedPageBreak/>
        <w:t>Fi</w:t>
      </w:r>
      <w:proofErr w:type="spellStart"/>
      <w:r>
        <w:rPr>
          <w:rFonts w:ascii="Times New Roman" w:hAnsi="Times New Roman" w:cs="Times New Roman"/>
          <w:b/>
          <w:bCs/>
          <w:sz w:val="24"/>
          <w:szCs w:val="24"/>
          <w:lang w:val="en-US"/>
        </w:rPr>
        <w:t>gure</w:t>
      </w:r>
      <w:proofErr w:type="spellEnd"/>
      <w:r>
        <w:rPr>
          <w:rFonts w:ascii="Times New Roman" w:hAnsi="Times New Roman" w:cs="Times New Roman"/>
          <w:b/>
          <w:bCs/>
          <w:sz w:val="24"/>
          <w:szCs w:val="24"/>
          <w:lang w:val="en-US"/>
        </w:rPr>
        <w:t>.</w:t>
      </w:r>
      <w:r>
        <w:rPr>
          <w:rFonts w:ascii="Times New Roman" w:hAnsi="Times New Roman" w:cs="Times New Roman"/>
          <w:b/>
          <w:bCs/>
          <w:sz w:val="24"/>
          <w:szCs w:val="24"/>
        </w:rPr>
        <w:t xml:space="preserve"> 1    Nitrogen fixation capabilities of different legume groups and the impact of precision enhancement</w:t>
      </w:r>
      <w:r>
        <w:rPr>
          <w:rFonts w:ascii="Times New Roman" w:hAnsi="Times New Roman" w:cs="Times New Roman"/>
          <w:b/>
          <w:bCs/>
          <w:sz w:val="24"/>
          <w:szCs w:val="24"/>
          <w:lang w:val="en-US"/>
        </w:rPr>
        <w:t xml:space="preserve"> (</w:t>
      </w:r>
      <w:proofErr w:type="spellStart"/>
      <w:r>
        <w:rPr>
          <w:rFonts w:ascii="Times New Roman" w:eastAsia="Times New Roman" w:hAnsi="Times New Roman" w:cs="Times New Roman"/>
          <w:b/>
          <w:bCs/>
          <w:color w:val="0A0A0A"/>
          <w:kern w:val="0"/>
          <w:sz w:val="24"/>
          <w:szCs w:val="24"/>
          <w:lang w:eastAsia="en-IN"/>
          <w14:ligatures w14:val="none"/>
        </w:rPr>
        <w:t>Kaziūnienė</w:t>
      </w:r>
      <w:proofErr w:type="spellEnd"/>
      <w:r>
        <w:rPr>
          <w:rFonts w:ascii="Times New Roman" w:eastAsia="Times New Roman" w:hAnsi="Times New Roman" w:cs="Times New Roman"/>
          <w:b/>
          <w:bCs/>
          <w:color w:val="0A0A0A"/>
          <w:kern w:val="0"/>
          <w:sz w:val="24"/>
          <w:szCs w:val="24"/>
          <w:lang w:eastAsia="en-IN"/>
          <w14:ligatures w14:val="none"/>
        </w:rPr>
        <w:t>, J., et al. 2025)</w:t>
      </w:r>
    </w:p>
    <w:p w14:paraId="0D2AA8C2" w14:textId="77777777" w:rsidR="007F6049" w:rsidRDefault="001C255B" w:rsidP="006A6CAF">
      <w:pPr>
        <w:suppressLineNumbers/>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5C00946" wp14:editId="6330C720">
            <wp:extent cx="5731510" cy="3554095"/>
            <wp:effectExtent l="0" t="0" r="2540" b="8255"/>
            <wp:docPr id="1147402500" name="Picture 6" descr="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02500" name="Picture 6" descr="Graph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731510" cy="3554095"/>
                    </a:xfrm>
                    <a:prstGeom prst="rect">
                      <a:avLst/>
                    </a:prstGeom>
                    <a:noFill/>
                    <a:ln>
                      <a:noFill/>
                    </a:ln>
                  </pic:spPr>
                </pic:pic>
              </a:graphicData>
            </a:graphic>
          </wp:inline>
        </w:drawing>
      </w:r>
    </w:p>
    <w:p w14:paraId="3898CFFA" w14:textId="77777777" w:rsidR="007F6049" w:rsidRDefault="007F6049" w:rsidP="006A6CAF">
      <w:pPr>
        <w:suppressLineNumbers/>
        <w:jc w:val="both"/>
        <w:rPr>
          <w:rFonts w:ascii="Times New Roman" w:hAnsi="Times New Roman" w:cs="Times New Roman"/>
          <w:b/>
          <w:bCs/>
          <w:sz w:val="24"/>
          <w:szCs w:val="24"/>
        </w:rPr>
      </w:pPr>
    </w:p>
    <w:p w14:paraId="596F77D2" w14:textId="77777777" w:rsidR="007F6049" w:rsidRDefault="007F6049" w:rsidP="006A6CAF">
      <w:pPr>
        <w:suppressLineNumbers/>
        <w:jc w:val="both"/>
        <w:rPr>
          <w:rFonts w:ascii="Times New Roman" w:hAnsi="Times New Roman" w:cs="Times New Roman"/>
          <w:sz w:val="24"/>
          <w:szCs w:val="24"/>
        </w:rPr>
      </w:pPr>
    </w:p>
    <w:p w14:paraId="24549080" w14:textId="77777777" w:rsidR="007F6049" w:rsidRDefault="007F6049" w:rsidP="006A6CAF">
      <w:pPr>
        <w:suppressLineNumbers/>
        <w:jc w:val="both"/>
        <w:rPr>
          <w:rFonts w:ascii="Times New Roman" w:hAnsi="Times New Roman" w:cs="Times New Roman"/>
          <w:sz w:val="24"/>
          <w:szCs w:val="24"/>
        </w:rPr>
      </w:pPr>
    </w:p>
    <w:p w14:paraId="5B3856D7" w14:textId="77777777" w:rsidR="007F6049" w:rsidRDefault="001C255B" w:rsidP="006A6CAF">
      <w:pPr>
        <w:suppressLineNumbers/>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1B6855DE" w14:textId="77777777" w:rsidR="007F6049" w:rsidRDefault="007F6049" w:rsidP="006A6CAF">
      <w:pPr>
        <w:suppressLineNumbers/>
        <w:jc w:val="both"/>
        <w:rPr>
          <w:rFonts w:ascii="Times New Roman" w:hAnsi="Times New Roman" w:cs="Times New Roman"/>
          <w:b/>
          <w:bCs/>
          <w:sz w:val="24"/>
          <w:szCs w:val="24"/>
        </w:rPr>
      </w:pPr>
    </w:p>
    <w:p w14:paraId="0CB2DE5F" w14:textId="77777777" w:rsidR="007F6049" w:rsidRDefault="007F6049" w:rsidP="006A6CAF">
      <w:pPr>
        <w:suppressLineNumbers/>
        <w:jc w:val="both"/>
        <w:rPr>
          <w:rFonts w:ascii="Times New Roman" w:hAnsi="Times New Roman" w:cs="Times New Roman"/>
          <w:b/>
          <w:bCs/>
          <w:sz w:val="24"/>
          <w:szCs w:val="24"/>
        </w:rPr>
      </w:pPr>
    </w:p>
    <w:p w14:paraId="4509A93E" w14:textId="77777777" w:rsidR="007F6049" w:rsidRDefault="007F6049" w:rsidP="006A6CAF">
      <w:pPr>
        <w:suppressLineNumbers/>
        <w:jc w:val="both"/>
        <w:rPr>
          <w:rFonts w:ascii="Times New Roman" w:hAnsi="Times New Roman" w:cs="Times New Roman"/>
          <w:b/>
          <w:bCs/>
          <w:sz w:val="24"/>
          <w:szCs w:val="24"/>
        </w:rPr>
      </w:pPr>
    </w:p>
    <w:p w14:paraId="1EAE9B59" w14:textId="77777777" w:rsidR="007F6049" w:rsidRDefault="007F6049" w:rsidP="006A6CAF">
      <w:pPr>
        <w:suppressLineNumbers/>
        <w:jc w:val="both"/>
        <w:rPr>
          <w:rFonts w:ascii="Times New Roman" w:hAnsi="Times New Roman" w:cs="Times New Roman"/>
          <w:b/>
          <w:bCs/>
          <w:sz w:val="24"/>
          <w:szCs w:val="24"/>
        </w:rPr>
      </w:pPr>
    </w:p>
    <w:p w14:paraId="2B8A676C" w14:textId="77777777" w:rsidR="007F6049" w:rsidRDefault="007F6049" w:rsidP="006A6CAF">
      <w:pPr>
        <w:suppressLineNumbers/>
        <w:jc w:val="both"/>
        <w:rPr>
          <w:rFonts w:ascii="Times New Roman" w:hAnsi="Times New Roman" w:cs="Times New Roman"/>
          <w:b/>
          <w:bCs/>
          <w:sz w:val="24"/>
          <w:szCs w:val="24"/>
        </w:rPr>
      </w:pPr>
    </w:p>
    <w:p w14:paraId="77AE55A6" w14:textId="77777777" w:rsidR="007F6049" w:rsidRDefault="007F6049" w:rsidP="006A6CAF">
      <w:pPr>
        <w:suppressLineNumbers/>
        <w:jc w:val="both"/>
        <w:rPr>
          <w:rFonts w:ascii="Times New Roman" w:hAnsi="Times New Roman" w:cs="Times New Roman"/>
          <w:b/>
          <w:bCs/>
          <w:sz w:val="24"/>
          <w:szCs w:val="24"/>
        </w:rPr>
      </w:pPr>
    </w:p>
    <w:p w14:paraId="7618C314" w14:textId="77777777" w:rsidR="007F6049" w:rsidRDefault="007F6049" w:rsidP="006A6CAF">
      <w:pPr>
        <w:suppressLineNumbers/>
        <w:jc w:val="both"/>
        <w:rPr>
          <w:rFonts w:ascii="Times New Roman" w:hAnsi="Times New Roman" w:cs="Times New Roman"/>
          <w:b/>
          <w:bCs/>
          <w:sz w:val="24"/>
          <w:szCs w:val="24"/>
        </w:rPr>
      </w:pPr>
    </w:p>
    <w:p w14:paraId="2F00C72F" w14:textId="77777777" w:rsidR="007F6049" w:rsidRDefault="007F6049" w:rsidP="006A6CAF">
      <w:pPr>
        <w:suppressLineNumbers/>
        <w:jc w:val="both"/>
        <w:rPr>
          <w:rFonts w:ascii="Times New Roman" w:hAnsi="Times New Roman" w:cs="Times New Roman"/>
          <w:b/>
          <w:bCs/>
          <w:sz w:val="24"/>
          <w:szCs w:val="24"/>
        </w:rPr>
      </w:pPr>
    </w:p>
    <w:p w14:paraId="4BE625B9" w14:textId="77777777" w:rsidR="007F6049" w:rsidRDefault="001C255B" w:rsidP="006A6CAF">
      <w:pPr>
        <w:suppressLineNumbers/>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57420744" w14:textId="7AEB89D0" w:rsidR="007F6049" w:rsidRDefault="007F6049" w:rsidP="006A6CAF">
      <w:pPr>
        <w:suppressLineNumbers/>
        <w:jc w:val="both"/>
        <w:rPr>
          <w:rFonts w:ascii="Times New Roman" w:hAnsi="Times New Roman" w:cs="Times New Roman"/>
          <w:b/>
          <w:bCs/>
          <w:sz w:val="24"/>
          <w:szCs w:val="24"/>
        </w:rPr>
      </w:pPr>
    </w:p>
    <w:p w14:paraId="3912F02B" w14:textId="269461FD" w:rsidR="005A00C6" w:rsidRDefault="005A00C6" w:rsidP="006A6CAF">
      <w:pPr>
        <w:suppressLineNumbers/>
        <w:jc w:val="both"/>
        <w:rPr>
          <w:rFonts w:ascii="Times New Roman" w:hAnsi="Times New Roman" w:cs="Times New Roman"/>
          <w:b/>
          <w:bCs/>
          <w:sz w:val="24"/>
          <w:szCs w:val="24"/>
        </w:rPr>
      </w:pPr>
    </w:p>
    <w:p w14:paraId="257FDB83" w14:textId="3514F7B3" w:rsidR="005A00C6" w:rsidRDefault="005A00C6" w:rsidP="006A6CAF">
      <w:pPr>
        <w:suppressLineNumbers/>
        <w:jc w:val="both"/>
        <w:rPr>
          <w:rFonts w:ascii="Times New Roman" w:hAnsi="Times New Roman" w:cs="Times New Roman"/>
          <w:b/>
          <w:bCs/>
          <w:sz w:val="24"/>
          <w:szCs w:val="24"/>
        </w:rPr>
      </w:pPr>
    </w:p>
    <w:p w14:paraId="006F4FF8" w14:textId="77777777" w:rsidR="005A00C6" w:rsidRDefault="005A00C6" w:rsidP="006A6CAF">
      <w:pPr>
        <w:suppressLineNumbers/>
        <w:jc w:val="both"/>
        <w:rPr>
          <w:rFonts w:ascii="Times New Roman" w:hAnsi="Times New Roman" w:cs="Times New Roman"/>
          <w:b/>
          <w:bCs/>
          <w:sz w:val="24"/>
          <w:szCs w:val="24"/>
        </w:rPr>
      </w:pPr>
      <w:bookmarkStart w:id="0" w:name="_GoBack"/>
      <w:bookmarkEnd w:id="0"/>
    </w:p>
    <w:p w14:paraId="1CD42C93" w14:textId="77777777" w:rsidR="009B451D" w:rsidRDefault="009B451D" w:rsidP="006A6CAF">
      <w:pPr>
        <w:suppressLineNumbers/>
        <w:jc w:val="both"/>
        <w:rPr>
          <w:rFonts w:ascii="Times New Roman" w:hAnsi="Times New Roman" w:cs="Times New Roman"/>
          <w:b/>
          <w:bCs/>
          <w:sz w:val="24"/>
          <w:szCs w:val="24"/>
        </w:rPr>
      </w:pPr>
    </w:p>
    <w:p w14:paraId="1156288F" w14:textId="45199543" w:rsidR="007F6049" w:rsidRDefault="009B451D" w:rsidP="006A6CAF">
      <w:pPr>
        <w:suppressLineNumbers/>
        <w:jc w:val="both"/>
        <w:rPr>
          <w:rFonts w:ascii="Times New Roman" w:hAnsi="Times New Roman" w:cs="Times New Roman"/>
          <w:b/>
          <w:bCs/>
          <w:sz w:val="24"/>
          <w:szCs w:val="24"/>
        </w:rPr>
      </w:pPr>
      <w:r>
        <w:rPr>
          <w:rFonts w:ascii="Times New Roman" w:hAnsi="Times New Roman" w:cs="Times New Roman"/>
          <w:b/>
          <w:bCs/>
          <w:sz w:val="24"/>
          <w:szCs w:val="24"/>
        </w:rPr>
        <w:t xml:space="preserve">           Fig</w:t>
      </w:r>
      <w:proofErr w:type="spellStart"/>
      <w:r>
        <w:rPr>
          <w:rFonts w:ascii="Times New Roman" w:hAnsi="Times New Roman" w:cs="Times New Roman"/>
          <w:b/>
          <w:bCs/>
          <w:sz w:val="24"/>
          <w:szCs w:val="24"/>
          <w:lang w:val="en-US"/>
        </w:rPr>
        <w:t>ure</w:t>
      </w:r>
      <w:proofErr w:type="spellEnd"/>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2  Precision</w:t>
      </w:r>
      <w:proofErr w:type="gramEnd"/>
      <w:r>
        <w:rPr>
          <w:rFonts w:ascii="Times New Roman" w:hAnsi="Times New Roman" w:cs="Times New Roman"/>
          <w:b/>
          <w:bCs/>
          <w:sz w:val="24"/>
          <w:szCs w:val="24"/>
        </w:rPr>
        <w:t xml:space="preserve"> Enhancement and Nodule Development</w:t>
      </w:r>
    </w:p>
    <w:p w14:paraId="315E9D5D" w14:textId="77777777" w:rsidR="007F6049" w:rsidRDefault="001C255B" w:rsidP="006A6CAF">
      <w:pPr>
        <w:suppressLineNumber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540AD6" wp14:editId="7030A961">
            <wp:extent cx="5731510" cy="3157855"/>
            <wp:effectExtent l="0" t="0" r="2540" b="4445"/>
            <wp:docPr id="623168433" name="Picture 8" descr="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68433" name="Picture 8" descr="Graph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731510" cy="3157855"/>
                    </a:xfrm>
                    <a:prstGeom prst="rect">
                      <a:avLst/>
                    </a:prstGeom>
                    <a:noFill/>
                    <a:ln>
                      <a:noFill/>
                    </a:ln>
                  </pic:spPr>
                </pic:pic>
              </a:graphicData>
            </a:graphic>
          </wp:inline>
        </w:drawing>
      </w:r>
    </w:p>
    <w:p w14:paraId="15C7C118" w14:textId="77777777" w:rsidR="007F6049" w:rsidRDefault="007F6049" w:rsidP="006A6CAF">
      <w:pPr>
        <w:suppressLineNumbers/>
        <w:jc w:val="both"/>
        <w:rPr>
          <w:rFonts w:ascii="Times New Roman" w:hAnsi="Times New Roman" w:cs="Times New Roman"/>
          <w:sz w:val="24"/>
          <w:szCs w:val="24"/>
        </w:rPr>
      </w:pPr>
    </w:p>
    <w:sectPr w:rsidR="007F6049" w:rsidSect="009B451D">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41F2D" w14:textId="77777777" w:rsidR="009A408C" w:rsidRDefault="009A408C">
      <w:pPr>
        <w:spacing w:line="240" w:lineRule="auto"/>
      </w:pPr>
      <w:r>
        <w:separator/>
      </w:r>
    </w:p>
  </w:endnote>
  <w:endnote w:type="continuationSeparator" w:id="0">
    <w:p w14:paraId="70BFA097" w14:textId="77777777" w:rsidR="009A408C" w:rsidRDefault="009A40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F0AAE" w14:textId="77777777" w:rsidR="005A00C6" w:rsidRDefault="005A0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80A39" w14:textId="77777777" w:rsidR="005A00C6" w:rsidRDefault="005A00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C39CF" w14:textId="77777777" w:rsidR="005A00C6" w:rsidRDefault="005A0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CECF8" w14:textId="77777777" w:rsidR="009A408C" w:rsidRDefault="009A408C">
      <w:pPr>
        <w:spacing w:after="0"/>
      </w:pPr>
      <w:r>
        <w:separator/>
      </w:r>
    </w:p>
  </w:footnote>
  <w:footnote w:type="continuationSeparator" w:id="0">
    <w:p w14:paraId="5A05E541" w14:textId="77777777" w:rsidR="009A408C" w:rsidRDefault="009A408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00D0F" w14:textId="49399229" w:rsidR="005A00C6" w:rsidRDefault="005A00C6">
    <w:pPr>
      <w:pStyle w:val="Header"/>
    </w:pPr>
    <w:r>
      <w:rPr>
        <w:noProof/>
      </w:rPr>
      <w:pict w14:anchorId="11B7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22548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DDA72" w14:textId="01285834" w:rsidR="005A00C6" w:rsidRDefault="005A00C6">
    <w:pPr>
      <w:pStyle w:val="Header"/>
    </w:pPr>
    <w:r>
      <w:rPr>
        <w:noProof/>
      </w:rPr>
      <w:pict w14:anchorId="5B525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22548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F0F2B" w14:textId="2BF66176" w:rsidR="005A00C6" w:rsidRDefault="005A00C6">
    <w:pPr>
      <w:pStyle w:val="Header"/>
    </w:pPr>
    <w:r>
      <w:rPr>
        <w:noProof/>
      </w:rPr>
      <w:pict w14:anchorId="78DF5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22548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740"/>
    <w:rsid w:val="00005C2B"/>
    <w:rsid w:val="00006DCE"/>
    <w:rsid w:val="00081CAC"/>
    <w:rsid w:val="000D1FE2"/>
    <w:rsid w:val="001567D9"/>
    <w:rsid w:val="001C255B"/>
    <w:rsid w:val="001C4808"/>
    <w:rsid w:val="001E3815"/>
    <w:rsid w:val="002D7A54"/>
    <w:rsid w:val="002E55F3"/>
    <w:rsid w:val="0040129F"/>
    <w:rsid w:val="00401BAB"/>
    <w:rsid w:val="0042607E"/>
    <w:rsid w:val="004422C0"/>
    <w:rsid w:val="004828E6"/>
    <w:rsid w:val="004E2F7B"/>
    <w:rsid w:val="004E4583"/>
    <w:rsid w:val="0053095F"/>
    <w:rsid w:val="00577255"/>
    <w:rsid w:val="005A00C6"/>
    <w:rsid w:val="005D6E89"/>
    <w:rsid w:val="005F48F0"/>
    <w:rsid w:val="00654A0D"/>
    <w:rsid w:val="00684B6C"/>
    <w:rsid w:val="006A6CAF"/>
    <w:rsid w:val="00700531"/>
    <w:rsid w:val="007231EF"/>
    <w:rsid w:val="00787A70"/>
    <w:rsid w:val="007F6049"/>
    <w:rsid w:val="007F70C8"/>
    <w:rsid w:val="00813615"/>
    <w:rsid w:val="0087310D"/>
    <w:rsid w:val="008B4DF2"/>
    <w:rsid w:val="008F7224"/>
    <w:rsid w:val="009205B1"/>
    <w:rsid w:val="0092069C"/>
    <w:rsid w:val="009A408C"/>
    <w:rsid w:val="009B451D"/>
    <w:rsid w:val="009F1752"/>
    <w:rsid w:val="00A928ED"/>
    <w:rsid w:val="00A95830"/>
    <w:rsid w:val="00B427CE"/>
    <w:rsid w:val="00BB0895"/>
    <w:rsid w:val="00BD7029"/>
    <w:rsid w:val="00C05D51"/>
    <w:rsid w:val="00C46FD2"/>
    <w:rsid w:val="00CA48A6"/>
    <w:rsid w:val="00CE404A"/>
    <w:rsid w:val="00D879B7"/>
    <w:rsid w:val="00DD5E1E"/>
    <w:rsid w:val="00DF436B"/>
    <w:rsid w:val="00E17740"/>
    <w:rsid w:val="00FB67E1"/>
    <w:rsid w:val="00FD4083"/>
    <w:rsid w:val="02BA37B9"/>
    <w:rsid w:val="093929F5"/>
    <w:rsid w:val="300C076D"/>
    <w:rsid w:val="35EE45B0"/>
    <w:rsid w:val="3729700D"/>
    <w:rsid w:val="395F094E"/>
    <w:rsid w:val="59C64C9B"/>
    <w:rsid w:val="64326656"/>
    <w:rsid w:val="6ADE7D03"/>
    <w:rsid w:val="70992649"/>
    <w:rsid w:val="7F017F1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1616B9"/>
  <w15:docId w15:val="{EEAB3B95-09F7-4B17-B88A-027F1259A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LineNumber">
    <w:name w:val="line number"/>
    <w:basedOn w:val="DefaultParagraphFont"/>
    <w:uiPriority w:val="99"/>
    <w:semiHidden/>
    <w:unhideWhenUsed/>
    <w:rsid w:val="001C4808"/>
  </w:style>
  <w:style w:type="paragraph" w:styleId="Header">
    <w:name w:val="header"/>
    <w:basedOn w:val="Normal"/>
    <w:link w:val="HeaderChar"/>
    <w:uiPriority w:val="99"/>
    <w:unhideWhenUsed/>
    <w:rsid w:val="001C48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808"/>
    <w:rPr>
      <w:kern w:val="2"/>
      <w:sz w:val="22"/>
      <w:szCs w:val="22"/>
      <w:lang w:eastAsia="en-US"/>
      <w14:ligatures w14:val="standardContextual"/>
    </w:rPr>
  </w:style>
  <w:style w:type="paragraph" w:styleId="Footer">
    <w:name w:val="footer"/>
    <w:basedOn w:val="Normal"/>
    <w:link w:val="FooterChar"/>
    <w:uiPriority w:val="99"/>
    <w:unhideWhenUsed/>
    <w:rsid w:val="001C48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808"/>
    <w:rPr>
      <w:kern w:val="2"/>
      <w:sz w:val="22"/>
      <w:szCs w:val="22"/>
      <w:lang w:eastAsia="en-US"/>
      <w14:ligatures w14:val="standardContextual"/>
    </w:rPr>
  </w:style>
  <w:style w:type="character" w:styleId="UnresolvedMention">
    <w:name w:val="Unresolved Mention"/>
    <w:basedOn w:val="DefaultParagraphFont"/>
    <w:uiPriority w:val="99"/>
    <w:semiHidden/>
    <w:unhideWhenUsed/>
    <w:rsid w:val="004E2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38/24376" TargetMode="External"/><Relationship Id="rId18" Type="http://schemas.openxmlformats.org/officeDocument/2006/relationships/hyperlink" Target="https://doi.org/10.1007/s11104-008-9668-3" TargetMode="External"/><Relationship Id="rId26" Type="http://schemas.openxmlformats.org/officeDocument/2006/relationships/hyperlink" Target="https://doi.org/10.1038/nclimate2437" TargetMode="External"/><Relationship Id="rId39" Type="http://schemas.openxmlformats.org/officeDocument/2006/relationships/hyperlink" Target="https://doi.org/10.1111/pbi.12687" TargetMode="External"/><Relationship Id="rId21" Type="http://schemas.openxmlformats.org/officeDocument/2006/relationships/hyperlink" Target="https://doi.org/10.1016/j.biosystemseng.2024.01.005" TargetMode="External"/><Relationship Id="rId34" Type="http://schemas.openxmlformats.org/officeDocument/2006/relationships/hyperlink" Target="https://doi.org/10.1186/s12870-023-04204-z" TargetMode="External"/><Relationship Id="rId42" Type="http://schemas.openxmlformats.org/officeDocument/2006/relationships/hyperlink" Target="https://doi.org/10.3389/fpls.2022.841254" TargetMode="External"/><Relationship Id="rId47" Type="http://schemas.openxmlformats.org/officeDocument/2006/relationships/image" Target="media/image3.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hyperlink" Target="https://doi.org/10.1080/07352689.2019.1595651" TargetMode="External"/><Relationship Id="rId2" Type="http://schemas.openxmlformats.org/officeDocument/2006/relationships/styles" Target="styles.xml"/><Relationship Id="rId16" Type="http://schemas.openxmlformats.org/officeDocument/2006/relationships/hyperlink" Target="https://doi.org/10.1016/j.fcr.2025.109678" TargetMode="External"/><Relationship Id="rId29" Type="http://schemas.openxmlformats.org/officeDocument/2006/relationships/hyperlink" Target="https://doi.org/10.1038/nrmicro2990" TargetMode="External"/><Relationship Id="rId11" Type="http://schemas.openxmlformats.org/officeDocument/2006/relationships/hyperlink" Target="https://doi.org/10.1186/s40168-019-0667-4" TargetMode="External"/><Relationship Id="rId24" Type="http://schemas.openxmlformats.org/officeDocument/2006/relationships/hyperlink" Target="https://doi.org/10.3390/s18082674" TargetMode="External"/><Relationship Id="rId32" Type="http://schemas.openxmlformats.org/officeDocument/2006/relationships/hyperlink" Target="https://doi.org/10.1038/nrmicro.2017.171" TargetMode="External"/><Relationship Id="rId37" Type="http://schemas.openxmlformats.org/officeDocument/2006/relationships/hyperlink" Target="https://doi.org/10.1073/pnas.1116437108" TargetMode="External"/><Relationship Id="rId40" Type="http://schemas.openxmlformats.org/officeDocument/2006/relationships/hyperlink" Target="https://doi.org/10.1023/A:1026037216893" TargetMode="External"/><Relationship Id="rId45" Type="http://schemas.openxmlformats.org/officeDocument/2006/relationships/image" Target="media/image1.png"/><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yperlink" Target="https://doi.org/10.1111/pbi.13305" TargetMode="External"/><Relationship Id="rId19" Type="http://schemas.openxmlformats.org/officeDocument/2006/relationships/hyperlink" Target="https://doi.org/10.1002/agj2.20489" TargetMode="External"/><Relationship Id="rId31" Type="http://schemas.openxmlformats.org/officeDocument/2006/relationships/hyperlink" Target="https://doi.org/10.1016/j.fcr.2022.108568" TargetMode="External"/><Relationship Id="rId44" Type="http://schemas.openxmlformats.org/officeDocument/2006/relationships/hyperlink" Target="https://doi.org/10.1038/nature15743"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16/j.tplants.2012.04.001" TargetMode="External"/><Relationship Id="rId14" Type="http://schemas.openxmlformats.org/officeDocument/2006/relationships/hyperlink" Target="https://doi.org/10.1002/9781119107743.ch01" TargetMode="External"/><Relationship Id="rId22" Type="http://schemas.openxmlformats.org/officeDocument/2006/relationships/hyperlink" Target="https://doi.org/10.1007/s00299-017-2229-6" TargetMode="External"/><Relationship Id="rId27" Type="http://schemas.openxmlformats.org/officeDocument/2006/relationships/hyperlink" Target="https://doi.org/10.18805/ag.R-2101" TargetMode="External"/><Relationship Id="rId30" Type="http://schemas.openxmlformats.org/officeDocument/2006/relationships/hyperlink" Target="https://doi.org/10.1146/annurev-genet-112618-043617" TargetMode="External"/><Relationship Id="rId35" Type="http://schemas.openxmlformats.org/officeDocument/2006/relationships/hyperlink" Target="https://doi.org/10.1080/07352688809382257" TargetMode="External"/><Relationship Id="rId43" Type="http://schemas.openxmlformats.org/officeDocument/2006/relationships/hyperlink" Target="https://doi.org/10.1007/s11104-018-3720-8" TargetMode="External"/><Relationship Id="rId48" Type="http://schemas.openxmlformats.org/officeDocument/2006/relationships/header" Target="header1.xml"/><Relationship Id="rId8" Type="http://schemas.openxmlformats.org/officeDocument/2006/relationships/hyperlink" Target="https://doi.org/10.1007/BF00032252"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org/10.1016/j.tplants.2017.08.011" TargetMode="External"/><Relationship Id="rId17" Type="http://schemas.openxmlformats.org/officeDocument/2006/relationships/hyperlink" Target="https://doi.org/10.1104/pp.43.8.1185" TargetMode="External"/><Relationship Id="rId25" Type="http://schemas.openxmlformats.org/officeDocument/2006/relationships/hyperlink" Target="https://doi.org/10.28940/terra.v42i0.1082" TargetMode="External"/><Relationship Id="rId33" Type="http://schemas.openxmlformats.org/officeDocument/2006/relationships/hyperlink" Target="https://doi.org/10.1093/jxb/erh156" TargetMode="External"/><Relationship Id="rId38" Type="http://schemas.openxmlformats.org/officeDocument/2006/relationships/hyperlink" Target="https://doi.org/10.1146/annurev-arplant-050312-120235" TargetMode="External"/><Relationship Id="rId46" Type="http://schemas.openxmlformats.org/officeDocument/2006/relationships/image" Target="media/image2.png"/><Relationship Id="rId20" Type="http://schemas.openxmlformats.org/officeDocument/2006/relationships/hyperlink" Target="https://doi.org/10.1007/s11104-020-04529-2" TargetMode="External"/><Relationship Id="rId41" Type="http://schemas.openxmlformats.org/officeDocument/2006/relationships/hyperlink" Target="https://doi.org/10.1038/nrmicro.2016.14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1126/science.1183899" TargetMode="External"/><Relationship Id="rId23" Type="http://schemas.openxmlformats.org/officeDocument/2006/relationships/hyperlink" Target="https://doi.org/10.1038/s43017-022-00291-9" TargetMode="External"/><Relationship Id="rId28" Type="http://schemas.openxmlformats.org/officeDocument/2006/relationships/hyperlink" Target="https://doi.org/10.1371/journal.pone.0322203" TargetMode="External"/><Relationship Id="rId36" Type="http://schemas.openxmlformats.org/officeDocument/2006/relationships/hyperlink" Target="https://doi.org/10.3389/fpls.2015.00864"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1601E-30FF-4662-8CF2-971BEFB1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14</Pages>
  <Words>5093</Words>
  <Characters>29032</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dc:creator>
  <cp:lastModifiedBy>SDI 1084</cp:lastModifiedBy>
  <cp:revision>57</cp:revision>
  <dcterms:created xsi:type="dcterms:W3CDTF">2026-04-29T12:31:00Z</dcterms:created>
  <dcterms:modified xsi:type="dcterms:W3CDTF">2026-05-06T12:48:00Z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eyJoZGlkIjoiN2NkYTU0ZDBjNDJhOWYyMjBhODI4Mjg0ZWI4YWY1MjQifQ==</vt:lpwstr>
  </property>
  <property fmtid="{D5CDD505-2E9C-101B-9397-08002B2CF9AE}" pid="3" name="KSOProductBuildVer">
    <vt:lpwstr>1033-12.1.0.25242</vt:lpwstr>
  </property>
  <property fmtid="{D5CDD505-2E9C-101B-9397-08002B2CF9AE}" pid="4" name="ICV">
    <vt:lpwstr>75F501FE17904A3C8C4DCA4D65C511B5_12</vt:lpwstr>
  </property>
</Properties>
</file>