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485E9" w14:textId="73D98ADE" w:rsidR="00E71ABA" w:rsidRDefault="004A616F">
      <w:r w:rsidRPr="004A616F">
        <w:t>Original Research Article</w:t>
      </w:r>
    </w:p>
    <w:p w14:paraId="5D9E8391" w14:textId="77777777" w:rsidR="004A616F" w:rsidRDefault="004A616F"/>
    <w:p w14:paraId="60BF9700" w14:textId="77777777" w:rsidR="004A616F" w:rsidRDefault="004A616F"/>
    <w:p w14:paraId="0B51F6D7" w14:textId="59E603D3" w:rsidR="00E71ABA" w:rsidRDefault="00E03C29" w:rsidP="00E03C29">
      <w:pPr>
        <w:jc w:val="center"/>
        <w:rPr>
          <w:rFonts w:ascii="Times New Roman" w:hAnsi="Times New Roman" w:cs="Times New Roman"/>
          <w:b/>
          <w:szCs w:val="24"/>
        </w:rPr>
      </w:pPr>
      <w:r w:rsidRPr="00E03C29">
        <w:rPr>
          <w:rFonts w:ascii="Times New Roman" w:hAnsi="Times New Roman" w:cs="Times New Roman"/>
          <w:b/>
          <w:szCs w:val="24"/>
        </w:rPr>
        <w:t>COMMUNITY-BASED FOREST R</w:t>
      </w:r>
      <w:r w:rsidR="00D51A06">
        <w:rPr>
          <w:rFonts w:ascii="Times New Roman" w:hAnsi="Times New Roman" w:cs="Times New Roman"/>
          <w:b/>
          <w:szCs w:val="24"/>
        </w:rPr>
        <w:t>ESOURCE MANAGEMENT IN OTI REGION</w:t>
      </w:r>
      <w:r w:rsidRPr="00E03C29">
        <w:rPr>
          <w:rFonts w:ascii="Times New Roman" w:hAnsi="Times New Roman" w:cs="Times New Roman"/>
          <w:b/>
          <w:szCs w:val="24"/>
        </w:rPr>
        <w:t>: A COMPARATIVE EFFECTIVENESS STUDY OF NCHUMURU AND ADELE COMMUNITIES IN GHANA</w:t>
      </w:r>
    </w:p>
    <w:p w14:paraId="195517E2" w14:textId="77777777" w:rsidR="00924123" w:rsidRDefault="00924123" w:rsidP="00E03C29">
      <w:pPr>
        <w:jc w:val="center"/>
        <w:rPr>
          <w:rFonts w:ascii="Times New Roman" w:hAnsi="Times New Roman" w:cs="Times New Roman"/>
          <w:b/>
          <w:szCs w:val="24"/>
        </w:rPr>
      </w:pPr>
    </w:p>
    <w:p w14:paraId="389B92CA" w14:textId="77777777" w:rsidR="00924123" w:rsidRPr="006E5C6D" w:rsidRDefault="00924123" w:rsidP="00E03C29">
      <w:pPr>
        <w:jc w:val="center"/>
        <w:rPr>
          <w:rFonts w:ascii="Times New Roman" w:hAnsi="Times New Roman" w:cs="Times New Roman"/>
          <w:b/>
          <w:sz w:val="24"/>
          <w:szCs w:val="24"/>
        </w:rPr>
      </w:pPr>
    </w:p>
    <w:p w14:paraId="62775C9C" w14:textId="77777777" w:rsidR="00916CE3" w:rsidRPr="00E03C29" w:rsidRDefault="00916CE3" w:rsidP="00E03C29">
      <w:pPr>
        <w:jc w:val="center"/>
        <w:rPr>
          <w:rFonts w:ascii="Times New Roman" w:hAnsi="Times New Roman" w:cs="Times New Roman"/>
          <w:szCs w:val="24"/>
        </w:rPr>
      </w:pPr>
    </w:p>
    <w:p w14:paraId="1828C9F4" w14:textId="77777777" w:rsidR="00075530" w:rsidRPr="00E03C29" w:rsidRDefault="00075530" w:rsidP="00075530">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E03C29">
        <w:rPr>
          <w:rFonts w:ascii="Times New Roman" w:eastAsia="Times New Roman" w:hAnsi="Times New Roman" w:cs="Times New Roman"/>
          <w:b/>
          <w:bCs/>
          <w:kern w:val="36"/>
          <w:sz w:val="24"/>
          <w:szCs w:val="24"/>
        </w:rPr>
        <w:t>ABSTRACT</w:t>
      </w:r>
    </w:p>
    <w:p w14:paraId="6FD86417" w14:textId="77777777" w:rsidR="00075530" w:rsidRPr="00B80F82" w:rsidRDefault="00075530" w:rsidP="00075530">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B80F82">
        <w:rPr>
          <w:rFonts w:ascii="Times New Roman" w:eastAsia="Times New Roman" w:hAnsi="Times New Roman" w:cs="Times New Roman"/>
          <w:b/>
          <w:bCs/>
          <w:sz w:val="24"/>
          <w:szCs w:val="24"/>
        </w:rPr>
        <w:t>Purpose:</w:t>
      </w:r>
      <w:r w:rsidRPr="00B80F82">
        <w:rPr>
          <w:rFonts w:ascii="Times New Roman" w:eastAsia="Times New Roman" w:hAnsi="Times New Roman" w:cs="Times New Roman"/>
          <w:sz w:val="24"/>
          <w:szCs w:val="24"/>
        </w:rPr>
        <w:t>This</w:t>
      </w:r>
      <w:proofErr w:type="spellEnd"/>
      <w:proofErr w:type="gramEnd"/>
      <w:r w:rsidRPr="00B80F82">
        <w:rPr>
          <w:rFonts w:ascii="Times New Roman" w:eastAsia="Times New Roman" w:hAnsi="Times New Roman" w:cs="Times New Roman"/>
          <w:sz w:val="24"/>
          <w:szCs w:val="24"/>
        </w:rPr>
        <w:t xml:space="preserve"> study comparatively assesses the effectiveness of community-based forest resource management (CBFRM) initiatives in the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Adele communities of the </w:t>
      </w:r>
      <w:proofErr w:type="spellStart"/>
      <w:r w:rsidRPr="00B80F82">
        <w:rPr>
          <w:rFonts w:ascii="Times New Roman" w:eastAsia="Times New Roman" w:hAnsi="Times New Roman" w:cs="Times New Roman"/>
          <w:sz w:val="24"/>
          <w:szCs w:val="24"/>
        </w:rPr>
        <w:t>Oti</w:t>
      </w:r>
      <w:proofErr w:type="spellEnd"/>
      <w:r w:rsidRPr="00B80F82">
        <w:rPr>
          <w:rFonts w:ascii="Times New Roman" w:eastAsia="Times New Roman" w:hAnsi="Times New Roman" w:cs="Times New Roman"/>
          <w:sz w:val="24"/>
          <w:szCs w:val="24"/>
        </w:rPr>
        <w:t xml:space="preserve"> Region in Ghana. It examines differences in participation, benefits derived from forest resources, and perceived performance of existing governance arrangements.</w:t>
      </w:r>
    </w:p>
    <w:p w14:paraId="5B84A703" w14:textId="77777777" w:rsidR="00075530" w:rsidRPr="00B80F82" w:rsidRDefault="00075530" w:rsidP="00075530">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B80F82">
        <w:rPr>
          <w:rFonts w:ascii="Times New Roman" w:eastAsia="Times New Roman" w:hAnsi="Times New Roman" w:cs="Times New Roman"/>
          <w:b/>
          <w:bCs/>
          <w:sz w:val="24"/>
          <w:szCs w:val="24"/>
        </w:rPr>
        <w:t>Methods:</w:t>
      </w:r>
      <w:r w:rsidRPr="00B80F82">
        <w:rPr>
          <w:rFonts w:ascii="Times New Roman" w:eastAsia="Times New Roman" w:hAnsi="Times New Roman" w:cs="Times New Roman"/>
          <w:sz w:val="24"/>
          <w:szCs w:val="24"/>
        </w:rPr>
        <w:t>A</w:t>
      </w:r>
      <w:proofErr w:type="spellEnd"/>
      <w:proofErr w:type="gramEnd"/>
      <w:r w:rsidRPr="00B80F82">
        <w:rPr>
          <w:rFonts w:ascii="Times New Roman" w:eastAsia="Times New Roman" w:hAnsi="Times New Roman" w:cs="Times New Roman"/>
          <w:sz w:val="24"/>
          <w:szCs w:val="24"/>
        </w:rPr>
        <w:t xml:space="preserve"> quantitative cross-sectional research design was employed. A structured questionnaire survey was administered to </w:t>
      </w:r>
      <w:r w:rsidRPr="00B80F82">
        <w:rPr>
          <w:rFonts w:ascii="Times New Roman" w:eastAsia="Times New Roman" w:hAnsi="Times New Roman" w:cs="Times New Roman"/>
          <w:bCs/>
          <w:sz w:val="24"/>
          <w:szCs w:val="24"/>
        </w:rPr>
        <w:t>344 systematically selected respondents</w:t>
      </w:r>
      <w:r w:rsidRPr="00B80F82">
        <w:rPr>
          <w:rFonts w:ascii="Times New Roman" w:eastAsia="Times New Roman" w:hAnsi="Times New Roman" w:cs="Times New Roman"/>
          <w:sz w:val="24"/>
          <w:szCs w:val="24"/>
        </w:rPr>
        <w:t xml:space="preserve"> 174 from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170 from Adele. Data were </w:t>
      </w:r>
      <w:proofErr w:type="spellStart"/>
      <w:r w:rsidRPr="00B80F82">
        <w:rPr>
          <w:rFonts w:ascii="Times New Roman" w:eastAsia="Times New Roman" w:hAnsi="Times New Roman" w:cs="Times New Roman"/>
          <w:sz w:val="24"/>
          <w:szCs w:val="24"/>
        </w:rPr>
        <w:t>analysed</w:t>
      </w:r>
      <w:proofErr w:type="spellEnd"/>
      <w:r w:rsidRPr="00B80F82">
        <w:rPr>
          <w:rFonts w:ascii="Times New Roman" w:eastAsia="Times New Roman" w:hAnsi="Times New Roman" w:cs="Times New Roman"/>
          <w:sz w:val="24"/>
          <w:szCs w:val="24"/>
        </w:rPr>
        <w:t xml:space="preserve"> using descriptive statistics, cross-tabulation, and Chi-square tests in SPSS (Version 23) to determine the level of effectiveness and the extent of variation between the two communities.</w:t>
      </w:r>
    </w:p>
    <w:p w14:paraId="0B080438" w14:textId="77777777" w:rsidR="00075530" w:rsidRPr="00B80F82" w:rsidRDefault="00075530" w:rsidP="00075530">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B80F82">
        <w:rPr>
          <w:rFonts w:ascii="Times New Roman" w:eastAsia="Times New Roman" w:hAnsi="Times New Roman" w:cs="Times New Roman"/>
          <w:b/>
          <w:bCs/>
          <w:sz w:val="24"/>
          <w:szCs w:val="24"/>
        </w:rPr>
        <w:t>Findings:</w:t>
      </w:r>
      <w:r w:rsidRPr="00B80F82">
        <w:rPr>
          <w:rFonts w:ascii="Times New Roman" w:eastAsia="Times New Roman" w:hAnsi="Times New Roman" w:cs="Times New Roman"/>
          <w:sz w:val="24"/>
          <w:szCs w:val="24"/>
        </w:rPr>
        <w:t>The</w:t>
      </w:r>
      <w:proofErr w:type="spellEnd"/>
      <w:proofErr w:type="gramEnd"/>
      <w:r w:rsidRPr="00B80F82">
        <w:rPr>
          <w:rFonts w:ascii="Times New Roman" w:eastAsia="Times New Roman" w:hAnsi="Times New Roman" w:cs="Times New Roman"/>
          <w:sz w:val="24"/>
          <w:szCs w:val="24"/>
        </w:rPr>
        <w:t xml:space="preserve"> results show that CBFRM initiatives are operational in both communities but vary in effectiveness.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recorded higher participation in forest management activities, whereas Adele demonstrated stronger enforcement mechanisms through community by-laws. Respondents from both sites acknowledged ecological and livelihood benefits of forest management, though these were more pronounced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Perceptions of effectiveness were generally moderate, with limited institutional support and weak monitoring practices identified as constraints.</w:t>
      </w:r>
    </w:p>
    <w:p w14:paraId="4D96A1EC" w14:textId="77777777" w:rsidR="00075530" w:rsidRPr="00B80F82" w:rsidRDefault="00075530" w:rsidP="00075530">
      <w:pPr>
        <w:spacing w:before="100" w:beforeAutospacing="1" w:after="100" w:afterAutospacing="1" w:line="240" w:lineRule="auto"/>
        <w:rPr>
          <w:rFonts w:ascii="Times New Roman" w:eastAsia="Times New Roman" w:hAnsi="Times New Roman" w:cs="Times New Roman"/>
          <w:b/>
          <w:bCs/>
          <w:sz w:val="24"/>
          <w:szCs w:val="24"/>
        </w:rPr>
      </w:pPr>
      <w:r w:rsidRPr="00B80F82">
        <w:rPr>
          <w:rFonts w:ascii="Times New Roman" w:eastAsia="Times New Roman" w:hAnsi="Times New Roman" w:cs="Times New Roman"/>
          <w:b/>
          <w:bCs/>
          <w:sz w:val="24"/>
          <w:szCs w:val="24"/>
        </w:rPr>
        <w:t xml:space="preserve">Research </w:t>
      </w:r>
      <w:proofErr w:type="spellStart"/>
      <w:proofErr w:type="gramStart"/>
      <w:r w:rsidRPr="00B80F82">
        <w:rPr>
          <w:rFonts w:ascii="Times New Roman" w:eastAsia="Times New Roman" w:hAnsi="Times New Roman" w:cs="Times New Roman"/>
          <w:b/>
          <w:bCs/>
          <w:sz w:val="24"/>
          <w:szCs w:val="24"/>
        </w:rPr>
        <w:t>Limitation:</w:t>
      </w:r>
      <w:r w:rsidRPr="00B80F82">
        <w:rPr>
          <w:rFonts w:ascii="Times New Roman" w:eastAsia="Times New Roman" w:hAnsi="Times New Roman" w:cs="Times New Roman"/>
          <w:sz w:val="24"/>
          <w:szCs w:val="24"/>
        </w:rPr>
        <w:t>The</w:t>
      </w:r>
      <w:proofErr w:type="spellEnd"/>
      <w:proofErr w:type="gramEnd"/>
      <w:r w:rsidRPr="00B80F82">
        <w:rPr>
          <w:rFonts w:ascii="Times New Roman" w:eastAsia="Times New Roman" w:hAnsi="Times New Roman" w:cs="Times New Roman"/>
          <w:sz w:val="24"/>
          <w:szCs w:val="24"/>
        </w:rPr>
        <w:t xml:space="preserve"> study was limited to two communities within a single ecological zone, which may affect the generalizability of findings to other regions with different governance structures or ecological conditions.</w:t>
      </w:r>
    </w:p>
    <w:p w14:paraId="26CEC2D0" w14:textId="77777777" w:rsidR="00075530" w:rsidRPr="00B80F82" w:rsidRDefault="00075530" w:rsidP="00075530">
      <w:pPr>
        <w:spacing w:before="100" w:beforeAutospacing="1" w:after="100" w:afterAutospacing="1" w:line="240" w:lineRule="auto"/>
        <w:rPr>
          <w:rFonts w:ascii="Times New Roman" w:eastAsia="Times New Roman" w:hAnsi="Times New Roman" w:cs="Times New Roman"/>
          <w:b/>
          <w:bCs/>
          <w:sz w:val="24"/>
          <w:szCs w:val="24"/>
        </w:rPr>
      </w:pPr>
      <w:r w:rsidRPr="00B80F82">
        <w:rPr>
          <w:rFonts w:ascii="Times New Roman" w:eastAsia="Times New Roman" w:hAnsi="Times New Roman" w:cs="Times New Roman"/>
          <w:b/>
          <w:bCs/>
          <w:sz w:val="24"/>
          <w:szCs w:val="24"/>
        </w:rPr>
        <w:t xml:space="preserve">Practical </w:t>
      </w:r>
      <w:proofErr w:type="spellStart"/>
      <w:proofErr w:type="gramStart"/>
      <w:r w:rsidRPr="00B80F82">
        <w:rPr>
          <w:rFonts w:ascii="Times New Roman" w:eastAsia="Times New Roman" w:hAnsi="Times New Roman" w:cs="Times New Roman"/>
          <w:b/>
          <w:bCs/>
          <w:sz w:val="24"/>
          <w:szCs w:val="24"/>
        </w:rPr>
        <w:t>Implication:</w:t>
      </w:r>
      <w:r w:rsidRPr="00B80F82">
        <w:rPr>
          <w:rFonts w:ascii="Times New Roman" w:eastAsia="Times New Roman" w:hAnsi="Times New Roman" w:cs="Times New Roman"/>
          <w:sz w:val="24"/>
          <w:szCs w:val="24"/>
        </w:rPr>
        <w:t>Insights</w:t>
      </w:r>
      <w:proofErr w:type="spellEnd"/>
      <w:proofErr w:type="gramEnd"/>
      <w:r w:rsidRPr="00B80F82">
        <w:rPr>
          <w:rFonts w:ascii="Times New Roman" w:eastAsia="Times New Roman" w:hAnsi="Times New Roman" w:cs="Times New Roman"/>
          <w:sz w:val="24"/>
          <w:szCs w:val="24"/>
        </w:rPr>
        <w:t xml:space="preserve"> from the study highlight the need to strengthen enforcement, monitoring, and institutional support systems to enhance CBFRM outcomes, particularly in communities with weaker participation structures.</w:t>
      </w:r>
    </w:p>
    <w:p w14:paraId="65146480" w14:textId="77777777" w:rsidR="00075530" w:rsidRPr="00B80F82" w:rsidRDefault="00075530" w:rsidP="00075530">
      <w:pPr>
        <w:spacing w:before="100" w:beforeAutospacing="1" w:after="100" w:afterAutospacing="1" w:line="240" w:lineRule="auto"/>
        <w:rPr>
          <w:rFonts w:ascii="Times New Roman" w:eastAsia="Times New Roman" w:hAnsi="Times New Roman" w:cs="Times New Roman"/>
          <w:sz w:val="24"/>
          <w:szCs w:val="24"/>
        </w:rPr>
      </w:pPr>
      <w:r w:rsidRPr="00B80F82">
        <w:rPr>
          <w:rFonts w:ascii="Times New Roman" w:eastAsia="Times New Roman" w:hAnsi="Times New Roman" w:cs="Times New Roman"/>
          <w:b/>
          <w:bCs/>
          <w:sz w:val="24"/>
          <w:szCs w:val="24"/>
        </w:rPr>
        <w:t xml:space="preserve">Social </w:t>
      </w:r>
      <w:proofErr w:type="spellStart"/>
      <w:proofErr w:type="gramStart"/>
      <w:r w:rsidRPr="00B80F82">
        <w:rPr>
          <w:rFonts w:ascii="Times New Roman" w:eastAsia="Times New Roman" w:hAnsi="Times New Roman" w:cs="Times New Roman"/>
          <w:b/>
          <w:bCs/>
          <w:sz w:val="24"/>
          <w:szCs w:val="24"/>
        </w:rPr>
        <w:t>Implication:</w:t>
      </w:r>
      <w:r w:rsidRPr="00B80F82">
        <w:rPr>
          <w:rFonts w:ascii="Times New Roman" w:eastAsia="Times New Roman" w:hAnsi="Times New Roman" w:cs="Times New Roman"/>
          <w:sz w:val="24"/>
          <w:szCs w:val="24"/>
        </w:rPr>
        <w:t>Improved</w:t>
      </w:r>
      <w:proofErr w:type="spellEnd"/>
      <w:proofErr w:type="gramEnd"/>
      <w:r w:rsidRPr="00B80F82">
        <w:rPr>
          <w:rFonts w:ascii="Times New Roman" w:eastAsia="Times New Roman" w:hAnsi="Times New Roman" w:cs="Times New Roman"/>
          <w:sz w:val="24"/>
          <w:szCs w:val="24"/>
        </w:rPr>
        <w:t xml:space="preserve"> CBFRM effectiveness has the potential to enhance community cohesion, promote environmental stewardship, and sustain forest-dependent livelihoods, thereby contributing to rural socio-economic resilience.</w:t>
      </w:r>
    </w:p>
    <w:p w14:paraId="08FCB7D3" w14:textId="77777777" w:rsidR="00075530" w:rsidRPr="00B80F82" w:rsidRDefault="00075530" w:rsidP="00075530">
      <w:pPr>
        <w:spacing w:before="100" w:beforeAutospacing="1" w:after="100" w:afterAutospacing="1" w:line="240" w:lineRule="auto"/>
        <w:jc w:val="both"/>
        <w:rPr>
          <w:rFonts w:ascii="Times New Roman" w:eastAsia="Times New Roman" w:hAnsi="Times New Roman" w:cs="Times New Roman"/>
          <w:b/>
          <w:bCs/>
          <w:sz w:val="24"/>
          <w:szCs w:val="24"/>
        </w:rPr>
      </w:pPr>
    </w:p>
    <w:p w14:paraId="6224BD51" w14:textId="77777777" w:rsidR="00916CE3" w:rsidRPr="00B80F82" w:rsidRDefault="00075530" w:rsidP="00EE15E0">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b/>
          <w:bCs/>
          <w:sz w:val="24"/>
          <w:szCs w:val="24"/>
        </w:rPr>
        <w:lastRenderedPageBreak/>
        <w:t>Originality/</w:t>
      </w:r>
      <w:proofErr w:type="spellStart"/>
      <w:proofErr w:type="gramStart"/>
      <w:r w:rsidRPr="00B80F82">
        <w:rPr>
          <w:rFonts w:ascii="Times New Roman" w:eastAsia="Times New Roman" w:hAnsi="Times New Roman" w:cs="Times New Roman"/>
          <w:b/>
          <w:bCs/>
          <w:sz w:val="24"/>
          <w:szCs w:val="24"/>
        </w:rPr>
        <w:t>Value:</w:t>
      </w:r>
      <w:r w:rsidRPr="00B80F82">
        <w:rPr>
          <w:rFonts w:ascii="Times New Roman" w:eastAsia="Times New Roman" w:hAnsi="Times New Roman" w:cs="Times New Roman"/>
          <w:sz w:val="24"/>
          <w:szCs w:val="24"/>
        </w:rPr>
        <w:t>This</w:t>
      </w:r>
      <w:proofErr w:type="spellEnd"/>
      <w:proofErr w:type="gramEnd"/>
      <w:r w:rsidRPr="00B80F82">
        <w:rPr>
          <w:rFonts w:ascii="Times New Roman" w:eastAsia="Times New Roman" w:hAnsi="Times New Roman" w:cs="Times New Roman"/>
          <w:sz w:val="24"/>
          <w:szCs w:val="24"/>
        </w:rPr>
        <w:t xml:space="preserve"> study contributes empirical evidence on how different community governance structures influence the effectiveness of CBFRM initiatives. It advances comparative understanding of forest governance systems and supports context-sensitive policymaking for sustainable natural resource management.</w:t>
      </w:r>
    </w:p>
    <w:p w14:paraId="367FB7F3" w14:textId="77777777" w:rsidR="00EE15E0" w:rsidRPr="00B80F82" w:rsidRDefault="00EE15E0" w:rsidP="00EE15E0">
      <w:pPr>
        <w:pStyle w:val="NormalWeb"/>
      </w:pPr>
      <w:r w:rsidRPr="00B80F82">
        <w:rPr>
          <w:b/>
        </w:rPr>
        <w:t>Keyword</w:t>
      </w:r>
      <w:r w:rsidRPr="00B80F82">
        <w:t xml:space="preserve"> :</w:t>
      </w:r>
      <w:r w:rsidRPr="00B80F82">
        <w:rPr>
          <w:rStyle w:val="Strong"/>
        </w:rPr>
        <w:t xml:space="preserve"> </w:t>
      </w:r>
      <w:r w:rsidRPr="00B80F82">
        <w:rPr>
          <w:rStyle w:val="Strong"/>
          <w:b w:val="0"/>
        </w:rPr>
        <w:t xml:space="preserve">Community-Based Forest Resource Management; Forest Governance; Comparative Study; </w:t>
      </w:r>
      <w:proofErr w:type="spellStart"/>
      <w:r w:rsidRPr="00B80F82">
        <w:rPr>
          <w:rStyle w:val="Strong"/>
          <w:b w:val="0"/>
        </w:rPr>
        <w:t>Oti</w:t>
      </w:r>
      <w:proofErr w:type="spellEnd"/>
      <w:r w:rsidRPr="00B80F82">
        <w:rPr>
          <w:rStyle w:val="Strong"/>
          <w:b w:val="0"/>
        </w:rPr>
        <w:t xml:space="preserve"> Region, Ghana; </w:t>
      </w:r>
      <w:proofErr w:type="spellStart"/>
      <w:r w:rsidRPr="00B80F82">
        <w:rPr>
          <w:rStyle w:val="Strong"/>
          <w:b w:val="0"/>
        </w:rPr>
        <w:t>Nchumuru</w:t>
      </w:r>
      <w:proofErr w:type="spellEnd"/>
      <w:r w:rsidRPr="00B80F82">
        <w:rPr>
          <w:rStyle w:val="Strong"/>
          <w:b w:val="0"/>
        </w:rPr>
        <w:t xml:space="preserve"> and Adele communities</w:t>
      </w:r>
    </w:p>
    <w:p w14:paraId="5CC0B1DA" w14:textId="77777777" w:rsidR="00916CE3" w:rsidRPr="00B80F82" w:rsidRDefault="00EE15E0">
      <w:pPr>
        <w:rPr>
          <w:rFonts w:ascii="Times New Roman" w:hAnsi="Times New Roman" w:cs="Times New Roman"/>
          <w:sz w:val="24"/>
          <w:szCs w:val="24"/>
        </w:rPr>
      </w:pPr>
      <w:r w:rsidRPr="00B80F82">
        <w:rPr>
          <w:rFonts w:ascii="Times New Roman" w:hAnsi="Times New Roman" w:cs="Times New Roman"/>
          <w:sz w:val="24"/>
          <w:szCs w:val="24"/>
        </w:rPr>
        <w:t xml:space="preserve"> </w:t>
      </w:r>
    </w:p>
    <w:p w14:paraId="6773EA75" w14:textId="77777777" w:rsidR="00916CE3" w:rsidRPr="00B80F82" w:rsidRDefault="00055A75" w:rsidP="00916CE3">
      <w:pPr>
        <w:pStyle w:val="NormalWeb"/>
        <w:jc w:val="both"/>
        <w:rPr>
          <w:b/>
        </w:rPr>
      </w:pPr>
      <w:r w:rsidRPr="00B80F82">
        <w:rPr>
          <w:b/>
        </w:rPr>
        <w:t xml:space="preserve">INTRODUCTION </w:t>
      </w:r>
    </w:p>
    <w:p w14:paraId="64F68AC7" w14:textId="77777777" w:rsidR="00916CE3" w:rsidRPr="00B80F82" w:rsidRDefault="00916CE3" w:rsidP="00916CE3">
      <w:pPr>
        <w:pStyle w:val="NormalWeb"/>
        <w:jc w:val="both"/>
      </w:pPr>
      <w:r w:rsidRPr="00B80F82">
        <w:t>Sustainable forest governance remains one of the most pressing environmental challenges confronting sub-Saharan Africa, where deforestation, biodiversity loss, and rural livelihood vulnerabilities coexist. For decades, centralized forest management regimes in many African countries proved insufficient to address both conservation and socio-economic objectives, prompting a global shift toward participatory, community-based systems. Community-Based Forest Resource Management (CBFRM) has therefore become an increasingly recognized approach for combining ecological stewardship with local empowerment, especially in rural settings where forests underpin food security, energy access, and cultural livelihoods.</w:t>
      </w:r>
    </w:p>
    <w:p w14:paraId="6136F34B" w14:textId="77777777" w:rsidR="00916CE3" w:rsidRPr="00B80F82" w:rsidRDefault="00916CE3" w:rsidP="00916CE3">
      <w:pPr>
        <w:pStyle w:val="NormalWeb"/>
        <w:jc w:val="both"/>
      </w:pPr>
      <w:r w:rsidRPr="00B80F82">
        <w:t>In Ghana, CBFRM evolved to decentralize forest governance and increase local ownership of restoration, monitoring, and enforcement duties. Despite the legal and policy frameworks that support such participatory regimes, the effectiveness of CBFRM remains uneven across different ecological and socio-cultural contexts. More than 80% of Ghana’s original forest cover has been lost, with recent losses accelerating due to agricultural expansion, charcoal production, illegal logging, and land-use change. The persistence of forest degradation despite decentralization raises critical questions about the contextual effectiveness of local management strategies.</w:t>
      </w:r>
    </w:p>
    <w:p w14:paraId="14207FE1" w14:textId="77777777" w:rsidR="00916CE3" w:rsidRPr="00B80F82" w:rsidRDefault="00916CE3" w:rsidP="00916CE3">
      <w:pPr>
        <w:pStyle w:val="NormalWeb"/>
        <w:jc w:val="both"/>
      </w:pPr>
      <w:r w:rsidRPr="00B80F82">
        <w:t xml:space="preserve">The </w:t>
      </w:r>
      <w:proofErr w:type="spellStart"/>
      <w:r w:rsidRPr="00B80F82">
        <w:t>Oti</w:t>
      </w:r>
      <w:proofErr w:type="spellEnd"/>
      <w:r w:rsidRPr="00B80F82">
        <w:t xml:space="preserve"> Region offers a particularly relevant context for evaluating community-driven forest governance. Located within the forest–savannah transition zone, the region provides essential ecosystem services but faces significant pressure from land conversion, weakening enforcement, and limited institutional support. Within this landscape, the </w:t>
      </w:r>
      <w:proofErr w:type="spellStart"/>
      <w:r w:rsidRPr="00B80F82">
        <w:t>Nchumuru</w:t>
      </w:r>
      <w:proofErr w:type="spellEnd"/>
      <w:r w:rsidRPr="00B80F82">
        <w:t xml:space="preserve"> and Adele communities both operate under CBFRM principles yet differ in governance structures, leadership arrangements, socio-cultural practices, and ecological pressures. Preliminary observations suggest that these contextual differences influence how community-based initiatives function, yielding varying degrees of effectiveness and sustainability.</w:t>
      </w:r>
    </w:p>
    <w:p w14:paraId="1FB76427" w14:textId="77777777" w:rsidR="00916CE3" w:rsidRPr="00B80F82" w:rsidRDefault="00916CE3" w:rsidP="00916CE3">
      <w:pPr>
        <w:pStyle w:val="NormalWeb"/>
        <w:jc w:val="both"/>
      </w:pPr>
    </w:p>
    <w:p w14:paraId="5989F60C" w14:textId="77777777" w:rsidR="00916CE3" w:rsidRPr="00B80F82" w:rsidRDefault="00916CE3" w:rsidP="00916CE3">
      <w:pPr>
        <w:pStyle w:val="NormalWeb"/>
        <w:jc w:val="both"/>
      </w:pPr>
      <w:r w:rsidRPr="00B80F82">
        <w:t xml:space="preserve">Comparative assessments of forest governance effectiveness are essential because they reveal how community heterogeneity shapes intervention outcomes. Previous studies in Ghana have provided rich descriptive insights into CBFRM practices, but most remain geographically isolated and rarely employ systematic comparison. Very few studies examine how communities operating under similar policy frameworks but with different institutional cultures achieve different ecological and </w:t>
      </w:r>
      <w:r w:rsidRPr="00B80F82">
        <w:lastRenderedPageBreak/>
        <w:t>social results. Consequently, there is a critical gap in understanding whether CBFRM effectiveness is determined more by policy or by local institutional realities.</w:t>
      </w:r>
    </w:p>
    <w:p w14:paraId="1CB107F3" w14:textId="77777777" w:rsidR="00916CE3" w:rsidRPr="00B80F82" w:rsidRDefault="00916CE3" w:rsidP="00916CE3">
      <w:pPr>
        <w:pStyle w:val="NormalWeb"/>
        <w:jc w:val="both"/>
      </w:pPr>
      <w:r w:rsidRPr="00B80F82">
        <w:t xml:space="preserve">This study therefore conducts a comparative assessment of the effectiveness of CBFRM initiatives in the </w:t>
      </w:r>
      <w:proofErr w:type="spellStart"/>
      <w:r w:rsidRPr="00B80F82">
        <w:t>Nchumuru</w:t>
      </w:r>
      <w:proofErr w:type="spellEnd"/>
      <w:r w:rsidRPr="00B80F82">
        <w:t xml:space="preserve"> and Adele communities of the </w:t>
      </w:r>
      <w:proofErr w:type="spellStart"/>
      <w:r w:rsidRPr="00B80F82">
        <w:t>Oti</w:t>
      </w:r>
      <w:proofErr w:type="spellEnd"/>
      <w:r w:rsidRPr="00B80F82">
        <w:t xml:space="preserve"> Region. Specifically, the analysis evaluates differences in perceived forest cover trends, governance participation, benefits derived from forest resources, and community perceptions of management performance. The comparative perspective enhances explanatory depth, revealing context-specific governance attributes that either strengthen or constrain sustainability.</w:t>
      </w:r>
    </w:p>
    <w:p w14:paraId="4E8AA3BB" w14:textId="77777777" w:rsidR="009D54EF" w:rsidRPr="00B80F82" w:rsidRDefault="00916CE3" w:rsidP="00916CE3">
      <w:pPr>
        <w:pStyle w:val="NormalWeb"/>
        <w:jc w:val="both"/>
      </w:pPr>
      <w:r w:rsidRPr="00B80F82">
        <w:t xml:space="preserve">The findings are expected to contribute to both scholarship and policy. Academically, the study enriches debates on how local institutional configurations influence the outcomes of decentralization reforms. Practically, it provides evidence to guide stakeholders in designing adaptive, community-sensitive interventions that improve the sustainability of forest resources within Ghana and in comparable regions of sub-Saharan Africa. </w:t>
      </w:r>
    </w:p>
    <w:p w14:paraId="37B82E73" w14:textId="77777777" w:rsidR="00811F49" w:rsidRPr="00B80F82" w:rsidRDefault="00811F49" w:rsidP="00916CE3">
      <w:pPr>
        <w:pStyle w:val="NormalWeb"/>
        <w:jc w:val="both"/>
      </w:pPr>
    </w:p>
    <w:p w14:paraId="2FDAD2BC" w14:textId="77777777" w:rsidR="00811F49" w:rsidRPr="00B80F82" w:rsidRDefault="00055A75" w:rsidP="00916CE3">
      <w:pPr>
        <w:pStyle w:val="NormalWeb"/>
        <w:jc w:val="both"/>
        <w:rPr>
          <w:b/>
        </w:rPr>
      </w:pPr>
      <w:r w:rsidRPr="00B80F82">
        <w:rPr>
          <w:b/>
        </w:rPr>
        <w:t xml:space="preserve">LITERATURE REVIEW </w:t>
      </w:r>
    </w:p>
    <w:p w14:paraId="78D351C8" w14:textId="77777777" w:rsidR="00811F49" w:rsidRPr="00B80F82" w:rsidRDefault="008127EC" w:rsidP="00811F49">
      <w:pPr>
        <w:spacing w:before="100" w:beforeAutospacing="1" w:after="100" w:afterAutospacing="1" w:line="240" w:lineRule="auto"/>
        <w:outlineLvl w:val="2"/>
        <w:rPr>
          <w:rFonts w:ascii="Times New Roman" w:eastAsia="Times New Roman" w:hAnsi="Times New Roman" w:cs="Times New Roman"/>
          <w:b/>
          <w:bCs/>
          <w:sz w:val="24"/>
          <w:szCs w:val="24"/>
        </w:rPr>
      </w:pPr>
      <w:r w:rsidRPr="00B80F82">
        <w:rPr>
          <w:rFonts w:ascii="Times New Roman" w:eastAsia="Times New Roman" w:hAnsi="Times New Roman" w:cs="Times New Roman"/>
          <w:b/>
          <w:bCs/>
          <w:sz w:val="24"/>
          <w:szCs w:val="24"/>
        </w:rPr>
        <w:t xml:space="preserve"> </w:t>
      </w:r>
      <w:r w:rsidR="00811F49" w:rsidRPr="00B80F82">
        <w:rPr>
          <w:rFonts w:ascii="Times New Roman" w:eastAsia="Times New Roman" w:hAnsi="Times New Roman" w:cs="Times New Roman"/>
          <w:b/>
          <w:bCs/>
          <w:sz w:val="24"/>
          <w:szCs w:val="24"/>
        </w:rPr>
        <w:t>Community-Based Forest Resource Management (CBFRM)</w:t>
      </w:r>
    </w:p>
    <w:p w14:paraId="5DF55D8A" w14:textId="77777777" w:rsidR="00811F49" w:rsidRPr="00B80F82" w:rsidRDefault="00811F49" w:rsidP="00811F49">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CBFRM evolved as a response to the failures of centralized forest governance, which historically </w:t>
      </w:r>
      <w:proofErr w:type="spellStart"/>
      <w:r w:rsidRPr="00B80F82">
        <w:rPr>
          <w:rFonts w:ascii="Times New Roman" w:eastAsia="Times New Roman" w:hAnsi="Times New Roman" w:cs="Times New Roman"/>
          <w:sz w:val="24"/>
          <w:szCs w:val="24"/>
        </w:rPr>
        <w:t>marginalised</w:t>
      </w:r>
      <w:proofErr w:type="spellEnd"/>
      <w:r w:rsidRPr="00B80F82">
        <w:rPr>
          <w:rFonts w:ascii="Times New Roman" w:eastAsia="Times New Roman" w:hAnsi="Times New Roman" w:cs="Times New Roman"/>
          <w:sz w:val="24"/>
          <w:szCs w:val="24"/>
        </w:rPr>
        <w:t xml:space="preserve"> forest-dependent communities. It emphasizes local participation, shared responsibility, and collaborative decision-making for sustainable resource use (Agrawal &amp; Gibson, 1999; Larsson et al., 2021). CBFRM assumes that communities living closest to forest resources possess localized ecological knowledge and incentives that </w:t>
      </w:r>
      <w:proofErr w:type="spellStart"/>
      <w:r w:rsidRPr="00B80F82">
        <w:rPr>
          <w:rFonts w:ascii="Times New Roman" w:eastAsia="Times New Roman" w:hAnsi="Times New Roman" w:cs="Times New Roman"/>
          <w:sz w:val="24"/>
          <w:szCs w:val="24"/>
        </w:rPr>
        <w:t>favour</w:t>
      </w:r>
      <w:proofErr w:type="spellEnd"/>
      <w:r w:rsidRPr="00B80F82">
        <w:rPr>
          <w:rFonts w:ascii="Times New Roman" w:eastAsia="Times New Roman" w:hAnsi="Times New Roman" w:cs="Times New Roman"/>
          <w:sz w:val="24"/>
          <w:szCs w:val="24"/>
        </w:rPr>
        <w:t xml:space="preserve"> long-term conservation (Ostrom, 1990). Empirical evidence from Asia, Africa, and Latin America demonstrates that CBFRM can enhance forest regeneration, improve compliance, and strengthen livelihood security when local rules and accountability structures are clear and functional (Arts et al., 2016; Larson &amp; </w:t>
      </w:r>
      <w:proofErr w:type="spellStart"/>
      <w:r w:rsidRPr="00B80F82">
        <w:rPr>
          <w:rFonts w:ascii="Times New Roman" w:eastAsia="Times New Roman" w:hAnsi="Times New Roman" w:cs="Times New Roman"/>
          <w:sz w:val="24"/>
          <w:szCs w:val="24"/>
        </w:rPr>
        <w:t>Dahal</w:t>
      </w:r>
      <w:proofErr w:type="spellEnd"/>
      <w:r w:rsidRPr="00B80F82">
        <w:rPr>
          <w:rFonts w:ascii="Times New Roman" w:eastAsia="Times New Roman" w:hAnsi="Times New Roman" w:cs="Times New Roman"/>
          <w:sz w:val="24"/>
          <w:szCs w:val="24"/>
        </w:rPr>
        <w:t>, 2020).</w:t>
      </w:r>
    </w:p>
    <w:p w14:paraId="291268F3" w14:textId="77777777" w:rsidR="00811F49" w:rsidRPr="00B80F82" w:rsidRDefault="00811F49" w:rsidP="00811F49">
      <w:pPr>
        <w:spacing w:before="100" w:beforeAutospacing="1" w:after="100" w:afterAutospacing="1" w:line="240" w:lineRule="auto"/>
        <w:outlineLvl w:val="2"/>
        <w:rPr>
          <w:rFonts w:ascii="Times New Roman" w:eastAsia="Times New Roman" w:hAnsi="Times New Roman" w:cs="Times New Roman"/>
          <w:b/>
          <w:bCs/>
          <w:sz w:val="24"/>
          <w:szCs w:val="24"/>
        </w:rPr>
      </w:pPr>
      <w:r w:rsidRPr="00B80F82">
        <w:rPr>
          <w:rFonts w:ascii="Times New Roman" w:eastAsia="Times New Roman" w:hAnsi="Times New Roman" w:cs="Times New Roman"/>
          <w:b/>
          <w:bCs/>
          <w:sz w:val="24"/>
          <w:szCs w:val="24"/>
        </w:rPr>
        <w:t>Global Perspectives on CBFRM Effectiveness</w:t>
      </w:r>
    </w:p>
    <w:p w14:paraId="425108BF" w14:textId="77777777" w:rsidR="00ED673C" w:rsidRDefault="00811F49" w:rsidP="00811F49">
      <w:pPr>
        <w:spacing w:before="100" w:beforeAutospacing="1" w:after="100" w:afterAutospacing="1" w:line="240" w:lineRule="auto"/>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Globally, CBFRM systems show promising but variable results. Positive ecological outcomes have been reported in Nepal, Bolivia and Mexico, where communities manage forests autonomously and receive clear benefits (</w:t>
      </w:r>
      <w:proofErr w:type="spellStart"/>
      <w:r w:rsidRPr="00B80F82">
        <w:rPr>
          <w:rFonts w:ascii="Times New Roman" w:eastAsia="Times New Roman" w:hAnsi="Times New Roman" w:cs="Times New Roman"/>
          <w:sz w:val="24"/>
          <w:szCs w:val="24"/>
        </w:rPr>
        <w:t>Pagdee</w:t>
      </w:r>
      <w:proofErr w:type="spellEnd"/>
      <w:r w:rsidRPr="00B80F82">
        <w:rPr>
          <w:rFonts w:ascii="Times New Roman" w:eastAsia="Times New Roman" w:hAnsi="Times New Roman" w:cs="Times New Roman"/>
          <w:sz w:val="24"/>
          <w:szCs w:val="24"/>
        </w:rPr>
        <w:t xml:space="preserve"> et al., 2006; Rana et al., 2022). However, weak </w:t>
      </w:r>
    </w:p>
    <w:p w14:paraId="39C95264" w14:textId="77777777" w:rsidR="00ED673C" w:rsidRDefault="00ED673C" w:rsidP="00811F49">
      <w:pPr>
        <w:spacing w:before="100" w:beforeAutospacing="1" w:after="100" w:afterAutospacing="1" w:line="240" w:lineRule="auto"/>
        <w:rPr>
          <w:rFonts w:ascii="Times New Roman" w:eastAsia="Times New Roman" w:hAnsi="Times New Roman" w:cs="Times New Roman"/>
          <w:sz w:val="24"/>
          <w:szCs w:val="24"/>
        </w:rPr>
      </w:pPr>
    </w:p>
    <w:p w14:paraId="7B6A9958" w14:textId="77777777" w:rsidR="00ED673C" w:rsidRDefault="00ED673C" w:rsidP="00811F49">
      <w:pPr>
        <w:spacing w:before="100" w:beforeAutospacing="1" w:after="100" w:afterAutospacing="1" w:line="240" w:lineRule="auto"/>
        <w:rPr>
          <w:rFonts w:ascii="Times New Roman" w:eastAsia="Times New Roman" w:hAnsi="Times New Roman" w:cs="Times New Roman"/>
          <w:sz w:val="24"/>
          <w:szCs w:val="24"/>
        </w:rPr>
      </w:pPr>
    </w:p>
    <w:p w14:paraId="4389CF10" w14:textId="77777777" w:rsidR="00811F49" w:rsidRPr="00B80F82" w:rsidRDefault="00811F49" w:rsidP="00811F49">
      <w:pPr>
        <w:spacing w:before="100" w:beforeAutospacing="1" w:after="100" w:afterAutospacing="1" w:line="240" w:lineRule="auto"/>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institutional support, limited monitoring resources and conflicting land-use pressures can hinder effectiveness, especially in rapidly transforming rural environments (</w:t>
      </w:r>
      <w:proofErr w:type="spellStart"/>
      <w:r w:rsidRPr="00B80F82">
        <w:rPr>
          <w:rFonts w:ascii="Times New Roman" w:eastAsia="Times New Roman" w:hAnsi="Times New Roman" w:cs="Times New Roman"/>
          <w:sz w:val="24"/>
          <w:szCs w:val="24"/>
        </w:rPr>
        <w:t>Sunderlin</w:t>
      </w:r>
      <w:proofErr w:type="spellEnd"/>
      <w:r w:rsidRPr="00B80F82">
        <w:rPr>
          <w:rFonts w:ascii="Times New Roman" w:eastAsia="Times New Roman" w:hAnsi="Times New Roman" w:cs="Times New Roman"/>
          <w:sz w:val="24"/>
          <w:szCs w:val="24"/>
        </w:rPr>
        <w:t xml:space="preserve"> et al., 2017). The </w:t>
      </w:r>
    </w:p>
    <w:p w14:paraId="18D969AA" w14:textId="77777777" w:rsidR="00811F49" w:rsidRPr="00B80F82" w:rsidRDefault="008127EC" w:rsidP="00811F49">
      <w:pPr>
        <w:spacing w:before="100" w:beforeAutospacing="1" w:after="100" w:afterAutospacing="1" w:line="240" w:lineRule="auto"/>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lastRenderedPageBreak/>
        <w:t>Literature</w:t>
      </w:r>
      <w:r w:rsidR="00811F49" w:rsidRPr="00B80F82">
        <w:rPr>
          <w:rFonts w:ascii="Times New Roman" w:eastAsia="Times New Roman" w:hAnsi="Times New Roman" w:cs="Times New Roman"/>
          <w:sz w:val="24"/>
          <w:szCs w:val="24"/>
        </w:rPr>
        <w:t xml:space="preserve"> concludes that CBFRM’s effectiveness is context-dependent and shaped by governance structures, socio-cultural norms and institutional incentives.</w:t>
      </w:r>
    </w:p>
    <w:p w14:paraId="67B751DB" w14:textId="77777777" w:rsidR="00811F49" w:rsidRPr="00B80F82" w:rsidRDefault="00811F49" w:rsidP="00811F49">
      <w:pPr>
        <w:spacing w:before="100" w:beforeAutospacing="1" w:after="100" w:afterAutospacing="1" w:line="240" w:lineRule="auto"/>
        <w:outlineLvl w:val="2"/>
        <w:rPr>
          <w:rFonts w:ascii="Times New Roman" w:eastAsia="Times New Roman" w:hAnsi="Times New Roman" w:cs="Times New Roman"/>
          <w:b/>
          <w:bCs/>
          <w:sz w:val="24"/>
          <w:szCs w:val="24"/>
        </w:rPr>
      </w:pPr>
      <w:r w:rsidRPr="00B80F82">
        <w:rPr>
          <w:rFonts w:ascii="Times New Roman" w:eastAsia="Times New Roman" w:hAnsi="Times New Roman" w:cs="Times New Roman"/>
          <w:b/>
          <w:bCs/>
          <w:sz w:val="24"/>
          <w:szCs w:val="24"/>
        </w:rPr>
        <w:t>CBFRM in Africa</w:t>
      </w:r>
    </w:p>
    <w:p w14:paraId="7ECC3A1D" w14:textId="77777777" w:rsidR="00811F49" w:rsidRPr="00B80F82" w:rsidRDefault="00811F49" w:rsidP="008127EC">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Across Africa, CBFRM has been implemented to improve forest governance and promote sustainable use. Countries such as Tanzania and Uganda show that community forestry can reduce deforestation and improve local welfare when user rights are legally recognized (</w:t>
      </w:r>
      <w:proofErr w:type="spellStart"/>
      <w:r w:rsidRPr="00B80F82">
        <w:rPr>
          <w:rFonts w:ascii="Times New Roman" w:eastAsia="Times New Roman" w:hAnsi="Times New Roman" w:cs="Times New Roman"/>
          <w:sz w:val="24"/>
          <w:szCs w:val="24"/>
        </w:rPr>
        <w:t>Blomley</w:t>
      </w:r>
      <w:proofErr w:type="spellEnd"/>
      <w:r w:rsidRPr="00B80F82">
        <w:rPr>
          <w:rFonts w:ascii="Times New Roman" w:eastAsia="Times New Roman" w:hAnsi="Times New Roman" w:cs="Times New Roman"/>
          <w:sz w:val="24"/>
          <w:szCs w:val="24"/>
        </w:rPr>
        <w:t xml:space="preserve"> &amp; </w:t>
      </w:r>
      <w:proofErr w:type="spellStart"/>
      <w:r w:rsidRPr="00B80F82">
        <w:rPr>
          <w:rFonts w:ascii="Times New Roman" w:eastAsia="Times New Roman" w:hAnsi="Times New Roman" w:cs="Times New Roman"/>
          <w:sz w:val="24"/>
          <w:szCs w:val="24"/>
        </w:rPr>
        <w:t>Ramadhani</w:t>
      </w:r>
      <w:proofErr w:type="spellEnd"/>
      <w:r w:rsidRPr="00B80F82">
        <w:rPr>
          <w:rFonts w:ascii="Times New Roman" w:eastAsia="Times New Roman" w:hAnsi="Times New Roman" w:cs="Times New Roman"/>
          <w:sz w:val="24"/>
          <w:szCs w:val="24"/>
        </w:rPr>
        <w:t>, 2019; Mugisha et al., 2016). However, issues such as weak rule enforcement, elite capture and unclear land tenure persist (</w:t>
      </w:r>
      <w:proofErr w:type="spellStart"/>
      <w:r w:rsidRPr="00B80F82">
        <w:rPr>
          <w:rFonts w:ascii="Times New Roman" w:eastAsia="Times New Roman" w:hAnsi="Times New Roman" w:cs="Times New Roman"/>
          <w:sz w:val="24"/>
          <w:szCs w:val="24"/>
        </w:rPr>
        <w:t>Ahebwa</w:t>
      </w:r>
      <w:proofErr w:type="spellEnd"/>
      <w:r w:rsidRPr="00B80F82">
        <w:rPr>
          <w:rFonts w:ascii="Times New Roman" w:eastAsia="Times New Roman" w:hAnsi="Times New Roman" w:cs="Times New Roman"/>
          <w:sz w:val="24"/>
          <w:szCs w:val="24"/>
        </w:rPr>
        <w:t xml:space="preserve"> et al., 2020). Participation effectiveness varies significantly between communities, highlighting the need for comparative evaluation.</w:t>
      </w:r>
    </w:p>
    <w:p w14:paraId="7BDE5887" w14:textId="77777777" w:rsidR="00811F49" w:rsidRPr="00B80F82" w:rsidRDefault="00811F49" w:rsidP="00811F49">
      <w:pPr>
        <w:spacing w:before="100" w:beforeAutospacing="1" w:after="100" w:afterAutospacing="1" w:line="240" w:lineRule="auto"/>
        <w:outlineLvl w:val="2"/>
        <w:rPr>
          <w:rFonts w:ascii="Times New Roman" w:eastAsia="Times New Roman" w:hAnsi="Times New Roman" w:cs="Times New Roman"/>
          <w:b/>
          <w:bCs/>
          <w:sz w:val="24"/>
          <w:szCs w:val="24"/>
        </w:rPr>
      </w:pPr>
      <w:r w:rsidRPr="00B80F82">
        <w:rPr>
          <w:rFonts w:ascii="Times New Roman" w:eastAsia="Times New Roman" w:hAnsi="Times New Roman" w:cs="Times New Roman"/>
          <w:b/>
          <w:bCs/>
          <w:sz w:val="24"/>
          <w:szCs w:val="24"/>
        </w:rPr>
        <w:t>CBFRM in Ghana</w:t>
      </w:r>
    </w:p>
    <w:p w14:paraId="1BF725C3" w14:textId="77777777" w:rsidR="00811F49" w:rsidRPr="00B80F82" w:rsidRDefault="00811F49" w:rsidP="00811F49">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In Ghana, CBFRM is practiced under varying arrangements, including Community Resource Management Areas (CREMAs). CREMA structures encourage communities to design local constitutions, by-laws and benefit-sharing rules (</w:t>
      </w:r>
      <w:proofErr w:type="spellStart"/>
      <w:r w:rsidRPr="00B80F82">
        <w:rPr>
          <w:rFonts w:ascii="Times New Roman" w:eastAsia="Times New Roman" w:hAnsi="Times New Roman" w:cs="Times New Roman"/>
          <w:sz w:val="24"/>
          <w:szCs w:val="24"/>
        </w:rPr>
        <w:t>Amanor</w:t>
      </w:r>
      <w:proofErr w:type="spellEnd"/>
      <w:r w:rsidRPr="00B80F82">
        <w:rPr>
          <w:rFonts w:ascii="Times New Roman" w:eastAsia="Times New Roman" w:hAnsi="Times New Roman" w:cs="Times New Roman"/>
          <w:sz w:val="24"/>
          <w:szCs w:val="24"/>
        </w:rPr>
        <w:t>, 2019). Studies in southern Ghana report improved forest cover and reduced illegal harvesting when communities actively enforce rules (</w:t>
      </w:r>
      <w:proofErr w:type="spellStart"/>
      <w:r w:rsidRPr="00B80F82">
        <w:rPr>
          <w:rFonts w:ascii="Times New Roman" w:eastAsia="Times New Roman" w:hAnsi="Times New Roman" w:cs="Times New Roman"/>
          <w:sz w:val="24"/>
          <w:szCs w:val="24"/>
        </w:rPr>
        <w:t>Marfo</w:t>
      </w:r>
      <w:proofErr w:type="spellEnd"/>
      <w:r w:rsidRPr="00B80F82">
        <w:rPr>
          <w:rFonts w:ascii="Times New Roman" w:eastAsia="Times New Roman" w:hAnsi="Times New Roman" w:cs="Times New Roman"/>
          <w:sz w:val="24"/>
          <w:szCs w:val="24"/>
        </w:rPr>
        <w:t xml:space="preserve"> et al., 2021). Conversely, weak institutional support, inadequate logistics for monitoring and</w:t>
      </w:r>
      <w:r w:rsidR="00ED673C">
        <w:rPr>
          <w:rFonts w:ascii="Times New Roman" w:eastAsia="Times New Roman" w:hAnsi="Times New Roman" w:cs="Times New Roman"/>
          <w:sz w:val="24"/>
          <w:szCs w:val="24"/>
        </w:rPr>
        <w:t xml:space="preserve"> overlapping traditional </w:t>
      </w:r>
      <w:r w:rsidRPr="00B80F82">
        <w:rPr>
          <w:rFonts w:ascii="Times New Roman" w:eastAsia="Times New Roman" w:hAnsi="Times New Roman" w:cs="Times New Roman"/>
          <w:sz w:val="24"/>
          <w:szCs w:val="24"/>
        </w:rPr>
        <w:t>statutory authority systems limit effectiveness in some areas (</w:t>
      </w:r>
      <w:proofErr w:type="spellStart"/>
      <w:r w:rsidRPr="00B80F82">
        <w:rPr>
          <w:rFonts w:ascii="Times New Roman" w:eastAsia="Times New Roman" w:hAnsi="Times New Roman" w:cs="Times New Roman"/>
          <w:sz w:val="24"/>
          <w:szCs w:val="24"/>
        </w:rPr>
        <w:t>Asare-Nussah</w:t>
      </w:r>
      <w:proofErr w:type="spellEnd"/>
      <w:r w:rsidRPr="00B80F82">
        <w:rPr>
          <w:rFonts w:ascii="Times New Roman" w:eastAsia="Times New Roman" w:hAnsi="Times New Roman" w:cs="Times New Roman"/>
          <w:sz w:val="24"/>
          <w:szCs w:val="24"/>
        </w:rPr>
        <w:t xml:space="preserve"> et al., 2022). Research in the northern savannah zone shows that cultural norms and leadership credibility strongly influence compliance and participation in CBFRM (Yahaya, 2016).</w:t>
      </w:r>
    </w:p>
    <w:p w14:paraId="737060E9" w14:textId="77777777" w:rsidR="00811F49" w:rsidRPr="00B80F82" w:rsidRDefault="00811F49" w:rsidP="00811F49">
      <w:pPr>
        <w:spacing w:before="100" w:beforeAutospacing="1" w:after="100" w:afterAutospacing="1" w:line="240" w:lineRule="auto"/>
        <w:outlineLvl w:val="2"/>
        <w:rPr>
          <w:rFonts w:ascii="Times New Roman" w:eastAsia="Times New Roman" w:hAnsi="Times New Roman" w:cs="Times New Roman"/>
          <w:b/>
          <w:bCs/>
          <w:sz w:val="24"/>
          <w:szCs w:val="24"/>
        </w:rPr>
      </w:pPr>
      <w:r w:rsidRPr="00B80F82">
        <w:rPr>
          <w:rFonts w:ascii="Times New Roman" w:eastAsia="Times New Roman" w:hAnsi="Times New Roman" w:cs="Times New Roman"/>
          <w:b/>
          <w:bCs/>
          <w:sz w:val="24"/>
          <w:szCs w:val="24"/>
        </w:rPr>
        <w:t>Participation, Benefits and Challenges</w:t>
      </w:r>
    </w:p>
    <w:p w14:paraId="3942B7E4" w14:textId="77777777" w:rsidR="00811F49" w:rsidRDefault="00811F49" w:rsidP="00811F49">
      <w:pPr>
        <w:spacing w:before="100" w:beforeAutospacing="1" w:after="100" w:afterAutospacing="1" w:line="240" w:lineRule="auto"/>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Participation is a critical dimension of CBFRM effectiveness. Communities are more likely to support conservation efforts when they benefit materially and socially (</w:t>
      </w:r>
      <w:proofErr w:type="spellStart"/>
      <w:r w:rsidRPr="00B80F82">
        <w:rPr>
          <w:rFonts w:ascii="Times New Roman" w:eastAsia="Times New Roman" w:hAnsi="Times New Roman" w:cs="Times New Roman"/>
          <w:sz w:val="24"/>
          <w:szCs w:val="24"/>
        </w:rPr>
        <w:t>Mahanty</w:t>
      </w:r>
      <w:proofErr w:type="spellEnd"/>
      <w:r w:rsidRPr="00B80F82">
        <w:rPr>
          <w:rFonts w:ascii="Times New Roman" w:eastAsia="Times New Roman" w:hAnsi="Times New Roman" w:cs="Times New Roman"/>
          <w:sz w:val="24"/>
          <w:szCs w:val="24"/>
        </w:rPr>
        <w:t xml:space="preserve"> &amp; Dressler, 2018). Benefits include fuelwood access, agroforestry products and strengthened community cohesion (Gyimah et al., 2019). However, uneven benefit distribution and lack of inclusive governance reduce participation, particularly among women and youth (Agrawal et al., 2021). Enforcement challenges, inadequate funding, land-use conflicts and external pressure from commercial actors further constrain outcomes (Mensah et al., 2023).</w:t>
      </w:r>
    </w:p>
    <w:p w14:paraId="4F95795F" w14:textId="77777777" w:rsidR="00ED673C" w:rsidRDefault="00ED673C" w:rsidP="00811F49">
      <w:pPr>
        <w:spacing w:before="100" w:beforeAutospacing="1" w:after="100" w:afterAutospacing="1" w:line="240" w:lineRule="auto"/>
        <w:rPr>
          <w:rFonts w:ascii="Times New Roman" w:eastAsia="Times New Roman" w:hAnsi="Times New Roman" w:cs="Times New Roman"/>
          <w:sz w:val="24"/>
          <w:szCs w:val="24"/>
        </w:rPr>
      </w:pPr>
    </w:p>
    <w:p w14:paraId="345E1FA8" w14:textId="77777777" w:rsidR="00ED673C" w:rsidRDefault="00ED673C" w:rsidP="00811F49">
      <w:pPr>
        <w:spacing w:before="100" w:beforeAutospacing="1" w:after="100" w:afterAutospacing="1" w:line="240" w:lineRule="auto"/>
        <w:rPr>
          <w:rFonts w:ascii="Times New Roman" w:eastAsia="Times New Roman" w:hAnsi="Times New Roman" w:cs="Times New Roman"/>
          <w:sz w:val="24"/>
          <w:szCs w:val="24"/>
        </w:rPr>
      </w:pPr>
    </w:p>
    <w:p w14:paraId="19F14A53" w14:textId="77777777" w:rsidR="00ED673C" w:rsidRDefault="00ED673C" w:rsidP="00811F49">
      <w:pPr>
        <w:spacing w:before="100" w:beforeAutospacing="1" w:after="100" w:afterAutospacing="1" w:line="240" w:lineRule="auto"/>
        <w:rPr>
          <w:rFonts w:ascii="Times New Roman" w:eastAsia="Times New Roman" w:hAnsi="Times New Roman" w:cs="Times New Roman"/>
          <w:sz w:val="24"/>
          <w:szCs w:val="24"/>
        </w:rPr>
      </w:pPr>
    </w:p>
    <w:p w14:paraId="58BD00E8" w14:textId="77777777" w:rsidR="00ED673C" w:rsidRDefault="00ED673C" w:rsidP="00811F49">
      <w:pPr>
        <w:spacing w:before="100" w:beforeAutospacing="1" w:after="100" w:afterAutospacing="1" w:line="240" w:lineRule="auto"/>
        <w:rPr>
          <w:rFonts w:ascii="Times New Roman" w:eastAsia="Times New Roman" w:hAnsi="Times New Roman" w:cs="Times New Roman"/>
          <w:sz w:val="24"/>
          <w:szCs w:val="24"/>
        </w:rPr>
      </w:pPr>
    </w:p>
    <w:p w14:paraId="65D8AB4E" w14:textId="77777777" w:rsidR="00ED673C" w:rsidRPr="00B80F82" w:rsidRDefault="00ED673C" w:rsidP="00811F49">
      <w:pPr>
        <w:spacing w:before="100" w:beforeAutospacing="1" w:after="100" w:afterAutospacing="1" w:line="240" w:lineRule="auto"/>
        <w:rPr>
          <w:rFonts w:ascii="Times New Roman" w:eastAsia="Times New Roman" w:hAnsi="Times New Roman" w:cs="Times New Roman"/>
          <w:sz w:val="24"/>
          <w:szCs w:val="24"/>
        </w:rPr>
      </w:pPr>
    </w:p>
    <w:p w14:paraId="4430C62C" w14:textId="77777777" w:rsidR="00811F49" w:rsidRPr="00B80F82" w:rsidRDefault="00811F49" w:rsidP="00811F49">
      <w:pPr>
        <w:spacing w:before="100" w:beforeAutospacing="1" w:after="100" w:afterAutospacing="1" w:line="240" w:lineRule="auto"/>
        <w:outlineLvl w:val="2"/>
        <w:rPr>
          <w:rFonts w:ascii="Times New Roman" w:eastAsia="Times New Roman" w:hAnsi="Times New Roman" w:cs="Times New Roman"/>
          <w:b/>
          <w:bCs/>
          <w:sz w:val="24"/>
          <w:szCs w:val="24"/>
        </w:rPr>
      </w:pPr>
      <w:r w:rsidRPr="00B80F82">
        <w:rPr>
          <w:rFonts w:ascii="Times New Roman" w:eastAsia="Times New Roman" w:hAnsi="Times New Roman" w:cs="Times New Roman"/>
          <w:b/>
          <w:bCs/>
          <w:sz w:val="24"/>
          <w:szCs w:val="24"/>
        </w:rPr>
        <w:t>Comparative Forest Governance and Theoretical Perspectives</w:t>
      </w:r>
    </w:p>
    <w:p w14:paraId="1E2F62F9" w14:textId="77777777" w:rsidR="00811F49" w:rsidRPr="00B80F82" w:rsidRDefault="00811F49" w:rsidP="00811F49">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lastRenderedPageBreak/>
        <w:t xml:space="preserve">Comparative studies reveal that differences in local leadership, cultural practices, accountability and institutional arrangements shape CBFRM outcomes even under similar policies (Larson &amp; </w:t>
      </w:r>
      <w:proofErr w:type="spellStart"/>
      <w:r w:rsidRPr="00B80F82">
        <w:rPr>
          <w:rFonts w:ascii="Times New Roman" w:eastAsia="Times New Roman" w:hAnsi="Times New Roman" w:cs="Times New Roman"/>
          <w:sz w:val="24"/>
          <w:szCs w:val="24"/>
        </w:rPr>
        <w:t>Dahal</w:t>
      </w:r>
      <w:proofErr w:type="spellEnd"/>
      <w:r w:rsidRPr="00B80F82">
        <w:rPr>
          <w:rFonts w:ascii="Times New Roman" w:eastAsia="Times New Roman" w:hAnsi="Times New Roman" w:cs="Times New Roman"/>
          <w:sz w:val="24"/>
          <w:szCs w:val="24"/>
        </w:rPr>
        <w:t xml:space="preserve">, 2020). </w:t>
      </w:r>
    </w:p>
    <w:p w14:paraId="1AF4ADE5" w14:textId="77777777" w:rsidR="00811F49" w:rsidRPr="00ED673C" w:rsidRDefault="00811F49" w:rsidP="00ED673C">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This supports the use of </w:t>
      </w:r>
      <w:r w:rsidRPr="00B80F82">
        <w:rPr>
          <w:rFonts w:ascii="Times New Roman" w:eastAsia="Times New Roman" w:hAnsi="Times New Roman" w:cs="Times New Roman"/>
          <w:bCs/>
          <w:sz w:val="24"/>
          <w:szCs w:val="24"/>
        </w:rPr>
        <w:t>Common Property Theory (CPT)</w:t>
      </w:r>
      <w:r w:rsidRPr="00B80F82">
        <w:rPr>
          <w:rFonts w:ascii="Times New Roman" w:eastAsia="Times New Roman" w:hAnsi="Times New Roman" w:cs="Times New Roman"/>
          <w:sz w:val="24"/>
          <w:szCs w:val="24"/>
        </w:rPr>
        <w:t xml:space="preserve"> and </w:t>
      </w:r>
      <w:r w:rsidRPr="00B80F82">
        <w:rPr>
          <w:rFonts w:ascii="Times New Roman" w:eastAsia="Times New Roman" w:hAnsi="Times New Roman" w:cs="Times New Roman"/>
          <w:bCs/>
          <w:sz w:val="24"/>
          <w:szCs w:val="24"/>
        </w:rPr>
        <w:t>Comparative Institutionalism Theory</w:t>
      </w:r>
      <w:r w:rsidRPr="00B80F82">
        <w:rPr>
          <w:rFonts w:ascii="Times New Roman" w:eastAsia="Times New Roman" w:hAnsi="Times New Roman" w:cs="Times New Roman"/>
          <w:sz w:val="24"/>
          <w:szCs w:val="24"/>
        </w:rPr>
        <w:t xml:space="preserve"> as analytical lenses. CPT explains how locally developed rules, social norms and sanctions can sustain collective forest management (Ostrom, 1990), while Comparative Institutionalism illustrates why governance outcomes differ depending on institutional context (North, 1991). These frameworks justify comparing the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Adele communities to understand variations in CBFRM effectiveness.</w:t>
      </w:r>
    </w:p>
    <w:p w14:paraId="37BFEFF3" w14:textId="77777777" w:rsidR="009D54EF" w:rsidRPr="00B80F82" w:rsidRDefault="009D54EF" w:rsidP="00916CE3">
      <w:pPr>
        <w:pStyle w:val="NormalWeb"/>
        <w:jc w:val="both"/>
        <w:rPr>
          <w:b/>
        </w:rPr>
      </w:pPr>
      <w:r w:rsidRPr="00B80F82">
        <w:rPr>
          <w:b/>
        </w:rPr>
        <w:t xml:space="preserve">THEORETICAL FOUNDATION OF THE RESEARCH  </w:t>
      </w:r>
    </w:p>
    <w:p w14:paraId="59651B3C" w14:textId="77777777" w:rsidR="00916CE3" w:rsidRDefault="009D54EF" w:rsidP="00916CE3">
      <w:pPr>
        <w:pStyle w:val="NormalWeb"/>
        <w:jc w:val="both"/>
      </w:pPr>
      <w:r w:rsidRPr="00B80F82">
        <w:rPr>
          <w:rStyle w:val="Strong"/>
          <w:b w:val="0"/>
        </w:rPr>
        <w:t>Common Property Theory (CPT)</w:t>
      </w:r>
      <w:r w:rsidRPr="00B80F82">
        <w:rPr>
          <w:b/>
        </w:rPr>
        <w:t xml:space="preserve"> </w:t>
      </w:r>
      <w:r w:rsidRPr="00B80F82">
        <w:t>and</w:t>
      </w:r>
      <w:r w:rsidRPr="00B80F82">
        <w:rPr>
          <w:b/>
        </w:rPr>
        <w:t xml:space="preserve"> </w:t>
      </w:r>
      <w:r w:rsidRPr="00B80F82">
        <w:rPr>
          <w:rStyle w:val="Strong"/>
          <w:b w:val="0"/>
        </w:rPr>
        <w:t>Comparative Institutionalism Theory</w:t>
      </w:r>
      <w:r w:rsidRPr="00B80F82">
        <w:rPr>
          <w:b/>
        </w:rPr>
        <w:t xml:space="preserve"> </w:t>
      </w:r>
      <w:r w:rsidRPr="00B80F82">
        <w:t xml:space="preserve">serve as the two primary theoretical lenses underpinning this study. The use of these theories enables a deeper understanding of how collective governance arrangements shape forest resource outcomes and how differing institutional configurations produce varying levels of effectiveness across communities. </w:t>
      </w:r>
    </w:p>
    <w:p w14:paraId="16D2C476" w14:textId="77777777" w:rsidR="00386A6C" w:rsidRDefault="00386A6C" w:rsidP="00916CE3">
      <w:pPr>
        <w:pStyle w:val="NormalWeb"/>
        <w:jc w:val="both"/>
      </w:pPr>
    </w:p>
    <w:p w14:paraId="2EC7996B" w14:textId="77777777" w:rsidR="00386A6C" w:rsidRPr="00BD36C9" w:rsidRDefault="00386A6C" w:rsidP="00386A6C">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Description of S</w:t>
      </w:r>
      <w:r w:rsidRPr="00BD36C9">
        <w:rPr>
          <w:rFonts w:ascii="Times New Roman" w:eastAsia="Times New Roman" w:hAnsi="Times New Roman" w:cs="Times New Roman"/>
          <w:b/>
          <w:bCs/>
          <w:sz w:val="24"/>
          <w:szCs w:val="24"/>
        </w:rPr>
        <w:t xml:space="preserve">tudy </w:t>
      </w:r>
      <w:r>
        <w:rPr>
          <w:rFonts w:ascii="Times New Roman" w:eastAsia="Times New Roman" w:hAnsi="Times New Roman" w:cs="Times New Roman"/>
          <w:b/>
          <w:bCs/>
          <w:sz w:val="24"/>
          <w:szCs w:val="24"/>
        </w:rPr>
        <w:t>A</w:t>
      </w:r>
      <w:r w:rsidRPr="00BD36C9">
        <w:rPr>
          <w:rFonts w:ascii="Times New Roman" w:eastAsia="Times New Roman" w:hAnsi="Times New Roman" w:cs="Times New Roman"/>
          <w:b/>
          <w:bCs/>
          <w:sz w:val="24"/>
          <w:szCs w:val="24"/>
        </w:rPr>
        <w:t>rea</w:t>
      </w:r>
    </w:p>
    <w:p w14:paraId="3A555A57" w14:textId="77777777" w:rsidR="00386A6C" w:rsidRPr="00396252" w:rsidRDefault="00386A6C" w:rsidP="00386A6C">
      <w:pPr>
        <w:pStyle w:val="NormalWeb"/>
        <w:spacing w:line="360" w:lineRule="auto"/>
        <w:jc w:val="both"/>
      </w:pPr>
      <w:r w:rsidRPr="00396252">
        <w:t xml:space="preserve">The study was conducted in the </w:t>
      </w:r>
      <w:proofErr w:type="spellStart"/>
      <w:r w:rsidRPr="00396252">
        <w:t>Oti</w:t>
      </w:r>
      <w:proofErr w:type="spellEnd"/>
      <w:r w:rsidRPr="00396252">
        <w:t xml:space="preserve"> Region of Ghana, focusing on two forest-dependent communities: the </w:t>
      </w:r>
      <w:proofErr w:type="spellStart"/>
      <w:r w:rsidRPr="00396252">
        <w:t>Nchumuru</w:t>
      </w:r>
      <w:proofErr w:type="spellEnd"/>
      <w:r w:rsidRPr="00396252">
        <w:t xml:space="preserve"> and Adele communities. These areas were selected based on their ecological similarities, shared exposure to national forest management policies, and distinct socio-institutional contexts, which make them suitable for a comparative analysis of Community-Based Forest Resource Management (CBFRM).</w:t>
      </w:r>
    </w:p>
    <w:p w14:paraId="7777857B" w14:textId="77777777" w:rsidR="00386A6C" w:rsidRPr="00396252" w:rsidRDefault="00386A6C" w:rsidP="00386A6C">
      <w:pPr>
        <w:spacing w:before="100" w:beforeAutospacing="1" w:after="100" w:afterAutospacing="1" w:line="360" w:lineRule="auto"/>
        <w:jc w:val="both"/>
        <w:rPr>
          <w:rFonts w:ascii="Times New Roman" w:eastAsia="Times New Roman" w:hAnsi="Times New Roman" w:cs="Times New Roman"/>
          <w:sz w:val="24"/>
          <w:szCs w:val="24"/>
        </w:rPr>
      </w:pPr>
      <w:r w:rsidRPr="00396252">
        <w:rPr>
          <w:rFonts w:ascii="Times New Roman" w:eastAsia="Times New Roman" w:hAnsi="Times New Roman" w:cs="Times New Roman"/>
          <w:sz w:val="24"/>
          <w:szCs w:val="24"/>
        </w:rPr>
        <w:t xml:space="preserve">The </w:t>
      </w:r>
      <w:proofErr w:type="spellStart"/>
      <w:r w:rsidRPr="00396252">
        <w:rPr>
          <w:rFonts w:ascii="Times New Roman" w:eastAsia="Times New Roman" w:hAnsi="Times New Roman" w:cs="Times New Roman"/>
          <w:sz w:val="24"/>
          <w:szCs w:val="24"/>
        </w:rPr>
        <w:t>Nchumuru</w:t>
      </w:r>
      <w:proofErr w:type="spellEnd"/>
      <w:r w:rsidRPr="00396252">
        <w:rPr>
          <w:rFonts w:ascii="Times New Roman" w:eastAsia="Times New Roman" w:hAnsi="Times New Roman" w:cs="Times New Roman"/>
          <w:sz w:val="24"/>
          <w:szCs w:val="24"/>
        </w:rPr>
        <w:t xml:space="preserve"> communities</w:t>
      </w:r>
      <w:r>
        <w:rPr>
          <w:rFonts w:ascii="Times New Roman" w:eastAsia="Times New Roman" w:hAnsi="Times New Roman" w:cs="Times New Roman"/>
          <w:sz w:val="24"/>
          <w:szCs w:val="24"/>
        </w:rPr>
        <w:t xml:space="preserve"> (Banda, </w:t>
      </w:r>
      <w:proofErr w:type="spellStart"/>
      <w:r>
        <w:rPr>
          <w:rFonts w:ascii="Times New Roman" w:eastAsia="Times New Roman" w:hAnsi="Times New Roman" w:cs="Times New Roman"/>
          <w:sz w:val="24"/>
          <w:szCs w:val="24"/>
        </w:rPr>
        <w:t>Borae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Anyabor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Chamba</w:t>
      </w:r>
      <w:proofErr w:type="spellEnd"/>
      <w:r>
        <w:rPr>
          <w:rFonts w:ascii="Times New Roman" w:eastAsia="Times New Roman" w:hAnsi="Times New Roman" w:cs="Times New Roman"/>
          <w:sz w:val="24"/>
          <w:szCs w:val="24"/>
        </w:rPr>
        <w:t>)</w:t>
      </w:r>
      <w:r w:rsidRPr="00396252">
        <w:rPr>
          <w:rFonts w:ascii="Times New Roman" w:eastAsia="Times New Roman" w:hAnsi="Times New Roman" w:cs="Times New Roman"/>
          <w:sz w:val="24"/>
          <w:szCs w:val="24"/>
        </w:rPr>
        <w:t xml:space="preserve"> are geographically situated across two administrative jurisdictions: </w:t>
      </w:r>
      <w:proofErr w:type="spellStart"/>
      <w:r w:rsidRPr="00396252">
        <w:rPr>
          <w:rFonts w:ascii="Times New Roman" w:eastAsia="Times New Roman" w:hAnsi="Times New Roman" w:cs="Times New Roman"/>
          <w:sz w:val="24"/>
          <w:szCs w:val="24"/>
        </w:rPr>
        <w:t>Krachi</w:t>
      </w:r>
      <w:proofErr w:type="spellEnd"/>
      <w:r w:rsidRPr="00396252">
        <w:rPr>
          <w:rFonts w:ascii="Times New Roman" w:eastAsia="Times New Roman" w:hAnsi="Times New Roman" w:cs="Times New Roman"/>
          <w:sz w:val="24"/>
          <w:szCs w:val="24"/>
        </w:rPr>
        <w:t xml:space="preserve"> </w:t>
      </w:r>
      <w:proofErr w:type="spellStart"/>
      <w:r w:rsidRPr="00396252">
        <w:rPr>
          <w:rFonts w:ascii="Times New Roman" w:eastAsia="Times New Roman" w:hAnsi="Times New Roman" w:cs="Times New Roman"/>
          <w:sz w:val="24"/>
          <w:szCs w:val="24"/>
        </w:rPr>
        <w:t>Nchumuru</w:t>
      </w:r>
      <w:proofErr w:type="spellEnd"/>
      <w:r w:rsidRPr="00396252">
        <w:rPr>
          <w:rFonts w:ascii="Times New Roman" w:eastAsia="Times New Roman" w:hAnsi="Times New Roman" w:cs="Times New Roman"/>
          <w:sz w:val="24"/>
          <w:szCs w:val="24"/>
        </w:rPr>
        <w:t xml:space="preserve"> District and </w:t>
      </w:r>
      <w:proofErr w:type="spellStart"/>
      <w:r w:rsidRPr="00396252">
        <w:rPr>
          <w:rFonts w:ascii="Times New Roman" w:eastAsia="Times New Roman" w:hAnsi="Times New Roman" w:cs="Times New Roman"/>
          <w:sz w:val="24"/>
          <w:szCs w:val="24"/>
        </w:rPr>
        <w:t>Krachi</w:t>
      </w:r>
      <w:proofErr w:type="spellEnd"/>
      <w:r w:rsidRPr="00396252">
        <w:rPr>
          <w:rFonts w:ascii="Times New Roman" w:eastAsia="Times New Roman" w:hAnsi="Times New Roman" w:cs="Times New Roman"/>
          <w:sz w:val="24"/>
          <w:szCs w:val="24"/>
        </w:rPr>
        <w:t xml:space="preserve"> East Municipality. </w:t>
      </w:r>
      <w:proofErr w:type="spellStart"/>
      <w:r w:rsidRPr="00396252">
        <w:rPr>
          <w:rFonts w:ascii="Times New Roman" w:eastAsia="Times New Roman" w:hAnsi="Times New Roman" w:cs="Times New Roman"/>
          <w:sz w:val="24"/>
          <w:szCs w:val="24"/>
        </w:rPr>
        <w:t>Krachi</w:t>
      </w:r>
      <w:proofErr w:type="spellEnd"/>
      <w:r w:rsidRPr="00396252">
        <w:rPr>
          <w:rFonts w:ascii="Times New Roman" w:eastAsia="Times New Roman" w:hAnsi="Times New Roman" w:cs="Times New Roman"/>
          <w:sz w:val="24"/>
          <w:szCs w:val="24"/>
        </w:rPr>
        <w:t xml:space="preserve"> </w:t>
      </w:r>
      <w:proofErr w:type="spellStart"/>
      <w:r w:rsidRPr="00396252">
        <w:rPr>
          <w:rFonts w:ascii="Times New Roman" w:eastAsia="Times New Roman" w:hAnsi="Times New Roman" w:cs="Times New Roman"/>
          <w:sz w:val="24"/>
          <w:szCs w:val="24"/>
        </w:rPr>
        <w:t>Nchumuru</w:t>
      </w:r>
      <w:proofErr w:type="spellEnd"/>
      <w:r w:rsidRPr="00396252">
        <w:rPr>
          <w:rFonts w:ascii="Times New Roman" w:eastAsia="Times New Roman" w:hAnsi="Times New Roman" w:cs="Times New Roman"/>
          <w:sz w:val="24"/>
          <w:szCs w:val="24"/>
        </w:rPr>
        <w:t xml:space="preserve"> spans an estimated 2,393 square kilometers, while </w:t>
      </w:r>
      <w:proofErr w:type="spellStart"/>
      <w:r w:rsidRPr="00396252">
        <w:rPr>
          <w:rFonts w:ascii="Times New Roman" w:eastAsia="Times New Roman" w:hAnsi="Times New Roman" w:cs="Times New Roman"/>
          <w:sz w:val="24"/>
          <w:szCs w:val="24"/>
        </w:rPr>
        <w:t>Krachi</w:t>
      </w:r>
      <w:proofErr w:type="spellEnd"/>
      <w:r w:rsidRPr="00396252">
        <w:rPr>
          <w:rFonts w:ascii="Times New Roman" w:eastAsia="Times New Roman" w:hAnsi="Times New Roman" w:cs="Times New Roman"/>
          <w:sz w:val="24"/>
          <w:szCs w:val="24"/>
        </w:rPr>
        <w:t xml:space="preserve"> East covers approximately 4,402 square kilometers, making it one of the largest municipalities in the </w:t>
      </w:r>
      <w:proofErr w:type="spellStart"/>
      <w:r w:rsidRPr="00396252">
        <w:rPr>
          <w:rFonts w:ascii="Times New Roman" w:eastAsia="Times New Roman" w:hAnsi="Times New Roman" w:cs="Times New Roman"/>
          <w:sz w:val="24"/>
          <w:szCs w:val="24"/>
        </w:rPr>
        <w:t>Oti</w:t>
      </w:r>
      <w:proofErr w:type="spellEnd"/>
      <w:r w:rsidRPr="00396252">
        <w:rPr>
          <w:rFonts w:ascii="Times New Roman" w:eastAsia="Times New Roman" w:hAnsi="Times New Roman" w:cs="Times New Roman"/>
          <w:sz w:val="24"/>
          <w:szCs w:val="24"/>
        </w:rPr>
        <w:t xml:space="preserve"> Region. These areas are predominantly rural, and agriculture is the principal livelihood activity. The presence of the Volta Lake along the western and southern boundaries further supports fishing and irrigation farming. The terrain is largely flat and conducive for staple crops such as yam and maize. According to the Ghana Statistical Service (2021), more than 80% of households in this region rely on agriculture as their primary source of income.</w:t>
      </w:r>
    </w:p>
    <w:p w14:paraId="3F48C3A2" w14:textId="77777777" w:rsidR="00386A6C" w:rsidRDefault="00386A6C" w:rsidP="00386A6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Adele communities (Ofosu, </w:t>
      </w:r>
      <w:proofErr w:type="spellStart"/>
      <w:r>
        <w:rPr>
          <w:rFonts w:ascii="Times New Roman" w:eastAsia="Times New Roman" w:hAnsi="Times New Roman" w:cs="Times New Roman"/>
          <w:sz w:val="24"/>
          <w:szCs w:val="24"/>
        </w:rPr>
        <w:t>Totokpene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Kachebi</w:t>
      </w:r>
      <w:proofErr w:type="spellEnd"/>
      <w:r>
        <w:rPr>
          <w:rFonts w:ascii="Times New Roman" w:eastAsia="Times New Roman" w:hAnsi="Times New Roman" w:cs="Times New Roman"/>
          <w:sz w:val="24"/>
          <w:szCs w:val="24"/>
        </w:rPr>
        <w:t>)</w:t>
      </w:r>
      <w:r w:rsidRPr="00396252">
        <w:rPr>
          <w:rFonts w:ascii="Times New Roman" w:eastAsia="Times New Roman" w:hAnsi="Times New Roman" w:cs="Times New Roman"/>
          <w:sz w:val="24"/>
          <w:szCs w:val="24"/>
        </w:rPr>
        <w:t xml:space="preserve"> are located in Nkwanta South Municipality, which occupies about 2,706 square kilometers. It is bordered to the south by the Volta Region and to the west by </w:t>
      </w:r>
      <w:proofErr w:type="spellStart"/>
      <w:r w:rsidRPr="00396252">
        <w:rPr>
          <w:rFonts w:ascii="Times New Roman" w:eastAsia="Times New Roman" w:hAnsi="Times New Roman" w:cs="Times New Roman"/>
          <w:sz w:val="24"/>
          <w:szCs w:val="24"/>
        </w:rPr>
        <w:t>Krachi</w:t>
      </w:r>
      <w:proofErr w:type="spellEnd"/>
      <w:r w:rsidRPr="00396252">
        <w:rPr>
          <w:rFonts w:ascii="Times New Roman" w:eastAsia="Times New Roman" w:hAnsi="Times New Roman" w:cs="Times New Roman"/>
          <w:sz w:val="24"/>
          <w:szCs w:val="24"/>
        </w:rPr>
        <w:t xml:space="preserve"> East. The municipality is characterized by a mix of savannah and semi-deciduous forest, hilly terrain, and dispersed rural settlements. Agriculture also dominates local livelihoods, with a focus on crops such as yam, cassava, and maize.</w:t>
      </w:r>
      <w:r>
        <w:rPr>
          <w:rFonts w:ascii="Times New Roman" w:eastAsia="Times New Roman" w:hAnsi="Times New Roman" w:cs="Times New Roman"/>
          <w:sz w:val="24"/>
          <w:szCs w:val="24"/>
        </w:rPr>
        <w:t xml:space="preserve"> </w:t>
      </w:r>
      <w:r w:rsidRPr="00BD36C9">
        <w:rPr>
          <w:rFonts w:ascii="Times New Roman" w:eastAsia="Times New Roman" w:hAnsi="Times New Roman" w:cs="Times New Roman"/>
          <w:sz w:val="24"/>
          <w:szCs w:val="24"/>
        </w:rPr>
        <w:t>The two communities were purposively selected due to their ecological similarity, shared location within the forest–savannah transition zone, and long-standing dependence on forest resources.</w:t>
      </w:r>
      <w:r>
        <w:rPr>
          <w:rFonts w:ascii="Times New Roman" w:eastAsia="Times New Roman" w:hAnsi="Times New Roman" w:cs="Times New Roman"/>
          <w:sz w:val="24"/>
          <w:szCs w:val="24"/>
        </w:rPr>
        <w:t xml:space="preserve"> </w:t>
      </w:r>
      <w:r w:rsidRPr="00396252">
        <w:rPr>
          <w:rFonts w:ascii="Times New Roman" w:eastAsia="Times New Roman" w:hAnsi="Times New Roman" w:cs="Times New Roman"/>
          <w:sz w:val="24"/>
          <w:szCs w:val="24"/>
        </w:rPr>
        <w:t xml:space="preserve">Despite being under the same national forest policy regime and situated within the same ecological zone, the </w:t>
      </w:r>
      <w:proofErr w:type="spellStart"/>
      <w:r w:rsidRPr="00396252">
        <w:rPr>
          <w:rFonts w:ascii="Times New Roman" w:eastAsia="Times New Roman" w:hAnsi="Times New Roman" w:cs="Times New Roman"/>
          <w:sz w:val="24"/>
          <w:szCs w:val="24"/>
        </w:rPr>
        <w:t>Nchumuru</w:t>
      </w:r>
      <w:proofErr w:type="spellEnd"/>
      <w:r w:rsidRPr="00396252">
        <w:rPr>
          <w:rFonts w:ascii="Times New Roman" w:eastAsia="Times New Roman" w:hAnsi="Times New Roman" w:cs="Times New Roman"/>
          <w:sz w:val="24"/>
          <w:szCs w:val="24"/>
        </w:rPr>
        <w:t xml:space="preserve"> and Adele communities exhibit markedly different forest governance outcomes. The </w:t>
      </w:r>
      <w:proofErr w:type="spellStart"/>
      <w:r w:rsidRPr="00396252">
        <w:rPr>
          <w:rFonts w:ascii="Times New Roman" w:eastAsia="Times New Roman" w:hAnsi="Times New Roman" w:cs="Times New Roman"/>
          <w:sz w:val="24"/>
          <w:szCs w:val="24"/>
        </w:rPr>
        <w:t>Nchumuru</w:t>
      </w:r>
      <w:proofErr w:type="spellEnd"/>
      <w:r w:rsidRPr="00396252">
        <w:rPr>
          <w:rFonts w:ascii="Times New Roman" w:eastAsia="Times New Roman" w:hAnsi="Times New Roman" w:cs="Times New Roman"/>
          <w:sz w:val="24"/>
          <w:szCs w:val="24"/>
        </w:rPr>
        <w:t xml:space="preserve"> area demonstrates relative success in preserving forest cover, while the Adele community faces severe environmental degradation. These distinctions are rooted in differences in traditional leadership structures, community cohesion, institutional support, and external partnerships.</w:t>
      </w:r>
      <w:r>
        <w:rPr>
          <w:rFonts w:ascii="Times New Roman" w:eastAsia="Times New Roman" w:hAnsi="Times New Roman" w:cs="Times New Roman"/>
          <w:sz w:val="24"/>
          <w:szCs w:val="24"/>
        </w:rPr>
        <w:t xml:space="preserve">  </w:t>
      </w:r>
    </w:p>
    <w:p w14:paraId="6585F2BE" w14:textId="77777777" w:rsidR="00386A6C" w:rsidRDefault="00386A6C" w:rsidP="00386A6C">
      <w:pPr>
        <w:spacing w:after="0" w:line="360" w:lineRule="auto"/>
        <w:jc w:val="both"/>
        <w:rPr>
          <w:rFonts w:ascii="Times New Roman" w:eastAsia="Times New Roman" w:hAnsi="Times New Roman" w:cs="Times New Roman"/>
          <w:sz w:val="24"/>
          <w:szCs w:val="24"/>
        </w:rPr>
      </w:pPr>
    </w:p>
    <w:p w14:paraId="5EBE5B82" w14:textId="77777777" w:rsidR="00386A6C" w:rsidRPr="00386A6C" w:rsidRDefault="00386A6C" w:rsidP="00386A6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shows the map of the study areas</w:t>
      </w:r>
    </w:p>
    <w:p w14:paraId="47C96710" w14:textId="77777777" w:rsidR="00386A6C" w:rsidRDefault="00386A6C" w:rsidP="00916CE3">
      <w:pPr>
        <w:pStyle w:val="NormalWeb"/>
        <w:jc w:val="both"/>
      </w:pPr>
      <w:r>
        <w:rPr>
          <w:noProof/>
        </w:rPr>
        <w:drawing>
          <wp:inline distT="0" distB="0" distL="0" distR="0" wp14:anchorId="0A078F99" wp14:editId="5F1CA930">
            <wp:extent cx="6191250" cy="4037827"/>
            <wp:effectExtent l="0" t="0" r="0" b="1270"/>
            <wp:docPr id="558799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3026" cy="4052029"/>
                    </a:xfrm>
                    <a:prstGeom prst="rect">
                      <a:avLst/>
                    </a:prstGeom>
                    <a:noFill/>
                  </pic:spPr>
                </pic:pic>
              </a:graphicData>
            </a:graphic>
          </wp:inline>
        </w:drawing>
      </w:r>
    </w:p>
    <w:p w14:paraId="1483ACAD" w14:textId="77777777" w:rsidR="00386A6C" w:rsidRPr="00396252" w:rsidRDefault="00386A6C" w:rsidP="00386A6C">
      <w:pPr>
        <w:pStyle w:val="Caption"/>
        <w:rPr>
          <w:rFonts w:eastAsia="Calibri"/>
          <w:b w:val="0"/>
          <w:bCs w:val="0"/>
          <w:shd w:val="clear" w:color="auto" w:fill="FFFFFF"/>
        </w:rPr>
      </w:pPr>
      <w:bookmarkStart w:id="0" w:name="_Toc206959598"/>
      <w:r>
        <w:lastRenderedPageBreak/>
        <w:t xml:space="preserve">Figure </w:t>
      </w:r>
      <w:fldSimple w:instr=" SEQ Figure_3. \* ARABIC ">
        <w:r>
          <w:rPr>
            <w:noProof/>
          </w:rPr>
          <w:t>1</w:t>
        </w:r>
      </w:fldSimple>
      <w:r w:rsidRPr="00396252">
        <w:t xml:space="preserve">: </w:t>
      </w:r>
      <w:r w:rsidRPr="00396252">
        <w:rPr>
          <w:rFonts w:eastAsia="Calibri"/>
          <w:shd w:val="clear" w:color="auto" w:fill="FFFFFF"/>
        </w:rPr>
        <w:t xml:space="preserve">Map of </w:t>
      </w:r>
      <w:proofErr w:type="spellStart"/>
      <w:r w:rsidRPr="00396252">
        <w:rPr>
          <w:rFonts w:eastAsia="Calibri"/>
          <w:shd w:val="clear" w:color="auto" w:fill="FFFFFF"/>
        </w:rPr>
        <w:t>Oti</w:t>
      </w:r>
      <w:proofErr w:type="spellEnd"/>
      <w:r w:rsidRPr="00396252">
        <w:rPr>
          <w:rFonts w:eastAsia="Calibri"/>
          <w:shd w:val="clear" w:color="auto" w:fill="FFFFFF"/>
        </w:rPr>
        <w:t xml:space="preserve"> Region with Selected Municipalities Showing the Study Communities</w:t>
      </w:r>
      <w:bookmarkEnd w:id="0"/>
    </w:p>
    <w:p w14:paraId="1A8436DA" w14:textId="77777777" w:rsidR="00386A6C" w:rsidRPr="00EC5C25" w:rsidRDefault="00386A6C" w:rsidP="00386A6C">
      <w:pPr>
        <w:spacing w:before="240" w:after="240" w:line="360" w:lineRule="auto"/>
        <w:jc w:val="both"/>
        <w:rPr>
          <w:rFonts w:ascii="Times New Roman" w:eastAsia="Calibri" w:hAnsi="Times New Roman" w:cs="Times New Roman"/>
          <w:b/>
          <w:bCs/>
          <w:sz w:val="24"/>
          <w:szCs w:val="24"/>
          <w:shd w:val="clear" w:color="auto" w:fill="FFFFFF"/>
        </w:rPr>
      </w:pPr>
      <w:r w:rsidRPr="00396252">
        <w:rPr>
          <w:rFonts w:ascii="Times New Roman" w:eastAsia="Calibri" w:hAnsi="Times New Roman" w:cs="Times New Roman"/>
          <w:b/>
          <w:bCs/>
          <w:sz w:val="24"/>
          <w:szCs w:val="24"/>
          <w:shd w:val="clear" w:color="auto" w:fill="FFFFFF"/>
        </w:rPr>
        <w:t>Source: Author’s Construct, 202</w:t>
      </w:r>
      <w:r>
        <w:rPr>
          <w:rFonts w:ascii="Times New Roman" w:eastAsia="Calibri" w:hAnsi="Times New Roman" w:cs="Times New Roman"/>
          <w:b/>
          <w:bCs/>
          <w:sz w:val="24"/>
          <w:szCs w:val="24"/>
          <w:shd w:val="clear" w:color="auto" w:fill="FFFFFF"/>
        </w:rPr>
        <w:t>6</w:t>
      </w:r>
    </w:p>
    <w:p w14:paraId="5D39000B" w14:textId="77777777" w:rsidR="00386A6C" w:rsidRDefault="00386A6C" w:rsidP="00916CE3">
      <w:pPr>
        <w:pStyle w:val="NormalWeb"/>
        <w:jc w:val="both"/>
      </w:pPr>
      <w:r>
        <w:t xml:space="preserve"> </w:t>
      </w:r>
    </w:p>
    <w:p w14:paraId="6EC37E56" w14:textId="77777777" w:rsidR="00386A6C" w:rsidRDefault="00386A6C" w:rsidP="00916CE3">
      <w:pPr>
        <w:pStyle w:val="NormalWeb"/>
        <w:jc w:val="both"/>
      </w:pPr>
    </w:p>
    <w:p w14:paraId="5CD28900" w14:textId="77777777" w:rsidR="00386A6C" w:rsidRDefault="00386A6C" w:rsidP="00916CE3">
      <w:pPr>
        <w:pStyle w:val="NormalWeb"/>
        <w:jc w:val="both"/>
      </w:pPr>
    </w:p>
    <w:p w14:paraId="13DEA43D" w14:textId="77777777" w:rsidR="00386A6C" w:rsidRDefault="00386A6C" w:rsidP="00916CE3">
      <w:pPr>
        <w:pStyle w:val="NormalWeb"/>
        <w:jc w:val="both"/>
      </w:pPr>
    </w:p>
    <w:p w14:paraId="5F4F6677" w14:textId="77777777" w:rsidR="00386A6C" w:rsidRDefault="00386A6C" w:rsidP="00916CE3">
      <w:pPr>
        <w:pStyle w:val="NormalWeb"/>
        <w:jc w:val="both"/>
      </w:pPr>
    </w:p>
    <w:p w14:paraId="041AC6D0" w14:textId="77777777" w:rsidR="00386A6C" w:rsidRDefault="00386A6C" w:rsidP="00916CE3">
      <w:pPr>
        <w:pStyle w:val="NormalWeb"/>
        <w:jc w:val="both"/>
      </w:pPr>
    </w:p>
    <w:p w14:paraId="1249DC67" w14:textId="77777777" w:rsidR="00386A6C" w:rsidRDefault="00386A6C" w:rsidP="00916CE3">
      <w:pPr>
        <w:pStyle w:val="NormalWeb"/>
        <w:jc w:val="both"/>
      </w:pPr>
    </w:p>
    <w:p w14:paraId="36990FCB" w14:textId="77777777" w:rsidR="00386A6C" w:rsidRDefault="00386A6C" w:rsidP="00916CE3">
      <w:pPr>
        <w:pStyle w:val="NormalWeb"/>
        <w:jc w:val="both"/>
      </w:pPr>
    </w:p>
    <w:p w14:paraId="28FFB750" w14:textId="77777777" w:rsidR="00386A6C" w:rsidRDefault="00386A6C" w:rsidP="00916CE3">
      <w:pPr>
        <w:pStyle w:val="NormalWeb"/>
        <w:jc w:val="both"/>
      </w:pPr>
    </w:p>
    <w:p w14:paraId="7528465C" w14:textId="77777777" w:rsidR="00386A6C" w:rsidRDefault="00386A6C" w:rsidP="00916CE3">
      <w:pPr>
        <w:pStyle w:val="NormalWeb"/>
        <w:jc w:val="both"/>
      </w:pPr>
    </w:p>
    <w:p w14:paraId="25203082" w14:textId="77777777" w:rsidR="00386A6C" w:rsidRDefault="00386A6C" w:rsidP="00916CE3">
      <w:pPr>
        <w:pStyle w:val="NormalWeb"/>
        <w:jc w:val="both"/>
      </w:pPr>
    </w:p>
    <w:p w14:paraId="5EF1B315" w14:textId="77777777" w:rsidR="00386A6C" w:rsidRPr="00B80F82" w:rsidRDefault="00386A6C" w:rsidP="00916CE3">
      <w:pPr>
        <w:pStyle w:val="NormalWeb"/>
        <w:jc w:val="both"/>
      </w:pPr>
    </w:p>
    <w:p w14:paraId="79700DE2" w14:textId="77777777" w:rsidR="00EB69E5" w:rsidRPr="00B80F82" w:rsidRDefault="00B7447E" w:rsidP="00EB69E5">
      <w:pPr>
        <w:rPr>
          <w:rFonts w:ascii="Times New Roman" w:eastAsia="Times New Roman" w:hAnsi="Times New Roman" w:cs="Times New Roman"/>
          <w:b/>
          <w:bCs/>
          <w:kern w:val="36"/>
          <w:sz w:val="24"/>
          <w:szCs w:val="24"/>
        </w:rPr>
      </w:pPr>
      <w:r w:rsidRPr="00B80F82">
        <w:rPr>
          <w:rFonts w:ascii="Times New Roman" w:eastAsia="Times New Roman" w:hAnsi="Times New Roman" w:cs="Times New Roman"/>
          <w:b/>
          <w:bCs/>
          <w:kern w:val="36"/>
          <w:sz w:val="24"/>
          <w:szCs w:val="24"/>
        </w:rPr>
        <w:t xml:space="preserve">RESEARCH METHODOLOGY </w:t>
      </w:r>
    </w:p>
    <w:p w14:paraId="5AD18E76" w14:textId="77777777" w:rsidR="00AA42A3" w:rsidRPr="00B80F82" w:rsidRDefault="00AA42A3" w:rsidP="00AA42A3">
      <w:pPr>
        <w:pStyle w:val="NormalWeb"/>
        <w:jc w:val="both"/>
      </w:pPr>
      <w:r w:rsidRPr="00B80F82">
        <w:t xml:space="preserve">This study adopted a </w:t>
      </w:r>
      <w:r w:rsidRPr="00B80F82">
        <w:rPr>
          <w:rStyle w:val="Strong"/>
          <w:b w:val="0"/>
        </w:rPr>
        <w:t>mixed-methods comparative cross-sectional design</w:t>
      </w:r>
      <w:r w:rsidRPr="00B80F82">
        <w:t xml:space="preserve"> to evaluate the effectiveness of community-based forest resource management initiatives in the </w:t>
      </w:r>
      <w:proofErr w:type="spellStart"/>
      <w:r w:rsidRPr="00B80F82">
        <w:t>Nchumuru</w:t>
      </w:r>
      <w:proofErr w:type="spellEnd"/>
      <w:r w:rsidRPr="00B80F82">
        <w:t xml:space="preserve"> and Adele communities, located in the </w:t>
      </w:r>
      <w:proofErr w:type="spellStart"/>
      <w:r w:rsidRPr="00B80F82">
        <w:t>Oti</w:t>
      </w:r>
      <w:proofErr w:type="spellEnd"/>
      <w:r w:rsidRPr="00B80F82">
        <w:t xml:space="preserve"> Region of Ghana.</w:t>
      </w:r>
    </w:p>
    <w:p w14:paraId="34532C58" w14:textId="77777777" w:rsidR="00AA42A3" w:rsidRPr="00B80F82" w:rsidRDefault="00AA42A3" w:rsidP="00AA42A3">
      <w:pPr>
        <w:pStyle w:val="NormalWeb"/>
        <w:jc w:val="both"/>
      </w:pPr>
      <w:r w:rsidRPr="00B80F82">
        <w:t xml:space="preserve">The target population comprised adult household members residing in both communities. A simple random sampling technique was employed to select participants. In total, 344 individuals were surveyed, including 174 from </w:t>
      </w:r>
      <w:proofErr w:type="spellStart"/>
      <w:r w:rsidRPr="00B80F82">
        <w:t>Nchumuru</w:t>
      </w:r>
      <w:proofErr w:type="spellEnd"/>
      <w:r w:rsidRPr="00B80F82">
        <w:t xml:space="preserve"> and 170 from Adele.</w:t>
      </w:r>
    </w:p>
    <w:p w14:paraId="75D8FFE3" w14:textId="77777777" w:rsidR="00AA42A3" w:rsidRPr="00B80F82" w:rsidRDefault="00AA42A3" w:rsidP="00AA42A3">
      <w:pPr>
        <w:pStyle w:val="NormalWeb"/>
        <w:jc w:val="both"/>
      </w:pPr>
      <w:r w:rsidRPr="00B80F82">
        <w:t>Quantitative data were collected through a structured questionnaire that assessed perceived changes in forest cover, levels of community participation, benefits derived from forest resources, and perceptions of the effectiveness of existing initiatives. To ensure clarity and completeness, all questionnaires were administered in person.</w:t>
      </w:r>
    </w:p>
    <w:p w14:paraId="20DD9217" w14:textId="77777777" w:rsidR="00ED673C" w:rsidRPr="00B80F82" w:rsidRDefault="00AA42A3" w:rsidP="00AA42A3">
      <w:pPr>
        <w:pStyle w:val="NormalWeb"/>
        <w:jc w:val="both"/>
      </w:pPr>
      <w:r w:rsidRPr="00B80F82">
        <w:t xml:space="preserve">To complement the quantitative findings, </w:t>
      </w:r>
      <w:r w:rsidRPr="00B80F82">
        <w:rPr>
          <w:rStyle w:val="Strong"/>
          <w:b w:val="0"/>
        </w:rPr>
        <w:t>qualitative data were gathered through semi-structured interviews with selected community leaders and stakeholders</w:t>
      </w:r>
      <w:r w:rsidRPr="00B80F82">
        <w:t xml:space="preserve">, focusing on their perspectives and lived experiences regarding forest management practices. These interviews provided deeper </w:t>
      </w:r>
      <w:r w:rsidRPr="00B80F82">
        <w:lastRenderedPageBreak/>
        <w:t>insights into community dynamics, governance structures, and the socio-cultural context influencing resource use.</w:t>
      </w:r>
    </w:p>
    <w:p w14:paraId="6F3A421C" w14:textId="77777777" w:rsidR="007F203F" w:rsidRPr="00ED673C" w:rsidRDefault="00AA42A3" w:rsidP="00ED673C">
      <w:pPr>
        <w:pStyle w:val="NormalWeb"/>
        <w:jc w:val="both"/>
      </w:pPr>
      <w:r w:rsidRPr="00B80F82">
        <w:t xml:space="preserve">All quantitative data were coded and analyzed using SPSS (Version 23). Descriptive statistics (frequencies and percentages) were used to summarize responses, while cross-tabulations and Chi-square tests were conducted to identify significant differences and associations between the two communities. </w:t>
      </w:r>
      <w:r w:rsidRPr="00B80F82">
        <w:rPr>
          <w:rStyle w:val="Strong"/>
          <w:b w:val="0"/>
        </w:rPr>
        <w:t>Qualitative responses were thematically analyzed to identify recurring patterns, narratives, and contextual factor</w:t>
      </w:r>
      <w:r w:rsidRPr="00B80F82">
        <w:rPr>
          <w:rStyle w:val="Strong"/>
        </w:rPr>
        <w:t>s</w:t>
      </w:r>
      <w:r w:rsidRPr="00B80F82">
        <w:t xml:space="preserve">, enriching the interpretation of the quantitative results. </w:t>
      </w:r>
    </w:p>
    <w:p w14:paraId="2907307F" w14:textId="77777777" w:rsidR="00916CE3" w:rsidRPr="00B80F82" w:rsidRDefault="0034135B" w:rsidP="007F203F">
      <w:pPr>
        <w:spacing w:before="100" w:beforeAutospacing="1" w:after="100" w:afterAutospacing="1" w:line="240" w:lineRule="auto"/>
        <w:jc w:val="both"/>
        <w:rPr>
          <w:rFonts w:ascii="Times New Roman" w:eastAsia="Times New Roman" w:hAnsi="Times New Roman" w:cs="Times New Roman"/>
          <w:b/>
          <w:sz w:val="24"/>
          <w:szCs w:val="24"/>
        </w:rPr>
      </w:pPr>
      <w:r w:rsidRPr="00B80F82">
        <w:rPr>
          <w:rFonts w:ascii="Times New Roman" w:eastAsia="Times New Roman" w:hAnsi="Times New Roman" w:cs="Times New Roman"/>
          <w:b/>
          <w:sz w:val="24"/>
          <w:szCs w:val="24"/>
        </w:rPr>
        <w:t>Results and Discussions</w:t>
      </w:r>
      <w:r w:rsidR="00B92CB9" w:rsidRPr="00B80F82">
        <w:rPr>
          <w:rFonts w:ascii="Times New Roman" w:hAnsi="Times New Roman" w:cs="Times New Roman"/>
          <w:b/>
          <w:sz w:val="24"/>
          <w:szCs w:val="24"/>
        </w:rPr>
        <w:t xml:space="preserve">  </w:t>
      </w:r>
    </w:p>
    <w:p w14:paraId="13DC4996" w14:textId="77777777" w:rsidR="007F203F" w:rsidRPr="00B80F82" w:rsidRDefault="007F203F">
      <w:pPr>
        <w:rPr>
          <w:rFonts w:ascii="Times New Roman" w:hAnsi="Times New Roman" w:cs="Times New Roman"/>
          <w:b/>
          <w:sz w:val="24"/>
          <w:szCs w:val="24"/>
        </w:rPr>
      </w:pPr>
      <w:r w:rsidRPr="00B80F82">
        <w:rPr>
          <w:rFonts w:ascii="Times New Roman" w:hAnsi="Times New Roman" w:cs="Times New Roman"/>
          <w:b/>
          <w:sz w:val="24"/>
          <w:szCs w:val="24"/>
        </w:rPr>
        <w:t xml:space="preserve">Demographic Information </w:t>
      </w:r>
    </w:p>
    <w:p w14:paraId="04FFC3FB" w14:textId="77777777" w:rsidR="007F203F" w:rsidRPr="00B80F82" w:rsidRDefault="007F203F" w:rsidP="007318F9">
      <w:pPr>
        <w:spacing w:line="240" w:lineRule="auto"/>
        <w:rPr>
          <w:rFonts w:ascii="Times New Roman" w:hAnsi="Times New Roman" w:cs="Times New Roman"/>
          <w:b/>
          <w:sz w:val="24"/>
          <w:szCs w:val="24"/>
        </w:rPr>
      </w:pPr>
      <w:r w:rsidRPr="00B80F82">
        <w:rPr>
          <w:rFonts w:ascii="Times New Roman" w:hAnsi="Times New Roman" w:cs="Times New Roman"/>
          <w:sz w:val="24"/>
          <w:szCs w:val="24"/>
        </w:rPr>
        <w:t>Sex is an important variable to consider when dealing with a critical environmental issue like forest resource management. The sex distribution in this study provides an important insight to the study, as it lends strength to understanding how natural and social phenomena affect men and women differently, and the vulnerability variance of the different genders.</w:t>
      </w:r>
    </w:p>
    <w:p w14:paraId="630E2868" w14:textId="77777777" w:rsidR="00386A6C" w:rsidRDefault="00386A6C" w:rsidP="007318F9">
      <w:pPr>
        <w:spacing w:after="0" w:line="240" w:lineRule="auto"/>
        <w:jc w:val="both"/>
        <w:rPr>
          <w:rFonts w:ascii="Times New Roman" w:eastAsia="Times New Roman" w:hAnsi="Times New Roman" w:cs="Times New Roman"/>
          <w:sz w:val="24"/>
          <w:szCs w:val="24"/>
        </w:rPr>
      </w:pPr>
    </w:p>
    <w:p w14:paraId="31310EC6" w14:textId="77777777" w:rsidR="00386A6C" w:rsidRDefault="00386A6C" w:rsidP="007318F9">
      <w:pPr>
        <w:spacing w:after="0" w:line="240" w:lineRule="auto"/>
        <w:jc w:val="both"/>
        <w:rPr>
          <w:rFonts w:ascii="Times New Roman" w:eastAsia="Times New Roman" w:hAnsi="Times New Roman" w:cs="Times New Roman"/>
          <w:sz w:val="24"/>
          <w:szCs w:val="24"/>
        </w:rPr>
      </w:pPr>
    </w:p>
    <w:p w14:paraId="42109879" w14:textId="77777777" w:rsidR="00386A6C" w:rsidRDefault="00386A6C" w:rsidP="007318F9">
      <w:pPr>
        <w:spacing w:after="0" w:line="240" w:lineRule="auto"/>
        <w:jc w:val="both"/>
        <w:rPr>
          <w:rFonts w:ascii="Times New Roman" w:eastAsia="Times New Roman" w:hAnsi="Times New Roman" w:cs="Times New Roman"/>
          <w:sz w:val="24"/>
          <w:szCs w:val="24"/>
        </w:rPr>
      </w:pPr>
    </w:p>
    <w:p w14:paraId="11B62BEF" w14:textId="77777777" w:rsidR="00386A6C" w:rsidRDefault="00386A6C" w:rsidP="007318F9">
      <w:pPr>
        <w:spacing w:after="0" w:line="240" w:lineRule="auto"/>
        <w:jc w:val="both"/>
        <w:rPr>
          <w:rFonts w:ascii="Times New Roman" w:eastAsia="Times New Roman" w:hAnsi="Times New Roman" w:cs="Times New Roman"/>
          <w:sz w:val="24"/>
          <w:szCs w:val="24"/>
        </w:rPr>
      </w:pPr>
    </w:p>
    <w:p w14:paraId="14C0185D" w14:textId="77777777" w:rsidR="00386A6C" w:rsidRDefault="00386A6C" w:rsidP="007318F9">
      <w:pPr>
        <w:spacing w:after="0" w:line="240" w:lineRule="auto"/>
        <w:jc w:val="both"/>
        <w:rPr>
          <w:rFonts w:ascii="Times New Roman" w:eastAsia="Times New Roman" w:hAnsi="Times New Roman" w:cs="Times New Roman"/>
          <w:sz w:val="24"/>
          <w:szCs w:val="24"/>
        </w:rPr>
      </w:pPr>
    </w:p>
    <w:p w14:paraId="28736587" w14:textId="77777777" w:rsidR="00386A6C" w:rsidRDefault="00386A6C" w:rsidP="007318F9">
      <w:pPr>
        <w:spacing w:after="0" w:line="240" w:lineRule="auto"/>
        <w:jc w:val="both"/>
        <w:rPr>
          <w:rFonts w:ascii="Times New Roman" w:eastAsia="Times New Roman" w:hAnsi="Times New Roman" w:cs="Times New Roman"/>
          <w:sz w:val="24"/>
          <w:szCs w:val="24"/>
        </w:rPr>
      </w:pPr>
    </w:p>
    <w:p w14:paraId="6E0AB94B" w14:textId="77777777" w:rsidR="00386A6C" w:rsidRDefault="00386A6C" w:rsidP="007318F9">
      <w:pPr>
        <w:spacing w:after="0" w:line="240" w:lineRule="auto"/>
        <w:jc w:val="both"/>
        <w:rPr>
          <w:rFonts w:ascii="Times New Roman" w:eastAsia="Times New Roman" w:hAnsi="Times New Roman" w:cs="Times New Roman"/>
          <w:sz w:val="24"/>
          <w:szCs w:val="24"/>
        </w:rPr>
      </w:pPr>
    </w:p>
    <w:p w14:paraId="2C735680" w14:textId="77777777" w:rsidR="00386A6C" w:rsidRDefault="00386A6C" w:rsidP="007318F9">
      <w:pPr>
        <w:spacing w:after="0" w:line="240" w:lineRule="auto"/>
        <w:jc w:val="both"/>
        <w:rPr>
          <w:rFonts w:ascii="Times New Roman" w:eastAsia="Times New Roman" w:hAnsi="Times New Roman" w:cs="Times New Roman"/>
          <w:sz w:val="24"/>
          <w:szCs w:val="24"/>
        </w:rPr>
      </w:pPr>
    </w:p>
    <w:p w14:paraId="5FCA47D6" w14:textId="51A9B9A1" w:rsidR="007F203F" w:rsidRPr="00B80F82" w:rsidRDefault="007F203F" w:rsidP="007318F9">
      <w:pPr>
        <w:spacing w:after="0"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sex distribution data provide a demographic overview of the respondents and help establish the composition of participants across the study communities. As shown in Figure </w:t>
      </w:r>
      <w:r w:rsidR="00A17CDD">
        <w:rPr>
          <w:rFonts w:ascii="Times New Roman" w:eastAsia="Times New Roman" w:hAnsi="Times New Roman" w:cs="Times New Roman"/>
          <w:sz w:val="24"/>
          <w:szCs w:val="24"/>
        </w:rPr>
        <w:t>2</w:t>
      </w:r>
      <w:r w:rsidRPr="00B80F82">
        <w:rPr>
          <w:rFonts w:ascii="Times New Roman" w:eastAsia="Times New Roman" w:hAnsi="Times New Roman" w:cs="Times New Roman"/>
          <w:sz w:val="24"/>
          <w:szCs w:val="24"/>
        </w:rPr>
        <w:t xml:space="preserve">, the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communities recorded a slightly higher number of male respondents, with 94 men (54.0%) and 80 women (46.0%). In contrast, the Adele communities presented a reverse pattern, with women accounting for 91 respondents (53.5%) and men 79 respondents (46.5%). </w:t>
      </w:r>
    </w:p>
    <w:p w14:paraId="6E32C6B0" w14:textId="77777777" w:rsidR="007F203F" w:rsidRPr="00B80F82" w:rsidRDefault="007F203F">
      <w:pPr>
        <w:rPr>
          <w:rFonts w:ascii="Times New Roman" w:hAnsi="Times New Roman" w:cs="Times New Roman"/>
          <w:b/>
          <w:sz w:val="24"/>
          <w:szCs w:val="24"/>
        </w:rPr>
      </w:pPr>
    </w:p>
    <w:p w14:paraId="2CFD47FF" w14:textId="77777777" w:rsidR="007F203F" w:rsidRPr="00B80F82" w:rsidRDefault="007F203F">
      <w:pPr>
        <w:rPr>
          <w:rFonts w:ascii="Times New Roman" w:hAnsi="Times New Roman" w:cs="Times New Roman"/>
          <w:b/>
          <w:sz w:val="24"/>
          <w:szCs w:val="24"/>
        </w:rPr>
      </w:pPr>
    </w:p>
    <w:p w14:paraId="0BBFD76F" w14:textId="77777777" w:rsidR="007F203F" w:rsidRPr="00B80F82" w:rsidRDefault="007F203F">
      <w:pPr>
        <w:rPr>
          <w:rFonts w:ascii="Times New Roman" w:hAnsi="Times New Roman" w:cs="Times New Roman"/>
          <w:b/>
          <w:sz w:val="24"/>
          <w:szCs w:val="24"/>
        </w:rPr>
      </w:pPr>
      <w:r w:rsidRPr="00B80F82">
        <w:rPr>
          <w:rFonts w:ascii="Times New Roman" w:hAnsi="Times New Roman" w:cs="Times New Roman"/>
          <w:noProof/>
          <w:sz w:val="24"/>
          <w:szCs w:val="24"/>
        </w:rPr>
        <w:lastRenderedPageBreak/>
        <w:drawing>
          <wp:inline distT="0" distB="0" distL="0" distR="0" wp14:anchorId="699370A6" wp14:editId="585584D1">
            <wp:extent cx="46101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9B86FF9" w14:textId="77777777" w:rsidR="007F203F" w:rsidRPr="00B80F82" w:rsidRDefault="007F203F">
      <w:pPr>
        <w:rPr>
          <w:rFonts w:ascii="Times New Roman" w:hAnsi="Times New Roman" w:cs="Times New Roman"/>
          <w:sz w:val="24"/>
          <w:szCs w:val="24"/>
        </w:rPr>
      </w:pPr>
      <w:r w:rsidRPr="00B80F82">
        <w:rPr>
          <w:rFonts w:ascii="Times New Roman" w:hAnsi="Times New Roman" w:cs="Times New Roman"/>
          <w:b/>
          <w:sz w:val="24"/>
          <w:szCs w:val="24"/>
        </w:rPr>
        <w:t xml:space="preserve">       </w:t>
      </w:r>
      <w:proofErr w:type="spellStart"/>
      <w:r w:rsidRPr="00B80F82">
        <w:rPr>
          <w:rFonts w:ascii="Times New Roman" w:hAnsi="Times New Roman" w:cs="Times New Roman"/>
          <w:sz w:val="24"/>
          <w:szCs w:val="24"/>
        </w:rPr>
        <w:t>Nchumuru</w:t>
      </w:r>
      <w:proofErr w:type="spellEnd"/>
      <w:r w:rsidRPr="00B80F82">
        <w:rPr>
          <w:rFonts w:ascii="Times New Roman" w:hAnsi="Times New Roman" w:cs="Times New Roman"/>
          <w:sz w:val="24"/>
          <w:szCs w:val="24"/>
        </w:rPr>
        <w:t xml:space="preserve"> Communities                                                     Adele Communities</w:t>
      </w:r>
      <w:r w:rsidR="00856DFA" w:rsidRPr="00B80F82">
        <w:rPr>
          <w:rFonts w:ascii="Times New Roman" w:hAnsi="Times New Roman" w:cs="Times New Roman"/>
          <w:sz w:val="24"/>
          <w:szCs w:val="24"/>
        </w:rPr>
        <w:t xml:space="preserve">   </w:t>
      </w:r>
    </w:p>
    <w:p w14:paraId="13AC9B92" w14:textId="267E275F" w:rsidR="00856DFA" w:rsidRPr="00B80F82" w:rsidRDefault="00A17CDD">
      <w:pPr>
        <w:rPr>
          <w:rFonts w:ascii="Times New Roman" w:hAnsi="Times New Roman" w:cs="Times New Roman"/>
          <w:b/>
          <w:sz w:val="24"/>
          <w:szCs w:val="24"/>
        </w:rPr>
      </w:pPr>
      <w:r>
        <w:rPr>
          <w:rFonts w:ascii="Times New Roman" w:hAnsi="Times New Roman" w:cs="Times New Roman"/>
          <w:b/>
          <w:sz w:val="24"/>
          <w:szCs w:val="24"/>
        </w:rPr>
        <w:t>Fig 2-</w:t>
      </w:r>
      <w:r w:rsidR="00BC32F2">
        <w:rPr>
          <w:rFonts w:ascii="Times New Roman" w:hAnsi="Times New Roman" w:cs="Times New Roman"/>
          <w:b/>
          <w:sz w:val="24"/>
          <w:szCs w:val="24"/>
        </w:rPr>
        <w:t xml:space="preserve"> </w:t>
      </w:r>
      <w:r w:rsidR="00C16327">
        <w:rPr>
          <w:rFonts w:ascii="Times New Roman" w:hAnsi="Times New Roman" w:cs="Times New Roman"/>
          <w:b/>
          <w:sz w:val="24"/>
          <w:szCs w:val="24"/>
        </w:rPr>
        <w:t xml:space="preserve">Gender </w:t>
      </w:r>
      <w:r w:rsidR="00BC32F2" w:rsidRPr="00C16327">
        <w:rPr>
          <w:rFonts w:ascii="Times New Roman" w:hAnsi="Times New Roman" w:cs="Times New Roman"/>
          <w:b/>
          <w:sz w:val="24"/>
          <w:szCs w:val="24"/>
        </w:rPr>
        <w:t>distribution</w:t>
      </w:r>
      <w:r w:rsidR="007569F9" w:rsidRPr="00C16327">
        <w:rPr>
          <w:rFonts w:ascii="Times New Roman" w:hAnsi="Times New Roman" w:cs="Times New Roman"/>
          <w:b/>
          <w:sz w:val="24"/>
          <w:szCs w:val="24"/>
        </w:rPr>
        <w:t xml:space="preserve"> </w:t>
      </w:r>
      <w:r w:rsidR="007569F9" w:rsidRPr="00C16327">
        <w:rPr>
          <w:rFonts w:ascii="Times New Roman" w:eastAsia="Times New Roman" w:hAnsi="Times New Roman" w:cs="Times New Roman"/>
          <w:b/>
          <w:sz w:val="24"/>
          <w:szCs w:val="24"/>
        </w:rPr>
        <w:t>of the respondents</w:t>
      </w:r>
      <w:r w:rsidR="007569F9" w:rsidRPr="00B80F82">
        <w:rPr>
          <w:rFonts w:ascii="Times New Roman" w:eastAsia="Times New Roman" w:hAnsi="Times New Roman" w:cs="Times New Roman"/>
          <w:sz w:val="24"/>
          <w:szCs w:val="24"/>
        </w:rPr>
        <w:t xml:space="preserve"> </w:t>
      </w:r>
      <w:r w:rsidR="00BC32F2">
        <w:rPr>
          <w:rFonts w:ascii="Times New Roman" w:hAnsi="Times New Roman" w:cs="Times New Roman"/>
          <w:b/>
          <w:sz w:val="24"/>
          <w:szCs w:val="24"/>
        </w:rPr>
        <w:t xml:space="preserve"> </w:t>
      </w:r>
    </w:p>
    <w:p w14:paraId="5FD8EA08" w14:textId="77777777" w:rsidR="00856DFA" w:rsidRPr="00B80F82" w:rsidRDefault="00856DFA">
      <w:pPr>
        <w:rPr>
          <w:rFonts w:ascii="Times New Roman" w:hAnsi="Times New Roman" w:cs="Times New Roman"/>
          <w:b/>
          <w:sz w:val="24"/>
          <w:szCs w:val="24"/>
        </w:rPr>
      </w:pPr>
    </w:p>
    <w:p w14:paraId="1F972560" w14:textId="77777777" w:rsidR="00856DFA" w:rsidRPr="00B80F82" w:rsidRDefault="00856DFA">
      <w:pPr>
        <w:rPr>
          <w:rFonts w:ascii="Times New Roman" w:hAnsi="Times New Roman" w:cs="Times New Roman"/>
          <w:b/>
          <w:sz w:val="24"/>
          <w:szCs w:val="24"/>
        </w:rPr>
      </w:pPr>
    </w:p>
    <w:p w14:paraId="0481A002" w14:textId="11E80D06" w:rsidR="00856DFA" w:rsidRPr="00B80F82" w:rsidRDefault="00A17CDD" w:rsidP="00856DFA">
      <w:pPr>
        <w:pStyle w:val="Caption"/>
        <w:rPr>
          <w:rFonts w:eastAsia="Times New Roman"/>
        </w:rPr>
      </w:pPr>
      <w:r>
        <w:rPr>
          <w:rFonts w:eastAsia="Times New Roman"/>
        </w:rPr>
        <w:t>Table 1-</w:t>
      </w:r>
      <w:r w:rsidR="00856DFA" w:rsidRPr="00B80F82">
        <w:rPr>
          <w:rFonts w:eastAsia="Times New Roman"/>
        </w:rPr>
        <w:t xml:space="preserve">Marital Status of Respondent within the </w:t>
      </w:r>
      <w:proofErr w:type="spellStart"/>
      <w:r w:rsidR="00856DFA" w:rsidRPr="00B80F82">
        <w:rPr>
          <w:rFonts w:eastAsia="Times New Roman"/>
        </w:rPr>
        <w:t>Nchumuru</w:t>
      </w:r>
      <w:proofErr w:type="spellEnd"/>
      <w:r w:rsidR="00856DFA" w:rsidRPr="00B80F82">
        <w:rPr>
          <w:rFonts w:eastAsia="Times New Roman"/>
        </w:rPr>
        <w:t xml:space="preserve"> and Adele Communities</w:t>
      </w:r>
    </w:p>
    <w:tbl>
      <w:tblPr>
        <w:tblW w:w="8107" w:type="dxa"/>
        <w:tblInd w:w="180" w:type="dxa"/>
        <w:tblLayout w:type="fixed"/>
        <w:tblCellMar>
          <w:left w:w="0" w:type="dxa"/>
          <w:right w:w="0" w:type="dxa"/>
        </w:tblCellMar>
        <w:tblLook w:val="0000" w:firstRow="0" w:lastRow="0" w:firstColumn="0" w:lastColumn="0" w:noHBand="0" w:noVBand="0"/>
      </w:tblPr>
      <w:tblGrid>
        <w:gridCol w:w="754"/>
        <w:gridCol w:w="1451"/>
        <w:gridCol w:w="1512"/>
        <w:gridCol w:w="1331"/>
        <w:gridCol w:w="1331"/>
        <w:gridCol w:w="1728"/>
      </w:tblGrid>
      <w:tr w:rsidR="00856DFA" w:rsidRPr="00B80F82" w14:paraId="06BE5D4D" w14:textId="77777777" w:rsidTr="00FF1565">
        <w:trPr>
          <w:cantSplit/>
          <w:trHeight w:val="600"/>
        </w:trPr>
        <w:tc>
          <w:tcPr>
            <w:tcW w:w="2205" w:type="dxa"/>
            <w:gridSpan w:val="2"/>
            <w:tcBorders>
              <w:top w:val="single" w:sz="4" w:space="0" w:color="auto"/>
              <w:bottom w:val="single" w:sz="4" w:space="0" w:color="auto"/>
            </w:tcBorders>
            <w:shd w:val="clear" w:color="auto" w:fill="FFFFFF"/>
            <w:vAlign w:val="bottom"/>
          </w:tcPr>
          <w:p w14:paraId="7BE40ED1" w14:textId="77777777" w:rsidR="00856DFA" w:rsidRPr="00B80F82" w:rsidRDefault="00856DFA" w:rsidP="00FF1565">
            <w:pPr>
              <w:autoSpaceDE w:val="0"/>
              <w:autoSpaceDN w:val="0"/>
              <w:adjustRightInd w:val="0"/>
              <w:spacing w:after="0" w:line="240" w:lineRule="auto"/>
              <w:rPr>
                <w:rFonts w:ascii="Times New Roman" w:hAnsi="Times New Roman" w:cs="Times New Roman"/>
                <w:sz w:val="24"/>
                <w:szCs w:val="24"/>
              </w:rPr>
            </w:pPr>
            <w:r w:rsidRPr="00B80F82">
              <w:rPr>
                <w:rFonts w:ascii="Times New Roman" w:hAnsi="Times New Roman" w:cs="Times New Roman"/>
                <w:sz w:val="24"/>
                <w:szCs w:val="24"/>
              </w:rPr>
              <w:t>Variables</w:t>
            </w:r>
          </w:p>
        </w:tc>
        <w:tc>
          <w:tcPr>
            <w:tcW w:w="1512" w:type="dxa"/>
            <w:tcBorders>
              <w:top w:val="single" w:sz="4" w:space="0" w:color="auto"/>
              <w:bottom w:val="single" w:sz="4" w:space="0" w:color="auto"/>
            </w:tcBorders>
            <w:shd w:val="clear" w:color="auto" w:fill="FFFFFF"/>
            <w:vAlign w:val="bottom"/>
          </w:tcPr>
          <w:p w14:paraId="77195A90" w14:textId="77777777" w:rsidR="00856DFA" w:rsidRPr="00B80F82" w:rsidRDefault="00856DFA" w:rsidP="00FF1565">
            <w:pPr>
              <w:autoSpaceDE w:val="0"/>
              <w:autoSpaceDN w:val="0"/>
              <w:adjustRightInd w:val="0"/>
              <w:spacing w:after="0" w:line="320" w:lineRule="atLeast"/>
              <w:ind w:left="60" w:right="60"/>
              <w:jc w:val="center"/>
              <w:rPr>
                <w:rFonts w:ascii="Times New Roman" w:hAnsi="Times New Roman" w:cs="Times New Roman"/>
                <w:sz w:val="24"/>
                <w:szCs w:val="24"/>
              </w:rPr>
            </w:pPr>
            <w:proofErr w:type="spellStart"/>
            <w:r w:rsidRPr="00B80F82">
              <w:rPr>
                <w:rFonts w:ascii="Times New Roman" w:hAnsi="Times New Roman" w:cs="Times New Roman"/>
                <w:sz w:val="24"/>
                <w:szCs w:val="24"/>
              </w:rPr>
              <w:t>Chumuru</w:t>
            </w:r>
            <w:proofErr w:type="spellEnd"/>
          </w:p>
        </w:tc>
        <w:tc>
          <w:tcPr>
            <w:tcW w:w="1331" w:type="dxa"/>
            <w:tcBorders>
              <w:top w:val="single" w:sz="4" w:space="0" w:color="auto"/>
              <w:bottom w:val="single" w:sz="4" w:space="0" w:color="auto"/>
            </w:tcBorders>
            <w:shd w:val="clear" w:color="auto" w:fill="FFFFFF"/>
            <w:vAlign w:val="bottom"/>
          </w:tcPr>
          <w:p w14:paraId="22B44338" w14:textId="77777777" w:rsidR="00856DFA" w:rsidRPr="00B80F82" w:rsidRDefault="00856DFA" w:rsidP="00FF1565">
            <w:pPr>
              <w:autoSpaceDE w:val="0"/>
              <w:autoSpaceDN w:val="0"/>
              <w:adjustRightInd w:val="0"/>
              <w:spacing w:after="0" w:line="320" w:lineRule="atLeast"/>
              <w:ind w:left="60" w:right="60"/>
              <w:jc w:val="center"/>
              <w:rPr>
                <w:rFonts w:ascii="Times New Roman" w:hAnsi="Times New Roman" w:cs="Times New Roman"/>
                <w:sz w:val="24"/>
                <w:szCs w:val="24"/>
              </w:rPr>
            </w:pPr>
            <w:r w:rsidRPr="00B80F82">
              <w:rPr>
                <w:rFonts w:ascii="Times New Roman" w:hAnsi="Times New Roman" w:cs="Times New Roman"/>
                <w:sz w:val="24"/>
                <w:szCs w:val="24"/>
              </w:rPr>
              <w:t>Percent</w:t>
            </w:r>
          </w:p>
        </w:tc>
        <w:tc>
          <w:tcPr>
            <w:tcW w:w="1331" w:type="dxa"/>
            <w:tcBorders>
              <w:top w:val="single" w:sz="4" w:space="0" w:color="auto"/>
              <w:bottom w:val="single" w:sz="4" w:space="0" w:color="auto"/>
            </w:tcBorders>
            <w:shd w:val="clear" w:color="auto" w:fill="FFFFFF"/>
          </w:tcPr>
          <w:p w14:paraId="78838D63" w14:textId="77777777" w:rsidR="00856DFA" w:rsidRPr="00B80F82" w:rsidRDefault="00856DFA" w:rsidP="00FF1565">
            <w:pPr>
              <w:autoSpaceDE w:val="0"/>
              <w:autoSpaceDN w:val="0"/>
              <w:adjustRightInd w:val="0"/>
              <w:spacing w:after="0" w:line="320" w:lineRule="atLeast"/>
              <w:ind w:left="60" w:right="60"/>
              <w:jc w:val="center"/>
              <w:rPr>
                <w:rFonts w:ascii="Times New Roman" w:hAnsi="Times New Roman" w:cs="Times New Roman"/>
                <w:sz w:val="24"/>
                <w:szCs w:val="24"/>
              </w:rPr>
            </w:pPr>
            <w:r w:rsidRPr="00B80F82">
              <w:rPr>
                <w:rFonts w:ascii="Times New Roman" w:hAnsi="Times New Roman" w:cs="Times New Roman"/>
                <w:sz w:val="24"/>
                <w:szCs w:val="24"/>
              </w:rPr>
              <w:t>Adele</w:t>
            </w:r>
          </w:p>
        </w:tc>
        <w:tc>
          <w:tcPr>
            <w:tcW w:w="1728" w:type="dxa"/>
            <w:tcBorders>
              <w:top w:val="single" w:sz="4" w:space="0" w:color="auto"/>
              <w:bottom w:val="single" w:sz="4" w:space="0" w:color="auto"/>
            </w:tcBorders>
            <w:shd w:val="clear" w:color="auto" w:fill="FFFFFF"/>
          </w:tcPr>
          <w:p w14:paraId="69D40B32" w14:textId="77777777" w:rsidR="00856DFA" w:rsidRPr="00B80F82" w:rsidRDefault="00856DFA" w:rsidP="00FF1565">
            <w:pPr>
              <w:autoSpaceDE w:val="0"/>
              <w:autoSpaceDN w:val="0"/>
              <w:adjustRightInd w:val="0"/>
              <w:spacing w:after="0" w:line="320" w:lineRule="atLeast"/>
              <w:ind w:left="60" w:right="60"/>
              <w:jc w:val="center"/>
              <w:rPr>
                <w:rFonts w:ascii="Times New Roman" w:hAnsi="Times New Roman" w:cs="Times New Roman"/>
                <w:sz w:val="24"/>
                <w:szCs w:val="24"/>
              </w:rPr>
            </w:pPr>
            <w:r w:rsidRPr="00B80F82">
              <w:rPr>
                <w:rFonts w:ascii="Times New Roman" w:hAnsi="Times New Roman" w:cs="Times New Roman"/>
                <w:sz w:val="24"/>
                <w:szCs w:val="24"/>
              </w:rPr>
              <w:t>Percentage</w:t>
            </w:r>
          </w:p>
        </w:tc>
      </w:tr>
      <w:tr w:rsidR="00856DFA" w:rsidRPr="00B80F82" w14:paraId="727DD553" w14:textId="77777777" w:rsidTr="00FF1565">
        <w:trPr>
          <w:cantSplit/>
          <w:trHeight w:val="137"/>
        </w:trPr>
        <w:tc>
          <w:tcPr>
            <w:tcW w:w="754" w:type="dxa"/>
            <w:vMerge w:val="restart"/>
            <w:tcBorders>
              <w:top w:val="single" w:sz="4" w:space="0" w:color="auto"/>
            </w:tcBorders>
            <w:shd w:val="clear" w:color="auto" w:fill="FFFFFF"/>
          </w:tcPr>
          <w:p w14:paraId="500E082C" w14:textId="77777777" w:rsidR="00856DFA" w:rsidRPr="00B80F82" w:rsidRDefault="00856DFA" w:rsidP="00FF1565">
            <w:pPr>
              <w:autoSpaceDE w:val="0"/>
              <w:autoSpaceDN w:val="0"/>
              <w:adjustRightInd w:val="0"/>
              <w:spacing w:after="0" w:line="320" w:lineRule="atLeast"/>
              <w:ind w:left="60" w:right="60"/>
              <w:rPr>
                <w:rFonts w:ascii="Times New Roman" w:hAnsi="Times New Roman" w:cs="Times New Roman"/>
                <w:sz w:val="24"/>
                <w:szCs w:val="24"/>
              </w:rPr>
            </w:pPr>
            <w:r w:rsidRPr="00B80F82">
              <w:rPr>
                <w:rFonts w:ascii="Times New Roman" w:hAnsi="Times New Roman" w:cs="Times New Roman"/>
                <w:sz w:val="24"/>
                <w:szCs w:val="24"/>
              </w:rPr>
              <w:t>Valid</w:t>
            </w:r>
          </w:p>
        </w:tc>
        <w:tc>
          <w:tcPr>
            <w:tcW w:w="1451" w:type="dxa"/>
            <w:tcBorders>
              <w:top w:val="single" w:sz="4" w:space="0" w:color="auto"/>
            </w:tcBorders>
            <w:shd w:val="clear" w:color="auto" w:fill="FFFFFF"/>
          </w:tcPr>
          <w:p w14:paraId="455C587A" w14:textId="77777777" w:rsidR="00856DFA" w:rsidRPr="00B80F82" w:rsidRDefault="00856DFA" w:rsidP="00FF1565">
            <w:pPr>
              <w:autoSpaceDE w:val="0"/>
              <w:autoSpaceDN w:val="0"/>
              <w:adjustRightInd w:val="0"/>
              <w:spacing w:after="0" w:line="240" w:lineRule="auto"/>
              <w:rPr>
                <w:rFonts w:ascii="Times New Roman" w:hAnsi="Times New Roman" w:cs="Times New Roman"/>
                <w:sz w:val="24"/>
                <w:szCs w:val="24"/>
              </w:rPr>
            </w:pPr>
          </w:p>
        </w:tc>
        <w:tc>
          <w:tcPr>
            <w:tcW w:w="1512" w:type="dxa"/>
            <w:tcBorders>
              <w:top w:val="single" w:sz="4" w:space="0" w:color="auto"/>
            </w:tcBorders>
            <w:shd w:val="clear" w:color="auto" w:fill="FFFFFF"/>
            <w:vAlign w:val="center"/>
          </w:tcPr>
          <w:p w14:paraId="02BB07A8"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p>
        </w:tc>
        <w:tc>
          <w:tcPr>
            <w:tcW w:w="1331" w:type="dxa"/>
            <w:tcBorders>
              <w:top w:val="single" w:sz="4" w:space="0" w:color="auto"/>
            </w:tcBorders>
            <w:shd w:val="clear" w:color="auto" w:fill="FFFFFF"/>
            <w:vAlign w:val="center"/>
          </w:tcPr>
          <w:p w14:paraId="5C216882"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p>
        </w:tc>
        <w:tc>
          <w:tcPr>
            <w:tcW w:w="1331" w:type="dxa"/>
            <w:tcBorders>
              <w:top w:val="single" w:sz="4" w:space="0" w:color="auto"/>
            </w:tcBorders>
            <w:shd w:val="clear" w:color="auto" w:fill="FFFFFF"/>
          </w:tcPr>
          <w:p w14:paraId="08B33114"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p>
        </w:tc>
        <w:tc>
          <w:tcPr>
            <w:tcW w:w="1728" w:type="dxa"/>
            <w:tcBorders>
              <w:top w:val="single" w:sz="4" w:space="0" w:color="auto"/>
            </w:tcBorders>
            <w:shd w:val="clear" w:color="auto" w:fill="FFFFFF"/>
          </w:tcPr>
          <w:p w14:paraId="5D6E7B52"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p>
        </w:tc>
      </w:tr>
      <w:tr w:rsidR="00856DFA" w:rsidRPr="00B80F82" w14:paraId="3FA204F5" w14:textId="77777777" w:rsidTr="00FF1565">
        <w:trPr>
          <w:cantSplit/>
          <w:trHeight w:val="137"/>
        </w:trPr>
        <w:tc>
          <w:tcPr>
            <w:tcW w:w="754" w:type="dxa"/>
            <w:vMerge/>
            <w:shd w:val="clear" w:color="auto" w:fill="FFFFFF"/>
          </w:tcPr>
          <w:p w14:paraId="606DB781" w14:textId="77777777" w:rsidR="00856DFA" w:rsidRPr="00B80F82" w:rsidRDefault="00856DFA" w:rsidP="00FF1565">
            <w:pPr>
              <w:autoSpaceDE w:val="0"/>
              <w:autoSpaceDN w:val="0"/>
              <w:adjustRightInd w:val="0"/>
              <w:spacing w:after="0" w:line="240" w:lineRule="auto"/>
              <w:rPr>
                <w:rFonts w:ascii="Times New Roman" w:hAnsi="Times New Roman" w:cs="Times New Roman"/>
                <w:sz w:val="24"/>
                <w:szCs w:val="24"/>
              </w:rPr>
            </w:pPr>
          </w:p>
        </w:tc>
        <w:tc>
          <w:tcPr>
            <w:tcW w:w="1451" w:type="dxa"/>
            <w:shd w:val="clear" w:color="auto" w:fill="FFFFFF"/>
          </w:tcPr>
          <w:p w14:paraId="6C25AE7F" w14:textId="77777777" w:rsidR="00856DFA" w:rsidRPr="00B80F82" w:rsidRDefault="00856DFA" w:rsidP="00FF1565">
            <w:pPr>
              <w:autoSpaceDE w:val="0"/>
              <w:autoSpaceDN w:val="0"/>
              <w:adjustRightInd w:val="0"/>
              <w:spacing w:after="0" w:line="320" w:lineRule="atLeast"/>
              <w:ind w:left="60" w:right="60"/>
              <w:rPr>
                <w:rFonts w:ascii="Times New Roman" w:hAnsi="Times New Roman" w:cs="Times New Roman"/>
                <w:sz w:val="24"/>
                <w:szCs w:val="24"/>
              </w:rPr>
            </w:pPr>
            <w:r w:rsidRPr="00B80F82">
              <w:rPr>
                <w:rFonts w:ascii="Times New Roman" w:hAnsi="Times New Roman" w:cs="Times New Roman"/>
                <w:sz w:val="24"/>
                <w:szCs w:val="24"/>
              </w:rPr>
              <w:t>Divorced</w:t>
            </w:r>
          </w:p>
        </w:tc>
        <w:tc>
          <w:tcPr>
            <w:tcW w:w="1512" w:type="dxa"/>
            <w:shd w:val="clear" w:color="auto" w:fill="FFFFFF"/>
            <w:vAlign w:val="center"/>
          </w:tcPr>
          <w:p w14:paraId="7CA427C8"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4</w:t>
            </w:r>
          </w:p>
        </w:tc>
        <w:tc>
          <w:tcPr>
            <w:tcW w:w="1331" w:type="dxa"/>
            <w:shd w:val="clear" w:color="auto" w:fill="FFFFFF"/>
            <w:vAlign w:val="center"/>
          </w:tcPr>
          <w:p w14:paraId="4097285B"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2.3%</w:t>
            </w:r>
          </w:p>
        </w:tc>
        <w:tc>
          <w:tcPr>
            <w:tcW w:w="1331" w:type="dxa"/>
            <w:shd w:val="clear" w:color="auto" w:fill="FFFFFF"/>
          </w:tcPr>
          <w:p w14:paraId="01F3F8EA"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10</w:t>
            </w:r>
          </w:p>
        </w:tc>
        <w:tc>
          <w:tcPr>
            <w:tcW w:w="1728" w:type="dxa"/>
            <w:shd w:val="clear" w:color="auto" w:fill="FFFFFF"/>
          </w:tcPr>
          <w:p w14:paraId="07A0D1EC"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5.9%</w:t>
            </w:r>
          </w:p>
        </w:tc>
      </w:tr>
      <w:tr w:rsidR="00856DFA" w:rsidRPr="00B80F82" w14:paraId="0389123B" w14:textId="77777777" w:rsidTr="00FF1565">
        <w:trPr>
          <w:cantSplit/>
          <w:trHeight w:val="137"/>
        </w:trPr>
        <w:tc>
          <w:tcPr>
            <w:tcW w:w="754" w:type="dxa"/>
            <w:vMerge/>
            <w:shd w:val="clear" w:color="auto" w:fill="FFFFFF"/>
          </w:tcPr>
          <w:p w14:paraId="45A4FAA5" w14:textId="77777777" w:rsidR="00856DFA" w:rsidRPr="00B80F82" w:rsidRDefault="00856DFA" w:rsidP="00FF1565">
            <w:pPr>
              <w:autoSpaceDE w:val="0"/>
              <w:autoSpaceDN w:val="0"/>
              <w:adjustRightInd w:val="0"/>
              <w:spacing w:after="0" w:line="240" w:lineRule="auto"/>
              <w:rPr>
                <w:rFonts w:ascii="Times New Roman" w:hAnsi="Times New Roman" w:cs="Times New Roman"/>
                <w:sz w:val="24"/>
                <w:szCs w:val="24"/>
              </w:rPr>
            </w:pPr>
          </w:p>
        </w:tc>
        <w:tc>
          <w:tcPr>
            <w:tcW w:w="1451" w:type="dxa"/>
            <w:shd w:val="clear" w:color="auto" w:fill="FFFFFF"/>
          </w:tcPr>
          <w:p w14:paraId="653059B7" w14:textId="77777777" w:rsidR="00856DFA" w:rsidRPr="00B80F82" w:rsidRDefault="00856DFA" w:rsidP="00FF1565">
            <w:pPr>
              <w:autoSpaceDE w:val="0"/>
              <w:autoSpaceDN w:val="0"/>
              <w:adjustRightInd w:val="0"/>
              <w:spacing w:after="0" w:line="320" w:lineRule="atLeast"/>
              <w:ind w:left="60" w:right="60"/>
              <w:rPr>
                <w:rFonts w:ascii="Times New Roman" w:hAnsi="Times New Roman" w:cs="Times New Roman"/>
                <w:sz w:val="24"/>
                <w:szCs w:val="24"/>
              </w:rPr>
            </w:pPr>
            <w:r w:rsidRPr="00B80F82">
              <w:rPr>
                <w:rFonts w:ascii="Times New Roman" w:hAnsi="Times New Roman" w:cs="Times New Roman"/>
                <w:sz w:val="24"/>
                <w:szCs w:val="24"/>
              </w:rPr>
              <w:t>Married</w:t>
            </w:r>
          </w:p>
        </w:tc>
        <w:tc>
          <w:tcPr>
            <w:tcW w:w="1512" w:type="dxa"/>
            <w:shd w:val="clear" w:color="auto" w:fill="FFFFFF"/>
            <w:vAlign w:val="center"/>
          </w:tcPr>
          <w:p w14:paraId="0AEEB027"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85</w:t>
            </w:r>
          </w:p>
        </w:tc>
        <w:tc>
          <w:tcPr>
            <w:tcW w:w="1331" w:type="dxa"/>
            <w:shd w:val="clear" w:color="auto" w:fill="FFFFFF"/>
            <w:vAlign w:val="center"/>
          </w:tcPr>
          <w:p w14:paraId="01E88683"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48.9%</w:t>
            </w:r>
          </w:p>
        </w:tc>
        <w:tc>
          <w:tcPr>
            <w:tcW w:w="1331" w:type="dxa"/>
            <w:shd w:val="clear" w:color="auto" w:fill="FFFFFF"/>
          </w:tcPr>
          <w:p w14:paraId="507D07DC"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78</w:t>
            </w:r>
          </w:p>
        </w:tc>
        <w:tc>
          <w:tcPr>
            <w:tcW w:w="1728" w:type="dxa"/>
            <w:shd w:val="clear" w:color="auto" w:fill="FFFFFF"/>
          </w:tcPr>
          <w:p w14:paraId="67A36C92"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45.9%</w:t>
            </w:r>
          </w:p>
        </w:tc>
      </w:tr>
      <w:tr w:rsidR="00856DFA" w:rsidRPr="00B80F82" w14:paraId="673849AA" w14:textId="77777777" w:rsidTr="00FF1565">
        <w:trPr>
          <w:cantSplit/>
          <w:trHeight w:val="137"/>
        </w:trPr>
        <w:tc>
          <w:tcPr>
            <w:tcW w:w="754" w:type="dxa"/>
            <w:vMerge/>
            <w:shd w:val="clear" w:color="auto" w:fill="FFFFFF"/>
          </w:tcPr>
          <w:p w14:paraId="3C8D1835" w14:textId="77777777" w:rsidR="00856DFA" w:rsidRPr="00B80F82" w:rsidRDefault="00856DFA" w:rsidP="00FF1565">
            <w:pPr>
              <w:autoSpaceDE w:val="0"/>
              <w:autoSpaceDN w:val="0"/>
              <w:adjustRightInd w:val="0"/>
              <w:spacing w:after="0" w:line="240" w:lineRule="auto"/>
              <w:rPr>
                <w:rFonts w:ascii="Times New Roman" w:hAnsi="Times New Roman" w:cs="Times New Roman"/>
                <w:sz w:val="24"/>
                <w:szCs w:val="24"/>
              </w:rPr>
            </w:pPr>
          </w:p>
        </w:tc>
        <w:tc>
          <w:tcPr>
            <w:tcW w:w="1451" w:type="dxa"/>
            <w:shd w:val="clear" w:color="auto" w:fill="FFFFFF"/>
          </w:tcPr>
          <w:p w14:paraId="0BE67AA1" w14:textId="77777777" w:rsidR="00856DFA" w:rsidRPr="00B80F82" w:rsidRDefault="00856DFA" w:rsidP="00FF1565">
            <w:pPr>
              <w:autoSpaceDE w:val="0"/>
              <w:autoSpaceDN w:val="0"/>
              <w:adjustRightInd w:val="0"/>
              <w:spacing w:after="0" w:line="320" w:lineRule="atLeast"/>
              <w:ind w:left="60" w:right="60"/>
              <w:rPr>
                <w:rFonts w:ascii="Times New Roman" w:hAnsi="Times New Roman" w:cs="Times New Roman"/>
                <w:sz w:val="24"/>
                <w:szCs w:val="24"/>
              </w:rPr>
            </w:pPr>
            <w:r w:rsidRPr="00B80F82">
              <w:rPr>
                <w:rFonts w:ascii="Times New Roman" w:hAnsi="Times New Roman" w:cs="Times New Roman"/>
                <w:sz w:val="24"/>
                <w:szCs w:val="24"/>
              </w:rPr>
              <w:t>Single</w:t>
            </w:r>
          </w:p>
        </w:tc>
        <w:tc>
          <w:tcPr>
            <w:tcW w:w="1512" w:type="dxa"/>
            <w:shd w:val="clear" w:color="auto" w:fill="FFFFFF"/>
            <w:vAlign w:val="center"/>
          </w:tcPr>
          <w:p w14:paraId="23FB3002"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65</w:t>
            </w:r>
          </w:p>
        </w:tc>
        <w:tc>
          <w:tcPr>
            <w:tcW w:w="1331" w:type="dxa"/>
            <w:shd w:val="clear" w:color="auto" w:fill="FFFFFF"/>
            <w:vAlign w:val="center"/>
          </w:tcPr>
          <w:p w14:paraId="766D7512"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37.4%</w:t>
            </w:r>
          </w:p>
        </w:tc>
        <w:tc>
          <w:tcPr>
            <w:tcW w:w="1331" w:type="dxa"/>
            <w:shd w:val="clear" w:color="auto" w:fill="FFFFFF"/>
          </w:tcPr>
          <w:p w14:paraId="60312428"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70</w:t>
            </w:r>
          </w:p>
        </w:tc>
        <w:tc>
          <w:tcPr>
            <w:tcW w:w="1728" w:type="dxa"/>
            <w:shd w:val="clear" w:color="auto" w:fill="FFFFFF"/>
          </w:tcPr>
          <w:p w14:paraId="5844ECAB"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41.2%</w:t>
            </w:r>
          </w:p>
        </w:tc>
      </w:tr>
      <w:tr w:rsidR="00856DFA" w:rsidRPr="00B80F82" w14:paraId="284E2B5D" w14:textId="77777777" w:rsidTr="00FF1565">
        <w:trPr>
          <w:cantSplit/>
          <w:trHeight w:val="137"/>
        </w:trPr>
        <w:tc>
          <w:tcPr>
            <w:tcW w:w="754" w:type="dxa"/>
            <w:vMerge/>
            <w:shd w:val="clear" w:color="auto" w:fill="FFFFFF"/>
          </w:tcPr>
          <w:p w14:paraId="756EEE06" w14:textId="77777777" w:rsidR="00856DFA" w:rsidRPr="00B80F82" w:rsidRDefault="00856DFA" w:rsidP="00FF1565">
            <w:pPr>
              <w:autoSpaceDE w:val="0"/>
              <w:autoSpaceDN w:val="0"/>
              <w:adjustRightInd w:val="0"/>
              <w:spacing w:after="0" w:line="240" w:lineRule="auto"/>
              <w:rPr>
                <w:rFonts w:ascii="Times New Roman" w:hAnsi="Times New Roman" w:cs="Times New Roman"/>
                <w:sz w:val="24"/>
                <w:szCs w:val="24"/>
              </w:rPr>
            </w:pPr>
          </w:p>
        </w:tc>
        <w:tc>
          <w:tcPr>
            <w:tcW w:w="1451" w:type="dxa"/>
            <w:shd w:val="clear" w:color="auto" w:fill="FFFFFF"/>
          </w:tcPr>
          <w:p w14:paraId="3BAE5244" w14:textId="77777777" w:rsidR="00856DFA" w:rsidRPr="00B80F82" w:rsidRDefault="00856DFA" w:rsidP="00FF1565">
            <w:pPr>
              <w:autoSpaceDE w:val="0"/>
              <w:autoSpaceDN w:val="0"/>
              <w:adjustRightInd w:val="0"/>
              <w:spacing w:after="0" w:line="320" w:lineRule="atLeast"/>
              <w:ind w:left="60" w:right="60"/>
              <w:rPr>
                <w:rFonts w:ascii="Times New Roman" w:hAnsi="Times New Roman" w:cs="Times New Roman"/>
                <w:sz w:val="24"/>
                <w:szCs w:val="24"/>
              </w:rPr>
            </w:pPr>
            <w:r w:rsidRPr="00B80F82">
              <w:rPr>
                <w:rFonts w:ascii="Times New Roman" w:hAnsi="Times New Roman" w:cs="Times New Roman"/>
                <w:sz w:val="24"/>
                <w:szCs w:val="24"/>
              </w:rPr>
              <w:t>Widow/Wi</w:t>
            </w:r>
          </w:p>
        </w:tc>
        <w:tc>
          <w:tcPr>
            <w:tcW w:w="1512" w:type="dxa"/>
            <w:shd w:val="clear" w:color="auto" w:fill="FFFFFF"/>
            <w:vAlign w:val="center"/>
          </w:tcPr>
          <w:p w14:paraId="2996DEBC"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20</w:t>
            </w:r>
          </w:p>
        </w:tc>
        <w:tc>
          <w:tcPr>
            <w:tcW w:w="1331" w:type="dxa"/>
            <w:shd w:val="clear" w:color="auto" w:fill="FFFFFF"/>
            <w:vAlign w:val="center"/>
          </w:tcPr>
          <w:p w14:paraId="1BEB9895"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11.5%</w:t>
            </w:r>
          </w:p>
        </w:tc>
        <w:tc>
          <w:tcPr>
            <w:tcW w:w="1331" w:type="dxa"/>
            <w:shd w:val="clear" w:color="auto" w:fill="FFFFFF"/>
          </w:tcPr>
          <w:p w14:paraId="38494E24"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12</w:t>
            </w:r>
          </w:p>
        </w:tc>
        <w:tc>
          <w:tcPr>
            <w:tcW w:w="1728" w:type="dxa"/>
            <w:shd w:val="clear" w:color="auto" w:fill="FFFFFF"/>
          </w:tcPr>
          <w:p w14:paraId="6F4795E3"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7.1%</w:t>
            </w:r>
          </w:p>
        </w:tc>
      </w:tr>
      <w:tr w:rsidR="00856DFA" w:rsidRPr="00B80F82" w14:paraId="42351FBE" w14:textId="77777777" w:rsidTr="00FF1565">
        <w:trPr>
          <w:cantSplit/>
          <w:trHeight w:val="137"/>
        </w:trPr>
        <w:tc>
          <w:tcPr>
            <w:tcW w:w="754" w:type="dxa"/>
            <w:vMerge/>
            <w:shd w:val="clear" w:color="auto" w:fill="FFFFFF"/>
          </w:tcPr>
          <w:p w14:paraId="59E2590A" w14:textId="77777777" w:rsidR="00856DFA" w:rsidRPr="00B80F82" w:rsidRDefault="00856DFA" w:rsidP="00FF1565">
            <w:pPr>
              <w:autoSpaceDE w:val="0"/>
              <w:autoSpaceDN w:val="0"/>
              <w:adjustRightInd w:val="0"/>
              <w:spacing w:after="0" w:line="240" w:lineRule="auto"/>
              <w:rPr>
                <w:rFonts w:ascii="Times New Roman" w:hAnsi="Times New Roman" w:cs="Times New Roman"/>
                <w:sz w:val="24"/>
                <w:szCs w:val="24"/>
              </w:rPr>
            </w:pPr>
          </w:p>
        </w:tc>
        <w:tc>
          <w:tcPr>
            <w:tcW w:w="1451" w:type="dxa"/>
            <w:tcBorders>
              <w:bottom w:val="single" w:sz="4" w:space="0" w:color="auto"/>
            </w:tcBorders>
            <w:shd w:val="clear" w:color="auto" w:fill="FFFFFF"/>
          </w:tcPr>
          <w:p w14:paraId="5B7EAEB2" w14:textId="77777777" w:rsidR="00856DFA" w:rsidRPr="00B80F82" w:rsidRDefault="00856DFA" w:rsidP="00FF1565">
            <w:pPr>
              <w:autoSpaceDE w:val="0"/>
              <w:autoSpaceDN w:val="0"/>
              <w:adjustRightInd w:val="0"/>
              <w:spacing w:after="0" w:line="320" w:lineRule="atLeast"/>
              <w:ind w:left="60" w:right="60"/>
              <w:rPr>
                <w:rFonts w:ascii="Times New Roman" w:hAnsi="Times New Roman" w:cs="Times New Roman"/>
                <w:sz w:val="24"/>
                <w:szCs w:val="24"/>
              </w:rPr>
            </w:pPr>
            <w:r w:rsidRPr="00B80F82">
              <w:rPr>
                <w:rFonts w:ascii="Times New Roman" w:hAnsi="Times New Roman" w:cs="Times New Roman"/>
                <w:sz w:val="24"/>
                <w:szCs w:val="24"/>
              </w:rPr>
              <w:t>Total</w:t>
            </w:r>
          </w:p>
        </w:tc>
        <w:tc>
          <w:tcPr>
            <w:tcW w:w="1512" w:type="dxa"/>
            <w:tcBorders>
              <w:bottom w:val="single" w:sz="4" w:space="0" w:color="auto"/>
            </w:tcBorders>
            <w:shd w:val="clear" w:color="auto" w:fill="FFFFFF"/>
            <w:vAlign w:val="center"/>
          </w:tcPr>
          <w:p w14:paraId="2600C93E"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174</w:t>
            </w:r>
          </w:p>
        </w:tc>
        <w:tc>
          <w:tcPr>
            <w:tcW w:w="1331" w:type="dxa"/>
            <w:tcBorders>
              <w:bottom w:val="single" w:sz="4" w:space="0" w:color="auto"/>
            </w:tcBorders>
            <w:shd w:val="clear" w:color="auto" w:fill="FFFFFF"/>
            <w:vAlign w:val="center"/>
          </w:tcPr>
          <w:p w14:paraId="07351C8E"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100.0</w:t>
            </w:r>
          </w:p>
        </w:tc>
        <w:tc>
          <w:tcPr>
            <w:tcW w:w="1331" w:type="dxa"/>
            <w:tcBorders>
              <w:bottom w:val="single" w:sz="4" w:space="0" w:color="auto"/>
            </w:tcBorders>
            <w:shd w:val="clear" w:color="auto" w:fill="FFFFFF"/>
          </w:tcPr>
          <w:p w14:paraId="1B951C93"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170</w:t>
            </w:r>
          </w:p>
        </w:tc>
        <w:tc>
          <w:tcPr>
            <w:tcW w:w="1728" w:type="dxa"/>
            <w:tcBorders>
              <w:bottom w:val="single" w:sz="4" w:space="0" w:color="auto"/>
            </w:tcBorders>
            <w:shd w:val="clear" w:color="auto" w:fill="FFFFFF"/>
          </w:tcPr>
          <w:p w14:paraId="4275F497" w14:textId="77777777" w:rsidR="00856DFA" w:rsidRPr="00B80F82" w:rsidRDefault="00856DFA" w:rsidP="00FF1565">
            <w:pPr>
              <w:autoSpaceDE w:val="0"/>
              <w:autoSpaceDN w:val="0"/>
              <w:adjustRightInd w:val="0"/>
              <w:spacing w:after="0" w:line="320" w:lineRule="atLeast"/>
              <w:ind w:left="60" w:right="60"/>
              <w:jc w:val="right"/>
              <w:rPr>
                <w:rFonts w:ascii="Times New Roman" w:hAnsi="Times New Roman" w:cs="Times New Roman"/>
                <w:sz w:val="24"/>
                <w:szCs w:val="24"/>
              </w:rPr>
            </w:pPr>
            <w:r w:rsidRPr="00B80F82">
              <w:rPr>
                <w:rFonts w:ascii="Times New Roman" w:hAnsi="Times New Roman" w:cs="Times New Roman"/>
                <w:sz w:val="24"/>
                <w:szCs w:val="24"/>
              </w:rPr>
              <w:t>100</w:t>
            </w:r>
          </w:p>
        </w:tc>
      </w:tr>
    </w:tbl>
    <w:p w14:paraId="0B0FA287" w14:textId="77777777" w:rsidR="00856DFA" w:rsidRPr="00B80F82" w:rsidRDefault="00856DFA" w:rsidP="00856DFA">
      <w:pPr>
        <w:autoSpaceDE w:val="0"/>
        <w:autoSpaceDN w:val="0"/>
        <w:adjustRightInd w:val="0"/>
        <w:spacing w:after="0" w:line="400" w:lineRule="atLeast"/>
        <w:rPr>
          <w:rFonts w:ascii="Times New Roman" w:hAnsi="Times New Roman" w:cs="Times New Roman"/>
          <w:sz w:val="24"/>
          <w:szCs w:val="24"/>
        </w:rPr>
      </w:pPr>
      <w:r w:rsidRPr="00B80F82">
        <w:rPr>
          <w:rFonts w:ascii="Times New Roman" w:hAnsi="Times New Roman" w:cs="Times New Roman"/>
          <w:sz w:val="24"/>
          <w:szCs w:val="24"/>
        </w:rPr>
        <w:t>Sources: Field Survey 2025</w:t>
      </w:r>
    </w:p>
    <w:p w14:paraId="71DADB19" w14:textId="77777777" w:rsidR="00856DFA" w:rsidRPr="00B80F82" w:rsidRDefault="00856DFA">
      <w:pPr>
        <w:rPr>
          <w:rFonts w:ascii="Times New Roman" w:hAnsi="Times New Roman" w:cs="Times New Roman"/>
          <w:b/>
          <w:sz w:val="24"/>
          <w:szCs w:val="24"/>
        </w:rPr>
      </w:pPr>
    </w:p>
    <w:p w14:paraId="741447EA" w14:textId="6EC7F83B" w:rsidR="007318F9" w:rsidRPr="00B80F82" w:rsidRDefault="007318F9" w:rsidP="007318F9">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Table .1 reveals notable patterns across the two study sites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Adele that offer insights into how social structure may interact with engagement in forest management activities.</w:t>
      </w:r>
    </w:p>
    <w:p w14:paraId="4917C355" w14:textId="77777777" w:rsidR="007318F9" w:rsidRPr="00B80F82" w:rsidRDefault="007318F9" w:rsidP="007318F9">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In the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communities, nearly half of the respondents (48.9%) were married, while 37.4% had never been married. Widowed individuals accounted for 11.5%, and a smaller portion (2.3%) were divorced. This distribution suggests a relatively stable household structure, where marital unions likely contribute to shared labor and resource responsibilities important factors in community mobilization for forest protection.</w:t>
      </w:r>
    </w:p>
    <w:p w14:paraId="2FAD804D" w14:textId="77777777" w:rsidR="00D243FB" w:rsidRPr="00B80F82" w:rsidRDefault="007318F9" w:rsidP="007318F9">
      <w:pPr>
        <w:spacing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lastRenderedPageBreak/>
        <w:t xml:space="preserve">The Adele communities show a similar marital composition, with 45.9% married and 41.2% single. However, there are subtle but meaningful differences. The percentage of widowed individuals is slightly lower (7.1%), but the proportion of divorced respondents is more than double that of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at 5.9%. While these may appear as minor variances at first glance, they offer clues into demographic and social differences that could influence local engagement with CBFRM initiatives.</w:t>
      </w:r>
    </w:p>
    <w:p w14:paraId="2E1FDD72" w14:textId="77777777" w:rsidR="00457F98" w:rsidRPr="00B80F82" w:rsidRDefault="00457F98" w:rsidP="007318F9">
      <w:pPr>
        <w:spacing w:line="240" w:lineRule="auto"/>
        <w:jc w:val="both"/>
        <w:rPr>
          <w:rFonts w:ascii="Times New Roman" w:hAnsi="Times New Roman" w:cs="Times New Roman"/>
          <w:b/>
          <w:sz w:val="24"/>
          <w:szCs w:val="24"/>
        </w:rPr>
      </w:pPr>
    </w:p>
    <w:p w14:paraId="177F1F3B" w14:textId="77777777" w:rsidR="00457F98" w:rsidRPr="00B80F82" w:rsidRDefault="00457F98" w:rsidP="00457F98">
      <w:pPr>
        <w:rPr>
          <w:rFonts w:ascii="Times New Roman" w:hAnsi="Times New Roman" w:cs="Times New Roman"/>
          <w:b/>
          <w:sz w:val="24"/>
          <w:szCs w:val="24"/>
        </w:rPr>
      </w:pPr>
      <w:bookmarkStart w:id="1" w:name="_Toc207012588"/>
      <w:r w:rsidRPr="00B80F82">
        <w:rPr>
          <w:rFonts w:ascii="Times New Roman" w:hAnsi="Times New Roman" w:cs="Times New Roman"/>
          <w:b/>
          <w:sz w:val="24"/>
          <w:szCs w:val="24"/>
        </w:rPr>
        <w:t>Duration of Residents in Various Communities</w:t>
      </w:r>
      <w:bookmarkEnd w:id="1"/>
      <w:r w:rsidRPr="00B80F82">
        <w:rPr>
          <w:rFonts w:ascii="Times New Roman" w:hAnsi="Times New Roman" w:cs="Times New Roman"/>
          <w:b/>
          <w:sz w:val="24"/>
          <w:szCs w:val="24"/>
        </w:rPr>
        <w:t xml:space="preserve"> </w:t>
      </w:r>
    </w:p>
    <w:p w14:paraId="02DDD27C" w14:textId="77777777" w:rsidR="00856DFA" w:rsidRPr="00B80F82" w:rsidRDefault="00457F98" w:rsidP="00457F98">
      <w:pPr>
        <w:rPr>
          <w:rFonts w:ascii="Times New Roman" w:hAnsi="Times New Roman" w:cs="Times New Roman"/>
          <w:sz w:val="24"/>
          <w:szCs w:val="24"/>
        </w:rPr>
      </w:pPr>
      <w:r w:rsidRPr="00B80F82">
        <w:rPr>
          <w:rFonts w:ascii="Times New Roman" w:hAnsi="Times New Roman" w:cs="Times New Roman"/>
          <w:sz w:val="24"/>
          <w:szCs w:val="24"/>
        </w:rPr>
        <w:t>Understanding the duration of residence in a community is critical for analyzing levels of attachment, knowledge of local ecology, and participation in governance, especially within Community-Based Forest Management (CBFM) framework.</w:t>
      </w:r>
      <w:r w:rsidR="00D243FB" w:rsidRPr="00B80F82">
        <w:rPr>
          <w:rFonts w:ascii="Times New Roman" w:hAnsi="Times New Roman" w:cs="Times New Roman"/>
          <w:sz w:val="24"/>
          <w:szCs w:val="24"/>
        </w:rPr>
        <w:t xml:space="preserve"> </w:t>
      </w:r>
    </w:p>
    <w:p w14:paraId="12E08D6E" w14:textId="77777777" w:rsidR="00D243FB" w:rsidRPr="00B80F82" w:rsidRDefault="00D243FB" w:rsidP="00457F98">
      <w:pPr>
        <w:rPr>
          <w:rFonts w:ascii="Times New Roman" w:hAnsi="Times New Roman" w:cs="Times New Roman"/>
          <w:sz w:val="24"/>
          <w:szCs w:val="24"/>
        </w:rPr>
      </w:pPr>
    </w:p>
    <w:p w14:paraId="4B9E7926" w14:textId="77777777" w:rsidR="00D243FB" w:rsidRPr="00B80F82" w:rsidRDefault="00D243FB" w:rsidP="00457F98">
      <w:pPr>
        <w:rPr>
          <w:rFonts w:ascii="Times New Roman" w:hAnsi="Times New Roman" w:cs="Times New Roman"/>
          <w:sz w:val="24"/>
          <w:szCs w:val="24"/>
        </w:rPr>
      </w:pPr>
      <w:r w:rsidRPr="00B80F82">
        <w:rPr>
          <w:rFonts w:ascii="Times New Roman" w:hAnsi="Times New Roman" w:cs="Times New Roman"/>
          <w:noProof/>
          <w:sz w:val="24"/>
          <w:szCs w:val="24"/>
        </w:rPr>
        <w:drawing>
          <wp:inline distT="0" distB="0" distL="0" distR="0" wp14:anchorId="63D53112" wp14:editId="04C87601">
            <wp:extent cx="5943600" cy="2602865"/>
            <wp:effectExtent l="0" t="0" r="0" b="698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9A7C86" w14:textId="77777777" w:rsidR="00D243FB" w:rsidRPr="00B80F82" w:rsidRDefault="00D243FB" w:rsidP="00457F98">
      <w:pPr>
        <w:rPr>
          <w:rFonts w:ascii="Times New Roman" w:hAnsi="Times New Roman" w:cs="Times New Roman"/>
          <w:sz w:val="24"/>
          <w:szCs w:val="24"/>
        </w:rPr>
      </w:pPr>
    </w:p>
    <w:p w14:paraId="56A7F2BA" w14:textId="022F8260" w:rsidR="002C1289" w:rsidRPr="00B80F82" w:rsidRDefault="002C1289" w:rsidP="002C1289">
      <w:pPr>
        <w:pStyle w:val="Caption"/>
        <w:rPr>
          <w:b w:val="0"/>
        </w:rPr>
      </w:pPr>
      <w:bookmarkStart w:id="2" w:name="_Toc202870221"/>
      <w:bookmarkStart w:id="3" w:name="_Toc206959608"/>
      <w:r w:rsidRPr="00B80F82">
        <w:t xml:space="preserve">Figure </w:t>
      </w:r>
      <w:r w:rsidR="00A17CDD">
        <w:t>3</w:t>
      </w:r>
      <w:r w:rsidRPr="00B80F82">
        <w:t>: Duration of residents in the communit</w:t>
      </w:r>
      <w:bookmarkEnd w:id="2"/>
      <w:bookmarkEnd w:id="3"/>
      <w:r w:rsidRPr="00B80F82">
        <w:t>ies</w:t>
      </w:r>
    </w:p>
    <w:p w14:paraId="04179F71" w14:textId="77777777" w:rsidR="00D243FB" w:rsidRPr="00B80F82" w:rsidRDefault="002C1289" w:rsidP="002C1289">
      <w:pPr>
        <w:spacing w:line="360" w:lineRule="auto"/>
        <w:jc w:val="both"/>
        <w:rPr>
          <w:rFonts w:ascii="Times New Roman" w:hAnsi="Times New Roman" w:cs="Times New Roman"/>
          <w:b/>
          <w:sz w:val="24"/>
          <w:szCs w:val="24"/>
        </w:rPr>
      </w:pPr>
      <w:r w:rsidRPr="00B80F82">
        <w:rPr>
          <w:rFonts w:ascii="Times New Roman" w:hAnsi="Times New Roman" w:cs="Times New Roman"/>
          <w:sz w:val="24"/>
          <w:szCs w:val="24"/>
        </w:rPr>
        <w:t xml:space="preserve">Source: Field Survey, 2025  </w:t>
      </w:r>
    </w:p>
    <w:p w14:paraId="194C6BAC" w14:textId="77777777" w:rsidR="00156680" w:rsidRPr="00B80F82" w:rsidRDefault="00156680" w:rsidP="00156680">
      <w:pPr>
        <w:spacing w:before="100" w:beforeAutospacing="1" w:after="100" w:afterAutospacing="1" w:line="36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 data indicate that a majority of respondents in both communities have resided in their respective locations for over 20 years.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69.5% of respondents fall into this category, while in Adele, the proportion is 68.8%. Those who have lived in the community for 11–20 years represent 13.2%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13.5% in Adele. The smallest g</w:t>
      </w:r>
      <w:r w:rsidR="002C1289" w:rsidRPr="00B80F82">
        <w:rPr>
          <w:rFonts w:ascii="Times New Roman" w:eastAsia="Times New Roman" w:hAnsi="Times New Roman" w:cs="Times New Roman"/>
          <w:sz w:val="24"/>
          <w:szCs w:val="24"/>
        </w:rPr>
        <w:t>roup includes respondents with 1</w:t>
      </w:r>
      <w:r w:rsidRPr="00B80F82">
        <w:rPr>
          <w:rFonts w:ascii="Times New Roman" w:eastAsia="Times New Roman" w:hAnsi="Times New Roman" w:cs="Times New Roman"/>
          <w:sz w:val="24"/>
          <w:szCs w:val="24"/>
        </w:rPr>
        <w:t xml:space="preserve">–10 years of residence, accounting for 17.2%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17.6% in Adele.</w:t>
      </w:r>
    </w:p>
    <w:p w14:paraId="40717F2C" w14:textId="77777777" w:rsidR="00055A75" w:rsidRPr="00B80F82" w:rsidRDefault="00055A75" w:rsidP="00156680">
      <w:pPr>
        <w:spacing w:before="100" w:beforeAutospacing="1" w:after="100" w:afterAutospacing="1" w:line="360" w:lineRule="auto"/>
        <w:jc w:val="both"/>
        <w:rPr>
          <w:rFonts w:ascii="Times New Roman" w:eastAsia="Times New Roman" w:hAnsi="Times New Roman" w:cs="Times New Roman"/>
          <w:sz w:val="24"/>
          <w:szCs w:val="24"/>
        </w:rPr>
      </w:pPr>
    </w:p>
    <w:p w14:paraId="5D288550" w14:textId="77777777" w:rsidR="00156680" w:rsidRPr="00B80F82" w:rsidRDefault="00156680" w:rsidP="00156680">
      <w:pPr>
        <w:spacing w:before="100" w:beforeAutospacing="1" w:after="100" w:afterAutospacing="1" w:line="36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lastRenderedPageBreak/>
        <w:t xml:space="preserve">These figures suggest that both study communities are characterized by a relatively stable population with a high proportion of long-term residents. This information offers important demographic context for understanding the community structure and may inform later analysis of participation patterns in forest management activities. No assumptions are made here about the influence of residency length on governance outcomes, as that is addressed in subsequent sections of the study. </w:t>
      </w:r>
    </w:p>
    <w:p w14:paraId="768F2F17" w14:textId="77777777" w:rsidR="00D243FB" w:rsidRPr="00B80F82" w:rsidRDefault="00D243FB" w:rsidP="00457F98">
      <w:pPr>
        <w:rPr>
          <w:rFonts w:ascii="Times New Roman" w:hAnsi="Times New Roman" w:cs="Times New Roman"/>
          <w:sz w:val="24"/>
          <w:szCs w:val="24"/>
        </w:rPr>
      </w:pPr>
    </w:p>
    <w:p w14:paraId="6E0E8E2C" w14:textId="77777777" w:rsidR="00396260" w:rsidRPr="00B80F82" w:rsidRDefault="00396260" w:rsidP="00396260">
      <w:pPr>
        <w:keepNext/>
        <w:keepLines/>
        <w:numPr>
          <w:ilvl w:val="1"/>
          <w:numId w:val="0"/>
        </w:numPr>
        <w:spacing w:before="40" w:after="0" w:line="360" w:lineRule="auto"/>
        <w:ind w:left="576" w:hanging="576"/>
        <w:outlineLvl w:val="1"/>
        <w:rPr>
          <w:rFonts w:ascii="Times New Roman" w:eastAsiaTheme="majorEastAsia" w:hAnsi="Times New Roman" w:cs="Times New Roman"/>
          <w:b/>
          <w:bCs/>
          <w:sz w:val="24"/>
          <w:szCs w:val="24"/>
        </w:rPr>
      </w:pPr>
      <w:bookmarkStart w:id="4" w:name="_Toc207012596"/>
      <w:r w:rsidRPr="00B80F82">
        <w:rPr>
          <w:rFonts w:ascii="Times New Roman" w:eastAsiaTheme="majorEastAsia" w:hAnsi="Times New Roman" w:cs="Times New Roman"/>
          <w:b/>
          <w:bCs/>
          <w:sz w:val="24"/>
          <w:szCs w:val="24"/>
        </w:rPr>
        <w:t xml:space="preserve">Distribution of Comparative response on Changes of Forest Cover in </w:t>
      </w:r>
      <w:proofErr w:type="spellStart"/>
      <w:r w:rsidRPr="00B80F82">
        <w:rPr>
          <w:rFonts w:ascii="Times New Roman" w:eastAsiaTheme="majorEastAsia" w:hAnsi="Times New Roman" w:cs="Times New Roman"/>
          <w:b/>
          <w:bCs/>
          <w:sz w:val="24"/>
          <w:szCs w:val="24"/>
        </w:rPr>
        <w:t>Nchumuru</w:t>
      </w:r>
      <w:proofErr w:type="spellEnd"/>
      <w:r w:rsidRPr="00B80F82">
        <w:rPr>
          <w:rFonts w:ascii="Times New Roman" w:eastAsiaTheme="majorEastAsia" w:hAnsi="Times New Roman" w:cs="Times New Roman"/>
          <w:b/>
          <w:bCs/>
          <w:sz w:val="24"/>
          <w:szCs w:val="24"/>
        </w:rPr>
        <w:t xml:space="preserve"> and Adele Communities</w:t>
      </w:r>
      <w:bookmarkEnd w:id="4"/>
      <w:r w:rsidRPr="00B80F82">
        <w:rPr>
          <w:rFonts w:ascii="Times New Roman" w:eastAsiaTheme="majorEastAsia" w:hAnsi="Times New Roman" w:cs="Times New Roman"/>
          <w:b/>
          <w:bCs/>
          <w:sz w:val="24"/>
          <w:szCs w:val="24"/>
        </w:rPr>
        <w:t xml:space="preserve"> </w:t>
      </w:r>
    </w:p>
    <w:p w14:paraId="3F7121E6" w14:textId="77777777" w:rsidR="00D32F03" w:rsidRPr="00B80F82" w:rsidRDefault="00D32F03" w:rsidP="00D32F03">
      <w:pPr>
        <w:tabs>
          <w:tab w:val="left" w:pos="990"/>
        </w:tabs>
        <w:spacing w:line="360" w:lineRule="auto"/>
        <w:rPr>
          <w:rFonts w:ascii="Times New Roman" w:hAnsi="Times New Roman" w:cs="Times New Roman"/>
          <w:sz w:val="24"/>
          <w:szCs w:val="24"/>
        </w:rPr>
      </w:pPr>
    </w:p>
    <w:p w14:paraId="722E4E64" w14:textId="77777777" w:rsidR="00396260" w:rsidRPr="00B80F82" w:rsidRDefault="00396260">
      <w:pPr>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 comparative data presented in the graph reveals notable similarities and subtle differences in the perceived levels of improvement between the </w:t>
      </w:r>
      <w:proofErr w:type="spellStart"/>
      <w:r w:rsidRPr="00B80F82">
        <w:rPr>
          <w:rFonts w:ascii="Times New Roman" w:eastAsia="Times New Roman" w:hAnsi="Times New Roman" w:cs="Times New Roman"/>
          <w:bCs/>
          <w:sz w:val="24"/>
          <w:szCs w:val="24"/>
        </w:rPr>
        <w:t>Nchumuru</w:t>
      </w:r>
      <w:proofErr w:type="spellEnd"/>
      <w:r w:rsidRPr="00B80F82">
        <w:rPr>
          <w:rFonts w:ascii="Times New Roman" w:eastAsia="Times New Roman" w:hAnsi="Times New Roman" w:cs="Times New Roman"/>
          <w:sz w:val="24"/>
          <w:szCs w:val="24"/>
        </w:rPr>
        <w:t xml:space="preserve"> and </w:t>
      </w:r>
      <w:r w:rsidRPr="00B80F82">
        <w:rPr>
          <w:rFonts w:ascii="Times New Roman" w:eastAsia="Times New Roman" w:hAnsi="Times New Roman" w:cs="Times New Roman"/>
          <w:bCs/>
          <w:sz w:val="24"/>
          <w:szCs w:val="24"/>
        </w:rPr>
        <w:t>Adele</w:t>
      </w:r>
      <w:r w:rsidRPr="00B80F82">
        <w:rPr>
          <w:rFonts w:ascii="Times New Roman" w:eastAsia="Times New Roman" w:hAnsi="Times New Roman" w:cs="Times New Roman"/>
          <w:sz w:val="24"/>
          <w:szCs w:val="24"/>
        </w:rPr>
        <w:t xml:space="preserve"> communities.</w:t>
      </w:r>
    </w:p>
    <w:p w14:paraId="75824A5C" w14:textId="77777777" w:rsidR="00396260" w:rsidRPr="00B80F82" w:rsidRDefault="00396260">
      <w:pPr>
        <w:rPr>
          <w:rFonts w:ascii="Times New Roman" w:eastAsia="Times New Roman" w:hAnsi="Times New Roman" w:cs="Times New Roman"/>
          <w:sz w:val="24"/>
          <w:szCs w:val="24"/>
        </w:rPr>
      </w:pPr>
    </w:p>
    <w:p w14:paraId="226BAB54" w14:textId="77777777" w:rsidR="00396260" w:rsidRPr="00B80F82" w:rsidRDefault="00396260">
      <w:pPr>
        <w:rPr>
          <w:rFonts w:ascii="Times New Roman" w:hAnsi="Times New Roman" w:cs="Times New Roman"/>
          <w:noProof/>
          <w:sz w:val="24"/>
          <w:szCs w:val="24"/>
        </w:rPr>
      </w:pPr>
      <w:r w:rsidRPr="00B80F82">
        <w:rPr>
          <w:rFonts w:ascii="Times New Roman" w:hAnsi="Times New Roman" w:cs="Times New Roman"/>
          <w:noProof/>
          <w:sz w:val="24"/>
          <w:szCs w:val="24"/>
        </w:rPr>
        <w:t xml:space="preserve"> </w:t>
      </w:r>
      <w:r w:rsidRPr="00B80F82">
        <w:rPr>
          <w:rFonts w:ascii="Times New Roman" w:hAnsi="Times New Roman" w:cs="Times New Roman"/>
          <w:noProof/>
          <w:sz w:val="24"/>
          <w:szCs w:val="24"/>
        </w:rPr>
        <w:drawing>
          <wp:inline distT="0" distB="0" distL="0" distR="0" wp14:anchorId="1963BE83" wp14:editId="22905945">
            <wp:extent cx="4572000" cy="2743199"/>
            <wp:effectExtent l="0" t="0" r="0" b="6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986B64" w14:textId="2C102A62" w:rsidR="00396260" w:rsidRPr="00B80F82" w:rsidRDefault="00A17CDD" w:rsidP="00396260">
      <w:pPr>
        <w:pStyle w:val="Caption"/>
        <w:rPr>
          <w:b w:val="0"/>
        </w:rPr>
      </w:pPr>
      <w:r>
        <w:t>Fig 4-</w:t>
      </w:r>
      <w:r w:rsidR="00396260" w:rsidRPr="00B80F82">
        <w:t xml:space="preserve">Distribution of Comparative response on Changes of Forest cover in </w:t>
      </w:r>
      <w:proofErr w:type="spellStart"/>
      <w:r w:rsidR="00396260" w:rsidRPr="00B80F82">
        <w:t>Nchumuru</w:t>
      </w:r>
      <w:proofErr w:type="spellEnd"/>
      <w:r w:rsidR="00396260" w:rsidRPr="00B80F82">
        <w:t xml:space="preserve"> and Adele Communities </w:t>
      </w:r>
    </w:p>
    <w:p w14:paraId="4D5CA5CE" w14:textId="77777777" w:rsidR="00055A75" w:rsidRDefault="00396260" w:rsidP="00386A6C">
      <w:pPr>
        <w:rPr>
          <w:rFonts w:ascii="Times New Roman" w:hAnsi="Times New Roman" w:cs="Times New Roman"/>
          <w:sz w:val="24"/>
          <w:szCs w:val="24"/>
        </w:rPr>
      </w:pPr>
      <w:r w:rsidRPr="00B80F82">
        <w:rPr>
          <w:rFonts w:ascii="Times New Roman" w:hAnsi="Times New Roman" w:cs="Times New Roman"/>
          <w:sz w:val="24"/>
          <w:szCs w:val="24"/>
        </w:rPr>
        <w:t xml:space="preserve">Source: Field Survey, 2025   </w:t>
      </w:r>
    </w:p>
    <w:p w14:paraId="7651BECD" w14:textId="77777777" w:rsidR="00386A6C" w:rsidRPr="00386A6C" w:rsidRDefault="00386A6C" w:rsidP="00386A6C">
      <w:pPr>
        <w:rPr>
          <w:rFonts w:ascii="Times New Roman" w:hAnsi="Times New Roman" w:cs="Times New Roman"/>
          <w:sz w:val="24"/>
          <w:szCs w:val="24"/>
        </w:rPr>
      </w:pPr>
    </w:p>
    <w:p w14:paraId="3911BF0D" w14:textId="77777777" w:rsidR="00CD1B5F" w:rsidRPr="00B80F82" w:rsidRDefault="00396260" w:rsidP="00CD1B5F">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 comparative analysis of community perceptions of forest cover change between 2020 and 2024 reveals clear differences between the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Adele communities. </w:t>
      </w:r>
    </w:p>
    <w:p w14:paraId="78DB23DF" w14:textId="77777777" w:rsidR="00CD1B5F" w:rsidRPr="00B80F82" w:rsidRDefault="00396260" w:rsidP="00CD1B5F">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lastRenderedPageBreak/>
        <w:t xml:space="preserve">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bCs/>
          <w:sz w:val="24"/>
          <w:szCs w:val="24"/>
        </w:rPr>
        <w:t>23.6%</w:t>
      </w:r>
      <w:r w:rsidRPr="00B80F82">
        <w:rPr>
          <w:rFonts w:ascii="Times New Roman" w:eastAsia="Times New Roman" w:hAnsi="Times New Roman" w:cs="Times New Roman"/>
          <w:sz w:val="24"/>
          <w:szCs w:val="24"/>
        </w:rPr>
        <w:t xml:space="preserve"> of respondents reported a </w:t>
      </w:r>
      <w:r w:rsidRPr="00B80F82">
        <w:rPr>
          <w:rFonts w:ascii="Times New Roman" w:eastAsia="Times New Roman" w:hAnsi="Times New Roman" w:cs="Times New Roman"/>
          <w:bCs/>
          <w:sz w:val="24"/>
          <w:szCs w:val="24"/>
        </w:rPr>
        <w:t>much increase</w:t>
      </w:r>
      <w:r w:rsidRPr="00B80F82">
        <w:rPr>
          <w:rFonts w:ascii="Times New Roman" w:eastAsia="Times New Roman" w:hAnsi="Times New Roman" w:cs="Times New Roman"/>
          <w:sz w:val="24"/>
          <w:szCs w:val="24"/>
        </w:rPr>
        <w:t xml:space="preserve"> in forest cover, while </w:t>
      </w:r>
      <w:r w:rsidRPr="00B80F82">
        <w:rPr>
          <w:rFonts w:ascii="Times New Roman" w:eastAsia="Times New Roman" w:hAnsi="Times New Roman" w:cs="Times New Roman"/>
          <w:bCs/>
          <w:sz w:val="24"/>
          <w:szCs w:val="24"/>
        </w:rPr>
        <w:t>16.7%</w:t>
      </w:r>
      <w:r w:rsidRPr="00B80F82">
        <w:rPr>
          <w:rFonts w:ascii="Times New Roman" w:eastAsia="Times New Roman" w:hAnsi="Times New Roman" w:cs="Times New Roman"/>
          <w:sz w:val="24"/>
          <w:szCs w:val="24"/>
        </w:rPr>
        <w:t xml:space="preserve"> noted a </w:t>
      </w:r>
      <w:r w:rsidRPr="00B80F82">
        <w:rPr>
          <w:rFonts w:ascii="Times New Roman" w:eastAsia="Times New Roman" w:hAnsi="Times New Roman" w:cs="Times New Roman"/>
          <w:bCs/>
          <w:sz w:val="24"/>
          <w:szCs w:val="24"/>
        </w:rPr>
        <w:t>slight increase</w:t>
      </w:r>
      <w:r w:rsidRPr="00B80F82">
        <w:rPr>
          <w:rFonts w:ascii="Times New Roman" w:eastAsia="Times New Roman" w:hAnsi="Times New Roman" w:cs="Times New Roman"/>
          <w:sz w:val="24"/>
          <w:szCs w:val="24"/>
        </w:rPr>
        <w:t xml:space="preserve">, resulting in a combined </w:t>
      </w:r>
      <w:r w:rsidRPr="00B80F82">
        <w:rPr>
          <w:rFonts w:ascii="Times New Roman" w:eastAsia="Times New Roman" w:hAnsi="Times New Roman" w:cs="Times New Roman"/>
          <w:bCs/>
          <w:sz w:val="24"/>
          <w:szCs w:val="24"/>
        </w:rPr>
        <w:t>40.3%</w:t>
      </w:r>
      <w:r w:rsidRPr="00B80F82">
        <w:rPr>
          <w:rFonts w:ascii="Times New Roman" w:eastAsia="Times New Roman" w:hAnsi="Times New Roman" w:cs="Times New Roman"/>
          <w:sz w:val="24"/>
          <w:szCs w:val="24"/>
        </w:rPr>
        <w:t xml:space="preserve"> indicating some level of positive change. Nevertheless, a majority (</w:t>
      </w:r>
      <w:r w:rsidRPr="00B80F82">
        <w:rPr>
          <w:rFonts w:ascii="Times New Roman" w:eastAsia="Times New Roman" w:hAnsi="Times New Roman" w:cs="Times New Roman"/>
          <w:bCs/>
          <w:sz w:val="24"/>
          <w:szCs w:val="24"/>
        </w:rPr>
        <w:t>59.8%</w:t>
      </w:r>
      <w:r w:rsidRPr="00B80F82">
        <w:rPr>
          <w:rFonts w:ascii="Times New Roman" w:eastAsia="Times New Roman" w:hAnsi="Times New Roman" w:cs="Times New Roman"/>
          <w:sz w:val="24"/>
          <w:szCs w:val="24"/>
        </w:rPr>
        <w:t xml:space="preserve">) believed there had been </w:t>
      </w:r>
      <w:r w:rsidRPr="00B80F82">
        <w:rPr>
          <w:rFonts w:ascii="Times New Roman" w:eastAsia="Times New Roman" w:hAnsi="Times New Roman" w:cs="Times New Roman"/>
          <w:bCs/>
          <w:sz w:val="24"/>
          <w:szCs w:val="24"/>
        </w:rPr>
        <w:t>no increase</w:t>
      </w:r>
      <w:r w:rsidRPr="00B80F82">
        <w:rPr>
          <w:rFonts w:ascii="Times New Roman" w:eastAsia="Times New Roman" w:hAnsi="Times New Roman" w:cs="Times New Roman"/>
          <w:sz w:val="24"/>
          <w:szCs w:val="24"/>
        </w:rPr>
        <w:t>.</w:t>
      </w:r>
    </w:p>
    <w:p w14:paraId="09FC0D2A" w14:textId="77777777" w:rsidR="00396260" w:rsidRPr="00B80F82" w:rsidRDefault="00396260" w:rsidP="00CD1B5F">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By contrast, the Adele communities expressed a more pessimistic outlook. Only </w:t>
      </w:r>
      <w:r w:rsidRPr="00B80F82">
        <w:rPr>
          <w:rFonts w:ascii="Times New Roman" w:eastAsia="Times New Roman" w:hAnsi="Times New Roman" w:cs="Times New Roman"/>
          <w:bCs/>
          <w:sz w:val="24"/>
          <w:szCs w:val="24"/>
        </w:rPr>
        <w:t>11.8%</w:t>
      </w:r>
      <w:r w:rsidRPr="00B80F82">
        <w:rPr>
          <w:rFonts w:ascii="Times New Roman" w:eastAsia="Times New Roman" w:hAnsi="Times New Roman" w:cs="Times New Roman"/>
          <w:sz w:val="24"/>
          <w:szCs w:val="24"/>
        </w:rPr>
        <w:t xml:space="preserve"> reported a </w:t>
      </w:r>
      <w:r w:rsidRPr="00B80F82">
        <w:rPr>
          <w:rFonts w:ascii="Times New Roman" w:eastAsia="Times New Roman" w:hAnsi="Times New Roman" w:cs="Times New Roman"/>
          <w:bCs/>
          <w:sz w:val="24"/>
          <w:szCs w:val="24"/>
        </w:rPr>
        <w:t>much increase</w:t>
      </w:r>
      <w:r w:rsidRPr="00B80F82">
        <w:rPr>
          <w:rFonts w:ascii="Times New Roman" w:eastAsia="Times New Roman" w:hAnsi="Times New Roman" w:cs="Times New Roman"/>
          <w:sz w:val="24"/>
          <w:szCs w:val="24"/>
        </w:rPr>
        <w:t xml:space="preserve">, and </w:t>
      </w:r>
      <w:r w:rsidRPr="00B80F82">
        <w:rPr>
          <w:rFonts w:ascii="Times New Roman" w:eastAsia="Times New Roman" w:hAnsi="Times New Roman" w:cs="Times New Roman"/>
          <w:bCs/>
          <w:sz w:val="24"/>
          <w:szCs w:val="24"/>
        </w:rPr>
        <w:t>18.8%</w:t>
      </w:r>
      <w:r w:rsidRPr="00B80F82">
        <w:rPr>
          <w:rFonts w:ascii="Times New Roman" w:eastAsia="Times New Roman" w:hAnsi="Times New Roman" w:cs="Times New Roman"/>
          <w:sz w:val="24"/>
          <w:szCs w:val="24"/>
        </w:rPr>
        <w:t xml:space="preserve"> perceived a </w:t>
      </w:r>
      <w:r w:rsidRPr="00B80F82">
        <w:rPr>
          <w:rFonts w:ascii="Times New Roman" w:eastAsia="Times New Roman" w:hAnsi="Times New Roman" w:cs="Times New Roman"/>
          <w:bCs/>
          <w:sz w:val="24"/>
          <w:szCs w:val="24"/>
        </w:rPr>
        <w:t>slight increase</w:t>
      </w:r>
      <w:r w:rsidRPr="00B80F82">
        <w:rPr>
          <w:rFonts w:ascii="Times New Roman" w:eastAsia="Times New Roman" w:hAnsi="Times New Roman" w:cs="Times New Roman"/>
          <w:sz w:val="24"/>
          <w:szCs w:val="24"/>
        </w:rPr>
        <w:t xml:space="preserve">, bringing the total to </w:t>
      </w:r>
      <w:r w:rsidRPr="00B80F82">
        <w:rPr>
          <w:rFonts w:ascii="Times New Roman" w:eastAsia="Times New Roman" w:hAnsi="Times New Roman" w:cs="Times New Roman"/>
          <w:bCs/>
          <w:sz w:val="24"/>
          <w:szCs w:val="24"/>
        </w:rPr>
        <w:t>30.6%</w:t>
      </w:r>
      <w:r w:rsidRPr="00B80F82">
        <w:rPr>
          <w:rFonts w:ascii="Times New Roman" w:eastAsia="Times New Roman" w:hAnsi="Times New Roman" w:cs="Times New Roman"/>
          <w:sz w:val="24"/>
          <w:szCs w:val="24"/>
        </w:rPr>
        <w:t xml:space="preserve"> who observed any form of improvement. The dominant view in Adele, held by </w:t>
      </w:r>
      <w:r w:rsidRPr="00B80F82">
        <w:rPr>
          <w:rFonts w:ascii="Times New Roman" w:eastAsia="Times New Roman" w:hAnsi="Times New Roman" w:cs="Times New Roman"/>
          <w:bCs/>
          <w:sz w:val="24"/>
          <w:szCs w:val="24"/>
        </w:rPr>
        <w:t>69.4%</w:t>
      </w:r>
      <w:r w:rsidRPr="00B80F82">
        <w:rPr>
          <w:rFonts w:ascii="Times New Roman" w:eastAsia="Times New Roman" w:hAnsi="Times New Roman" w:cs="Times New Roman"/>
          <w:sz w:val="24"/>
          <w:szCs w:val="24"/>
        </w:rPr>
        <w:t xml:space="preserve"> of respondents, was that there had been </w:t>
      </w:r>
      <w:r w:rsidRPr="00B80F82">
        <w:rPr>
          <w:rFonts w:ascii="Times New Roman" w:eastAsia="Times New Roman" w:hAnsi="Times New Roman" w:cs="Times New Roman"/>
          <w:bCs/>
          <w:sz w:val="24"/>
          <w:szCs w:val="24"/>
        </w:rPr>
        <w:t>no increase</w:t>
      </w:r>
      <w:r w:rsidRPr="00B80F82">
        <w:rPr>
          <w:rFonts w:ascii="Times New Roman" w:eastAsia="Times New Roman" w:hAnsi="Times New Roman" w:cs="Times New Roman"/>
          <w:sz w:val="24"/>
          <w:szCs w:val="24"/>
        </w:rPr>
        <w:t xml:space="preserve"> in forest cover over the same period.</w:t>
      </w:r>
    </w:p>
    <w:p w14:paraId="2591AE25" w14:textId="77777777" w:rsidR="00396260" w:rsidRPr="00B80F82" w:rsidRDefault="00396260" w:rsidP="00CD1B5F">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This contrast points to differences in either the actual implementation of community-based forest management practices or the degree to which these practices are perceived as effective and equitable. The relatively higher optimism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may reflect more </w:t>
      </w:r>
      <w:r w:rsidRPr="00B80F82">
        <w:rPr>
          <w:rFonts w:ascii="Times New Roman" w:eastAsia="Times New Roman" w:hAnsi="Times New Roman" w:cs="Times New Roman"/>
          <w:bCs/>
          <w:sz w:val="24"/>
          <w:szCs w:val="24"/>
        </w:rPr>
        <w:t>visible community-led interventions</w:t>
      </w:r>
      <w:r w:rsidRPr="00B80F82">
        <w:rPr>
          <w:rFonts w:ascii="Times New Roman" w:eastAsia="Times New Roman" w:hAnsi="Times New Roman" w:cs="Times New Roman"/>
          <w:sz w:val="24"/>
          <w:szCs w:val="24"/>
        </w:rPr>
        <w:t xml:space="preserve">, such as </w:t>
      </w:r>
      <w:r w:rsidRPr="00B80F82">
        <w:rPr>
          <w:rFonts w:ascii="Times New Roman" w:eastAsia="Times New Roman" w:hAnsi="Times New Roman" w:cs="Times New Roman"/>
          <w:bCs/>
          <w:sz w:val="24"/>
          <w:szCs w:val="24"/>
        </w:rPr>
        <w:t>reforestation programs</w:t>
      </w:r>
      <w:r w:rsidRPr="00B80F82">
        <w:rPr>
          <w:rFonts w:ascii="Times New Roman" w:eastAsia="Times New Roman" w:hAnsi="Times New Roman" w:cs="Times New Roman"/>
          <w:sz w:val="24"/>
          <w:szCs w:val="24"/>
        </w:rPr>
        <w:t xml:space="preserve">, the </w:t>
      </w:r>
      <w:r w:rsidRPr="00B80F82">
        <w:rPr>
          <w:rFonts w:ascii="Times New Roman" w:eastAsia="Times New Roman" w:hAnsi="Times New Roman" w:cs="Times New Roman"/>
          <w:bCs/>
          <w:sz w:val="24"/>
          <w:szCs w:val="24"/>
        </w:rPr>
        <w:t>enforcement of traditional norms</w:t>
      </w:r>
      <w:r w:rsidRPr="00B80F82">
        <w:rPr>
          <w:rFonts w:ascii="Times New Roman" w:eastAsia="Times New Roman" w:hAnsi="Times New Roman" w:cs="Times New Roman"/>
          <w:sz w:val="24"/>
          <w:szCs w:val="24"/>
        </w:rPr>
        <w:t xml:space="preserve">, or </w:t>
      </w:r>
      <w:r w:rsidRPr="00B80F82">
        <w:rPr>
          <w:rFonts w:ascii="Times New Roman" w:eastAsia="Times New Roman" w:hAnsi="Times New Roman" w:cs="Times New Roman"/>
          <w:bCs/>
          <w:sz w:val="24"/>
          <w:szCs w:val="24"/>
        </w:rPr>
        <w:t>stronger participation structures</w:t>
      </w:r>
      <w:r w:rsidRPr="00B80F82">
        <w:rPr>
          <w:rFonts w:ascii="Times New Roman" w:eastAsia="Times New Roman" w:hAnsi="Times New Roman" w:cs="Times New Roman"/>
          <w:sz w:val="24"/>
          <w:szCs w:val="24"/>
        </w:rPr>
        <w:t xml:space="preserve">. As Asante and </w:t>
      </w:r>
      <w:proofErr w:type="spellStart"/>
      <w:r w:rsidRPr="00B80F82">
        <w:rPr>
          <w:rFonts w:ascii="Times New Roman" w:eastAsia="Times New Roman" w:hAnsi="Times New Roman" w:cs="Times New Roman"/>
          <w:sz w:val="24"/>
          <w:szCs w:val="24"/>
        </w:rPr>
        <w:t>Tufuor</w:t>
      </w:r>
      <w:proofErr w:type="spellEnd"/>
      <w:r w:rsidRPr="00B80F82">
        <w:rPr>
          <w:rFonts w:ascii="Times New Roman" w:eastAsia="Times New Roman" w:hAnsi="Times New Roman" w:cs="Times New Roman"/>
          <w:sz w:val="24"/>
          <w:szCs w:val="24"/>
        </w:rPr>
        <w:t xml:space="preserve"> (2019) observe, perceptions of environmental progress often depend on both the ability of communities to engage meaningfully in governance and the visibility of ecological outcomes.</w:t>
      </w:r>
    </w:p>
    <w:p w14:paraId="60D28985" w14:textId="77777777" w:rsidR="00CD1B5F" w:rsidRPr="00B80F82" w:rsidRDefault="00396260" w:rsidP="00CD1B5F">
      <w:pPr>
        <w:pStyle w:val="Heading2"/>
        <w:jc w:val="both"/>
        <w:rPr>
          <w:rFonts w:ascii="Times New Roman" w:eastAsia="Times New Roman" w:hAnsi="Times New Roman" w:cs="Times New Roman"/>
          <w:color w:val="000000" w:themeColor="text1"/>
          <w:sz w:val="24"/>
          <w:szCs w:val="24"/>
        </w:rPr>
      </w:pPr>
      <w:r w:rsidRPr="00B80F82">
        <w:rPr>
          <w:rFonts w:ascii="Times New Roman" w:eastAsia="Times New Roman" w:hAnsi="Times New Roman" w:cs="Times New Roman"/>
          <w:color w:val="000000" w:themeColor="text1"/>
          <w:sz w:val="24"/>
          <w:szCs w:val="24"/>
        </w:rPr>
        <w:t xml:space="preserve">On the other hand, the more critical stance in Adele may be linked to </w:t>
      </w:r>
      <w:r w:rsidRPr="00B80F82">
        <w:rPr>
          <w:rFonts w:ascii="Times New Roman" w:eastAsia="Times New Roman" w:hAnsi="Times New Roman" w:cs="Times New Roman"/>
          <w:bCs/>
          <w:color w:val="000000" w:themeColor="text1"/>
          <w:sz w:val="24"/>
          <w:szCs w:val="24"/>
        </w:rPr>
        <w:t>weaker local engagement</w:t>
      </w:r>
      <w:r w:rsidRPr="00B80F82">
        <w:rPr>
          <w:rFonts w:ascii="Times New Roman" w:eastAsia="Times New Roman" w:hAnsi="Times New Roman" w:cs="Times New Roman"/>
          <w:color w:val="000000" w:themeColor="text1"/>
          <w:sz w:val="24"/>
          <w:szCs w:val="24"/>
        </w:rPr>
        <w:t xml:space="preserve">, </w:t>
      </w:r>
      <w:r w:rsidRPr="00B80F82">
        <w:rPr>
          <w:rFonts w:ascii="Times New Roman" w:eastAsia="Times New Roman" w:hAnsi="Times New Roman" w:cs="Times New Roman"/>
          <w:bCs/>
          <w:color w:val="000000" w:themeColor="text1"/>
          <w:sz w:val="24"/>
          <w:szCs w:val="24"/>
        </w:rPr>
        <w:t>limited access to forest benefits</w:t>
      </w:r>
      <w:r w:rsidRPr="00B80F82">
        <w:rPr>
          <w:rFonts w:ascii="Times New Roman" w:eastAsia="Times New Roman" w:hAnsi="Times New Roman" w:cs="Times New Roman"/>
          <w:color w:val="000000" w:themeColor="text1"/>
          <w:sz w:val="24"/>
          <w:szCs w:val="24"/>
        </w:rPr>
        <w:t xml:space="preserve">, or ongoing </w:t>
      </w:r>
      <w:r w:rsidRPr="00B80F82">
        <w:rPr>
          <w:rFonts w:ascii="Times New Roman" w:eastAsia="Times New Roman" w:hAnsi="Times New Roman" w:cs="Times New Roman"/>
          <w:bCs/>
          <w:color w:val="000000" w:themeColor="text1"/>
          <w:sz w:val="24"/>
          <w:szCs w:val="24"/>
        </w:rPr>
        <w:t>resource degradation</w:t>
      </w:r>
      <w:r w:rsidRPr="00B80F82">
        <w:rPr>
          <w:rFonts w:ascii="Times New Roman" w:eastAsia="Times New Roman" w:hAnsi="Times New Roman" w:cs="Times New Roman"/>
          <w:color w:val="000000" w:themeColor="text1"/>
          <w:sz w:val="24"/>
          <w:szCs w:val="24"/>
        </w:rPr>
        <w:t xml:space="preserve"> driven by farming, charcoal production, and fuelwood harvesting. This interpretation resonates with the arguments of </w:t>
      </w:r>
      <w:proofErr w:type="spellStart"/>
      <w:r w:rsidRPr="00B80F82">
        <w:rPr>
          <w:rFonts w:ascii="Times New Roman" w:eastAsia="Times New Roman" w:hAnsi="Times New Roman" w:cs="Times New Roman"/>
          <w:color w:val="000000" w:themeColor="text1"/>
          <w:sz w:val="24"/>
          <w:szCs w:val="24"/>
        </w:rPr>
        <w:t>Foli</w:t>
      </w:r>
      <w:proofErr w:type="spellEnd"/>
      <w:r w:rsidRPr="00B80F82">
        <w:rPr>
          <w:rFonts w:ascii="Times New Roman" w:eastAsia="Times New Roman" w:hAnsi="Times New Roman" w:cs="Times New Roman"/>
          <w:color w:val="000000" w:themeColor="text1"/>
          <w:sz w:val="24"/>
          <w:szCs w:val="24"/>
        </w:rPr>
        <w:t xml:space="preserve"> et al. (2018), who emphasize that the lack of inclusive and transparent institutional arrangements undermines trust and reduces the likelihood of perceived or actual success in community forestry.</w:t>
      </w:r>
    </w:p>
    <w:p w14:paraId="07F2A97B" w14:textId="77777777" w:rsidR="00CD1B5F" w:rsidRPr="00B80F82" w:rsidRDefault="00CD1B5F" w:rsidP="00CD1B5F">
      <w:pPr>
        <w:pStyle w:val="Heading2"/>
        <w:rPr>
          <w:rFonts w:ascii="Times New Roman" w:eastAsia="Times New Roman" w:hAnsi="Times New Roman" w:cs="Times New Roman"/>
          <w:sz w:val="24"/>
          <w:szCs w:val="24"/>
        </w:rPr>
      </w:pPr>
    </w:p>
    <w:p w14:paraId="035C9852" w14:textId="77777777" w:rsidR="00CD1B5F" w:rsidRPr="00B80F82" w:rsidRDefault="00396260" w:rsidP="00CD1B5F">
      <w:pPr>
        <w:pStyle w:val="Heading2"/>
        <w:rPr>
          <w:rFonts w:ascii="Times New Roman" w:hAnsi="Times New Roman" w:cs="Times New Roman"/>
          <w:b/>
          <w:bCs/>
          <w:color w:val="auto"/>
          <w:sz w:val="24"/>
          <w:szCs w:val="24"/>
        </w:rPr>
      </w:pPr>
      <w:r w:rsidRPr="00B80F82">
        <w:rPr>
          <w:rFonts w:ascii="Times New Roman" w:eastAsia="Times New Roman" w:hAnsi="Times New Roman" w:cs="Times New Roman"/>
          <w:sz w:val="24"/>
          <w:szCs w:val="24"/>
        </w:rPr>
        <w:t xml:space="preserve"> </w:t>
      </w:r>
      <w:bookmarkStart w:id="5" w:name="_Toc207012597"/>
      <w:r w:rsidR="00CD1B5F" w:rsidRPr="00B80F82">
        <w:rPr>
          <w:rFonts w:ascii="Times New Roman" w:hAnsi="Times New Roman" w:cs="Times New Roman"/>
          <w:b/>
          <w:bCs/>
          <w:color w:val="auto"/>
          <w:sz w:val="24"/>
          <w:szCs w:val="24"/>
        </w:rPr>
        <w:t xml:space="preserve">Response of Forest Resources Benefits in </w:t>
      </w:r>
      <w:proofErr w:type="spellStart"/>
      <w:r w:rsidR="00CD1B5F" w:rsidRPr="00B80F82">
        <w:rPr>
          <w:rFonts w:ascii="Times New Roman" w:hAnsi="Times New Roman" w:cs="Times New Roman"/>
          <w:b/>
          <w:bCs/>
          <w:color w:val="auto"/>
          <w:sz w:val="24"/>
          <w:szCs w:val="24"/>
        </w:rPr>
        <w:t>Nchumuru</w:t>
      </w:r>
      <w:proofErr w:type="spellEnd"/>
      <w:r w:rsidR="00CD1B5F" w:rsidRPr="00B80F82">
        <w:rPr>
          <w:rFonts w:ascii="Times New Roman" w:hAnsi="Times New Roman" w:cs="Times New Roman"/>
          <w:b/>
          <w:bCs/>
          <w:color w:val="auto"/>
          <w:sz w:val="24"/>
          <w:szCs w:val="24"/>
        </w:rPr>
        <w:t xml:space="preserve"> and Adele Communities</w:t>
      </w:r>
      <w:bookmarkEnd w:id="5"/>
    </w:p>
    <w:p w14:paraId="124C43F4" w14:textId="77777777" w:rsidR="00CD1B5F" w:rsidRPr="00386A6C" w:rsidRDefault="00CD1B5F" w:rsidP="00386A6C">
      <w:pPr>
        <w:spacing w:before="100" w:beforeAutospacing="1" w:after="100" w:afterAutospacing="1" w:line="36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Assessing community members' responses to the benefits derived from forest resources provides insight into the perceived value and tangible outcomes of community-based forest management. These benefits may include subsistence use (such as firewood, fruits, and medicinal plants), income opportunities, and access to forest-related employment or development projects. The distribution and perception of these benefits often influence local support for conservation efforts and ongoing participation. The table below summarizes respondents’ views on the types and extent of forest resource benefits they receive within the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Adele communities.</w:t>
      </w:r>
    </w:p>
    <w:p w14:paraId="12D7AA08" w14:textId="54699669" w:rsidR="00CD1B5F" w:rsidRPr="00B80F82" w:rsidRDefault="00A17CDD" w:rsidP="00CD1B5F">
      <w:pPr>
        <w:pStyle w:val="Caption"/>
        <w:rPr>
          <w:b w:val="0"/>
        </w:rPr>
      </w:pPr>
      <w:r>
        <w:t>Table 2-</w:t>
      </w:r>
      <w:r w:rsidR="00CD1B5F" w:rsidRPr="00B80F82">
        <w:t xml:space="preserve">Comparative Analysis on Benefit of Community-Based Forest Resources Management in </w:t>
      </w:r>
      <w:proofErr w:type="spellStart"/>
      <w:r w:rsidR="00CD1B5F" w:rsidRPr="00B80F82">
        <w:t>Nchumuru</w:t>
      </w:r>
      <w:proofErr w:type="spellEnd"/>
      <w:r w:rsidR="00CD1B5F" w:rsidRPr="00B80F82">
        <w:t xml:space="preserve"> and Adele Communities</w:t>
      </w:r>
    </w:p>
    <w:tbl>
      <w:tblPr>
        <w:tblW w:w="8688" w:type="dxa"/>
        <w:tblInd w:w="31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918"/>
        <w:gridCol w:w="1498"/>
        <w:gridCol w:w="1419"/>
        <w:gridCol w:w="1263"/>
        <w:gridCol w:w="1744"/>
        <w:gridCol w:w="1846"/>
      </w:tblGrid>
      <w:tr w:rsidR="00CD1B5F" w:rsidRPr="00B80F82" w14:paraId="5CA6ACA7" w14:textId="77777777" w:rsidTr="00FF1565">
        <w:trPr>
          <w:cantSplit/>
          <w:trHeight w:val="923"/>
        </w:trPr>
        <w:tc>
          <w:tcPr>
            <w:tcW w:w="2416" w:type="dxa"/>
            <w:gridSpan w:val="2"/>
            <w:tcBorders>
              <w:top w:val="single" w:sz="4" w:space="0" w:color="auto"/>
              <w:bottom w:val="single" w:sz="4" w:space="0" w:color="auto"/>
            </w:tcBorders>
            <w:shd w:val="clear" w:color="auto" w:fill="FFFFFF"/>
            <w:vAlign w:val="bottom"/>
          </w:tcPr>
          <w:p w14:paraId="76A2A5D5"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r w:rsidRPr="00B80F82">
              <w:rPr>
                <w:rFonts w:ascii="Times New Roman" w:hAnsi="Times New Roman" w:cs="Times New Roman"/>
                <w:sz w:val="24"/>
                <w:szCs w:val="24"/>
              </w:rPr>
              <w:t xml:space="preserve">         Benefit Category</w:t>
            </w:r>
          </w:p>
        </w:tc>
        <w:tc>
          <w:tcPr>
            <w:tcW w:w="1419" w:type="dxa"/>
            <w:tcBorders>
              <w:top w:val="single" w:sz="4" w:space="0" w:color="auto"/>
              <w:bottom w:val="single" w:sz="4" w:space="0" w:color="auto"/>
            </w:tcBorders>
            <w:shd w:val="clear" w:color="auto" w:fill="FFFFFF"/>
            <w:vAlign w:val="bottom"/>
          </w:tcPr>
          <w:p w14:paraId="58C0CDAB"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proofErr w:type="spellStart"/>
            <w:r w:rsidRPr="00B80F82">
              <w:rPr>
                <w:rFonts w:ascii="Times New Roman" w:hAnsi="Times New Roman" w:cs="Times New Roman"/>
                <w:sz w:val="24"/>
                <w:szCs w:val="24"/>
              </w:rPr>
              <w:t>Nchumuru</w:t>
            </w:r>
            <w:proofErr w:type="spellEnd"/>
            <w:r w:rsidRPr="00B80F82">
              <w:rPr>
                <w:rFonts w:ascii="Times New Roman" w:hAnsi="Times New Roman" w:cs="Times New Roman"/>
                <w:sz w:val="24"/>
                <w:szCs w:val="24"/>
              </w:rPr>
              <w:t xml:space="preserve"> Frequency</w:t>
            </w:r>
          </w:p>
        </w:tc>
        <w:tc>
          <w:tcPr>
            <w:tcW w:w="1263" w:type="dxa"/>
            <w:tcBorders>
              <w:top w:val="single" w:sz="4" w:space="0" w:color="auto"/>
              <w:bottom w:val="single" w:sz="4" w:space="0" w:color="auto"/>
            </w:tcBorders>
            <w:shd w:val="clear" w:color="auto" w:fill="FFFFFF"/>
            <w:vAlign w:val="bottom"/>
          </w:tcPr>
          <w:p w14:paraId="779F0B89"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Percent</w:t>
            </w:r>
          </w:p>
        </w:tc>
        <w:tc>
          <w:tcPr>
            <w:tcW w:w="1744" w:type="dxa"/>
            <w:tcBorders>
              <w:top w:val="single" w:sz="4" w:space="0" w:color="auto"/>
              <w:bottom w:val="single" w:sz="4" w:space="0" w:color="auto"/>
            </w:tcBorders>
            <w:shd w:val="clear" w:color="auto" w:fill="FFFFFF"/>
            <w:vAlign w:val="bottom"/>
          </w:tcPr>
          <w:p w14:paraId="2B8A6E9F"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 Adele Frequency</w:t>
            </w:r>
          </w:p>
        </w:tc>
        <w:tc>
          <w:tcPr>
            <w:tcW w:w="1846" w:type="dxa"/>
            <w:tcBorders>
              <w:top w:val="single" w:sz="4" w:space="0" w:color="auto"/>
              <w:bottom w:val="single" w:sz="4" w:space="0" w:color="auto"/>
            </w:tcBorders>
            <w:shd w:val="clear" w:color="auto" w:fill="FFFFFF"/>
            <w:vAlign w:val="bottom"/>
          </w:tcPr>
          <w:p w14:paraId="78C29A4E"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 Percent</w:t>
            </w:r>
          </w:p>
        </w:tc>
      </w:tr>
      <w:tr w:rsidR="00CD1B5F" w:rsidRPr="00B80F82" w14:paraId="09E00546" w14:textId="77777777" w:rsidTr="00FF1565">
        <w:trPr>
          <w:cantSplit/>
          <w:trHeight w:val="102"/>
        </w:trPr>
        <w:tc>
          <w:tcPr>
            <w:tcW w:w="918" w:type="dxa"/>
            <w:vMerge w:val="restart"/>
            <w:tcBorders>
              <w:top w:val="single" w:sz="4" w:space="0" w:color="auto"/>
            </w:tcBorders>
            <w:shd w:val="clear" w:color="auto" w:fill="FFFFFF"/>
          </w:tcPr>
          <w:p w14:paraId="013A6880"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lastRenderedPageBreak/>
              <w:t>Valid</w:t>
            </w:r>
          </w:p>
        </w:tc>
        <w:tc>
          <w:tcPr>
            <w:tcW w:w="1498" w:type="dxa"/>
            <w:tcBorders>
              <w:top w:val="single" w:sz="4" w:space="0" w:color="auto"/>
            </w:tcBorders>
            <w:shd w:val="clear" w:color="auto" w:fill="FFFFFF"/>
          </w:tcPr>
          <w:p w14:paraId="38C7A435"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p>
          <w:p w14:paraId="5DF35773"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p>
          <w:p w14:paraId="5B6EC60B"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r w:rsidRPr="00B80F82">
              <w:rPr>
                <w:rFonts w:ascii="Times New Roman" w:hAnsi="Times New Roman" w:cs="Times New Roman"/>
                <w:sz w:val="24"/>
                <w:szCs w:val="24"/>
              </w:rPr>
              <w:t xml:space="preserve">Employment </w:t>
            </w:r>
          </w:p>
        </w:tc>
        <w:tc>
          <w:tcPr>
            <w:tcW w:w="1419" w:type="dxa"/>
            <w:tcBorders>
              <w:top w:val="single" w:sz="4" w:space="0" w:color="auto"/>
            </w:tcBorders>
            <w:shd w:val="clear" w:color="auto" w:fill="FFFFFF"/>
            <w:vAlign w:val="center"/>
          </w:tcPr>
          <w:p w14:paraId="43B08A15"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10</w:t>
            </w:r>
          </w:p>
        </w:tc>
        <w:tc>
          <w:tcPr>
            <w:tcW w:w="1263" w:type="dxa"/>
            <w:tcBorders>
              <w:top w:val="single" w:sz="4" w:space="0" w:color="auto"/>
            </w:tcBorders>
            <w:shd w:val="clear" w:color="auto" w:fill="FFFFFF"/>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30"/>
            </w:tblGrid>
            <w:tr w:rsidR="00CD1B5F" w:rsidRPr="00B80F82" w14:paraId="42CDB8AD" w14:textId="77777777" w:rsidTr="00FF1565">
              <w:trPr>
                <w:trHeight w:val="151"/>
                <w:tblCellSpacing w:w="15" w:type="dxa"/>
              </w:trPr>
              <w:tc>
                <w:tcPr>
                  <w:tcW w:w="370" w:type="dxa"/>
                  <w:vAlign w:val="center"/>
                  <w:hideMark/>
                </w:tcPr>
                <w:p w14:paraId="66AE2BA8" w14:textId="77777777" w:rsidR="00CD1B5F" w:rsidRPr="00B80F82" w:rsidRDefault="00CD1B5F" w:rsidP="00FF1565">
                  <w:pPr>
                    <w:spacing w:after="0" w:line="240" w:lineRule="auto"/>
                    <w:jc w:val="both"/>
                    <w:rPr>
                      <w:rFonts w:ascii="Times New Roman" w:eastAsia="Times New Roman" w:hAnsi="Times New Roman" w:cs="Times New Roman"/>
                      <w:sz w:val="24"/>
                      <w:szCs w:val="24"/>
                    </w:rPr>
                  </w:pPr>
                </w:p>
              </w:tc>
            </w:tr>
          </w:tbl>
          <w:p w14:paraId="6932AD38" w14:textId="77777777" w:rsidR="00CD1B5F" w:rsidRPr="00B80F82" w:rsidRDefault="00CD1B5F" w:rsidP="00FF1565">
            <w:pPr>
              <w:spacing w:after="0" w:line="240" w:lineRule="auto"/>
              <w:jc w:val="both"/>
              <w:rPr>
                <w:rFonts w:ascii="Times New Roman" w:eastAsia="Times New Roman" w:hAnsi="Times New Roman" w:cs="Times New Roman"/>
                <w:vanish/>
                <w:sz w:val="24"/>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30"/>
            </w:tblGrid>
            <w:tr w:rsidR="00CD1B5F" w:rsidRPr="00B80F82" w14:paraId="346753DA" w14:textId="77777777" w:rsidTr="00FF1565">
              <w:trPr>
                <w:trHeight w:val="866"/>
                <w:tblCellSpacing w:w="15" w:type="dxa"/>
              </w:trPr>
              <w:tc>
                <w:tcPr>
                  <w:tcW w:w="370" w:type="dxa"/>
                  <w:vAlign w:val="center"/>
                  <w:hideMark/>
                </w:tcPr>
                <w:p w14:paraId="582C3E85" w14:textId="77777777" w:rsidR="00CD1B5F" w:rsidRPr="00B80F82" w:rsidRDefault="00CD1B5F" w:rsidP="00FF1565">
                  <w:pPr>
                    <w:spacing w:after="0"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     5.7      % </w:t>
                  </w:r>
                </w:p>
              </w:tc>
            </w:tr>
          </w:tbl>
          <w:p w14:paraId="7B089C5F"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 </w:t>
            </w:r>
          </w:p>
        </w:tc>
        <w:tc>
          <w:tcPr>
            <w:tcW w:w="1744" w:type="dxa"/>
            <w:tcBorders>
              <w:top w:val="single" w:sz="4" w:space="0" w:color="auto"/>
            </w:tcBorders>
            <w:shd w:val="clear" w:color="auto" w:fill="FFFFFF"/>
            <w:vAlign w:val="center"/>
          </w:tcPr>
          <w:p w14:paraId="1463E1F9"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6</w:t>
            </w:r>
          </w:p>
        </w:tc>
        <w:tc>
          <w:tcPr>
            <w:tcW w:w="1846" w:type="dxa"/>
            <w:tcBorders>
              <w:top w:val="single" w:sz="4" w:space="0" w:color="auto"/>
            </w:tcBorders>
            <w:shd w:val="clear" w:color="auto" w:fill="FFFFFF"/>
            <w:vAlign w:val="center"/>
          </w:tcPr>
          <w:p w14:paraId="56E0D1DE"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3.5% </w:t>
            </w:r>
          </w:p>
        </w:tc>
      </w:tr>
      <w:tr w:rsidR="00CD1B5F" w:rsidRPr="00B80F82" w14:paraId="47894FC8" w14:textId="77777777" w:rsidTr="00FF1565">
        <w:trPr>
          <w:cantSplit/>
          <w:trHeight w:val="102"/>
        </w:trPr>
        <w:tc>
          <w:tcPr>
            <w:tcW w:w="918" w:type="dxa"/>
            <w:vMerge/>
            <w:shd w:val="clear" w:color="auto" w:fill="FFFFFF"/>
          </w:tcPr>
          <w:p w14:paraId="7236F6D0"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p>
        </w:tc>
        <w:tc>
          <w:tcPr>
            <w:tcW w:w="1498" w:type="dxa"/>
            <w:shd w:val="clear" w:color="auto" w:fill="FFFFFF"/>
          </w:tcPr>
          <w:p w14:paraId="41A78618" w14:textId="77777777" w:rsidR="00CD1B5F" w:rsidRPr="00B80F82" w:rsidRDefault="00CD1B5F" w:rsidP="00FF1565">
            <w:pPr>
              <w:autoSpaceDE w:val="0"/>
              <w:autoSpaceDN w:val="0"/>
              <w:adjustRightInd w:val="0"/>
              <w:spacing w:after="0" w:line="320" w:lineRule="atLeast"/>
              <w:ind w:right="60"/>
              <w:jc w:val="both"/>
              <w:rPr>
                <w:rFonts w:ascii="Times New Roman" w:hAnsi="Times New Roman" w:cs="Times New Roman"/>
                <w:sz w:val="24"/>
                <w:szCs w:val="24"/>
              </w:rPr>
            </w:pPr>
          </w:p>
        </w:tc>
        <w:tc>
          <w:tcPr>
            <w:tcW w:w="1419" w:type="dxa"/>
            <w:shd w:val="clear" w:color="auto" w:fill="FFFFFF"/>
            <w:vAlign w:val="center"/>
          </w:tcPr>
          <w:p w14:paraId="52D01C5C" w14:textId="77777777" w:rsidR="00CD1B5F" w:rsidRPr="00B80F82" w:rsidRDefault="00CD1B5F" w:rsidP="00FF1565">
            <w:pPr>
              <w:autoSpaceDE w:val="0"/>
              <w:autoSpaceDN w:val="0"/>
              <w:adjustRightInd w:val="0"/>
              <w:spacing w:after="0" w:line="320" w:lineRule="atLeast"/>
              <w:ind w:right="60"/>
              <w:jc w:val="both"/>
              <w:rPr>
                <w:rFonts w:ascii="Times New Roman" w:hAnsi="Times New Roman" w:cs="Times New Roman"/>
                <w:sz w:val="24"/>
                <w:szCs w:val="24"/>
              </w:rPr>
            </w:pPr>
          </w:p>
        </w:tc>
        <w:tc>
          <w:tcPr>
            <w:tcW w:w="1263" w:type="dxa"/>
            <w:shd w:val="clear" w:color="auto" w:fill="FFFFFF"/>
            <w:vAlign w:val="center"/>
          </w:tcPr>
          <w:p w14:paraId="14DCE6DE"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p>
        </w:tc>
        <w:tc>
          <w:tcPr>
            <w:tcW w:w="1744" w:type="dxa"/>
            <w:shd w:val="clear" w:color="auto" w:fill="FFFFFF"/>
            <w:vAlign w:val="center"/>
          </w:tcPr>
          <w:p w14:paraId="79918645"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p>
        </w:tc>
        <w:tc>
          <w:tcPr>
            <w:tcW w:w="1846" w:type="dxa"/>
            <w:shd w:val="clear" w:color="auto" w:fill="FFFFFF"/>
            <w:vAlign w:val="center"/>
          </w:tcPr>
          <w:p w14:paraId="5ED90B09"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 </w:t>
            </w:r>
          </w:p>
        </w:tc>
      </w:tr>
      <w:tr w:rsidR="00CD1B5F" w:rsidRPr="00B80F82" w14:paraId="3B8B2291" w14:textId="77777777" w:rsidTr="00FF1565">
        <w:trPr>
          <w:cantSplit/>
          <w:trHeight w:val="102"/>
        </w:trPr>
        <w:tc>
          <w:tcPr>
            <w:tcW w:w="918" w:type="dxa"/>
            <w:vMerge/>
            <w:shd w:val="clear" w:color="auto" w:fill="FFFFFF"/>
          </w:tcPr>
          <w:p w14:paraId="79C67AA1"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p>
        </w:tc>
        <w:tc>
          <w:tcPr>
            <w:tcW w:w="1498" w:type="dxa"/>
            <w:shd w:val="clear" w:color="auto" w:fill="FFFFFF"/>
          </w:tcPr>
          <w:p w14:paraId="4E5B5D8F"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Firewood</w:t>
            </w:r>
          </w:p>
        </w:tc>
        <w:tc>
          <w:tcPr>
            <w:tcW w:w="1419" w:type="dxa"/>
            <w:shd w:val="clear" w:color="auto" w:fill="FFFFFF"/>
            <w:vAlign w:val="center"/>
          </w:tcPr>
          <w:p w14:paraId="22212685" w14:textId="77777777" w:rsidR="00CD1B5F" w:rsidRPr="00B80F82" w:rsidRDefault="00CD1B5F" w:rsidP="00FF1565">
            <w:pPr>
              <w:autoSpaceDE w:val="0"/>
              <w:autoSpaceDN w:val="0"/>
              <w:adjustRightInd w:val="0"/>
              <w:spacing w:after="0" w:line="320" w:lineRule="atLeast"/>
              <w:ind w:right="60"/>
              <w:jc w:val="both"/>
              <w:rPr>
                <w:rFonts w:ascii="Times New Roman" w:hAnsi="Times New Roman" w:cs="Times New Roman"/>
                <w:sz w:val="24"/>
                <w:szCs w:val="24"/>
              </w:rPr>
            </w:pPr>
            <w:r w:rsidRPr="00B80F82">
              <w:rPr>
                <w:rFonts w:ascii="Times New Roman" w:hAnsi="Times New Roman" w:cs="Times New Roman"/>
                <w:sz w:val="24"/>
                <w:szCs w:val="24"/>
              </w:rPr>
              <w:t xml:space="preserve">  65</w:t>
            </w:r>
          </w:p>
        </w:tc>
        <w:tc>
          <w:tcPr>
            <w:tcW w:w="1263" w:type="dxa"/>
            <w:shd w:val="clear" w:color="auto" w:fill="FFFFFF"/>
            <w:vAlign w:val="center"/>
          </w:tcPr>
          <w:p w14:paraId="6CCF818C"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37.4% </w:t>
            </w:r>
          </w:p>
        </w:tc>
        <w:tc>
          <w:tcPr>
            <w:tcW w:w="1744" w:type="dxa"/>
            <w:shd w:val="clear" w:color="auto" w:fill="FFFFFF"/>
            <w:vAlign w:val="center"/>
          </w:tcPr>
          <w:p w14:paraId="6FA9D1C4"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54</w:t>
            </w:r>
          </w:p>
        </w:tc>
        <w:tc>
          <w:tcPr>
            <w:tcW w:w="1846" w:type="dxa"/>
            <w:shd w:val="clear" w:color="auto" w:fill="FFFFFF"/>
            <w:vAlign w:val="center"/>
          </w:tcPr>
          <w:p w14:paraId="60E13A6C"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  31.8%</w:t>
            </w:r>
          </w:p>
        </w:tc>
      </w:tr>
      <w:tr w:rsidR="00CD1B5F" w:rsidRPr="00B80F82" w14:paraId="10598F05" w14:textId="77777777" w:rsidTr="00FF1565">
        <w:trPr>
          <w:cantSplit/>
          <w:trHeight w:val="102"/>
        </w:trPr>
        <w:tc>
          <w:tcPr>
            <w:tcW w:w="918" w:type="dxa"/>
            <w:vMerge/>
            <w:shd w:val="clear" w:color="auto" w:fill="FFFFFF"/>
          </w:tcPr>
          <w:p w14:paraId="63B9ECA4"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p>
        </w:tc>
        <w:tc>
          <w:tcPr>
            <w:tcW w:w="1498" w:type="dxa"/>
            <w:shd w:val="clear" w:color="auto" w:fill="FFFFFF"/>
          </w:tcPr>
          <w:p w14:paraId="6EB832DB"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Fruits</w:t>
            </w:r>
          </w:p>
        </w:tc>
        <w:tc>
          <w:tcPr>
            <w:tcW w:w="1419" w:type="dxa"/>
            <w:shd w:val="clear" w:color="auto" w:fill="FFFFFF"/>
            <w:vAlign w:val="center"/>
          </w:tcPr>
          <w:p w14:paraId="2B83EF40"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48</w:t>
            </w:r>
          </w:p>
        </w:tc>
        <w:tc>
          <w:tcPr>
            <w:tcW w:w="1263" w:type="dxa"/>
            <w:shd w:val="clear" w:color="auto" w:fill="FFFFFF"/>
            <w:vAlign w:val="center"/>
          </w:tcPr>
          <w:p w14:paraId="7F7E2F1B"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27.6% </w:t>
            </w:r>
          </w:p>
        </w:tc>
        <w:tc>
          <w:tcPr>
            <w:tcW w:w="1744" w:type="dxa"/>
            <w:shd w:val="clear" w:color="auto" w:fill="FFFFFF"/>
            <w:vAlign w:val="center"/>
          </w:tcPr>
          <w:p w14:paraId="26E21C3E"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 39</w:t>
            </w:r>
          </w:p>
        </w:tc>
        <w:tc>
          <w:tcPr>
            <w:tcW w:w="1846" w:type="dxa"/>
            <w:shd w:val="clear" w:color="auto" w:fill="FFFFFF"/>
            <w:vAlign w:val="center"/>
          </w:tcPr>
          <w:p w14:paraId="4B622CB2"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 22.9%</w:t>
            </w:r>
          </w:p>
        </w:tc>
      </w:tr>
      <w:tr w:rsidR="00CD1B5F" w:rsidRPr="00B80F82" w14:paraId="0D2EE18E" w14:textId="77777777" w:rsidTr="00FF1565">
        <w:trPr>
          <w:cantSplit/>
          <w:trHeight w:val="102"/>
        </w:trPr>
        <w:tc>
          <w:tcPr>
            <w:tcW w:w="918" w:type="dxa"/>
            <w:vMerge/>
            <w:shd w:val="clear" w:color="auto" w:fill="FFFFFF"/>
          </w:tcPr>
          <w:p w14:paraId="56D06AF0"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p>
        </w:tc>
        <w:tc>
          <w:tcPr>
            <w:tcW w:w="1498" w:type="dxa"/>
            <w:shd w:val="clear" w:color="auto" w:fill="FFFFFF"/>
          </w:tcPr>
          <w:p w14:paraId="14A354E7"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Timber</w:t>
            </w:r>
          </w:p>
        </w:tc>
        <w:tc>
          <w:tcPr>
            <w:tcW w:w="1419" w:type="dxa"/>
            <w:shd w:val="clear" w:color="auto" w:fill="FFFFFF"/>
            <w:vAlign w:val="center"/>
          </w:tcPr>
          <w:p w14:paraId="58FCE1FB"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51</w:t>
            </w:r>
          </w:p>
        </w:tc>
        <w:tc>
          <w:tcPr>
            <w:tcW w:w="1263" w:type="dxa"/>
            <w:shd w:val="clear" w:color="auto" w:fill="FFFFFF"/>
            <w:vAlign w:val="center"/>
          </w:tcPr>
          <w:p w14:paraId="78763FA2"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29.3% </w:t>
            </w:r>
          </w:p>
        </w:tc>
        <w:tc>
          <w:tcPr>
            <w:tcW w:w="1744" w:type="dxa"/>
            <w:shd w:val="clear" w:color="auto" w:fill="FFFFFF"/>
            <w:vAlign w:val="center"/>
          </w:tcPr>
          <w:p w14:paraId="6B7427CE"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71</w:t>
            </w:r>
          </w:p>
        </w:tc>
        <w:tc>
          <w:tcPr>
            <w:tcW w:w="1846" w:type="dxa"/>
            <w:shd w:val="clear" w:color="auto" w:fill="FFFFFF"/>
            <w:vAlign w:val="center"/>
          </w:tcPr>
          <w:p w14:paraId="6227F0B6"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 xml:space="preserve">41.8% </w:t>
            </w:r>
          </w:p>
          <w:p w14:paraId="314A5F18"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100.0</w:t>
            </w:r>
          </w:p>
        </w:tc>
      </w:tr>
      <w:tr w:rsidR="00CD1B5F" w:rsidRPr="00B80F82" w14:paraId="51B818AB" w14:textId="77777777" w:rsidTr="00FF1565">
        <w:trPr>
          <w:cantSplit/>
          <w:trHeight w:val="102"/>
        </w:trPr>
        <w:tc>
          <w:tcPr>
            <w:tcW w:w="918" w:type="dxa"/>
            <w:vMerge/>
            <w:shd w:val="clear" w:color="auto" w:fill="FFFFFF"/>
          </w:tcPr>
          <w:p w14:paraId="5A8FC326"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p>
        </w:tc>
        <w:tc>
          <w:tcPr>
            <w:tcW w:w="1498" w:type="dxa"/>
            <w:shd w:val="clear" w:color="auto" w:fill="FFFFFF"/>
          </w:tcPr>
          <w:p w14:paraId="583E7C58"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Total</w:t>
            </w:r>
          </w:p>
        </w:tc>
        <w:tc>
          <w:tcPr>
            <w:tcW w:w="1419" w:type="dxa"/>
            <w:shd w:val="clear" w:color="auto" w:fill="FFFFFF"/>
            <w:vAlign w:val="center"/>
          </w:tcPr>
          <w:p w14:paraId="70351940"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174</w:t>
            </w:r>
          </w:p>
        </w:tc>
        <w:tc>
          <w:tcPr>
            <w:tcW w:w="1263" w:type="dxa"/>
            <w:shd w:val="clear" w:color="auto" w:fill="FFFFFF"/>
            <w:vAlign w:val="center"/>
          </w:tcPr>
          <w:p w14:paraId="4016B1EC"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100.0</w:t>
            </w:r>
          </w:p>
        </w:tc>
        <w:tc>
          <w:tcPr>
            <w:tcW w:w="1744" w:type="dxa"/>
            <w:shd w:val="clear" w:color="auto" w:fill="FFFFFF"/>
            <w:vAlign w:val="center"/>
          </w:tcPr>
          <w:p w14:paraId="41B4865F" w14:textId="77777777" w:rsidR="00CD1B5F" w:rsidRPr="00B80F82" w:rsidRDefault="00CD1B5F" w:rsidP="00FF1565">
            <w:pPr>
              <w:autoSpaceDE w:val="0"/>
              <w:autoSpaceDN w:val="0"/>
              <w:adjustRightInd w:val="0"/>
              <w:spacing w:after="0" w:line="320" w:lineRule="atLeast"/>
              <w:ind w:left="60" w:right="60"/>
              <w:jc w:val="both"/>
              <w:rPr>
                <w:rFonts w:ascii="Times New Roman" w:hAnsi="Times New Roman" w:cs="Times New Roman"/>
                <w:sz w:val="24"/>
                <w:szCs w:val="24"/>
              </w:rPr>
            </w:pPr>
            <w:r w:rsidRPr="00B80F82">
              <w:rPr>
                <w:rFonts w:ascii="Times New Roman" w:hAnsi="Times New Roman" w:cs="Times New Roman"/>
                <w:sz w:val="24"/>
                <w:szCs w:val="24"/>
              </w:rPr>
              <w:t>170</w:t>
            </w:r>
          </w:p>
        </w:tc>
        <w:tc>
          <w:tcPr>
            <w:tcW w:w="1846" w:type="dxa"/>
            <w:shd w:val="clear" w:color="auto" w:fill="FFFFFF"/>
            <w:vAlign w:val="center"/>
          </w:tcPr>
          <w:p w14:paraId="4593C9F8" w14:textId="77777777" w:rsidR="00CD1B5F" w:rsidRPr="00B80F82" w:rsidRDefault="00CD1B5F" w:rsidP="00FF1565">
            <w:pPr>
              <w:autoSpaceDE w:val="0"/>
              <w:autoSpaceDN w:val="0"/>
              <w:adjustRightInd w:val="0"/>
              <w:spacing w:after="0" w:line="240" w:lineRule="auto"/>
              <w:jc w:val="both"/>
              <w:rPr>
                <w:rFonts w:ascii="Times New Roman" w:hAnsi="Times New Roman" w:cs="Times New Roman"/>
                <w:sz w:val="24"/>
                <w:szCs w:val="24"/>
              </w:rPr>
            </w:pPr>
          </w:p>
        </w:tc>
      </w:tr>
    </w:tbl>
    <w:p w14:paraId="1E972F57" w14:textId="77777777" w:rsidR="00386A6C" w:rsidRDefault="00CD1B5F" w:rsidP="00CD1B5F">
      <w:pPr>
        <w:spacing w:before="100" w:beforeAutospacing="1" w:after="100" w:afterAutospacing="1" w:line="36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 comparative distribution of benefits derived from Community-Based Forest Management (CBFM) between the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Adele communities reveals key differences in resource utilization and perceptions. </w:t>
      </w:r>
    </w:p>
    <w:p w14:paraId="28FFE091" w14:textId="77777777" w:rsidR="00386A6C" w:rsidRDefault="00386A6C" w:rsidP="00CD1B5F">
      <w:pPr>
        <w:spacing w:before="100" w:beforeAutospacing="1" w:after="100" w:afterAutospacing="1" w:line="360" w:lineRule="auto"/>
        <w:jc w:val="both"/>
        <w:rPr>
          <w:rFonts w:ascii="Times New Roman" w:eastAsia="Times New Roman" w:hAnsi="Times New Roman" w:cs="Times New Roman"/>
          <w:sz w:val="24"/>
          <w:szCs w:val="24"/>
        </w:rPr>
      </w:pPr>
    </w:p>
    <w:p w14:paraId="7B56EAD9" w14:textId="77777777" w:rsidR="00386A6C" w:rsidRDefault="00386A6C" w:rsidP="00CD1B5F">
      <w:pPr>
        <w:spacing w:before="100" w:beforeAutospacing="1" w:after="100" w:afterAutospacing="1" w:line="360" w:lineRule="auto"/>
        <w:jc w:val="both"/>
        <w:rPr>
          <w:rFonts w:ascii="Times New Roman" w:eastAsia="Times New Roman" w:hAnsi="Times New Roman" w:cs="Times New Roman"/>
          <w:sz w:val="24"/>
          <w:szCs w:val="24"/>
        </w:rPr>
      </w:pPr>
    </w:p>
    <w:p w14:paraId="507C6E4F" w14:textId="77777777" w:rsidR="00386A6C" w:rsidRDefault="00386A6C" w:rsidP="00CD1B5F">
      <w:pPr>
        <w:spacing w:before="100" w:beforeAutospacing="1" w:after="100" w:afterAutospacing="1" w:line="360" w:lineRule="auto"/>
        <w:jc w:val="both"/>
        <w:rPr>
          <w:rFonts w:ascii="Times New Roman" w:eastAsia="Times New Roman" w:hAnsi="Times New Roman" w:cs="Times New Roman"/>
          <w:sz w:val="24"/>
          <w:szCs w:val="24"/>
        </w:rPr>
      </w:pPr>
    </w:p>
    <w:p w14:paraId="50A0A0B1" w14:textId="77777777" w:rsidR="00CD1B5F" w:rsidRPr="00B80F82" w:rsidRDefault="00CD1B5F" w:rsidP="00CD1B5F">
      <w:pPr>
        <w:spacing w:before="100" w:beforeAutospacing="1" w:after="100" w:afterAutospacing="1" w:line="36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Firewood is the most cited benefit in both communities, accounting for 37.4%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31.8% in Adele. This indicates a shared reliance on forest resources for domestic energy, consistent with broader patterns in rural areas where biomass remains the primary source of fuel. One respondent from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noted, </w:t>
      </w:r>
      <w:r w:rsidRPr="00B80F82">
        <w:rPr>
          <w:rFonts w:ascii="Times New Roman" w:eastAsia="Times New Roman" w:hAnsi="Times New Roman" w:cs="Times New Roman"/>
          <w:i/>
          <w:iCs/>
          <w:sz w:val="24"/>
          <w:szCs w:val="24"/>
        </w:rPr>
        <w:t>“We rely on firewood for cooking, but over time, we’ve noticed that the soil is losing its strength because there are no more trees to protect it.”</w:t>
      </w:r>
      <w:r w:rsidRPr="00B80F82">
        <w:rPr>
          <w:rFonts w:ascii="Times New Roman" w:eastAsia="Times New Roman" w:hAnsi="Times New Roman" w:cs="Times New Roman"/>
          <w:sz w:val="24"/>
          <w:szCs w:val="24"/>
        </w:rPr>
        <w:t xml:space="preserve"> This observation echoes findings by </w:t>
      </w:r>
      <w:r w:rsidRPr="00B80F82">
        <w:rPr>
          <w:rFonts w:ascii="Times New Roman" w:eastAsia="Times New Roman" w:hAnsi="Times New Roman" w:cs="Times New Roman"/>
          <w:i/>
          <w:iCs/>
          <w:sz w:val="24"/>
          <w:szCs w:val="24"/>
        </w:rPr>
        <w:t>Nunan et al. (2023)</w:t>
      </w:r>
      <w:r w:rsidRPr="00B80F82">
        <w:rPr>
          <w:rFonts w:ascii="Times New Roman" w:eastAsia="Times New Roman" w:hAnsi="Times New Roman" w:cs="Times New Roman"/>
          <w:sz w:val="24"/>
          <w:szCs w:val="24"/>
        </w:rPr>
        <w:t>, who emphasize that unsustainable fuelwood harvesting contributes to soil degradation and biodiversity loss.</w:t>
      </w:r>
    </w:p>
    <w:p w14:paraId="3D4197E4" w14:textId="77777777" w:rsidR="00055A75" w:rsidRPr="00B80F82" w:rsidRDefault="00CD1B5F" w:rsidP="00CD1B5F">
      <w:pPr>
        <w:spacing w:before="100" w:beforeAutospacing="1" w:after="100" w:afterAutospacing="1" w:line="36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Fruits are also a notable benefit, with 27.6% of respondents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22.9% in Adele acknowledging their value.</w:t>
      </w:r>
    </w:p>
    <w:p w14:paraId="186CEDC2" w14:textId="77777777" w:rsidR="00CD1B5F" w:rsidRPr="00B80F82" w:rsidRDefault="00CD1B5F" w:rsidP="00CD1B5F">
      <w:pPr>
        <w:spacing w:before="100" w:beforeAutospacing="1" w:after="100" w:afterAutospacing="1" w:line="36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These figures underscore the continued importance of non-timber forest products (NTFPs) in supplementing household nutrition. As one participant explained, </w:t>
      </w:r>
      <w:r w:rsidRPr="00B80F82">
        <w:rPr>
          <w:rFonts w:ascii="Times New Roman" w:eastAsia="Times New Roman" w:hAnsi="Times New Roman" w:cs="Times New Roman"/>
          <w:i/>
          <w:iCs/>
          <w:sz w:val="24"/>
          <w:szCs w:val="24"/>
        </w:rPr>
        <w:t>“The forest gives us fruits when the farms are dry. It helps us survive during the hard months.”</w:t>
      </w:r>
      <w:r w:rsidRPr="00B80F82">
        <w:rPr>
          <w:rFonts w:ascii="Times New Roman" w:eastAsia="Times New Roman" w:hAnsi="Times New Roman" w:cs="Times New Roman"/>
          <w:sz w:val="24"/>
          <w:szCs w:val="24"/>
        </w:rPr>
        <w:t xml:space="preserve"> This aligns with </w:t>
      </w:r>
      <w:r w:rsidRPr="00B80F82">
        <w:rPr>
          <w:rFonts w:ascii="Times New Roman" w:eastAsia="Times New Roman" w:hAnsi="Times New Roman" w:cs="Times New Roman"/>
          <w:i/>
          <w:iCs/>
          <w:sz w:val="24"/>
          <w:szCs w:val="24"/>
        </w:rPr>
        <w:t xml:space="preserve">Shackleton and </w:t>
      </w:r>
      <w:r w:rsidRPr="00B80F82">
        <w:rPr>
          <w:rFonts w:ascii="Times New Roman" w:eastAsia="Times New Roman" w:hAnsi="Times New Roman" w:cs="Times New Roman"/>
          <w:i/>
          <w:iCs/>
          <w:sz w:val="24"/>
          <w:szCs w:val="24"/>
        </w:rPr>
        <w:lastRenderedPageBreak/>
        <w:t>Pandey (2014)</w:t>
      </w:r>
      <w:r w:rsidRPr="00B80F82">
        <w:rPr>
          <w:rFonts w:ascii="Times New Roman" w:eastAsia="Times New Roman" w:hAnsi="Times New Roman" w:cs="Times New Roman"/>
          <w:sz w:val="24"/>
          <w:szCs w:val="24"/>
        </w:rPr>
        <w:t>, who highlight the role of NTFPs in enhancing food security and seasonal resilience in forest-dependent communities.</w:t>
      </w:r>
    </w:p>
    <w:p w14:paraId="25E9DC7B" w14:textId="77777777" w:rsidR="00CD1B5F" w:rsidRPr="00B80F82" w:rsidRDefault="00CD1B5F" w:rsidP="00CD1B5F">
      <w:pPr>
        <w:spacing w:before="100" w:beforeAutospacing="1" w:after="100" w:afterAutospacing="1" w:line="36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Meanwhile, timber appears more prominently in Adele, with 41.8% citing it as a key benefit compared to 29.3%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This difference may reflect greater access to marketable timber resources, local harvesting practices, or community-level governance structures that enable or limit exploitation. A respondent from Adele stated, </w:t>
      </w:r>
      <w:r w:rsidRPr="00B80F82">
        <w:rPr>
          <w:rFonts w:ascii="Times New Roman" w:eastAsia="Times New Roman" w:hAnsi="Times New Roman" w:cs="Times New Roman"/>
          <w:i/>
          <w:iCs/>
          <w:sz w:val="24"/>
          <w:szCs w:val="24"/>
        </w:rPr>
        <w:t>“Timber brings in money fast, but the trees are vanishing quickly. If we’re not careful, we’ll have nothing left for our children.”</w:t>
      </w:r>
      <w:r w:rsidRPr="00B80F82">
        <w:rPr>
          <w:rFonts w:ascii="Times New Roman" w:eastAsia="Times New Roman" w:hAnsi="Times New Roman" w:cs="Times New Roman"/>
          <w:sz w:val="24"/>
          <w:szCs w:val="24"/>
        </w:rPr>
        <w:t xml:space="preserve"> This concern supports findings by </w:t>
      </w:r>
      <w:proofErr w:type="spellStart"/>
      <w:r w:rsidRPr="00B80F82">
        <w:rPr>
          <w:rFonts w:ascii="Times New Roman" w:eastAsia="Times New Roman" w:hAnsi="Times New Roman" w:cs="Times New Roman"/>
          <w:i/>
          <w:iCs/>
          <w:sz w:val="24"/>
          <w:szCs w:val="24"/>
        </w:rPr>
        <w:t>Baynes</w:t>
      </w:r>
      <w:proofErr w:type="spellEnd"/>
      <w:r w:rsidRPr="00B80F82">
        <w:rPr>
          <w:rFonts w:ascii="Times New Roman" w:eastAsia="Times New Roman" w:hAnsi="Times New Roman" w:cs="Times New Roman"/>
          <w:i/>
          <w:iCs/>
          <w:sz w:val="24"/>
          <w:szCs w:val="24"/>
        </w:rPr>
        <w:t xml:space="preserve"> et al. (2015)</w:t>
      </w:r>
      <w:r w:rsidRPr="00B80F82">
        <w:rPr>
          <w:rFonts w:ascii="Times New Roman" w:eastAsia="Times New Roman" w:hAnsi="Times New Roman" w:cs="Times New Roman"/>
          <w:sz w:val="24"/>
          <w:szCs w:val="24"/>
        </w:rPr>
        <w:t>, who caution that while CBFM can offer economic opportunities, unsustainable extraction threatens long-term resource availability.</w:t>
      </w:r>
    </w:p>
    <w:p w14:paraId="17BC2C95" w14:textId="77777777" w:rsidR="00F85951" w:rsidRPr="00386A6C" w:rsidRDefault="00CD1B5F" w:rsidP="00386A6C">
      <w:pPr>
        <w:spacing w:before="100" w:beforeAutospacing="1" w:after="100" w:afterAutospacing="1" w:line="36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Employment ranks lowest in both communities, with only 5.7% of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3.5% of Adele respondents identifying it as a benefit. This suggests that the economic contributions of CBFM, particularly in terms of job creation, remain limited and may not be fully integrated into local livelihood strategies. One participant commented, </w:t>
      </w:r>
      <w:r w:rsidRPr="00B80F82">
        <w:rPr>
          <w:rFonts w:ascii="Times New Roman" w:eastAsia="Times New Roman" w:hAnsi="Times New Roman" w:cs="Times New Roman"/>
          <w:i/>
          <w:iCs/>
          <w:sz w:val="24"/>
          <w:szCs w:val="24"/>
        </w:rPr>
        <w:t>“We thought the forest project would bring jobs, but it’s still the same people are not benefiting.”</w:t>
      </w:r>
      <w:r w:rsidRPr="00B80F82">
        <w:rPr>
          <w:rFonts w:ascii="Times New Roman" w:eastAsia="Times New Roman" w:hAnsi="Times New Roman" w:cs="Times New Roman"/>
          <w:sz w:val="24"/>
          <w:szCs w:val="24"/>
        </w:rPr>
        <w:t xml:space="preserve"> This reflects critiques by </w:t>
      </w:r>
      <w:r w:rsidRPr="00B80F82">
        <w:rPr>
          <w:rFonts w:ascii="Times New Roman" w:eastAsia="Times New Roman" w:hAnsi="Times New Roman" w:cs="Times New Roman"/>
          <w:i/>
          <w:iCs/>
          <w:sz w:val="24"/>
          <w:szCs w:val="24"/>
        </w:rPr>
        <w:t xml:space="preserve">Agrawal and </w:t>
      </w:r>
      <w:proofErr w:type="spellStart"/>
      <w:r w:rsidRPr="00B80F82">
        <w:rPr>
          <w:rFonts w:ascii="Times New Roman" w:eastAsia="Times New Roman" w:hAnsi="Times New Roman" w:cs="Times New Roman"/>
          <w:i/>
          <w:iCs/>
          <w:sz w:val="24"/>
          <w:szCs w:val="24"/>
        </w:rPr>
        <w:t>Chhatre</w:t>
      </w:r>
      <w:proofErr w:type="spellEnd"/>
      <w:r w:rsidRPr="00B80F82">
        <w:rPr>
          <w:rFonts w:ascii="Times New Roman" w:eastAsia="Times New Roman" w:hAnsi="Times New Roman" w:cs="Times New Roman"/>
          <w:i/>
          <w:iCs/>
          <w:sz w:val="24"/>
          <w:szCs w:val="24"/>
        </w:rPr>
        <w:t xml:space="preserve"> (2006)</w:t>
      </w:r>
      <w:r w:rsidRPr="00B80F82">
        <w:rPr>
          <w:rFonts w:ascii="Times New Roman" w:eastAsia="Times New Roman" w:hAnsi="Times New Roman" w:cs="Times New Roman"/>
          <w:sz w:val="24"/>
          <w:szCs w:val="24"/>
        </w:rPr>
        <w:t>, who argue that participatory forest management often falls short of delivering widespread economic empowerment without inclusive and targeted interventions.</w:t>
      </w:r>
      <w:r w:rsidR="00D51A06">
        <w:rPr>
          <w:rFonts w:ascii="Times New Roman" w:eastAsia="Times New Roman" w:hAnsi="Times New Roman" w:cs="Times New Roman"/>
          <w:sz w:val="24"/>
          <w:szCs w:val="24"/>
        </w:rPr>
        <w:t xml:space="preserve">   </w:t>
      </w:r>
    </w:p>
    <w:p w14:paraId="29071810" w14:textId="77777777" w:rsidR="00F85951" w:rsidRPr="00B80F82" w:rsidRDefault="00F85951" w:rsidP="00CD1B5F">
      <w:pPr>
        <w:spacing w:line="240" w:lineRule="auto"/>
        <w:rPr>
          <w:rFonts w:ascii="Times New Roman" w:hAnsi="Times New Roman" w:cs="Times New Roman"/>
          <w:sz w:val="24"/>
          <w:szCs w:val="24"/>
        </w:rPr>
      </w:pPr>
    </w:p>
    <w:p w14:paraId="1032DFAD" w14:textId="77777777" w:rsidR="00F85951" w:rsidRPr="00B80F82" w:rsidRDefault="00F85951" w:rsidP="00CD1B5F">
      <w:pPr>
        <w:spacing w:line="240" w:lineRule="auto"/>
        <w:rPr>
          <w:rFonts w:ascii="Times New Roman" w:hAnsi="Times New Roman" w:cs="Times New Roman"/>
          <w:sz w:val="24"/>
          <w:szCs w:val="24"/>
        </w:rPr>
      </w:pPr>
      <w:r w:rsidRPr="00B80F82">
        <w:rPr>
          <w:rFonts w:ascii="Times New Roman" w:hAnsi="Times New Roman" w:cs="Times New Roman"/>
          <w:noProof/>
          <w:sz w:val="24"/>
          <w:szCs w:val="24"/>
        </w:rPr>
        <w:drawing>
          <wp:inline distT="0" distB="0" distL="0" distR="0" wp14:anchorId="16BD6FF4" wp14:editId="7C7CACD8">
            <wp:extent cx="5943600" cy="2585735"/>
            <wp:effectExtent l="0" t="0" r="0" b="508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BBBCBA" w14:textId="77777777" w:rsidR="00F85951" w:rsidRPr="00B80F82" w:rsidRDefault="00F85951" w:rsidP="00CD1B5F">
      <w:pPr>
        <w:spacing w:line="240" w:lineRule="auto"/>
        <w:rPr>
          <w:rFonts w:ascii="Times New Roman" w:hAnsi="Times New Roman" w:cs="Times New Roman"/>
          <w:sz w:val="24"/>
          <w:szCs w:val="24"/>
        </w:rPr>
      </w:pPr>
    </w:p>
    <w:p w14:paraId="5F43ECFB" w14:textId="66A0914F" w:rsidR="00F85951" w:rsidRPr="00B80F82" w:rsidRDefault="00F85951" w:rsidP="00F85951">
      <w:pPr>
        <w:pStyle w:val="Caption"/>
      </w:pPr>
      <w:bookmarkStart w:id="6" w:name="_Toc202870231"/>
      <w:bookmarkStart w:id="7" w:name="_Toc206960142"/>
      <w:r w:rsidRPr="00B80F82">
        <w:lastRenderedPageBreak/>
        <w:t xml:space="preserve">Figure </w:t>
      </w:r>
      <w:r w:rsidR="00A17CDD">
        <w:t>5</w:t>
      </w:r>
      <w:r w:rsidRPr="00B80F82">
        <w:t xml:space="preserve">: Comparative Analysis of Participation level of Communities in Forest Resources Management Activities in </w:t>
      </w:r>
      <w:proofErr w:type="spellStart"/>
      <w:r w:rsidRPr="00B80F82">
        <w:t>Nchumuru</w:t>
      </w:r>
      <w:proofErr w:type="spellEnd"/>
      <w:r w:rsidRPr="00B80F82">
        <w:t xml:space="preserve"> and Adele Communities</w:t>
      </w:r>
      <w:bookmarkEnd w:id="6"/>
      <w:bookmarkEnd w:id="7"/>
      <w:r w:rsidRPr="00B80F82">
        <w:t xml:space="preserve"> </w:t>
      </w:r>
    </w:p>
    <w:p w14:paraId="4BE748FA" w14:textId="77777777" w:rsidR="00F85951" w:rsidRPr="00B80F82" w:rsidRDefault="00F85951" w:rsidP="00F85951">
      <w:pPr>
        <w:pStyle w:val="Caption"/>
      </w:pPr>
      <w:r w:rsidRPr="00B80F82">
        <w:t xml:space="preserve">Source: Field Survey, 2025 </w:t>
      </w:r>
    </w:p>
    <w:p w14:paraId="02E778F7" w14:textId="77777777" w:rsidR="00F85951" w:rsidRPr="00B80F82" w:rsidRDefault="00F85951" w:rsidP="00F85951">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 comparative graph illustrates significant differences in participation levels between the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Adele communities.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41.4% of respondents indicated that they always participate in forest resource management, compared to only 30.0% in Adele. This suggests that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has a more robust core of active participants. However, both communities exhibit similar rates of occasional participation: 29.3%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30.6% in Adele. The most notable difference lies in the proportion of respondents who reported never participating 29.3%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versus a higher 39.4% in Adele.</w:t>
      </w:r>
    </w:p>
    <w:p w14:paraId="05183C8E" w14:textId="77777777" w:rsidR="00F85951" w:rsidRPr="00B80F82" w:rsidRDefault="00F85951" w:rsidP="00F85951">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These patterns have important implications when viewed through the lens of Common Property Theory, which emphasizes the need for broad, inclusive, and sustained community participation as a precondition for effective resource governance (Ostrom, 1990). While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demonstrates a stronger foundation for collective action, Adele appears more fragmented, with a larger segment of its population disengaged from forest-related decision-making and stewardship activities.</w:t>
      </w:r>
    </w:p>
    <w:p w14:paraId="0DD7B622" w14:textId="77777777" w:rsidR="00386A6C" w:rsidRDefault="00386A6C" w:rsidP="00F85951">
      <w:pPr>
        <w:spacing w:line="240" w:lineRule="auto"/>
        <w:jc w:val="both"/>
        <w:rPr>
          <w:rFonts w:ascii="Times New Roman" w:eastAsia="Times New Roman" w:hAnsi="Times New Roman" w:cs="Times New Roman"/>
          <w:sz w:val="24"/>
          <w:szCs w:val="24"/>
        </w:rPr>
      </w:pPr>
    </w:p>
    <w:p w14:paraId="2772F6B5" w14:textId="77777777" w:rsidR="00386A6C" w:rsidRDefault="00386A6C" w:rsidP="00F85951">
      <w:pPr>
        <w:spacing w:line="240" w:lineRule="auto"/>
        <w:jc w:val="both"/>
        <w:rPr>
          <w:rFonts w:ascii="Times New Roman" w:eastAsia="Times New Roman" w:hAnsi="Times New Roman" w:cs="Times New Roman"/>
          <w:sz w:val="24"/>
          <w:szCs w:val="24"/>
        </w:rPr>
      </w:pPr>
    </w:p>
    <w:p w14:paraId="006F4979" w14:textId="77777777" w:rsidR="00386A6C" w:rsidRDefault="00386A6C" w:rsidP="00F85951">
      <w:pPr>
        <w:spacing w:line="240" w:lineRule="auto"/>
        <w:jc w:val="both"/>
        <w:rPr>
          <w:rFonts w:ascii="Times New Roman" w:eastAsia="Times New Roman" w:hAnsi="Times New Roman" w:cs="Times New Roman"/>
          <w:sz w:val="24"/>
          <w:szCs w:val="24"/>
        </w:rPr>
      </w:pPr>
    </w:p>
    <w:p w14:paraId="48625C45" w14:textId="77777777" w:rsidR="00386A6C" w:rsidRDefault="00386A6C" w:rsidP="00F85951">
      <w:pPr>
        <w:spacing w:line="240" w:lineRule="auto"/>
        <w:jc w:val="both"/>
        <w:rPr>
          <w:rFonts w:ascii="Times New Roman" w:eastAsia="Times New Roman" w:hAnsi="Times New Roman" w:cs="Times New Roman"/>
          <w:sz w:val="24"/>
          <w:szCs w:val="24"/>
        </w:rPr>
      </w:pPr>
    </w:p>
    <w:p w14:paraId="007A92D5" w14:textId="77777777" w:rsidR="00F85951" w:rsidRPr="00B80F82" w:rsidRDefault="00F85951" w:rsidP="00F85951">
      <w:pPr>
        <w:spacing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 higher non-participation rate in Adele may point to deeper institutional or socio-spatial barriers. As noted by </w:t>
      </w:r>
      <w:proofErr w:type="spellStart"/>
      <w:r w:rsidRPr="00B80F82">
        <w:rPr>
          <w:rFonts w:ascii="Times New Roman" w:eastAsia="Times New Roman" w:hAnsi="Times New Roman" w:cs="Times New Roman"/>
          <w:sz w:val="24"/>
          <w:szCs w:val="24"/>
        </w:rPr>
        <w:t>Luswaga</w:t>
      </w:r>
      <w:proofErr w:type="spellEnd"/>
      <w:r w:rsidRPr="00B80F82">
        <w:rPr>
          <w:rFonts w:ascii="Times New Roman" w:eastAsia="Times New Roman" w:hAnsi="Times New Roman" w:cs="Times New Roman"/>
          <w:sz w:val="24"/>
          <w:szCs w:val="24"/>
        </w:rPr>
        <w:t xml:space="preserve"> and </w:t>
      </w:r>
      <w:proofErr w:type="spellStart"/>
      <w:r w:rsidRPr="00B80F82">
        <w:rPr>
          <w:rFonts w:ascii="Times New Roman" w:eastAsia="Times New Roman" w:hAnsi="Times New Roman" w:cs="Times New Roman"/>
          <w:sz w:val="24"/>
          <w:szCs w:val="24"/>
        </w:rPr>
        <w:t>Nuppenau</w:t>
      </w:r>
      <w:proofErr w:type="spellEnd"/>
      <w:r w:rsidRPr="00B80F82">
        <w:rPr>
          <w:rFonts w:ascii="Times New Roman" w:eastAsia="Times New Roman" w:hAnsi="Times New Roman" w:cs="Times New Roman"/>
          <w:sz w:val="24"/>
          <w:szCs w:val="24"/>
        </w:rPr>
        <w:t xml:space="preserve"> (2020), proximity to governance structures and clarity of roles significantly influence participation intensity. Similarly, </w:t>
      </w:r>
      <w:proofErr w:type="spellStart"/>
      <w:r w:rsidRPr="00B80F82">
        <w:rPr>
          <w:rFonts w:ascii="Times New Roman" w:eastAsia="Times New Roman" w:hAnsi="Times New Roman" w:cs="Times New Roman"/>
          <w:sz w:val="24"/>
          <w:szCs w:val="24"/>
        </w:rPr>
        <w:t>Timilsina</w:t>
      </w:r>
      <w:proofErr w:type="spellEnd"/>
      <w:r w:rsidRPr="00B80F82">
        <w:rPr>
          <w:rFonts w:ascii="Times New Roman" w:eastAsia="Times New Roman" w:hAnsi="Times New Roman" w:cs="Times New Roman"/>
          <w:sz w:val="24"/>
          <w:szCs w:val="24"/>
        </w:rPr>
        <w:t xml:space="preserve"> et al. (2024) highlight that formal community-based structures often fail to ensure equitable participation due to embedded inequalities in access, gender, and socio-economic status. These dynamics could be more pronounced in Adele, where almost two-fifths of the community report no involvement at all.</w:t>
      </w:r>
    </w:p>
    <w:p w14:paraId="795FAED9" w14:textId="77777777" w:rsidR="00F85951" w:rsidRPr="00B80F82" w:rsidRDefault="00F85951" w:rsidP="00F85951">
      <w:pPr>
        <w:spacing w:line="240" w:lineRule="auto"/>
        <w:jc w:val="both"/>
        <w:rPr>
          <w:rFonts w:ascii="Times New Roman" w:eastAsia="Times New Roman" w:hAnsi="Times New Roman" w:cs="Times New Roman"/>
          <w:sz w:val="24"/>
          <w:szCs w:val="24"/>
        </w:rPr>
      </w:pPr>
    </w:p>
    <w:p w14:paraId="66C3A0E2" w14:textId="77777777" w:rsidR="00F85951" w:rsidRPr="00B80F82" w:rsidRDefault="00F85951" w:rsidP="00F85951">
      <w:pPr>
        <w:spacing w:line="360" w:lineRule="auto"/>
        <w:jc w:val="both"/>
        <w:rPr>
          <w:rFonts w:ascii="Times New Roman" w:hAnsi="Times New Roman" w:cs="Times New Roman"/>
          <w:b/>
          <w:sz w:val="24"/>
          <w:szCs w:val="24"/>
        </w:rPr>
      </w:pPr>
      <w:r w:rsidRPr="00B80F82">
        <w:rPr>
          <w:rFonts w:ascii="Times New Roman" w:hAnsi="Times New Roman" w:cs="Times New Roman"/>
          <w:b/>
          <w:sz w:val="24"/>
          <w:szCs w:val="24"/>
        </w:rPr>
        <w:t>Chi-Square test 1</w:t>
      </w:r>
    </w:p>
    <w:p w14:paraId="79FFF29D" w14:textId="5AF7F272" w:rsidR="00F85951" w:rsidRPr="00B80F82" w:rsidRDefault="00F85951" w:rsidP="00F85951">
      <w:pPr>
        <w:pStyle w:val="Caption"/>
      </w:pPr>
      <w:bookmarkStart w:id="8" w:name="_Toc206960274"/>
      <w:r w:rsidRPr="00B80F82">
        <w:t xml:space="preserve">Table </w:t>
      </w:r>
      <w:r w:rsidR="00A17CDD">
        <w:t>3</w:t>
      </w:r>
      <w:r w:rsidRPr="00B80F82">
        <w:t xml:space="preserve">: Chi-Square test on Sex and participation in </w:t>
      </w:r>
      <w:proofErr w:type="spellStart"/>
      <w:r w:rsidRPr="00B80F82">
        <w:t>Nchumuru</w:t>
      </w:r>
      <w:proofErr w:type="spellEnd"/>
      <w:r w:rsidRPr="00B80F82">
        <w:t xml:space="preserve"> Communities</w:t>
      </w:r>
      <w:bookmarkEnd w:id="8"/>
    </w:p>
    <w:tbl>
      <w:tblPr>
        <w:tblStyle w:val="TableGrid"/>
        <w:tblW w:w="8352" w:type="dxa"/>
        <w:tblLook w:val="04A0" w:firstRow="1" w:lastRow="0" w:firstColumn="1" w:lastColumn="0" w:noHBand="0" w:noVBand="1"/>
      </w:tblPr>
      <w:tblGrid>
        <w:gridCol w:w="2087"/>
        <w:gridCol w:w="2087"/>
        <w:gridCol w:w="2089"/>
        <w:gridCol w:w="2089"/>
      </w:tblGrid>
      <w:tr w:rsidR="00F85951" w:rsidRPr="00B80F82" w14:paraId="4BADF042" w14:textId="77777777" w:rsidTr="00FF1565">
        <w:trPr>
          <w:trHeight w:val="591"/>
        </w:trPr>
        <w:tc>
          <w:tcPr>
            <w:tcW w:w="2087" w:type="dxa"/>
          </w:tcPr>
          <w:p w14:paraId="6B0B5C2E" w14:textId="77777777" w:rsidR="00F85951" w:rsidRPr="00B80F82" w:rsidRDefault="00F85951" w:rsidP="00FF1565">
            <w:pPr>
              <w:rPr>
                <w:rFonts w:ascii="Times New Roman" w:hAnsi="Times New Roman" w:cs="Times New Roman"/>
                <w:sz w:val="24"/>
                <w:szCs w:val="24"/>
              </w:rPr>
            </w:pPr>
          </w:p>
        </w:tc>
        <w:tc>
          <w:tcPr>
            <w:tcW w:w="2087" w:type="dxa"/>
          </w:tcPr>
          <w:p w14:paraId="2DDC4753"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Values</w:t>
            </w:r>
          </w:p>
        </w:tc>
        <w:tc>
          <w:tcPr>
            <w:tcW w:w="2089" w:type="dxa"/>
          </w:tcPr>
          <w:p w14:paraId="76A9034E"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df</w:t>
            </w:r>
          </w:p>
        </w:tc>
        <w:tc>
          <w:tcPr>
            <w:tcW w:w="2089" w:type="dxa"/>
          </w:tcPr>
          <w:p w14:paraId="4CF0C477"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Asymptotic Significance</w:t>
            </w:r>
          </w:p>
        </w:tc>
      </w:tr>
      <w:tr w:rsidR="00F85951" w:rsidRPr="00B80F82" w14:paraId="3CE8CE18" w14:textId="77777777" w:rsidTr="00FF1565">
        <w:trPr>
          <w:trHeight w:val="558"/>
        </w:trPr>
        <w:tc>
          <w:tcPr>
            <w:tcW w:w="2087" w:type="dxa"/>
          </w:tcPr>
          <w:p w14:paraId="6AE6E472"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Pearson Chi-Square</w:t>
            </w:r>
          </w:p>
        </w:tc>
        <w:tc>
          <w:tcPr>
            <w:tcW w:w="2087" w:type="dxa"/>
          </w:tcPr>
          <w:p w14:paraId="36D6ECC4"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2.110</w:t>
            </w:r>
          </w:p>
        </w:tc>
        <w:tc>
          <w:tcPr>
            <w:tcW w:w="2089" w:type="dxa"/>
          </w:tcPr>
          <w:p w14:paraId="6E45DEB6"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2</w:t>
            </w:r>
          </w:p>
        </w:tc>
        <w:tc>
          <w:tcPr>
            <w:tcW w:w="2089" w:type="dxa"/>
          </w:tcPr>
          <w:p w14:paraId="097DDF36"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0.348</w:t>
            </w:r>
          </w:p>
        </w:tc>
      </w:tr>
      <w:tr w:rsidR="00F85951" w:rsidRPr="00B80F82" w14:paraId="648C6139" w14:textId="77777777" w:rsidTr="00FF1565">
        <w:trPr>
          <w:trHeight w:val="591"/>
        </w:trPr>
        <w:tc>
          <w:tcPr>
            <w:tcW w:w="2087" w:type="dxa"/>
          </w:tcPr>
          <w:p w14:paraId="4A374064"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Livelihood Ratio</w:t>
            </w:r>
          </w:p>
        </w:tc>
        <w:tc>
          <w:tcPr>
            <w:tcW w:w="2087" w:type="dxa"/>
          </w:tcPr>
          <w:p w14:paraId="44AE15B8"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2.123</w:t>
            </w:r>
          </w:p>
        </w:tc>
        <w:tc>
          <w:tcPr>
            <w:tcW w:w="2089" w:type="dxa"/>
          </w:tcPr>
          <w:p w14:paraId="65840211"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2</w:t>
            </w:r>
          </w:p>
        </w:tc>
        <w:tc>
          <w:tcPr>
            <w:tcW w:w="2089" w:type="dxa"/>
          </w:tcPr>
          <w:p w14:paraId="1450384B"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0.346</w:t>
            </w:r>
          </w:p>
        </w:tc>
      </w:tr>
      <w:tr w:rsidR="00F85951" w:rsidRPr="00B80F82" w14:paraId="643AE4E4" w14:textId="77777777" w:rsidTr="00FF1565">
        <w:trPr>
          <w:trHeight w:val="558"/>
        </w:trPr>
        <w:tc>
          <w:tcPr>
            <w:tcW w:w="2087" w:type="dxa"/>
          </w:tcPr>
          <w:p w14:paraId="787AA896"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lastRenderedPageBreak/>
              <w:t xml:space="preserve">Linear-by Linear </w:t>
            </w:r>
          </w:p>
          <w:p w14:paraId="14A27D61"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Association</w:t>
            </w:r>
          </w:p>
        </w:tc>
        <w:tc>
          <w:tcPr>
            <w:tcW w:w="2087" w:type="dxa"/>
          </w:tcPr>
          <w:p w14:paraId="38B0A185" w14:textId="77777777" w:rsidR="00F85951" w:rsidRPr="00B80F82" w:rsidRDefault="00F85951" w:rsidP="00FF1565">
            <w:pPr>
              <w:rPr>
                <w:rFonts w:ascii="Times New Roman" w:hAnsi="Times New Roman" w:cs="Times New Roman"/>
                <w:sz w:val="24"/>
                <w:szCs w:val="24"/>
              </w:rPr>
            </w:pPr>
          </w:p>
        </w:tc>
        <w:tc>
          <w:tcPr>
            <w:tcW w:w="2089" w:type="dxa"/>
          </w:tcPr>
          <w:p w14:paraId="6B313664" w14:textId="77777777" w:rsidR="00F85951" w:rsidRPr="00B80F82" w:rsidRDefault="00F85951" w:rsidP="00FF1565">
            <w:pPr>
              <w:rPr>
                <w:rFonts w:ascii="Times New Roman" w:hAnsi="Times New Roman" w:cs="Times New Roman"/>
                <w:sz w:val="24"/>
                <w:szCs w:val="24"/>
              </w:rPr>
            </w:pPr>
          </w:p>
        </w:tc>
        <w:tc>
          <w:tcPr>
            <w:tcW w:w="2089" w:type="dxa"/>
          </w:tcPr>
          <w:p w14:paraId="5A009AAE" w14:textId="77777777" w:rsidR="00F85951" w:rsidRPr="00B80F82" w:rsidRDefault="00F85951" w:rsidP="00FF1565">
            <w:pPr>
              <w:rPr>
                <w:rFonts w:ascii="Times New Roman" w:hAnsi="Times New Roman" w:cs="Times New Roman"/>
                <w:sz w:val="24"/>
                <w:szCs w:val="24"/>
              </w:rPr>
            </w:pPr>
          </w:p>
        </w:tc>
      </w:tr>
      <w:tr w:rsidR="00F85951" w:rsidRPr="00B80F82" w14:paraId="5AA862BE" w14:textId="77777777" w:rsidTr="00FF1565">
        <w:trPr>
          <w:trHeight w:val="558"/>
        </w:trPr>
        <w:tc>
          <w:tcPr>
            <w:tcW w:w="2087" w:type="dxa"/>
          </w:tcPr>
          <w:p w14:paraId="426BFD4F"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No. of Valid Cases</w:t>
            </w:r>
          </w:p>
        </w:tc>
        <w:tc>
          <w:tcPr>
            <w:tcW w:w="2087" w:type="dxa"/>
          </w:tcPr>
          <w:p w14:paraId="43E18A8D"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174</w:t>
            </w:r>
          </w:p>
        </w:tc>
        <w:tc>
          <w:tcPr>
            <w:tcW w:w="2089" w:type="dxa"/>
          </w:tcPr>
          <w:p w14:paraId="3E8D2EAC" w14:textId="77777777" w:rsidR="00F85951" w:rsidRPr="00B80F82" w:rsidRDefault="00F85951" w:rsidP="00FF1565">
            <w:pPr>
              <w:rPr>
                <w:rFonts w:ascii="Times New Roman" w:hAnsi="Times New Roman" w:cs="Times New Roman"/>
                <w:sz w:val="24"/>
                <w:szCs w:val="24"/>
              </w:rPr>
            </w:pPr>
          </w:p>
        </w:tc>
        <w:tc>
          <w:tcPr>
            <w:tcW w:w="2089" w:type="dxa"/>
          </w:tcPr>
          <w:p w14:paraId="49444218" w14:textId="77777777" w:rsidR="00F85951" w:rsidRPr="00B80F82" w:rsidRDefault="00F85951" w:rsidP="00FF1565">
            <w:pPr>
              <w:rPr>
                <w:rFonts w:ascii="Times New Roman" w:hAnsi="Times New Roman" w:cs="Times New Roman"/>
                <w:sz w:val="24"/>
                <w:szCs w:val="24"/>
              </w:rPr>
            </w:pPr>
          </w:p>
        </w:tc>
      </w:tr>
    </w:tbl>
    <w:p w14:paraId="08E0EC91" w14:textId="77777777" w:rsidR="00F85951" w:rsidRPr="00B80F82" w:rsidRDefault="00F85951" w:rsidP="00F85951">
      <w:pPr>
        <w:rPr>
          <w:rFonts w:ascii="Times New Roman" w:hAnsi="Times New Roman" w:cs="Times New Roman"/>
          <w:sz w:val="24"/>
          <w:szCs w:val="24"/>
        </w:rPr>
      </w:pPr>
      <w:r w:rsidRPr="00B80F82">
        <w:rPr>
          <w:rFonts w:ascii="Times New Roman" w:hAnsi="Times New Roman" w:cs="Times New Roman"/>
          <w:sz w:val="24"/>
          <w:szCs w:val="24"/>
        </w:rPr>
        <w:t xml:space="preserve">a. No cells have expected counts less than 5; minimum expected count is 11.0 </w:t>
      </w:r>
    </w:p>
    <w:p w14:paraId="37E02C7A" w14:textId="77777777" w:rsidR="00F85951" w:rsidRPr="00B80F82" w:rsidRDefault="00F85951" w:rsidP="00F85951">
      <w:pPr>
        <w:spacing w:line="240" w:lineRule="auto"/>
        <w:jc w:val="both"/>
        <w:rPr>
          <w:rFonts w:ascii="Times New Roman" w:eastAsia="Times New Roman" w:hAnsi="Times New Roman" w:cs="Times New Roman"/>
          <w:sz w:val="24"/>
          <w:szCs w:val="24"/>
        </w:rPr>
      </w:pPr>
    </w:p>
    <w:p w14:paraId="2E1707D5" w14:textId="77777777" w:rsidR="00F85951" w:rsidRPr="00B80F82" w:rsidRDefault="00F85951" w:rsidP="00F85951">
      <w:pPr>
        <w:spacing w:line="240" w:lineRule="auto"/>
        <w:jc w:val="both"/>
        <w:rPr>
          <w:rFonts w:ascii="Times New Roman" w:eastAsia="Times New Roman" w:hAnsi="Times New Roman" w:cs="Times New Roman"/>
          <w:sz w:val="24"/>
          <w:szCs w:val="24"/>
        </w:rPr>
      </w:pPr>
    </w:p>
    <w:p w14:paraId="4494431B" w14:textId="67A93892" w:rsidR="00F85951" w:rsidRPr="00B80F82" w:rsidRDefault="00A17CDD" w:rsidP="00F85951">
      <w:pPr>
        <w:pStyle w:val="Caption"/>
      </w:pPr>
      <w:r>
        <w:t>table 4-</w:t>
      </w:r>
      <w:r w:rsidR="00F85951" w:rsidRPr="00B80F82">
        <w:t>Chi-Square test on Sex and participation in Adele Communities</w:t>
      </w:r>
    </w:p>
    <w:tbl>
      <w:tblPr>
        <w:tblStyle w:val="TableGrid"/>
        <w:tblW w:w="8352" w:type="dxa"/>
        <w:tblLook w:val="04A0" w:firstRow="1" w:lastRow="0" w:firstColumn="1" w:lastColumn="0" w:noHBand="0" w:noVBand="1"/>
      </w:tblPr>
      <w:tblGrid>
        <w:gridCol w:w="2087"/>
        <w:gridCol w:w="2087"/>
        <w:gridCol w:w="2089"/>
        <w:gridCol w:w="2089"/>
      </w:tblGrid>
      <w:tr w:rsidR="00F85951" w:rsidRPr="00B80F82" w14:paraId="05BB9C3A" w14:textId="77777777" w:rsidTr="00FF1565">
        <w:trPr>
          <w:trHeight w:val="591"/>
        </w:trPr>
        <w:tc>
          <w:tcPr>
            <w:tcW w:w="2087" w:type="dxa"/>
          </w:tcPr>
          <w:p w14:paraId="06DF3CA7" w14:textId="77777777" w:rsidR="00F85951" w:rsidRPr="00B80F82" w:rsidRDefault="00F85951" w:rsidP="00FF1565">
            <w:pPr>
              <w:rPr>
                <w:rFonts w:ascii="Times New Roman" w:hAnsi="Times New Roman" w:cs="Times New Roman"/>
                <w:sz w:val="24"/>
                <w:szCs w:val="24"/>
              </w:rPr>
            </w:pPr>
          </w:p>
        </w:tc>
        <w:tc>
          <w:tcPr>
            <w:tcW w:w="2087" w:type="dxa"/>
          </w:tcPr>
          <w:p w14:paraId="3D267DFA"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Values</w:t>
            </w:r>
          </w:p>
        </w:tc>
        <w:tc>
          <w:tcPr>
            <w:tcW w:w="2089" w:type="dxa"/>
          </w:tcPr>
          <w:p w14:paraId="08BBB937"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df</w:t>
            </w:r>
          </w:p>
        </w:tc>
        <w:tc>
          <w:tcPr>
            <w:tcW w:w="2089" w:type="dxa"/>
          </w:tcPr>
          <w:p w14:paraId="24BD1AD8"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Asymptotic Significance</w:t>
            </w:r>
          </w:p>
        </w:tc>
      </w:tr>
      <w:tr w:rsidR="00F85951" w:rsidRPr="00B80F82" w14:paraId="22C398BC" w14:textId="77777777" w:rsidTr="00FF1565">
        <w:trPr>
          <w:trHeight w:val="558"/>
        </w:trPr>
        <w:tc>
          <w:tcPr>
            <w:tcW w:w="2087" w:type="dxa"/>
          </w:tcPr>
          <w:p w14:paraId="096502B0"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Pearson Chi-Square</w:t>
            </w:r>
          </w:p>
        </w:tc>
        <w:tc>
          <w:tcPr>
            <w:tcW w:w="2087" w:type="dxa"/>
          </w:tcPr>
          <w:p w14:paraId="0324D476"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3.876</w:t>
            </w:r>
          </w:p>
        </w:tc>
        <w:tc>
          <w:tcPr>
            <w:tcW w:w="2089" w:type="dxa"/>
          </w:tcPr>
          <w:p w14:paraId="36F76106"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2</w:t>
            </w:r>
          </w:p>
        </w:tc>
        <w:tc>
          <w:tcPr>
            <w:tcW w:w="2089" w:type="dxa"/>
          </w:tcPr>
          <w:p w14:paraId="4B51F8D3"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0.144</w:t>
            </w:r>
          </w:p>
        </w:tc>
      </w:tr>
      <w:tr w:rsidR="00F85951" w:rsidRPr="00B80F82" w14:paraId="7A1A015C" w14:textId="77777777" w:rsidTr="00FF1565">
        <w:trPr>
          <w:trHeight w:val="591"/>
        </w:trPr>
        <w:tc>
          <w:tcPr>
            <w:tcW w:w="2087" w:type="dxa"/>
          </w:tcPr>
          <w:p w14:paraId="44C73538"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Livelihood Ratio</w:t>
            </w:r>
          </w:p>
        </w:tc>
        <w:tc>
          <w:tcPr>
            <w:tcW w:w="2087" w:type="dxa"/>
          </w:tcPr>
          <w:p w14:paraId="295185C7"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3.962</w:t>
            </w:r>
          </w:p>
        </w:tc>
        <w:tc>
          <w:tcPr>
            <w:tcW w:w="2089" w:type="dxa"/>
          </w:tcPr>
          <w:p w14:paraId="3785F45E"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2</w:t>
            </w:r>
          </w:p>
        </w:tc>
        <w:tc>
          <w:tcPr>
            <w:tcW w:w="2089" w:type="dxa"/>
          </w:tcPr>
          <w:p w14:paraId="28FC8228"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0.138</w:t>
            </w:r>
          </w:p>
        </w:tc>
      </w:tr>
      <w:tr w:rsidR="00F85951" w:rsidRPr="00B80F82" w14:paraId="69E177D4" w14:textId="77777777" w:rsidTr="00FF1565">
        <w:trPr>
          <w:trHeight w:val="558"/>
        </w:trPr>
        <w:tc>
          <w:tcPr>
            <w:tcW w:w="2087" w:type="dxa"/>
          </w:tcPr>
          <w:p w14:paraId="52B3158A"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 xml:space="preserve">Linear-by Linear </w:t>
            </w:r>
          </w:p>
          <w:p w14:paraId="3B4E375C"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Association</w:t>
            </w:r>
          </w:p>
        </w:tc>
        <w:tc>
          <w:tcPr>
            <w:tcW w:w="2087" w:type="dxa"/>
          </w:tcPr>
          <w:p w14:paraId="42AE914C" w14:textId="77777777" w:rsidR="00F85951" w:rsidRPr="00B80F82" w:rsidRDefault="00F85951" w:rsidP="00FF1565">
            <w:pPr>
              <w:rPr>
                <w:rFonts w:ascii="Times New Roman" w:hAnsi="Times New Roman" w:cs="Times New Roman"/>
                <w:sz w:val="24"/>
                <w:szCs w:val="24"/>
              </w:rPr>
            </w:pPr>
          </w:p>
        </w:tc>
        <w:tc>
          <w:tcPr>
            <w:tcW w:w="2089" w:type="dxa"/>
          </w:tcPr>
          <w:p w14:paraId="3E08F863" w14:textId="77777777" w:rsidR="00F85951" w:rsidRPr="00B80F82" w:rsidRDefault="00F85951" w:rsidP="00FF1565">
            <w:pPr>
              <w:rPr>
                <w:rFonts w:ascii="Times New Roman" w:hAnsi="Times New Roman" w:cs="Times New Roman"/>
                <w:sz w:val="24"/>
                <w:szCs w:val="24"/>
              </w:rPr>
            </w:pPr>
          </w:p>
        </w:tc>
        <w:tc>
          <w:tcPr>
            <w:tcW w:w="2089" w:type="dxa"/>
          </w:tcPr>
          <w:p w14:paraId="792DB764" w14:textId="77777777" w:rsidR="00F85951" w:rsidRPr="00B80F82" w:rsidRDefault="00F85951" w:rsidP="00FF1565">
            <w:pPr>
              <w:rPr>
                <w:rFonts w:ascii="Times New Roman" w:hAnsi="Times New Roman" w:cs="Times New Roman"/>
                <w:sz w:val="24"/>
                <w:szCs w:val="24"/>
              </w:rPr>
            </w:pPr>
          </w:p>
        </w:tc>
      </w:tr>
      <w:tr w:rsidR="00F85951" w:rsidRPr="00B80F82" w14:paraId="658C40D9" w14:textId="77777777" w:rsidTr="00FF1565">
        <w:trPr>
          <w:trHeight w:val="558"/>
        </w:trPr>
        <w:tc>
          <w:tcPr>
            <w:tcW w:w="2087" w:type="dxa"/>
          </w:tcPr>
          <w:p w14:paraId="09BEEDA4"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No. of Valid Cases</w:t>
            </w:r>
          </w:p>
        </w:tc>
        <w:tc>
          <w:tcPr>
            <w:tcW w:w="2087" w:type="dxa"/>
          </w:tcPr>
          <w:p w14:paraId="7CAF5616" w14:textId="77777777" w:rsidR="00F85951" w:rsidRPr="00B80F82" w:rsidRDefault="00F85951" w:rsidP="00FF1565">
            <w:pPr>
              <w:rPr>
                <w:rFonts w:ascii="Times New Roman" w:hAnsi="Times New Roman" w:cs="Times New Roman"/>
                <w:sz w:val="24"/>
                <w:szCs w:val="24"/>
              </w:rPr>
            </w:pPr>
            <w:r w:rsidRPr="00B80F82">
              <w:rPr>
                <w:rFonts w:ascii="Times New Roman" w:hAnsi="Times New Roman" w:cs="Times New Roman"/>
                <w:sz w:val="24"/>
                <w:szCs w:val="24"/>
              </w:rPr>
              <w:t>170</w:t>
            </w:r>
          </w:p>
        </w:tc>
        <w:tc>
          <w:tcPr>
            <w:tcW w:w="2089" w:type="dxa"/>
          </w:tcPr>
          <w:p w14:paraId="6D867BF5" w14:textId="77777777" w:rsidR="00F85951" w:rsidRPr="00B80F82" w:rsidRDefault="00F85951" w:rsidP="00FF1565">
            <w:pPr>
              <w:rPr>
                <w:rFonts w:ascii="Times New Roman" w:hAnsi="Times New Roman" w:cs="Times New Roman"/>
                <w:sz w:val="24"/>
                <w:szCs w:val="24"/>
              </w:rPr>
            </w:pPr>
          </w:p>
        </w:tc>
        <w:tc>
          <w:tcPr>
            <w:tcW w:w="2089" w:type="dxa"/>
          </w:tcPr>
          <w:p w14:paraId="5B4E4A7B" w14:textId="77777777" w:rsidR="00F85951" w:rsidRPr="00B80F82" w:rsidRDefault="00F85951" w:rsidP="00FF1565">
            <w:pPr>
              <w:rPr>
                <w:rFonts w:ascii="Times New Roman" w:hAnsi="Times New Roman" w:cs="Times New Roman"/>
                <w:sz w:val="24"/>
                <w:szCs w:val="24"/>
              </w:rPr>
            </w:pPr>
          </w:p>
        </w:tc>
      </w:tr>
    </w:tbl>
    <w:p w14:paraId="50A0C1D0" w14:textId="77777777" w:rsidR="00F85951" w:rsidRPr="00B80F82" w:rsidRDefault="00F85951" w:rsidP="00F85951">
      <w:pPr>
        <w:rPr>
          <w:rFonts w:ascii="Times New Roman" w:hAnsi="Times New Roman" w:cs="Times New Roman"/>
          <w:sz w:val="24"/>
          <w:szCs w:val="24"/>
        </w:rPr>
      </w:pPr>
      <w:r w:rsidRPr="00B80F82">
        <w:rPr>
          <w:rFonts w:ascii="Times New Roman" w:hAnsi="Times New Roman" w:cs="Times New Roman"/>
          <w:sz w:val="24"/>
          <w:szCs w:val="24"/>
        </w:rPr>
        <w:t xml:space="preserve">a. No cells have expected counts less than 5; minimum expected count is 14.5. </w:t>
      </w:r>
    </w:p>
    <w:p w14:paraId="42382181" w14:textId="77777777" w:rsidR="00BE6171" w:rsidRDefault="00F85951" w:rsidP="008A6101">
      <w:pPr>
        <w:tabs>
          <w:tab w:val="left" w:pos="3540"/>
        </w:tabs>
        <w:rPr>
          <w:rFonts w:ascii="Times New Roman" w:hAnsi="Times New Roman" w:cs="Times New Roman"/>
          <w:sz w:val="24"/>
          <w:szCs w:val="24"/>
        </w:rPr>
      </w:pPr>
      <w:r w:rsidRPr="00B80F82">
        <w:rPr>
          <w:rFonts w:ascii="Times New Roman" w:hAnsi="Times New Roman" w:cs="Times New Roman"/>
          <w:sz w:val="24"/>
          <w:szCs w:val="24"/>
        </w:rPr>
        <w:tab/>
        <w:t xml:space="preserve"> </w:t>
      </w:r>
    </w:p>
    <w:p w14:paraId="7E6A1CA3" w14:textId="77777777" w:rsidR="008A6101" w:rsidRPr="008A6101" w:rsidRDefault="008A6101" w:rsidP="008A6101">
      <w:pPr>
        <w:tabs>
          <w:tab w:val="left" w:pos="3540"/>
        </w:tabs>
        <w:rPr>
          <w:rFonts w:ascii="Times New Roman" w:hAnsi="Times New Roman" w:cs="Times New Roman"/>
          <w:sz w:val="24"/>
          <w:szCs w:val="24"/>
        </w:rPr>
      </w:pPr>
    </w:p>
    <w:p w14:paraId="47D9A40F" w14:textId="77777777" w:rsidR="00BE6171" w:rsidRPr="00B80F82" w:rsidRDefault="00BE6171" w:rsidP="00BE6171">
      <w:pPr>
        <w:spacing w:before="100" w:beforeAutospacing="1" w:after="100" w:afterAutospacing="1" w:line="240" w:lineRule="auto"/>
        <w:jc w:val="both"/>
        <w:rPr>
          <w:rFonts w:ascii="Times New Roman" w:eastAsia="Times New Roman" w:hAnsi="Times New Roman" w:cs="Times New Roman"/>
          <w:sz w:val="24"/>
          <w:szCs w:val="24"/>
        </w:rPr>
      </w:pPr>
    </w:p>
    <w:p w14:paraId="03779D42" w14:textId="77777777" w:rsidR="00BE6171" w:rsidRPr="00B80F82" w:rsidRDefault="00BE6171" w:rsidP="00BE6171">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These findings suggest that </w:t>
      </w:r>
      <w:r w:rsidRPr="00B80F82">
        <w:rPr>
          <w:rFonts w:ascii="Times New Roman" w:eastAsia="Times New Roman" w:hAnsi="Times New Roman" w:cs="Times New Roman"/>
          <w:bCs/>
          <w:sz w:val="24"/>
          <w:szCs w:val="24"/>
        </w:rPr>
        <w:t>sex is not a strong determinant of participation</w:t>
      </w:r>
      <w:r w:rsidRPr="00B80F82">
        <w:rPr>
          <w:rFonts w:ascii="Times New Roman" w:eastAsia="Times New Roman" w:hAnsi="Times New Roman" w:cs="Times New Roman"/>
          <w:sz w:val="24"/>
          <w:szCs w:val="24"/>
        </w:rPr>
        <w:t xml:space="preserve"> in either community. Although a greater proportion of female respondents in Adele reported non-participation, the variance was not large enough to imply a meaningful pattern. The absence of significant sex-based differences stands in contrast to studies such as </w:t>
      </w:r>
      <w:proofErr w:type="spellStart"/>
      <w:r w:rsidRPr="00B80F82">
        <w:rPr>
          <w:rFonts w:ascii="Times New Roman" w:eastAsia="Times New Roman" w:hAnsi="Times New Roman" w:cs="Times New Roman"/>
          <w:sz w:val="24"/>
          <w:szCs w:val="24"/>
        </w:rPr>
        <w:t>Timilsina</w:t>
      </w:r>
      <w:proofErr w:type="spellEnd"/>
      <w:r w:rsidRPr="00B80F82">
        <w:rPr>
          <w:rFonts w:ascii="Times New Roman" w:eastAsia="Times New Roman" w:hAnsi="Times New Roman" w:cs="Times New Roman"/>
          <w:sz w:val="24"/>
          <w:szCs w:val="24"/>
        </w:rPr>
        <w:t xml:space="preserve"> et al. (2024), which found that sex can influence access and involvement in forest governance, often due to cultural roles and institutional barriers. However, it may also reflect evolving social norms or successful gender-inclusive policies within these particular communities, reinforcing </w:t>
      </w:r>
      <w:proofErr w:type="spellStart"/>
      <w:r w:rsidRPr="00B80F82">
        <w:rPr>
          <w:rFonts w:ascii="Times New Roman" w:eastAsia="Times New Roman" w:hAnsi="Times New Roman" w:cs="Times New Roman"/>
          <w:sz w:val="24"/>
          <w:szCs w:val="24"/>
        </w:rPr>
        <w:t>Baynes</w:t>
      </w:r>
      <w:proofErr w:type="spellEnd"/>
      <w:r w:rsidRPr="00B80F82">
        <w:rPr>
          <w:rFonts w:ascii="Times New Roman" w:eastAsia="Times New Roman" w:hAnsi="Times New Roman" w:cs="Times New Roman"/>
          <w:sz w:val="24"/>
          <w:szCs w:val="24"/>
        </w:rPr>
        <w:t xml:space="preserve"> et al. (2021), who emphasize the importance of </w:t>
      </w:r>
      <w:r w:rsidRPr="00B80F82">
        <w:rPr>
          <w:rFonts w:ascii="Times New Roman" w:eastAsia="Times New Roman" w:hAnsi="Times New Roman" w:cs="Times New Roman"/>
          <w:bCs/>
          <w:sz w:val="24"/>
          <w:szCs w:val="24"/>
        </w:rPr>
        <w:t>context-specific dynamics in shaping participation outcomes</w:t>
      </w:r>
      <w:r w:rsidRPr="00B80F82">
        <w:rPr>
          <w:rFonts w:ascii="Times New Roman" w:eastAsia="Times New Roman" w:hAnsi="Times New Roman" w:cs="Times New Roman"/>
          <w:sz w:val="24"/>
          <w:szCs w:val="24"/>
        </w:rPr>
        <w:t>.</w:t>
      </w:r>
    </w:p>
    <w:p w14:paraId="1ED89D3C" w14:textId="77777777" w:rsidR="00BE6171" w:rsidRPr="00B80F82" w:rsidRDefault="00BE6171" w:rsidP="00BE6171">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From the standpoint of </w:t>
      </w:r>
      <w:r w:rsidRPr="00B80F82">
        <w:rPr>
          <w:rFonts w:ascii="Times New Roman" w:eastAsia="Times New Roman" w:hAnsi="Times New Roman" w:cs="Times New Roman"/>
          <w:bCs/>
          <w:sz w:val="24"/>
          <w:szCs w:val="24"/>
        </w:rPr>
        <w:t>Common Property Theory</w:t>
      </w:r>
      <w:r w:rsidRPr="00B80F82">
        <w:rPr>
          <w:rFonts w:ascii="Times New Roman" w:eastAsia="Times New Roman" w:hAnsi="Times New Roman" w:cs="Times New Roman"/>
          <w:sz w:val="24"/>
          <w:szCs w:val="24"/>
        </w:rPr>
        <w:t xml:space="preserve">, particularly Ostrom’s design principles, these results align with the idea that equitable rules of access and participation if properly institutionalized can overcome structural inequalities such as gender. Nonetheless, qualitative follow-up may be necessary to understand whether parity in participation reflects true equity or merely surface-level involvement, particularly considering evidence that women’s participation can often be symbolic or limited to less influential roles (Agarwal, 2001; </w:t>
      </w:r>
      <w:proofErr w:type="spellStart"/>
      <w:r w:rsidRPr="00B80F82">
        <w:rPr>
          <w:rFonts w:ascii="Times New Roman" w:eastAsia="Times New Roman" w:hAnsi="Times New Roman" w:cs="Times New Roman"/>
          <w:sz w:val="24"/>
          <w:szCs w:val="24"/>
        </w:rPr>
        <w:t>Chomba</w:t>
      </w:r>
      <w:proofErr w:type="spellEnd"/>
      <w:r w:rsidRPr="00B80F82">
        <w:rPr>
          <w:rFonts w:ascii="Times New Roman" w:eastAsia="Times New Roman" w:hAnsi="Times New Roman" w:cs="Times New Roman"/>
          <w:sz w:val="24"/>
          <w:szCs w:val="24"/>
        </w:rPr>
        <w:t xml:space="preserve"> et al., 2015). </w:t>
      </w:r>
    </w:p>
    <w:p w14:paraId="7714B95F" w14:textId="77777777" w:rsidR="00F85951" w:rsidRPr="00B80F82" w:rsidRDefault="00F85951" w:rsidP="00F85951">
      <w:pPr>
        <w:spacing w:line="240" w:lineRule="auto"/>
        <w:jc w:val="both"/>
        <w:rPr>
          <w:rFonts w:ascii="Times New Roman" w:eastAsia="Times New Roman" w:hAnsi="Times New Roman" w:cs="Times New Roman"/>
          <w:sz w:val="24"/>
          <w:szCs w:val="24"/>
        </w:rPr>
      </w:pPr>
    </w:p>
    <w:p w14:paraId="711862A7" w14:textId="77777777" w:rsidR="00BE6171" w:rsidRPr="00B80F82" w:rsidRDefault="00BE6171" w:rsidP="00BE6171">
      <w:pPr>
        <w:keepNext/>
        <w:keepLines/>
        <w:numPr>
          <w:ilvl w:val="1"/>
          <w:numId w:val="0"/>
        </w:numPr>
        <w:spacing w:before="40" w:after="0" w:line="360" w:lineRule="auto"/>
        <w:ind w:left="576" w:hanging="576"/>
        <w:outlineLvl w:val="1"/>
        <w:rPr>
          <w:rFonts w:ascii="Times New Roman" w:eastAsiaTheme="majorEastAsia" w:hAnsi="Times New Roman" w:cs="Times New Roman"/>
          <w:b/>
          <w:bCs/>
          <w:sz w:val="24"/>
          <w:szCs w:val="24"/>
        </w:rPr>
      </w:pPr>
      <w:bookmarkStart w:id="9" w:name="_Toc207012601"/>
      <w:r w:rsidRPr="00B80F82">
        <w:rPr>
          <w:rFonts w:ascii="Times New Roman" w:eastAsiaTheme="majorEastAsia" w:hAnsi="Times New Roman" w:cs="Times New Roman"/>
          <w:b/>
          <w:bCs/>
          <w:sz w:val="24"/>
          <w:szCs w:val="24"/>
        </w:rPr>
        <w:lastRenderedPageBreak/>
        <w:t xml:space="preserve">Perception on Effectiveness of Community level Initiative within </w:t>
      </w:r>
      <w:proofErr w:type="spellStart"/>
      <w:r w:rsidRPr="00B80F82">
        <w:rPr>
          <w:rFonts w:ascii="Times New Roman" w:eastAsiaTheme="majorEastAsia" w:hAnsi="Times New Roman" w:cs="Times New Roman"/>
          <w:b/>
          <w:bCs/>
          <w:sz w:val="24"/>
          <w:szCs w:val="24"/>
        </w:rPr>
        <w:t>Nchumuru</w:t>
      </w:r>
      <w:proofErr w:type="spellEnd"/>
      <w:r w:rsidRPr="00B80F82">
        <w:rPr>
          <w:rFonts w:ascii="Times New Roman" w:eastAsiaTheme="majorEastAsia" w:hAnsi="Times New Roman" w:cs="Times New Roman"/>
          <w:b/>
          <w:bCs/>
          <w:sz w:val="24"/>
          <w:szCs w:val="24"/>
        </w:rPr>
        <w:t xml:space="preserve"> and Adele Communities</w:t>
      </w:r>
      <w:bookmarkEnd w:id="9"/>
    </w:p>
    <w:p w14:paraId="4F8D854C" w14:textId="77777777" w:rsidR="00BE6171" w:rsidRPr="00B80F82" w:rsidRDefault="00BE6171" w:rsidP="00BE6171">
      <w:pPr>
        <w:spacing w:line="360" w:lineRule="auto"/>
        <w:jc w:val="both"/>
        <w:rPr>
          <w:rFonts w:ascii="Times New Roman" w:hAnsi="Times New Roman" w:cs="Times New Roman"/>
          <w:sz w:val="24"/>
          <w:szCs w:val="24"/>
        </w:rPr>
      </w:pPr>
      <w:r w:rsidRPr="00B80F82">
        <w:rPr>
          <w:rFonts w:ascii="Times New Roman" w:hAnsi="Times New Roman" w:cs="Times New Roman"/>
          <w:sz w:val="24"/>
          <w:szCs w:val="24"/>
        </w:rPr>
        <w:t xml:space="preserve">Community-level initiatives are central to the success of participatory forest governance, as they reflect local ownership, rule enforcement, and stakeholder collaboration. Understanding how residents perceive the effectiveness of these initiatives helps assess the credibility, functionality, and legitimacy of local forest management systems. These perceptions are shaped by factors such as enforcement of bylaws, benefit-sharing arrangements, external support, and community engagement. The figures below captures respondents’ views on how effective they consider the existing community-level forest initiatives in both the </w:t>
      </w:r>
      <w:proofErr w:type="spellStart"/>
      <w:r w:rsidRPr="00B80F82">
        <w:rPr>
          <w:rFonts w:ascii="Times New Roman" w:hAnsi="Times New Roman" w:cs="Times New Roman"/>
          <w:sz w:val="24"/>
          <w:szCs w:val="24"/>
        </w:rPr>
        <w:t>Nchumuru</w:t>
      </w:r>
      <w:proofErr w:type="spellEnd"/>
      <w:r w:rsidRPr="00B80F82">
        <w:rPr>
          <w:rFonts w:ascii="Times New Roman" w:hAnsi="Times New Roman" w:cs="Times New Roman"/>
          <w:sz w:val="24"/>
          <w:szCs w:val="24"/>
        </w:rPr>
        <w:t xml:space="preserve"> and Adele communities. </w:t>
      </w:r>
    </w:p>
    <w:p w14:paraId="033F8C5B" w14:textId="77777777" w:rsidR="00F85951" w:rsidRPr="00B80F82" w:rsidRDefault="00BE6171" w:rsidP="00F85951">
      <w:pPr>
        <w:spacing w:line="240" w:lineRule="auto"/>
        <w:jc w:val="both"/>
        <w:rPr>
          <w:rFonts w:ascii="Times New Roman" w:hAnsi="Times New Roman" w:cs="Times New Roman"/>
          <w:sz w:val="24"/>
          <w:szCs w:val="24"/>
        </w:rPr>
      </w:pPr>
      <w:r w:rsidRPr="00B80F82">
        <w:rPr>
          <w:rFonts w:ascii="Times New Roman" w:hAnsi="Times New Roman" w:cs="Times New Roman"/>
          <w:sz w:val="24"/>
          <w:szCs w:val="24"/>
        </w:rPr>
        <w:t xml:space="preserve"> </w:t>
      </w:r>
    </w:p>
    <w:p w14:paraId="37F82712" w14:textId="77777777" w:rsidR="00BE6171" w:rsidRPr="00B80F82" w:rsidRDefault="00BE6171" w:rsidP="00F85951">
      <w:pPr>
        <w:spacing w:line="240" w:lineRule="auto"/>
        <w:jc w:val="both"/>
        <w:rPr>
          <w:rFonts w:ascii="Times New Roman" w:hAnsi="Times New Roman" w:cs="Times New Roman"/>
          <w:sz w:val="24"/>
          <w:szCs w:val="24"/>
        </w:rPr>
      </w:pPr>
      <w:r w:rsidRPr="00B80F82">
        <w:rPr>
          <w:rFonts w:ascii="Times New Roman" w:hAnsi="Times New Roman" w:cs="Times New Roman"/>
          <w:noProof/>
          <w:sz w:val="24"/>
          <w:szCs w:val="24"/>
        </w:rPr>
        <w:drawing>
          <wp:inline distT="0" distB="0" distL="0" distR="0" wp14:anchorId="55FFC611" wp14:editId="505E4DB8">
            <wp:extent cx="4572000" cy="28575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66662F" w14:textId="4F33070D" w:rsidR="00A17CDD" w:rsidRPr="00670B60" w:rsidRDefault="00A17CDD" w:rsidP="00670B60">
      <w:pPr>
        <w:keepNext/>
        <w:keepLines/>
        <w:numPr>
          <w:ilvl w:val="1"/>
          <w:numId w:val="0"/>
        </w:numPr>
        <w:spacing w:before="40" w:after="0" w:line="360" w:lineRule="auto"/>
        <w:ind w:left="576" w:hanging="576"/>
        <w:outlineLvl w:val="1"/>
        <w:rPr>
          <w:rFonts w:ascii="Times New Roman" w:eastAsiaTheme="majorEastAsia" w:hAnsi="Times New Roman" w:cs="Times New Roman"/>
          <w:b/>
          <w:bCs/>
          <w:sz w:val="24"/>
          <w:szCs w:val="24"/>
        </w:rPr>
      </w:pPr>
      <w:r>
        <w:rPr>
          <w:rFonts w:ascii="Times New Roman" w:eastAsia="Times New Roman" w:hAnsi="Times New Roman" w:cs="Times New Roman"/>
          <w:sz w:val="24"/>
          <w:szCs w:val="24"/>
        </w:rPr>
        <w:t>Fig 6-</w:t>
      </w:r>
      <w:r w:rsidR="002D1101">
        <w:rPr>
          <w:rFonts w:ascii="Times New Roman" w:eastAsia="Times New Roman" w:hAnsi="Times New Roman" w:cs="Times New Roman"/>
          <w:sz w:val="24"/>
          <w:szCs w:val="24"/>
        </w:rPr>
        <w:t xml:space="preserve"> </w:t>
      </w:r>
      <w:r w:rsidR="00E36FD3" w:rsidRPr="00BC5845">
        <w:rPr>
          <w:rFonts w:ascii="Times New Roman" w:eastAsia="Times New Roman" w:hAnsi="Times New Roman" w:cs="Times New Roman"/>
          <w:b/>
          <w:sz w:val="24"/>
          <w:szCs w:val="24"/>
        </w:rPr>
        <w:t>Respondents’</w:t>
      </w:r>
      <w:r w:rsidR="00E36FD3">
        <w:rPr>
          <w:rFonts w:ascii="Times New Roman" w:eastAsia="Times New Roman" w:hAnsi="Times New Roman" w:cs="Times New Roman"/>
          <w:sz w:val="24"/>
          <w:szCs w:val="24"/>
        </w:rPr>
        <w:t xml:space="preserve"> </w:t>
      </w:r>
      <w:r w:rsidR="002D1101" w:rsidRPr="00B80F82">
        <w:rPr>
          <w:rFonts w:ascii="Times New Roman" w:eastAsiaTheme="majorEastAsia" w:hAnsi="Times New Roman" w:cs="Times New Roman"/>
          <w:b/>
          <w:bCs/>
          <w:sz w:val="24"/>
          <w:szCs w:val="24"/>
        </w:rPr>
        <w:t xml:space="preserve">Perception on Effectiveness of Community level Initiative within </w:t>
      </w:r>
      <w:proofErr w:type="spellStart"/>
      <w:r w:rsidR="002D1101" w:rsidRPr="00B80F82">
        <w:rPr>
          <w:rFonts w:ascii="Times New Roman" w:eastAsiaTheme="majorEastAsia" w:hAnsi="Times New Roman" w:cs="Times New Roman"/>
          <w:b/>
          <w:bCs/>
          <w:sz w:val="24"/>
          <w:szCs w:val="24"/>
        </w:rPr>
        <w:t>Nchumuru</w:t>
      </w:r>
      <w:proofErr w:type="spellEnd"/>
      <w:r w:rsidR="002D1101" w:rsidRPr="00B80F82">
        <w:rPr>
          <w:rFonts w:ascii="Times New Roman" w:eastAsiaTheme="majorEastAsia" w:hAnsi="Times New Roman" w:cs="Times New Roman"/>
          <w:b/>
          <w:bCs/>
          <w:sz w:val="24"/>
          <w:szCs w:val="24"/>
        </w:rPr>
        <w:t xml:space="preserve"> and Adele Communities</w:t>
      </w:r>
    </w:p>
    <w:p w14:paraId="45FFB73B" w14:textId="2FAF6FF2" w:rsidR="00BE6171" w:rsidRPr="00B80F82" w:rsidRDefault="00BE6171" w:rsidP="00BE6171">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Community perceptions of forest governance effectiveness in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Adele offer valuable insight into the functionality of local institutional frameworks under Common Property Theory (CPT). CPT emphasizes that meaningful local control, fair governance processes, and tangible benefits are essential for sustainable resource management and collective ownership. When these conditions are met, communities are more likely to actively participate, trust the system, and feel a sense of ownership over shared resources.</w:t>
      </w:r>
    </w:p>
    <w:p w14:paraId="7E252D2B" w14:textId="77777777" w:rsidR="00BE6171" w:rsidRPr="00B80F82" w:rsidRDefault="00BE6171" w:rsidP="00BE6171">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In practice, however, competing patterns emerge. In </w:t>
      </w:r>
      <w:proofErr w:type="spellStart"/>
      <w:r w:rsidRPr="00B80F82">
        <w:rPr>
          <w:rFonts w:ascii="Times New Roman" w:eastAsia="Times New Roman" w:hAnsi="Times New Roman" w:cs="Times New Roman"/>
          <w:bCs/>
          <w:sz w:val="24"/>
          <w:szCs w:val="24"/>
        </w:rPr>
        <w:t>Nchumuru</w:t>
      </w:r>
      <w:proofErr w:type="spellEnd"/>
      <w:r w:rsidRPr="00B80F82">
        <w:rPr>
          <w:rFonts w:ascii="Times New Roman" w:eastAsia="Times New Roman" w:hAnsi="Times New Roman" w:cs="Times New Roman"/>
          <w:sz w:val="24"/>
          <w:szCs w:val="24"/>
        </w:rPr>
        <w:t xml:space="preserve">, the distribution of responses where a significant majority disagree that the initiatives are effective suggests underlying structural </w:t>
      </w:r>
      <w:r w:rsidRPr="00B80F82">
        <w:rPr>
          <w:rFonts w:ascii="Times New Roman" w:eastAsia="Times New Roman" w:hAnsi="Times New Roman" w:cs="Times New Roman"/>
          <w:sz w:val="24"/>
          <w:szCs w:val="24"/>
        </w:rPr>
        <w:lastRenderedPageBreak/>
        <w:t>challenges. These may include weak transparency, limited inclusivity, or absence of visible benefits. This discontent is echoed by local voices, such as one informant who remarked;</w:t>
      </w:r>
    </w:p>
    <w:p w14:paraId="7342C98C" w14:textId="77777777" w:rsidR="00BE6171" w:rsidRPr="00B80F82" w:rsidRDefault="00BE6171" w:rsidP="00BE6171">
      <w:pPr>
        <w:spacing w:beforeAutospacing="1" w:after="100" w:afterAutospacing="1" w:line="240" w:lineRule="auto"/>
        <w:jc w:val="both"/>
        <w:rPr>
          <w:rFonts w:ascii="Times New Roman" w:eastAsia="Times New Roman" w:hAnsi="Times New Roman" w:cs="Times New Roman"/>
          <w:i/>
          <w:sz w:val="24"/>
          <w:szCs w:val="24"/>
        </w:rPr>
      </w:pPr>
      <w:r w:rsidRPr="00B80F82">
        <w:rPr>
          <w:rFonts w:ascii="Times New Roman" w:eastAsia="Times New Roman" w:hAnsi="Times New Roman" w:cs="Times New Roman"/>
          <w:i/>
          <w:sz w:val="24"/>
          <w:szCs w:val="24"/>
        </w:rPr>
        <w:t>“They said we would benefit from the forest, but all we see are restrictions. No jobs, no wood processing plants, nothing for the youth.”</w:t>
      </w:r>
    </w:p>
    <w:p w14:paraId="643AF4AC" w14:textId="77777777" w:rsidR="00BE6171" w:rsidRPr="00B80F82" w:rsidRDefault="00BE6171" w:rsidP="00BE6171">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This stark contrast between promise and lived reality exemplifies a core CPT warning: when communal ethics and local governance fail to yield tangible advantages, collective commitment withers. Restrictions without benefits undermine the perceived legitimacy of community-based initiatives.</w:t>
      </w:r>
    </w:p>
    <w:p w14:paraId="44C94B38" w14:textId="77777777" w:rsidR="00BE6171" w:rsidRPr="00B80F82" w:rsidRDefault="00BE6171" w:rsidP="00BE6171">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Meanwhile, in </w:t>
      </w:r>
      <w:r w:rsidRPr="00B80F82">
        <w:rPr>
          <w:rFonts w:ascii="Times New Roman" w:eastAsia="Times New Roman" w:hAnsi="Times New Roman" w:cs="Times New Roman"/>
          <w:bCs/>
          <w:sz w:val="24"/>
          <w:szCs w:val="24"/>
        </w:rPr>
        <w:t>Adele</w:t>
      </w:r>
      <w:r w:rsidRPr="00B80F82">
        <w:rPr>
          <w:rFonts w:ascii="Times New Roman" w:eastAsia="Times New Roman" w:hAnsi="Times New Roman" w:cs="Times New Roman"/>
          <w:sz w:val="24"/>
          <w:szCs w:val="24"/>
        </w:rPr>
        <w:t>, the sentiment, though still largely skeptical, shows a slight shift toward optimism. Phrases like,</w:t>
      </w:r>
    </w:p>
    <w:p w14:paraId="795769EC" w14:textId="77777777" w:rsidR="00BE6171" w:rsidRPr="00B80F82" w:rsidRDefault="00BE6171" w:rsidP="00BE6171">
      <w:pPr>
        <w:spacing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i/>
          <w:sz w:val="24"/>
          <w:szCs w:val="24"/>
        </w:rPr>
        <w:t>“At least we are sometimes called to meetings, and there is some training for the youth, even if it’s not enough,”</w:t>
      </w:r>
      <w:r w:rsidRPr="00B80F82">
        <w:rPr>
          <w:rFonts w:ascii="Times New Roman" w:eastAsia="Times New Roman" w:hAnsi="Times New Roman" w:cs="Times New Roman"/>
          <w:sz w:val="24"/>
          <w:szCs w:val="24"/>
        </w:rPr>
        <w:br/>
        <w:t>suggest that existing participatory platforms however modest may foster more positive perceptions.</w:t>
      </w:r>
    </w:p>
    <w:p w14:paraId="298786FC" w14:textId="77777777" w:rsidR="005A009A" w:rsidRPr="00B80F82" w:rsidRDefault="005A009A" w:rsidP="00BE6171">
      <w:pPr>
        <w:spacing w:line="240" w:lineRule="auto"/>
        <w:jc w:val="both"/>
        <w:rPr>
          <w:rFonts w:ascii="Times New Roman" w:eastAsia="Times New Roman" w:hAnsi="Times New Roman" w:cs="Times New Roman"/>
          <w:sz w:val="24"/>
          <w:szCs w:val="24"/>
        </w:rPr>
      </w:pPr>
    </w:p>
    <w:p w14:paraId="4F523BF3" w14:textId="77777777" w:rsidR="005A009A" w:rsidRPr="00B80F82" w:rsidRDefault="005A009A" w:rsidP="00BE6171">
      <w:pPr>
        <w:spacing w:line="240" w:lineRule="auto"/>
        <w:jc w:val="both"/>
        <w:rPr>
          <w:rFonts w:ascii="Times New Roman" w:eastAsia="Times New Roman" w:hAnsi="Times New Roman" w:cs="Times New Roman"/>
          <w:sz w:val="24"/>
          <w:szCs w:val="24"/>
        </w:rPr>
      </w:pPr>
    </w:p>
    <w:p w14:paraId="20D2C148" w14:textId="77777777" w:rsidR="005A009A" w:rsidRPr="00B80F82" w:rsidRDefault="005A009A" w:rsidP="00BE6171">
      <w:pPr>
        <w:spacing w:line="240" w:lineRule="auto"/>
        <w:jc w:val="both"/>
        <w:rPr>
          <w:rFonts w:ascii="Times New Roman" w:eastAsia="Times New Roman" w:hAnsi="Times New Roman" w:cs="Times New Roman"/>
          <w:sz w:val="24"/>
          <w:szCs w:val="24"/>
        </w:rPr>
      </w:pPr>
    </w:p>
    <w:p w14:paraId="504D9F21" w14:textId="77777777" w:rsidR="005A009A" w:rsidRPr="00B80F82" w:rsidRDefault="005A009A" w:rsidP="005A009A">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80F82">
        <w:rPr>
          <w:rFonts w:ascii="Times New Roman" w:eastAsia="Times New Roman" w:hAnsi="Times New Roman" w:cs="Times New Roman"/>
          <w:b/>
          <w:bCs/>
          <w:kern w:val="36"/>
          <w:sz w:val="24"/>
          <w:szCs w:val="24"/>
        </w:rPr>
        <w:t>Practical Implications</w:t>
      </w:r>
    </w:p>
    <w:p w14:paraId="4CDE82C3" w14:textId="77777777" w:rsidR="00337084" w:rsidRPr="00B80F82" w:rsidRDefault="005A009A" w:rsidP="00337084">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The findings demonstrate that the effectiveness of community-based forest resource management (CBFRM) is shaped largely by local governance structures, participation levels, and enforcement capacity. Practically, this means that forest management interventions in the </w:t>
      </w:r>
      <w:proofErr w:type="spellStart"/>
      <w:r w:rsidRPr="00B80F82">
        <w:rPr>
          <w:rFonts w:ascii="Times New Roman" w:eastAsia="Times New Roman" w:hAnsi="Times New Roman" w:cs="Times New Roman"/>
          <w:sz w:val="24"/>
          <w:szCs w:val="24"/>
        </w:rPr>
        <w:t>Oti</w:t>
      </w:r>
      <w:proofErr w:type="spellEnd"/>
      <w:r w:rsidRPr="00B80F82">
        <w:rPr>
          <w:rFonts w:ascii="Times New Roman" w:eastAsia="Times New Roman" w:hAnsi="Times New Roman" w:cs="Times New Roman"/>
          <w:sz w:val="24"/>
          <w:szCs w:val="24"/>
        </w:rPr>
        <w:t xml:space="preserve"> Region cannot adopt a uniform approach. Instead, policymakers and development partners must tailor support to the unique institutional realities of each community. Strengthening CBFRM requires investments in technical training, monitoring logistics, and the development of transparent benefit-sharing mechanisms that encourage community engagement. Improved collaboration between traditional authorities, district assemblies, and the Forestry Commission is essential for enhancing compliance and sustaining restoration activities. These practical measures can significantly improve the effectiveness of CBFRM initiatives in similar forest savannah landscapes.</w:t>
      </w:r>
    </w:p>
    <w:p w14:paraId="0F4B6183" w14:textId="77777777" w:rsidR="005A009A" w:rsidRPr="00B80F82" w:rsidRDefault="005A009A" w:rsidP="00337084">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b/>
          <w:bCs/>
          <w:kern w:val="36"/>
          <w:sz w:val="24"/>
          <w:szCs w:val="24"/>
        </w:rPr>
        <w:t>Social Implications</w:t>
      </w:r>
    </w:p>
    <w:p w14:paraId="59E89CEE" w14:textId="77777777" w:rsidR="005A009A" w:rsidRPr="00B80F82" w:rsidRDefault="005A009A" w:rsidP="005A009A">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CBFRM has the potential to generate important social benefits by promoting community cohesion, strengthening environmental stewardship, and improving local livelihoods. The study shows that when community members participate actively in forest governance, they develop a stronger sense of ownership and responsibility toward shared natural resources. This can foster trust, reduce conflicts over resource use, and enhance collective action for environmental protection. Furthermore, the equitable distribution of benefits from forest resources can support social inclusion, particularly for women, youth, and vulnerable groups whose voices are often underrepresented in governance processes. Integrating cultural norms and traditional leadership </w:t>
      </w:r>
      <w:r w:rsidRPr="00B80F82">
        <w:rPr>
          <w:rFonts w:ascii="Times New Roman" w:eastAsia="Times New Roman" w:hAnsi="Times New Roman" w:cs="Times New Roman"/>
          <w:sz w:val="24"/>
          <w:szCs w:val="24"/>
        </w:rPr>
        <w:lastRenderedPageBreak/>
        <w:t>structures in CBFRM can also reinforce social identity and community resilience, contributing to longer-term sustainability.</w:t>
      </w:r>
    </w:p>
    <w:p w14:paraId="4BD93518" w14:textId="77777777" w:rsidR="005A009A" w:rsidRPr="00B80F82" w:rsidRDefault="005A009A" w:rsidP="005A009A">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B80F82">
        <w:rPr>
          <w:rFonts w:ascii="Times New Roman" w:eastAsia="Times New Roman" w:hAnsi="Times New Roman" w:cs="Times New Roman"/>
          <w:b/>
          <w:bCs/>
          <w:kern w:val="36"/>
          <w:sz w:val="24"/>
          <w:szCs w:val="24"/>
        </w:rPr>
        <w:t>Contributions of the Study</w:t>
      </w:r>
    </w:p>
    <w:p w14:paraId="66D6C35E" w14:textId="77777777" w:rsidR="005A009A" w:rsidRPr="00B80F82" w:rsidRDefault="005A009A" w:rsidP="005A009A">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This study makes several important contributions to the field of community-based forest governance. First, it provides </w:t>
      </w:r>
      <w:r w:rsidRPr="00B80F82">
        <w:rPr>
          <w:rFonts w:ascii="Times New Roman" w:eastAsia="Times New Roman" w:hAnsi="Times New Roman" w:cs="Times New Roman"/>
          <w:bCs/>
          <w:sz w:val="24"/>
          <w:szCs w:val="24"/>
        </w:rPr>
        <w:t>empirical, quantitative evidence</w:t>
      </w:r>
      <w:r w:rsidRPr="00B80F82">
        <w:rPr>
          <w:rFonts w:ascii="Times New Roman" w:eastAsia="Times New Roman" w:hAnsi="Times New Roman" w:cs="Times New Roman"/>
          <w:sz w:val="24"/>
          <w:szCs w:val="24"/>
        </w:rPr>
        <w:t xml:space="preserve"> on how CBFRM initiatives perform in two distinct communities within the </w:t>
      </w:r>
      <w:proofErr w:type="spellStart"/>
      <w:r w:rsidRPr="00B80F82">
        <w:rPr>
          <w:rFonts w:ascii="Times New Roman" w:eastAsia="Times New Roman" w:hAnsi="Times New Roman" w:cs="Times New Roman"/>
          <w:sz w:val="24"/>
          <w:szCs w:val="24"/>
        </w:rPr>
        <w:t>Oti</w:t>
      </w:r>
      <w:proofErr w:type="spellEnd"/>
      <w:r w:rsidRPr="00B80F82">
        <w:rPr>
          <w:rFonts w:ascii="Times New Roman" w:eastAsia="Times New Roman" w:hAnsi="Times New Roman" w:cs="Times New Roman"/>
          <w:sz w:val="24"/>
          <w:szCs w:val="24"/>
        </w:rPr>
        <w:t xml:space="preserve"> Region an area that has received limited academic attention despite its high dependence on forest resources. By systematically comparing </w:t>
      </w:r>
      <w:proofErr w:type="spellStart"/>
      <w:r w:rsidRPr="00B80F82">
        <w:rPr>
          <w:rFonts w:ascii="Times New Roman" w:eastAsia="Times New Roman" w:hAnsi="Times New Roman" w:cs="Times New Roman"/>
          <w:sz w:val="24"/>
          <w:szCs w:val="24"/>
        </w:rPr>
        <w:t>Nchumuru</w:t>
      </w:r>
      <w:proofErr w:type="spellEnd"/>
      <w:r w:rsidRPr="00B80F82">
        <w:rPr>
          <w:rFonts w:ascii="Times New Roman" w:eastAsia="Times New Roman" w:hAnsi="Times New Roman" w:cs="Times New Roman"/>
          <w:sz w:val="24"/>
          <w:szCs w:val="24"/>
        </w:rPr>
        <w:t xml:space="preserve"> and Adele, the study demonstrates that </w:t>
      </w:r>
      <w:r w:rsidRPr="00B80F82">
        <w:rPr>
          <w:rFonts w:ascii="Times New Roman" w:eastAsia="Times New Roman" w:hAnsi="Times New Roman" w:cs="Times New Roman"/>
          <w:bCs/>
          <w:sz w:val="24"/>
          <w:szCs w:val="24"/>
        </w:rPr>
        <w:t>local institutional arrangements, participation structures, and enforcement mechanisms significantly influence perceived effectiveness</w:t>
      </w:r>
      <w:r w:rsidRPr="00B80F82">
        <w:rPr>
          <w:rFonts w:ascii="Times New Roman" w:eastAsia="Times New Roman" w:hAnsi="Times New Roman" w:cs="Times New Roman"/>
          <w:sz w:val="24"/>
          <w:szCs w:val="24"/>
        </w:rPr>
        <w:t>, even under similar ecological and policy conditions.</w:t>
      </w:r>
    </w:p>
    <w:p w14:paraId="5811CB55" w14:textId="77777777" w:rsidR="005A009A" w:rsidRPr="00B80F82" w:rsidRDefault="005A009A" w:rsidP="005A009A">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Second, the research contributes to theory by applying </w:t>
      </w:r>
      <w:r w:rsidRPr="00B80F82">
        <w:rPr>
          <w:rFonts w:ascii="Times New Roman" w:eastAsia="Times New Roman" w:hAnsi="Times New Roman" w:cs="Times New Roman"/>
          <w:bCs/>
          <w:sz w:val="24"/>
          <w:szCs w:val="24"/>
        </w:rPr>
        <w:t>Common Property Theory</w:t>
      </w:r>
      <w:r w:rsidRPr="00B80F82">
        <w:rPr>
          <w:rFonts w:ascii="Times New Roman" w:eastAsia="Times New Roman" w:hAnsi="Times New Roman" w:cs="Times New Roman"/>
          <w:sz w:val="24"/>
          <w:szCs w:val="24"/>
        </w:rPr>
        <w:t xml:space="preserve"> and </w:t>
      </w:r>
      <w:r w:rsidRPr="00B80F82">
        <w:rPr>
          <w:rFonts w:ascii="Times New Roman" w:eastAsia="Times New Roman" w:hAnsi="Times New Roman" w:cs="Times New Roman"/>
          <w:bCs/>
          <w:sz w:val="24"/>
          <w:szCs w:val="24"/>
        </w:rPr>
        <w:t>Comparative Institutionalism Theory</w:t>
      </w:r>
      <w:r w:rsidRPr="00B80F82">
        <w:rPr>
          <w:rFonts w:ascii="Times New Roman" w:eastAsia="Times New Roman" w:hAnsi="Times New Roman" w:cs="Times New Roman"/>
          <w:sz w:val="24"/>
          <w:szCs w:val="24"/>
        </w:rPr>
        <w:t xml:space="preserve"> to explain why CBFRM outcomes vary across communities. This dual framework enriches understanding of how collective action and institutional context jointly shape forest governance performance.</w:t>
      </w:r>
    </w:p>
    <w:p w14:paraId="3DB26215" w14:textId="77777777" w:rsidR="007F6D38" w:rsidRPr="00B80F82" w:rsidRDefault="007F6D38" w:rsidP="005A009A">
      <w:pPr>
        <w:spacing w:before="100" w:beforeAutospacing="1" w:after="100" w:afterAutospacing="1" w:line="240" w:lineRule="auto"/>
        <w:jc w:val="both"/>
        <w:rPr>
          <w:rFonts w:ascii="Times New Roman" w:eastAsia="Times New Roman" w:hAnsi="Times New Roman" w:cs="Times New Roman"/>
          <w:sz w:val="24"/>
          <w:szCs w:val="24"/>
        </w:rPr>
      </w:pPr>
    </w:p>
    <w:p w14:paraId="7F69902C" w14:textId="77777777" w:rsidR="005A009A" w:rsidRPr="00B80F82" w:rsidRDefault="007F6D38" w:rsidP="005A009A">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                                                                                                               </w:t>
      </w:r>
    </w:p>
    <w:p w14:paraId="0FCCF24E" w14:textId="77777777" w:rsidR="005A009A" w:rsidRPr="00B80F82" w:rsidRDefault="005A009A" w:rsidP="00337084">
      <w:pPr>
        <w:spacing w:before="100" w:beforeAutospacing="1" w:after="100" w:afterAutospacing="1" w:line="240" w:lineRule="auto"/>
        <w:jc w:val="both"/>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Third, the study offers a </w:t>
      </w:r>
      <w:r w:rsidRPr="00B80F82">
        <w:rPr>
          <w:rFonts w:ascii="Times New Roman" w:eastAsia="Times New Roman" w:hAnsi="Times New Roman" w:cs="Times New Roman"/>
          <w:bCs/>
          <w:sz w:val="24"/>
          <w:szCs w:val="24"/>
        </w:rPr>
        <w:t xml:space="preserve">practical assessment tool </w:t>
      </w:r>
      <w:r w:rsidRPr="00B80F82">
        <w:rPr>
          <w:rFonts w:ascii="Times New Roman" w:eastAsia="Times New Roman" w:hAnsi="Times New Roman" w:cs="Times New Roman"/>
          <w:sz w:val="24"/>
          <w:szCs w:val="24"/>
        </w:rPr>
        <w:t xml:space="preserve">based on participation, benefits, and perceived effectiveness that can be used by policymakers, practitioners, and researchers to evaluate CBFRM systems in other Ghanaian communities or similar forest–savannah environments. Finally, the findings add to the growing body of literature emphasizing the importance of </w:t>
      </w:r>
      <w:r w:rsidRPr="00B80F82">
        <w:rPr>
          <w:rFonts w:ascii="Times New Roman" w:eastAsia="Times New Roman" w:hAnsi="Times New Roman" w:cs="Times New Roman"/>
          <w:bCs/>
          <w:sz w:val="24"/>
          <w:szCs w:val="24"/>
        </w:rPr>
        <w:t>context-specific policy design</w:t>
      </w:r>
      <w:r w:rsidRPr="00B80F82">
        <w:rPr>
          <w:rFonts w:ascii="Times New Roman" w:eastAsia="Times New Roman" w:hAnsi="Times New Roman" w:cs="Times New Roman"/>
          <w:sz w:val="24"/>
          <w:szCs w:val="24"/>
        </w:rPr>
        <w:t xml:space="preserve"> rather than one-size-fits-all approaches in natural resource management.</w:t>
      </w:r>
    </w:p>
    <w:p w14:paraId="447859CD" w14:textId="77777777" w:rsidR="00540600" w:rsidRPr="00B80F82" w:rsidRDefault="00540600" w:rsidP="00BE6171">
      <w:pPr>
        <w:spacing w:line="240" w:lineRule="auto"/>
        <w:jc w:val="both"/>
        <w:rPr>
          <w:rFonts w:ascii="Times New Roman" w:hAnsi="Times New Roman" w:cs="Times New Roman"/>
          <w:sz w:val="24"/>
          <w:szCs w:val="24"/>
        </w:rPr>
      </w:pPr>
    </w:p>
    <w:p w14:paraId="5819E18B" w14:textId="77777777" w:rsidR="00540600" w:rsidRPr="00540600" w:rsidRDefault="00540600" w:rsidP="00540600">
      <w:pPr>
        <w:spacing w:before="100" w:beforeAutospacing="1" w:after="100" w:afterAutospacing="1" w:line="240" w:lineRule="auto"/>
        <w:outlineLvl w:val="2"/>
        <w:rPr>
          <w:rFonts w:ascii="Times New Roman" w:eastAsia="Times New Roman" w:hAnsi="Times New Roman" w:cs="Times New Roman"/>
          <w:b/>
          <w:bCs/>
          <w:sz w:val="24"/>
          <w:szCs w:val="24"/>
        </w:rPr>
      </w:pPr>
      <w:r w:rsidRPr="00B80F82">
        <w:rPr>
          <w:rFonts w:ascii="Times New Roman" w:eastAsia="Times New Roman" w:hAnsi="Times New Roman" w:cs="Times New Roman"/>
          <w:b/>
          <w:bCs/>
          <w:sz w:val="24"/>
          <w:szCs w:val="24"/>
        </w:rPr>
        <w:t>CONCLUSION</w:t>
      </w:r>
    </w:p>
    <w:p w14:paraId="73EE63B1" w14:textId="77777777" w:rsidR="00540600" w:rsidRPr="00540600" w:rsidRDefault="00540600" w:rsidP="00540600">
      <w:pPr>
        <w:spacing w:before="100" w:beforeAutospacing="1" w:after="100" w:afterAutospacing="1" w:line="240" w:lineRule="auto"/>
        <w:jc w:val="both"/>
        <w:rPr>
          <w:rFonts w:ascii="Times New Roman" w:eastAsia="Times New Roman" w:hAnsi="Times New Roman" w:cs="Times New Roman"/>
          <w:sz w:val="24"/>
          <w:szCs w:val="24"/>
        </w:rPr>
      </w:pPr>
      <w:r w:rsidRPr="00540600">
        <w:rPr>
          <w:rFonts w:ascii="Times New Roman" w:eastAsia="Times New Roman" w:hAnsi="Times New Roman" w:cs="Times New Roman"/>
          <w:sz w:val="24"/>
          <w:szCs w:val="24"/>
        </w:rPr>
        <w:t xml:space="preserve">This study provides a comparative analysis of community-based forest resource management (CBFRM) in the </w:t>
      </w:r>
      <w:proofErr w:type="spellStart"/>
      <w:r w:rsidRPr="00540600">
        <w:rPr>
          <w:rFonts w:ascii="Times New Roman" w:eastAsia="Times New Roman" w:hAnsi="Times New Roman" w:cs="Times New Roman"/>
          <w:sz w:val="24"/>
          <w:szCs w:val="24"/>
        </w:rPr>
        <w:t>Nchumuru</w:t>
      </w:r>
      <w:proofErr w:type="spellEnd"/>
      <w:r w:rsidRPr="00540600">
        <w:rPr>
          <w:rFonts w:ascii="Times New Roman" w:eastAsia="Times New Roman" w:hAnsi="Times New Roman" w:cs="Times New Roman"/>
          <w:sz w:val="24"/>
          <w:szCs w:val="24"/>
        </w:rPr>
        <w:t xml:space="preserve"> and Adele communities of Ghana's </w:t>
      </w:r>
      <w:proofErr w:type="spellStart"/>
      <w:r w:rsidRPr="00540600">
        <w:rPr>
          <w:rFonts w:ascii="Times New Roman" w:eastAsia="Times New Roman" w:hAnsi="Times New Roman" w:cs="Times New Roman"/>
          <w:sz w:val="24"/>
          <w:szCs w:val="24"/>
        </w:rPr>
        <w:t>Oti</w:t>
      </w:r>
      <w:proofErr w:type="spellEnd"/>
      <w:r w:rsidRPr="00540600">
        <w:rPr>
          <w:rFonts w:ascii="Times New Roman" w:eastAsia="Times New Roman" w:hAnsi="Times New Roman" w:cs="Times New Roman"/>
          <w:sz w:val="24"/>
          <w:szCs w:val="24"/>
        </w:rPr>
        <w:t xml:space="preserve"> Region, revealing that while both communities operate under similar policy frameworks, the effectiveness of their forest governance initiatives varies significantly. These differences are largely shaped by local institutional structures, levels of community participation, and enforcement mechanisms. The findings highlight the importance of context-specific approaches to forest governance and underscore the value of integrating both quantitative and qualitative insights to better understand the complex dynamics influencing CBFRM outcomes. Strengthening institutional support, promoting inclusive participation, and enhancing enforcement capacity are essential for improving the sustainability and social equity of community-based forest management systems.</w:t>
      </w:r>
    </w:p>
    <w:p w14:paraId="1B73611C" w14:textId="77777777" w:rsidR="00540600" w:rsidRPr="00B80F82" w:rsidRDefault="00540600" w:rsidP="00BE6171">
      <w:pPr>
        <w:spacing w:line="240" w:lineRule="auto"/>
        <w:jc w:val="both"/>
        <w:rPr>
          <w:rFonts w:ascii="Times New Roman" w:hAnsi="Times New Roman" w:cs="Times New Roman"/>
          <w:sz w:val="24"/>
          <w:szCs w:val="24"/>
        </w:rPr>
      </w:pPr>
    </w:p>
    <w:p w14:paraId="3461208D" w14:textId="77777777" w:rsidR="00540600" w:rsidRPr="00B80F82" w:rsidRDefault="00540600" w:rsidP="00BE6171">
      <w:pPr>
        <w:spacing w:line="240" w:lineRule="auto"/>
        <w:jc w:val="both"/>
        <w:rPr>
          <w:rFonts w:ascii="Times New Roman" w:hAnsi="Times New Roman" w:cs="Times New Roman"/>
          <w:sz w:val="24"/>
          <w:szCs w:val="24"/>
        </w:rPr>
      </w:pPr>
    </w:p>
    <w:p w14:paraId="52E814FE" w14:textId="77777777" w:rsidR="008A6101" w:rsidRDefault="008A6101" w:rsidP="008A6101">
      <w:pPr>
        <w:pStyle w:val="isselectedend"/>
      </w:pPr>
      <w:bookmarkStart w:id="10" w:name="_GoBack"/>
      <w:bookmarkEnd w:id="10"/>
      <w:r>
        <w:rPr>
          <w:rStyle w:val="Strong"/>
        </w:rPr>
        <w:lastRenderedPageBreak/>
        <w:t>Declaration of Competing Interest</w:t>
      </w:r>
    </w:p>
    <w:p w14:paraId="2C7A3023" w14:textId="77777777" w:rsidR="008A6101" w:rsidRPr="007D3F14" w:rsidRDefault="008A6101" w:rsidP="008A6101">
      <w:pPr>
        <w:pStyle w:val="NormalWeb"/>
      </w:pPr>
      <w:r>
        <w:t>The authors declare that there are no known competing financial interests, personal relationships, or affiliations that could have appeared to influence the work reported in this study.</w:t>
      </w:r>
    </w:p>
    <w:p w14:paraId="5F8A3FA4" w14:textId="77777777" w:rsidR="00ED673C" w:rsidRPr="00B80F82" w:rsidRDefault="00ED673C" w:rsidP="00BE6171">
      <w:pPr>
        <w:spacing w:line="240" w:lineRule="auto"/>
        <w:jc w:val="both"/>
        <w:rPr>
          <w:rFonts w:ascii="Times New Roman" w:hAnsi="Times New Roman" w:cs="Times New Roman"/>
          <w:sz w:val="24"/>
          <w:szCs w:val="24"/>
        </w:rPr>
      </w:pPr>
    </w:p>
    <w:p w14:paraId="55B85656" w14:textId="77777777" w:rsidR="007F6D38" w:rsidRPr="00B80F82" w:rsidRDefault="00E03C29" w:rsidP="00BE6171">
      <w:pPr>
        <w:spacing w:line="240" w:lineRule="auto"/>
        <w:jc w:val="both"/>
        <w:rPr>
          <w:rFonts w:ascii="Times New Roman" w:hAnsi="Times New Roman" w:cs="Times New Roman"/>
          <w:b/>
          <w:sz w:val="24"/>
          <w:szCs w:val="24"/>
          <w:vertAlign w:val="superscript"/>
        </w:rPr>
      </w:pPr>
      <w:r w:rsidRPr="00B80F82">
        <w:rPr>
          <w:rFonts w:ascii="Times New Roman" w:hAnsi="Times New Roman" w:cs="Times New Roman"/>
          <w:b/>
          <w:sz w:val="24"/>
          <w:szCs w:val="24"/>
        </w:rPr>
        <w:t>REFERENCE</w:t>
      </w:r>
    </w:p>
    <w:p w14:paraId="1BD50054"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garwal</w:t>
      </w:r>
      <w:proofErr w:type="spellEnd"/>
      <w:r w:rsidRPr="00B80F82">
        <w:rPr>
          <w:rFonts w:ascii="Times New Roman" w:eastAsia="Times New Roman" w:hAnsi="Times New Roman" w:cs="Times New Roman"/>
          <w:sz w:val="24"/>
          <w:szCs w:val="24"/>
        </w:rPr>
        <w:t xml:space="preserve">, B. (2001). Participatory exclusions, community forestry, and gender: An analysis for South Asia and a conceptual framework. </w:t>
      </w:r>
      <w:r w:rsidRPr="00B80F82">
        <w:rPr>
          <w:rFonts w:ascii="Times New Roman" w:eastAsia="Times New Roman" w:hAnsi="Times New Roman" w:cs="Times New Roman"/>
          <w:i/>
          <w:iCs/>
          <w:sz w:val="24"/>
          <w:szCs w:val="24"/>
        </w:rPr>
        <w:t>World Development</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29</w:t>
      </w:r>
      <w:r w:rsidRPr="00B80F82">
        <w:rPr>
          <w:rFonts w:ascii="Times New Roman" w:eastAsia="Times New Roman" w:hAnsi="Times New Roman" w:cs="Times New Roman"/>
          <w:sz w:val="24"/>
          <w:szCs w:val="24"/>
        </w:rPr>
        <w:t>(10), 1623–1648.</w:t>
      </w:r>
    </w:p>
    <w:p w14:paraId="557A5D3F"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Agrawal, A., &amp; </w:t>
      </w:r>
      <w:proofErr w:type="spellStart"/>
      <w:r w:rsidRPr="00B80F82">
        <w:rPr>
          <w:rFonts w:ascii="Times New Roman" w:eastAsia="Times New Roman" w:hAnsi="Times New Roman" w:cs="Times New Roman"/>
          <w:sz w:val="24"/>
          <w:szCs w:val="24"/>
        </w:rPr>
        <w:t>Chhatre</w:t>
      </w:r>
      <w:proofErr w:type="spellEnd"/>
      <w:r w:rsidRPr="00B80F82">
        <w:rPr>
          <w:rFonts w:ascii="Times New Roman" w:eastAsia="Times New Roman" w:hAnsi="Times New Roman" w:cs="Times New Roman"/>
          <w:sz w:val="24"/>
          <w:szCs w:val="24"/>
        </w:rPr>
        <w:t xml:space="preserve">, A. (2006). Explaining success on the commons: Community forest governance in the Indian Himalaya. </w:t>
      </w:r>
      <w:r w:rsidRPr="00B80F82">
        <w:rPr>
          <w:rFonts w:ascii="Times New Roman" w:eastAsia="Times New Roman" w:hAnsi="Times New Roman" w:cs="Times New Roman"/>
          <w:i/>
          <w:iCs/>
          <w:sz w:val="24"/>
          <w:szCs w:val="24"/>
        </w:rPr>
        <w:t>World Development</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34</w:t>
      </w:r>
      <w:r w:rsidRPr="00B80F82">
        <w:rPr>
          <w:rFonts w:ascii="Times New Roman" w:eastAsia="Times New Roman" w:hAnsi="Times New Roman" w:cs="Times New Roman"/>
          <w:sz w:val="24"/>
          <w:szCs w:val="24"/>
        </w:rPr>
        <w:t>(1), 149–166.</w:t>
      </w:r>
    </w:p>
    <w:p w14:paraId="525825B5"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Agrawal, A., &amp; Gibson, C. C. (1999). Enchantment and disenchantment: The role of community in natural resource conservation. </w:t>
      </w:r>
      <w:r w:rsidRPr="00B80F82">
        <w:rPr>
          <w:rFonts w:ascii="Times New Roman" w:eastAsia="Times New Roman" w:hAnsi="Times New Roman" w:cs="Times New Roman"/>
          <w:i/>
          <w:iCs/>
          <w:sz w:val="24"/>
          <w:szCs w:val="24"/>
        </w:rPr>
        <w:t>World Development</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27</w:t>
      </w:r>
      <w:r w:rsidRPr="00B80F82">
        <w:rPr>
          <w:rFonts w:ascii="Times New Roman" w:eastAsia="Times New Roman" w:hAnsi="Times New Roman" w:cs="Times New Roman"/>
          <w:sz w:val="24"/>
          <w:szCs w:val="24"/>
        </w:rPr>
        <w:t>(4), 629–649.</w:t>
      </w:r>
    </w:p>
    <w:p w14:paraId="1AAB7935"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Agrawal, A., </w:t>
      </w:r>
      <w:proofErr w:type="spellStart"/>
      <w:r w:rsidRPr="00B80F82">
        <w:rPr>
          <w:rFonts w:ascii="Times New Roman" w:eastAsia="Times New Roman" w:hAnsi="Times New Roman" w:cs="Times New Roman"/>
          <w:sz w:val="24"/>
          <w:szCs w:val="24"/>
        </w:rPr>
        <w:t>Ribot</w:t>
      </w:r>
      <w:proofErr w:type="spellEnd"/>
      <w:r w:rsidRPr="00B80F82">
        <w:rPr>
          <w:rFonts w:ascii="Times New Roman" w:eastAsia="Times New Roman" w:hAnsi="Times New Roman" w:cs="Times New Roman"/>
          <w:sz w:val="24"/>
          <w:szCs w:val="24"/>
        </w:rPr>
        <w:t xml:space="preserve">, J. C., &amp; Larson, A. M. (2021). Participation without power: Understanding the limits and risks of community-based natural resource management. </w:t>
      </w:r>
      <w:r w:rsidRPr="00B80F82">
        <w:rPr>
          <w:rFonts w:ascii="Times New Roman" w:eastAsia="Times New Roman" w:hAnsi="Times New Roman" w:cs="Times New Roman"/>
          <w:i/>
          <w:iCs/>
          <w:sz w:val="24"/>
          <w:szCs w:val="24"/>
        </w:rPr>
        <w:t>Conservation and Society</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19</w:t>
      </w:r>
      <w:r w:rsidRPr="00B80F82">
        <w:rPr>
          <w:rFonts w:ascii="Times New Roman" w:eastAsia="Times New Roman" w:hAnsi="Times New Roman" w:cs="Times New Roman"/>
          <w:sz w:val="24"/>
          <w:szCs w:val="24"/>
        </w:rPr>
        <w:t>(1), 5–12.</w:t>
      </w:r>
    </w:p>
    <w:p w14:paraId="3F55A1AC"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Ahebwa</w:t>
      </w:r>
      <w:proofErr w:type="spellEnd"/>
      <w:r w:rsidRPr="00B80F82">
        <w:rPr>
          <w:rFonts w:ascii="Times New Roman" w:eastAsia="Times New Roman" w:hAnsi="Times New Roman" w:cs="Times New Roman"/>
          <w:sz w:val="24"/>
          <w:szCs w:val="24"/>
        </w:rPr>
        <w:t xml:space="preserve">, W. M., Van der </w:t>
      </w:r>
      <w:proofErr w:type="spellStart"/>
      <w:r w:rsidRPr="00B80F82">
        <w:rPr>
          <w:rFonts w:ascii="Times New Roman" w:eastAsia="Times New Roman" w:hAnsi="Times New Roman" w:cs="Times New Roman"/>
          <w:sz w:val="24"/>
          <w:szCs w:val="24"/>
        </w:rPr>
        <w:t>Duim</w:t>
      </w:r>
      <w:proofErr w:type="spellEnd"/>
      <w:r w:rsidRPr="00B80F82">
        <w:rPr>
          <w:rFonts w:ascii="Times New Roman" w:eastAsia="Times New Roman" w:hAnsi="Times New Roman" w:cs="Times New Roman"/>
          <w:sz w:val="24"/>
          <w:szCs w:val="24"/>
        </w:rPr>
        <w:t xml:space="preserve">, R., &amp; Sandbrook, C. (2020). Enabling and constraining factors for community-based conservation in Uganda. </w:t>
      </w:r>
      <w:r w:rsidRPr="00B80F82">
        <w:rPr>
          <w:rFonts w:ascii="Times New Roman" w:eastAsia="Times New Roman" w:hAnsi="Times New Roman" w:cs="Times New Roman"/>
          <w:i/>
          <w:iCs/>
          <w:sz w:val="24"/>
          <w:szCs w:val="24"/>
        </w:rPr>
        <w:t>Conservation and Society</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18</w:t>
      </w:r>
      <w:r w:rsidRPr="00B80F82">
        <w:rPr>
          <w:rFonts w:ascii="Times New Roman" w:eastAsia="Times New Roman" w:hAnsi="Times New Roman" w:cs="Times New Roman"/>
          <w:sz w:val="24"/>
          <w:szCs w:val="24"/>
        </w:rPr>
        <w:t>(3), 210–220.</w:t>
      </w:r>
    </w:p>
    <w:p w14:paraId="53281EE5"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Amanor</w:t>
      </w:r>
      <w:proofErr w:type="spellEnd"/>
      <w:r w:rsidRPr="00B80F82">
        <w:rPr>
          <w:rFonts w:ascii="Times New Roman" w:eastAsia="Times New Roman" w:hAnsi="Times New Roman" w:cs="Times New Roman"/>
          <w:sz w:val="24"/>
          <w:szCs w:val="24"/>
        </w:rPr>
        <w:t xml:space="preserve">, K. (2019). </w:t>
      </w:r>
      <w:r w:rsidRPr="00B80F82">
        <w:rPr>
          <w:rFonts w:ascii="Times New Roman" w:eastAsia="Times New Roman" w:hAnsi="Times New Roman" w:cs="Times New Roman"/>
          <w:i/>
          <w:iCs/>
          <w:sz w:val="24"/>
          <w:szCs w:val="24"/>
        </w:rPr>
        <w:t>Natural resources and sustainable development: From neoliberalism to social justice</w:t>
      </w:r>
      <w:r w:rsidRPr="00B80F82">
        <w:rPr>
          <w:rFonts w:ascii="Times New Roman" w:eastAsia="Times New Roman" w:hAnsi="Times New Roman" w:cs="Times New Roman"/>
          <w:sz w:val="24"/>
          <w:szCs w:val="24"/>
        </w:rPr>
        <w:t>. Routledge.</w:t>
      </w:r>
    </w:p>
    <w:p w14:paraId="4536281C"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Arts, B., van </w:t>
      </w:r>
      <w:proofErr w:type="spellStart"/>
      <w:r w:rsidRPr="00B80F82">
        <w:rPr>
          <w:rFonts w:ascii="Times New Roman" w:eastAsia="Times New Roman" w:hAnsi="Times New Roman" w:cs="Times New Roman"/>
          <w:sz w:val="24"/>
          <w:szCs w:val="24"/>
        </w:rPr>
        <w:t>Bommel</w:t>
      </w:r>
      <w:proofErr w:type="spellEnd"/>
      <w:r w:rsidRPr="00B80F82">
        <w:rPr>
          <w:rFonts w:ascii="Times New Roman" w:eastAsia="Times New Roman" w:hAnsi="Times New Roman" w:cs="Times New Roman"/>
          <w:sz w:val="24"/>
          <w:szCs w:val="24"/>
        </w:rPr>
        <w:t xml:space="preserve">, S., Ros-Tonen, M., &amp; Verschoor, G. (2016). Forest governance: A state of the art review. </w:t>
      </w:r>
      <w:r w:rsidRPr="00B80F82">
        <w:rPr>
          <w:rFonts w:ascii="Times New Roman" w:eastAsia="Times New Roman" w:hAnsi="Times New Roman" w:cs="Times New Roman"/>
          <w:i/>
          <w:iCs/>
          <w:sz w:val="24"/>
          <w:szCs w:val="24"/>
        </w:rPr>
        <w:t>Forests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3</w:t>
      </w:r>
      <w:r w:rsidRPr="00B80F82">
        <w:rPr>
          <w:rFonts w:ascii="Times New Roman" w:eastAsia="Times New Roman" w:hAnsi="Times New Roman" w:cs="Times New Roman"/>
          <w:sz w:val="24"/>
          <w:szCs w:val="24"/>
        </w:rPr>
        <w:t>(3), 706–722.</w:t>
      </w:r>
    </w:p>
    <w:p w14:paraId="49AD89BF"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Asare-Nussah</w:t>
      </w:r>
      <w:proofErr w:type="spellEnd"/>
      <w:r w:rsidRPr="00B80F82">
        <w:rPr>
          <w:rFonts w:ascii="Times New Roman" w:eastAsia="Times New Roman" w:hAnsi="Times New Roman" w:cs="Times New Roman"/>
          <w:sz w:val="24"/>
          <w:szCs w:val="24"/>
        </w:rPr>
        <w:t xml:space="preserve">, B., Owusu, J., &amp; </w:t>
      </w:r>
      <w:proofErr w:type="spellStart"/>
      <w:r w:rsidRPr="00B80F82">
        <w:rPr>
          <w:rFonts w:ascii="Times New Roman" w:eastAsia="Times New Roman" w:hAnsi="Times New Roman" w:cs="Times New Roman"/>
          <w:sz w:val="24"/>
          <w:szCs w:val="24"/>
        </w:rPr>
        <w:t>Marfo</w:t>
      </w:r>
      <w:proofErr w:type="spellEnd"/>
      <w:r w:rsidRPr="00B80F82">
        <w:rPr>
          <w:rFonts w:ascii="Times New Roman" w:eastAsia="Times New Roman" w:hAnsi="Times New Roman" w:cs="Times New Roman"/>
          <w:sz w:val="24"/>
          <w:szCs w:val="24"/>
        </w:rPr>
        <w:t xml:space="preserve">, E. (2022). Challenges of community participation in forest management in Ghana: Evidence from the Savannah Zone. </w:t>
      </w:r>
      <w:r w:rsidRPr="00B80F82">
        <w:rPr>
          <w:rFonts w:ascii="Times New Roman" w:eastAsia="Times New Roman" w:hAnsi="Times New Roman" w:cs="Times New Roman"/>
          <w:i/>
          <w:iCs/>
          <w:sz w:val="24"/>
          <w:szCs w:val="24"/>
        </w:rPr>
        <w:t>Ghana Journal of Forestry</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38</w:t>
      </w:r>
      <w:r w:rsidRPr="00B80F82">
        <w:rPr>
          <w:rFonts w:ascii="Times New Roman" w:eastAsia="Times New Roman" w:hAnsi="Times New Roman" w:cs="Times New Roman"/>
          <w:sz w:val="24"/>
          <w:szCs w:val="24"/>
        </w:rPr>
        <w:t>(1), 1–15.</w:t>
      </w:r>
    </w:p>
    <w:p w14:paraId="218A3A7B"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Asante, P., &amp; </w:t>
      </w:r>
      <w:proofErr w:type="spellStart"/>
      <w:r w:rsidRPr="00B80F82">
        <w:rPr>
          <w:rFonts w:ascii="Times New Roman" w:eastAsia="Times New Roman" w:hAnsi="Times New Roman" w:cs="Times New Roman"/>
          <w:sz w:val="24"/>
          <w:szCs w:val="24"/>
        </w:rPr>
        <w:t>Tufuor</w:t>
      </w:r>
      <w:proofErr w:type="spellEnd"/>
      <w:r w:rsidRPr="00B80F82">
        <w:rPr>
          <w:rFonts w:ascii="Times New Roman" w:eastAsia="Times New Roman" w:hAnsi="Times New Roman" w:cs="Times New Roman"/>
          <w:sz w:val="24"/>
          <w:szCs w:val="24"/>
        </w:rPr>
        <w:t xml:space="preserve">, T. (2019). Understanding community perceptions of forest recovery and the role of participatory management: Evidence from Ghana. </w:t>
      </w:r>
      <w:r w:rsidRPr="00B80F82">
        <w:rPr>
          <w:rFonts w:ascii="Times New Roman" w:eastAsia="Times New Roman" w:hAnsi="Times New Roman" w:cs="Times New Roman"/>
          <w:i/>
          <w:iCs/>
          <w:sz w:val="24"/>
          <w:szCs w:val="24"/>
        </w:rPr>
        <w:t>International Forestry Review</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21</w:t>
      </w:r>
      <w:r w:rsidRPr="00B80F82">
        <w:rPr>
          <w:rFonts w:ascii="Times New Roman" w:eastAsia="Times New Roman" w:hAnsi="Times New Roman" w:cs="Times New Roman"/>
          <w:sz w:val="24"/>
          <w:szCs w:val="24"/>
        </w:rPr>
        <w:t>(4), 456–467.</w:t>
      </w:r>
    </w:p>
    <w:p w14:paraId="4EF24F35" w14:textId="77777777" w:rsidR="007F6D38"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Baynes</w:t>
      </w:r>
      <w:proofErr w:type="spellEnd"/>
      <w:r w:rsidRPr="00B80F82">
        <w:rPr>
          <w:rFonts w:ascii="Times New Roman" w:eastAsia="Times New Roman" w:hAnsi="Times New Roman" w:cs="Times New Roman"/>
          <w:sz w:val="24"/>
          <w:szCs w:val="24"/>
        </w:rPr>
        <w:t xml:space="preserve">, J., </w:t>
      </w:r>
      <w:proofErr w:type="spellStart"/>
      <w:r w:rsidRPr="00B80F82">
        <w:rPr>
          <w:rFonts w:ascii="Times New Roman" w:eastAsia="Times New Roman" w:hAnsi="Times New Roman" w:cs="Times New Roman"/>
          <w:sz w:val="24"/>
          <w:szCs w:val="24"/>
        </w:rPr>
        <w:t>Herbohn</w:t>
      </w:r>
      <w:proofErr w:type="spellEnd"/>
      <w:r w:rsidRPr="00B80F82">
        <w:rPr>
          <w:rFonts w:ascii="Times New Roman" w:eastAsia="Times New Roman" w:hAnsi="Times New Roman" w:cs="Times New Roman"/>
          <w:sz w:val="24"/>
          <w:szCs w:val="24"/>
        </w:rPr>
        <w:t xml:space="preserve">, J., Smith, C., Fisher, R., &amp; Bray, D. (2015). Key factors which influence the success of community forestry in developing countries. </w:t>
      </w:r>
      <w:r w:rsidRPr="00B80F82">
        <w:rPr>
          <w:rFonts w:ascii="Times New Roman" w:eastAsia="Times New Roman" w:hAnsi="Times New Roman" w:cs="Times New Roman"/>
          <w:i/>
          <w:iCs/>
          <w:sz w:val="24"/>
          <w:szCs w:val="24"/>
        </w:rPr>
        <w:t>Global Environmental Change</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35</w:t>
      </w:r>
      <w:r w:rsidRPr="00B80F82">
        <w:rPr>
          <w:rFonts w:ascii="Times New Roman" w:eastAsia="Times New Roman" w:hAnsi="Times New Roman" w:cs="Times New Roman"/>
          <w:sz w:val="24"/>
          <w:szCs w:val="24"/>
        </w:rPr>
        <w:t>, 226–238.</w:t>
      </w:r>
    </w:p>
    <w:p w14:paraId="40D58BE1" w14:textId="77777777" w:rsidR="00ED673C" w:rsidRDefault="00ED673C" w:rsidP="00E509A6">
      <w:pPr>
        <w:spacing w:before="100" w:beforeAutospacing="1" w:after="100" w:afterAutospacing="1" w:line="240" w:lineRule="auto"/>
        <w:ind w:left="720" w:hanging="720"/>
        <w:rPr>
          <w:rFonts w:ascii="Times New Roman" w:eastAsia="Times New Roman" w:hAnsi="Times New Roman" w:cs="Times New Roman"/>
          <w:sz w:val="24"/>
          <w:szCs w:val="24"/>
        </w:rPr>
      </w:pPr>
    </w:p>
    <w:p w14:paraId="46F6B430" w14:textId="77777777" w:rsidR="00ED673C" w:rsidRPr="00B80F82" w:rsidRDefault="00ED673C" w:rsidP="00E509A6">
      <w:pPr>
        <w:spacing w:before="100" w:beforeAutospacing="1" w:after="100" w:afterAutospacing="1" w:line="240" w:lineRule="auto"/>
        <w:ind w:left="720" w:hanging="720"/>
        <w:rPr>
          <w:rFonts w:ascii="Times New Roman" w:eastAsia="Times New Roman" w:hAnsi="Times New Roman" w:cs="Times New Roman"/>
          <w:sz w:val="24"/>
          <w:szCs w:val="24"/>
        </w:rPr>
      </w:pPr>
    </w:p>
    <w:p w14:paraId="016B6803"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lastRenderedPageBreak/>
        <w:t>Baynes</w:t>
      </w:r>
      <w:proofErr w:type="spellEnd"/>
      <w:r w:rsidRPr="00B80F82">
        <w:rPr>
          <w:rFonts w:ascii="Times New Roman" w:eastAsia="Times New Roman" w:hAnsi="Times New Roman" w:cs="Times New Roman"/>
          <w:sz w:val="24"/>
          <w:szCs w:val="24"/>
        </w:rPr>
        <w:t xml:space="preserve">, J., Smith, C., &amp; </w:t>
      </w:r>
      <w:proofErr w:type="spellStart"/>
      <w:r w:rsidRPr="00B80F82">
        <w:rPr>
          <w:rFonts w:ascii="Times New Roman" w:eastAsia="Times New Roman" w:hAnsi="Times New Roman" w:cs="Times New Roman"/>
          <w:sz w:val="24"/>
          <w:szCs w:val="24"/>
        </w:rPr>
        <w:t>Herbohn</w:t>
      </w:r>
      <w:proofErr w:type="spellEnd"/>
      <w:r w:rsidRPr="00B80F82">
        <w:rPr>
          <w:rFonts w:ascii="Times New Roman" w:eastAsia="Times New Roman" w:hAnsi="Times New Roman" w:cs="Times New Roman"/>
          <w:sz w:val="24"/>
          <w:szCs w:val="24"/>
        </w:rPr>
        <w:t xml:space="preserve">, J. (2021). How does community forestry evolve? The role of local and external factors in the development of community forestry. </w:t>
      </w:r>
      <w:r w:rsidRPr="00B80F82">
        <w:rPr>
          <w:rFonts w:ascii="Times New Roman" w:eastAsia="Times New Roman" w:hAnsi="Times New Roman" w:cs="Times New Roman"/>
          <w:i/>
          <w:iCs/>
          <w:sz w:val="24"/>
          <w:szCs w:val="24"/>
        </w:rPr>
        <w:t>Forest Policy and Economics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125</w:t>
      </w:r>
      <w:r w:rsidRPr="00B80F82">
        <w:rPr>
          <w:rFonts w:ascii="Times New Roman" w:eastAsia="Times New Roman" w:hAnsi="Times New Roman" w:cs="Times New Roman"/>
          <w:sz w:val="24"/>
          <w:szCs w:val="24"/>
        </w:rPr>
        <w:t>, 102388.</w:t>
      </w:r>
    </w:p>
    <w:p w14:paraId="1081F503"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Blomley</w:t>
      </w:r>
      <w:proofErr w:type="spellEnd"/>
      <w:r w:rsidRPr="00B80F82">
        <w:rPr>
          <w:rFonts w:ascii="Times New Roman" w:eastAsia="Times New Roman" w:hAnsi="Times New Roman" w:cs="Times New Roman"/>
          <w:sz w:val="24"/>
          <w:szCs w:val="24"/>
        </w:rPr>
        <w:t xml:space="preserve">, T., &amp; </w:t>
      </w:r>
      <w:proofErr w:type="spellStart"/>
      <w:r w:rsidRPr="00B80F82">
        <w:rPr>
          <w:rFonts w:ascii="Times New Roman" w:eastAsia="Times New Roman" w:hAnsi="Times New Roman" w:cs="Times New Roman"/>
          <w:sz w:val="24"/>
          <w:szCs w:val="24"/>
        </w:rPr>
        <w:t>Ramadhani</w:t>
      </w:r>
      <w:proofErr w:type="spellEnd"/>
      <w:r w:rsidRPr="00B80F82">
        <w:rPr>
          <w:rFonts w:ascii="Times New Roman" w:eastAsia="Times New Roman" w:hAnsi="Times New Roman" w:cs="Times New Roman"/>
          <w:sz w:val="24"/>
          <w:szCs w:val="24"/>
        </w:rPr>
        <w:t xml:space="preserve">, H. (2019). Participatory forest management in Tanzania: Lessons and challenges. </w:t>
      </w:r>
      <w:r w:rsidRPr="00B80F82">
        <w:rPr>
          <w:rFonts w:ascii="Times New Roman" w:eastAsia="Times New Roman" w:hAnsi="Times New Roman" w:cs="Times New Roman"/>
          <w:i/>
          <w:iCs/>
          <w:sz w:val="24"/>
          <w:szCs w:val="24"/>
        </w:rPr>
        <w:t>International Forestry Review</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21</w:t>
      </w:r>
      <w:r w:rsidRPr="00B80F82">
        <w:rPr>
          <w:rFonts w:ascii="Times New Roman" w:eastAsia="Times New Roman" w:hAnsi="Times New Roman" w:cs="Times New Roman"/>
          <w:sz w:val="24"/>
          <w:szCs w:val="24"/>
        </w:rPr>
        <w:t>(3), 299–310.</w:t>
      </w:r>
    </w:p>
    <w:p w14:paraId="64A1373A"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Chomba</w:t>
      </w:r>
      <w:proofErr w:type="spellEnd"/>
      <w:r w:rsidRPr="00B80F82">
        <w:rPr>
          <w:rFonts w:ascii="Times New Roman" w:eastAsia="Times New Roman" w:hAnsi="Times New Roman" w:cs="Times New Roman"/>
          <w:sz w:val="24"/>
          <w:szCs w:val="24"/>
        </w:rPr>
        <w:t xml:space="preserve">, S., Nathan, I., </w:t>
      </w:r>
      <w:proofErr w:type="spellStart"/>
      <w:r w:rsidRPr="00B80F82">
        <w:rPr>
          <w:rFonts w:ascii="Times New Roman" w:eastAsia="Times New Roman" w:hAnsi="Times New Roman" w:cs="Times New Roman"/>
          <w:sz w:val="24"/>
          <w:szCs w:val="24"/>
        </w:rPr>
        <w:t>Minang</w:t>
      </w:r>
      <w:proofErr w:type="spellEnd"/>
      <w:r w:rsidRPr="00B80F82">
        <w:rPr>
          <w:rFonts w:ascii="Times New Roman" w:eastAsia="Times New Roman" w:hAnsi="Times New Roman" w:cs="Times New Roman"/>
          <w:sz w:val="24"/>
          <w:szCs w:val="24"/>
        </w:rPr>
        <w:t xml:space="preserve">, P., &amp; van </w:t>
      </w:r>
      <w:proofErr w:type="spellStart"/>
      <w:r w:rsidRPr="00B80F82">
        <w:rPr>
          <w:rFonts w:ascii="Times New Roman" w:eastAsia="Times New Roman" w:hAnsi="Times New Roman" w:cs="Times New Roman"/>
          <w:sz w:val="24"/>
          <w:szCs w:val="24"/>
        </w:rPr>
        <w:t>Noordwijk</w:t>
      </w:r>
      <w:proofErr w:type="spellEnd"/>
      <w:r w:rsidRPr="00B80F82">
        <w:rPr>
          <w:rFonts w:ascii="Times New Roman" w:eastAsia="Times New Roman" w:hAnsi="Times New Roman" w:cs="Times New Roman"/>
          <w:sz w:val="24"/>
          <w:szCs w:val="24"/>
        </w:rPr>
        <w:t xml:space="preserve">, M. (2015). Illusions of empowerment? Questioning policy assumptions of community forestry programs in Africa. </w:t>
      </w:r>
      <w:r w:rsidRPr="00B80F82">
        <w:rPr>
          <w:rFonts w:ascii="Times New Roman" w:eastAsia="Times New Roman" w:hAnsi="Times New Roman" w:cs="Times New Roman"/>
          <w:i/>
          <w:iCs/>
          <w:sz w:val="24"/>
          <w:szCs w:val="24"/>
        </w:rPr>
        <w:t>Ecology and Society</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20</w:t>
      </w:r>
      <w:r w:rsidRPr="00B80F82">
        <w:rPr>
          <w:rFonts w:ascii="Times New Roman" w:eastAsia="Times New Roman" w:hAnsi="Times New Roman" w:cs="Times New Roman"/>
          <w:sz w:val="24"/>
          <w:szCs w:val="24"/>
        </w:rPr>
        <w:t>(3), 29.</w:t>
      </w:r>
    </w:p>
    <w:p w14:paraId="17D087D3"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Foli</w:t>
      </w:r>
      <w:proofErr w:type="spellEnd"/>
      <w:r w:rsidRPr="00B80F82">
        <w:rPr>
          <w:rFonts w:ascii="Times New Roman" w:eastAsia="Times New Roman" w:hAnsi="Times New Roman" w:cs="Times New Roman"/>
          <w:sz w:val="24"/>
          <w:szCs w:val="24"/>
        </w:rPr>
        <w:t xml:space="preserve">, S., Ros-Tonen, M., &amp; Reed, J. (2018). A multiple-level perspective on enhancing forest and landscape restoration through tenure reforms. </w:t>
      </w:r>
      <w:r w:rsidRPr="00B80F82">
        <w:rPr>
          <w:rFonts w:ascii="Times New Roman" w:eastAsia="Times New Roman" w:hAnsi="Times New Roman" w:cs="Times New Roman"/>
          <w:i/>
          <w:iCs/>
          <w:sz w:val="24"/>
          <w:szCs w:val="24"/>
        </w:rPr>
        <w:t>Environmental Science &amp; Policy</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86</w:t>
      </w:r>
      <w:r w:rsidRPr="00B80F82">
        <w:rPr>
          <w:rFonts w:ascii="Times New Roman" w:eastAsia="Times New Roman" w:hAnsi="Times New Roman" w:cs="Times New Roman"/>
          <w:sz w:val="24"/>
          <w:szCs w:val="24"/>
        </w:rPr>
        <w:t>, 1–9.</w:t>
      </w:r>
    </w:p>
    <w:p w14:paraId="35F75A0F"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Gyimah, S. A., Owusu, A. B., &amp; Boateng, E. (2019). Community-based natural resource management: Successes and limitations from Ghana. </w:t>
      </w:r>
      <w:r w:rsidRPr="00B80F82">
        <w:rPr>
          <w:rFonts w:ascii="Times New Roman" w:eastAsia="Times New Roman" w:hAnsi="Times New Roman" w:cs="Times New Roman"/>
          <w:i/>
          <w:iCs/>
          <w:sz w:val="24"/>
          <w:szCs w:val="24"/>
        </w:rPr>
        <w:t>African Journal of Environmental Science and Technology</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13</w:t>
      </w:r>
      <w:r w:rsidRPr="00B80F82">
        <w:rPr>
          <w:rFonts w:ascii="Times New Roman" w:eastAsia="Times New Roman" w:hAnsi="Times New Roman" w:cs="Times New Roman"/>
          <w:sz w:val="24"/>
          <w:szCs w:val="24"/>
        </w:rPr>
        <w:t>(4), 145–154.</w:t>
      </w:r>
    </w:p>
    <w:p w14:paraId="6D46B1F6"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Larson, A. M., &amp; </w:t>
      </w:r>
      <w:proofErr w:type="spellStart"/>
      <w:r w:rsidRPr="00B80F82">
        <w:rPr>
          <w:rFonts w:ascii="Times New Roman" w:eastAsia="Times New Roman" w:hAnsi="Times New Roman" w:cs="Times New Roman"/>
          <w:sz w:val="24"/>
          <w:szCs w:val="24"/>
        </w:rPr>
        <w:t>Dahal</w:t>
      </w:r>
      <w:proofErr w:type="spellEnd"/>
      <w:r w:rsidRPr="00B80F82">
        <w:rPr>
          <w:rFonts w:ascii="Times New Roman" w:eastAsia="Times New Roman" w:hAnsi="Times New Roman" w:cs="Times New Roman"/>
          <w:sz w:val="24"/>
          <w:szCs w:val="24"/>
        </w:rPr>
        <w:t xml:space="preserve">, G. R. (2020). Forest tenure reform: New resource rights for forest-based communities? </w:t>
      </w:r>
      <w:r w:rsidRPr="00B80F82">
        <w:rPr>
          <w:rFonts w:ascii="Times New Roman" w:eastAsia="Times New Roman" w:hAnsi="Times New Roman" w:cs="Times New Roman"/>
          <w:i/>
          <w:iCs/>
          <w:sz w:val="24"/>
          <w:szCs w:val="24"/>
        </w:rPr>
        <w:t>Conservation and Society</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18</w:t>
      </w:r>
      <w:r w:rsidRPr="00B80F82">
        <w:rPr>
          <w:rFonts w:ascii="Times New Roman" w:eastAsia="Times New Roman" w:hAnsi="Times New Roman" w:cs="Times New Roman"/>
          <w:sz w:val="24"/>
          <w:szCs w:val="24"/>
        </w:rPr>
        <w:t>(3), 242–255.</w:t>
      </w:r>
    </w:p>
    <w:p w14:paraId="4C261344"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Larsson, T. A., Andersson, K., &amp; Ostrom, E. (2021). Community forestry: A global review of the effectiveness and equity of participatory approaches. </w:t>
      </w:r>
      <w:r w:rsidRPr="00B80F82">
        <w:rPr>
          <w:rFonts w:ascii="Times New Roman" w:eastAsia="Times New Roman" w:hAnsi="Times New Roman" w:cs="Times New Roman"/>
          <w:i/>
          <w:iCs/>
          <w:sz w:val="24"/>
          <w:szCs w:val="24"/>
        </w:rPr>
        <w:t>Annual Review of Environment and Resources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46</w:t>
      </w:r>
      <w:r w:rsidRPr="00B80F82">
        <w:rPr>
          <w:rFonts w:ascii="Times New Roman" w:eastAsia="Times New Roman" w:hAnsi="Times New Roman" w:cs="Times New Roman"/>
          <w:sz w:val="24"/>
          <w:szCs w:val="24"/>
        </w:rPr>
        <w:t>, 37–61.</w:t>
      </w:r>
    </w:p>
    <w:p w14:paraId="6BBDFCEE"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Luswaga</w:t>
      </w:r>
      <w:proofErr w:type="spellEnd"/>
      <w:r w:rsidRPr="00B80F82">
        <w:rPr>
          <w:rFonts w:ascii="Times New Roman" w:eastAsia="Times New Roman" w:hAnsi="Times New Roman" w:cs="Times New Roman"/>
          <w:sz w:val="24"/>
          <w:szCs w:val="24"/>
        </w:rPr>
        <w:t xml:space="preserve">, R. J., &amp; </w:t>
      </w:r>
      <w:proofErr w:type="spellStart"/>
      <w:r w:rsidRPr="00B80F82">
        <w:rPr>
          <w:rFonts w:ascii="Times New Roman" w:eastAsia="Times New Roman" w:hAnsi="Times New Roman" w:cs="Times New Roman"/>
          <w:sz w:val="24"/>
          <w:szCs w:val="24"/>
        </w:rPr>
        <w:t>Nuppenau</w:t>
      </w:r>
      <w:proofErr w:type="spellEnd"/>
      <w:r w:rsidRPr="00B80F82">
        <w:rPr>
          <w:rFonts w:ascii="Times New Roman" w:eastAsia="Times New Roman" w:hAnsi="Times New Roman" w:cs="Times New Roman"/>
          <w:sz w:val="24"/>
          <w:szCs w:val="24"/>
        </w:rPr>
        <w:t xml:space="preserve">, E.-A. (2020). Determinants of participation in forest management in Tanzania: A spatial analysis. </w:t>
      </w:r>
      <w:r w:rsidRPr="00B80F82">
        <w:rPr>
          <w:rFonts w:ascii="Times New Roman" w:eastAsia="Times New Roman" w:hAnsi="Times New Roman" w:cs="Times New Roman"/>
          <w:i/>
          <w:iCs/>
          <w:sz w:val="24"/>
          <w:szCs w:val="24"/>
        </w:rPr>
        <w:t>Forest Policy and Economics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113</w:t>
      </w:r>
      <w:r w:rsidRPr="00B80F82">
        <w:rPr>
          <w:rFonts w:ascii="Times New Roman" w:eastAsia="Times New Roman" w:hAnsi="Times New Roman" w:cs="Times New Roman"/>
          <w:sz w:val="24"/>
          <w:szCs w:val="24"/>
        </w:rPr>
        <w:t>, 102129.</w:t>
      </w:r>
    </w:p>
    <w:p w14:paraId="729D1F82"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Mahanty</w:t>
      </w:r>
      <w:proofErr w:type="spellEnd"/>
      <w:r w:rsidRPr="00B80F82">
        <w:rPr>
          <w:rFonts w:ascii="Times New Roman" w:eastAsia="Times New Roman" w:hAnsi="Times New Roman" w:cs="Times New Roman"/>
          <w:sz w:val="24"/>
          <w:szCs w:val="24"/>
        </w:rPr>
        <w:t xml:space="preserve">, S., &amp; Dressler, W. (2018). Rethinking participation in conservation: Toward negotiated learning and advocacy. </w:t>
      </w:r>
      <w:r w:rsidRPr="00B80F82">
        <w:rPr>
          <w:rFonts w:ascii="Times New Roman" w:eastAsia="Times New Roman" w:hAnsi="Times New Roman" w:cs="Times New Roman"/>
          <w:i/>
          <w:iCs/>
          <w:sz w:val="24"/>
          <w:szCs w:val="24"/>
        </w:rPr>
        <w:t>Society &amp; Natural Resources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31</w:t>
      </w:r>
      <w:r w:rsidRPr="00B80F82">
        <w:rPr>
          <w:rFonts w:ascii="Times New Roman" w:eastAsia="Times New Roman" w:hAnsi="Times New Roman" w:cs="Times New Roman"/>
          <w:sz w:val="24"/>
          <w:szCs w:val="24"/>
        </w:rPr>
        <w:t>(4), 401–416.</w:t>
      </w:r>
    </w:p>
    <w:p w14:paraId="10CEB18B"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Marfo</w:t>
      </w:r>
      <w:proofErr w:type="spellEnd"/>
      <w:r w:rsidRPr="00B80F82">
        <w:rPr>
          <w:rFonts w:ascii="Times New Roman" w:eastAsia="Times New Roman" w:hAnsi="Times New Roman" w:cs="Times New Roman"/>
          <w:sz w:val="24"/>
          <w:szCs w:val="24"/>
        </w:rPr>
        <w:t xml:space="preserve">, E., Acheampong, E., &amp; </w:t>
      </w:r>
      <w:proofErr w:type="spellStart"/>
      <w:r w:rsidRPr="00B80F82">
        <w:rPr>
          <w:rFonts w:ascii="Times New Roman" w:eastAsia="Times New Roman" w:hAnsi="Times New Roman" w:cs="Times New Roman"/>
          <w:sz w:val="24"/>
          <w:szCs w:val="24"/>
        </w:rPr>
        <w:t>Asare</w:t>
      </w:r>
      <w:proofErr w:type="spellEnd"/>
      <w:r w:rsidRPr="00B80F82">
        <w:rPr>
          <w:rFonts w:ascii="Times New Roman" w:eastAsia="Times New Roman" w:hAnsi="Times New Roman" w:cs="Times New Roman"/>
          <w:sz w:val="24"/>
          <w:szCs w:val="24"/>
        </w:rPr>
        <w:t xml:space="preserve">, R. (2021). Strengthening community participation in forest governance in Ghana: A review of progress and challenges. </w:t>
      </w:r>
      <w:r w:rsidRPr="00B80F82">
        <w:rPr>
          <w:rFonts w:ascii="Times New Roman" w:eastAsia="Times New Roman" w:hAnsi="Times New Roman" w:cs="Times New Roman"/>
          <w:i/>
          <w:iCs/>
          <w:sz w:val="24"/>
          <w:szCs w:val="24"/>
        </w:rPr>
        <w:t>Ghana Journal of Forestry</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36</w:t>
      </w:r>
      <w:r w:rsidRPr="00B80F82">
        <w:rPr>
          <w:rFonts w:ascii="Times New Roman" w:eastAsia="Times New Roman" w:hAnsi="Times New Roman" w:cs="Times New Roman"/>
          <w:sz w:val="24"/>
          <w:szCs w:val="24"/>
        </w:rPr>
        <w:t>(2), 73–91.</w:t>
      </w:r>
    </w:p>
    <w:p w14:paraId="647DE9F3"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Mensah, K. O., Osei, W. Y., &amp; </w:t>
      </w:r>
      <w:proofErr w:type="spellStart"/>
      <w:r w:rsidRPr="00B80F82">
        <w:rPr>
          <w:rFonts w:ascii="Times New Roman" w:eastAsia="Times New Roman" w:hAnsi="Times New Roman" w:cs="Times New Roman"/>
          <w:sz w:val="24"/>
          <w:szCs w:val="24"/>
        </w:rPr>
        <w:t>Addae</w:t>
      </w:r>
      <w:proofErr w:type="spellEnd"/>
      <w:r w:rsidRPr="00B80F82">
        <w:rPr>
          <w:rFonts w:ascii="Times New Roman" w:eastAsia="Times New Roman" w:hAnsi="Times New Roman" w:cs="Times New Roman"/>
          <w:sz w:val="24"/>
          <w:szCs w:val="24"/>
        </w:rPr>
        <w:t xml:space="preserve">, B. (2023). Land use conflicts and forest governance in Ghana’s transition zone: Understanding local dynamics. </w:t>
      </w:r>
      <w:r w:rsidRPr="00B80F82">
        <w:rPr>
          <w:rFonts w:ascii="Times New Roman" w:eastAsia="Times New Roman" w:hAnsi="Times New Roman" w:cs="Times New Roman"/>
          <w:i/>
          <w:iCs/>
          <w:sz w:val="24"/>
          <w:szCs w:val="24"/>
        </w:rPr>
        <w:t>Land Use Policy</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131</w:t>
      </w:r>
      <w:r w:rsidRPr="00B80F82">
        <w:rPr>
          <w:rFonts w:ascii="Times New Roman" w:eastAsia="Times New Roman" w:hAnsi="Times New Roman" w:cs="Times New Roman"/>
          <w:sz w:val="24"/>
          <w:szCs w:val="24"/>
        </w:rPr>
        <w:t>, 106570.</w:t>
      </w:r>
    </w:p>
    <w:p w14:paraId="4D8501EB" w14:textId="77777777" w:rsidR="007F6D38"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Mugisha, S., Banana, A. Y., &amp; </w:t>
      </w:r>
      <w:proofErr w:type="spellStart"/>
      <w:r w:rsidRPr="00B80F82">
        <w:rPr>
          <w:rFonts w:ascii="Times New Roman" w:eastAsia="Times New Roman" w:hAnsi="Times New Roman" w:cs="Times New Roman"/>
          <w:sz w:val="24"/>
          <w:szCs w:val="24"/>
        </w:rPr>
        <w:t>Gombya-Ssembajjwe</w:t>
      </w:r>
      <w:proofErr w:type="spellEnd"/>
      <w:r w:rsidRPr="00B80F82">
        <w:rPr>
          <w:rFonts w:ascii="Times New Roman" w:eastAsia="Times New Roman" w:hAnsi="Times New Roman" w:cs="Times New Roman"/>
          <w:sz w:val="24"/>
          <w:szCs w:val="24"/>
        </w:rPr>
        <w:t xml:space="preserve">, W. S. (2016). Tenure, governance, and participation in Uganda’s forestry sector. </w:t>
      </w:r>
      <w:r w:rsidRPr="00B80F82">
        <w:rPr>
          <w:rFonts w:ascii="Times New Roman" w:eastAsia="Times New Roman" w:hAnsi="Times New Roman" w:cs="Times New Roman"/>
          <w:i/>
          <w:iCs/>
          <w:sz w:val="24"/>
          <w:szCs w:val="24"/>
        </w:rPr>
        <w:t>Forest Policy and Economics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73</w:t>
      </w:r>
      <w:r w:rsidRPr="00B80F82">
        <w:rPr>
          <w:rFonts w:ascii="Times New Roman" w:eastAsia="Times New Roman" w:hAnsi="Times New Roman" w:cs="Times New Roman"/>
          <w:sz w:val="24"/>
          <w:szCs w:val="24"/>
        </w:rPr>
        <w:t>, 120–128.</w:t>
      </w:r>
    </w:p>
    <w:p w14:paraId="78584054"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North, D. C. (1991). Institutions. </w:t>
      </w:r>
      <w:r w:rsidRPr="00B80F82">
        <w:rPr>
          <w:rFonts w:ascii="Times New Roman" w:eastAsia="Times New Roman" w:hAnsi="Times New Roman" w:cs="Times New Roman"/>
          <w:i/>
          <w:iCs/>
          <w:sz w:val="24"/>
          <w:szCs w:val="24"/>
        </w:rPr>
        <w:t>Journal of Economic Perspectives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5</w:t>
      </w:r>
      <w:r w:rsidRPr="00B80F82">
        <w:rPr>
          <w:rFonts w:ascii="Times New Roman" w:eastAsia="Times New Roman" w:hAnsi="Times New Roman" w:cs="Times New Roman"/>
          <w:sz w:val="24"/>
          <w:szCs w:val="24"/>
        </w:rPr>
        <w:t>(1), 97–112.</w:t>
      </w:r>
    </w:p>
    <w:p w14:paraId="6CA8C82E" w14:textId="77777777" w:rsidR="00ED673C" w:rsidRPr="00B80F82" w:rsidRDefault="007F6D38" w:rsidP="00ED673C">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Nunan, F., </w:t>
      </w:r>
      <w:proofErr w:type="spellStart"/>
      <w:r w:rsidRPr="00B80F82">
        <w:rPr>
          <w:rFonts w:ascii="Times New Roman" w:eastAsia="Times New Roman" w:hAnsi="Times New Roman" w:cs="Times New Roman"/>
          <w:sz w:val="24"/>
          <w:szCs w:val="24"/>
        </w:rPr>
        <w:t>Menton</w:t>
      </w:r>
      <w:proofErr w:type="spellEnd"/>
      <w:r w:rsidRPr="00B80F82">
        <w:rPr>
          <w:rFonts w:ascii="Times New Roman" w:eastAsia="Times New Roman" w:hAnsi="Times New Roman" w:cs="Times New Roman"/>
          <w:sz w:val="24"/>
          <w:szCs w:val="24"/>
        </w:rPr>
        <w:t xml:space="preserve">, M., &amp; McDermott, C. (2023). Biomass use and forest degradation in sub-Saharan Africa: A governance perspective. </w:t>
      </w:r>
      <w:r w:rsidRPr="00B80F82">
        <w:rPr>
          <w:rFonts w:ascii="Times New Roman" w:eastAsia="Times New Roman" w:hAnsi="Times New Roman" w:cs="Times New Roman"/>
          <w:i/>
          <w:iCs/>
          <w:sz w:val="24"/>
          <w:szCs w:val="24"/>
        </w:rPr>
        <w:t>Energy for Sustainable Development</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71</w:t>
      </w:r>
      <w:r w:rsidRPr="00B80F82">
        <w:rPr>
          <w:rFonts w:ascii="Times New Roman" w:eastAsia="Times New Roman" w:hAnsi="Times New Roman" w:cs="Times New Roman"/>
          <w:sz w:val="24"/>
          <w:szCs w:val="24"/>
        </w:rPr>
        <w:t>, 94–103.</w:t>
      </w:r>
    </w:p>
    <w:p w14:paraId="22147BAF"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lastRenderedPageBreak/>
        <w:t xml:space="preserve">Ostrom, E. (1990). </w:t>
      </w:r>
      <w:r w:rsidRPr="00B80F82">
        <w:rPr>
          <w:rFonts w:ascii="Times New Roman" w:eastAsia="Times New Roman" w:hAnsi="Times New Roman" w:cs="Times New Roman"/>
          <w:i/>
          <w:iCs/>
          <w:sz w:val="24"/>
          <w:szCs w:val="24"/>
        </w:rPr>
        <w:t>Governing the commons: The evolution of institutions for collective action</w:t>
      </w:r>
      <w:r w:rsidRPr="00B80F82">
        <w:rPr>
          <w:rFonts w:ascii="Times New Roman" w:eastAsia="Times New Roman" w:hAnsi="Times New Roman" w:cs="Times New Roman"/>
          <w:sz w:val="24"/>
          <w:szCs w:val="24"/>
        </w:rPr>
        <w:t>. Cambridge University Press.</w:t>
      </w:r>
    </w:p>
    <w:p w14:paraId="06D99C81"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Pagdee</w:t>
      </w:r>
      <w:proofErr w:type="spellEnd"/>
      <w:r w:rsidRPr="00B80F82">
        <w:rPr>
          <w:rFonts w:ascii="Times New Roman" w:eastAsia="Times New Roman" w:hAnsi="Times New Roman" w:cs="Times New Roman"/>
          <w:sz w:val="24"/>
          <w:szCs w:val="24"/>
        </w:rPr>
        <w:t xml:space="preserve">, A., Kim, Y.-S., &amp; Daugherty, P. J. (2006). What makes community forest management successful: A meta-study from community forests throughout the world. </w:t>
      </w:r>
      <w:r w:rsidRPr="00B80F82">
        <w:rPr>
          <w:rFonts w:ascii="Times New Roman" w:eastAsia="Times New Roman" w:hAnsi="Times New Roman" w:cs="Times New Roman"/>
          <w:i/>
          <w:iCs/>
          <w:sz w:val="24"/>
          <w:szCs w:val="24"/>
        </w:rPr>
        <w:t>Society and Natural Resources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19</w:t>
      </w:r>
      <w:r w:rsidRPr="00B80F82">
        <w:rPr>
          <w:rFonts w:ascii="Times New Roman" w:eastAsia="Times New Roman" w:hAnsi="Times New Roman" w:cs="Times New Roman"/>
          <w:sz w:val="24"/>
          <w:szCs w:val="24"/>
        </w:rPr>
        <w:t>(1), 33–52.</w:t>
      </w:r>
    </w:p>
    <w:p w14:paraId="6555AF9E"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Rana, P., Gautam, A. P., &amp; Thapa, B. (2022). Community forestry and climate change mitigation in Nepal: A case of REDD+ implementation. </w:t>
      </w:r>
      <w:r w:rsidRPr="00B80F82">
        <w:rPr>
          <w:rFonts w:ascii="Times New Roman" w:eastAsia="Times New Roman" w:hAnsi="Times New Roman" w:cs="Times New Roman"/>
          <w:i/>
          <w:iCs/>
          <w:sz w:val="24"/>
          <w:szCs w:val="24"/>
        </w:rPr>
        <w:t>Forest Policy and Economics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134</w:t>
      </w:r>
      <w:r w:rsidRPr="00B80F82">
        <w:rPr>
          <w:rFonts w:ascii="Times New Roman" w:eastAsia="Times New Roman" w:hAnsi="Times New Roman" w:cs="Times New Roman"/>
          <w:sz w:val="24"/>
          <w:szCs w:val="24"/>
        </w:rPr>
        <w:t>, 102622.</w:t>
      </w:r>
    </w:p>
    <w:p w14:paraId="233F276D"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Shackleton, C., &amp; Pandey, A. K. (2014). Positioning non-timber forest products on the development agenda. </w:t>
      </w:r>
      <w:r w:rsidRPr="00B80F82">
        <w:rPr>
          <w:rFonts w:ascii="Times New Roman" w:eastAsia="Times New Roman" w:hAnsi="Times New Roman" w:cs="Times New Roman"/>
          <w:i/>
          <w:iCs/>
          <w:sz w:val="24"/>
          <w:szCs w:val="24"/>
        </w:rPr>
        <w:t>Forest Policy and Economics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38</w:t>
      </w:r>
      <w:r w:rsidRPr="00B80F82">
        <w:rPr>
          <w:rFonts w:ascii="Times New Roman" w:eastAsia="Times New Roman" w:hAnsi="Times New Roman" w:cs="Times New Roman"/>
          <w:sz w:val="24"/>
          <w:szCs w:val="24"/>
        </w:rPr>
        <w:t>, 1–7.</w:t>
      </w:r>
    </w:p>
    <w:p w14:paraId="48D85112"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Sunderlin</w:t>
      </w:r>
      <w:proofErr w:type="spellEnd"/>
      <w:r w:rsidRPr="00B80F82">
        <w:rPr>
          <w:rFonts w:ascii="Times New Roman" w:eastAsia="Times New Roman" w:hAnsi="Times New Roman" w:cs="Times New Roman"/>
          <w:sz w:val="24"/>
          <w:szCs w:val="24"/>
        </w:rPr>
        <w:t xml:space="preserve">, W. D., Larson, A. M., &amp; </w:t>
      </w:r>
      <w:proofErr w:type="spellStart"/>
      <w:r w:rsidRPr="00B80F82">
        <w:rPr>
          <w:rFonts w:ascii="Times New Roman" w:eastAsia="Times New Roman" w:hAnsi="Times New Roman" w:cs="Times New Roman"/>
          <w:sz w:val="24"/>
          <w:szCs w:val="24"/>
        </w:rPr>
        <w:t>Cronkleton</w:t>
      </w:r>
      <w:proofErr w:type="spellEnd"/>
      <w:r w:rsidRPr="00B80F82">
        <w:rPr>
          <w:rFonts w:ascii="Times New Roman" w:eastAsia="Times New Roman" w:hAnsi="Times New Roman" w:cs="Times New Roman"/>
          <w:sz w:val="24"/>
          <w:szCs w:val="24"/>
        </w:rPr>
        <w:t xml:space="preserve">, P. (2017). Forest tenure reform in developing countries: New institutional frameworks for community-based forest management. </w:t>
      </w:r>
      <w:r w:rsidRPr="00B80F82">
        <w:rPr>
          <w:rFonts w:ascii="Times New Roman" w:eastAsia="Times New Roman" w:hAnsi="Times New Roman" w:cs="Times New Roman"/>
          <w:i/>
          <w:iCs/>
          <w:sz w:val="24"/>
          <w:szCs w:val="24"/>
        </w:rPr>
        <w:t>World Development</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93</w:t>
      </w:r>
      <w:r w:rsidRPr="00B80F82">
        <w:rPr>
          <w:rFonts w:ascii="Times New Roman" w:eastAsia="Times New Roman" w:hAnsi="Times New Roman" w:cs="Times New Roman"/>
          <w:sz w:val="24"/>
          <w:szCs w:val="24"/>
        </w:rPr>
        <w:t>, 85–97.</w:t>
      </w:r>
    </w:p>
    <w:p w14:paraId="2DAAFC87" w14:textId="77777777" w:rsidR="007F6D38" w:rsidRPr="00B80F82" w:rsidRDefault="007F6D38" w:rsidP="00E509A6">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B80F82">
        <w:rPr>
          <w:rFonts w:ascii="Times New Roman" w:eastAsia="Times New Roman" w:hAnsi="Times New Roman" w:cs="Times New Roman"/>
          <w:sz w:val="24"/>
          <w:szCs w:val="24"/>
        </w:rPr>
        <w:t>Timilsina</w:t>
      </w:r>
      <w:proofErr w:type="spellEnd"/>
      <w:r w:rsidRPr="00B80F82">
        <w:rPr>
          <w:rFonts w:ascii="Times New Roman" w:eastAsia="Times New Roman" w:hAnsi="Times New Roman" w:cs="Times New Roman"/>
          <w:sz w:val="24"/>
          <w:szCs w:val="24"/>
        </w:rPr>
        <w:t xml:space="preserve">, P., Rai, R. K., &amp; Ojha, H. (2024). Gendered participation in forest user groups in Nepal: Equity or tokenism? </w:t>
      </w:r>
      <w:r w:rsidRPr="00B80F82">
        <w:rPr>
          <w:rFonts w:ascii="Times New Roman" w:eastAsia="Times New Roman" w:hAnsi="Times New Roman" w:cs="Times New Roman"/>
          <w:i/>
          <w:iCs/>
          <w:sz w:val="24"/>
          <w:szCs w:val="24"/>
        </w:rPr>
        <w:t>Forest Policy and Economics</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151</w:t>
      </w:r>
      <w:r w:rsidRPr="00B80F82">
        <w:rPr>
          <w:rFonts w:ascii="Times New Roman" w:eastAsia="Times New Roman" w:hAnsi="Times New Roman" w:cs="Times New Roman"/>
          <w:sz w:val="24"/>
          <w:szCs w:val="24"/>
        </w:rPr>
        <w:t>, 102994.</w:t>
      </w:r>
    </w:p>
    <w:p w14:paraId="13A68A7B" w14:textId="77777777" w:rsidR="00546E25" w:rsidRDefault="007F6D38" w:rsidP="00546E25">
      <w:pPr>
        <w:spacing w:before="100" w:beforeAutospacing="1" w:after="100" w:afterAutospacing="1" w:line="240" w:lineRule="auto"/>
        <w:ind w:left="720" w:hanging="720"/>
        <w:rPr>
          <w:rFonts w:ascii="Times New Roman" w:eastAsia="Times New Roman" w:hAnsi="Times New Roman" w:cs="Times New Roman"/>
          <w:sz w:val="24"/>
          <w:szCs w:val="24"/>
        </w:rPr>
      </w:pPr>
      <w:r w:rsidRPr="00B80F82">
        <w:rPr>
          <w:rFonts w:ascii="Times New Roman" w:eastAsia="Times New Roman" w:hAnsi="Times New Roman" w:cs="Times New Roman"/>
          <w:sz w:val="24"/>
          <w:szCs w:val="24"/>
        </w:rPr>
        <w:t xml:space="preserve">Yahaya, M. K. (2016). Cultural norms and forest governance in northern Ghana: A socio-anthropological approach. </w:t>
      </w:r>
      <w:r w:rsidRPr="00B80F82">
        <w:rPr>
          <w:rFonts w:ascii="Times New Roman" w:eastAsia="Times New Roman" w:hAnsi="Times New Roman" w:cs="Times New Roman"/>
          <w:i/>
          <w:iCs/>
          <w:sz w:val="24"/>
          <w:szCs w:val="24"/>
        </w:rPr>
        <w:t>Journal of Forestry Research</w:t>
      </w:r>
      <w:r w:rsidRPr="00B80F82">
        <w:rPr>
          <w:rFonts w:ascii="Times New Roman" w:eastAsia="Times New Roman" w:hAnsi="Times New Roman" w:cs="Times New Roman"/>
          <w:sz w:val="24"/>
          <w:szCs w:val="24"/>
        </w:rPr>
        <w:t xml:space="preserve">, </w:t>
      </w:r>
      <w:r w:rsidRPr="00B80F82">
        <w:rPr>
          <w:rFonts w:ascii="Times New Roman" w:eastAsia="Times New Roman" w:hAnsi="Times New Roman" w:cs="Times New Roman"/>
          <w:i/>
          <w:iCs/>
          <w:sz w:val="24"/>
          <w:szCs w:val="24"/>
        </w:rPr>
        <w:t>27</w:t>
      </w:r>
      <w:r w:rsidRPr="00B80F82">
        <w:rPr>
          <w:rFonts w:ascii="Times New Roman" w:eastAsia="Times New Roman" w:hAnsi="Times New Roman" w:cs="Times New Roman"/>
          <w:sz w:val="24"/>
          <w:szCs w:val="24"/>
        </w:rPr>
        <w:t>(3), 607–615.</w:t>
      </w:r>
      <w:r w:rsidR="00546E25">
        <w:rPr>
          <w:rFonts w:ascii="Times New Roman" w:eastAsia="Times New Roman" w:hAnsi="Times New Roman" w:cs="Times New Roman"/>
          <w:sz w:val="24"/>
          <w:szCs w:val="24"/>
        </w:rPr>
        <w:t xml:space="preserve">  </w:t>
      </w:r>
    </w:p>
    <w:p w14:paraId="771B5670" w14:textId="77777777" w:rsidR="00546E25" w:rsidRDefault="00546E25" w:rsidP="00E509A6">
      <w:pPr>
        <w:spacing w:before="100" w:beforeAutospacing="1" w:after="100" w:afterAutospacing="1" w:line="240" w:lineRule="auto"/>
        <w:ind w:left="720" w:hanging="720"/>
        <w:rPr>
          <w:rFonts w:ascii="Times New Roman" w:eastAsia="Times New Roman" w:hAnsi="Times New Roman" w:cs="Times New Roman"/>
          <w:sz w:val="24"/>
          <w:szCs w:val="24"/>
        </w:rPr>
      </w:pPr>
    </w:p>
    <w:sectPr w:rsidR="00546E2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68B6C" w14:textId="77777777" w:rsidR="006848F2" w:rsidRDefault="006848F2" w:rsidP="00E62B4F">
      <w:pPr>
        <w:spacing w:after="0" w:line="240" w:lineRule="auto"/>
      </w:pPr>
      <w:r>
        <w:separator/>
      </w:r>
    </w:p>
  </w:endnote>
  <w:endnote w:type="continuationSeparator" w:id="0">
    <w:p w14:paraId="760551CC" w14:textId="77777777" w:rsidR="006848F2" w:rsidRDefault="006848F2" w:rsidP="00E62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7EDAE" w14:textId="77777777" w:rsidR="00E62B4F" w:rsidRDefault="00E62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29B60" w14:textId="77777777" w:rsidR="00E62B4F" w:rsidRDefault="00E62B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1A064" w14:textId="77777777" w:rsidR="00E62B4F" w:rsidRDefault="00E62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C57BD" w14:textId="77777777" w:rsidR="006848F2" w:rsidRDefault="006848F2" w:rsidP="00E62B4F">
      <w:pPr>
        <w:spacing w:after="0" w:line="240" w:lineRule="auto"/>
      </w:pPr>
      <w:r>
        <w:separator/>
      </w:r>
    </w:p>
  </w:footnote>
  <w:footnote w:type="continuationSeparator" w:id="0">
    <w:p w14:paraId="0C5E5789" w14:textId="77777777" w:rsidR="006848F2" w:rsidRDefault="006848F2" w:rsidP="00E62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6439A" w14:textId="3BC0D188" w:rsidR="00E62B4F" w:rsidRDefault="00E62B4F">
    <w:pPr>
      <w:pStyle w:val="Header"/>
    </w:pPr>
    <w:r>
      <w:rPr>
        <w:noProof/>
      </w:rPr>
      <w:pict w14:anchorId="0C308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19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5BD95" w14:textId="44406F91" w:rsidR="00E62B4F" w:rsidRDefault="00E62B4F">
    <w:pPr>
      <w:pStyle w:val="Header"/>
    </w:pPr>
    <w:r>
      <w:rPr>
        <w:noProof/>
      </w:rPr>
      <w:pict w14:anchorId="7E8B6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19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C45F2" w14:textId="20D0903A" w:rsidR="00E62B4F" w:rsidRDefault="00E62B4F">
    <w:pPr>
      <w:pStyle w:val="Header"/>
    </w:pPr>
    <w:r>
      <w:rPr>
        <w:noProof/>
      </w:rPr>
      <w:pict w14:anchorId="5BF6A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19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3MzY2tjA3tbAwMTVX0lEKTi0uzszPAykwrAUAKvFDWiwAAAA="/>
  </w:docVars>
  <w:rsids>
    <w:rsidRoot w:val="00E71ABA"/>
    <w:rsid w:val="00055A75"/>
    <w:rsid w:val="00075530"/>
    <w:rsid w:val="000B3E9F"/>
    <w:rsid w:val="00100539"/>
    <w:rsid w:val="00156680"/>
    <w:rsid w:val="00244B2B"/>
    <w:rsid w:val="002C1289"/>
    <w:rsid w:val="002D1101"/>
    <w:rsid w:val="002F0B1B"/>
    <w:rsid w:val="003255B6"/>
    <w:rsid w:val="00337084"/>
    <w:rsid w:val="0034135B"/>
    <w:rsid w:val="00386A6C"/>
    <w:rsid w:val="00396260"/>
    <w:rsid w:val="00457F98"/>
    <w:rsid w:val="004A616F"/>
    <w:rsid w:val="00540600"/>
    <w:rsid w:val="00546E25"/>
    <w:rsid w:val="005A009A"/>
    <w:rsid w:val="00670B60"/>
    <w:rsid w:val="006848F2"/>
    <w:rsid w:val="006E5C6D"/>
    <w:rsid w:val="007318F9"/>
    <w:rsid w:val="007569F9"/>
    <w:rsid w:val="00762844"/>
    <w:rsid w:val="007F203F"/>
    <w:rsid w:val="007F6D38"/>
    <w:rsid w:val="00811F49"/>
    <w:rsid w:val="008127EC"/>
    <w:rsid w:val="00842E73"/>
    <w:rsid w:val="008507DC"/>
    <w:rsid w:val="00856DFA"/>
    <w:rsid w:val="008A6101"/>
    <w:rsid w:val="009158D9"/>
    <w:rsid w:val="00916CE3"/>
    <w:rsid w:val="00924123"/>
    <w:rsid w:val="00985694"/>
    <w:rsid w:val="009D54EF"/>
    <w:rsid w:val="00A17CDD"/>
    <w:rsid w:val="00AA42A3"/>
    <w:rsid w:val="00B7447E"/>
    <w:rsid w:val="00B80F82"/>
    <w:rsid w:val="00B92CB9"/>
    <w:rsid w:val="00BC32F2"/>
    <w:rsid w:val="00BC5845"/>
    <w:rsid w:val="00BE6171"/>
    <w:rsid w:val="00C16327"/>
    <w:rsid w:val="00CD1B5F"/>
    <w:rsid w:val="00D243FB"/>
    <w:rsid w:val="00D32F03"/>
    <w:rsid w:val="00D510BE"/>
    <w:rsid w:val="00D51A06"/>
    <w:rsid w:val="00E03C29"/>
    <w:rsid w:val="00E36FD3"/>
    <w:rsid w:val="00E509A6"/>
    <w:rsid w:val="00E62B4F"/>
    <w:rsid w:val="00E71ABA"/>
    <w:rsid w:val="00EB69E5"/>
    <w:rsid w:val="00ED673C"/>
    <w:rsid w:val="00EE15E0"/>
    <w:rsid w:val="00F85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DDD6F7"/>
  <w15:chartTrackingRefBased/>
  <w15:docId w15:val="{50B0A227-6065-4DCD-8C65-2ADD507E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0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D1B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57F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6C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54EF"/>
    <w:rPr>
      <w:b/>
      <w:bCs/>
    </w:rPr>
  </w:style>
  <w:style w:type="paragraph" w:styleId="Caption">
    <w:name w:val="caption"/>
    <w:basedOn w:val="Normal"/>
    <w:next w:val="Normal"/>
    <w:uiPriority w:val="35"/>
    <w:unhideWhenUsed/>
    <w:qFormat/>
    <w:rsid w:val="00856DFA"/>
    <w:pPr>
      <w:spacing w:after="200" w:line="240" w:lineRule="auto"/>
    </w:pPr>
    <w:rPr>
      <w:rFonts w:ascii="Times New Roman" w:hAnsi="Times New Roman" w:cs="Times New Roman"/>
      <w:b/>
      <w:bCs/>
      <w:i/>
      <w:iCs/>
      <w:sz w:val="24"/>
      <w:szCs w:val="24"/>
    </w:rPr>
  </w:style>
  <w:style w:type="character" w:customStyle="1" w:styleId="Heading3Char">
    <w:name w:val="Heading 3 Char"/>
    <w:basedOn w:val="DefaultParagraphFont"/>
    <w:link w:val="Heading3"/>
    <w:uiPriority w:val="9"/>
    <w:semiHidden/>
    <w:rsid w:val="00457F98"/>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CD1B5F"/>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F85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A009A"/>
    <w:rPr>
      <w:rFonts w:asciiTheme="majorHAnsi" w:eastAsiaTheme="majorEastAsia" w:hAnsiTheme="majorHAnsi" w:cstheme="majorBidi"/>
      <w:color w:val="2E74B5" w:themeColor="accent1" w:themeShade="BF"/>
      <w:sz w:val="32"/>
      <w:szCs w:val="32"/>
    </w:rPr>
  </w:style>
  <w:style w:type="paragraph" w:customStyle="1" w:styleId="isselectedend">
    <w:name w:val="isselectedend"/>
    <w:basedOn w:val="Normal"/>
    <w:rsid w:val="008A61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6E25"/>
    <w:rPr>
      <w:color w:val="0563C1" w:themeColor="hyperlink"/>
      <w:u w:val="single"/>
    </w:rPr>
  </w:style>
  <w:style w:type="character" w:customStyle="1" w:styleId="UnresolvedMention1">
    <w:name w:val="Unresolved Mention1"/>
    <w:basedOn w:val="DefaultParagraphFont"/>
    <w:uiPriority w:val="99"/>
    <w:semiHidden/>
    <w:unhideWhenUsed/>
    <w:rsid w:val="00842E73"/>
    <w:rPr>
      <w:color w:val="605E5C"/>
      <w:shd w:val="clear" w:color="auto" w:fill="E1DFDD"/>
    </w:rPr>
  </w:style>
  <w:style w:type="paragraph" w:styleId="Header">
    <w:name w:val="header"/>
    <w:basedOn w:val="Normal"/>
    <w:link w:val="HeaderChar"/>
    <w:uiPriority w:val="99"/>
    <w:unhideWhenUsed/>
    <w:rsid w:val="00E62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B4F"/>
  </w:style>
  <w:style w:type="paragraph" w:styleId="Footer">
    <w:name w:val="footer"/>
    <w:basedOn w:val="Normal"/>
    <w:link w:val="FooterChar"/>
    <w:uiPriority w:val="99"/>
    <w:unhideWhenUsed/>
    <w:rsid w:val="00E62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178238">
      <w:bodyDiv w:val="1"/>
      <w:marLeft w:val="0"/>
      <w:marRight w:val="0"/>
      <w:marTop w:val="0"/>
      <w:marBottom w:val="0"/>
      <w:divBdr>
        <w:top w:val="none" w:sz="0" w:space="0" w:color="auto"/>
        <w:left w:val="none" w:sz="0" w:space="0" w:color="auto"/>
        <w:bottom w:val="none" w:sz="0" w:space="0" w:color="auto"/>
        <w:right w:val="none" w:sz="0" w:space="0" w:color="auto"/>
      </w:divBdr>
    </w:div>
    <w:div w:id="391276128">
      <w:bodyDiv w:val="1"/>
      <w:marLeft w:val="0"/>
      <w:marRight w:val="0"/>
      <w:marTop w:val="0"/>
      <w:marBottom w:val="0"/>
      <w:divBdr>
        <w:top w:val="none" w:sz="0" w:space="0" w:color="auto"/>
        <w:left w:val="none" w:sz="0" w:space="0" w:color="auto"/>
        <w:bottom w:val="none" w:sz="0" w:space="0" w:color="auto"/>
        <w:right w:val="none" w:sz="0" w:space="0" w:color="auto"/>
      </w:divBdr>
    </w:div>
    <w:div w:id="492455505">
      <w:bodyDiv w:val="1"/>
      <w:marLeft w:val="0"/>
      <w:marRight w:val="0"/>
      <w:marTop w:val="0"/>
      <w:marBottom w:val="0"/>
      <w:divBdr>
        <w:top w:val="none" w:sz="0" w:space="0" w:color="auto"/>
        <w:left w:val="none" w:sz="0" w:space="0" w:color="auto"/>
        <w:bottom w:val="none" w:sz="0" w:space="0" w:color="auto"/>
        <w:right w:val="none" w:sz="0" w:space="0" w:color="auto"/>
      </w:divBdr>
    </w:div>
    <w:div w:id="594823043">
      <w:bodyDiv w:val="1"/>
      <w:marLeft w:val="0"/>
      <w:marRight w:val="0"/>
      <w:marTop w:val="0"/>
      <w:marBottom w:val="0"/>
      <w:divBdr>
        <w:top w:val="none" w:sz="0" w:space="0" w:color="auto"/>
        <w:left w:val="none" w:sz="0" w:space="0" w:color="auto"/>
        <w:bottom w:val="none" w:sz="0" w:space="0" w:color="auto"/>
        <w:right w:val="none" w:sz="0" w:space="0" w:color="auto"/>
      </w:divBdr>
    </w:div>
    <w:div w:id="738331761">
      <w:bodyDiv w:val="1"/>
      <w:marLeft w:val="0"/>
      <w:marRight w:val="0"/>
      <w:marTop w:val="0"/>
      <w:marBottom w:val="0"/>
      <w:divBdr>
        <w:top w:val="none" w:sz="0" w:space="0" w:color="auto"/>
        <w:left w:val="none" w:sz="0" w:space="0" w:color="auto"/>
        <w:bottom w:val="none" w:sz="0" w:space="0" w:color="auto"/>
        <w:right w:val="none" w:sz="0" w:space="0" w:color="auto"/>
      </w:divBdr>
    </w:div>
    <w:div w:id="882716027">
      <w:bodyDiv w:val="1"/>
      <w:marLeft w:val="0"/>
      <w:marRight w:val="0"/>
      <w:marTop w:val="0"/>
      <w:marBottom w:val="0"/>
      <w:divBdr>
        <w:top w:val="none" w:sz="0" w:space="0" w:color="auto"/>
        <w:left w:val="none" w:sz="0" w:space="0" w:color="auto"/>
        <w:bottom w:val="none" w:sz="0" w:space="0" w:color="auto"/>
        <w:right w:val="none" w:sz="0" w:space="0" w:color="auto"/>
      </w:divBdr>
    </w:div>
    <w:div w:id="1072968599">
      <w:bodyDiv w:val="1"/>
      <w:marLeft w:val="0"/>
      <w:marRight w:val="0"/>
      <w:marTop w:val="0"/>
      <w:marBottom w:val="0"/>
      <w:divBdr>
        <w:top w:val="none" w:sz="0" w:space="0" w:color="auto"/>
        <w:left w:val="none" w:sz="0" w:space="0" w:color="auto"/>
        <w:bottom w:val="none" w:sz="0" w:space="0" w:color="auto"/>
        <w:right w:val="none" w:sz="0" w:space="0" w:color="auto"/>
      </w:divBdr>
    </w:div>
    <w:div w:id="1073433835">
      <w:bodyDiv w:val="1"/>
      <w:marLeft w:val="0"/>
      <w:marRight w:val="0"/>
      <w:marTop w:val="0"/>
      <w:marBottom w:val="0"/>
      <w:divBdr>
        <w:top w:val="none" w:sz="0" w:space="0" w:color="auto"/>
        <w:left w:val="none" w:sz="0" w:space="0" w:color="auto"/>
        <w:bottom w:val="none" w:sz="0" w:space="0" w:color="auto"/>
        <w:right w:val="none" w:sz="0" w:space="0" w:color="auto"/>
      </w:divBdr>
    </w:div>
    <w:div w:id="1147434563">
      <w:bodyDiv w:val="1"/>
      <w:marLeft w:val="0"/>
      <w:marRight w:val="0"/>
      <w:marTop w:val="0"/>
      <w:marBottom w:val="0"/>
      <w:divBdr>
        <w:top w:val="none" w:sz="0" w:space="0" w:color="auto"/>
        <w:left w:val="none" w:sz="0" w:space="0" w:color="auto"/>
        <w:bottom w:val="none" w:sz="0" w:space="0" w:color="auto"/>
        <w:right w:val="none" w:sz="0" w:space="0" w:color="auto"/>
      </w:divBdr>
    </w:div>
    <w:div w:id="142522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hart" Target="charts/chart5.xm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89568555996615"/>
          <c:y val="7.407407407407407E-2"/>
          <c:w val="0.8911043144400338"/>
          <c:h val="0.8416746864975212"/>
        </c:manualLayout>
      </c:layout>
      <c:barChart>
        <c:barDir val="col"/>
        <c:grouping val="clustered"/>
        <c:varyColors val="0"/>
        <c:ser>
          <c:idx val="0"/>
          <c:order val="0"/>
          <c:tx>
            <c:strRef>
              <c:f>Sheet1!$B$1</c:f>
              <c:strCache>
                <c:ptCount val="1"/>
                <c:pt idx="0">
                  <c:v>COMM.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Sheet1!$A$2:$A$7</c:f>
              <c:strCache>
                <c:ptCount val="6"/>
                <c:pt idx="0">
                  <c:v>FEMALE</c:v>
                </c:pt>
                <c:pt idx="1">
                  <c:v>MALE</c:v>
                </c:pt>
                <c:pt idx="3">
                  <c:v>ADELE</c:v>
                </c:pt>
                <c:pt idx="4">
                  <c:v>FEMALE</c:v>
                </c:pt>
                <c:pt idx="5">
                  <c:v>MALE</c:v>
                </c:pt>
              </c:strCache>
            </c:strRef>
          </c:cat>
          <c:val>
            <c:numRef>
              <c:f>Sheet1!$B$2:$B$7</c:f>
              <c:numCache>
                <c:formatCode>General</c:formatCode>
                <c:ptCount val="6"/>
                <c:pt idx="0">
                  <c:v>80</c:v>
                </c:pt>
                <c:pt idx="1">
                  <c:v>94</c:v>
                </c:pt>
                <c:pt idx="4">
                  <c:v>91</c:v>
                </c:pt>
                <c:pt idx="5">
                  <c:v>79</c:v>
                </c:pt>
              </c:numCache>
            </c:numRef>
          </c:val>
          <c:extLst>
            <c:ext xmlns:c16="http://schemas.microsoft.com/office/drawing/2014/chart" uri="{C3380CC4-5D6E-409C-BE32-E72D297353CC}">
              <c16:uniqueId val="{00000000-2852-4F09-999F-31D36826457B}"/>
            </c:ext>
          </c:extLst>
        </c:ser>
        <c:dLbls>
          <c:dLblPos val="inEnd"/>
          <c:showLegendKey val="0"/>
          <c:showVal val="1"/>
          <c:showCatName val="0"/>
          <c:showSerName val="0"/>
          <c:showPercent val="0"/>
          <c:showBubbleSize val="0"/>
        </c:dLbls>
        <c:gapWidth val="267"/>
        <c:overlap val="-43"/>
        <c:axId val="297457000"/>
        <c:axId val="297461920"/>
      </c:barChart>
      <c:catAx>
        <c:axId val="29745700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297461920"/>
        <c:crosses val="autoZero"/>
        <c:auto val="1"/>
        <c:lblAlgn val="ctr"/>
        <c:lblOffset val="100"/>
        <c:noMultiLvlLbl val="0"/>
      </c:catAx>
      <c:valAx>
        <c:axId val="29746192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9745700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Sheet1!$C$64</c:f>
              <c:strCache>
                <c:ptCount val="1"/>
                <c:pt idx="0">
                  <c:v>1--10</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1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Sheet1!$D$64:$G$64</c:f>
              <c:numCache>
                <c:formatCode>0.00%</c:formatCode>
                <c:ptCount val="4"/>
                <c:pt idx="0" formatCode="General">
                  <c:v>30</c:v>
                </c:pt>
                <c:pt idx="1">
                  <c:v>0.17199999999999999</c:v>
                </c:pt>
                <c:pt idx="2" formatCode="General">
                  <c:v>25</c:v>
                </c:pt>
                <c:pt idx="3">
                  <c:v>0.14699999999999999</c:v>
                </c:pt>
              </c:numCache>
            </c:numRef>
          </c:val>
          <c:extLst>
            <c:ext xmlns:c16="http://schemas.microsoft.com/office/drawing/2014/chart" uri="{C3380CC4-5D6E-409C-BE32-E72D297353CC}">
              <c16:uniqueId val="{00000000-D941-4402-BC7D-1D601A74B3AF}"/>
            </c:ext>
          </c:extLst>
        </c:ser>
        <c:ser>
          <c:idx val="1"/>
          <c:order val="1"/>
          <c:tx>
            <c:strRef>
              <c:f>Sheet1!$C$65</c:f>
              <c:strCache>
                <c:ptCount val="1"/>
                <c:pt idx="0">
                  <c:v>11–20 years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1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Sheet1!$D$65:$G$65</c:f>
              <c:numCache>
                <c:formatCode>0.00%</c:formatCode>
                <c:ptCount val="4"/>
                <c:pt idx="0" formatCode="General">
                  <c:v>23</c:v>
                </c:pt>
                <c:pt idx="1">
                  <c:v>0.13200000000000001</c:v>
                </c:pt>
                <c:pt idx="2" formatCode="General">
                  <c:v>31</c:v>
                </c:pt>
                <c:pt idx="3">
                  <c:v>0.182</c:v>
                </c:pt>
              </c:numCache>
            </c:numRef>
          </c:val>
          <c:extLst>
            <c:ext xmlns:c16="http://schemas.microsoft.com/office/drawing/2014/chart" uri="{C3380CC4-5D6E-409C-BE32-E72D297353CC}">
              <c16:uniqueId val="{00000001-D941-4402-BC7D-1D601A74B3AF}"/>
            </c:ext>
          </c:extLst>
        </c:ser>
        <c:ser>
          <c:idx val="2"/>
          <c:order val="2"/>
          <c:tx>
            <c:strRef>
              <c:f>Sheet1!$C$66</c:f>
              <c:strCache>
                <c:ptCount val="1"/>
                <c:pt idx="0">
                  <c:v>Above 20 years</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1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Sheet1!$D$66:$G$66</c:f>
              <c:numCache>
                <c:formatCode>0.00%</c:formatCode>
                <c:ptCount val="4"/>
                <c:pt idx="0" formatCode="General">
                  <c:v>121</c:v>
                </c:pt>
                <c:pt idx="1">
                  <c:v>0.69499999999999995</c:v>
                </c:pt>
                <c:pt idx="2" formatCode="General">
                  <c:v>114</c:v>
                </c:pt>
                <c:pt idx="3">
                  <c:v>0.67100000000000004</c:v>
                </c:pt>
              </c:numCache>
            </c:numRef>
          </c:val>
          <c:extLst>
            <c:ext xmlns:c16="http://schemas.microsoft.com/office/drawing/2014/chart" uri="{C3380CC4-5D6E-409C-BE32-E72D297353CC}">
              <c16:uniqueId val="{00000002-D941-4402-BC7D-1D601A74B3AF}"/>
            </c:ext>
          </c:extLst>
        </c:ser>
        <c:dLbls>
          <c:dLblPos val="outEnd"/>
          <c:showLegendKey val="0"/>
          <c:showVal val="1"/>
          <c:showCatName val="0"/>
          <c:showSerName val="0"/>
          <c:showPercent val="0"/>
          <c:showBubbleSize val="0"/>
        </c:dLbls>
        <c:gapWidth val="444"/>
        <c:overlap val="-90"/>
        <c:axId val="395175512"/>
        <c:axId val="395182728"/>
      </c:barChart>
      <c:catAx>
        <c:axId val="395175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5182728"/>
        <c:crosses val="autoZero"/>
        <c:auto val="1"/>
        <c:lblAlgn val="ctr"/>
        <c:lblOffset val="100"/>
        <c:noMultiLvlLbl val="0"/>
      </c:catAx>
      <c:valAx>
        <c:axId val="395182728"/>
        <c:scaling>
          <c:orientation val="minMax"/>
        </c:scaling>
        <c:delete val="1"/>
        <c:axPos val="l"/>
        <c:numFmt formatCode="General" sourceLinked="1"/>
        <c:majorTickMark val="none"/>
        <c:minorTickMark val="none"/>
        <c:tickLblPos val="nextTo"/>
        <c:crossAx val="3951755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Sheet1!$F$149</c:f>
              <c:strCache>
                <c:ptCount val="1"/>
                <c:pt idx="0">
                  <c:v>Much Increase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Sheet1!$G$147:$J$148</c:f>
              <c:strCache>
                <c:ptCount val="4"/>
                <c:pt idx="0">
                  <c:v>NCHUMURU (n = 174)</c:v>
                </c:pt>
                <c:pt idx="1">
                  <c:v>%</c:v>
                </c:pt>
                <c:pt idx="2">
                  <c:v>ADELE (n = 170)</c:v>
                </c:pt>
                <c:pt idx="3">
                  <c:v>%</c:v>
                </c:pt>
              </c:strCache>
            </c:strRef>
          </c:cat>
          <c:val>
            <c:numRef>
              <c:f>Sheet1!$G$149:$J$149</c:f>
              <c:numCache>
                <c:formatCode>0.00%</c:formatCode>
                <c:ptCount val="4"/>
                <c:pt idx="0" formatCode="General">
                  <c:v>41</c:v>
                </c:pt>
                <c:pt idx="1">
                  <c:v>0.23599999999999999</c:v>
                </c:pt>
                <c:pt idx="2" formatCode="General">
                  <c:v>20</c:v>
                </c:pt>
                <c:pt idx="3">
                  <c:v>0.11799999999999999</c:v>
                </c:pt>
              </c:numCache>
            </c:numRef>
          </c:val>
          <c:extLst>
            <c:ext xmlns:c16="http://schemas.microsoft.com/office/drawing/2014/chart" uri="{C3380CC4-5D6E-409C-BE32-E72D297353CC}">
              <c16:uniqueId val="{00000000-28C3-447F-87D1-563EE8C41A6E}"/>
            </c:ext>
          </c:extLst>
        </c:ser>
        <c:ser>
          <c:idx val="1"/>
          <c:order val="1"/>
          <c:tx>
            <c:strRef>
              <c:f>Sheet1!$F$150</c:f>
              <c:strCache>
                <c:ptCount val="1"/>
                <c:pt idx="0">
                  <c:v>Slightly Increase</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Sheet1!$G$147:$J$148</c:f>
              <c:strCache>
                <c:ptCount val="4"/>
                <c:pt idx="0">
                  <c:v>NCHUMURU (n = 174)</c:v>
                </c:pt>
                <c:pt idx="1">
                  <c:v>%</c:v>
                </c:pt>
                <c:pt idx="2">
                  <c:v>ADELE (n = 170)</c:v>
                </c:pt>
                <c:pt idx="3">
                  <c:v>%</c:v>
                </c:pt>
              </c:strCache>
            </c:strRef>
          </c:cat>
          <c:val>
            <c:numRef>
              <c:f>Sheet1!$G$150:$J$150</c:f>
              <c:numCache>
                <c:formatCode>0.00%</c:formatCode>
                <c:ptCount val="4"/>
                <c:pt idx="0" formatCode="General">
                  <c:v>29</c:v>
                </c:pt>
                <c:pt idx="1">
                  <c:v>0.16700000000000001</c:v>
                </c:pt>
                <c:pt idx="2" formatCode="General">
                  <c:v>32</c:v>
                </c:pt>
                <c:pt idx="3">
                  <c:v>0.188</c:v>
                </c:pt>
              </c:numCache>
            </c:numRef>
          </c:val>
          <c:extLst>
            <c:ext xmlns:c16="http://schemas.microsoft.com/office/drawing/2014/chart" uri="{C3380CC4-5D6E-409C-BE32-E72D297353CC}">
              <c16:uniqueId val="{00000001-28C3-447F-87D1-563EE8C41A6E}"/>
            </c:ext>
          </c:extLst>
        </c:ser>
        <c:ser>
          <c:idx val="2"/>
          <c:order val="2"/>
          <c:tx>
            <c:strRef>
              <c:f>Sheet1!$F$151</c:f>
              <c:strCache>
                <c:ptCount val="1"/>
                <c:pt idx="0">
                  <c:v>No Increase        </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Sheet1!$G$147:$J$148</c:f>
              <c:strCache>
                <c:ptCount val="4"/>
                <c:pt idx="0">
                  <c:v>NCHUMURU (n = 174)</c:v>
                </c:pt>
                <c:pt idx="1">
                  <c:v>%</c:v>
                </c:pt>
                <c:pt idx="2">
                  <c:v>ADELE (n = 170)</c:v>
                </c:pt>
                <c:pt idx="3">
                  <c:v>%</c:v>
                </c:pt>
              </c:strCache>
            </c:strRef>
          </c:cat>
          <c:val>
            <c:numRef>
              <c:f>Sheet1!$G$151:$J$151</c:f>
              <c:numCache>
                <c:formatCode>0.00%</c:formatCode>
                <c:ptCount val="4"/>
                <c:pt idx="0" formatCode="General">
                  <c:v>104</c:v>
                </c:pt>
                <c:pt idx="1">
                  <c:v>0.59799999999999998</c:v>
                </c:pt>
                <c:pt idx="2" formatCode="General">
                  <c:v>118</c:v>
                </c:pt>
                <c:pt idx="3">
                  <c:v>0.69399999999999995</c:v>
                </c:pt>
              </c:numCache>
            </c:numRef>
          </c:val>
          <c:extLst>
            <c:ext xmlns:c16="http://schemas.microsoft.com/office/drawing/2014/chart" uri="{C3380CC4-5D6E-409C-BE32-E72D297353CC}">
              <c16:uniqueId val="{00000002-28C3-447F-87D1-563EE8C41A6E}"/>
            </c:ext>
          </c:extLst>
        </c:ser>
        <c:ser>
          <c:idx val="3"/>
          <c:order val="3"/>
          <c:tx>
            <c:strRef>
              <c:f>Sheet1!$F$152</c:f>
              <c:strCache>
                <c:ptCount val="1"/>
                <c:pt idx="0">
                  <c:v>Total</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Sheet1!$G$147:$J$148</c:f>
              <c:strCache>
                <c:ptCount val="4"/>
                <c:pt idx="0">
                  <c:v>NCHUMURU (n = 174)</c:v>
                </c:pt>
                <c:pt idx="1">
                  <c:v>%</c:v>
                </c:pt>
                <c:pt idx="2">
                  <c:v>ADELE (n = 170)</c:v>
                </c:pt>
                <c:pt idx="3">
                  <c:v>%</c:v>
                </c:pt>
              </c:strCache>
            </c:strRef>
          </c:cat>
          <c:val>
            <c:numRef>
              <c:f>Sheet1!$G$152:$J$152</c:f>
              <c:numCache>
                <c:formatCode>0%</c:formatCode>
                <c:ptCount val="4"/>
                <c:pt idx="0" formatCode="General">
                  <c:v>174</c:v>
                </c:pt>
                <c:pt idx="1">
                  <c:v>1</c:v>
                </c:pt>
                <c:pt idx="2" formatCode="General">
                  <c:v>170</c:v>
                </c:pt>
                <c:pt idx="3">
                  <c:v>1</c:v>
                </c:pt>
              </c:numCache>
            </c:numRef>
          </c:val>
          <c:extLst>
            <c:ext xmlns:c16="http://schemas.microsoft.com/office/drawing/2014/chart" uri="{C3380CC4-5D6E-409C-BE32-E72D297353CC}">
              <c16:uniqueId val="{00000003-28C3-447F-87D1-563EE8C41A6E}"/>
            </c:ext>
          </c:extLst>
        </c:ser>
        <c:dLbls>
          <c:dLblPos val="outEnd"/>
          <c:showLegendKey val="0"/>
          <c:showVal val="1"/>
          <c:showCatName val="0"/>
          <c:showSerName val="0"/>
          <c:showPercent val="0"/>
          <c:showBubbleSize val="0"/>
        </c:dLbls>
        <c:gapWidth val="444"/>
        <c:overlap val="-90"/>
        <c:axId val="394129464"/>
        <c:axId val="394121592"/>
        <c:extLst>
          <c:ext xmlns:c15="http://schemas.microsoft.com/office/drawing/2012/chart" uri="{02D57815-91ED-43cb-92C2-25804820EDAC}">
            <c15:filteredBarSeries>
              <c15:ser>
                <c:idx val="4"/>
                <c:order val="4"/>
                <c:tx>
                  <c:strRef>
                    <c:extLst>
                      <c:ext uri="{02D57815-91ED-43cb-92C2-25804820EDAC}">
                        <c15:formulaRef>
                          <c15:sqref>Sheet1!$F$153</c15:sqref>
                        </c15:formulaRef>
                      </c:ext>
                    </c:extLst>
                    <c:strCache>
                      <c:ptCount val="1"/>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Sheet1!$G$147:$J$148</c15:sqref>
                        </c15:formulaRef>
                      </c:ext>
                    </c:extLst>
                    <c:strCache>
                      <c:ptCount val="4"/>
                      <c:pt idx="0">
                        <c:v>NCHUMURU (n = 174)</c:v>
                      </c:pt>
                      <c:pt idx="1">
                        <c:v>%</c:v>
                      </c:pt>
                      <c:pt idx="2">
                        <c:v>ADELE (n = 170)</c:v>
                      </c:pt>
                      <c:pt idx="3">
                        <c:v>%</c:v>
                      </c:pt>
                    </c:strCache>
                  </c:strRef>
                </c:cat>
                <c:val>
                  <c:numRef>
                    <c:extLst>
                      <c:ext uri="{02D57815-91ED-43cb-92C2-25804820EDAC}">
                        <c15:formulaRef>
                          <c15:sqref>Sheet1!$G$153:$J$153</c15:sqref>
                        </c15:formulaRef>
                      </c:ext>
                    </c:extLst>
                    <c:numCache>
                      <c:formatCode>General</c:formatCode>
                      <c:ptCount val="4"/>
                    </c:numCache>
                  </c:numRef>
                </c:val>
                <c:extLst>
                  <c:ext xmlns:c16="http://schemas.microsoft.com/office/drawing/2014/chart" uri="{C3380CC4-5D6E-409C-BE32-E72D297353CC}">
                    <c16:uniqueId val="{00000004-28C3-447F-87D1-563EE8C41A6E}"/>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Sheet1!$F$154</c15:sqref>
                        </c15:formulaRef>
                      </c:ext>
                    </c:extLst>
                    <c:strCache>
                      <c:ptCount val="1"/>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Sheet1!$G$147:$J$148</c15:sqref>
                        </c15:formulaRef>
                      </c:ext>
                    </c:extLst>
                    <c:strCache>
                      <c:ptCount val="4"/>
                      <c:pt idx="0">
                        <c:v>NCHUMURU (n = 174)</c:v>
                      </c:pt>
                      <c:pt idx="1">
                        <c:v>%</c:v>
                      </c:pt>
                      <c:pt idx="2">
                        <c:v>ADELE (n = 170)</c:v>
                      </c:pt>
                      <c:pt idx="3">
                        <c:v>%</c:v>
                      </c:pt>
                    </c:strCache>
                  </c:strRef>
                </c:cat>
                <c:val>
                  <c:numRef>
                    <c:extLst xmlns:c15="http://schemas.microsoft.com/office/drawing/2012/chart">
                      <c:ext xmlns:c15="http://schemas.microsoft.com/office/drawing/2012/chart" uri="{02D57815-91ED-43cb-92C2-25804820EDAC}">
                        <c15:formulaRef>
                          <c15:sqref>Sheet1!$G$154:$J$154</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5-28C3-447F-87D1-563EE8C41A6E}"/>
                  </c:ext>
                </c:extLst>
              </c15:ser>
            </c15:filteredBarSeries>
          </c:ext>
        </c:extLst>
      </c:barChart>
      <c:catAx>
        <c:axId val="3941294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94121592"/>
        <c:crosses val="autoZero"/>
        <c:auto val="1"/>
        <c:lblAlgn val="ctr"/>
        <c:lblOffset val="100"/>
        <c:noMultiLvlLbl val="0"/>
      </c:catAx>
      <c:valAx>
        <c:axId val="394121592"/>
        <c:scaling>
          <c:orientation val="minMax"/>
        </c:scaling>
        <c:delete val="1"/>
        <c:axPos val="l"/>
        <c:numFmt formatCode="General" sourceLinked="1"/>
        <c:majorTickMark val="none"/>
        <c:minorTickMark val="none"/>
        <c:tickLblPos val="nextTo"/>
        <c:crossAx val="3941294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Sheet1!$E$175</c:f>
              <c:strCache>
                <c:ptCount val="1"/>
                <c:pt idx="0">
                  <c:v>Always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Sheet1!$F$174:$J$174</c:f>
              <c:strCache>
                <c:ptCount val="4"/>
                <c:pt idx="0">
                  <c:v> Nchumuru</c:v>
                </c:pt>
                <c:pt idx="1">
                  <c:v>%</c:v>
                </c:pt>
                <c:pt idx="2">
                  <c:v>Adele </c:v>
                </c:pt>
                <c:pt idx="3">
                  <c:v>%</c:v>
                </c:pt>
              </c:strCache>
            </c:strRef>
          </c:cat>
          <c:val>
            <c:numRef>
              <c:f>Sheet1!$F$175:$J$175</c:f>
              <c:numCache>
                <c:formatCode>0.00%</c:formatCode>
                <c:ptCount val="5"/>
                <c:pt idx="0" formatCode="General">
                  <c:v>72</c:v>
                </c:pt>
                <c:pt idx="1">
                  <c:v>0.41399999999999998</c:v>
                </c:pt>
                <c:pt idx="2" formatCode="General">
                  <c:v>51</c:v>
                </c:pt>
                <c:pt idx="3">
                  <c:v>0.3</c:v>
                </c:pt>
              </c:numCache>
            </c:numRef>
          </c:val>
          <c:extLst>
            <c:ext xmlns:c16="http://schemas.microsoft.com/office/drawing/2014/chart" uri="{C3380CC4-5D6E-409C-BE32-E72D297353CC}">
              <c16:uniqueId val="{00000000-0722-4BBA-8BE2-68335C74434C}"/>
            </c:ext>
          </c:extLst>
        </c:ser>
        <c:ser>
          <c:idx val="1"/>
          <c:order val="1"/>
          <c:tx>
            <c:strRef>
              <c:f>Sheet1!$E$176</c:f>
              <c:strCache>
                <c:ptCount val="1"/>
                <c:pt idx="0">
                  <c:v>Occasionally</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Sheet1!$F$174:$J$174</c:f>
              <c:strCache>
                <c:ptCount val="4"/>
                <c:pt idx="0">
                  <c:v> Nchumuru</c:v>
                </c:pt>
                <c:pt idx="1">
                  <c:v>%</c:v>
                </c:pt>
                <c:pt idx="2">
                  <c:v>Adele </c:v>
                </c:pt>
                <c:pt idx="3">
                  <c:v>%</c:v>
                </c:pt>
              </c:strCache>
            </c:strRef>
          </c:cat>
          <c:val>
            <c:numRef>
              <c:f>Sheet1!$F$176:$J$176</c:f>
              <c:numCache>
                <c:formatCode>0.00%</c:formatCode>
                <c:ptCount val="5"/>
                <c:pt idx="0" formatCode="General">
                  <c:v>51</c:v>
                </c:pt>
                <c:pt idx="1">
                  <c:v>0.29299999999999998</c:v>
                </c:pt>
                <c:pt idx="2" formatCode="General">
                  <c:v>52</c:v>
                </c:pt>
                <c:pt idx="3">
                  <c:v>0.30599999999999999</c:v>
                </c:pt>
              </c:numCache>
            </c:numRef>
          </c:val>
          <c:extLst>
            <c:ext xmlns:c16="http://schemas.microsoft.com/office/drawing/2014/chart" uri="{C3380CC4-5D6E-409C-BE32-E72D297353CC}">
              <c16:uniqueId val="{00000001-0722-4BBA-8BE2-68335C74434C}"/>
            </c:ext>
          </c:extLst>
        </c:ser>
        <c:ser>
          <c:idx val="2"/>
          <c:order val="2"/>
          <c:tx>
            <c:strRef>
              <c:f>Sheet1!$E$177</c:f>
              <c:strCache>
                <c:ptCount val="1"/>
                <c:pt idx="0">
                  <c:v>Never</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Sheet1!$F$174:$J$174</c:f>
              <c:strCache>
                <c:ptCount val="4"/>
                <c:pt idx="0">
                  <c:v> Nchumuru</c:v>
                </c:pt>
                <c:pt idx="1">
                  <c:v>%</c:v>
                </c:pt>
                <c:pt idx="2">
                  <c:v>Adele </c:v>
                </c:pt>
                <c:pt idx="3">
                  <c:v>%</c:v>
                </c:pt>
              </c:strCache>
            </c:strRef>
          </c:cat>
          <c:val>
            <c:numRef>
              <c:f>Sheet1!$F$177:$J$177</c:f>
              <c:numCache>
                <c:formatCode>0.00%</c:formatCode>
                <c:ptCount val="5"/>
                <c:pt idx="0" formatCode="General">
                  <c:v>51</c:v>
                </c:pt>
                <c:pt idx="1">
                  <c:v>0.29299999999999998</c:v>
                </c:pt>
                <c:pt idx="2" formatCode="General">
                  <c:v>67</c:v>
                </c:pt>
                <c:pt idx="3">
                  <c:v>0.39400000000000002</c:v>
                </c:pt>
              </c:numCache>
            </c:numRef>
          </c:val>
          <c:extLst>
            <c:ext xmlns:c16="http://schemas.microsoft.com/office/drawing/2014/chart" uri="{C3380CC4-5D6E-409C-BE32-E72D297353CC}">
              <c16:uniqueId val="{00000002-0722-4BBA-8BE2-68335C74434C}"/>
            </c:ext>
          </c:extLst>
        </c:ser>
        <c:ser>
          <c:idx val="3"/>
          <c:order val="3"/>
          <c:tx>
            <c:strRef>
              <c:f>Sheet1!$E$178</c:f>
              <c:strCache>
                <c:ptCount val="1"/>
                <c:pt idx="0">
                  <c:v>Total</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Sheet1!$F$174:$J$174</c:f>
              <c:strCache>
                <c:ptCount val="4"/>
                <c:pt idx="0">
                  <c:v> Nchumuru</c:v>
                </c:pt>
                <c:pt idx="1">
                  <c:v>%</c:v>
                </c:pt>
                <c:pt idx="2">
                  <c:v>Adele </c:v>
                </c:pt>
                <c:pt idx="3">
                  <c:v>%</c:v>
                </c:pt>
              </c:strCache>
            </c:strRef>
          </c:cat>
          <c:val>
            <c:numRef>
              <c:f>Sheet1!$F$178:$J$178</c:f>
              <c:numCache>
                <c:formatCode>0%</c:formatCode>
                <c:ptCount val="5"/>
                <c:pt idx="0" formatCode="General">
                  <c:v>174</c:v>
                </c:pt>
                <c:pt idx="1">
                  <c:v>1</c:v>
                </c:pt>
                <c:pt idx="2" formatCode="General">
                  <c:v>170</c:v>
                </c:pt>
                <c:pt idx="3">
                  <c:v>1</c:v>
                </c:pt>
              </c:numCache>
            </c:numRef>
          </c:val>
          <c:extLst>
            <c:ext xmlns:c16="http://schemas.microsoft.com/office/drawing/2014/chart" uri="{C3380CC4-5D6E-409C-BE32-E72D297353CC}">
              <c16:uniqueId val="{00000003-0722-4BBA-8BE2-68335C74434C}"/>
            </c:ext>
          </c:extLst>
        </c:ser>
        <c:dLbls>
          <c:dLblPos val="outEnd"/>
          <c:showLegendKey val="0"/>
          <c:showVal val="1"/>
          <c:showCatName val="0"/>
          <c:showSerName val="0"/>
          <c:showPercent val="0"/>
          <c:showBubbleSize val="0"/>
        </c:dLbls>
        <c:gapWidth val="444"/>
        <c:overlap val="-90"/>
        <c:axId val="410191416"/>
        <c:axId val="410186168"/>
        <c:extLst>
          <c:ext xmlns:c15="http://schemas.microsoft.com/office/drawing/2012/chart" uri="{02D57815-91ED-43cb-92C2-25804820EDAC}">
            <c15:filteredBarSeries>
              <c15:ser>
                <c:idx val="4"/>
                <c:order val="4"/>
                <c:tx>
                  <c:strRef>
                    <c:extLst>
                      <c:ext uri="{02D57815-91ED-43cb-92C2-25804820EDAC}">
                        <c15:formulaRef>
                          <c15:sqref>Sheet1!$E$179</c15:sqref>
                        </c15:formulaRef>
                      </c:ext>
                    </c:extLst>
                    <c:strCache>
                      <c:ptCount val="1"/>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Sheet1!$F$174:$J$174</c15:sqref>
                        </c15:formulaRef>
                      </c:ext>
                    </c:extLst>
                    <c:strCache>
                      <c:ptCount val="4"/>
                      <c:pt idx="0">
                        <c:v> Nchumuru</c:v>
                      </c:pt>
                      <c:pt idx="1">
                        <c:v>%</c:v>
                      </c:pt>
                      <c:pt idx="2">
                        <c:v>Adele </c:v>
                      </c:pt>
                      <c:pt idx="3">
                        <c:v>%</c:v>
                      </c:pt>
                    </c:strCache>
                  </c:strRef>
                </c:cat>
                <c:val>
                  <c:numRef>
                    <c:extLst>
                      <c:ext uri="{02D57815-91ED-43cb-92C2-25804820EDAC}">
                        <c15:formulaRef>
                          <c15:sqref>Sheet1!$F$179:$J$179</c15:sqref>
                        </c15:formulaRef>
                      </c:ext>
                    </c:extLst>
                    <c:numCache>
                      <c:formatCode>General</c:formatCode>
                      <c:ptCount val="5"/>
                    </c:numCache>
                  </c:numRef>
                </c:val>
                <c:extLst>
                  <c:ext xmlns:c16="http://schemas.microsoft.com/office/drawing/2014/chart" uri="{C3380CC4-5D6E-409C-BE32-E72D297353CC}">
                    <c16:uniqueId val="{00000004-0722-4BBA-8BE2-68335C74434C}"/>
                  </c:ext>
                </c:extLst>
              </c15:ser>
            </c15:filteredBarSeries>
          </c:ext>
        </c:extLst>
      </c:barChart>
      <c:catAx>
        <c:axId val="4101914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10186168"/>
        <c:crosses val="autoZero"/>
        <c:auto val="1"/>
        <c:lblAlgn val="ctr"/>
        <c:lblOffset val="100"/>
        <c:noMultiLvlLbl val="0"/>
      </c:catAx>
      <c:valAx>
        <c:axId val="410186168"/>
        <c:scaling>
          <c:orientation val="minMax"/>
        </c:scaling>
        <c:delete val="1"/>
        <c:axPos val="l"/>
        <c:numFmt formatCode="General" sourceLinked="1"/>
        <c:majorTickMark val="none"/>
        <c:minorTickMark val="none"/>
        <c:tickLblPos val="nextTo"/>
        <c:crossAx val="4101914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Sheet1!$I$113</c:f>
              <c:strCache>
                <c:ptCount val="1"/>
                <c:pt idx="0">
                  <c:v>Nchumuru (n = 174)</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Sheet1!$H$114:$H$119</c:f>
              <c:strCache>
                <c:ptCount val="6"/>
                <c:pt idx="0">
                  <c:v>Strongly Agree</c:v>
                </c:pt>
                <c:pt idx="1">
                  <c:v>Agree</c:v>
                </c:pt>
                <c:pt idx="2">
                  <c:v>Neutral</c:v>
                </c:pt>
                <c:pt idx="3">
                  <c:v>Disagree</c:v>
                </c:pt>
                <c:pt idx="4">
                  <c:v>Strongly Disagree</c:v>
                </c:pt>
                <c:pt idx="5">
                  <c:v>Total</c:v>
                </c:pt>
              </c:strCache>
            </c:strRef>
          </c:cat>
          <c:val>
            <c:numRef>
              <c:f>Sheet1!$I$114:$I$119</c:f>
              <c:numCache>
                <c:formatCode>General</c:formatCode>
                <c:ptCount val="6"/>
                <c:pt idx="0">
                  <c:v>8</c:v>
                </c:pt>
                <c:pt idx="1">
                  <c:v>25</c:v>
                </c:pt>
                <c:pt idx="2">
                  <c:v>7</c:v>
                </c:pt>
                <c:pt idx="3">
                  <c:v>60</c:v>
                </c:pt>
                <c:pt idx="4">
                  <c:v>74</c:v>
                </c:pt>
                <c:pt idx="5">
                  <c:v>174</c:v>
                </c:pt>
              </c:numCache>
            </c:numRef>
          </c:val>
          <c:extLst>
            <c:ext xmlns:c16="http://schemas.microsoft.com/office/drawing/2014/chart" uri="{C3380CC4-5D6E-409C-BE32-E72D297353CC}">
              <c16:uniqueId val="{00000000-C7C6-4990-87F6-1BE110FE554C}"/>
            </c:ext>
          </c:extLst>
        </c:ser>
        <c:ser>
          <c:idx val="1"/>
          <c:order val="1"/>
          <c:tx>
            <c:strRef>
              <c:f>Sheet1!$J$113</c:f>
              <c:strCache>
                <c:ptCount val="1"/>
                <c:pt idx="0">
                  <c:v>%</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Sheet1!$H$114:$H$119</c:f>
              <c:strCache>
                <c:ptCount val="6"/>
                <c:pt idx="0">
                  <c:v>Strongly Agree</c:v>
                </c:pt>
                <c:pt idx="1">
                  <c:v>Agree</c:v>
                </c:pt>
                <c:pt idx="2">
                  <c:v>Neutral</c:v>
                </c:pt>
                <c:pt idx="3">
                  <c:v>Disagree</c:v>
                </c:pt>
                <c:pt idx="4">
                  <c:v>Strongly Disagree</c:v>
                </c:pt>
                <c:pt idx="5">
                  <c:v>Total</c:v>
                </c:pt>
              </c:strCache>
            </c:strRef>
          </c:cat>
          <c:val>
            <c:numRef>
              <c:f>Sheet1!$J$114:$J$119</c:f>
              <c:numCache>
                <c:formatCode>0.00%</c:formatCode>
                <c:ptCount val="6"/>
                <c:pt idx="0">
                  <c:v>4.5999999999999999E-2</c:v>
                </c:pt>
                <c:pt idx="1">
                  <c:v>0.14399999999999999</c:v>
                </c:pt>
                <c:pt idx="2">
                  <c:v>0.04</c:v>
                </c:pt>
                <c:pt idx="3">
                  <c:v>0.34499999999999997</c:v>
                </c:pt>
                <c:pt idx="4">
                  <c:v>0.42499999999999999</c:v>
                </c:pt>
                <c:pt idx="5" formatCode="0%">
                  <c:v>1</c:v>
                </c:pt>
              </c:numCache>
            </c:numRef>
          </c:val>
          <c:extLst>
            <c:ext xmlns:c16="http://schemas.microsoft.com/office/drawing/2014/chart" uri="{C3380CC4-5D6E-409C-BE32-E72D297353CC}">
              <c16:uniqueId val="{00000001-C7C6-4990-87F6-1BE110FE554C}"/>
            </c:ext>
          </c:extLst>
        </c:ser>
        <c:ser>
          <c:idx val="2"/>
          <c:order val="2"/>
          <c:tx>
            <c:strRef>
              <c:f>Sheet1!$K$113</c:f>
              <c:strCache>
                <c:ptCount val="1"/>
                <c:pt idx="0">
                  <c:v>Adele (n = 170)</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Sheet1!$H$114:$H$119</c:f>
              <c:strCache>
                <c:ptCount val="6"/>
                <c:pt idx="0">
                  <c:v>Strongly Agree</c:v>
                </c:pt>
                <c:pt idx="1">
                  <c:v>Agree</c:v>
                </c:pt>
                <c:pt idx="2">
                  <c:v>Neutral</c:v>
                </c:pt>
                <c:pt idx="3">
                  <c:v>Disagree</c:v>
                </c:pt>
                <c:pt idx="4">
                  <c:v>Strongly Disagree</c:v>
                </c:pt>
                <c:pt idx="5">
                  <c:v>Total</c:v>
                </c:pt>
              </c:strCache>
            </c:strRef>
          </c:cat>
          <c:val>
            <c:numRef>
              <c:f>Sheet1!$K$114:$K$119</c:f>
              <c:numCache>
                <c:formatCode>General</c:formatCode>
                <c:ptCount val="6"/>
                <c:pt idx="0">
                  <c:v>12</c:v>
                </c:pt>
                <c:pt idx="1">
                  <c:v>35</c:v>
                </c:pt>
                <c:pt idx="2">
                  <c:v>13</c:v>
                </c:pt>
                <c:pt idx="3">
                  <c:v>65</c:v>
                </c:pt>
                <c:pt idx="4">
                  <c:v>45</c:v>
                </c:pt>
                <c:pt idx="5">
                  <c:v>170</c:v>
                </c:pt>
              </c:numCache>
            </c:numRef>
          </c:val>
          <c:extLst>
            <c:ext xmlns:c16="http://schemas.microsoft.com/office/drawing/2014/chart" uri="{C3380CC4-5D6E-409C-BE32-E72D297353CC}">
              <c16:uniqueId val="{00000002-C7C6-4990-87F6-1BE110FE554C}"/>
            </c:ext>
          </c:extLst>
        </c:ser>
        <c:ser>
          <c:idx val="3"/>
          <c:order val="3"/>
          <c:tx>
            <c:strRef>
              <c:f>Sheet1!$L$113</c:f>
              <c:strCache>
                <c:ptCount val="1"/>
                <c:pt idx="0">
                  <c:v>%</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Sheet1!$H$114:$H$119</c:f>
              <c:strCache>
                <c:ptCount val="6"/>
                <c:pt idx="0">
                  <c:v>Strongly Agree</c:v>
                </c:pt>
                <c:pt idx="1">
                  <c:v>Agree</c:v>
                </c:pt>
                <c:pt idx="2">
                  <c:v>Neutral</c:v>
                </c:pt>
                <c:pt idx="3">
                  <c:v>Disagree</c:v>
                </c:pt>
                <c:pt idx="4">
                  <c:v>Strongly Disagree</c:v>
                </c:pt>
                <c:pt idx="5">
                  <c:v>Total</c:v>
                </c:pt>
              </c:strCache>
            </c:strRef>
          </c:cat>
          <c:val>
            <c:numRef>
              <c:f>Sheet1!$L$114:$L$119</c:f>
              <c:numCache>
                <c:formatCode>0.00%</c:formatCode>
                <c:ptCount val="6"/>
                <c:pt idx="0">
                  <c:v>7.0999999999999994E-2</c:v>
                </c:pt>
                <c:pt idx="1">
                  <c:v>0.20599999999999999</c:v>
                </c:pt>
                <c:pt idx="2">
                  <c:v>7.5999999999999998E-2</c:v>
                </c:pt>
                <c:pt idx="3">
                  <c:v>0.38200000000000001</c:v>
                </c:pt>
                <c:pt idx="4">
                  <c:v>0.26500000000000001</c:v>
                </c:pt>
                <c:pt idx="5" formatCode="0%">
                  <c:v>1</c:v>
                </c:pt>
              </c:numCache>
            </c:numRef>
          </c:val>
          <c:extLst>
            <c:ext xmlns:c16="http://schemas.microsoft.com/office/drawing/2014/chart" uri="{C3380CC4-5D6E-409C-BE32-E72D297353CC}">
              <c16:uniqueId val="{00000003-C7C6-4990-87F6-1BE110FE554C}"/>
            </c:ext>
          </c:extLst>
        </c:ser>
        <c:dLbls>
          <c:showLegendKey val="0"/>
          <c:showVal val="1"/>
          <c:showCatName val="0"/>
          <c:showSerName val="0"/>
          <c:showPercent val="0"/>
          <c:showBubbleSize val="0"/>
        </c:dLbls>
        <c:gapWidth val="79"/>
        <c:shape val="box"/>
        <c:axId val="385364120"/>
        <c:axId val="385362808"/>
        <c:axId val="0"/>
      </c:bar3DChart>
      <c:catAx>
        <c:axId val="3853641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85362808"/>
        <c:crosses val="autoZero"/>
        <c:auto val="1"/>
        <c:lblAlgn val="ctr"/>
        <c:lblOffset val="100"/>
        <c:noMultiLvlLbl val="0"/>
      </c:catAx>
      <c:valAx>
        <c:axId val="385362808"/>
        <c:scaling>
          <c:orientation val="minMax"/>
        </c:scaling>
        <c:delete val="1"/>
        <c:axPos val="l"/>
        <c:numFmt formatCode="0%" sourceLinked="1"/>
        <c:majorTickMark val="none"/>
        <c:minorTickMark val="none"/>
        <c:tickLblPos val="nextTo"/>
        <c:crossAx val="3853641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22</Pages>
  <Words>6153</Words>
  <Characters>35077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RINGROW</dc:creator>
  <cp:keywords/>
  <dc:description/>
  <cp:lastModifiedBy>SDI 1084</cp:lastModifiedBy>
  <cp:revision>20</cp:revision>
  <dcterms:created xsi:type="dcterms:W3CDTF">2026-04-26T20:05:00Z</dcterms:created>
  <dcterms:modified xsi:type="dcterms:W3CDTF">2026-04-27T13:58:00Z</dcterms:modified>
</cp:coreProperties>
</file>