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09DE5" w14:textId="77777777" w:rsidR="001F5558" w:rsidRPr="001F5558" w:rsidRDefault="001F5558" w:rsidP="001F5558">
      <w:pPr>
        <w:spacing w:line="360" w:lineRule="auto"/>
        <w:jc w:val="right"/>
        <w:rPr>
          <w:rFonts w:ascii="Arial" w:eastAsia="Times New Roman" w:hAnsi="Arial" w:cs="Arial"/>
          <w:b/>
          <w:bCs/>
          <w:i/>
          <w:iCs/>
          <w:sz w:val="36"/>
          <w:szCs w:val="36"/>
          <w:u w:val="single"/>
        </w:rPr>
      </w:pPr>
      <w:r w:rsidRPr="001F5558">
        <w:rPr>
          <w:rFonts w:ascii="Arial" w:eastAsia="Times New Roman" w:hAnsi="Arial" w:cs="Arial"/>
          <w:b/>
          <w:bCs/>
          <w:i/>
          <w:iCs/>
          <w:sz w:val="36"/>
          <w:szCs w:val="36"/>
          <w:u w:val="single"/>
        </w:rPr>
        <w:t>Review Article</w:t>
      </w:r>
    </w:p>
    <w:p w14:paraId="1EA4A78A" w14:textId="0542F0CD" w:rsidR="00AD0ED3" w:rsidRPr="001F5558" w:rsidRDefault="00AD0ED3" w:rsidP="00AD0ED3">
      <w:pPr>
        <w:spacing w:line="360" w:lineRule="auto"/>
        <w:jc w:val="right"/>
        <w:rPr>
          <w:rFonts w:ascii="Arial" w:eastAsia="Times New Roman" w:hAnsi="Arial" w:cs="Arial"/>
          <w:b/>
          <w:bCs/>
          <w:sz w:val="36"/>
          <w:szCs w:val="36"/>
        </w:rPr>
      </w:pPr>
      <w:r w:rsidRPr="001F5558">
        <w:rPr>
          <w:rFonts w:ascii="Arial" w:eastAsia="Times New Roman" w:hAnsi="Arial" w:cs="Arial"/>
          <w:b/>
          <w:bCs/>
          <w:sz w:val="36"/>
          <w:szCs w:val="36"/>
        </w:rPr>
        <w:t>Pharmacotherapy for Hypertension in Chronic Kidney Disease: Overview</w:t>
      </w:r>
    </w:p>
    <w:p w14:paraId="7C0547D2" w14:textId="77777777" w:rsidR="007C0442" w:rsidRDefault="007C0442" w:rsidP="00AD0ED3">
      <w:pPr>
        <w:rPr>
          <w:rFonts w:ascii="Arial" w:hAnsi="Arial" w:cs="Arial"/>
          <w:b/>
          <w:bCs/>
          <w:sz w:val="24"/>
          <w:szCs w:val="24"/>
        </w:rPr>
      </w:pPr>
    </w:p>
    <w:p w14:paraId="503FE632" w14:textId="77777777" w:rsidR="007C0442" w:rsidRDefault="007C0442" w:rsidP="00AD0ED3">
      <w:pPr>
        <w:rPr>
          <w:rFonts w:ascii="Arial" w:hAnsi="Arial" w:cs="Arial"/>
          <w:b/>
          <w:bCs/>
          <w:sz w:val="24"/>
          <w:szCs w:val="24"/>
        </w:rPr>
      </w:pPr>
    </w:p>
    <w:p w14:paraId="31401B47" w14:textId="71A13374" w:rsidR="00AD0ED3" w:rsidRPr="001F5558" w:rsidRDefault="00AD0ED3" w:rsidP="00AD0ED3">
      <w:pPr>
        <w:rPr>
          <w:rFonts w:ascii="Arial" w:eastAsia="Times New Roman" w:hAnsi="Arial" w:cs="Arial"/>
          <w:b/>
          <w:bCs/>
          <w:sz w:val="24"/>
          <w:szCs w:val="24"/>
        </w:rPr>
      </w:pPr>
      <w:r w:rsidRPr="001F5558">
        <w:rPr>
          <w:rFonts w:ascii="Arial" w:eastAsia="Times New Roman" w:hAnsi="Arial" w:cs="Arial"/>
          <w:b/>
          <w:bCs/>
          <w:sz w:val="24"/>
          <w:szCs w:val="24"/>
        </w:rPr>
        <w:br w:type="page"/>
      </w:r>
    </w:p>
    <w:p w14:paraId="6389545C" w14:textId="46189A61" w:rsidR="00603ADA" w:rsidRPr="001F5558" w:rsidRDefault="0026650F" w:rsidP="0026650F">
      <w:pPr>
        <w:spacing w:after="0" w:line="240" w:lineRule="auto"/>
        <w:jc w:val="both"/>
        <w:rPr>
          <w:rFonts w:ascii="Arial" w:eastAsia="Times New Roman" w:hAnsi="Arial" w:cs="Arial"/>
          <w:b/>
          <w:bCs/>
          <w:sz w:val="20"/>
          <w:szCs w:val="20"/>
        </w:rPr>
      </w:pPr>
      <w:r w:rsidRPr="001F5558">
        <w:rPr>
          <w:rFonts w:ascii="Arial" w:eastAsia="Times New Roman" w:hAnsi="Arial" w:cs="Arial"/>
          <w:b/>
          <w:bCs/>
          <w:sz w:val="20"/>
          <w:szCs w:val="20"/>
        </w:rPr>
        <w:lastRenderedPageBreak/>
        <w:t>ABSTRACT</w:t>
      </w:r>
    </w:p>
    <w:p w14:paraId="1BFD05DB" w14:textId="77777777" w:rsidR="001A2060" w:rsidRPr="001F5558" w:rsidRDefault="001A2060" w:rsidP="0026650F">
      <w:pPr>
        <w:spacing w:after="0" w:line="240" w:lineRule="auto"/>
        <w:jc w:val="both"/>
        <w:rPr>
          <w:rFonts w:ascii="Arial" w:eastAsia="Times New Roman" w:hAnsi="Arial" w:cs="Arial"/>
          <w:b/>
          <w:bCs/>
          <w:sz w:val="20"/>
          <w:szCs w:val="20"/>
        </w:rPr>
      </w:pPr>
    </w:p>
    <w:p w14:paraId="27EE14A0" w14:textId="06AD154E" w:rsidR="00603ADA" w:rsidRPr="001F5558" w:rsidRDefault="00603ADA" w:rsidP="0026650F">
      <w:pPr>
        <w:spacing w:after="0" w:line="240" w:lineRule="auto"/>
        <w:jc w:val="both"/>
        <w:rPr>
          <w:rFonts w:ascii="Arial" w:eastAsia="Times New Roman" w:hAnsi="Arial" w:cs="Arial"/>
          <w:sz w:val="20"/>
          <w:szCs w:val="20"/>
        </w:rPr>
      </w:pPr>
      <w:r w:rsidRPr="001F5558">
        <w:rPr>
          <w:rFonts w:ascii="Arial" w:eastAsia="Times New Roman" w:hAnsi="Arial" w:cs="Arial"/>
          <w:sz w:val="20"/>
          <w:szCs w:val="20"/>
        </w:rPr>
        <w:t xml:space="preserve">Chronic </w:t>
      </w:r>
      <w:r w:rsidR="00FC7CA7" w:rsidRPr="001F5558">
        <w:rPr>
          <w:rFonts w:ascii="Arial" w:eastAsia="Times New Roman" w:hAnsi="Arial" w:cs="Arial"/>
          <w:sz w:val="20"/>
          <w:szCs w:val="20"/>
        </w:rPr>
        <w:t>k</w:t>
      </w:r>
      <w:r w:rsidRPr="001F5558">
        <w:rPr>
          <w:rFonts w:ascii="Arial" w:eastAsia="Times New Roman" w:hAnsi="Arial" w:cs="Arial"/>
          <w:sz w:val="20"/>
          <w:szCs w:val="20"/>
        </w:rPr>
        <w:t xml:space="preserve">idney </w:t>
      </w:r>
      <w:r w:rsidR="00FC7CA7" w:rsidRPr="001F5558">
        <w:rPr>
          <w:rFonts w:ascii="Arial" w:eastAsia="Times New Roman" w:hAnsi="Arial" w:cs="Arial"/>
          <w:sz w:val="20"/>
          <w:szCs w:val="20"/>
        </w:rPr>
        <w:t>d</w:t>
      </w:r>
      <w:r w:rsidRPr="001F5558">
        <w:rPr>
          <w:rFonts w:ascii="Arial" w:eastAsia="Times New Roman" w:hAnsi="Arial" w:cs="Arial"/>
          <w:sz w:val="20"/>
          <w:szCs w:val="20"/>
        </w:rPr>
        <w:t xml:space="preserve">isease </w:t>
      </w:r>
      <w:r w:rsidR="007B04D1" w:rsidRPr="001F5558">
        <w:rPr>
          <w:rFonts w:ascii="Arial" w:eastAsia="Times New Roman" w:hAnsi="Arial" w:cs="Arial"/>
          <w:sz w:val="20"/>
          <w:szCs w:val="20"/>
        </w:rPr>
        <w:t xml:space="preserve">(CKD) </w:t>
      </w:r>
      <w:r w:rsidRPr="001F5558">
        <w:rPr>
          <w:rFonts w:ascii="Arial" w:eastAsia="Times New Roman" w:hAnsi="Arial" w:cs="Arial"/>
          <w:sz w:val="20"/>
          <w:szCs w:val="20"/>
        </w:rPr>
        <w:t xml:space="preserve">is </w:t>
      </w:r>
      <w:r w:rsidR="00953285" w:rsidRPr="001F5558">
        <w:rPr>
          <w:rFonts w:ascii="Arial" w:eastAsia="Times New Roman" w:hAnsi="Arial" w:cs="Arial"/>
          <w:sz w:val="20"/>
          <w:szCs w:val="20"/>
        </w:rPr>
        <w:t xml:space="preserve">one of the leading causes of death. It is characterized by </w:t>
      </w:r>
      <w:r w:rsidRPr="001F5558">
        <w:rPr>
          <w:rFonts w:ascii="Arial" w:eastAsia="Times New Roman" w:hAnsi="Arial" w:cs="Arial"/>
          <w:sz w:val="20"/>
          <w:szCs w:val="20"/>
        </w:rPr>
        <w:t xml:space="preserve">progressive decline </w:t>
      </w:r>
      <w:r w:rsidR="004462F6" w:rsidRPr="001F5558">
        <w:rPr>
          <w:rFonts w:ascii="Arial" w:eastAsia="Times New Roman" w:hAnsi="Arial" w:cs="Arial"/>
          <w:sz w:val="20"/>
          <w:szCs w:val="20"/>
        </w:rPr>
        <w:t xml:space="preserve">in </w:t>
      </w:r>
      <w:r w:rsidRPr="001F5558">
        <w:rPr>
          <w:rFonts w:ascii="Arial" w:eastAsia="Times New Roman" w:hAnsi="Arial" w:cs="Arial"/>
          <w:sz w:val="20"/>
          <w:szCs w:val="20"/>
        </w:rPr>
        <w:t>glomerular filtration rate (GFR)</w:t>
      </w:r>
      <w:r w:rsidR="00953285" w:rsidRPr="001F5558">
        <w:rPr>
          <w:rFonts w:ascii="Arial" w:eastAsia="Times New Roman" w:hAnsi="Arial" w:cs="Arial"/>
          <w:sz w:val="20"/>
          <w:szCs w:val="20"/>
        </w:rPr>
        <w:t>,</w:t>
      </w:r>
      <w:r w:rsidRPr="001F5558">
        <w:rPr>
          <w:rFonts w:ascii="Arial" w:eastAsia="Times New Roman" w:hAnsi="Arial" w:cs="Arial"/>
          <w:sz w:val="20"/>
          <w:szCs w:val="20"/>
        </w:rPr>
        <w:t xml:space="preserve"> irreversible structural and functional kidney damage </w:t>
      </w:r>
      <w:r w:rsidR="00953285" w:rsidRPr="001F5558">
        <w:rPr>
          <w:rFonts w:ascii="Arial" w:eastAsia="Times New Roman" w:hAnsi="Arial" w:cs="Arial"/>
          <w:sz w:val="20"/>
          <w:szCs w:val="20"/>
        </w:rPr>
        <w:t xml:space="preserve">often </w:t>
      </w:r>
      <w:r w:rsidRPr="001F5558">
        <w:rPr>
          <w:rFonts w:ascii="Arial" w:eastAsia="Times New Roman" w:hAnsi="Arial" w:cs="Arial"/>
          <w:sz w:val="20"/>
          <w:szCs w:val="20"/>
        </w:rPr>
        <w:t xml:space="preserve">associated with </w:t>
      </w:r>
      <w:r w:rsidR="00881A6B" w:rsidRPr="001F5558">
        <w:rPr>
          <w:rFonts w:ascii="Arial" w:eastAsia="Times New Roman" w:hAnsi="Arial" w:cs="Arial"/>
          <w:sz w:val="20"/>
          <w:szCs w:val="20"/>
        </w:rPr>
        <w:t xml:space="preserve">co-morbidities and </w:t>
      </w:r>
      <w:r w:rsidRPr="001F5558">
        <w:rPr>
          <w:rFonts w:ascii="Arial" w:eastAsia="Times New Roman" w:hAnsi="Arial" w:cs="Arial"/>
          <w:sz w:val="20"/>
          <w:szCs w:val="20"/>
        </w:rPr>
        <w:t>multiple complications</w:t>
      </w:r>
      <w:r w:rsidR="004462F6" w:rsidRPr="001F5558">
        <w:rPr>
          <w:rFonts w:ascii="Arial" w:eastAsia="Times New Roman" w:hAnsi="Arial" w:cs="Arial"/>
          <w:sz w:val="20"/>
          <w:szCs w:val="20"/>
        </w:rPr>
        <w:t xml:space="preserve">, </w:t>
      </w:r>
      <w:r w:rsidR="00D82D43" w:rsidRPr="001F5558">
        <w:rPr>
          <w:rFonts w:ascii="Arial" w:eastAsia="Times New Roman" w:hAnsi="Arial" w:cs="Arial"/>
          <w:sz w:val="20"/>
          <w:szCs w:val="20"/>
        </w:rPr>
        <w:t>including</w:t>
      </w:r>
      <w:r w:rsidR="00881A6B" w:rsidRPr="001F5558">
        <w:rPr>
          <w:rFonts w:ascii="Arial" w:eastAsia="Times New Roman" w:hAnsi="Arial" w:cs="Arial"/>
          <w:sz w:val="20"/>
          <w:szCs w:val="20"/>
        </w:rPr>
        <w:t xml:space="preserve"> hypertension, diabetes, </w:t>
      </w:r>
      <w:r w:rsidRPr="001F5558">
        <w:rPr>
          <w:rFonts w:ascii="Arial" w:eastAsia="Times New Roman" w:hAnsi="Arial" w:cs="Arial"/>
          <w:sz w:val="20"/>
          <w:szCs w:val="20"/>
        </w:rPr>
        <w:t xml:space="preserve">and cardiovascular diseases. </w:t>
      </w:r>
      <w:r w:rsidRPr="001F5558">
        <w:rPr>
          <w:rFonts w:ascii="Arial" w:hAnsi="Arial" w:cs="Arial"/>
          <w:sz w:val="20"/>
          <w:szCs w:val="20"/>
        </w:rPr>
        <w:t xml:space="preserve">The stages of </w:t>
      </w:r>
      <w:r w:rsidR="007B04D1" w:rsidRPr="001F5558">
        <w:rPr>
          <w:rFonts w:ascii="Arial" w:hAnsi="Arial" w:cs="Arial"/>
          <w:sz w:val="20"/>
          <w:szCs w:val="20"/>
        </w:rPr>
        <w:t xml:space="preserve">CKD </w:t>
      </w:r>
      <w:r w:rsidR="004C01A1" w:rsidRPr="001F5558">
        <w:rPr>
          <w:rFonts w:ascii="Arial" w:hAnsi="Arial" w:cs="Arial"/>
          <w:sz w:val="20"/>
          <w:szCs w:val="20"/>
        </w:rPr>
        <w:t xml:space="preserve">are </w:t>
      </w:r>
      <w:r w:rsidR="007E5FC3" w:rsidRPr="001F5558">
        <w:rPr>
          <w:rFonts w:ascii="Arial" w:hAnsi="Arial" w:cs="Arial"/>
          <w:sz w:val="20"/>
          <w:szCs w:val="20"/>
        </w:rPr>
        <w:t xml:space="preserve">classified </w:t>
      </w:r>
      <w:r w:rsidRPr="001F5558">
        <w:rPr>
          <w:rFonts w:ascii="Arial" w:hAnsi="Arial" w:cs="Arial"/>
          <w:sz w:val="20"/>
          <w:szCs w:val="20"/>
        </w:rPr>
        <w:t xml:space="preserve">based on GFR and albuminuria levels, and early detection is important for slowing progression and managing complications. </w:t>
      </w:r>
      <w:r w:rsidR="00D82D43" w:rsidRPr="001F5558">
        <w:rPr>
          <w:rFonts w:ascii="Arial" w:hAnsi="Arial" w:cs="Arial"/>
          <w:sz w:val="20"/>
          <w:szCs w:val="20"/>
        </w:rPr>
        <w:t xml:space="preserve">Hypertension (HTN) is one of the leading causes and comorbidities and an independent modifiable risk factor in CKD, and unmanaged HTN progresses to decline in kidney function and kidney damage, resulting in advanced CKD (4 or 5 stage) and ESRD. </w:t>
      </w:r>
      <w:r w:rsidRPr="001F5558">
        <w:rPr>
          <w:rFonts w:ascii="Arial" w:hAnsi="Arial" w:cs="Arial"/>
          <w:sz w:val="20"/>
          <w:szCs w:val="20"/>
        </w:rPr>
        <w:t xml:space="preserve">Both pharmacological </w:t>
      </w:r>
      <w:r w:rsidR="007E5FC3" w:rsidRPr="001F5558">
        <w:rPr>
          <w:rFonts w:ascii="Arial" w:hAnsi="Arial" w:cs="Arial"/>
          <w:sz w:val="20"/>
          <w:szCs w:val="20"/>
        </w:rPr>
        <w:t xml:space="preserve">and non-pharmacological </w:t>
      </w:r>
      <w:r w:rsidRPr="001F5558">
        <w:rPr>
          <w:rFonts w:ascii="Arial" w:hAnsi="Arial" w:cs="Arial"/>
          <w:sz w:val="20"/>
          <w:szCs w:val="20"/>
        </w:rPr>
        <w:t xml:space="preserve">approaches are involved in the management of </w:t>
      </w:r>
      <w:r w:rsidR="00D82D43" w:rsidRPr="001F5558">
        <w:rPr>
          <w:rFonts w:ascii="Arial" w:hAnsi="Arial" w:cs="Arial"/>
          <w:sz w:val="20"/>
          <w:szCs w:val="20"/>
        </w:rPr>
        <w:t xml:space="preserve">HTN in </w:t>
      </w:r>
      <w:r w:rsidRPr="001F5558">
        <w:rPr>
          <w:rFonts w:ascii="Arial" w:hAnsi="Arial" w:cs="Arial"/>
          <w:sz w:val="20"/>
          <w:szCs w:val="20"/>
        </w:rPr>
        <w:t xml:space="preserve">CKD. </w:t>
      </w:r>
      <w:r w:rsidR="008D3E02" w:rsidRPr="001F5558">
        <w:rPr>
          <w:rFonts w:ascii="Arial" w:hAnsi="Arial" w:cs="Arial"/>
          <w:sz w:val="20"/>
          <w:szCs w:val="20"/>
        </w:rPr>
        <w:t xml:space="preserve">The review focuses on </w:t>
      </w:r>
      <w:r w:rsidR="00E26604" w:rsidRPr="001F5558">
        <w:rPr>
          <w:rFonts w:ascii="Arial" w:hAnsi="Arial" w:cs="Arial"/>
          <w:sz w:val="20"/>
          <w:szCs w:val="20"/>
        </w:rPr>
        <w:t xml:space="preserve">pharmacotherapy for </w:t>
      </w:r>
      <w:r w:rsidR="00D82D43" w:rsidRPr="001F5558">
        <w:rPr>
          <w:rFonts w:ascii="Arial" w:hAnsi="Arial" w:cs="Arial"/>
          <w:sz w:val="20"/>
          <w:szCs w:val="20"/>
        </w:rPr>
        <w:t xml:space="preserve">HTN </w:t>
      </w:r>
      <w:r w:rsidR="008D3E02" w:rsidRPr="001F5558">
        <w:rPr>
          <w:rFonts w:ascii="Arial" w:hAnsi="Arial" w:cs="Arial"/>
          <w:sz w:val="20"/>
          <w:szCs w:val="20"/>
        </w:rPr>
        <w:t>in CKD patients with special emphasis on individualization of therapy considering kidney function, diagnosed stage, and status of blood pressure. As per the latest clinical practice guidelines, HTN is</w:t>
      </w:r>
      <w:r w:rsidRPr="001F5558">
        <w:rPr>
          <w:rFonts w:ascii="Arial" w:hAnsi="Arial" w:cs="Arial"/>
          <w:sz w:val="20"/>
          <w:szCs w:val="20"/>
        </w:rPr>
        <w:t xml:space="preserve"> treated </w:t>
      </w:r>
      <w:r w:rsidR="00D82D43" w:rsidRPr="001F5558">
        <w:rPr>
          <w:rFonts w:ascii="Arial" w:hAnsi="Arial" w:cs="Arial"/>
          <w:sz w:val="20"/>
          <w:szCs w:val="20"/>
        </w:rPr>
        <w:t xml:space="preserve">preferably </w:t>
      </w:r>
      <w:r w:rsidRPr="001F5558">
        <w:rPr>
          <w:rFonts w:ascii="Arial" w:hAnsi="Arial" w:cs="Arial"/>
          <w:sz w:val="20"/>
          <w:szCs w:val="20"/>
        </w:rPr>
        <w:t>with RAAS inhibitors (ACEI</w:t>
      </w:r>
      <w:r w:rsidR="00325273" w:rsidRPr="001F5558">
        <w:rPr>
          <w:rFonts w:ascii="Arial" w:hAnsi="Arial" w:cs="Arial"/>
          <w:sz w:val="20"/>
          <w:szCs w:val="20"/>
        </w:rPr>
        <w:t xml:space="preserve"> or </w:t>
      </w:r>
      <w:r w:rsidRPr="001F5558">
        <w:rPr>
          <w:rFonts w:ascii="Arial" w:hAnsi="Arial" w:cs="Arial"/>
          <w:sz w:val="20"/>
          <w:szCs w:val="20"/>
        </w:rPr>
        <w:t>ARBs)</w:t>
      </w:r>
      <w:r w:rsidR="005F61B6" w:rsidRPr="001F5558">
        <w:rPr>
          <w:rFonts w:ascii="Arial" w:hAnsi="Arial" w:cs="Arial"/>
          <w:sz w:val="20"/>
          <w:szCs w:val="20"/>
        </w:rPr>
        <w:t xml:space="preserve"> alone or in combination with </w:t>
      </w:r>
      <w:r w:rsidRPr="001F5558">
        <w:rPr>
          <w:rFonts w:ascii="Arial" w:hAnsi="Arial" w:cs="Arial"/>
          <w:sz w:val="20"/>
          <w:szCs w:val="20"/>
        </w:rPr>
        <w:t>diuretics</w:t>
      </w:r>
      <w:r w:rsidR="00671D46" w:rsidRPr="001F5558">
        <w:rPr>
          <w:rFonts w:ascii="Arial" w:hAnsi="Arial" w:cs="Arial"/>
          <w:sz w:val="20"/>
          <w:szCs w:val="20"/>
        </w:rPr>
        <w:t xml:space="preserve"> and/or</w:t>
      </w:r>
      <w:r w:rsidRPr="001F5558">
        <w:rPr>
          <w:rFonts w:ascii="Arial" w:hAnsi="Arial" w:cs="Arial"/>
          <w:sz w:val="20"/>
          <w:szCs w:val="20"/>
        </w:rPr>
        <w:t xml:space="preserve"> calcium channel blockers,</w:t>
      </w:r>
      <w:r w:rsidR="005F61B6" w:rsidRPr="001F5558">
        <w:rPr>
          <w:rFonts w:ascii="Arial" w:hAnsi="Arial" w:cs="Arial"/>
          <w:sz w:val="20"/>
          <w:szCs w:val="20"/>
        </w:rPr>
        <w:t xml:space="preserve"> </w:t>
      </w:r>
      <w:r w:rsidR="008D3E02" w:rsidRPr="001F5558">
        <w:rPr>
          <w:rFonts w:ascii="Arial" w:hAnsi="Arial" w:cs="Arial"/>
          <w:sz w:val="20"/>
          <w:szCs w:val="20"/>
        </w:rPr>
        <w:t xml:space="preserve">and, </w:t>
      </w:r>
      <w:r w:rsidR="00D82D43" w:rsidRPr="001F5558">
        <w:rPr>
          <w:rFonts w:ascii="Arial" w:hAnsi="Arial" w:cs="Arial"/>
          <w:sz w:val="20"/>
          <w:szCs w:val="20"/>
        </w:rPr>
        <w:t>to some extent</w:t>
      </w:r>
      <w:r w:rsidR="005F61B6" w:rsidRPr="001F5558">
        <w:rPr>
          <w:rFonts w:ascii="Arial" w:hAnsi="Arial" w:cs="Arial"/>
          <w:sz w:val="20"/>
          <w:szCs w:val="20"/>
        </w:rPr>
        <w:t>,</w:t>
      </w:r>
      <w:r w:rsidR="00D82D43" w:rsidRPr="001F5558">
        <w:rPr>
          <w:rFonts w:ascii="Arial" w:hAnsi="Arial" w:cs="Arial"/>
          <w:sz w:val="20"/>
          <w:szCs w:val="20"/>
        </w:rPr>
        <w:t xml:space="preserve"> </w:t>
      </w:r>
      <w:r w:rsidR="005F61B6" w:rsidRPr="001F5558">
        <w:rPr>
          <w:rFonts w:ascii="Arial" w:hAnsi="Arial" w:cs="Arial"/>
          <w:sz w:val="20"/>
          <w:szCs w:val="20"/>
        </w:rPr>
        <w:t xml:space="preserve">add-on </w:t>
      </w:r>
      <w:r w:rsidR="00D82D43" w:rsidRPr="001F5558">
        <w:rPr>
          <w:rFonts w:ascii="Arial" w:hAnsi="Arial" w:cs="Arial"/>
          <w:sz w:val="20"/>
          <w:szCs w:val="20"/>
        </w:rPr>
        <w:t>beta-blockers</w:t>
      </w:r>
      <w:r w:rsidR="005F61B6" w:rsidRPr="001F5558">
        <w:rPr>
          <w:rFonts w:ascii="Arial" w:hAnsi="Arial" w:cs="Arial"/>
          <w:sz w:val="20"/>
          <w:szCs w:val="20"/>
        </w:rPr>
        <w:t xml:space="preserve"> or </w:t>
      </w:r>
      <w:r w:rsidR="00D82D43" w:rsidRPr="001F5558">
        <w:rPr>
          <w:rFonts w:ascii="Arial" w:hAnsi="Arial" w:cs="Arial"/>
          <w:sz w:val="20"/>
          <w:szCs w:val="20"/>
        </w:rPr>
        <w:t xml:space="preserve">centrally acting agents are also </w:t>
      </w:r>
      <w:r w:rsidR="005F61B6" w:rsidRPr="001F5558">
        <w:rPr>
          <w:rFonts w:ascii="Arial" w:hAnsi="Arial" w:cs="Arial"/>
          <w:sz w:val="20"/>
          <w:szCs w:val="20"/>
        </w:rPr>
        <w:t>recommended</w:t>
      </w:r>
      <w:r w:rsidR="00D82D43" w:rsidRPr="001F5558">
        <w:rPr>
          <w:rFonts w:ascii="Arial" w:hAnsi="Arial" w:cs="Arial"/>
          <w:sz w:val="20"/>
          <w:szCs w:val="20"/>
        </w:rPr>
        <w:t xml:space="preserve">. </w:t>
      </w:r>
      <w:r w:rsidR="00C63723" w:rsidRPr="001F5558">
        <w:rPr>
          <w:rFonts w:ascii="Arial" w:hAnsi="Arial" w:cs="Arial"/>
          <w:sz w:val="20"/>
          <w:szCs w:val="20"/>
        </w:rPr>
        <w:t>Newly recommended</w:t>
      </w:r>
      <w:r w:rsidR="005F61B6" w:rsidRPr="001F5558">
        <w:rPr>
          <w:rFonts w:ascii="Arial" w:hAnsi="Arial" w:cs="Arial"/>
          <w:sz w:val="20"/>
          <w:szCs w:val="20"/>
        </w:rPr>
        <w:t xml:space="preserve"> treatment strategies include using drugs</w:t>
      </w:r>
      <w:r w:rsidR="00C63723" w:rsidRPr="001F5558">
        <w:rPr>
          <w:rFonts w:ascii="Arial" w:hAnsi="Arial" w:cs="Arial"/>
          <w:sz w:val="20"/>
          <w:szCs w:val="20"/>
        </w:rPr>
        <w:t xml:space="preserve"> </w:t>
      </w:r>
      <w:r w:rsidR="005F61B6" w:rsidRPr="001F5558">
        <w:rPr>
          <w:rFonts w:ascii="Arial" w:hAnsi="Arial" w:cs="Arial"/>
          <w:sz w:val="20"/>
          <w:szCs w:val="20"/>
        </w:rPr>
        <w:t xml:space="preserve">that provide additional cardiorenal protection and slow kidney damage. </w:t>
      </w:r>
      <w:r w:rsidR="00C63723" w:rsidRPr="001F5558">
        <w:rPr>
          <w:rFonts w:ascii="Arial" w:eastAsia="Times New Roman" w:hAnsi="Arial" w:cs="Arial"/>
          <w:sz w:val="20"/>
          <w:szCs w:val="20"/>
        </w:rPr>
        <w:t>Additionally, evidence-based and clinically proven advancements in the management of HTN in CKD are discussed.</w:t>
      </w:r>
    </w:p>
    <w:p w14:paraId="21439CEA" w14:textId="77777777" w:rsidR="00B84592" w:rsidRPr="001F5558" w:rsidRDefault="00B84592" w:rsidP="0026650F">
      <w:pPr>
        <w:spacing w:after="0" w:line="240" w:lineRule="auto"/>
        <w:jc w:val="both"/>
        <w:rPr>
          <w:rFonts w:ascii="Arial" w:hAnsi="Arial" w:cs="Arial"/>
          <w:sz w:val="20"/>
          <w:szCs w:val="20"/>
        </w:rPr>
      </w:pPr>
    </w:p>
    <w:p w14:paraId="18F5C75E" w14:textId="55DF6DB4" w:rsidR="00603ADA" w:rsidRPr="001F5558" w:rsidRDefault="00603ADA" w:rsidP="0026650F">
      <w:pPr>
        <w:spacing w:after="0" w:line="240" w:lineRule="auto"/>
        <w:rPr>
          <w:rFonts w:ascii="Arial" w:hAnsi="Arial" w:cs="Arial"/>
          <w:i/>
          <w:iCs/>
          <w:sz w:val="20"/>
          <w:szCs w:val="20"/>
        </w:rPr>
      </w:pPr>
      <w:r w:rsidRPr="001F5558">
        <w:rPr>
          <w:rFonts w:ascii="Arial" w:hAnsi="Arial" w:cs="Arial"/>
          <w:i/>
          <w:iCs/>
          <w:sz w:val="20"/>
          <w:szCs w:val="20"/>
        </w:rPr>
        <w:t xml:space="preserve">Keywords: </w:t>
      </w:r>
      <w:r w:rsidR="007E671C" w:rsidRPr="001F5558">
        <w:rPr>
          <w:rFonts w:ascii="Arial" w:hAnsi="Arial" w:cs="Arial"/>
          <w:i/>
          <w:iCs/>
          <w:sz w:val="20"/>
          <w:szCs w:val="20"/>
        </w:rPr>
        <w:t xml:space="preserve">ACEI, ARB, </w:t>
      </w:r>
      <w:r w:rsidRPr="001F5558">
        <w:rPr>
          <w:rFonts w:ascii="Arial" w:hAnsi="Arial" w:cs="Arial"/>
          <w:i/>
          <w:iCs/>
          <w:sz w:val="20"/>
          <w:szCs w:val="20"/>
        </w:rPr>
        <w:t xml:space="preserve">Chronic </w:t>
      </w:r>
      <w:r w:rsidR="00671D46" w:rsidRPr="001F5558">
        <w:rPr>
          <w:rFonts w:ascii="Arial" w:hAnsi="Arial" w:cs="Arial"/>
          <w:i/>
          <w:iCs/>
          <w:sz w:val="20"/>
          <w:szCs w:val="20"/>
        </w:rPr>
        <w:t>kidney disease</w:t>
      </w:r>
      <w:r w:rsidRPr="001F5558">
        <w:rPr>
          <w:rFonts w:ascii="Arial" w:hAnsi="Arial" w:cs="Arial"/>
          <w:i/>
          <w:iCs/>
          <w:sz w:val="20"/>
          <w:szCs w:val="20"/>
        </w:rPr>
        <w:t xml:space="preserve">, CKD stages, </w:t>
      </w:r>
      <w:r w:rsidR="008E0630" w:rsidRPr="001F5558">
        <w:rPr>
          <w:rFonts w:ascii="Arial" w:hAnsi="Arial" w:cs="Arial"/>
          <w:i/>
          <w:iCs/>
          <w:sz w:val="20"/>
          <w:szCs w:val="20"/>
        </w:rPr>
        <w:t xml:space="preserve">ESRD, </w:t>
      </w:r>
      <w:r w:rsidRPr="001F5558">
        <w:rPr>
          <w:rFonts w:ascii="Arial" w:hAnsi="Arial" w:cs="Arial"/>
          <w:i/>
          <w:iCs/>
          <w:sz w:val="20"/>
          <w:szCs w:val="20"/>
        </w:rPr>
        <w:t xml:space="preserve">hypertension, </w:t>
      </w:r>
      <w:r w:rsidR="000257F8" w:rsidRPr="001F5558">
        <w:rPr>
          <w:rFonts w:ascii="Arial" w:hAnsi="Arial" w:cs="Arial"/>
          <w:i/>
          <w:iCs/>
          <w:sz w:val="20"/>
          <w:szCs w:val="20"/>
        </w:rPr>
        <w:t>HTN</w:t>
      </w:r>
    </w:p>
    <w:p w14:paraId="519D31BE" w14:textId="77777777" w:rsidR="007D1B96" w:rsidRPr="001F5558" w:rsidRDefault="007D1B96" w:rsidP="0026650F">
      <w:pPr>
        <w:spacing w:after="0" w:line="240" w:lineRule="auto"/>
        <w:rPr>
          <w:rFonts w:ascii="Arial" w:hAnsi="Arial" w:cs="Arial"/>
          <w:i/>
          <w:iCs/>
          <w:sz w:val="24"/>
          <w:szCs w:val="24"/>
        </w:rPr>
      </w:pPr>
    </w:p>
    <w:p w14:paraId="778BC4ED" w14:textId="77777777" w:rsidR="002C7E6A" w:rsidRPr="001F5558" w:rsidRDefault="002C7E6A" w:rsidP="0026650F">
      <w:pPr>
        <w:spacing w:after="0" w:line="240" w:lineRule="auto"/>
        <w:jc w:val="both"/>
        <w:rPr>
          <w:rFonts w:ascii="Arial" w:eastAsia="Times New Roman" w:hAnsi="Arial" w:cs="Arial"/>
          <w:b/>
          <w:bCs/>
          <w:lang w:val="en-IN"/>
        </w:rPr>
      </w:pPr>
      <w:r w:rsidRPr="001F5558">
        <w:rPr>
          <w:rFonts w:ascii="Arial" w:eastAsia="Times New Roman" w:hAnsi="Arial" w:cs="Arial"/>
          <w:b/>
          <w:bCs/>
          <w:lang w:val="en-IN"/>
        </w:rPr>
        <w:t>1. INTRODUCTION</w:t>
      </w:r>
    </w:p>
    <w:p w14:paraId="480EA139" w14:textId="77777777" w:rsidR="002C7E6A" w:rsidRPr="001F5558" w:rsidRDefault="002C7E6A" w:rsidP="0026650F">
      <w:pPr>
        <w:spacing w:after="0" w:line="240" w:lineRule="auto"/>
        <w:jc w:val="both"/>
        <w:rPr>
          <w:rFonts w:ascii="Arial" w:eastAsia="Times New Roman" w:hAnsi="Arial" w:cs="Arial"/>
          <w:b/>
          <w:bCs/>
          <w:sz w:val="20"/>
          <w:szCs w:val="20"/>
          <w:lang w:val="en-IN"/>
        </w:rPr>
      </w:pPr>
    </w:p>
    <w:p w14:paraId="744BDB8D" w14:textId="77777777" w:rsidR="002C7E6A" w:rsidRPr="001F5558" w:rsidRDefault="002C7E6A" w:rsidP="0026650F">
      <w:pPr>
        <w:spacing w:after="0" w:line="240" w:lineRule="auto"/>
        <w:jc w:val="both"/>
        <w:rPr>
          <w:rFonts w:ascii="Arial" w:eastAsia="Times New Roman" w:hAnsi="Arial" w:cs="Arial"/>
          <w:b/>
          <w:bCs/>
        </w:rPr>
      </w:pPr>
      <w:r w:rsidRPr="001F5558">
        <w:rPr>
          <w:rFonts w:ascii="Arial" w:eastAsia="Times New Roman" w:hAnsi="Arial" w:cs="Arial"/>
          <w:b/>
          <w:bCs/>
        </w:rPr>
        <w:t>1.1. Chronic kidney disease</w:t>
      </w:r>
    </w:p>
    <w:p w14:paraId="00624F4D" w14:textId="77777777" w:rsidR="002C7E6A" w:rsidRPr="001F5558" w:rsidRDefault="002C7E6A" w:rsidP="0026650F">
      <w:pPr>
        <w:spacing w:after="0" w:line="240" w:lineRule="auto"/>
        <w:jc w:val="both"/>
        <w:rPr>
          <w:rFonts w:ascii="Arial" w:eastAsia="Times New Roman" w:hAnsi="Arial" w:cs="Arial"/>
          <w:b/>
          <w:bCs/>
          <w:sz w:val="20"/>
          <w:szCs w:val="20"/>
        </w:rPr>
      </w:pPr>
    </w:p>
    <w:p w14:paraId="2367A7C9" w14:textId="6466E55C" w:rsidR="007E385E" w:rsidRPr="001F5558" w:rsidRDefault="005C6256" w:rsidP="0026650F">
      <w:pPr>
        <w:spacing w:after="0" w:line="240" w:lineRule="auto"/>
        <w:jc w:val="both"/>
        <w:rPr>
          <w:rFonts w:ascii="Arial" w:eastAsia="Times New Roman" w:hAnsi="Arial" w:cs="Arial"/>
          <w:bCs/>
          <w:sz w:val="20"/>
          <w:szCs w:val="20"/>
        </w:rPr>
      </w:pPr>
      <w:r w:rsidRPr="001F5558">
        <w:rPr>
          <w:rFonts w:ascii="Arial" w:eastAsia="Times New Roman" w:hAnsi="Arial" w:cs="Arial"/>
          <w:sz w:val="20"/>
          <w:szCs w:val="20"/>
        </w:rPr>
        <w:t xml:space="preserve">Chronic </w:t>
      </w:r>
      <w:r w:rsidR="00384104" w:rsidRPr="001F5558">
        <w:rPr>
          <w:rFonts w:ascii="Arial" w:eastAsia="Times New Roman" w:hAnsi="Arial" w:cs="Arial"/>
          <w:sz w:val="20"/>
          <w:szCs w:val="20"/>
        </w:rPr>
        <w:t xml:space="preserve">kidney disease </w:t>
      </w:r>
      <w:r w:rsidRPr="001F5558">
        <w:rPr>
          <w:rFonts w:ascii="Arial" w:eastAsia="Times New Roman" w:hAnsi="Arial" w:cs="Arial"/>
          <w:sz w:val="20"/>
          <w:szCs w:val="20"/>
        </w:rPr>
        <w:t>(CKD) is defined as</w:t>
      </w:r>
      <w:r w:rsidR="00B268D0" w:rsidRPr="001F5558">
        <w:rPr>
          <w:rFonts w:ascii="Arial" w:eastAsia="Times New Roman" w:hAnsi="Arial" w:cs="Arial"/>
          <w:sz w:val="20"/>
          <w:szCs w:val="20"/>
        </w:rPr>
        <w:t xml:space="preserve"> abnormalities of kidney structure or function characterized by </w:t>
      </w:r>
      <w:r w:rsidR="00695740" w:rsidRPr="001F5558">
        <w:rPr>
          <w:rFonts w:ascii="Arial" w:eastAsia="Times New Roman" w:hAnsi="Arial" w:cs="Arial"/>
          <w:sz w:val="20"/>
          <w:szCs w:val="20"/>
        </w:rPr>
        <w:t xml:space="preserve">a </w:t>
      </w:r>
      <w:r w:rsidRPr="001F5558">
        <w:rPr>
          <w:rFonts w:ascii="Arial" w:eastAsia="Times New Roman" w:hAnsi="Arial" w:cs="Arial"/>
          <w:sz w:val="20"/>
          <w:szCs w:val="20"/>
        </w:rPr>
        <w:t>reduction in glomerular filtration rate</w:t>
      </w:r>
      <w:r w:rsidR="00012EA6" w:rsidRPr="001F5558">
        <w:rPr>
          <w:rFonts w:ascii="Arial" w:eastAsia="Times New Roman" w:hAnsi="Arial" w:cs="Arial"/>
          <w:sz w:val="20"/>
          <w:szCs w:val="20"/>
        </w:rPr>
        <w:t xml:space="preserve"> </w:t>
      </w:r>
      <w:r w:rsidRPr="001F5558">
        <w:rPr>
          <w:rFonts w:ascii="Arial" w:eastAsia="Times New Roman" w:hAnsi="Arial" w:cs="Arial"/>
          <w:sz w:val="20"/>
          <w:szCs w:val="20"/>
        </w:rPr>
        <w:t xml:space="preserve">(GFR) &lt;60 ml/min and kidney damage </w:t>
      </w:r>
      <w:r w:rsidR="00B268D0" w:rsidRPr="001F5558">
        <w:rPr>
          <w:rFonts w:ascii="Arial" w:eastAsia="Times New Roman" w:hAnsi="Arial" w:cs="Arial"/>
          <w:sz w:val="20"/>
          <w:szCs w:val="20"/>
        </w:rPr>
        <w:t xml:space="preserve">that </w:t>
      </w:r>
      <w:r w:rsidR="00695740" w:rsidRPr="001F5558">
        <w:rPr>
          <w:rFonts w:ascii="Arial" w:eastAsia="Times New Roman" w:hAnsi="Arial" w:cs="Arial"/>
          <w:sz w:val="20"/>
          <w:szCs w:val="20"/>
        </w:rPr>
        <w:t>is</w:t>
      </w:r>
      <w:r w:rsidR="00B268D0" w:rsidRPr="001F5558">
        <w:rPr>
          <w:rFonts w:ascii="Arial" w:eastAsia="Times New Roman" w:hAnsi="Arial" w:cs="Arial"/>
          <w:sz w:val="20"/>
          <w:szCs w:val="20"/>
        </w:rPr>
        <w:t xml:space="preserve"> present for at least 3 months</w:t>
      </w:r>
      <w:r w:rsidRPr="001F5558">
        <w:rPr>
          <w:rFonts w:ascii="Arial" w:eastAsia="Times New Roman" w:hAnsi="Arial" w:cs="Arial"/>
          <w:sz w:val="20"/>
          <w:szCs w:val="20"/>
        </w:rPr>
        <w:t>, and reduces the ability to keep a person healthy (</w:t>
      </w:r>
      <w:r w:rsidR="00695740" w:rsidRPr="001F5558">
        <w:rPr>
          <w:rFonts w:ascii="Arial" w:eastAsia="Times New Roman" w:hAnsi="Arial" w:cs="Arial"/>
          <w:sz w:val="20"/>
          <w:szCs w:val="20"/>
        </w:rPr>
        <w:t xml:space="preserve">Herrington </w:t>
      </w:r>
      <w:r w:rsidRPr="001F5558">
        <w:rPr>
          <w:rFonts w:ascii="Arial" w:eastAsia="Times New Roman" w:hAnsi="Arial" w:cs="Arial"/>
          <w:sz w:val="20"/>
          <w:szCs w:val="20"/>
        </w:rPr>
        <w:t>et al., 20</w:t>
      </w:r>
      <w:r w:rsidR="00C154CA" w:rsidRPr="001F5558">
        <w:rPr>
          <w:rFonts w:ascii="Arial" w:eastAsia="Times New Roman" w:hAnsi="Arial" w:cs="Arial"/>
          <w:sz w:val="20"/>
          <w:szCs w:val="20"/>
        </w:rPr>
        <w:t>2</w:t>
      </w:r>
      <w:r w:rsidRPr="001F5558">
        <w:rPr>
          <w:rFonts w:ascii="Arial" w:eastAsia="Times New Roman" w:hAnsi="Arial" w:cs="Arial"/>
          <w:sz w:val="20"/>
          <w:szCs w:val="20"/>
        </w:rPr>
        <w:t>6</w:t>
      </w:r>
      <w:r w:rsidR="00072C68" w:rsidRPr="001F5558">
        <w:rPr>
          <w:rFonts w:ascii="Arial" w:eastAsia="Times New Roman" w:hAnsi="Arial" w:cs="Arial"/>
          <w:sz w:val="20"/>
          <w:szCs w:val="20"/>
        </w:rPr>
        <w:t xml:space="preserve">). CKD is </w:t>
      </w:r>
      <w:r w:rsidR="00EC28C5" w:rsidRPr="001F5558">
        <w:rPr>
          <w:rFonts w:ascii="Arial" w:eastAsia="Times New Roman" w:hAnsi="Arial" w:cs="Arial"/>
          <w:sz w:val="20"/>
          <w:szCs w:val="20"/>
        </w:rPr>
        <w:t xml:space="preserve">an </w:t>
      </w:r>
      <w:r w:rsidR="00072C68" w:rsidRPr="001F5558">
        <w:rPr>
          <w:rFonts w:ascii="Arial" w:eastAsia="Times New Roman" w:hAnsi="Arial" w:cs="Arial"/>
          <w:sz w:val="20"/>
          <w:szCs w:val="20"/>
        </w:rPr>
        <w:t xml:space="preserve">irreversible structural and functional kidney damage, also known as </w:t>
      </w:r>
      <w:r w:rsidR="00EC28C5" w:rsidRPr="001F5558">
        <w:rPr>
          <w:rFonts w:ascii="Arial" w:eastAsia="Times New Roman" w:hAnsi="Arial" w:cs="Arial"/>
          <w:sz w:val="20"/>
          <w:szCs w:val="20"/>
        </w:rPr>
        <w:t xml:space="preserve">chronic renal failure </w:t>
      </w:r>
      <w:r w:rsidR="00072C68" w:rsidRPr="001F5558">
        <w:rPr>
          <w:rFonts w:ascii="Arial" w:eastAsia="Times New Roman" w:hAnsi="Arial" w:cs="Arial"/>
          <w:sz w:val="20"/>
          <w:szCs w:val="20"/>
        </w:rPr>
        <w:t xml:space="preserve">(CRF), </w:t>
      </w:r>
      <w:r w:rsidR="00F12C2D" w:rsidRPr="001F5558">
        <w:rPr>
          <w:rFonts w:ascii="Arial" w:eastAsia="Times New Roman" w:hAnsi="Arial" w:cs="Arial"/>
          <w:sz w:val="20"/>
          <w:szCs w:val="20"/>
        </w:rPr>
        <w:t xml:space="preserve">significantly seen in patients with hypertension </w:t>
      </w:r>
      <w:r w:rsidR="00454E33" w:rsidRPr="001F5558">
        <w:rPr>
          <w:rFonts w:ascii="Arial" w:eastAsia="Times New Roman" w:hAnsi="Arial" w:cs="Arial"/>
          <w:sz w:val="20"/>
          <w:szCs w:val="20"/>
        </w:rPr>
        <w:t xml:space="preserve">(HTN) </w:t>
      </w:r>
      <w:r w:rsidR="00F12C2D" w:rsidRPr="001F5558">
        <w:rPr>
          <w:rFonts w:ascii="Arial" w:eastAsia="Times New Roman" w:hAnsi="Arial" w:cs="Arial"/>
          <w:sz w:val="20"/>
          <w:szCs w:val="20"/>
        </w:rPr>
        <w:t xml:space="preserve">and diabetes and associated with </w:t>
      </w:r>
      <w:r w:rsidR="00072C68" w:rsidRPr="001F5558">
        <w:rPr>
          <w:rFonts w:ascii="Arial" w:eastAsia="Times New Roman" w:hAnsi="Arial" w:cs="Arial"/>
          <w:sz w:val="20"/>
          <w:szCs w:val="20"/>
        </w:rPr>
        <w:t>multiple complications</w:t>
      </w:r>
      <w:r w:rsidR="00F12C2D" w:rsidRPr="001F5558">
        <w:rPr>
          <w:rFonts w:ascii="Arial" w:eastAsia="Times New Roman" w:hAnsi="Arial" w:cs="Arial"/>
          <w:sz w:val="20"/>
          <w:szCs w:val="20"/>
        </w:rPr>
        <w:t>, such as anemia</w:t>
      </w:r>
      <w:r w:rsidR="00072C68" w:rsidRPr="001F5558">
        <w:rPr>
          <w:rFonts w:ascii="Arial" w:eastAsia="Times New Roman" w:hAnsi="Arial" w:cs="Arial"/>
          <w:sz w:val="20"/>
          <w:szCs w:val="20"/>
        </w:rPr>
        <w:t>, metabolic acidosis, altered mineral metabolism, weak bones, nerve damage, and cardiovascular diseases (Yan et al., 2021</w:t>
      </w:r>
      <w:r w:rsidR="00794A2E" w:rsidRPr="001F5558">
        <w:rPr>
          <w:rFonts w:ascii="Arial" w:eastAsia="Times New Roman" w:hAnsi="Arial" w:cs="Arial"/>
          <w:sz w:val="20"/>
          <w:szCs w:val="20"/>
        </w:rPr>
        <w:t>; Talukdar et al., 2025</w:t>
      </w:r>
      <w:r w:rsidR="00072C68" w:rsidRPr="001F5558">
        <w:rPr>
          <w:rFonts w:ascii="Arial" w:eastAsia="Times New Roman" w:hAnsi="Arial" w:cs="Arial"/>
          <w:sz w:val="20"/>
          <w:szCs w:val="20"/>
        </w:rPr>
        <w:t xml:space="preserve">). </w:t>
      </w:r>
      <w:r w:rsidR="00F12C2D" w:rsidRPr="001F5558">
        <w:rPr>
          <w:rFonts w:ascii="Arial" w:eastAsia="Times New Roman" w:hAnsi="Arial" w:cs="Arial"/>
          <w:sz w:val="20"/>
          <w:szCs w:val="20"/>
        </w:rPr>
        <w:t xml:space="preserve">In particular, the risk of premature cardiovascular disease is noteworthy, as most </w:t>
      </w:r>
      <w:r w:rsidR="00AB706E" w:rsidRPr="001F5558">
        <w:rPr>
          <w:rFonts w:ascii="Arial" w:eastAsia="Times New Roman" w:hAnsi="Arial" w:cs="Arial"/>
          <w:sz w:val="20"/>
          <w:szCs w:val="20"/>
        </w:rPr>
        <w:t xml:space="preserve">CKD patients </w:t>
      </w:r>
      <w:r w:rsidR="00F12C2D" w:rsidRPr="001F5558">
        <w:rPr>
          <w:rFonts w:ascii="Arial" w:eastAsia="Times New Roman" w:hAnsi="Arial" w:cs="Arial"/>
          <w:sz w:val="20"/>
          <w:szCs w:val="20"/>
        </w:rPr>
        <w:t>develop a disability or die from cardiovascular disease before ever progressing to kidney failure</w:t>
      </w:r>
      <w:r w:rsidR="00AB706E" w:rsidRPr="001F5558">
        <w:rPr>
          <w:rFonts w:ascii="Arial" w:eastAsia="Times New Roman" w:hAnsi="Arial" w:cs="Arial"/>
          <w:sz w:val="20"/>
          <w:szCs w:val="20"/>
        </w:rPr>
        <w:t xml:space="preserve">, which often </w:t>
      </w:r>
      <w:r w:rsidR="00072C68" w:rsidRPr="001F5558">
        <w:rPr>
          <w:rFonts w:ascii="Arial" w:eastAsia="Times New Roman" w:hAnsi="Arial" w:cs="Arial"/>
          <w:sz w:val="20"/>
          <w:szCs w:val="20"/>
        </w:rPr>
        <w:t xml:space="preserve">leads to </w:t>
      </w:r>
      <w:r w:rsidR="00B36A3F" w:rsidRPr="001F5558">
        <w:rPr>
          <w:rFonts w:ascii="Arial" w:eastAsia="Times New Roman" w:hAnsi="Arial" w:cs="Arial"/>
          <w:sz w:val="20"/>
          <w:szCs w:val="20"/>
        </w:rPr>
        <w:t xml:space="preserve">considerable </w:t>
      </w:r>
      <w:r w:rsidR="00072C68" w:rsidRPr="001F5558">
        <w:rPr>
          <w:rFonts w:ascii="Arial" w:eastAsia="Times New Roman" w:hAnsi="Arial" w:cs="Arial"/>
          <w:sz w:val="20"/>
          <w:szCs w:val="20"/>
        </w:rPr>
        <w:t xml:space="preserve">morbidity and mortality (Forbes </w:t>
      </w:r>
      <w:r w:rsidR="00F67186" w:rsidRPr="001F5558">
        <w:rPr>
          <w:rFonts w:ascii="Arial" w:eastAsia="Times New Roman" w:hAnsi="Arial" w:cs="Arial"/>
          <w:sz w:val="20"/>
          <w:szCs w:val="20"/>
        </w:rPr>
        <w:t xml:space="preserve">&amp; </w:t>
      </w:r>
      <w:r w:rsidR="00F67186" w:rsidRPr="001F5558">
        <w:rPr>
          <w:rFonts w:ascii="Arial" w:hAnsi="Arial" w:cs="Arial"/>
          <w:sz w:val="20"/>
          <w:szCs w:val="20"/>
        </w:rPr>
        <w:t>Gallagher</w:t>
      </w:r>
      <w:r w:rsidR="00072C68" w:rsidRPr="001F5558">
        <w:rPr>
          <w:rFonts w:ascii="Arial" w:eastAsia="Times New Roman" w:hAnsi="Arial" w:cs="Arial"/>
          <w:sz w:val="20"/>
          <w:szCs w:val="20"/>
        </w:rPr>
        <w:t>, 2020</w:t>
      </w:r>
      <w:r w:rsidR="00850883" w:rsidRPr="001F5558">
        <w:rPr>
          <w:rFonts w:ascii="Arial" w:eastAsia="Times New Roman" w:hAnsi="Arial" w:cs="Arial"/>
          <w:sz w:val="20"/>
          <w:szCs w:val="20"/>
        </w:rPr>
        <w:t>; Herrington et al., 2026</w:t>
      </w:r>
      <w:r w:rsidR="00072C68" w:rsidRPr="001F5558">
        <w:rPr>
          <w:rFonts w:ascii="Arial" w:eastAsia="Times New Roman" w:hAnsi="Arial" w:cs="Arial"/>
          <w:sz w:val="20"/>
          <w:szCs w:val="20"/>
        </w:rPr>
        <w:t xml:space="preserve">). </w:t>
      </w:r>
      <w:r w:rsidR="00713508" w:rsidRPr="001F5558">
        <w:rPr>
          <w:rFonts w:ascii="Arial" w:eastAsia="Times New Roman" w:hAnsi="Arial" w:cs="Arial"/>
          <w:sz w:val="20"/>
          <w:szCs w:val="20"/>
        </w:rPr>
        <w:t xml:space="preserve">Moreover, </w:t>
      </w:r>
      <w:r w:rsidR="008B32F5" w:rsidRPr="001F5558">
        <w:rPr>
          <w:rFonts w:ascii="Arial" w:eastAsia="Times New Roman" w:hAnsi="Arial" w:cs="Arial"/>
          <w:sz w:val="20"/>
          <w:szCs w:val="20"/>
        </w:rPr>
        <w:t>C</w:t>
      </w:r>
      <w:r w:rsidR="007F5069" w:rsidRPr="001F5558">
        <w:rPr>
          <w:rFonts w:ascii="Arial" w:eastAsia="Times New Roman" w:hAnsi="Arial" w:cs="Arial"/>
          <w:sz w:val="20"/>
          <w:szCs w:val="20"/>
        </w:rPr>
        <w:t xml:space="preserve">KD </w:t>
      </w:r>
      <w:r w:rsidR="008B32F5" w:rsidRPr="001F5558">
        <w:rPr>
          <w:rFonts w:ascii="Arial" w:eastAsia="Times New Roman" w:hAnsi="Arial" w:cs="Arial"/>
          <w:sz w:val="20"/>
          <w:szCs w:val="20"/>
        </w:rPr>
        <w:t xml:space="preserve">increases with age because ageing is associated with significant changes in the structure and function of the kidney and is </w:t>
      </w:r>
      <w:r w:rsidR="00713508" w:rsidRPr="001F5558">
        <w:rPr>
          <w:rFonts w:ascii="Arial" w:eastAsia="Times New Roman" w:hAnsi="Arial" w:cs="Arial"/>
          <w:sz w:val="20"/>
          <w:szCs w:val="20"/>
        </w:rPr>
        <w:t>seen more frequently</w:t>
      </w:r>
      <w:r w:rsidR="008B32F5" w:rsidRPr="001F5558">
        <w:rPr>
          <w:rFonts w:ascii="Arial" w:eastAsia="Times New Roman" w:hAnsi="Arial" w:cs="Arial"/>
          <w:sz w:val="20"/>
          <w:szCs w:val="20"/>
        </w:rPr>
        <w:t xml:space="preserve"> in females (</w:t>
      </w:r>
      <w:r w:rsidR="00AD0B97" w:rsidRPr="001F5558">
        <w:rPr>
          <w:rFonts w:ascii="Arial" w:hAnsi="Arial" w:cs="Arial"/>
          <w:sz w:val="20"/>
          <w:szCs w:val="20"/>
        </w:rPr>
        <w:t xml:space="preserve">Pethő </w:t>
      </w:r>
      <w:r w:rsidR="00020B14" w:rsidRPr="001F5558">
        <w:rPr>
          <w:rFonts w:ascii="Arial" w:eastAsia="Times New Roman" w:hAnsi="Arial" w:cs="Arial"/>
          <w:sz w:val="20"/>
          <w:szCs w:val="20"/>
        </w:rPr>
        <w:t xml:space="preserve">et al., 2024; </w:t>
      </w:r>
      <w:r w:rsidR="00794A2E" w:rsidRPr="001F5558">
        <w:rPr>
          <w:rFonts w:ascii="Arial" w:eastAsia="Times New Roman" w:hAnsi="Arial" w:cs="Arial"/>
          <w:sz w:val="20"/>
          <w:szCs w:val="20"/>
        </w:rPr>
        <w:t xml:space="preserve">Talukdar et al., 2025; </w:t>
      </w:r>
      <w:r w:rsidR="00A705F1" w:rsidRPr="001F5558">
        <w:rPr>
          <w:rFonts w:ascii="Arial" w:eastAsia="Times New Roman" w:hAnsi="Arial" w:cs="Arial"/>
          <w:sz w:val="20"/>
          <w:szCs w:val="20"/>
        </w:rPr>
        <w:t>Stracke</w:t>
      </w:r>
      <w:r w:rsidR="008B32F5" w:rsidRPr="001F5558">
        <w:rPr>
          <w:rFonts w:ascii="Arial" w:eastAsia="Times New Roman" w:hAnsi="Arial" w:cs="Arial"/>
          <w:sz w:val="20"/>
          <w:szCs w:val="20"/>
        </w:rPr>
        <w:t xml:space="preserve"> et al., 20</w:t>
      </w:r>
      <w:r w:rsidR="009A5116" w:rsidRPr="001F5558">
        <w:rPr>
          <w:rFonts w:ascii="Arial" w:eastAsia="Times New Roman" w:hAnsi="Arial" w:cs="Arial"/>
          <w:sz w:val="20"/>
          <w:szCs w:val="20"/>
        </w:rPr>
        <w:t>26</w:t>
      </w:r>
      <w:r w:rsidR="008B32F5" w:rsidRPr="001F5558">
        <w:rPr>
          <w:rFonts w:ascii="Arial" w:eastAsia="Times New Roman" w:hAnsi="Arial" w:cs="Arial"/>
          <w:sz w:val="20"/>
          <w:szCs w:val="20"/>
        </w:rPr>
        <w:t xml:space="preserve">). </w:t>
      </w:r>
      <w:r w:rsidR="005332C5" w:rsidRPr="001F5558">
        <w:rPr>
          <w:rFonts w:ascii="Arial" w:eastAsia="Times New Roman" w:hAnsi="Arial" w:cs="Arial"/>
          <w:sz w:val="20"/>
          <w:szCs w:val="20"/>
        </w:rPr>
        <w:t xml:space="preserve">Further, </w:t>
      </w:r>
      <w:r w:rsidR="008B32F5" w:rsidRPr="001F5558">
        <w:rPr>
          <w:rFonts w:ascii="Arial" w:eastAsia="Times New Roman" w:hAnsi="Arial" w:cs="Arial"/>
          <w:sz w:val="20"/>
          <w:szCs w:val="20"/>
        </w:rPr>
        <w:t>C</w:t>
      </w:r>
      <w:r w:rsidR="006749C8" w:rsidRPr="001F5558">
        <w:rPr>
          <w:rFonts w:ascii="Arial" w:eastAsia="Times New Roman" w:hAnsi="Arial" w:cs="Arial"/>
          <w:sz w:val="20"/>
          <w:szCs w:val="20"/>
        </w:rPr>
        <w:t xml:space="preserve">KD </w:t>
      </w:r>
      <w:r w:rsidR="005332C5" w:rsidRPr="001F5558">
        <w:rPr>
          <w:rFonts w:ascii="Arial" w:eastAsia="Times New Roman" w:hAnsi="Arial" w:cs="Arial"/>
          <w:sz w:val="20"/>
          <w:szCs w:val="20"/>
        </w:rPr>
        <w:t>exacerbates</w:t>
      </w:r>
      <w:r w:rsidR="00B36A3F" w:rsidRPr="001F5558">
        <w:rPr>
          <w:rFonts w:ascii="Arial" w:eastAsia="Times New Roman" w:hAnsi="Arial" w:cs="Arial"/>
          <w:sz w:val="20"/>
          <w:szCs w:val="20"/>
        </w:rPr>
        <w:t xml:space="preserve"> </w:t>
      </w:r>
      <w:r w:rsidR="005332C5" w:rsidRPr="001F5558">
        <w:rPr>
          <w:rFonts w:ascii="Arial" w:eastAsia="Times New Roman" w:hAnsi="Arial" w:cs="Arial"/>
          <w:sz w:val="20"/>
          <w:szCs w:val="20"/>
        </w:rPr>
        <w:t xml:space="preserve">the decline in </w:t>
      </w:r>
      <w:r w:rsidR="00243EB0" w:rsidRPr="001F5558">
        <w:rPr>
          <w:rFonts w:ascii="Arial" w:eastAsia="Times New Roman" w:hAnsi="Arial" w:cs="Arial"/>
          <w:sz w:val="20"/>
          <w:szCs w:val="20"/>
        </w:rPr>
        <w:t>renal function and</w:t>
      </w:r>
      <w:r w:rsidR="008B32F5" w:rsidRPr="001F5558">
        <w:rPr>
          <w:rFonts w:ascii="Arial" w:eastAsia="Times New Roman" w:hAnsi="Arial" w:cs="Arial"/>
          <w:sz w:val="20"/>
          <w:szCs w:val="20"/>
        </w:rPr>
        <w:t xml:space="preserve"> often progresses to end-stage renal disease </w:t>
      </w:r>
      <w:r w:rsidR="005332C5" w:rsidRPr="001F5558">
        <w:rPr>
          <w:rFonts w:ascii="Arial" w:eastAsia="Times New Roman" w:hAnsi="Arial" w:cs="Arial"/>
          <w:sz w:val="20"/>
          <w:szCs w:val="20"/>
        </w:rPr>
        <w:t xml:space="preserve">(ESRD) </w:t>
      </w:r>
      <w:r w:rsidR="008B32F5" w:rsidRPr="001F5558">
        <w:rPr>
          <w:rFonts w:ascii="Arial" w:eastAsia="Times New Roman" w:hAnsi="Arial" w:cs="Arial"/>
          <w:sz w:val="20"/>
          <w:szCs w:val="20"/>
        </w:rPr>
        <w:t>(</w:t>
      </w:r>
      <w:r w:rsidR="00155A54" w:rsidRPr="001F5558">
        <w:rPr>
          <w:rFonts w:ascii="Arial" w:eastAsia="Times New Roman" w:hAnsi="Arial" w:cs="Arial"/>
          <w:sz w:val="20"/>
          <w:szCs w:val="20"/>
        </w:rPr>
        <w:t xml:space="preserve">Baker </w:t>
      </w:r>
      <w:r w:rsidR="008B32F5" w:rsidRPr="001F5558">
        <w:rPr>
          <w:rFonts w:ascii="Arial" w:eastAsia="Times New Roman" w:hAnsi="Arial" w:cs="Arial"/>
          <w:sz w:val="20"/>
          <w:szCs w:val="20"/>
        </w:rPr>
        <w:t>et al., 20</w:t>
      </w:r>
      <w:r w:rsidR="00155A54" w:rsidRPr="001F5558">
        <w:rPr>
          <w:rFonts w:ascii="Arial" w:eastAsia="Times New Roman" w:hAnsi="Arial" w:cs="Arial"/>
          <w:sz w:val="20"/>
          <w:szCs w:val="20"/>
        </w:rPr>
        <w:t>26</w:t>
      </w:r>
      <w:r w:rsidR="008B32F5" w:rsidRPr="001F5558">
        <w:rPr>
          <w:rFonts w:ascii="Arial" w:eastAsia="Times New Roman" w:hAnsi="Arial" w:cs="Arial"/>
          <w:sz w:val="20"/>
          <w:szCs w:val="20"/>
        </w:rPr>
        <w:t xml:space="preserve">). In the early stages, there are often no symptoms, </w:t>
      </w:r>
      <w:r w:rsidR="00243EB0" w:rsidRPr="001F5558">
        <w:rPr>
          <w:rFonts w:ascii="Arial" w:eastAsia="Times New Roman" w:hAnsi="Arial" w:cs="Arial"/>
          <w:sz w:val="20"/>
          <w:szCs w:val="20"/>
        </w:rPr>
        <w:t xml:space="preserve">but </w:t>
      </w:r>
      <w:r w:rsidR="00155A54" w:rsidRPr="001F5558">
        <w:rPr>
          <w:rFonts w:ascii="Arial" w:eastAsia="Times New Roman" w:hAnsi="Arial" w:cs="Arial"/>
          <w:sz w:val="20"/>
          <w:szCs w:val="20"/>
        </w:rPr>
        <w:t>CKD</w:t>
      </w:r>
      <w:r w:rsidR="00243EB0" w:rsidRPr="001F5558">
        <w:rPr>
          <w:rFonts w:ascii="Arial" w:eastAsia="Times New Roman" w:hAnsi="Arial" w:cs="Arial"/>
          <w:sz w:val="20"/>
          <w:szCs w:val="20"/>
        </w:rPr>
        <w:t xml:space="preserve"> may progress to end-stage renal failure (ESRF) and frequently remains stable for many years </w:t>
      </w:r>
      <w:r w:rsidR="008B32F5" w:rsidRPr="001F5558">
        <w:rPr>
          <w:rFonts w:ascii="Arial" w:eastAsia="Times New Roman" w:hAnsi="Arial" w:cs="Arial"/>
          <w:sz w:val="20"/>
          <w:szCs w:val="20"/>
        </w:rPr>
        <w:t>(</w:t>
      </w:r>
      <w:r w:rsidR="00AD0B97" w:rsidRPr="001F5558">
        <w:rPr>
          <w:rFonts w:ascii="Arial" w:hAnsi="Arial" w:cs="Arial"/>
          <w:sz w:val="20"/>
          <w:szCs w:val="20"/>
        </w:rPr>
        <w:t xml:space="preserve">Pethő </w:t>
      </w:r>
      <w:r w:rsidR="00AD0B97" w:rsidRPr="001F5558">
        <w:rPr>
          <w:rFonts w:ascii="Arial" w:eastAsia="Times New Roman" w:hAnsi="Arial" w:cs="Arial"/>
          <w:sz w:val="20"/>
          <w:szCs w:val="20"/>
        </w:rPr>
        <w:t xml:space="preserve">et al., 2024; </w:t>
      </w:r>
      <w:r w:rsidR="00F81DF6" w:rsidRPr="001F5558">
        <w:rPr>
          <w:rFonts w:ascii="Arial" w:eastAsia="Times New Roman" w:hAnsi="Arial" w:cs="Arial"/>
          <w:sz w:val="20"/>
          <w:szCs w:val="20"/>
        </w:rPr>
        <w:t>Herrington et al., 2026</w:t>
      </w:r>
      <w:r w:rsidR="008B32F5" w:rsidRPr="001F5558">
        <w:rPr>
          <w:rFonts w:ascii="Arial" w:eastAsia="Times New Roman" w:hAnsi="Arial" w:cs="Arial"/>
          <w:sz w:val="20"/>
          <w:szCs w:val="20"/>
        </w:rPr>
        <w:t>).</w:t>
      </w:r>
      <w:r w:rsidR="00243EB0" w:rsidRPr="001F5558">
        <w:rPr>
          <w:rFonts w:ascii="Arial" w:eastAsia="Times New Roman" w:hAnsi="Arial" w:cs="Arial"/>
          <w:bCs/>
          <w:sz w:val="20"/>
          <w:szCs w:val="20"/>
        </w:rPr>
        <w:t xml:space="preserve"> </w:t>
      </w:r>
    </w:p>
    <w:p w14:paraId="1EE29978" w14:textId="77777777" w:rsidR="00AA2BA2" w:rsidRPr="001F5558" w:rsidRDefault="00AA2BA2" w:rsidP="0026650F">
      <w:pPr>
        <w:spacing w:after="0" w:line="240" w:lineRule="auto"/>
        <w:jc w:val="both"/>
        <w:rPr>
          <w:rFonts w:ascii="Arial" w:eastAsia="Times New Roman" w:hAnsi="Arial" w:cs="Arial"/>
          <w:bCs/>
          <w:sz w:val="20"/>
          <w:szCs w:val="20"/>
        </w:rPr>
      </w:pPr>
    </w:p>
    <w:p w14:paraId="42C7FC4A" w14:textId="77777777" w:rsidR="00983353" w:rsidRPr="001F5558" w:rsidRDefault="00983353" w:rsidP="0026650F">
      <w:pPr>
        <w:spacing w:after="0" w:line="240" w:lineRule="auto"/>
        <w:jc w:val="both"/>
        <w:rPr>
          <w:rFonts w:ascii="Arial" w:eastAsia="Times New Roman" w:hAnsi="Arial" w:cs="Arial"/>
          <w:b/>
          <w:bCs/>
        </w:rPr>
      </w:pPr>
      <w:r w:rsidRPr="001F5558">
        <w:rPr>
          <w:rFonts w:ascii="Arial" w:eastAsia="Times New Roman" w:hAnsi="Arial" w:cs="Arial"/>
          <w:b/>
          <w:bCs/>
        </w:rPr>
        <w:t>1.2. Stages of chronic kidney disease</w:t>
      </w:r>
    </w:p>
    <w:p w14:paraId="05A856EA" w14:textId="77777777" w:rsidR="00983353" w:rsidRPr="001F5558" w:rsidRDefault="00983353" w:rsidP="0026650F">
      <w:pPr>
        <w:spacing w:after="0" w:line="240" w:lineRule="auto"/>
        <w:jc w:val="both"/>
        <w:rPr>
          <w:rFonts w:ascii="Arial" w:eastAsia="Times New Roman" w:hAnsi="Arial" w:cs="Arial"/>
          <w:b/>
          <w:bCs/>
          <w:sz w:val="20"/>
          <w:szCs w:val="20"/>
        </w:rPr>
      </w:pPr>
    </w:p>
    <w:p w14:paraId="3616AC50" w14:textId="77777777" w:rsidR="00AA2BA2" w:rsidRPr="001F5558" w:rsidRDefault="006C4989" w:rsidP="0026650F">
      <w:pPr>
        <w:spacing w:after="0" w:line="240" w:lineRule="auto"/>
        <w:jc w:val="both"/>
        <w:rPr>
          <w:rFonts w:ascii="Arial" w:eastAsia="Times New Roman" w:hAnsi="Arial" w:cs="Arial"/>
          <w:bCs/>
          <w:sz w:val="20"/>
          <w:szCs w:val="20"/>
        </w:rPr>
      </w:pPr>
      <w:r w:rsidRPr="001F5558">
        <w:rPr>
          <w:rFonts w:ascii="Arial" w:hAnsi="Arial" w:cs="Arial"/>
          <w:bCs/>
          <w:sz w:val="20"/>
          <w:szCs w:val="20"/>
        </w:rPr>
        <w:t>In practice, e</w:t>
      </w:r>
      <w:r w:rsidRPr="001F5558">
        <w:rPr>
          <w:rFonts w:ascii="Arial" w:eastAsia="Times New Roman" w:hAnsi="Arial" w:cs="Arial"/>
          <w:bCs/>
          <w:sz w:val="20"/>
          <w:szCs w:val="20"/>
        </w:rPr>
        <w:t xml:space="preserve">arly diagnosis and management of CKD are vital to prevent disease progression and minimize the risk of adverse outcomes. </w:t>
      </w:r>
      <w:r w:rsidR="00F76383" w:rsidRPr="001F5558">
        <w:rPr>
          <w:rFonts w:ascii="Arial" w:hAnsi="Arial" w:cs="Arial"/>
          <w:bCs/>
          <w:sz w:val="20"/>
          <w:szCs w:val="20"/>
        </w:rPr>
        <w:t>Kidney Disease Improving Global Outcomes (KDIGO) guidelines recommend that GFR estimation is a critical diagnostic tool and albuminuria is a predictor of CKD (</w:t>
      </w:r>
      <w:r w:rsidR="008D1B27" w:rsidRPr="001F5558">
        <w:rPr>
          <w:rFonts w:ascii="Arial" w:hAnsi="Arial" w:cs="Arial"/>
          <w:bCs/>
          <w:sz w:val="20"/>
          <w:szCs w:val="20"/>
        </w:rPr>
        <w:t>Pethő</w:t>
      </w:r>
      <w:r w:rsidR="00F76383" w:rsidRPr="001F5558">
        <w:rPr>
          <w:rFonts w:ascii="Arial" w:eastAsia="Times New Roman" w:hAnsi="Arial" w:cs="Arial"/>
          <w:bCs/>
          <w:sz w:val="20"/>
          <w:szCs w:val="20"/>
        </w:rPr>
        <w:t xml:space="preserve"> et al., 2024</w:t>
      </w:r>
      <w:r w:rsidR="00F52DD9" w:rsidRPr="001F5558">
        <w:rPr>
          <w:rFonts w:ascii="Arial" w:eastAsia="Times New Roman" w:hAnsi="Arial" w:cs="Arial"/>
          <w:bCs/>
          <w:sz w:val="20"/>
          <w:szCs w:val="20"/>
        </w:rPr>
        <w:t>; Baker et al., 2026</w:t>
      </w:r>
      <w:r w:rsidR="00F76383" w:rsidRPr="001F5558">
        <w:rPr>
          <w:rFonts w:ascii="Arial" w:hAnsi="Arial" w:cs="Arial"/>
          <w:bCs/>
          <w:sz w:val="20"/>
          <w:szCs w:val="20"/>
        </w:rPr>
        <w:t xml:space="preserve">). </w:t>
      </w:r>
      <w:r w:rsidRPr="001F5558">
        <w:rPr>
          <w:rFonts w:ascii="Arial" w:hAnsi="Arial" w:cs="Arial"/>
          <w:bCs/>
          <w:sz w:val="20"/>
          <w:szCs w:val="20"/>
        </w:rPr>
        <w:t>Importantly, a</w:t>
      </w:r>
      <w:r w:rsidRPr="001F5558">
        <w:rPr>
          <w:rFonts w:ascii="Arial" w:eastAsia="Times New Roman" w:hAnsi="Arial" w:cs="Arial"/>
          <w:bCs/>
          <w:sz w:val="20"/>
          <w:szCs w:val="20"/>
        </w:rPr>
        <w:t>ccurate estimation of GFR is</w:t>
      </w:r>
      <w:r w:rsidR="00790F0E" w:rsidRPr="001F5558">
        <w:rPr>
          <w:rFonts w:ascii="Arial" w:eastAsia="Times New Roman" w:hAnsi="Arial" w:cs="Arial"/>
          <w:bCs/>
          <w:sz w:val="20"/>
          <w:szCs w:val="20"/>
        </w:rPr>
        <w:t xml:space="preserve"> widely recognized as significant to diagnosis, </w:t>
      </w:r>
      <w:r w:rsidRPr="001F5558">
        <w:rPr>
          <w:rFonts w:ascii="Arial" w:eastAsia="Times New Roman" w:hAnsi="Arial" w:cs="Arial"/>
          <w:bCs/>
          <w:sz w:val="20"/>
          <w:szCs w:val="20"/>
        </w:rPr>
        <w:t>assess clinical condition</w:t>
      </w:r>
      <w:r w:rsidR="00790F0E" w:rsidRPr="001F5558">
        <w:rPr>
          <w:rFonts w:ascii="Arial" w:eastAsia="Times New Roman" w:hAnsi="Arial" w:cs="Arial"/>
          <w:bCs/>
          <w:sz w:val="20"/>
          <w:szCs w:val="20"/>
        </w:rPr>
        <w:t>,</w:t>
      </w:r>
      <w:r w:rsidR="00467731" w:rsidRPr="001F5558">
        <w:rPr>
          <w:rFonts w:ascii="Arial" w:eastAsia="Times New Roman" w:hAnsi="Arial" w:cs="Arial"/>
          <w:bCs/>
          <w:sz w:val="20"/>
          <w:szCs w:val="20"/>
        </w:rPr>
        <w:t xml:space="preserve"> and </w:t>
      </w:r>
      <w:r w:rsidRPr="001F5558">
        <w:rPr>
          <w:rFonts w:ascii="Arial" w:eastAsia="Times New Roman" w:hAnsi="Arial" w:cs="Arial"/>
          <w:bCs/>
          <w:sz w:val="20"/>
          <w:szCs w:val="20"/>
        </w:rPr>
        <w:t xml:space="preserve">the severity and progression of </w:t>
      </w:r>
      <w:r w:rsidR="00467731" w:rsidRPr="001F5558">
        <w:rPr>
          <w:rFonts w:ascii="Arial" w:eastAsia="Times New Roman" w:hAnsi="Arial" w:cs="Arial"/>
          <w:bCs/>
          <w:sz w:val="20"/>
          <w:szCs w:val="20"/>
        </w:rPr>
        <w:t>CKD</w:t>
      </w:r>
      <w:r w:rsidRPr="001F5558">
        <w:rPr>
          <w:rFonts w:ascii="Arial" w:eastAsia="Times New Roman" w:hAnsi="Arial" w:cs="Arial"/>
          <w:bCs/>
          <w:sz w:val="20"/>
          <w:szCs w:val="20"/>
        </w:rPr>
        <w:t xml:space="preserve">, and </w:t>
      </w:r>
      <w:r w:rsidR="00467731" w:rsidRPr="001F5558">
        <w:rPr>
          <w:rFonts w:ascii="Arial" w:eastAsia="Times New Roman" w:hAnsi="Arial" w:cs="Arial"/>
          <w:bCs/>
          <w:sz w:val="20"/>
          <w:szCs w:val="20"/>
        </w:rPr>
        <w:t xml:space="preserve">additionally </w:t>
      </w:r>
      <w:r w:rsidRPr="001F5558">
        <w:rPr>
          <w:rFonts w:ascii="Arial" w:eastAsia="Times New Roman" w:hAnsi="Arial" w:cs="Arial"/>
          <w:bCs/>
          <w:sz w:val="20"/>
          <w:szCs w:val="20"/>
        </w:rPr>
        <w:t xml:space="preserve">provides valuable information for individualization of pharmacological </w:t>
      </w:r>
      <w:r w:rsidR="00467731" w:rsidRPr="001F5558">
        <w:rPr>
          <w:rFonts w:ascii="Arial" w:eastAsia="Times New Roman" w:hAnsi="Arial" w:cs="Arial"/>
          <w:bCs/>
          <w:sz w:val="20"/>
          <w:szCs w:val="20"/>
        </w:rPr>
        <w:t xml:space="preserve">treatment </w:t>
      </w:r>
      <w:r w:rsidRPr="001F5558">
        <w:rPr>
          <w:rFonts w:ascii="Arial" w:eastAsia="Times New Roman" w:hAnsi="Arial" w:cs="Arial"/>
          <w:bCs/>
          <w:sz w:val="20"/>
          <w:szCs w:val="20"/>
        </w:rPr>
        <w:t>(personalized therapy)</w:t>
      </w:r>
      <w:r w:rsidR="008842B3" w:rsidRPr="001F5558">
        <w:rPr>
          <w:rFonts w:ascii="Arial" w:eastAsia="Times New Roman" w:hAnsi="Arial" w:cs="Arial"/>
          <w:bCs/>
          <w:sz w:val="20"/>
          <w:szCs w:val="20"/>
        </w:rPr>
        <w:t xml:space="preserve"> </w:t>
      </w:r>
      <w:r w:rsidR="008D37F5" w:rsidRPr="001F5558">
        <w:rPr>
          <w:rFonts w:ascii="Arial" w:eastAsia="Times New Roman" w:hAnsi="Arial" w:cs="Arial"/>
          <w:bCs/>
          <w:sz w:val="20"/>
          <w:szCs w:val="20"/>
        </w:rPr>
        <w:t xml:space="preserve">based on clinical practice guidelines </w:t>
      </w:r>
      <w:r w:rsidR="008842B3" w:rsidRPr="001F5558">
        <w:rPr>
          <w:rFonts w:ascii="Arial" w:eastAsia="Times New Roman" w:hAnsi="Arial" w:cs="Arial"/>
          <w:bCs/>
          <w:sz w:val="20"/>
          <w:szCs w:val="20"/>
        </w:rPr>
        <w:t>(</w:t>
      </w:r>
      <w:r w:rsidR="008D1B27" w:rsidRPr="001F5558">
        <w:rPr>
          <w:rFonts w:ascii="Arial" w:hAnsi="Arial" w:cs="Arial"/>
          <w:bCs/>
          <w:sz w:val="20"/>
          <w:szCs w:val="20"/>
        </w:rPr>
        <w:t>Pethő</w:t>
      </w:r>
      <w:r w:rsidR="00F52DD9" w:rsidRPr="001F5558">
        <w:rPr>
          <w:rFonts w:ascii="Arial" w:eastAsia="Times New Roman" w:hAnsi="Arial" w:cs="Arial"/>
          <w:bCs/>
          <w:sz w:val="20"/>
          <w:szCs w:val="20"/>
        </w:rPr>
        <w:t xml:space="preserve"> et al., 2024; </w:t>
      </w:r>
      <w:r w:rsidR="008842B3" w:rsidRPr="001F5558">
        <w:rPr>
          <w:rFonts w:ascii="Arial" w:eastAsia="Times New Roman" w:hAnsi="Arial" w:cs="Arial"/>
          <w:bCs/>
          <w:sz w:val="20"/>
          <w:szCs w:val="20"/>
        </w:rPr>
        <w:t>Baker et al., 2026; Herrington et al., 2026)</w:t>
      </w:r>
      <w:r w:rsidRPr="001F5558">
        <w:rPr>
          <w:rFonts w:ascii="Arial" w:eastAsia="Times New Roman" w:hAnsi="Arial" w:cs="Arial"/>
          <w:bCs/>
          <w:sz w:val="20"/>
          <w:szCs w:val="20"/>
        </w:rPr>
        <w:t>. The five-stage classification system</w:t>
      </w:r>
      <w:r w:rsidR="00EF7CA2" w:rsidRPr="001F5558">
        <w:rPr>
          <w:rFonts w:ascii="Arial" w:eastAsia="Times New Roman" w:hAnsi="Arial" w:cs="Arial"/>
          <w:bCs/>
          <w:sz w:val="20"/>
          <w:szCs w:val="20"/>
        </w:rPr>
        <w:t>,</w:t>
      </w:r>
      <w:r w:rsidRPr="001F5558">
        <w:rPr>
          <w:rFonts w:ascii="Arial" w:eastAsia="Times New Roman" w:hAnsi="Arial" w:cs="Arial"/>
          <w:bCs/>
          <w:sz w:val="20"/>
          <w:szCs w:val="20"/>
        </w:rPr>
        <w:t xml:space="preserve"> </w:t>
      </w:r>
      <w:r w:rsidR="00EF7CA2" w:rsidRPr="001F5558">
        <w:rPr>
          <w:rFonts w:ascii="Arial" w:eastAsia="Times New Roman" w:hAnsi="Arial" w:cs="Arial"/>
          <w:bCs/>
          <w:sz w:val="20"/>
          <w:szCs w:val="20"/>
        </w:rPr>
        <w:t xml:space="preserve">with </w:t>
      </w:r>
      <w:r w:rsidR="0053317A" w:rsidRPr="001F5558">
        <w:rPr>
          <w:rFonts w:ascii="Arial" w:hAnsi="Arial" w:cs="Arial"/>
          <w:bCs/>
          <w:sz w:val="20"/>
          <w:szCs w:val="20"/>
        </w:rPr>
        <w:t>each</w:t>
      </w:r>
      <w:r w:rsidRPr="001F5558">
        <w:rPr>
          <w:rFonts w:ascii="Arial" w:eastAsia="Times New Roman" w:hAnsi="Arial" w:cs="Arial"/>
          <w:bCs/>
          <w:sz w:val="20"/>
          <w:szCs w:val="20"/>
        </w:rPr>
        <w:t xml:space="preserve"> specific </w:t>
      </w:r>
      <w:r w:rsidR="0053317A" w:rsidRPr="001F5558">
        <w:rPr>
          <w:rFonts w:ascii="Arial" w:eastAsia="Times New Roman" w:hAnsi="Arial" w:cs="Arial"/>
          <w:bCs/>
          <w:sz w:val="20"/>
          <w:szCs w:val="20"/>
        </w:rPr>
        <w:t>stage</w:t>
      </w:r>
      <w:r w:rsidRPr="001F5558">
        <w:rPr>
          <w:rFonts w:ascii="Arial" w:eastAsia="Times New Roman" w:hAnsi="Arial" w:cs="Arial"/>
          <w:bCs/>
          <w:sz w:val="20"/>
          <w:szCs w:val="20"/>
        </w:rPr>
        <w:t xml:space="preserve"> or </w:t>
      </w:r>
      <w:r w:rsidR="0053317A" w:rsidRPr="001F5558">
        <w:rPr>
          <w:rFonts w:ascii="Arial" w:eastAsia="Times New Roman" w:hAnsi="Arial" w:cs="Arial"/>
          <w:bCs/>
          <w:sz w:val="20"/>
          <w:szCs w:val="20"/>
        </w:rPr>
        <w:t>category</w:t>
      </w:r>
      <w:r w:rsidRPr="001F5558">
        <w:rPr>
          <w:rFonts w:ascii="Arial" w:eastAsia="Times New Roman" w:hAnsi="Arial" w:cs="Arial"/>
          <w:bCs/>
          <w:sz w:val="20"/>
          <w:szCs w:val="20"/>
        </w:rPr>
        <w:t xml:space="preserve"> of CKD</w:t>
      </w:r>
      <w:r w:rsidR="00EF7CA2" w:rsidRPr="001F5558">
        <w:rPr>
          <w:rFonts w:ascii="Arial" w:eastAsia="Times New Roman" w:hAnsi="Arial" w:cs="Arial"/>
          <w:bCs/>
          <w:sz w:val="20"/>
          <w:szCs w:val="20"/>
        </w:rPr>
        <w:t>,</w:t>
      </w:r>
      <w:r w:rsidRPr="001F5558">
        <w:rPr>
          <w:rFonts w:ascii="Arial" w:eastAsia="Times New Roman" w:hAnsi="Arial" w:cs="Arial"/>
          <w:bCs/>
          <w:sz w:val="20"/>
          <w:szCs w:val="20"/>
        </w:rPr>
        <w:t xml:space="preserve"> </w:t>
      </w:r>
      <w:r w:rsidR="0053317A" w:rsidRPr="001F5558">
        <w:rPr>
          <w:rFonts w:ascii="Arial" w:eastAsia="Times New Roman" w:hAnsi="Arial" w:cs="Arial"/>
          <w:bCs/>
          <w:sz w:val="20"/>
          <w:szCs w:val="20"/>
        </w:rPr>
        <w:t xml:space="preserve">is </w:t>
      </w:r>
      <w:proofErr w:type="spellStart"/>
      <w:r w:rsidR="0053317A" w:rsidRPr="001F5558">
        <w:rPr>
          <w:rFonts w:ascii="Arial" w:eastAsia="Times New Roman" w:hAnsi="Arial" w:cs="Arial"/>
          <w:bCs/>
          <w:sz w:val="20"/>
          <w:szCs w:val="20"/>
        </w:rPr>
        <w:t>characterised</w:t>
      </w:r>
      <w:proofErr w:type="spellEnd"/>
      <w:r w:rsidRPr="001F5558">
        <w:rPr>
          <w:rFonts w:ascii="Arial" w:eastAsia="Times New Roman" w:hAnsi="Arial" w:cs="Arial"/>
          <w:bCs/>
          <w:sz w:val="20"/>
          <w:szCs w:val="20"/>
        </w:rPr>
        <w:t xml:space="preserve"> by a level of GFR and degree of albuminuria independently (KDIGO 2024)</w:t>
      </w:r>
      <w:r w:rsidR="004635A3" w:rsidRPr="001F5558">
        <w:rPr>
          <w:rFonts w:ascii="Arial" w:eastAsia="Times New Roman" w:hAnsi="Arial" w:cs="Arial"/>
          <w:bCs/>
          <w:sz w:val="20"/>
          <w:szCs w:val="20"/>
        </w:rPr>
        <w:t xml:space="preserve"> (Table 1)</w:t>
      </w:r>
      <w:r w:rsidRPr="001F5558">
        <w:rPr>
          <w:rFonts w:ascii="Arial" w:eastAsia="Times New Roman" w:hAnsi="Arial" w:cs="Arial"/>
          <w:bCs/>
          <w:sz w:val="20"/>
          <w:szCs w:val="20"/>
        </w:rPr>
        <w:t xml:space="preserve">. </w:t>
      </w:r>
    </w:p>
    <w:p w14:paraId="2C633259" w14:textId="77777777" w:rsidR="00AA2BA2" w:rsidRPr="001F5558" w:rsidRDefault="00AA2BA2" w:rsidP="0026650F">
      <w:pPr>
        <w:spacing w:after="0" w:line="240" w:lineRule="auto"/>
        <w:jc w:val="both"/>
        <w:rPr>
          <w:rFonts w:ascii="Arial" w:eastAsia="Times New Roman" w:hAnsi="Arial" w:cs="Arial"/>
          <w:bCs/>
          <w:sz w:val="20"/>
          <w:szCs w:val="20"/>
        </w:rPr>
      </w:pPr>
    </w:p>
    <w:p w14:paraId="2D5BBDC5" w14:textId="1EE0607A" w:rsidR="00AA2BA2" w:rsidRPr="001F5558" w:rsidRDefault="00AA2BA2" w:rsidP="00AA2BA2">
      <w:pPr>
        <w:spacing w:after="0" w:line="240" w:lineRule="auto"/>
        <w:jc w:val="both"/>
        <w:rPr>
          <w:rFonts w:ascii="Arial" w:hAnsi="Arial" w:cs="Arial"/>
          <w:sz w:val="20"/>
          <w:szCs w:val="20"/>
        </w:rPr>
      </w:pPr>
      <w:r w:rsidRPr="001F5558">
        <w:rPr>
          <w:rFonts w:ascii="Arial" w:hAnsi="Arial" w:cs="Arial"/>
          <w:sz w:val="20"/>
          <w:szCs w:val="20"/>
        </w:rPr>
        <w:t xml:space="preserve">Apart from GFR estimation, albuminuria is the best standardized, most readily available, affordable, and reliable urinary biomarker for kidney function. The presence of proteinuria is an independent risk factor for cardiovascular disease, end-stage renal disease, stroke and death in the general population, and in patients with CKD (Chen et al., 2019; KDIGO 2024; Woo et al., 2024). Indeed, albuminuria is a predictor of CKD and </w:t>
      </w:r>
      <w:r w:rsidRPr="001F5558">
        <w:rPr>
          <w:rFonts w:ascii="Arial" w:hAnsi="Arial" w:cs="Arial"/>
          <w:sz w:val="20"/>
          <w:szCs w:val="20"/>
        </w:rPr>
        <w:lastRenderedPageBreak/>
        <w:t>further abnormal levels of both the diagnostic markers increase the cardiovascular risk in CKD patients (Chen et al., 2019; KDIGO 2024; Pethő</w:t>
      </w:r>
      <w:r w:rsidRPr="001F5558">
        <w:rPr>
          <w:rFonts w:ascii="Arial" w:eastAsia="Times New Roman" w:hAnsi="Arial" w:cs="Arial"/>
          <w:sz w:val="20"/>
          <w:szCs w:val="20"/>
        </w:rPr>
        <w:t xml:space="preserve"> </w:t>
      </w:r>
      <w:r w:rsidRPr="001F5558">
        <w:rPr>
          <w:rFonts w:ascii="Arial" w:hAnsi="Arial" w:cs="Arial"/>
          <w:sz w:val="20"/>
          <w:szCs w:val="20"/>
        </w:rPr>
        <w:t>et al., 2024). Based on accumulating evidence for clinical practice in the milieu of CKD, proteinuria is categorized into three levels of severity based on the albumin-to-creatinine ratio (ACR) and total protein-to-creatinine ratio (TPCR) (Table 2) (KDIGO 2024; Pethő</w:t>
      </w:r>
      <w:r w:rsidRPr="001F5558">
        <w:rPr>
          <w:rFonts w:ascii="Arial" w:eastAsia="Times New Roman" w:hAnsi="Arial" w:cs="Arial"/>
          <w:sz w:val="20"/>
          <w:szCs w:val="20"/>
        </w:rPr>
        <w:t xml:space="preserve"> </w:t>
      </w:r>
      <w:r w:rsidRPr="001F5558">
        <w:rPr>
          <w:rFonts w:ascii="Arial" w:hAnsi="Arial" w:cs="Arial"/>
          <w:sz w:val="20"/>
          <w:szCs w:val="20"/>
        </w:rPr>
        <w:t>et al., 2024).</w:t>
      </w:r>
    </w:p>
    <w:p w14:paraId="60A3527A" w14:textId="77777777" w:rsidR="00AA2BA2" w:rsidRPr="001F5558" w:rsidRDefault="00AA2BA2" w:rsidP="00AA2BA2">
      <w:pPr>
        <w:spacing w:after="0" w:line="240" w:lineRule="auto"/>
        <w:jc w:val="both"/>
        <w:rPr>
          <w:rFonts w:ascii="Arial" w:hAnsi="Arial" w:cs="Arial"/>
          <w:sz w:val="20"/>
          <w:szCs w:val="20"/>
        </w:rPr>
      </w:pPr>
    </w:p>
    <w:p w14:paraId="143DCB7B" w14:textId="2CBB6D45" w:rsidR="0053317A" w:rsidRPr="001F5558" w:rsidRDefault="0053317A" w:rsidP="00AA2BA2">
      <w:pPr>
        <w:spacing w:after="0" w:line="240" w:lineRule="auto"/>
        <w:jc w:val="both"/>
        <w:rPr>
          <w:rFonts w:ascii="Arial" w:hAnsi="Arial" w:cs="Arial"/>
          <w:sz w:val="20"/>
          <w:szCs w:val="20"/>
        </w:rPr>
      </w:pPr>
      <w:r w:rsidRPr="001F5558">
        <w:rPr>
          <w:rFonts w:ascii="Arial" w:hAnsi="Arial" w:cs="Arial"/>
          <w:b/>
          <w:sz w:val="20"/>
          <w:szCs w:val="20"/>
        </w:rPr>
        <w:t>Table 1.</w:t>
      </w:r>
      <w:r w:rsidRPr="001F5558">
        <w:rPr>
          <w:rFonts w:ascii="Arial" w:hAnsi="Arial" w:cs="Arial"/>
          <w:bCs/>
          <w:sz w:val="20"/>
          <w:szCs w:val="20"/>
        </w:rPr>
        <w:t> </w:t>
      </w:r>
      <w:r w:rsidR="00053D04" w:rsidRPr="001F5558">
        <w:rPr>
          <w:rFonts w:ascii="Arial" w:hAnsi="Arial" w:cs="Arial"/>
          <w:b/>
          <w:sz w:val="20"/>
          <w:szCs w:val="20"/>
        </w:rPr>
        <w:t>KDIGO s</w:t>
      </w:r>
      <w:r w:rsidRPr="001F5558">
        <w:rPr>
          <w:rFonts w:ascii="Arial" w:hAnsi="Arial" w:cs="Arial"/>
          <w:b/>
          <w:sz w:val="20"/>
          <w:szCs w:val="20"/>
        </w:rPr>
        <w:t xml:space="preserve">tages </w:t>
      </w:r>
      <w:r w:rsidR="00171F0F" w:rsidRPr="001F5558">
        <w:rPr>
          <w:rFonts w:ascii="Arial" w:hAnsi="Arial" w:cs="Arial"/>
          <w:b/>
          <w:sz w:val="20"/>
          <w:szCs w:val="20"/>
        </w:rPr>
        <w:t xml:space="preserve">and description of </w:t>
      </w:r>
      <w:r w:rsidRPr="001F5558">
        <w:rPr>
          <w:rFonts w:ascii="Arial" w:hAnsi="Arial" w:cs="Arial"/>
          <w:b/>
          <w:sz w:val="20"/>
          <w:szCs w:val="20"/>
        </w:rPr>
        <w:t>chronic kidney disease (CKD) based on estimated glomerular filtration rate (eGFR).</w:t>
      </w:r>
      <w:r w:rsidR="00D22AE0" w:rsidRPr="001F5558">
        <w:rPr>
          <w:rFonts w:ascii="Arial" w:hAnsi="Arial" w:cs="Arial"/>
          <w:bCs/>
          <w:sz w:val="20"/>
          <w:szCs w:val="20"/>
        </w:rPr>
        <w:t xml:space="preserve"> </w:t>
      </w:r>
      <w:r w:rsidR="004E5166" w:rsidRPr="001F5558">
        <w:rPr>
          <w:rFonts w:ascii="Arial" w:hAnsi="Arial" w:cs="Arial"/>
          <w:sz w:val="20"/>
          <w:szCs w:val="20"/>
        </w:rPr>
        <w:t>(</w:t>
      </w:r>
      <w:r w:rsidR="004E5166" w:rsidRPr="001F5558">
        <w:rPr>
          <w:rFonts w:ascii="Arial" w:hAnsi="Arial" w:cs="Arial"/>
          <w:b/>
          <w:bCs/>
          <w:sz w:val="20"/>
          <w:szCs w:val="20"/>
        </w:rPr>
        <w:t xml:space="preserve">KDIGO 2024; </w:t>
      </w:r>
      <w:r w:rsidR="00B72EE6" w:rsidRPr="001F5558">
        <w:rPr>
          <w:rFonts w:ascii="Arial" w:hAnsi="Arial" w:cs="Arial"/>
          <w:sz w:val="20"/>
          <w:szCs w:val="20"/>
        </w:rPr>
        <w:t>Pethő</w:t>
      </w:r>
      <w:r w:rsidR="00B72EE6" w:rsidRPr="001F5558">
        <w:rPr>
          <w:rFonts w:ascii="Arial" w:eastAsia="Times New Roman" w:hAnsi="Arial" w:cs="Arial"/>
          <w:b/>
          <w:sz w:val="20"/>
          <w:szCs w:val="20"/>
        </w:rPr>
        <w:t xml:space="preserve"> </w:t>
      </w:r>
      <w:r w:rsidR="004E5166" w:rsidRPr="001F5558">
        <w:rPr>
          <w:rFonts w:ascii="Arial" w:hAnsi="Arial" w:cs="Arial"/>
          <w:b/>
          <w:bCs/>
          <w:sz w:val="20"/>
          <w:szCs w:val="20"/>
        </w:rPr>
        <w:t>et al., 2024</w:t>
      </w:r>
      <w:r w:rsidR="004E5166" w:rsidRPr="001F5558">
        <w:rPr>
          <w:rFonts w:ascii="Arial" w:hAnsi="Arial" w:cs="Arial"/>
          <w:sz w:val="20"/>
          <w:szCs w:val="20"/>
        </w:rPr>
        <w:t>)</w:t>
      </w:r>
    </w:p>
    <w:p w14:paraId="0C9B170D" w14:textId="77777777" w:rsidR="00AA2BA2" w:rsidRPr="001F5558" w:rsidRDefault="00AA2BA2" w:rsidP="0026650F">
      <w:pPr>
        <w:spacing w:after="0" w:line="240" w:lineRule="auto"/>
        <w:jc w:val="both"/>
        <w:rPr>
          <w:rFonts w:ascii="Arial" w:hAnsi="Arial" w:cs="Arial"/>
          <w:bCs/>
          <w:sz w:val="20"/>
          <w:szCs w:val="20"/>
        </w:rPr>
      </w:pPr>
    </w:p>
    <w:tbl>
      <w:tblPr>
        <w:tblW w:w="9072" w:type="dxa"/>
        <w:tblInd w:w="-5" w:type="dxa"/>
        <w:tblBorders>
          <w:top w:val="single" w:sz="8" w:space="0" w:color="auto"/>
          <w:bottom w:val="single" w:sz="8" w:space="0" w:color="auto"/>
        </w:tblBorders>
        <w:tblCellMar>
          <w:left w:w="113" w:type="dxa"/>
          <w:right w:w="113" w:type="dxa"/>
        </w:tblCellMar>
        <w:tblLook w:val="04A0" w:firstRow="1" w:lastRow="0" w:firstColumn="1" w:lastColumn="0" w:noHBand="0" w:noVBand="1"/>
      </w:tblPr>
      <w:tblGrid>
        <w:gridCol w:w="1843"/>
        <w:gridCol w:w="2410"/>
        <w:gridCol w:w="4819"/>
      </w:tblGrid>
      <w:tr w:rsidR="001C3EB8" w:rsidRPr="001F5558" w14:paraId="1EF77247" w14:textId="77777777" w:rsidTr="00F2493D">
        <w:trPr>
          <w:trHeight w:val="227"/>
          <w:tblHeader/>
        </w:trPr>
        <w:tc>
          <w:tcPr>
            <w:tcW w:w="1843" w:type="dxa"/>
            <w:tcBorders>
              <w:top w:val="single" w:sz="8" w:space="0" w:color="auto"/>
              <w:bottom w:val="single" w:sz="8" w:space="0" w:color="auto"/>
            </w:tcBorders>
            <w:vAlign w:val="center"/>
          </w:tcPr>
          <w:p w14:paraId="064331BA" w14:textId="77777777" w:rsidR="005337C9" w:rsidRPr="001F5558" w:rsidRDefault="005337C9" w:rsidP="00BA2EE8">
            <w:pPr>
              <w:spacing w:after="0" w:line="240" w:lineRule="auto"/>
              <w:rPr>
                <w:rFonts w:ascii="Arial" w:eastAsia="Times New Roman" w:hAnsi="Arial" w:cs="Arial"/>
                <w:b/>
                <w:bCs/>
                <w:sz w:val="20"/>
                <w:szCs w:val="20"/>
              </w:rPr>
            </w:pPr>
            <w:r w:rsidRPr="001F5558">
              <w:rPr>
                <w:rFonts w:ascii="Arial" w:eastAsia="Times New Roman" w:hAnsi="Arial" w:cs="Arial"/>
                <w:b/>
                <w:bCs/>
                <w:sz w:val="20"/>
                <w:szCs w:val="20"/>
              </w:rPr>
              <w:t>CKD stages</w:t>
            </w:r>
          </w:p>
          <w:p w14:paraId="76A66503" w14:textId="4DF44F06" w:rsidR="008A3F22" w:rsidRPr="001F5558" w:rsidRDefault="008A3F22" w:rsidP="00BA2EE8">
            <w:pPr>
              <w:spacing w:after="0" w:line="240" w:lineRule="auto"/>
              <w:rPr>
                <w:rFonts w:ascii="Arial" w:eastAsia="Times New Roman" w:hAnsi="Arial" w:cs="Arial"/>
                <w:b/>
                <w:bCs/>
                <w:sz w:val="20"/>
                <w:szCs w:val="20"/>
              </w:rPr>
            </w:pPr>
            <w:r w:rsidRPr="001F5558">
              <w:rPr>
                <w:rFonts w:ascii="Arial" w:eastAsia="Times New Roman" w:hAnsi="Arial" w:cs="Arial"/>
                <w:b/>
                <w:bCs/>
                <w:sz w:val="20"/>
                <w:szCs w:val="20"/>
              </w:rPr>
              <w:t>eGFR categories</w:t>
            </w:r>
          </w:p>
        </w:tc>
        <w:tc>
          <w:tcPr>
            <w:tcW w:w="2410" w:type="dxa"/>
            <w:tcBorders>
              <w:top w:val="single" w:sz="8" w:space="0" w:color="auto"/>
              <w:bottom w:val="single" w:sz="8" w:space="0" w:color="auto"/>
            </w:tcBorders>
            <w:vAlign w:val="center"/>
          </w:tcPr>
          <w:p w14:paraId="4B19CFDF" w14:textId="77777777" w:rsidR="006C3261" w:rsidRPr="001F5558" w:rsidRDefault="005337C9" w:rsidP="00BA2EE8">
            <w:pPr>
              <w:spacing w:after="0" w:line="240" w:lineRule="auto"/>
              <w:rPr>
                <w:rFonts w:ascii="Arial" w:eastAsia="Times New Roman" w:hAnsi="Arial" w:cs="Arial"/>
                <w:b/>
                <w:bCs/>
                <w:sz w:val="20"/>
                <w:szCs w:val="20"/>
              </w:rPr>
            </w:pPr>
            <w:r w:rsidRPr="001F5558">
              <w:rPr>
                <w:rFonts w:ascii="Arial" w:eastAsia="Times New Roman" w:hAnsi="Arial" w:cs="Arial"/>
                <w:b/>
                <w:bCs/>
                <w:sz w:val="20"/>
                <w:szCs w:val="20"/>
              </w:rPr>
              <w:t xml:space="preserve">eGFR </w:t>
            </w:r>
            <w:r w:rsidR="006C3261" w:rsidRPr="001F5558">
              <w:rPr>
                <w:rFonts w:ascii="Arial" w:eastAsia="Times New Roman" w:hAnsi="Arial" w:cs="Arial"/>
                <w:b/>
                <w:bCs/>
                <w:sz w:val="20"/>
                <w:szCs w:val="20"/>
              </w:rPr>
              <w:t xml:space="preserve">range </w:t>
            </w:r>
          </w:p>
          <w:p w14:paraId="687E0BDD" w14:textId="384878E7" w:rsidR="005337C9" w:rsidRPr="001F5558" w:rsidRDefault="005337C9" w:rsidP="00BA2EE8">
            <w:pPr>
              <w:spacing w:after="0" w:line="240" w:lineRule="auto"/>
              <w:rPr>
                <w:rFonts w:ascii="Arial" w:eastAsia="Times New Roman" w:hAnsi="Arial" w:cs="Arial"/>
                <w:b/>
                <w:bCs/>
                <w:sz w:val="20"/>
                <w:szCs w:val="20"/>
              </w:rPr>
            </w:pPr>
            <w:r w:rsidRPr="001F5558">
              <w:rPr>
                <w:rFonts w:ascii="Arial" w:eastAsia="Times New Roman" w:hAnsi="Arial" w:cs="Arial"/>
                <w:b/>
                <w:bCs/>
                <w:sz w:val="20"/>
                <w:szCs w:val="20"/>
              </w:rPr>
              <w:t>(ml/min/1.73 m</w:t>
            </w:r>
            <w:r w:rsidRPr="001F5558">
              <w:rPr>
                <w:rFonts w:ascii="Arial" w:eastAsia="Times New Roman" w:hAnsi="Arial" w:cs="Arial"/>
                <w:b/>
                <w:bCs/>
                <w:sz w:val="20"/>
                <w:szCs w:val="20"/>
                <w:vertAlign w:val="superscript"/>
              </w:rPr>
              <w:t>2</w:t>
            </w:r>
            <w:r w:rsidRPr="001F5558">
              <w:rPr>
                <w:rFonts w:ascii="Arial" w:eastAsia="Times New Roman" w:hAnsi="Arial" w:cs="Arial"/>
                <w:b/>
                <w:bCs/>
                <w:sz w:val="20"/>
                <w:szCs w:val="20"/>
              </w:rPr>
              <w:t>)</w:t>
            </w:r>
          </w:p>
        </w:tc>
        <w:tc>
          <w:tcPr>
            <w:tcW w:w="4819" w:type="dxa"/>
            <w:tcBorders>
              <w:top w:val="single" w:sz="8" w:space="0" w:color="auto"/>
              <w:bottom w:val="single" w:sz="8" w:space="0" w:color="auto"/>
            </w:tcBorders>
            <w:tcMar>
              <w:top w:w="75" w:type="dxa"/>
              <w:left w:w="75" w:type="dxa"/>
              <w:bottom w:w="75" w:type="dxa"/>
              <w:right w:w="75" w:type="dxa"/>
            </w:tcMar>
            <w:vAlign w:val="center"/>
            <w:hideMark/>
          </w:tcPr>
          <w:p w14:paraId="469A0D27" w14:textId="77777777" w:rsidR="005337C9" w:rsidRPr="001F5558" w:rsidRDefault="005337C9" w:rsidP="00BA2EE8">
            <w:pPr>
              <w:spacing w:after="0" w:line="240" w:lineRule="auto"/>
              <w:rPr>
                <w:rFonts w:ascii="Arial" w:eastAsia="Times New Roman" w:hAnsi="Arial" w:cs="Arial"/>
                <w:b/>
                <w:bCs/>
                <w:sz w:val="20"/>
                <w:szCs w:val="20"/>
              </w:rPr>
            </w:pPr>
            <w:r w:rsidRPr="001F5558">
              <w:rPr>
                <w:rFonts w:ascii="Arial" w:eastAsia="Times New Roman" w:hAnsi="Arial" w:cs="Arial"/>
                <w:b/>
                <w:bCs/>
                <w:sz w:val="20"/>
                <w:szCs w:val="20"/>
              </w:rPr>
              <w:t>Description</w:t>
            </w:r>
          </w:p>
        </w:tc>
      </w:tr>
      <w:tr w:rsidR="001C3EB8" w:rsidRPr="001F5558" w14:paraId="08921434" w14:textId="77777777" w:rsidTr="00F2493D">
        <w:trPr>
          <w:trHeight w:val="227"/>
        </w:trPr>
        <w:tc>
          <w:tcPr>
            <w:tcW w:w="1843" w:type="dxa"/>
            <w:tcBorders>
              <w:top w:val="single" w:sz="8" w:space="0" w:color="auto"/>
            </w:tcBorders>
            <w:vAlign w:val="center"/>
          </w:tcPr>
          <w:p w14:paraId="15E7D0DB" w14:textId="77777777" w:rsidR="005337C9" w:rsidRPr="001F5558" w:rsidRDefault="005337C9" w:rsidP="00E57E7D">
            <w:pPr>
              <w:spacing w:after="0" w:line="240" w:lineRule="auto"/>
              <w:rPr>
                <w:rFonts w:ascii="Arial" w:eastAsia="Times New Roman" w:hAnsi="Arial" w:cs="Arial"/>
                <w:sz w:val="20"/>
                <w:szCs w:val="20"/>
              </w:rPr>
            </w:pPr>
            <w:r w:rsidRPr="001F5558">
              <w:rPr>
                <w:rFonts w:ascii="Arial" w:eastAsia="Times New Roman" w:hAnsi="Arial" w:cs="Arial"/>
                <w:sz w:val="20"/>
                <w:szCs w:val="20"/>
              </w:rPr>
              <w:t>G1</w:t>
            </w:r>
          </w:p>
        </w:tc>
        <w:tc>
          <w:tcPr>
            <w:tcW w:w="2410" w:type="dxa"/>
            <w:tcBorders>
              <w:top w:val="single" w:sz="8" w:space="0" w:color="auto"/>
            </w:tcBorders>
            <w:vAlign w:val="center"/>
          </w:tcPr>
          <w:p w14:paraId="79442AD6" w14:textId="1CB846D0" w:rsidR="005337C9" w:rsidRPr="001F5558" w:rsidRDefault="005337C9" w:rsidP="00E57E7D">
            <w:pPr>
              <w:spacing w:after="0" w:line="240" w:lineRule="auto"/>
              <w:rPr>
                <w:rFonts w:ascii="Arial" w:eastAsia="Times New Roman" w:hAnsi="Arial" w:cs="Arial"/>
                <w:sz w:val="20"/>
                <w:szCs w:val="20"/>
              </w:rPr>
            </w:pPr>
            <w:r w:rsidRPr="001F5558">
              <w:rPr>
                <w:rFonts w:ascii="Arial" w:eastAsia="Times New Roman" w:hAnsi="Arial" w:cs="Arial"/>
                <w:sz w:val="20"/>
                <w:szCs w:val="20"/>
              </w:rPr>
              <w:t>&gt;</w:t>
            </w:r>
            <w:r w:rsidR="00A45682" w:rsidRPr="001F5558">
              <w:rPr>
                <w:rFonts w:ascii="Arial" w:eastAsia="Times New Roman" w:hAnsi="Arial" w:cs="Arial"/>
                <w:sz w:val="20"/>
                <w:szCs w:val="20"/>
              </w:rPr>
              <w:t xml:space="preserve"> </w:t>
            </w:r>
            <w:r w:rsidRPr="001F5558">
              <w:rPr>
                <w:rFonts w:ascii="Arial" w:eastAsia="Times New Roman" w:hAnsi="Arial" w:cs="Arial"/>
                <w:sz w:val="20"/>
                <w:szCs w:val="20"/>
              </w:rPr>
              <w:t>90</w:t>
            </w:r>
          </w:p>
        </w:tc>
        <w:tc>
          <w:tcPr>
            <w:tcW w:w="4819" w:type="dxa"/>
            <w:tcBorders>
              <w:top w:val="single" w:sz="8" w:space="0" w:color="auto"/>
            </w:tcBorders>
            <w:tcMar>
              <w:top w:w="75" w:type="dxa"/>
              <w:left w:w="75" w:type="dxa"/>
              <w:bottom w:w="75" w:type="dxa"/>
              <w:right w:w="75" w:type="dxa"/>
            </w:tcMar>
            <w:vAlign w:val="center"/>
            <w:hideMark/>
          </w:tcPr>
          <w:p w14:paraId="472C464F" w14:textId="77777777" w:rsidR="005337C9" w:rsidRPr="001F5558" w:rsidRDefault="005337C9" w:rsidP="00E57E7D">
            <w:pPr>
              <w:spacing w:after="0" w:line="240" w:lineRule="auto"/>
              <w:rPr>
                <w:rFonts w:ascii="Arial" w:eastAsia="Times New Roman" w:hAnsi="Arial" w:cs="Arial"/>
                <w:sz w:val="20"/>
                <w:szCs w:val="20"/>
              </w:rPr>
            </w:pPr>
            <w:r w:rsidRPr="001F5558">
              <w:rPr>
                <w:rFonts w:ascii="Arial" w:eastAsia="Times New Roman" w:hAnsi="Arial" w:cs="Arial"/>
                <w:sz w:val="20"/>
                <w:szCs w:val="20"/>
              </w:rPr>
              <w:t>Mild renal impairment with normal or reduced GFR</w:t>
            </w:r>
          </w:p>
        </w:tc>
      </w:tr>
      <w:tr w:rsidR="001C3EB8" w:rsidRPr="001F5558" w14:paraId="5D74AA97" w14:textId="77777777" w:rsidTr="00F2493D">
        <w:trPr>
          <w:trHeight w:val="227"/>
        </w:trPr>
        <w:tc>
          <w:tcPr>
            <w:tcW w:w="1843" w:type="dxa"/>
            <w:vAlign w:val="center"/>
          </w:tcPr>
          <w:p w14:paraId="671DB7A6" w14:textId="77777777" w:rsidR="005337C9" w:rsidRPr="001F5558" w:rsidRDefault="005337C9" w:rsidP="00E57E7D">
            <w:pPr>
              <w:spacing w:after="0" w:line="240" w:lineRule="auto"/>
              <w:rPr>
                <w:rFonts w:ascii="Arial" w:eastAsia="Times New Roman" w:hAnsi="Arial" w:cs="Arial"/>
                <w:sz w:val="20"/>
                <w:szCs w:val="20"/>
              </w:rPr>
            </w:pPr>
            <w:r w:rsidRPr="001F5558">
              <w:rPr>
                <w:rFonts w:ascii="Arial" w:eastAsia="Times New Roman" w:hAnsi="Arial" w:cs="Arial"/>
                <w:sz w:val="20"/>
                <w:szCs w:val="20"/>
              </w:rPr>
              <w:t>G2</w:t>
            </w:r>
          </w:p>
        </w:tc>
        <w:tc>
          <w:tcPr>
            <w:tcW w:w="2410" w:type="dxa"/>
            <w:vAlign w:val="center"/>
          </w:tcPr>
          <w:p w14:paraId="7A1B5450" w14:textId="6A520A42" w:rsidR="005337C9" w:rsidRPr="001F5558" w:rsidRDefault="005337C9" w:rsidP="00E57E7D">
            <w:pPr>
              <w:spacing w:after="0" w:line="240" w:lineRule="auto"/>
              <w:rPr>
                <w:rFonts w:ascii="Arial" w:eastAsia="Times New Roman" w:hAnsi="Arial" w:cs="Arial"/>
                <w:sz w:val="20"/>
                <w:szCs w:val="20"/>
              </w:rPr>
            </w:pPr>
            <w:r w:rsidRPr="001F5558">
              <w:rPr>
                <w:rFonts w:ascii="Arial" w:eastAsia="Times New Roman" w:hAnsi="Arial" w:cs="Arial"/>
                <w:sz w:val="20"/>
                <w:szCs w:val="20"/>
              </w:rPr>
              <w:t>between 60</w:t>
            </w:r>
            <w:r w:rsidR="00A45682" w:rsidRPr="001F5558">
              <w:rPr>
                <w:rFonts w:ascii="Arial" w:eastAsia="Times New Roman" w:hAnsi="Arial" w:cs="Arial"/>
                <w:sz w:val="20"/>
                <w:szCs w:val="20"/>
              </w:rPr>
              <w:t xml:space="preserve"> </w:t>
            </w:r>
            <w:r w:rsidRPr="001F5558">
              <w:rPr>
                <w:rFonts w:ascii="Arial" w:eastAsia="Times New Roman" w:hAnsi="Arial" w:cs="Arial"/>
                <w:sz w:val="20"/>
                <w:szCs w:val="20"/>
              </w:rPr>
              <w:t>–</w:t>
            </w:r>
            <w:r w:rsidR="00A45682" w:rsidRPr="001F5558">
              <w:rPr>
                <w:rFonts w:ascii="Arial" w:eastAsia="Times New Roman" w:hAnsi="Arial" w:cs="Arial"/>
                <w:sz w:val="20"/>
                <w:szCs w:val="20"/>
              </w:rPr>
              <w:t xml:space="preserve"> </w:t>
            </w:r>
            <w:r w:rsidRPr="001F5558">
              <w:rPr>
                <w:rFonts w:ascii="Arial" w:eastAsia="Times New Roman" w:hAnsi="Arial" w:cs="Arial"/>
                <w:sz w:val="20"/>
                <w:szCs w:val="20"/>
              </w:rPr>
              <w:t>89</w:t>
            </w:r>
          </w:p>
        </w:tc>
        <w:tc>
          <w:tcPr>
            <w:tcW w:w="4819" w:type="dxa"/>
            <w:tcMar>
              <w:top w:w="75" w:type="dxa"/>
              <w:left w:w="75" w:type="dxa"/>
              <w:bottom w:w="75" w:type="dxa"/>
              <w:right w:w="75" w:type="dxa"/>
            </w:tcMar>
            <w:vAlign w:val="center"/>
            <w:hideMark/>
          </w:tcPr>
          <w:p w14:paraId="057E6851" w14:textId="77777777" w:rsidR="005337C9" w:rsidRPr="001F5558" w:rsidRDefault="005337C9" w:rsidP="00E57E7D">
            <w:pPr>
              <w:spacing w:after="0" w:line="240" w:lineRule="auto"/>
              <w:rPr>
                <w:rFonts w:ascii="Arial" w:eastAsia="Times New Roman" w:hAnsi="Arial" w:cs="Arial"/>
                <w:sz w:val="20"/>
                <w:szCs w:val="20"/>
              </w:rPr>
            </w:pPr>
            <w:r w:rsidRPr="001F5558">
              <w:rPr>
                <w:rFonts w:ascii="Arial" w:eastAsia="Times New Roman" w:hAnsi="Arial" w:cs="Arial"/>
                <w:sz w:val="20"/>
                <w:szCs w:val="20"/>
              </w:rPr>
              <w:t>Kidney damage, slightly reduced GFR</w:t>
            </w:r>
          </w:p>
        </w:tc>
      </w:tr>
      <w:tr w:rsidR="001C3EB8" w:rsidRPr="001F5558" w14:paraId="5ADC37DA" w14:textId="77777777" w:rsidTr="00F2493D">
        <w:trPr>
          <w:trHeight w:val="227"/>
        </w:trPr>
        <w:tc>
          <w:tcPr>
            <w:tcW w:w="1843" w:type="dxa"/>
            <w:vAlign w:val="center"/>
          </w:tcPr>
          <w:p w14:paraId="5FC1416A" w14:textId="77777777" w:rsidR="005337C9" w:rsidRPr="001F5558" w:rsidRDefault="005337C9" w:rsidP="00E57E7D">
            <w:pPr>
              <w:spacing w:after="0" w:line="240" w:lineRule="auto"/>
              <w:rPr>
                <w:rFonts w:ascii="Arial" w:eastAsia="Times New Roman" w:hAnsi="Arial" w:cs="Arial"/>
                <w:sz w:val="20"/>
                <w:szCs w:val="20"/>
              </w:rPr>
            </w:pPr>
            <w:r w:rsidRPr="001F5558">
              <w:rPr>
                <w:rFonts w:ascii="Arial" w:eastAsia="Times New Roman" w:hAnsi="Arial" w:cs="Arial"/>
                <w:sz w:val="20"/>
                <w:szCs w:val="20"/>
              </w:rPr>
              <w:t>G3a</w:t>
            </w:r>
          </w:p>
        </w:tc>
        <w:tc>
          <w:tcPr>
            <w:tcW w:w="2410" w:type="dxa"/>
            <w:vAlign w:val="center"/>
          </w:tcPr>
          <w:p w14:paraId="13F76231" w14:textId="55AD168F" w:rsidR="005337C9" w:rsidRPr="001F5558" w:rsidRDefault="005337C9" w:rsidP="00E57E7D">
            <w:pPr>
              <w:spacing w:after="0" w:line="240" w:lineRule="auto"/>
              <w:rPr>
                <w:rFonts w:ascii="Arial" w:eastAsia="Times New Roman" w:hAnsi="Arial" w:cs="Arial"/>
                <w:sz w:val="20"/>
                <w:szCs w:val="20"/>
              </w:rPr>
            </w:pPr>
            <w:r w:rsidRPr="001F5558">
              <w:rPr>
                <w:rFonts w:ascii="Arial" w:eastAsia="Times New Roman" w:hAnsi="Arial" w:cs="Arial"/>
                <w:sz w:val="20"/>
                <w:szCs w:val="20"/>
              </w:rPr>
              <w:t>between 45</w:t>
            </w:r>
            <w:r w:rsidR="00A45682" w:rsidRPr="001F5558">
              <w:rPr>
                <w:rFonts w:ascii="Arial" w:eastAsia="Times New Roman" w:hAnsi="Arial" w:cs="Arial"/>
                <w:sz w:val="20"/>
                <w:szCs w:val="20"/>
              </w:rPr>
              <w:t xml:space="preserve"> </w:t>
            </w:r>
            <w:r w:rsidRPr="001F5558">
              <w:rPr>
                <w:rFonts w:ascii="Arial" w:eastAsia="Times New Roman" w:hAnsi="Arial" w:cs="Arial"/>
                <w:sz w:val="20"/>
                <w:szCs w:val="20"/>
              </w:rPr>
              <w:t>–</w:t>
            </w:r>
            <w:r w:rsidR="00A45682" w:rsidRPr="001F5558">
              <w:rPr>
                <w:rFonts w:ascii="Arial" w:eastAsia="Times New Roman" w:hAnsi="Arial" w:cs="Arial"/>
                <w:sz w:val="20"/>
                <w:szCs w:val="20"/>
              </w:rPr>
              <w:t xml:space="preserve"> </w:t>
            </w:r>
            <w:r w:rsidRPr="001F5558">
              <w:rPr>
                <w:rFonts w:ascii="Arial" w:eastAsia="Times New Roman" w:hAnsi="Arial" w:cs="Arial"/>
                <w:sz w:val="20"/>
                <w:szCs w:val="20"/>
              </w:rPr>
              <w:t>59</w:t>
            </w:r>
          </w:p>
        </w:tc>
        <w:tc>
          <w:tcPr>
            <w:tcW w:w="4819" w:type="dxa"/>
            <w:tcMar>
              <w:top w:w="75" w:type="dxa"/>
              <w:left w:w="75" w:type="dxa"/>
              <w:bottom w:w="75" w:type="dxa"/>
              <w:right w:w="75" w:type="dxa"/>
            </w:tcMar>
            <w:vAlign w:val="center"/>
            <w:hideMark/>
          </w:tcPr>
          <w:p w14:paraId="147EADBF" w14:textId="77777777" w:rsidR="005337C9" w:rsidRPr="001F5558" w:rsidRDefault="005337C9" w:rsidP="00E57E7D">
            <w:pPr>
              <w:spacing w:after="0" w:line="240" w:lineRule="auto"/>
              <w:rPr>
                <w:rFonts w:ascii="Arial" w:eastAsia="Times New Roman" w:hAnsi="Arial" w:cs="Arial"/>
                <w:sz w:val="20"/>
                <w:szCs w:val="20"/>
              </w:rPr>
            </w:pPr>
            <w:r w:rsidRPr="001F5558">
              <w:rPr>
                <w:rFonts w:ascii="Arial" w:eastAsia="Times New Roman" w:hAnsi="Arial" w:cs="Arial"/>
                <w:sz w:val="20"/>
                <w:szCs w:val="20"/>
              </w:rPr>
              <w:t>Mildly to moderately reduced GFR</w:t>
            </w:r>
          </w:p>
        </w:tc>
      </w:tr>
      <w:tr w:rsidR="001C3EB8" w:rsidRPr="001F5558" w14:paraId="2A60A42A" w14:textId="77777777" w:rsidTr="00F2493D">
        <w:trPr>
          <w:trHeight w:val="227"/>
        </w:trPr>
        <w:tc>
          <w:tcPr>
            <w:tcW w:w="1843" w:type="dxa"/>
            <w:vAlign w:val="center"/>
          </w:tcPr>
          <w:p w14:paraId="4D577A44" w14:textId="77777777" w:rsidR="005337C9" w:rsidRPr="001F5558" w:rsidRDefault="005337C9" w:rsidP="00E57E7D">
            <w:pPr>
              <w:spacing w:after="0" w:line="240" w:lineRule="auto"/>
              <w:rPr>
                <w:rFonts w:ascii="Arial" w:eastAsia="Times New Roman" w:hAnsi="Arial" w:cs="Arial"/>
                <w:sz w:val="20"/>
                <w:szCs w:val="20"/>
              </w:rPr>
            </w:pPr>
            <w:r w:rsidRPr="001F5558">
              <w:rPr>
                <w:rFonts w:ascii="Arial" w:eastAsia="Times New Roman" w:hAnsi="Arial" w:cs="Arial"/>
                <w:sz w:val="20"/>
                <w:szCs w:val="20"/>
              </w:rPr>
              <w:t>G3b</w:t>
            </w:r>
          </w:p>
        </w:tc>
        <w:tc>
          <w:tcPr>
            <w:tcW w:w="2410" w:type="dxa"/>
            <w:vAlign w:val="center"/>
          </w:tcPr>
          <w:p w14:paraId="2FFA54E7" w14:textId="09243BD4" w:rsidR="005337C9" w:rsidRPr="001F5558" w:rsidRDefault="005337C9" w:rsidP="00E57E7D">
            <w:pPr>
              <w:spacing w:after="0" w:line="240" w:lineRule="auto"/>
              <w:rPr>
                <w:rFonts w:ascii="Arial" w:eastAsia="Times New Roman" w:hAnsi="Arial" w:cs="Arial"/>
                <w:sz w:val="20"/>
                <w:szCs w:val="20"/>
              </w:rPr>
            </w:pPr>
            <w:r w:rsidRPr="001F5558">
              <w:rPr>
                <w:rFonts w:ascii="Arial" w:eastAsia="Times New Roman" w:hAnsi="Arial" w:cs="Arial"/>
                <w:sz w:val="20"/>
                <w:szCs w:val="20"/>
              </w:rPr>
              <w:t>between 30</w:t>
            </w:r>
            <w:r w:rsidR="00A45682" w:rsidRPr="001F5558">
              <w:rPr>
                <w:rFonts w:ascii="Arial" w:eastAsia="Times New Roman" w:hAnsi="Arial" w:cs="Arial"/>
                <w:sz w:val="20"/>
                <w:szCs w:val="20"/>
              </w:rPr>
              <w:t xml:space="preserve"> </w:t>
            </w:r>
            <w:r w:rsidRPr="001F5558">
              <w:rPr>
                <w:rFonts w:ascii="Arial" w:eastAsia="Times New Roman" w:hAnsi="Arial" w:cs="Arial"/>
                <w:sz w:val="20"/>
                <w:szCs w:val="20"/>
              </w:rPr>
              <w:t>–</w:t>
            </w:r>
            <w:r w:rsidR="00A45682" w:rsidRPr="001F5558">
              <w:rPr>
                <w:rFonts w:ascii="Arial" w:eastAsia="Times New Roman" w:hAnsi="Arial" w:cs="Arial"/>
                <w:sz w:val="20"/>
                <w:szCs w:val="20"/>
              </w:rPr>
              <w:t xml:space="preserve"> </w:t>
            </w:r>
            <w:r w:rsidRPr="001F5558">
              <w:rPr>
                <w:rFonts w:ascii="Arial" w:eastAsia="Times New Roman" w:hAnsi="Arial" w:cs="Arial"/>
                <w:sz w:val="20"/>
                <w:szCs w:val="20"/>
              </w:rPr>
              <w:t>44</w:t>
            </w:r>
          </w:p>
        </w:tc>
        <w:tc>
          <w:tcPr>
            <w:tcW w:w="4819" w:type="dxa"/>
            <w:tcMar>
              <w:top w:w="75" w:type="dxa"/>
              <w:left w:w="75" w:type="dxa"/>
              <w:bottom w:w="75" w:type="dxa"/>
              <w:right w:w="75" w:type="dxa"/>
            </w:tcMar>
            <w:vAlign w:val="center"/>
            <w:hideMark/>
          </w:tcPr>
          <w:p w14:paraId="3197DF5C" w14:textId="77777777" w:rsidR="005337C9" w:rsidRPr="001F5558" w:rsidRDefault="005337C9" w:rsidP="00E57E7D">
            <w:pPr>
              <w:spacing w:after="0" w:line="240" w:lineRule="auto"/>
              <w:rPr>
                <w:rFonts w:ascii="Arial" w:eastAsia="Times New Roman" w:hAnsi="Arial" w:cs="Arial"/>
                <w:sz w:val="20"/>
                <w:szCs w:val="20"/>
              </w:rPr>
            </w:pPr>
            <w:r w:rsidRPr="001F5558">
              <w:rPr>
                <w:rFonts w:ascii="Arial" w:eastAsia="Times New Roman" w:hAnsi="Arial" w:cs="Arial"/>
                <w:sz w:val="20"/>
                <w:szCs w:val="20"/>
              </w:rPr>
              <w:t>Moderately to severely reduced GFR</w:t>
            </w:r>
          </w:p>
        </w:tc>
      </w:tr>
      <w:tr w:rsidR="001C3EB8" w:rsidRPr="001F5558" w14:paraId="14697211" w14:textId="77777777" w:rsidTr="00F2493D">
        <w:trPr>
          <w:trHeight w:val="227"/>
        </w:trPr>
        <w:tc>
          <w:tcPr>
            <w:tcW w:w="1843" w:type="dxa"/>
            <w:vAlign w:val="center"/>
          </w:tcPr>
          <w:p w14:paraId="5886ADA2" w14:textId="77777777" w:rsidR="005337C9" w:rsidRPr="001F5558" w:rsidRDefault="005337C9" w:rsidP="00E57E7D">
            <w:pPr>
              <w:spacing w:after="0" w:line="240" w:lineRule="auto"/>
              <w:rPr>
                <w:rFonts w:ascii="Arial" w:eastAsia="Times New Roman" w:hAnsi="Arial" w:cs="Arial"/>
                <w:sz w:val="20"/>
                <w:szCs w:val="20"/>
              </w:rPr>
            </w:pPr>
            <w:r w:rsidRPr="001F5558">
              <w:rPr>
                <w:rFonts w:ascii="Arial" w:eastAsia="Times New Roman" w:hAnsi="Arial" w:cs="Arial"/>
                <w:sz w:val="20"/>
                <w:szCs w:val="20"/>
              </w:rPr>
              <w:t>G4</w:t>
            </w:r>
          </w:p>
        </w:tc>
        <w:tc>
          <w:tcPr>
            <w:tcW w:w="2410" w:type="dxa"/>
            <w:vAlign w:val="center"/>
          </w:tcPr>
          <w:p w14:paraId="41BFF98A" w14:textId="07888DE5" w:rsidR="005337C9" w:rsidRPr="001F5558" w:rsidRDefault="005337C9" w:rsidP="00E57E7D">
            <w:pPr>
              <w:spacing w:after="0" w:line="240" w:lineRule="auto"/>
              <w:rPr>
                <w:rFonts w:ascii="Arial" w:eastAsia="Times New Roman" w:hAnsi="Arial" w:cs="Arial"/>
                <w:sz w:val="20"/>
                <w:szCs w:val="20"/>
              </w:rPr>
            </w:pPr>
            <w:r w:rsidRPr="001F5558">
              <w:rPr>
                <w:rFonts w:ascii="Arial" w:eastAsia="Times New Roman" w:hAnsi="Arial" w:cs="Arial"/>
                <w:sz w:val="20"/>
                <w:szCs w:val="20"/>
              </w:rPr>
              <w:t>between 15</w:t>
            </w:r>
            <w:r w:rsidR="00A45682" w:rsidRPr="001F5558">
              <w:rPr>
                <w:rFonts w:ascii="Arial" w:eastAsia="Times New Roman" w:hAnsi="Arial" w:cs="Arial"/>
                <w:sz w:val="20"/>
                <w:szCs w:val="20"/>
              </w:rPr>
              <w:t xml:space="preserve"> </w:t>
            </w:r>
            <w:r w:rsidRPr="001F5558">
              <w:rPr>
                <w:rFonts w:ascii="Arial" w:eastAsia="Times New Roman" w:hAnsi="Arial" w:cs="Arial"/>
                <w:sz w:val="20"/>
                <w:szCs w:val="20"/>
              </w:rPr>
              <w:t>–</w:t>
            </w:r>
            <w:r w:rsidR="00A45682" w:rsidRPr="001F5558">
              <w:rPr>
                <w:rFonts w:ascii="Arial" w:eastAsia="Times New Roman" w:hAnsi="Arial" w:cs="Arial"/>
                <w:sz w:val="20"/>
                <w:szCs w:val="20"/>
              </w:rPr>
              <w:t xml:space="preserve"> </w:t>
            </w:r>
            <w:r w:rsidRPr="001F5558">
              <w:rPr>
                <w:rFonts w:ascii="Arial" w:eastAsia="Times New Roman" w:hAnsi="Arial" w:cs="Arial"/>
                <w:sz w:val="20"/>
                <w:szCs w:val="20"/>
              </w:rPr>
              <w:t>29</w:t>
            </w:r>
          </w:p>
        </w:tc>
        <w:tc>
          <w:tcPr>
            <w:tcW w:w="4819" w:type="dxa"/>
            <w:tcMar>
              <w:top w:w="75" w:type="dxa"/>
              <w:left w:w="75" w:type="dxa"/>
              <w:bottom w:w="75" w:type="dxa"/>
              <w:right w:w="75" w:type="dxa"/>
            </w:tcMar>
            <w:vAlign w:val="center"/>
            <w:hideMark/>
          </w:tcPr>
          <w:p w14:paraId="7CD50D3A" w14:textId="77777777" w:rsidR="005337C9" w:rsidRPr="001F5558" w:rsidRDefault="005337C9" w:rsidP="00E57E7D">
            <w:pPr>
              <w:spacing w:after="0" w:line="240" w:lineRule="auto"/>
              <w:rPr>
                <w:rFonts w:ascii="Arial" w:eastAsia="Times New Roman" w:hAnsi="Arial" w:cs="Arial"/>
                <w:sz w:val="20"/>
                <w:szCs w:val="20"/>
              </w:rPr>
            </w:pPr>
            <w:r w:rsidRPr="001F5558">
              <w:rPr>
                <w:rFonts w:ascii="Arial" w:eastAsia="Times New Roman" w:hAnsi="Arial" w:cs="Arial"/>
                <w:sz w:val="20"/>
                <w:szCs w:val="20"/>
              </w:rPr>
              <w:t>Severely decreased GFR</w:t>
            </w:r>
          </w:p>
        </w:tc>
      </w:tr>
      <w:tr w:rsidR="001C3EB8" w:rsidRPr="001F5558" w14:paraId="648A0A6C" w14:textId="77777777" w:rsidTr="00F2493D">
        <w:trPr>
          <w:trHeight w:val="227"/>
        </w:trPr>
        <w:tc>
          <w:tcPr>
            <w:tcW w:w="1843" w:type="dxa"/>
            <w:vAlign w:val="center"/>
          </w:tcPr>
          <w:p w14:paraId="2C49C3BA" w14:textId="77777777" w:rsidR="005337C9" w:rsidRPr="001F5558" w:rsidRDefault="005337C9" w:rsidP="00E57E7D">
            <w:pPr>
              <w:spacing w:after="0" w:line="240" w:lineRule="auto"/>
              <w:rPr>
                <w:rFonts w:ascii="Arial" w:eastAsia="Times New Roman" w:hAnsi="Arial" w:cs="Arial"/>
                <w:sz w:val="20"/>
                <w:szCs w:val="20"/>
              </w:rPr>
            </w:pPr>
            <w:r w:rsidRPr="001F5558">
              <w:rPr>
                <w:rFonts w:ascii="Arial" w:eastAsia="Times New Roman" w:hAnsi="Arial" w:cs="Arial"/>
                <w:sz w:val="20"/>
                <w:szCs w:val="20"/>
              </w:rPr>
              <w:t>G5</w:t>
            </w:r>
          </w:p>
        </w:tc>
        <w:tc>
          <w:tcPr>
            <w:tcW w:w="2410" w:type="dxa"/>
            <w:vAlign w:val="center"/>
          </w:tcPr>
          <w:p w14:paraId="24E69056" w14:textId="00FBB202" w:rsidR="005337C9" w:rsidRPr="001F5558" w:rsidRDefault="005337C9" w:rsidP="00E57E7D">
            <w:pPr>
              <w:spacing w:after="0" w:line="240" w:lineRule="auto"/>
              <w:rPr>
                <w:rFonts w:ascii="Arial" w:eastAsia="Times New Roman" w:hAnsi="Arial" w:cs="Arial"/>
                <w:sz w:val="20"/>
                <w:szCs w:val="20"/>
              </w:rPr>
            </w:pPr>
            <w:r w:rsidRPr="001F5558">
              <w:rPr>
                <w:rFonts w:ascii="Arial" w:eastAsia="Times New Roman" w:hAnsi="Arial" w:cs="Arial"/>
                <w:sz w:val="20"/>
                <w:szCs w:val="20"/>
              </w:rPr>
              <w:t>&lt;</w:t>
            </w:r>
            <w:r w:rsidR="00A45682" w:rsidRPr="001F5558">
              <w:rPr>
                <w:rFonts w:ascii="Arial" w:eastAsia="Times New Roman" w:hAnsi="Arial" w:cs="Arial"/>
                <w:sz w:val="20"/>
                <w:szCs w:val="20"/>
              </w:rPr>
              <w:t xml:space="preserve"> </w:t>
            </w:r>
            <w:r w:rsidRPr="001F5558">
              <w:rPr>
                <w:rFonts w:ascii="Arial" w:eastAsia="Times New Roman" w:hAnsi="Arial" w:cs="Arial"/>
                <w:sz w:val="20"/>
                <w:szCs w:val="20"/>
              </w:rPr>
              <w:t>15 (or renal replacement therapies)</w:t>
            </w:r>
          </w:p>
        </w:tc>
        <w:tc>
          <w:tcPr>
            <w:tcW w:w="4819" w:type="dxa"/>
            <w:tcMar>
              <w:top w:w="75" w:type="dxa"/>
              <w:left w:w="75" w:type="dxa"/>
              <w:bottom w:w="75" w:type="dxa"/>
              <w:right w:w="75" w:type="dxa"/>
            </w:tcMar>
            <w:vAlign w:val="center"/>
            <w:hideMark/>
          </w:tcPr>
          <w:p w14:paraId="3C3BFDF2" w14:textId="77777777" w:rsidR="005337C9" w:rsidRPr="001F5558" w:rsidRDefault="005337C9" w:rsidP="00E57E7D">
            <w:pPr>
              <w:spacing w:after="0" w:line="240" w:lineRule="auto"/>
              <w:rPr>
                <w:rFonts w:ascii="Arial" w:eastAsia="Times New Roman" w:hAnsi="Arial" w:cs="Arial"/>
                <w:sz w:val="20"/>
                <w:szCs w:val="20"/>
              </w:rPr>
            </w:pPr>
            <w:r w:rsidRPr="001F5558">
              <w:rPr>
                <w:rFonts w:ascii="Arial" w:eastAsia="Times New Roman" w:hAnsi="Arial" w:cs="Arial"/>
                <w:sz w:val="20"/>
                <w:szCs w:val="20"/>
              </w:rPr>
              <w:t>Renal failure</w:t>
            </w:r>
          </w:p>
        </w:tc>
      </w:tr>
    </w:tbl>
    <w:p w14:paraId="3DC61431" w14:textId="77777777" w:rsidR="00053D04" w:rsidRPr="001F5558" w:rsidRDefault="00053D04" w:rsidP="008E18B6">
      <w:pPr>
        <w:spacing w:after="0" w:line="240" w:lineRule="auto"/>
        <w:jc w:val="both"/>
        <w:rPr>
          <w:rFonts w:ascii="Arial" w:hAnsi="Arial" w:cs="Arial"/>
          <w:sz w:val="20"/>
          <w:szCs w:val="20"/>
        </w:rPr>
      </w:pPr>
    </w:p>
    <w:p w14:paraId="42F7410E" w14:textId="412F0DDA" w:rsidR="008E18B6" w:rsidRPr="001F5558" w:rsidRDefault="008E18B6" w:rsidP="008E18B6">
      <w:pPr>
        <w:spacing w:after="0" w:line="240" w:lineRule="auto"/>
        <w:jc w:val="both"/>
        <w:rPr>
          <w:rFonts w:ascii="Arial" w:eastAsia="Times New Roman" w:hAnsi="Arial" w:cs="Arial"/>
          <w:sz w:val="20"/>
          <w:szCs w:val="20"/>
        </w:rPr>
      </w:pPr>
      <w:r w:rsidRPr="001F5558">
        <w:rPr>
          <w:rFonts w:ascii="Arial" w:eastAsia="Times New Roman" w:hAnsi="Arial" w:cs="Arial"/>
          <w:sz w:val="20"/>
          <w:szCs w:val="20"/>
        </w:rPr>
        <w:t xml:space="preserve">Early detection of CKD is important so that treatment can be initiated to prevent kidney disease progression and the development of complications, and reduce the risk of CVD and </w:t>
      </w:r>
      <w:r w:rsidRPr="001F5558">
        <w:rPr>
          <w:rFonts w:ascii="Arial" w:hAnsi="Arial" w:cs="Arial"/>
          <w:sz w:val="20"/>
          <w:szCs w:val="20"/>
        </w:rPr>
        <w:t>minimize the risk of adverse outcomes </w:t>
      </w:r>
      <w:r w:rsidRPr="001F5558">
        <w:rPr>
          <w:rFonts w:ascii="Arial" w:eastAsia="Times New Roman" w:hAnsi="Arial" w:cs="Arial"/>
          <w:sz w:val="20"/>
          <w:szCs w:val="20"/>
        </w:rPr>
        <w:t xml:space="preserve">(Forbes et al., 2020; </w:t>
      </w:r>
      <w:r w:rsidRPr="001F5558">
        <w:rPr>
          <w:rFonts w:ascii="Arial" w:hAnsi="Arial" w:cs="Arial"/>
          <w:sz w:val="20"/>
          <w:szCs w:val="20"/>
        </w:rPr>
        <w:t>Pethő</w:t>
      </w:r>
      <w:r w:rsidRPr="001F5558">
        <w:rPr>
          <w:rFonts w:ascii="Arial" w:eastAsia="Times New Roman" w:hAnsi="Arial" w:cs="Arial"/>
          <w:sz w:val="20"/>
          <w:szCs w:val="20"/>
        </w:rPr>
        <w:t xml:space="preserve"> et al., 2024). Owing to progressive decline in renal function and the irreversible nature of renal damage, there is no cure for CKD; on the other hand, early initiation of appropriate pharmacotherapy can alleviate the symptoms and stop it from getting worse. Optimal treatment of CKD includes reducing the patient's risk of CKD progression, treatment for albuminuria, avoidance of potential nephrotoxins, such as NSAIDs, adjustments to drug dosing, and reducing and/or preventing risk of associated complications, such as acute renal injury, cardiovascular diseases, metabolic acidosis, anemia, hyperkalemia, hyperphosphatemia, vitamin D deficiency, secondary hyperparathyroidism, and mineral and bone disorders (Goodbred &amp; Langan, 2023; </w:t>
      </w:r>
      <w:r w:rsidRPr="001F5558">
        <w:rPr>
          <w:rFonts w:ascii="Arial" w:hAnsi="Arial" w:cs="Arial"/>
          <w:sz w:val="20"/>
          <w:szCs w:val="20"/>
        </w:rPr>
        <w:t>Pethő</w:t>
      </w:r>
      <w:r w:rsidRPr="001F5558">
        <w:rPr>
          <w:rFonts w:ascii="Arial" w:eastAsia="Times New Roman" w:hAnsi="Arial" w:cs="Arial"/>
          <w:sz w:val="20"/>
          <w:szCs w:val="20"/>
        </w:rPr>
        <w:t xml:space="preserve">  et al., 2024; Talukdar et al., 2025). The goal of CKD management is to prevent disease progression, minimize complications, and promote quality of life (Chen et al., 2019; Goodbred, 2023; </w:t>
      </w:r>
      <w:r w:rsidRPr="001F5558">
        <w:rPr>
          <w:rFonts w:ascii="Arial" w:hAnsi="Arial" w:cs="Arial"/>
          <w:sz w:val="20"/>
          <w:szCs w:val="20"/>
        </w:rPr>
        <w:t>Pethő</w:t>
      </w:r>
      <w:r w:rsidRPr="001F5558">
        <w:rPr>
          <w:rFonts w:ascii="Arial" w:eastAsia="Times New Roman" w:hAnsi="Arial" w:cs="Arial"/>
          <w:sz w:val="20"/>
          <w:szCs w:val="20"/>
        </w:rPr>
        <w:t xml:space="preserve"> et al., 2024; Talukdar et al., 2025; Herrington et al., 2026). In chronic renal failure,</w:t>
      </w:r>
      <w:r w:rsidRPr="001F5558">
        <w:rPr>
          <w:rFonts w:ascii="Arial" w:eastAsia="Times New Roman" w:hAnsi="Arial" w:cs="Arial"/>
          <w:sz w:val="20"/>
          <w:szCs w:val="20"/>
          <w:lang w:val="en"/>
        </w:rPr>
        <w:t xml:space="preserve"> particularly in ESRD, hemodialysis or peritoneal dialysis is the treatment option and kidney transplantation if dialysis is no longer feasible. </w:t>
      </w:r>
      <w:r w:rsidRPr="001F5558">
        <w:rPr>
          <w:rFonts w:ascii="Arial" w:eastAsia="Times New Roman" w:hAnsi="Arial" w:cs="Arial"/>
          <w:sz w:val="20"/>
          <w:szCs w:val="20"/>
        </w:rPr>
        <w:t xml:space="preserve">In both </w:t>
      </w:r>
      <w:r w:rsidRPr="001F5558">
        <w:rPr>
          <w:rFonts w:ascii="Arial" w:eastAsia="Times New Roman" w:hAnsi="Arial" w:cs="Arial"/>
          <w:sz w:val="20"/>
          <w:szCs w:val="20"/>
          <w:lang w:val="en"/>
        </w:rPr>
        <w:t>dialysis procedures</w:t>
      </w:r>
      <w:r w:rsidRPr="001F5558">
        <w:rPr>
          <w:rFonts w:ascii="Arial" w:eastAsia="Times New Roman" w:hAnsi="Arial" w:cs="Arial"/>
          <w:sz w:val="20"/>
          <w:szCs w:val="20"/>
        </w:rPr>
        <w:t>, toxic metabolites are transferred from the patient's blood across a semipermeable membrane to a dialysis solution, and ESRD leads to renal replacement therapy (</w:t>
      </w:r>
      <w:proofErr w:type="spellStart"/>
      <w:r w:rsidRPr="001F5558">
        <w:rPr>
          <w:rFonts w:ascii="Arial" w:eastAsia="Times New Roman" w:hAnsi="Arial" w:cs="Arial"/>
          <w:sz w:val="20"/>
          <w:szCs w:val="20"/>
        </w:rPr>
        <w:t>Chuasuwan</w:t>
      </w:r>
      <w:proofErr w:type="spellEnd"/>
      <w:r w:rsidRPr="001F5558">
        <w:rPr>
          <w:rFonts w:ascii="Arial" w:eastAsia="Times New Roman" w:hAnsi="Arial" w:cs="Arial"/>
          <w:sz w:val="20"/>
          <w:szCs w:val="20"/>
        </w:rPr>
        <w:t xml:space="preserve"> et al., 2020; Talukdar et al., 2025). </w:t>
      </w:r>
    </w:p>
    <w:p w14:paraId="2135795D" w14:textId="77777777" w:rsidR="008E18B6" w:rsidRPr="001F5558" w:rsidRDefault="008E18B6" w:rsidP="008E18B6">
      <w:pPr>
        <w:spacing w:after="0" w:line="240" w:lineRule="auto"/>
        <w:jc w:val="both"/>
        <w:rPr>
          <w:rFonts w:ascii="Arial" w:hAnsi="Arial" w:cs="Arial"/>
          <w:sz w:val="20"/>
          <w:szCs w:val="20"/>
        </w:rPr>
      </w:pPr>
    </w:p>
    <w:p w14:paraId="0DF621E0" w14:textId="72E77300" w:rsidR="00634A59" w:rsidRPr="001F5558" w:rsidRDefault="00634A59" w:rsidP="008E18B6">
      <w:pPr>
        <w:spacing w:after="0" w:line="240" w:lineRule="auto"/>
        <w:jc w:val="both"/>
        <w:rPr>
          <w:rFonts w:ascii="Arial" w:hAnsi="Arial" w:cs="Arial"/>
          <w:b/>
          <w:bCs/>
          <w:sz w:val="20"/>
          <w:szCs w:val="20"/>
        </w:rPr>
      </w:pPr>
      <w:r w:rsidRPr="001F5558">
        <w:rPr>
          <w:rFonts w:ascii="Arial" w:hAnsi="Arial" w:cs="Arial"/>
          <w:b/>
          <w:bCs/>
          <w:sz w:val="20"/>
          <w:szCs w:val="20"/>
        </w:rPr>
        <w:t>Table 2.</w:t>
      </w:r>
      <w:r w:rsidRPr="001F5558">
        <w:rPr>
          <w:rFonts w:ascii="Arial" w:hAnsi="Arial" w:cs="Arial"/>
          <w:sz w:val="20"/>
          <w:szCs w:val="20"/>
        </w:rPr>
        <w:t> </w:t>
      </w:r>
      <w:r w:rsidR="00042239" w:rsidRPr="001F5558">
        <w:rPr>
          <w:rFonts w:ascii="Arial" w:hAnsi="Arial" w:cs="Arial"/>
          <w:b/>
          <w:bCs/>
          <w:sz w:val="20"/>
          <w:szCs w:val="20"/>
        </w:rPr>
        <w:t>KDIGO s</w:t>
      </w:r>
      <w:r w:rsidRPr="001F5558">
        <w:rPr>
          <w:rFonts w:ascii="Arial" w:hAnsi="Arial" w:cs="Arial"/>
          <w:b/>
          <w:bCs/>
          <w:sz w:val="20"/>
          <w:szCs w:val="20"/>
        </w:rPr>
        <w:t>tages of proteinuria</w:t>
      </w:r>
      <w:r w:rsidR="0065659A" w:rsidRPr="001F5558">
        <w:rPr>
          <w:rFonts w:ascii="Arial" w:hAnsi="Arial" w:cs="Arial"/>
          <w:b/>
          <w:bCs/>
          <w:sz w:val="20"/>
          <w:szCs w:val="20"/>
        </w:rPr>
        <w:t xml:space="preserve"> (</w:t>
      </w:r>
      <w:r w:rsidRPr="001F5558">
        <w:rPr>
          <w:rFonts w:ascii="Arial" w:hAnsi="Arial" w:cs="Arial"/>
          <w:b/>
          <w:bCs/>
          <w:sz w:val="20"/>
          <w:szCs w:val="20"/>
        </w:rPr>
        <w:t xml:space="preserve">KDIGO 2024; </w:t>
      </w:r>
      <w:r w:rsidR="00283304" w:rsidRPr="001F5558">
        <w:rPr>
          <w:rFonts w:ascii="Arial" w:hAnsi="Arial" w:cs="Arial"/>
          <w:sz w:val="20"/>
          <w:szCs w:val="20"/>
        </w:rPr>
        <w:t>Pethő</w:t>
      </w:r>
      <w:r w:rsidR="00283304" w:rsidRPr="001F5558">
        <w:rPr>
          <w:rFonts w:ascii="Arial" w:eastAsia="Times New Roman" w:hAnsi="Arial" w:cs="Arial"/>
          <w:b/>
          <w:sz w:val="20"/>
          <w:szCs w:val="20"/>
        </w:rPr>
        <w:t xml:space="preserve"> </w:t>
      </w:r>
      <w:r w:rsidRPr="001F5558">
        <w:rPr>
          <w:rFonts w:ascii="Arial" w:hAnsi="Arial" w:cs="Arial"/>
          <w:b/>
          <w:bCs/>
          <w:sz w:val="20"/>
          <w:szCs w:val="20"/>
        </w:rPr>
        <w:t>et al., 2024</w:t>
      </w:r>
      <w:r w:rsidR="0065659A" w:rsidRPr="001F5558">
        <w:rPr>
          <w:rFonts w:ascii="Arial" w:hAnsi="Arial" w:cs="Arial"/>
          <w:b/>
          <w:bCs/>
          <w:sz w:val="20"/>
          <w:szCs w:val="20"/>
        </w:rPr>
        <w:t>)</w:t>
      </w:r>
    </w:p>
    <w:p w14:paraId="703079C4" w14:textId="77777777" w:rsidR="008E18B6" w:rsidRPr="001F5558" w:rsidRDefault="008E18B6" w:rsidP="008E18B6">
      <w:pPr>
        <w:spacing w:after="0" w:line="240" w:lineRule="auto"/>
        <w:jc w:val="both"/>
        <w:rPr>
          <w:rFonts w:ascii="Arial" w:hAnsi="Arial" w:cs="Arial"/>
          <w:b/>
          <w:bCs/>
          <w:sz w:val="20"/>
          <w:szCs w:val="20"/>
        </w:rPr>
      </w:pPr>
    </w:p>
    <w:tbl>
      <w:tblPr>
        <w:tblW w:w="5000" w:type="pct"/>
        <w:tblCellSpacing w:w="0" w:type="dxa"/>
        <w:shd w:val="clear" w:color="auto" w:fill="FFFFFF" w:themeFill="background1"/>
        <w:tblCellMar>
          <w:top w:w="28" w:type="dxa"/>
          <w:left w:w="28" w:type="dxa"/>
          <w:bottom w:w="28" w:type="dxa"/>
          <w:right w:w="28" w:type="dxa"/>
        </w:tblCellMar>
        <w:tblLook w:val="04A0" w:firstRow="1" w:lastRow="0" w:firstColumn="1" w:lastColumn="0" w:noHBand="0" w:noVBand="1"/>
      </w:tblPr>
      <w:tblGrid>
        <w:gridCol w:w="1618"/>
        <w:gridCol w:w="1616"/>
        <w:gridCol w:w="1469"/>
        <w:gridCol w:w="1324"/>
        <w:gridCol w:w="1048"/>
        <w:gridCol w:w="2331"/>
      </w:tblGrid>
      <w:tr w:rsidR="00F15DD0" w:rsidRPr="001F5558" w14:paraId="1D3C60F9" w14:textId="77777777" w:rsidTr="008A58A9">
        <w:trPr>
          <w:trHeight w:val="340"/>
          <w:tblHeader/>
          <w:tblCellSpacing w:w="0" w:type="dxa"/>
        </w:trPr>
        <w:tc>
          <w:tcPr>
            <w:tcW w:w="860" w:type="pct"/>
            <w:vMerge w:val="restart"/>
            <w:tcBorders>
              <w:top w:val="single" w:sz="12" w:space="0" w:color="auto"/>
            </w:tcBorders>
            <w:shd w:val="clear" w:color="auto" w:fill="FFFFFF" w:themeFill="background1"/>
            <w:vAlign w:val="center"/>
            <w:hideMark/>
          </w:tcPr>
          <w:p w14:paraId="33E4979D" w14:textId="77777777" w:rsidR="008A58A9" w:rsidRPr="001F5558" w:rsidRDefault="008A58A9" w:rsidP="008A58A9">
            <w:pPr>
              <w:spacing w:after="0" w:line="240" w:lineRule="auto"/>
              <w:rPr>
                <w:rFonts w:ascii="Arial" w:eastAsia="Times New Roman" w:hAnsi="Arial" w:cs="Arial"/>
                <w:b/>
                <w:bCs/>
                <w:sz w:val="20"/>
                <w:szCs w:val="20"/>
              </w:rPr>
            </w:pPr>
            <w:r w:rsidRPr="001F5558">
              <w:rPr>
                <w:rFonts w:ascii="Arial" w:eastAsia="Times New Roman" w:hAnsi="Arial" w:cs="Arial"/>
                <w:b/>
                <w:bCs/>
                <w:sz w:val="20"/>
                <w:szCs w:val="20"/>
              </w:rPr>
              <w:t xml:space="preserve">Persistent </w:t>
            </w:r>
          </w:p>
          <w:p w14:paraId="1F65BCE9" w14:textId="6009CCA4" w:rsidR="00F15DD0" w:rsidRPr="001F5558" w:rsidRDefault="0090269B" w:rsidP="008A58A9">
            <w:pPr>
              <w:spacing w:after="0" w:line="240" w:lineRule="auto"/>
              <w:rPr>
                <w:rFonts w:ascii="Arial" w:eastAsia="Times New Roman" w:hAnsi="Arial" w:cs="Arial"/>
                <w:b/>
                <w:bCs/>
                <w:sz w:val="20"/>
                <w:szCs w:val="20"/>
              </w:rPr>
            </w:pPr>
            <w:r w:rsidRPr="001F5558">
              <w:rPr>
                <w:rFonts w:ascii="Arial" w:eastAsia="Times New Roman" w:hAnsi="Arial" w:cs="Arial"/>
                <w:b/>
                <w:bCs/>
                <w:sz w:val="20"/>
                <w:szCs w:val="20"/>
              </w:rPr>
              <w:t>a</w:t>
            </w:r>
            <w:r w:rsidR="008A58A9" w:rsidRPr="001F5558">
              <w:rPr>
                <w:rFonts w:ascii="Arial" w:eastAsia="Times New Roman" w:hAnsi="Arial" w:cs="Arial"/>
                <w:b/>
                <w:bCs/>
                <w:sz w:val="20"/>
                <w:szCs w:val="20"/>
              </w:rPr>
              <w:t xml:space="preserve">lbuminuria </w:t>
            </w:r>
            <w:r w:rsidRPr="001F5558">
              <w:rPr>
                <w:rFonts w:ascii="Arial" w:eastAsia="Times New Roman" w:hAnsi="Arial" w:cs="Arial"/>
                <w:b/>
                <w:bCs/>
                <w:sz w:val="20"/>
                <w:szCs w:val="20"/>
              </w:rPr>
              <w:t>c</w:t>
            </w:r>
            <w:r w:rsidR="00F15DD0" w:rsidRPr="001F5558">
              <w:rPr>
                <w:rFonts w:ascii="Arial" w:eastAsia="Times New Roman" w:hAnsi="Arial" w:cs="Arial"/>
                <w:b/>
                <w:bCs/>
                <w:sz w:val="20"/>
                <w:szCs w:val="20"/>
              </w:rPr>
              <w:t>ategor</w:t>
            </w:r>
            <w:r w:rsidR="008A58A9" w:rsidRPr="001F5558">
              <w:rPr>
                <w:rFonts w:ascii="Arial" w:eastAsia="Times New Roman" w:hAnsi="Arial" w:cs="Arial"/>
                <w:b/>
                <w:bCs/>
                <w:sz w:val="20"/>
                <w:szCs w:val="20"/>
              </w:rPr>
              <w:t>ies</w:t>
            </w:r>
          </w:p>
        </w:tc>
        <w:tc>
          <w:tcPr>
            <w:tcW w:w="1640" w:type="pct"/>
            <w:gridSpan w:val="2"/>
            <w:tcBorders>
              <w:top w:val="single" w:sz="12" w:space="0" w:color="auto"/>
              <w:bottom w:val="single" w:sz="12" w:space="0" w:color="auto"/>
            </w:tcBorders>
            <w:shd w:val="clear" w:color="auto" w:fill="FFFFFF" w:themeFill="background1"/>
            <w:vAlign w:val="center"/>
            <w:hideMark/>
          </w:tcPr>
          <w:p w14:paraId="1D0CF403" w14:textId="5A4A576C" w:rsidR="00F15DD0" w:rsidRPr="001F5558" w:rsidRDefault="00F15DD0" w:rsidP="008A58A9">
            <w:pPr>
              <w:spacing w:after="0" w:line="240" w:lineRule="auto"/>
              <w:rPr>
                <w:rFonts w:ascii="Arial" w:eastAsia="Times New Roman" w:hAnsi="Arial" w:cs="Arial"/>
                <w:b/>
                <w:bCs/>
                <w:sz w:val="20"/>
                <w:szCs w:val="20"/>
              </w:rPr>
            </w:pPr>
            <w:r w:rsidRPr="001F5558">
              <w:rPr>
                <w:rFonts w:ascii="Arial" w:eastAsia="Times New Roman" w:hAnsi="Arial" w:cs="Arial"/>
                <w:b/>
                <w:bCs/>
                <w:sz w:val="20"/>
                <w:szCs w:val="20"/>
              </w:rPr>
              <w:t>Proteinuria (mg/day)</w:t>
            </w:r>
          </w:p>
        </w:tc>
        <w:tc>
          <w:tcPr>
            <w:tcW w:w="1261" w:type="pct"/>
            <w:gridSpan w:val="2"/>
            <w:tcBorders>
              <w:top w:val="single" w:sz="12" w:space="0" w:color="auto"/>
              <w:bottom w:val="single" w:sz="12" w:space="0" w:color="auto"/>
            </w:tcBorders>
            <w:shd w:val="clear" w:color="auto" w:fill="FFFFFF" w:themeFill="background1"/>
            <w:vAlign w:val="center"/>
            <w:hideMark/>
          </w:tcPr>
          <w:p w14:paraId="14F9E7DE" w14:textId="1B1B06D2" w:rsidR="00F15DD0" w:rsidRPr="001F5558" w:rsidRDefault="00F15DD0" w:rsidP="008A58A9">
            <w:pPr>
              <w:spacing w:after="0" w:line="240" w:lineRule="auto"/>
              <w:rPr>
                <w:rFonts w:ascii="Arial" w:eastAsia="Times New Roman" w:hAnsi="Arial" w:cs="Arial"/>
                <w:b/>
                <w:bCs/>
                <w:sz w:val="20"/>
                <w:szCs w:val="20"/>
              </w:rPr>
            </w:pPr>
            <w:r w:rsidRPr="001F5558">
              <w:rPr>
                <w:rFonts w:ascii="Arial" w:eastAsia="Times New Roman" w:hAnsi="Arial" w:cs="Arial"/>
                <w:b/>
                <w:bCs/>
                <w:sz w:val="20"/>
                <w:szCs w:val="20"/>
              </w:rPr>
              <w:t>ACR</w:t>
            </w:r>
          </w:p>
        </w:tc>
        <w:tc>
          <w:tcPr>
            <w:tcW w:w="1239" w:type="pct"/>
            <w:vMerge w:val="restart"/>
            <w:tcBorders>
              <w:top w:val="single" w:sz="12" w:space="0" w:color="auto"/>
              <w:bottom w:val="single" w:sz="12" w:space="0" w:color="auto"/>
            </w:tcBorders>
            <w:shd w:val="clear" w:color="auto" w:fill="FFFFFF" w:themeFill="background1"/>
            <w:vAlign w:val="center"/>
            <w:hideMark/>
          </w:tcPr>
          <w:p w14:paraId="5240DBC8" w14:textId="361C22F7" w:rsidR="00F15DD0" w:rsidRPr="001F5558" w:rsidRDefault="00F15DD0" w:rsidP="00476B43">
            <w:pPr>
              <w:spacing w:after="0" w:line="240" w:lineRule="auto"/>
              <w:jc w:val="center"/>
              <w:rPr>
                <w:rFonts w:ascii="Arial" w:eastAsia="Times New Roman" w:hAnsi="Arial" w:cs="Arial"/>
                <w:sz w:val="20"/>
                <w:szCs w:val="20"/>
              </w:rPr>
            </w:pPr>
            <w:r w:rsidRPr="001F5558">
              <w:rPr>
                <w:rFonts w:ascii="Arial" w:eastAsia="Times New Roman" w:hAnsi="Arial" w:cs="Arial"/>
                <w:b/>
                <w:bCs/>
                <w:sz w:val="20"/>
                <w:szCs w:val="20"/>
              </w:rPr>
              <w:t>Description</w:t>
            </w:r>
          </w:p>
        </w:tc>
      </w:tr>
      <w:tr w:rsidR="00F15DD0" w:rsidRPr="001F5558" w14:paraId="13597CA5" w14:textId="77777777" w:rsidTr="00D155E7">
        <w:trPr>
          <w:trHeight w:val="552"/>
          <w:tblHeader/>
          <w:tblCellSpacing w:w="0" w:type="dxa"/>
        </w:trPr>
        <w:tc>
          <w:tcPr>
            <w:tcW w:w="860" w:type="pct"/>
            <w:vMerge/>
            <w:tcBorders>
              <w:bottom w:val="single" w:sz="12" w:space="0" w:color="auto"/>
            </w:tcBorders>
            <w:shd w:val="clear" w:color="auto" w:fill="FFFFFF" w:themeFill="background1"/>
            <w:vAlign w:val="center"/>
            <w:hideMark/>
          </w:tcPr>
          <w:p w14:paraId="3060F7B7" w14:textId="77777777" w:rsidR="00F15DD0" w:rsidRPr="001F5558" w:rsidRDefault="00F15DD0" w:rsidP="00476B43">
            <w:pPr>
              <w:spacing w:after="0" w:line="240" w:lineRule="auto"/>
              <w:jc w:val="both"/>
              <w:rPr>
                <w:rFonts w:ascii="Arial" w:eastAsia="Times New Roman" w:hAnsi="Arial" w:cs="Arial"/>
                <w:b/>
                <w:bCs/>
                <w:sz w:val="20"/>
                <w:szCs w:val="20"/>
              </w:rPr>
            </w:pPr>
          </w:p>
        </w:tc>
        <w:tc>
          <w:tcPr>
            <w:tcW w:w="859" w:type="pct"/>
            <w:tcBorders>
              <w:bottom w:val="single" w:sz="12" w:space="0" w:color="auto"/>
            </w:tcBorders>
            <w:shd w:val="clear" w:color="auto" w:fill="FFFFFF" w:themeFill="background1"/>
            <w:hideMark/>
          </w:tcPr>
          <w:p w14:paraId="08CD7D6A" w14:textId="12789090" w:rsidR="00F15DD0" w:rsidRPr="001F5558" w:rsidRDefault="00476B43" w:rsidP="008A58A9">
            <w:pPr>
              <w:spacing w:after="0" w:line="240" w:lineRule="auto"/>
              <w:rPr>
                <w:rStyle w:val="Strong"/>
                <w:rFonts w:ascii="Arial" w:hAnsi="Arial" w:cs="Arial"/>
                <w:color w:val="1F1F1F"/>
                <w:sz w:val="20"/>
                <w:szCs w:val="20"/>
              </w:rPr>
            </w:pPr>
            <w:r w:rsidRPr="001F5558">
              <w:rPr>
                <w:rStyle w:val="Strong"/>
                <w:rFonts w:ascii="Arial" w:hAnsi="Arial" w:cs="Arial"/>
                <w:color w:val="1F1F1F"/>
                <w:sz w:val="20"/>
                <w:szCs w:val="20"/>
              </w:rPr>
              <w:t>A</w:t>
            </w:r>
            <w:r w:rsidR="00F15DD0" w:rsidRPr="001F5558">
              <w:rPr>
                <w:rStyle w:val="Strong"/>
                <w:rFonts w:ascii="Arial" w:hAnsi="Arial" w:cs="Arial"/>
                <w:color w:val="1F1F1F"/>
                <w:sz w:val="20"/>
                <w:szCs w:val="20"/>
              </w:rPr>
              <w:t>lbuminuria</w:t>
            </w:r>
          </w:p>
          <w:p w14:paraId="1024C306" w14:textId="157A951D" w:rsidR="00476B43" w:rsidRPr="001F5558" w:rsidRDefault="00476B43" w:rsidP="008A58A9">
            <w:pPr>
              <w:spacing w:after="0" w:line="240" w:lineRule="auto"/>
              <w:rPr>
                <w:rFonts w:ascii="Arial" w:eastAsia="Times New Roman" w:hAnsi="Arial" w:cs="Arial"/>
                <w:b/>
                <w:bCs/>
                <w:sz w:val="20"/>
                <w:szCs w:val="20"/>
              </w:rPr>
            </w:pPr>
            <w:r w:rsidRPr="001F5558">
              <w:rPr>
                <w:rStyle w:val="Strong"/>
                <w:rFonts w:ascii="Arial" w:hAnsi="Arial" w:cs="Arial"/>
                <w:color w:val="1F1F1F"/>
                <w:sz w:val="20"/>
                <w:szCs w:val="20"/>
              </w:rPr>
              <w:t>(AER)</w:t>
            </w:r>
          </w:p>
        </w:tc>
        <w:tc>
          <w:tcPr>
            <w:tcW w:w="781" w:type="pct"/>
            <w:tcBorders>
              <w:bottom w:val="single" w:sz="12" w:space="0" w:color="auto"/>
            </w:tcBorders>
            <w:shd w:val="clear" w:color="auto" w:fill="FFFFFF" w:themeFill="background1"/>
          </w:tcPr>
          <w:p w14:paraId="130BF75B" w14:textId="464C562C" w:rsidR="00F15DD0" w:rsidRPr="001F5558" w:rsidRDefault="00F15DD0" w:rsidP="008A58A9">
            <w:pPr>
              <w:spacing w:after="0" w:line="240" w:lineRule="auto"/>
              <w:rPr>
                <w:rFonts w:ascii="Arial" w:eastAsia="Times New Roman" w:hAnsi="Arial" w:cs="Arial"/>
                <w:b/>
                <w:bCs/>
                <w:sz w:val="20"/>
                <w:szCs w:val="20"/>
              </w:rPr>
            </w:pPr>
            <w:r w:rsidRPr="001F5558">
              <w:rPr>
                <w:rStyle w:val="Strong"/>
                <w:rFonts w:ascii="Arial" w:hAnsi="Arial" w:cs="Arial"/>
                <w:color w:val="1F1F1F"/>
                <w:sz w:val="20"/>
                <w:szCs w:val="20"/>
              </w:rPr>
              <w:t>proteinuria</w:t>
            </w:r>
          </w:p>
        </w:tc>
        <w:tc>
          <w:tcPr>
            <w:tcW w:w="704" w:type="pct"/>
            <w:tcBorders>
              <w:bottom w:val="single" w:sz="12" w:space="0" w:color="auto"/>
            </w:tcBorders>
            <w:shd w:val="clear" w:color="auto" w:fill="FFFFFF" w:themeFill="background1"/>
            <w:vAlign w:val="center"/>
            <w:hideMark/>
          </w:tcPr>
          <w:p w14:paraId="309893BA" w14:textId="77777777" w:rsidR="00F15DD0" w:rsidRPr="001F5558" w:rsidRDefault="00F15DD0" w:rsidP="008A58A9">
            <w:pPr>
              <w:spacing w:after="0" w:line="240" w:lineRule="auto"/>
              <w:rPr>
                <w:rFonts w:ascii="Arial" w:eastAsia="Times New Roman" w:hAnsi="Arial" w:cs="Arial"/>
                <w:b/>
                <w:bCs/>
                <w:sz w:val="20"/>
                <w:szCs w:val="20"/>
              </w:rPr>
            </w:pPr>
            <w:r w:rsidRPr="001F5558">
              <w:rPr>
                <w:rFonts w:ascii="Arial" w:eastAsia="Times New Roman" w:hAnsi="Arial" w:cs="Arial"/>
                <w:b/>
                <w:bCs/>
                <w:sz w:val="20"/>
                <w:szCs w:val="20"/>
              </w:rPr>
              <w:t>ACR</w:t>
            </w:r>
          </w:p>
          <w:p w14:paraId="21C45F6A" w14:textId="5DA33ADC" w:rsidR="00634A59" w:rsidRPr="001F5558" w:rsidRDefault="00634A59" w:rsidP="008A58A9">
            <w:pPr>
              <w:spacing w:after="0" w:line="240" w:lineRule="auto"/>
              <w:rPr>
                <w:rFonts w:ascii="Arial" w:eastAsia="Times New Roman" w:hAnsi="Arial" w:cs="Arial"/>
                <w:b/>
                <w:bCs/>
                <w:sz w:val="20"/>
                <w:szCs w:val="20"/>
              </w:rPr>
            </w:pPr>
            <w:r w:rsidRPr="001F5558">
              <w:rPr>
                <w:rFonts w:ascii="Arial" w:eastAsia="Times New Roman" w:hAnsi="Arial" w:cs="Arial"/>
                <w:b/>
                <w:bCs/>
                <w:sz w:val="20"/>
                <w:szCs w:val="20"/>
              </w:rPr>
              <w:t>(mg/mmol)</w:t>
            </w:r>
          </w:p>
          <w:p w14:paraId="4D1D29A9" w14:textId="7D3183DC" w:rsidR="00F15DD0" w:rsidRPr="001F5558" w:rsidRDefault="00F15DD0" w:rsidP="008A58A9">
            <w:pPr>
              <w:spacing w:after="0" w:line="240" w:lineRule="auto"/>
              <w:rPr>
                <w:rFonts w:ascii="Arial" w:eastAsia="Times New Roman" w:hAnsi="Arial" w:cs="Arial"/>
                <w:b/>
                <w:bCs/>
                <w:sz w:val="20"/>
                <w:szCs w:val="20"/>
              </w:rPr>
            </w:pPr>
          </w:p>
        </w:tc>
        <w:tc>
          <w:tcPr>
            <w:tcW w:w="557" w:type="pct"/>
            <w:tcBorders>
              <w:bottom w:val="single" w:sz="12" w:space="0" w:color="auto"/>
            </w:tcBorders>
            <w:shd w:val="clear" w:color="auto" w:fill="FFFFFF" w:themeFill="background1"/>
            <w:vAlign w:val="center"/>
            <w:hideMark/>
          </w:tcPr>
          <w:p w14:paraId="1955ED65" w14:textId="7756F2E1" w:rsidR="00F15DD0" w:rsidRPr="001F5558" w:rsidRDefault="00B506F8" w:rsidP="008A58A9">
            <w:pPr>
              <w:spacing w:after="0" w:line="240" w:lineRule="auto"/>
              <w:rPr>
                <w:rFonts w:ascii="Arial" w:eastAsia="Times New Roman" w:hAnsi="Arial" w:cs="Arial"/>
                <w:b/>
                <w:bCs/>
                <w:sz w:val="20"/>
                <w:szCs w:val="20"/>
              </w:rPr>
            </w:pPr>
            <w:r w:rsidRPr="001F5558">
              <w:rPr>
                <w:rFonts w:ascii="Arial" w:eastAsia="Times New Roman" w:hAnsi="Arial" w:cs="Arial"/>
                <w:b/>
                <w:bCs/>
                <w:sz w:val="20"/>
                <w:szCs w:val="20"/>
              </w:rPr>
              <w:t>T</w:t>
            </w:r>
            <w:r w:rsidR="00F15DD0" w:rsidRPr="001F5558">
              <w:rPr>
                <w:rFonts w:ascii="Arial" w:eastAsia="Times New Roman" w:hAnsi="Arial" w:cs="Arial"/>
                <w:b/>
                <w:bCs/>
                <w:sz w:val="20"/>
                <w:szCs w:val="20"/>
              </w:rPr>
              <w:t>PCR</w:t>
            </w:r>
          </w:p>
          <w:p w14:paraId="72D41CCC" w14:textId="46DE6E78" w:rsidR="00634A59" w:rsidRPr="001F5558" w:rsidRDefault="00634A59" w:rsidP="008A58A9">
            <w:pPr>
              <w:spacing w:after="0" w:line="240" w:lineRule="auto"/>
              <w:rPr>
                <w:rFonts w:ascii="Arial" w:eastAsia="Times New Roman" w:hAnsi="Arial" w:cs="Arial"/>
                <w:b/>
                <w:bCs/>
                <w:sz w:val="20"/>
                <w:szCs w:val="20"/>
              </w:rPr>
            </w:pPr>
            <w:r w:rsidRPr="001F5558">
              <w:rPr>
                <w:rFonts w:ascii="Arial" w:eastAsia="Times New Roman" w:hAnsi="Arial" w:cs="Arial"/>
                <w:b/>
                <w:bCs/>
                <w:sz w:val="20"/>
                <w:szCs w:val="20"/>
              </w:rPr>
              <w:t>(mg/g)</w:t>
            </w:r>
          </w:p>
        </w:tc>
        <w:tc>
          <w:tcPr>
            <w:tcW w:w="1239" w:type="pct"/>
            <w:vMerge/>
            <w:tcBorders>
              <w:bottom w:val="single" w:sz="12" w:space="0" w:color="auto"/>
            </w:tcBorders>
            <w:shd w:val="clear" w:color="auto" w:fill="FFFFFF" w:themeFill="background1"/>
            <w:vAlign w:val="center"/>
            <w:hideMark/>
          </w:tcPr>
          <w:p w14:paraId="4E61A73C" w14:textId="77777777" w:rsidR="00F15DD0" w:rsidRPr="001F5558" w:rsidRDefault="00F15DD0" w:rsidP="00476B43">
            <w:pPr>
              <w:spacing w:after="0" w:line="240" w:lineRule="auto"/>
              <w:jc w:val="both"/>
              <w:rPr>
                <w:rFonts w:ascii="Arial" w:eastAsia="Times New Roman" w:hAnsi="Arial" w:cs="Arial"/>
                <w:sz w:val="20"/>
                <w:szCs w:val="20"/>
              </w:rPr>
            </w:pPr>
          </w:p>
        </w:tc>
      </w:tr>
      <w:tr w:rsidR="00F15DD0" w:rsidRPr="001F5558" w14:paraId="19347E03" w14:textId="77777777" w:rsidTr="008A58A9">
        <w:trPr>
          <w:trHeight w:val="340"/>
          <w:tblCellSpacing w:w="0" w:type="dxa"/>
        </w:trPr>
        <w:tc>
          <w:tcPr>
            <w:tcW w:w="860" w:type="pct"/>
            <w:shd w:val="clear" w:color="auto" w:fill="FFFFFF" w:themeFill="background1"/>
            <w:vAlign w:val="center"/>
            <w:hideMark/>
          </w:tcPr>
          <w:p w14:paraId="6B0F833B" w14:textId="77777777" w:rsidR="00F15DD0" w:rsidRPr="001F5558" w:rsidRDefault="00F15DD0" w:rsidP="00476B43">
            <w:pPr>
              <w:spacing w:after="0" w:line="240" w:lineRule="auto"/>
              <w:jc w:val="both"/>
              <w:rPr>
                <w:rFonts w:ascii="Arial" w:eastAsia="Times New Roman" w:hAnsi="Arial" w:cs="Arial"/>
                <w:sz w:val="20"/>
                <w:szCs w:val="20"/>
              </w:rPr>
            </w:pPr>
            <w:r w:rsidRPr="001F5558">
              <w:rPr>
                <w:rFonts w:ascii="Arial" w:eastAsia="Times New Roman" w:hAnsi="Arial" w:cs="Arial"/>
                <w:sz w:val="20"/>
                <w:szCs w:val="20"/>
              </w:rPr>
              <w:t>A1</w:t>
            </w:r>
          </w:p>
        </w:tc>
        <w:tc>
          <w:tcPr>
            <w:tcW w:w="859" w:type="pct"/>
            <w:shd w:val="clear" w:color="auto" w:fill="FFFFFF" w:themeFill="background1"/>
            <w:vAlign w:val="center"/>
            <w:hideMark/>
          </w:tcPr>
          <w:p w14:paraId="0F94C941" w14:textId="77777777" w:rsidR="00F15DD0" w:rsidRPr="001F5558" w:rsidRDefault="00F15DD0" w:rsidP="00476B43">
            <w:pPr>
              <w:spacing w:after="0" w:line="240" w:lineRule="auto"/>
              <w:jc w:val="both"/>
              <w:rPr>
                <w:rFonts w:ascii="Arial" w:eastAsia="Times New Roman" w:hAnsi="Arial" w:cs="Arial"/>
                <w:sz w:val="20"/>
                <w:szCs w:val="20"/>
              </w:rPr>
            </w:pPr>
            <w:r w:rsidRPr="001F5558">
              <w:rPr>
                <w:rFonts w:ascii="Arial" w:eastAsia="Times New Roman" w:hAnsi="Arial" w:cs="Arial"/>
                <w:sz w:val="20"/>
                <w:szCs w:val="20"/>
              </w:rPr>
              <w:t>&lt;30</w:t>
            </w:r>
          </w:p>
          <w:p w14:paraId="43304EEE" w14:textId="57512CF1" w:rsidR="00F15DD0" w:rsidRPr="001F5558" w:rsidRDefault="00F15DD0" w:rsidP="00476B43">
            <w:pPr>
              <w:spacing w:after="0" w:line="240" w:lineRule="auto"/>
              <w:jc w:val="both"/>
              <w:rPr>
                <w:rFonts w:ascii="Arial" w:eastAsia="Times New Roman" w:hAnsi="Arial" w:cs="Arial"/>
                <w:sz w:val="20"/>
                <w:szCs w:val="20"/>
              </w:rPr>
            </w:pPr>
          </w:p>
        </w:tc>
        <w:tc>
          <w:tcPr>
            <w:tcW w:w="781" w:type="pct"/>
            <w:shd w:val="clear" w:color="auto" w:fill="FFFFFF" w:themeFill="background1"/>
            <w:vAlign w:val="center"/>
          </w:tcPr>
          <w:p w14:paraId="4D2A5E9A" w14:textId="64E5DEFB" w:rsidR="00F15DD0" w:rsidRPr="001F5558" w:rsidRDefault="00476B43" w:rsidP="00476B43">
            <w:pPr>
              <w:spacing w:after="0" w:line="240" w:lineRule="auto"/>
              <w:jc w:val="both"/>
              <w:rPr>
                <w:rFonts w:ascii="Arial" w:eastAsia="Times New Roman" w:hAnsi="Arial" w:cs="Arial"/>
                <w:sz w:val="20"/>
                <w:szCs w:val="20"/>
              </w:rPr>
            </w:pPr>
            <w:r w:rsidRPr="001F5558">
              <w:rPr>
                <w:rFonts w:ascii="Arial" w:eastAsia="Times New Roman" w:hAnsi="Arial" w:cs="Arial"/>
                <w:sz w:val="20"/>
                <w:szCs w:val="20"/>
              </w:rPr>
              <w:t>&lt;150</w:t>
            </w:r>
          </w:p>
        </w:tc>
        <w:tc>
          <w:tcPr>
            <w:tcW w:w="704" w:type="pct"/>
            <w:shd w:val="clear" w:color="auto" w:fill="FFFFFF" w:themeFill="background1"/>
            <w:vAlign w:val="center"/>
            <w:hideMark/>
          </w:tcPr>
          <w:p w14:paraId="6D7C10A3" w14:textId="77777777" w:rsidR="00F15DD0" w:rsidRPr="001F5558" w:rsidRDefault="00F15DD0" w:rsidP="008A58A9">
            <w:pPr>
              <w:spacing w:after="0" w:line="240" w:lineRule="auto"/>
              <w:rPr>
                <w:rFonts w:ascii="Arial" w:eastAsia="Times New Roman" w:hAnsi="Arial" w:cs="Arial"/>
                <w:sz w:val="20"/>
                <w:szCs w:val="20"/>
              </w:rPr>
            </w:pPr>
            <w:r w:rsidRPr="001F5558">
              <w:rPr>
                <w:rFonts w:ascii="Arial" w:eastAsia="Times New Roman" w:hAnsi="Arial" w:cs="Arial"/>
                <w:sz w:val="20"/>
                <w:szCs w:val="20"/>
              </w:rPr>
              <w:t>&lt;3</w:t>
            </w:r>
          </w:p>
        </w:tc>
        <w:tc>
          <w:tcPr>
            <w:tcW w:w="557" w:type="pct"/>
            <w:shd w:val="clear" w:color="auto" w:fill="FFFFFF" w:themeFill="background1"/>
            <w:vAlign w:val="center"/>
            <w:hideMark/>
          </w:tcPr>
          <w:p w14:paraId="4B971D1F" w14:textId="77777777" w:rsidR="00F15DD0" w:rsidRPr="001F5558" w:rsidRDefault="00F15DD0" w:rsidP="008A58A9">
            <w:pPr>
              <w:spacing w:after="0" w:line="240" w:lineRule="auto"/>
              <w:rPr>
                <w:rFonts w:ascii="Arial" w:eastAsia="Times New Roman" w:hAnsi="Arial" w:cs="Arial"/>
                <w:sz w:val="20"/>
                <w:szCs w:val="20"/>
              </w:rPr>
            </w:pPr>
            <w:r w:rsidRPr="001F5558">
              <w:rPr>
                <w:rFonts w:ascii="Arial" w:eastAsia="Times New Roman" w:hAnsi="Arial" w:cs="Arial"/>
                <w:sz w:val="20"/>
                <w:szCs w:val="20"/>
              </w:rPr>
              <w:t>&lt;30</w:t>
            </w:r>
          </w:p>
        </w:tc>
        <w:tc>
          <w:tcPr>
            <w:tcW w:w="1239" w:type="pct"/>
            <w:shd w:val="clear" w:color="auto" w:fill="FFFFFF" w:themeFill="background1"/>
            <w:vAlign w:val="center"/>
            <w:hideMark/>
          </w:tcPr>
          <w:p w14:paraId="7F451B47" w14:textId="77777777" w:rsidR="00F15DD0" w:rsidRPr="001F5558" w:rsidRDefault="00F15DD0" w:rsidP="008A58A9">
            <w:pPr>
              <w:spacing w:after="0" w:line="240" w:lineRule="auto"/>
              <w:rPr>
                <w:rFonts w:ascii="Arial" w:eastAsia="Times New Roman" w:hAnsi="Arial" w:cs="Arial"/>
                <w:sz w:val="20"/>
                <w:szCs w:val="20"/>
              </w:rPr>
            </w:pPr>
            <w:r w:rsidRPr="001F5558">
              <w:rPr>
                <w:rFonts w:ascii="Arial" w:eastAsia="Times New Roman" w:hAnsi="Arial" w:cs="Arial"/>
                <w:sz w:val="20"/>
                <w:szCs w:val="20"/>
              </w:rPr>
              <w:t>Normal to mildly increased</w:t>
            </w:r>
          </w:p>
        </w:tc>
      </w:tr>
      <w:tr w:rsidR="00F15DD0" w:rsidRPr="001F5558" w14:paraId="5DD9B98E" w14:textId="77777777" w:rsidTr="008A58A9">
        <w:trPr>
          <w:trHeight w:val="340"/>
          <w:tblCellSpacing w:w="0" w:type="dxa"/>
        </w:trPr>
        <w:tc>
          <w:tcPr>
            <w:tcW w:w="860" w:type="pct"/>
            <w:shd w:val="clear" w:color="auto" w:fill="FFFFFF" w:themeFill="background1"/>
            <w:vAlign w:val="center"/>
            <w:hideMark/>
          </w:tcPr>
          <w:p w14:paraId="0DD2FF73" w14:textId="77777777" w:rsidR="00F15DD0" w:rsidRPr="001F5558" w:rsidRDefault="00F15DD0" w:rsidP="00476B43">
            <w:pPr>
              <w:spacing w:after="0" w:line="240" w:lineRule="auto"/>
              <w:jc w:val="both"/>
              <w:rPr>
                <w:rFonts w:ascii="Arial" w:eastAsia="Times New Roman" w:hAnsi="Arial" w:cs="Arial"/>
                <w:sz w:val="20"/>
                <w:szCs w:val="20"/>
              </w:rPr>
            </w:pPr>
            <w:r w:rsidRPr="001F5558">
              <w:rPr>
                <w:rFonts w:ascii="Arial" w:eastAsia="Times New Roman" w:hAnsi="Arial" w:cs="Arial"/>
                <w:sz w:val="20"/>
                <w:szCs w:val="20"/>
              </w:rPr>
              <w:t>A2</w:t>
            </w:r>
          </w:p>
        </w:tc>
        <w:tc>
          <w:tcPr>
            <w:tcW w:w="859" w:type="pct"/>
            <w:shd w:val="clear" w:color="auto" w:fill="FFFFFF" w:themeFill="background1"/>
            <w:vAlign w:val="center"/>
            <w:hideMark/>
          </w:tcPr>
          <w:p w14:paraId="7F75E08D" w14:textId="6035F1D1" w:rsidR="00F15DD0" w:rsidRPr="001F5558" w:rsidRDefault="00F15DD0" w:rsidP="00476B43">
            <w:pPr>
              <w:spacing w:after="0" w:line="240" w:lineRule="auto"/>
              <w:jc w:val="both"/>
              <w:rPr>
                <w:rFonts w:ascii="Arial" w:eastAsia="Times New Roman" w:hAnsi="Arial" w:cs="Arial"/>
                <w:sz w:val="20"/>
                <w:szCs w:val="20"/>
              </w:rPr>
            </w:pPr>
            <w:r w:rsidRPr="001F5558">
              <w:rPr>
                <w:rFonts w:ascii="Arial" w:eastAsia="Times New Roman" w:hAnsi="Arial" w:cs="Arial"/>
                <w:sz w:val="20"/>
                <w:szCs w:val="20"/>
              </w:rPr>
              <w:t>30–300</w:t>
            </w:r>
          </w:p>
        </w:tc>
        <w:tc>
          <w:tcPr>
            <w:tcW w:w="781" w:type="pct"/>
            <w:shd w:val="clear" w:color="auto" w:fill="FFFFFF" w:themeFill="background1"/>
            <w:vAlign w:val="center"/>
          </w:tcPr>
          <w:p w14:paraId="729EA7C1" w14:textId="5081C4A0" w:rsidR="00F15DD0" w:rsidRPr="001F5558" w:rsidRDefault="00476B43" w:rsidP="00476B43">
            <w:pPr>
              <w:spacing w:after="0" w:line="240" w:lineRule="auto"/>
              <w:jc w:val="both"/>
              <w:rPr>
                <w:rFonts w:ascii="Arial" w:eastAsia="Times New Roman" w:hAnsi="Arial" w:cs="Arial"/>
                <w:sz w:val="20"/>
                <w:szCs w:val="20"/>
              </w:rPr>
            </w:pPr>
            <w:r w:rsidRPr="001F5558">
              <w:rPr>
                <w:rFonts w:ascii="Arial" w:eastAsia="Times New Roman" w:hAnsi="Arial" w:cs="Arial"/>
                <w:sz w:val="20"/>
                <w:szCs w:val="20"/>
              </w:rPr>
              <w:t>150-300</w:t>
            </w:r>
          </w:p>
        </w:tc>
        <w:tc>
          <w:tcPr>
            <w:tcW w:w="704" w:type="pct"/>
            <w:shd w:val="clear" w:color="auto" w:fill="FFFFFF" w:themeFill="background1"/>
            <w:vAlign w:val="center"/>
            <w:hideMark/>
          </w:tcPr>
          <w:p w14:paraId="4B96942B" w14:textId="77777777" w:rsidR="00F15DD0" w:rsidRPr="001F5558" w:rsidRDefault="00F15DD0" w:rsidP="008A58A9">
            <w:pPr>
              <w:spacing w:after="0" w:line="240" w:lineRule="auto"/>
              <w:rPr>
                <w:rFonts w:ascii="Arial" w:eastAsia="Times New Roman" w:hAnsi="Arial" w:cs="Arial"/>
                <w:sz w:val="20"/>
                <w:szCs w:val="20"/>
              </w:rPr>
            </w:pPr>
            <w:r w:rsidRPr="001F5558">
              <w:rPr>
                <w:rFonts w:ascii="Arial" w:eastAsia="Times New Roman" w:hAnsi="Arial" w:cs="Arial"/>
                <w:sz w:val="20"/>
                <w:szCs w:val="20"/>
              </w:rPr>
              <w:t>3–30</w:t>
            </w:r>
          </w:p>
        </w:tc>
        <w:tc>
          <w:tcPr>
            <w:tcW w:w="557" w:type="pct"/>
            <w:shd w:val="clear" w:color="auto" w:fill="FFFFFF" w:themeFill="background1"/>
            <w:vAlign w:val="center"/>
            <w:hideMark/>
          </w:tcPr>
          <w:p w14:paraId="6ABF159A" w14:textId="77777777" w:rsidR="00F15DD0" w:rsidRPr="001F5558" w:rsidRDefault="00F15DD0" w:rsidP="008A58A9">
            <w:pPr>
              <w:spacing w:after="0" w:line="240" w:lineRule="auto"/>
              <w:rPr>
                <w:rFonts w:ascii="Arial" w:eastAsia="Times New Roman" w:hAnsi="Arial" w:cs="Arial"/>
                <w:sz w:val="20"/>
                <w:szCs w:val="20"/>
              </w:rPr>
            </w:pPr>
            <w:r w:rsidRPr="001F5558">
              <w:rPr>
                <w:rFonts w:ascii="Arial" w:eastAsia="Times New Roman" w:hAnsi="Arial" w:cs="Arial"/>
                <w:sz w:val="20"/>
                <w:szCs w:val="20"/>
              </w:rPr>
              <w:t>30–300</w:t>
            </w:r>
          </w:p>
        </w:tc>
        <w:tc>
          <w:tcPr>
            <w:tcW w:w="1239" w:type="pct"/>
            <w:shd w:val="clear" w:color="auto" w:fill="FFFFFF" w:themeFill="background1"/>
            <w:vAlign w:val="center"/>
            <w:hideMark/>
          </w:tcPr>
          <w:p w14:paraId="3FACA8EF" w14:textId="77777777" w:rsidR="00F15DD0" w:rsidRPr="001F5558" w:rsidRDefault="00F15DD0" w:rsidP="008A58A9">
            <w:pPr>
              <w:spacing w:after="0" w:line="240" w:lineRule="auto"/>
              <w:rPr>
                <w:rFonts w:ascii="Arial" w:eastAsia="Times New Roman" w:hAnsi="Arial" w:cs="Arial"/>
                <w:sz w:val="20"/>
                <w:szCs w:val="20"/>
              </w:rPr>
            </w:pPr>
            <w:r w:rsidRPr="001F5558">
              <w:rPr>
                <w:rFonts w:ascii="Arial" w:eastAsia="Times New Roman" w:hAnsi="Arial" w:cs="Arial"/>
                <w:sz w:val="20"/>
                <w:szCs w:val="20"/>
              </w:rPr>
              <w:t>Moderately increased</w:t>
            </w:r>
          </w:p>
        </w:tc>
      </w:tr>
      <w:tr w:rsidR="00F15DD0" w:rsidRPr="001F5558" w14:paraId="3D06A90F" w14:textId="77777777" w:rsidTr="008A58A9">
        <w:trPr>
          <w:trHeight w:val="340"/>
          <w:tblCellSpacing w:w="0" w:type="dxa"/>
        </w:trPr>
        <w:tc>
          <w:tcPr>
            <w:tcW w:w="860" w:type="pct"/>
            <w:tcBorders>
              <w:bottom w:val="single" w:sz="12" w:space="0" w:color="auto"/>
            </w:tcBorders>
            <w:shd w:val="clear" w:color="auto" w:fill="FFFFFF" w:themeFill="background1"/>
            <w:vAlign w:val="center"/>
            <w:hideMark/>
          </w:tcPr>
          <w:p w14:paraId="04B06989" w14:textId="77777777" w:rsidR="00F15DD0" w:rsidRPr="001F5558" w:rsidRDefault="00F15DD0" w:rsidP="00476B43">
            <w:pPr>
              <w:spacing w:after="0" w:line="240" w:lineRule="auto"/>
              <w:jc w:val="both"/>
              <w:rPr>
                <w:rFonts w:ascii="Arial" w:eastAsia="Times New Roman" w:hAnsi="Arial" w:cs="Arial"/>
                <w:sz w:val="20"/>
                <w:szCs w:val="20"/>
              </w:rPr>
            </w:pPr>
            <w:r w:rsidRPr="001F5558">
              <w:rPr>
                <w:rFonts w:ascii="Arial" w:eastAsia="Times New Roman" w:hAnsi="Arial" w:cs="Arial"/>
                <w:sz w:val="20"/>
                <w:szCs w:val="20"/>
              </w:rPr>
              <w:t>A3</w:t>
            </w:r>
          </w:p>
        </w:tc>
        <w:tc>
          <w:tcPr>
            <w:tcW w:w="859" w:type="pct"/>
            <w:tcBorders>
              <w:bottom w:val="single" w:sz="12" w:space="0" w:color="auto"/>
            </w:tcBorders>
            <w:shd w:val="clear" w:color="auto" w:fill="FFFFFF" w:themeFill="background1"/>
            <w:vAlign w:val="center"/>
            <w:hideMark/>
          </w:tcPr>
          <w:p w14:paraId="2481C90A" w14:textId="53CD6C8D" w:rsidR="00F15DD0" w:rsidRPr="001F5558" w:rsidRDefault="00F15DD0" w:rsidP="00476B43">
            <w:pPr>
              <w:spacing w:after="0" w:line="240" w:lineRule="auto"/>
              <w:jc w:val="both"/>
              <w:rPr>
                <w:rFonts w:ascii="Arial" w:eastAsia="Times New Roman" w:hAnsi="Arial" w:cs="Arial"/>
                <w:sz w:val="20"/>
                <w:szCs w:val="20"/>
              </w:rPr>
            </w:pPr>
            <w:r w:rsidRPr="001F5558">
              <w:rPr>
                <w:rFonts w:ascii="Arial" w:eastAsia="Times New Roman" w:hAnsi="Arial" w:cs="Arial"/>
                <w:sz w:val="20"/>
                <w:szCs w:val="20"/>
              </w:rPr>
              <w:t>&gt;300</w:t>
            </w:r>
          </w:p>
        </w:tc>
        <w:tc>
          <w:tcPr>
            <w:tcW w:w="781" w:type="pct"/>
            <w:tcBorders>
              <w:bottom w:val="single" w:sz="12" w:space="0" w:color="auto"/>
            </w:tcBorders>
            <w:shd w:val="clear" w:color="auto" w:fill="FFFFFF" w:themeFill="background1"/>
            <w:vAlign w:val="center"/>
          </w:tcPr>
          <w:p w14:paraId="7ECD644A" w14:textId="43D380C5" w:rsidR="00F15DD0" w:rsidRPr="001F5558" w:rsidRDefault="00476B43" w:rsidP="00476B43">
            <w:pPr>
              <w:spacing w:after="0" w:line="240" w:lineRule="auto"/>
              <w:jc w:val="both"/>
              <w:rPr>
                <w:rFonts w:ascii="Arial" w:eastAsia="Times New Roman" w:hAnsi="Arial" w:cs="Arial"/>
                <w:sz w:val="20"/>
                <w:szCs w:val="20"/>
              </w:rPr>
            </w:pPr>
            <w:r w:rsidRPr="001F5558">
              <w:rPr>
                <w:rFonts w:ascii="Arial" w:eastAsia="Times New Roman" w:hAnsi="Arial" w:cs="Arial"/>
                <w:sz w:val="20"/>
                <w:szCs w:val="20"/>
              </w:rPr>
              <w:t>&gt;300</w:t>
            </w:r>
          </w:p>
        </w:tc>
        <w:tc>
          <w:tcPr>
            <w:tcW w:w="704" w:type="pct"/>
            <w:tcBorders>
              <w:bottom w:val="single" w:sz="12" w:space="0" w:color="auto"/>
            </w:tcBorders>
            <w:shd w:val="clear" w:color="auto" w:fill="FFFFFF" w:themeFill="background1"/>
            <w:vAlign w:val="center"/>
            <w:hideMark/>
          </w:tcPr>
          <w:p w14:paraId="288D5B94" w14:textId="77777777" w:rsidR="00F15DD0" w:rsidRPr="001F5558" w:rsidRDefault="00F15DD0" w:rsidP="008A58A9">
            <w:pPr>
              <w:spacing w:after="0" w:line="240" w:lineRule="auto"/>
              <w:rPr>
                <w:rFonts w:ascii="Arial" w:eastAsia="Times New Roman" w:hAnsi="Arial" w:cs="Arial"/>
                <w:sz w:val="20"/>
                <w:szCs w:val="20"/>
              </w:rPr>
            </w:pPr>
            <w:r w:rsidRPr="001F5558">
              <w:rPr>
                <w:rFonts w:ascii="Arial" w:eastAsia="Times New Roman" w:hAnsi="Arial" w:cs="Arial"/>
                <w:sz w:val="20"/>
                <w:szCs w:val="20"/>
              </w:rPr>
              <w:t>&gt;30</w:t>
            </w:r>
          </w:p>
        </w:tc>
        <w:tc>
          <w:tcPr>
            <w:tcW w:w="557" w:type="pct"/>
            <w:tcBorders>
              <w:bottom w:val="single" w:sz="12" w:space="0" w:color="auto"/>
            </w:tcBorders>
            <w:shd w:val="clear" w:color="auto" w:fill="FFFFFF" w:themeFill="background1"/>
            <w:vAlign w:val="center"/>
            <w:hideMark/>
          </w:tcPr>
          <w:p w14:paraId="51FEF76F" w14:textId="77777777" w:rsidR="00F15DD0" w:rsidRPr="001F5558" w:rsidRDefault="00F15DD0" w:rsidP="008A58A9">
            <w:pPr>
              <w:spacing w:after="0" w:line="240" w:lineRule="auto"/>
              <w:rPr>
                <w:rFonts w:ascii="Arial" w:eastAsia="Times New Roman" w:hAnsi="Arial" w:cs="Arial"/>
                <w:sz w:val="20"/>
                <w:szCs w:val="20"/>
              </w:rPr>
            </w:pPr>
            <w:r w:rsidRPr="001F5558">
              <w:rPr>
                <w:rFonts w:ascii="Arial" w:eastAsia="Times New Roman" w:hAnsi="Arial" w:cs="Arial"/>
                <w:sz w:val="20"/>
                <w:szCs w:val="20"/>
              </w:rPr>
              <w:t>&gt;300</w:t>
            </w:r>
          </w:p>
        </w:tc>
        <w:tc>
          <w:tcPr>
            <w:tcW w:w="1239" w:type="pct"/>
            <w:tcBorders>
              <w:bottom w:val="single" w:sz="12" w:space="0" w:color="auto"/>
            </w:tcBorders>
            <w:shd w:val="clear" w:color="auto" w:fill="FFFFFF" w:themeFill="background1"/>
            <w:vAlign w:val="center"/>
            <w:hideMark/>
          </w:tcPr>
          <w:p w14:paraId="3D673FC8" w14:textId="77777777" w:rsidR="00F15DD0" w:rsidRPr="001F5558" w:rsidRDefault="00F15DD0" w:rsidP="008A58A9">
            <w:pPr>
              <w:spacing w:after="0" w:line="240" w:lineRule="auto"/>
              <w:rPr>
                <w:rFonts w:ascii="Arial" w:eastAsia="Times New Roman" w:hAnsi="Arial" w:cs="Arial"/>
                <w:sz w:val="20"/>
                <w:szCs w:val="20"/>
              </w:rPr>
            </w:pPr>
            <w:r w:rsidRPr="001F5558">
              <w:rPr>
                <w:rFonts w:ascii="Arial" w:eastAsia="Times New Roman" w:hAnsi="Arial" w:cs="Arial"/>
                <w:sz w:val="20"/>
                <w:szCs w:val="20"/>
              </w:rPr>
              <w:t>Severely increased</w:t>
            </w:r>
          </w:p>
        </w:tc>
      </w:tr>
    </w:tbl>
    <w:p w14:paraId="74B84ACA" w14:textId="0F101687" w:rsidR="00634A59" w:rsidRPr="001F5558" w:rsidRDefault="00634A59" w:rsidP="00B373F8">
      <w:pPr>
        <w:spacing w:after="0" w:line="240" w:lineRule="auto"/>
        <w:jc w:val="both"/>
        <w:rPr>
          <w:rFonts w:ascii="Arial" w:hAnsi="Arial" w:cs="Arial"/>
          <w:sz w:val="20"/>
          <w:szCs w:val="20"/>
        </w:rPr>
      </w:pPr>
      <w:r w:rsidRPr="001F5558">
        <w:rPr>
          <w:rFonts w:ascii="Arial" w:hAnsi="Arial" w:cs="Arial"/>
          <w:sz w:val="20"/>
          <w:szCs w:val="20"/>
        </w:rPr>
        <w:t xml:space="preserve">(ACR: albumin/creatinine ratio, </w:t>
      </w:r>
      <w:r w:rsidR="00476B43" w:rsidRPr="001F5558">
        <w:rPr>
          <w:rFonts w:ascii="Arial" w:hAnsi="Arial" w:cs="Arial"/>
          <w:sz w:val="20"/>
          <w:szCs w:val="20"/>
        </w:rPr>
        <w:t xml:space="preserve">AER: Albumin excretion rate; </w:t>
      </w:r>
      <w:r w:rsidRPr="001F5558">
        <w:rPr>
          <w:rFonts w:ascii="Arial" w:hAnsi="Arial" w:cs="Arial"/>
          <w:sz w:val="20"/>
          <w:szCs w:val="20"/>
        </w:rPr>
        <w:t>TPCR: total protein/creatinine ratio)</w:t>
      </w:r>
    </w:p>
    <w:p w14:paraId="0CFB24CF" w14:textId="77777777" w:rsidR="00B373F8" w:rsidRPr="001F5558" w:rsidRDefault="00B373F8" w:rsidP="00B373F8">
      <w:pPr>
        <w:spacing w:after="0" w:line="240" w:lineRule="auto"/>
        <w:jc w:val="both"/>
        <w:rPr>
          <w:rFonts w:ascii="Arial" w:hAnsi="Arial" w:cs="Arial"/>
          <w:sz w:val="20"/>
          <w:szCs w:val="20"/>
        </w:rPr>
      </w:pPr>
    </w:p>
    <w:p w14:paraId="6FF6252E" w14:textId="77777777" w:rsidR="00B373F8" w:rsidRPr="001F5558" w:rsidRDefault="00B373F8" w:rsidP="00B373F8">
      <w:pPr>
        <w:spacing w:after="0" w:line="240" w:lineRule="auto"/>
        <w:jc w:val="both"/>
        <w:rPr>
          <w:rFonts w:ascii="Arial" w:eastAsia="Times New Roman" w:hAnsi="Arial" w:cs="Arial"/>
          <w:sz w:val="20"/>
          <w:szCs w:val="20"/>
        </w:rPr>
      </w:pPr>
    </w:p>
    <w:p w14:paraId="1C9D7FD6" w14:textId="245E676B" w:rsidR="00871947" w:rsidRPr="001F5558" w:rsidRDefault="00871947" w:rsidP="00257B59">
      <w:pPr>
        <w:spacing w:after="0" w:line="240" w:lineRule="auto"/>
        <w:jc w:val="both"/>
        <w:rPr>
          <w:rFonts w:ascii="Arial" w:eastAsia="Times New Roman" w:hAnsi="Arial" w:cs="Arial"/>
          <w:b/>
          <w:bCs/>
        </w:rPr>
      </w:pPr>
      <w:r w:rsidRPr="001F5558">
        <w:rPr>
          <w:rFonts w:ascii="Arial" w:eastAsia="Times New Roman" w:hAnsi="Arial" w:cs="Arial"/>
          <w:b/>
          <w:bCs/>
        </w:rPr>
        <w:lastRenderedPageBreak/>
        <w:t>1.3. Hypertension</w:t>
      </w:r>
    </w:p>
    <w:p w14:paraId="0B5A4EDB" w14:textId="77777777" w:rsidR="009308D1" w:rsidRPr="001F5558" w:rsidRDefault="009308D1" w:rsidP="00257B59">
      <w:pPr>
        <w:spacing w:after="0" w:line="240" w:lineRule="auto"/>
        <w:jc w:val="both"/>
        <w:rPr>
          <w:rFonts w:ascii="Arial" w:eastAsia="Times New Roman" w:hAnsi="Arial" w:cs="Arial"/>
          <w:b/>
          <w:bCs/>
          <w:sz w:val="20"/>
          <w:szCs w:val="20"/>
        </w:rPr>
      </w:pPr>
    </w:p>
    <w:p w14:paraId="365AB6E8" w14:textId="0E84ABA5" w:rsidR="00334CCD" w:rsidRPr="001F5558" w:rsidRDefault="00581AEE" w:rsidP="00257B59">
      <w:pPr>
        <w:spacing w:after="0" w:line="240" w:lineRule="auto"/>
        <w:jc w:val="both"/>
        <w:rPr>
          <w:rFonts w:ascii="Arial" w:eastAsia="Times New Roman" w:hAnsi="Arial" w:cs="Arial"/>
          <w:b/>
          <w:bCs/>
          <w:sz w:val="20"/>
          <w:szCs w:val="20"/>
        </w:rPr>
      </w:pPr>
      <w:r w:rsidRPr="001F5558">
        <w:rPr>
          <w:rFonts w:ascii="Arial" w:eastAsia="Times New Roman" w:hAnsi="Arial" w:cs="Arial"/>
          <w:sz w:val="20"/>
          <w:szCs w:val="20"/>
        </w:rPr>
        <w:t xml:space="preserve">Hypertension is one of the most common causes and highly prevalent comorbidity condition affecting about 80%–85% of CKD patients. </w:t>
      </w:r>
      <w:r w:rsidR="005964B1" w:rsidRPr="001F5558">
        <w:rPr>
          <w:rFonts w:ascii="Arial" w:eastAsia="Times New Roman" w:hAnsi="Arial" w:cs="Arial"/>
          <w:sz w:val="20"/>
          <w:szCs w:val="20"/>
        </w:rPr>
        <w:t>CKD and HTN are closely interlinked pathological conditions in which blood pressure (BP) rises with a decline in kidney function, and sustained elevations in blood pressure increase the progression of kidney disease (</w:t>
      </w:r>
      <w:r w:rsidR="00283304" w:rsidRPr="001F5558">
        <w:rPr>
          <w:rFonts w:ascii="Arial" w:eastAsia="Times New Roman" w:hAnsi="Arial" w:cs="Arial"/>
          <w:sz w:val="20"/>
          <w:szCs w:val="20"/>
        </w:rPr>
        <w:t>Ku</w:t>
      </w:r>
      <w:r w:rsidR="005964B1" w:rsidRPr="001F5558">
        <w:rPr>
          <w:rFonts w:ascii="Arial" w:eastAsia="Times New Roman" w:hAnsi="Arial" w:cs="Arial"/>
          <w:sz w:val="20"/>
          <w:szCs w:val="20"/>
        </w:rPr>
        <w:t xml:space="preserve"> et al., 2019; Doumani et al., 2025). </w:t>
      </w:r>
      <w:r w:rsidR="009B3AF4" w:rsidRPr="001F5558">
        <w:rPr>
          <w:rFonts w:ascii="Arial" w:eastAsia="Times New Roman" w:hAnsi="Arial" w:cs="Arial"/>
          <w:sz w:val="20"/>
          <w:szCs w:val="20"/>
        </w:rPr>
        <w:t>Notably, elevated blood pressure (BP) is a strong and independent risk factor for the development of CKD and progression to ESKD if not well managed (</w:t>
      </w:r>
      <w:proofErr w:type="spellStart"/>
      <w:r w:rsidR="009B3AF4" w:rsidRPr="001F5558">
        <w:rPr>
          <w:rFonts w:ascii="Arial" w:eastAsia="Times New Roman" w:hAnsi="Arial" w:cs="Arial"/>
          <w:sz w:val="20"/>
          <w:szCs w:val="20"/>
        </w:rPr>
        <w:t>Theodorakopoulou</w:t>
      </w:r>
      <w:proofErr w:type="spellEnd"/>
      <w:r w:rsidR="009B3AF4" w:rsidRPr="001F5558">
        <w:rPr>
          <w:rFonts w:ascii="Arial" w:eastAsia="Times New Roman" w:hAnsi="Arial" w:cs="Arial"/>
          <w:sz w:val="20"/>
          <w:szCs w:val="20"/>
        </w:rPr>
        <w:t xml:space="preserve"> et al., 2024). Hypertensive kidney disease </w:t>
      </w:r>
      <w:r w:rsidR="009B3AF4" w:rsidRPr="001F5558">
        <w:rPr>
          <w:rFonts w:ascii="Arial" w:eastAsia="Times New Roman" w:hAnsi="Arial" w:cs="Arial"/>
          <w:i/>
          <w:iCs/>
          <w:sz w:val="20"/>
          <w:szCs w:val="20"/>
        </w:rPr>
        <w:t>per se</w:t>
      </w:r>
      <w:r w:rsidR="009B3AF4" w:rsidRPr="001F5558">
        <w:rPr>
          <w:rFonts w:ascii="Arial" w:eastAsia="Times New Roman" w:hAnsi="Arial" w:cs="Arial"/>
          <w:sz w:val="20"/>
          <w:szCs w:val="20"/>
        </w:rPr>
        <w:t xml:space="preserve"> is the second most </w:t>
      </w:r>
      <w:r w:rsidR="00617710" w:rsidRPr="001F5558">
        <w:rPr>
          <w:rFonts w:ascii="Arial" w:eastAsia="Times New Roman" w:hAnsi="Arial" w:cs="Arial"/>
          <w:sz w:val="20"/>
          <w:szCs w:val="20"/>
        </w:rPr>
        <w:t>commonly</w:t>
      </w:r>
      <w:r w:rsidR="009B3AF4" w:rsidRPr="001F5558">
        <w:rPr>
          <w:rFonts w:ascii="Arial" w:eastAsia="Times New Roman" w:hAnsi="Arial" w:cs="Arial"/>
          <w:sz w:val="20"/>
          <w:szCs w:val="20"/>
        </w:rPr>
        <w:t xml:space="preserve"> known cause of ESKD, after diabetic kidney disease (Qasim et al., 2025). </w:t>
      </w:r>
      <w:r w:rsidRPr="001F5558">
        <w:rPr>
          <w:rFonts w:ascii="Arial" w:eastAsia="Times New Roman" w:hAnsi="Arial" w:cs="Arial"/>
          <w:sz w:val="20"/>
          <w:szCs w:val="20"/>
        </w:rPr>
        <w:t xml:space="preserve">Prevalence of uncontrolled HTN increases with progression of advanced CKD, particularly in CKD G4 or G5 </w:t>
      </w:r>
      <w:r w:rsidR="009B3AF4" w:rsidRPr="001F5558">
        <w:rPr>
          <w:rFonts w:ascii="Arial" w:eastAsia="Times New Roman" w:hAnsi="Arial" w:cs="Arial"/>
          <w:sz w:val="20"/>
          <w:szCs w:val="20"/>
        </w:rPr>
        <w:t>stages, before</w:t>
      </w:r>
      <w:r w:rsidRPr="001F5558">
        <w:rPr>
          <w:rFonts w:ascii="Arial" w:eastAsia="Times New Roman" w:hAnsi="Arial" w:cs="Arial"/>
          <w:sz w:val="20"/>
          <w:szCs w:val="20"/>
        </w:rPr>
        <w:t xml:space="preserve"> initiation of renal replacement therapy (</w:t>
      </w:r>
      <w:r w:rsidR="00F12A30" w:rsidRPr="001F5558">
        <w:rPr>
          <w:rFonts w:ascii="Arial" w:hAnsi="Arial" w:cs="Arial"/>
          <w:sz w:val="20"/>
          <w:szCs w:val="20"/>
        </w:rPr>
        <w:t>Pethő</w:t>
      </w:r>
      <w:r w:rsidR="00F12A30" w:rsidRPr="001F5558">
        <w:rPr>
          <w:rFonts w:ascii="Arial" w:eastAsia="Times New Roman" w:hAnsi="Arial" w:cs="Arial"/>
          <w:sz w:val="20"/>
          <w:szCs w:val="20"/>
        </w:rPr>
        <w:t xml:space="preserve"> et al.</w:t>
      </w:r>
      <w:r w:rsidR="009B3AF4" w:rsidRPr="001F5558">
        <w:rPr>
          <w:rFonts w:ascii="Arial" w:eastAsia="Times New Roman" w:hAnsi="Arial" w:cs="Arial"/>
          <w:sz w:val="20"/>
          <w:szCs w:val="20"/>
        </w:rPr>
        <w:t>, 2024; Talukdar et al., 2025</w:t>
      </w:r>
      <w:r w:rsidRPr="001F5558">
        <w:rPr>
          <w:rFonts w:ascii="Arial" w:eastAsia="Times New Roman" w:hAnsi="Arial" w:cs="Arial"/>
          <w:sz w:val="20"/>
          <w:szCs w:val="20"/>
        </w:rPr>
        <w:t xml:space="preserve">). </w:t>
      </w:r>
      <w:r w:rsidR="00617710" w:rsidRPr="001F5558">
        <w:rPr>
          <w:rFonts w:ascii="Arial" w:eastAsia="Times New Roman" w:hAnsi="Arial" w:cs="Arial"/>
          <w:sz w:val="20"/>
          <w:szCs w:val="20"/>
        </w:rPr>
        <w:t>HTN is a complication in many kidney diseases, including CKD, and u</w:t>
      </w:r>
      <w:r w:rsidR="005964B1" w:rsidRPr="001F5558">
        <w:rPr>
          <w:rFonts w:ascii="Arial" w:eastAsia="Times New Roman" w:hAnsi="Arial" w:cs="Arial"/>
          <w:sz w:val="20"/>
          <w:szCs w:val="20"/>
        </w:rPr>
        <w:t xml:space="preserve">ncontrolled HTN has a marked relationship with cardiovascular disease and exists as a leading cause of cardiac morbidity and mortality (Hebert </w:t>
      </w:r>
      <w:r w:rsidR="00D720B9" w:rsidRPr="001F5558">
        <w:rPr>
          <w:rFonts w:ascii="Arial" w:eastAsia="Times New Roman" w:hAnsi="Arial" w:cs="Arial"/>
          <w:sz w:val="20"/>
          <w:szCs w:val="20"/>
        </w:rPr>
        <w:t xml:space="preserve">&amp; </w:t>
      </w:r>
      <w:r w:rsidR="00D720B9" w:rsidRPr="001F5558">
        <w:rPr>
          <w:rFonts w:ascii="Arial" w:hAnsi="Arial" w:cs="Arial"/>
          <w:sz w:val="20"/>
          <w:szCs w:val="20"/>
        </w:rPr>
        <w:t>Ibrahim</w:t>
      </w:r>
      <w:r w:rsidR="005964B1" w:rsidRPr="001F5558">
        <w:rPr>
          <w:rFonts w:ascii="Arial" w:eastAsia="Times New Roman" w:hAnsi="Arial" w:cs="Arial"/>
          <w:sz w:val="20"/>
          <w:szCs w:val="20"/>
        </w:rPr>
        <w:t xml:space="preserve">, 2022; </w:t>
      </w:r>
      <w:proofErr w:type="spellStart"/>
      <w:r w:rsidR="005964B1" w:rsidRPr="001F5558">
        <w:rPr>
          <w:rFonts w:ascii="Arial" w:eastAsia="Times New Roman" w:hAnsi="Arial" w:cs="Arial"/>
          <w:sz w:val="20"/>
          <w:szCs w:val="20"/>
        </w:rPr>
        <w:t>Georgianos</w:t>
      </w:r>
      <w:proofErr w:type="spellEnd"/>
      <w:r w:rsidR="00F12A30" w:rsidRPr="001F5558">
        <w:rPr>
          <w:rFonts w:ascii="Arial" w:eastAsia="Times New Roman" w:hAnsi="Arial" w:cs="Arial"/>
          <w:sz w:val="20"/>
          <w:szCs w:val="20"/>
        </w:rPr>
        <w:t xml:space="preserve"> &amp; </w:t>
      </w:r>
      <w:r w:rsidR="00F12A30" w:rsidRPr="001F5558">
        <w:rPr>
          <w:rFonts w:ascii="Arial" w:hAnsi="Arial" w:cs="Arial"/>
          <w:sz w:val="20"/>
          <w:szCs w:val="20"/>
        </w:rPr>
        <w:t>Agarwal,</w:t>
      </w:r>
      <w:r w:rsidR="005964B1" w:rsidRPr="001F5558">
        <w:rPr>
          <w:rFonts w:ascii="Arial" w:eastAsia="Times New Roman" w:hAnsi="Arial" w:cs="Arial"/>
          <w:sz w:val="20"/>
          <w:szCs w:val="20"/>
        </w:rPr>
        <w:t xml:space="preserve"> 2023). Moreover, </w:t>
      </w:r>
      <w:r w:rsidR="00C62E33" w:rsidRPr="001F5558">
        <w:rPr>
          <w:rFonts w:ascii="Arial" w:eastAsia="Times New Roman" w:hAnsi="Arial" w:cs="Arial"/>
          <w:sz w:val="20"/>
          <w:szCs w:val="20"/>
        </w:rPr>
        <w:t xml:space="preserve">primary and secondary HTN, </w:t>
      </w:r>
      <w:r w:rsidR="00617710" w:rsidRPr="001F5558">
        <w:rPr>
          <w:rFonts w:ascii="Arial" w:eastAsia="Times New Roman" w:hAnsi="Arial" w:cs="Arial"/>
          <w:sz w:val="20"/>
          <w:szCs w:val="20"/>
        </w:rPr>
        <w:t>elevated nighttime BP</w:t>
      </w:r>
      <w:r w:rsidR="00C62E33" w:rsidRPr="001F5558">
        <w:rPr>
          <w:rFonts w:ascii="Arial" w:eastAsia="Times New Roman" w:hAnsi="Arial" w:cs="Arial"/>
          <w:sz w:val="20"/>
          <w:szCs w:val="20"/>
        </w:rPr>
        <w:t>,</w:t>
      </w:r>
      <w:r w:rsidR="00617710" w:rsidRPr="001F5558">
        <w:rPr>
          <w:rFonts w:ascii="Arial" w:eastAsia="Times New Roman" w:hAnsi="Arial" w:cs="Arial"/>
          <w:sz w:val="20"/>
          <w:szCs w:val="20"/>
        </w:rPr>
        <w:t xml:space="preserve"> masked </w:t>
      </w:r>
      <w:r w:rsidR="00C62E33" w:rsidRPr="001F5558">
        <w:rPr>
          <w:rFonts w:ascii="Arial" w:eastAsia="Times New Roman" w:hAnsi="Arial" w:cs="Arial"/>
          <w:sz w:val="20"/>
          <w:szCs w:val="20"/>
        </w:rPr>
        <w:t>HTN, uncontrolled HTN, and treatment-resistant HTN</w:t>
      </w:r>
      <w:r w:rsidR="00617710" w:rsidRPr="001F5558">
        <w:rPr>
          <w:rFonts w:ascii="Arial" w:eastAsia="Times New Roman" w:hAnsi="Arial" w:cs="Arial"/>
          <w:sz w:val="20"/>
          <w:szCs w:val="20"/>
        </w:rPr>
        <w:t xml:space="preserve"> are common</w:t>
      </w:r>
      <w:r w:rsidR="00C62E33" w:rsidRPr="001F5558">
        <w:rPr>
          <w:rFonts w:ascii="Arial" w:eastAsia="Times New Roman" w:hAnsi="Arial" w:cs="Arial"/>
          <w:sz w:val="20"/>
          <w:szCs w:val="20"/>
        </w:rPr>
        <w:t xml:space="preserve"> </w:t>
      </w:r>
      <w:r w:rsidR="00617710" w:rsidRPr="001F5558">
        <w:rPr>
          <w:rFonts w:ascii="Arial" w:eastAsia="Times New Roman" w:hAnsi="Arial" w:cs="Arial"/>
          <w:sz w:val="20"/>
          <w:szCs w:val="20"/>
        </w:rPr>
        <w:t>CKD</w:t>
      </w:r>
      <w:r w:rsidR="00C62E33" w:rsidRPr="001F5558">
        <w:rPr>
          <w:rFonts w:ascii="Arial" w:eastAsia="Times New Roman" w:hAnsi="Arial" w:cs="Arial"/>
          <w:sz w:val="20"/>
          <w:szCs w:val="20"/>
        </w:rPr>
        <w:t xml:space="preserve">. Notably, such clinical HTN conditions </w:t>
      </w:r>
      <w:r w:rsidR="00617710" w:rsidRPr="001F5558">
        <w:rPr>
          <w:rFonts w:ascii="Arial" w:eastAsia="Times New Roman" w:hAnsi="Arial" w:cs="Arial"/>
          <w:sz w:val="20"/>
          <w:szCs w:val="20"/>
        </w:rPr>
        <w:t xml:space="preserve">are associated with lower eGFR, higher levels of albuminuria, progression to </w:t>
      </w:r>
      <w:r w:rsidR="005E5BC2" w:rsidRPr="001F5558">
        <w:rPr>
          <w:rFonts w:ascii="Arial" w:eastAsia="Times New Roman" w:hAnsi="Arial" w:cs="Arial"/>
          <w:sz w:val="20"/>
          <w:szCs w:val="20"/>
        </w:rPr>
        <w:t>ESRD, and</w:t>
      </w:r>
      <w:r w:rsidR="00617710" w:rsidRPr="001F5558">
        <w:rPr>
          <w:rFonts w:ascii="Arial" w:eastAsia="Times New Roman" w:hAnsi="Arial" w:cs="Arial"/>
          <w:sz w:val="20"/>
          <w:szCs w:val="20"/>
        </w:rPr>
        <w:t xml:space="preserve"> organ damage</w:t>
      </w:r>
      <w:r w:rsidR="00C62E33" w:rsidRPr="001F5558">
        <w:rPr>
          <w:rFonts w:ascii="Arial" w:eastAsia="Times New Roman" w:hAnsi="Arial" w:cs="Arial"/>
          <w:sz w:val="20"/>
          <w:szCs w:val="20"/>
        </w:rPr>
        <w:t>,</w:t>
      </w:r>
      <w:r w:rsidR="00617710" w:rsidRPr="001F5558">
        <w:rPr>
          <w:rFonts w:ascii="Arial" w:eastAsia="Times New Roman" w:hAnsi="Arial" w:cs="Arial"/>
          <w:sz w:val="20"/>
          <w:szCs w:val="20"/>
        </w:rPr>
        <w:t xml:space="preserve"> </w:t>
      </w:r>
      <w:r w:rsidR="00C62E33" w:rsidRPr="001F5558">
        <w:rPr>
          <w:rFonts w:ascii="Arial" w:eastAsia="Times New Roman" w:hAnsi="Arial" w:cs="Arial"/>
          <w:sz w:val="20"/>
          <w:szCs w:val="20"/>
        </w:rPr>
        <w:t xml:space="preserve">and </w:t>
      </w:r>
      <w:r w:rsidR="00617710" w:rsidRPr="001F5558">
        <w:rPr>
          <w:rFonts w:ascii="Arial" w:eastAsia="Times New Roman" w:hAnsi="Arial" w:cs="Arial"/>
          <w:sz w:val="20"/>
          <w:szCs w:val="20"/>
        </w:rPr>
        <w:t xml:space="preserve">adverse cardiovascular outcomes </w:t>
      </w:r>
      <w:r w:rsidR="00C62E33" w:rsidRPr="001F5558">
        <w:rPr>
          <w:rFonts w:ascii="Arial" w:eastAsia="Times New Roman" w:hAnsi="Arial" w:cs="Arial"/>
          <w:sz w:val="20"/>
          <w:szCs w:val="20"/>
        </w:rPr>
        <w:t>(</w:t>
      </w:r>
      <w:r w:rsidR="005762A5" w:rsidRPr="001F5558">
        <w:rPr>
          <w:rFonts w:ascii="Arial" w:eastAsia="Times New Roman" w:hAnsi="Arial" w:cs="Arial"/>
          <w:sz w:val="20"/>
          <w:szCs w:val="20"/>
        </w:rPr>
        <w:t xml:space="preserve">Forbes et al., 2020; </w:t>
      </w:r>
      <w:r w:rsidR="005E5BC2" w:rsidRPr="001F5558">
        <w:rPr>
          <w:rFonts w:ascii="Arial" w:hAnsi="Arial" w:cs="Arial"/>
          <w:sz w:val="20"/>
          <w:szCs w:val="20"/>
        </w:rPr>
        <w:t xml:space="preserve">KDIGO 2024; </w:t>
      </w:r>
      <w:r w:rsidR="00283304" w:rsidRPr="001F5558">
        <w:rPr>
          <w:rFonts w:ascii="Arial" w:hAnsi="Arial" w:cs="Arial"/>
          <w:sz w:val="20"/>
          <w:szCs w:val="20"/>
        </w:rPr>
        <w:t>Pethő</w:t>
      </w:r>
      <w:r w:rsidR="00283304" w:rsidRPr="001F5558">
        <w:rPr>
          <w:rFonts w:ascii="Arial" w:eastAsia="Times New Roman" w:hAnsi="Arial" w:cs="Arial"/>
          <w:sz w:val="20"/>
          <w:szCs w:val="20"/>
        </w:rPr>
        <w:t xml:space="preserve"> </w:t>
      </w:r>
      <w:r w:rsidR="005E5BC2" w:rsidRPr="001F5558">
        <w:rPr>
          <w:rFonts w:ascii="Arial" w:hAnsi="Arial" w:cs="Arial"/>
          <w:sz w:val="20"/>
          <w:szCs w:val="20"/>
        </w:rPr>
        <w:t xml:space="preserve">et al., 2024; </w:t>
      </w:r>
      <w:proofErr w:type="spellStart"/>
      <w:r w:rsidR="005E5BC2" w:rsidRPr="001F5558">
        <w:rPr>
          <w:rFonts w:ascii="Arial" w:eastAsia="Times New Roman" w:hAnsi="Arial" w:cs="Arial"/>
          <w:sz w:val="20"/>
          <w:szCs w:val="20"/>
        </w:rPr>
        <w:t>Theodorakopoulou</w:t>
      </w:r>
      <w:proofErr w:type="spellEnd"/>
      <w:r w:rsidR="005E5BC2" w:rsidRPr="001F5558">
        <w:rPr>
          <w:rFonts w:ascii="Arial" w:eastAsia="Times New Roman" w:hAnsi="Arial" w:cs="Arial"/>
          <w:sz w:val="20"/>
          <w:szCs w:val="20"/>
        </w:rPr>
        <w:t xml:space="preserve"> et al., 2024</w:t>
      </w:r>
      <w:r w:rsidR="00C62E33" w:rsidRPr="001F5558">
        <w:rPr>
          <w:rFonts w:ascii="Arial" w:eastAsia="Times New Roman" w:hAnsi="Arial" w:cs="Arial"/>
          <w:sz w:val="20"/>
          <w:szCs w:val="20"/>
        </w:rPr>
        <w:t>)</w:t>
      </w:r>
      <w:r w:rsidR="00617710" w:rsidRPr="001F5558">
        <w:rPr>
          <w:rFonts w:ascii="Arial" w:eastAsia="Times New Roman" w:hAnsi="Arial" w:cs="Arial"/>
          <w:sz w:val="20"/>
          <w:szCs w:val="20"/>
        </w:rPr>
        <w:t xml:space="preserve">. Therefore, </w:t>
      </w:r>
      <w:r w:rsidR="005964B1" w:rsidRPr="001F5558">
        <w:rPr>
          <w:rFonts w:ascii="Arial" w:eastAsia="Times New Roman" w:hAnsi="Arial" w:cs="Arial"/>
          <w:sz w:val="20"/>
          <w:szCs w:val="20"/>
        </w:rPr>
        <w:t xml:space="preserve">HTN remains a leading </w:t>
      </w:r>
      <w:r w:rsidR="005E5BC2" w:rsidRPr="001F5558">
        <w:rPr>
          <w:rFonts w:ascii="Arial" w:eastAsia="Times New Roman" w:hAnsi="Arial" w:cs="Arial"/>
          <w:sz w:val="20"/>
          <w:szCs w:val="20"/>
        </w:rPr>
        <w:t>attributable</w:t>
      </w:r>
      <w:r w:rsidR="005964B1" w:rsidRPr="001F5558">
        <w:rPr>
          <w:rFonts w:ascii="Arial" w:eastAsia="Times New Roman" w:hAnsi="Arial" w:cs="Arial"/>
          <w:sz w:val="20"/>
          <w:szCs w:val="20"/>
        </w:rPr>
        <w:t xml:space="preserve"> cause </w:t>
      </w:r>
      <w:r w:rsidR="002752F5" w:rsidRPr="001F5558">
        <w:rPr>
          <w:rFonts w:ascii="Arial" w:eastAsia="Times New Roman" w:hAnsi="Arial" w:cs="Arial"/>
          <w:sz w:val="20"/>
          <w:szCs w:val="20"/>
        </w:rPr>
        <w:t xml:space="preserve">and modifiable risk factor </w:t>
      </w:r>
      <w:r w:rsidR="005964B1" w:rsidRPr="001F5558">
        <w:rPr>
          <w:rFonts w:ascii="Arial" w:eastAsia="Times New Roman" w:hAnsi="Arial" w:cs="Arial"/>
          <w:sz w:val="20"/>
          <w:szCs w:val="20"/>
        </w:rPr>
        <w:t xml:space="preserve">of </w:t>
      </w:r>
      <w:r w:rsidR="002752F5" w:rsidRPr="001F5558">
        <w:rPr>
          <w:rFonts w:ascii="Arial" w:eastAsia="Times New Roman" w:hAnsi="Arial" w:cs="Arial"/>
          <w:sz w:val="20"/>
          <w:szCs w:val="20"/>
        </w:rPr>
        <w:t xml:space="preserve">CKD and </w:t>
      </w:r>
      <w:r w:rsidR="005964B1" w:rsidRPr="001F5558">
        <w:rPr>
          <w:rFonts w:ascii="Arial" w:eastAsia="Times New Roman" w:hAnsi="Arial" w:cs="Arial"/>
          <w:sz w:val="20"/>
          <w:szCs w:val="20"/>
        </w:rPr>
        <w:t>ESRD</w:t>
      </w:r>
      <w:r w:rsidR="002752F5" w:rsidRPr="001F5558">
        <w:rPr>
          <w:rFonts w:ascii="Arial" w:eastAsia="Times New Roman" w:hAnsi="Arial" w:cs="Arial"/>
          <w:sz w:val="20"/>
          <w:szCs w:val="20"/>
        </w:rPr>
        <w:t>,</w:t>
      </w:r>
      <w:r w:rsidR="005964B1" w:rsidRPr="001F5558">
        <w:rPr>
          <w:rFonts w:ascii="Arial" w:eastAsia="Times New Roman" w:hAnsi="Arial" w:cs="Arial"/>
          <w:sz w:val="20"/>
          <w:szCs w:val="20"/>
        </w:rPr>
        <w:t xml:space="preserve"> and management of HTN is crucial in </w:t>
      </w:r>
      <w:r w:rsidR="002752F5" w:rsidRPr="001F5558">
        <w:rPr>
          <w:rFonts w:ascii="Arial" w:eastAsia="Times New Roman" w:hAnsi="Arial" w:cs="Arial"/>
          <w:sz w:val="20"/>
          <w:szCs w:val="20"/>
        </w:rPr>
        <w:t xml:space="preserve">all stages of </w:t>
      </w:r>
      <w:r w:rsidR="005964B1" w:rsidRPr="001F5558">
        <w:rPr>
          <w:rFonts w:ascii="Arial" w:eastAsia="Times New Roman" w:hAnsi="Arial" w:cs="Arial"/>
          <w:sz w:val="20"/>
          <w:szCs w:val="20"/>
        </w:rPr>
        <w:t>CKD</w:t>
      </w:r>
      <w:r w:rsidR="002752F5" w:rsidRPr="001F5558">
        <w:rPr>
          <w:rFonts w:ascii="Arial" w:eastAsia="Times New Roman" w:hAnsi="Arial" w:cs="Arial"/>
          <w:sz w:val="20"/>
          <w:szCs w:val="20"/>
        </w:rPr>
        <w:t xml:space="preserve"> since </w:t>
      </w:r>
      <w:r w:rsidR="005964B1" w:rsidRPr="001F5558">
        <w:rPr>
          <w:rFonts w:ascii="Arial" w:eastAsia="Times New Roman" w:hAnsi="Arial" w:cs="Arial"/>
          <w:sz w:val="20"/>
          <w:szCs w:val="20"/>
        </w:rPr>
        <w:t>controlled and sustained blood pressure within the normal range leads to slowing of disease progression along with reduced cardiovascular disease risk (</w:t>
      </w:r>
      <w:r w:rsidR="00FF5BA7" w:rsidRPr="001F5558">
        <w:rPr>
          <w:rFonts w:ascii="Arial" w:eastAsia="Times New Roman" w:hAnsi="Arial" w:cs="Arial"/>
          <w:sz w:val="20"/>
          <w:szCs w:val="20"/>
        </w:rPr>
        <w:t xml:space="preserve">Ku </w:t>
      </w:r>
      <w:r w:rsidR="005964B1" w:rsidRPr="001F5558">
        <w:rPr>
          <w:rFonts w:ascii="Arial" w:eastAsia="Times New Roman" w:hAnsi="Arial" w:cs="Arial"/>
          <w:sz w:val="20"/>
          <w:szCs w:val="20"/>
        </w:rPr>
        <w:t xml:space="preserve">et al., 2019; Pugh et al., 2019; </w:t>
      </w:r>
      <w:proofErr w:type="spellStart"/>
      <w:r w:rsidR="00FF5BA7" w:rsidRPr="001F5558">
        <w:rPr>
          <w:rFonts w:ascii="Arial" w:eastAsia="Times New Roman" w:hAnsi="Arial" w:cs="Arial"/>
          <w:sz w:val="20"/>
          <w:szCs w:val="20"/>
        </w:rPr>
        <w:t>Georgianos</w:t>
      </w:r>
      <w:proofErr w:type="spellEnd"/>
      <w:r w:rsidR="00FF5BA7" w:rsidRPr="001F5558">
        <w:rPr>
          <w:rFonts w:ascii="Arial" w:eastAsia="Times New Roman" w:hAnsi="Arial" w:cs="Arial"/>
          <w:sz w:val="20"/>
          <w:szCs w:val="20"/>
        </w:rPr>
        <w:t xml:space="preserve"> &amp; </w:t>
      </w:r>
      <w:r w:rsidR="00FF5BA7" w:rsidRPr="001F5558">
        <w:rPr>
          <w:rFonts w:ascii="Arial" w:hAnsi="Arial" w:cs="Arial"/>
          <w:sz w:val="20"/>
          <w:szCs w:val="20"/>
        </w:rPr>
        <w:t>Agarwal,</w:t>
      </w:r>
      <w:r w:rsidR="00FF5BA7" w:rsidRPr="001F5558">
        <w:rPr>
          <w:rFonts w:ascii="Arial" w:eastAsia="Times New Roman" w:hAnsi="Arial" w:cs="Arial"/>
          <w:sz w:val="20"/>
          <w:szCs w:val="20"/>
        </w:rPr>
        <w:t xml:space="preserve"> 2023</w:t>
      </w:r>
      <w:r w:rsidR="005964B1" w:rsidRPr="001F5558">
        <w:rPr>
          <w:rFonts w:ascii="Arial" w:eastAsia="Times New Roman" w:hAnsi="Arial" w:cs="Arial"/>
          <w:sz w:val="20"/>
          <w:szCs w:val="20"/>
        </w:rPr>
        <w:t>).</w:t>
      </w:r>
      <w:r w:rsidR="005964B1" w:rsidRPr="001F5558">
        <w:rPr>
          <w:rFonts w:ascii="Arial" w:eastAsia="Times New Roman" w:hAnsi="Arial" w:cs="Arial"/>
          <w:bCs/>
          <w:sz w:val="20"/>
          <w:szCs w:val="20"/>
        </w:rPr>
        <w:t xml:space="preserve"> </w:t>
      </w:r>
    </w:p>
    <w:p w14:paraId="58F9EFB3" w14:textId="77777777" w:rsidR="00020A66" w:rsidRPr="001F5558" w:rsidRDefault="00020A66" w:rsidP="00257B59">
      <w:pPr>
        <w:spacing w:after="0" w:line="240" w:lineRule="auto"/>
        <w:jc w:val="both"/>
        <w:rPr>
          <w:rFonts w:ascii="Arial" w:eastAsia="Times New Roman" w:hAnsi="Arial" w:cs="Arial"/>
          <w:b/>
          <w:bCs/>
          <w:sz w:val="20"/>
          <w:szCs w:val="20"/>
        </w:rPr>
      </w:pPr>
    </w:p>
    <w:p w14:paraId="12454BAE" w14:textId="6605171A" w:rsidR="00871947" w:rsidRPr="001F5558" w:rsidRDefault="00871947" w:rsidP="00257B59">
      <w:pPr>
        <w:spacing w:after="0" w:line="240" w:lineRule="auto"/>
        <w:jc w:val="both"/>
        <w:rPr>
          <w:rFonts w:ascii="Arial" w:eastAsia="Times New Roman" w:hAnsi="Arial" w:cs="Arial"/>
          <w:b/>
          <w:bCs/>
        </w:rPr>
      </w:pPr>
      <w:r w:rsidRPr="001F5558">
        <w:rPr>
          <w:rFonts w:ascii="Arial" w:eastAsia="Times New Roman" w:hAnsi="Arial" w:cs="Arial"/>
          <w:b/>
          <w:bCs/>
        </w:rPr>
        <w:t>1.4. Assessment</w:t>
      </w:r>
      <w:r w:rsidRPr="001F5558">
        <w:rPr>
          <w:rFonts w:ascii="Arial" w:eastAsia="Times New Roman" w:hAnsi="Arial" w:cs="Arial"/>
        </w:rPr>
        <w:t xml:space="preserve"> </w:t>
      </w:r>
      <w:r w:rsidRPr="001F5558">
        <w:rPr>
          <w:rFonts w:ascii="Arial" w:eastAsia="Times New Roman" w:hAnsi="Arial" w:cs="Arial"/>
          <w:b/>
          <w:bCs/>
        </w:rPr>
        <w:t>of hypertension in CKD</w:t>
      </w:r>
    </w:p>
    <w:p w14:paraId="5AC64674" w14:textId="77777777" w:rsidR="00654D05" w:rsidRPr="001F5558" w:rsidRDefault="00654D05" w:rsidP="00257B59">
      <w:pPr>
        <w:spacing w:after="0" w:line="240" w:lineRule="auto"/>
        <w:jc w:val="both"/>
        <w:rPr>
          <w:rFonts w:ascii="Arial" w:eastAsia="Times New Roman" w:hAnsi="Arial" w:cs="Arial"/>
          <w:b/>
          <w:bCs/>
          <w:sz w:val="20"/>
          <w:szCs w:val="20"/>
        </w:rPr>
      </w:pPr>
    </w:p>
    <w:p w14:paraId="003527D2" w14:textId="084055E5" w:rsidR="00871947" w:rsidRPr="001F5558" w:rsidRDefault="00833502" w:rsidP="00257B59">
      <w:pPr>
        <w:spacing w:after="0" w:line="240" w:lineRule="auto"/>
        <w:jc w:val="both"/>
        <w:rPr>
          <w:rFonts w:ascii="Arial" w:eastAsia="Times New Roman" w:hAnsi="Arial" w:cs="Arial"/>
          <w:bCs/>
          <w:sz w:val="20"/>
          <w:szCs w:val="20"/>
        </w:rPr>
      </w:pPr>
      <w:r w:rsidRPr="001F5558">
        <w:rPr>
          <w:rFonts w:ascii="Arial" w:eastAsia="Times New Roman" w:hAnsi="Arial" w:cs="Arial"/>
          <w:bCs/>
          <w:sz w:val="20"/>
          <w:szCs w:val="20"/>
        </w:rPr>
        <w:t xml:space="preserve">Importantly, measurement of BP remains the first choice for diagnosis and management of HTN. Several clinical practice guidelines recommend the use of standardized office BP readings owing to the user-friendly device, ease of recording, allowing uniformity of the setting, the conditions of measurement, the patient position, the measurement schedule and the interpretation of the results (Mancia et al., 2023; KDIGO 2024; </w:t>
      </w:r>
      <w:proofErr w:type="spellStart"/>
      <w:r w:rsidRPr="001F5558">
        <w:rPr>
          <w:rFonts w:ascii="Arial" w:eastAsia="Times New Roman" w:hAnsi="Arial" w:cs="Arial"/>
          <w:bCs/>
          <w:sz w:val="20"/>
          <w:szCs w:val="20"/>
        </w:rPr>
        <w:t>Theodorakopoulou</w:t>
      </w:r>
      <w:proofErr w:type="spellEnd"/>
      <w:r w:rsidRPr="001F5558">
        <w:rPr>
          <w:rFonts w:ascii="Arial" w:eastAsia="Times New Roman" w:hAnsi="Arial" w:cs="Arial"/>
          <w:bCs/>
          <w:sz w:val="20"/>
          <w:szCs w:val="20"/>
        </w:rPr>
        <w:t xml:space="preserve"> et al., 2024).</w:t>
      </w:r>
      <w:r w:rsidR="00085376" w:rsidRPr="001F5558">
        <w:rPr>
          <w:rFonts w:ascii="Arial" w:eastAsia="Times New Roman" w:hAnsi="Arial" w:cs="Arial"/>
          <w:bCs/>
          <w:sz w:val="20"/>
          <w:szCs w:val="20"/>
        </w:rPr>
        <w:t xml:space="preserve"> Guidelines recommend that office BP should be measured in standardized conditions using validated automatic electronic, upper-arm cuff devices. Hybrid manual auscultatory devices with LCD or LED display, or digital countdown, or shock-resistant aneroid devices can be used if automated devices are not available. Cuffless BP devices should not be used for the evaluation or management of hypertension in clinical practice (</w:t>
      </w:r>
      <w:r w:rsidR="00283304" w:rsidRPr="001F5558">
        <w:rPr>
          <w:rFonts w:ascii="Arial" w:hAnsi="Arial" w:cs="Arial"/>
          <w:bCs/>
          <w:sz w:val="20"/>
          <w:szCs w:val="20"/>
        </w:rPr>
        <w:t>Pethő</w:t>
      </w:r>
      <w:r w:rsidR="00283304" w:rsidRPr="001F5558">
        <w:rPr>
          <w:rFonts w:ascii="Arial" w:eastAsia="Times New Roman" w:hAnsi="Arial" w:cs="Arial"/>
          <w:bCs/>
          <w:sz w:val="20"/>
          <w:szCs w:val="20"/>
        </w:rPr>
        <w:t xml:space="preserve"> </w:t>
      </w:r>
      <w:r w:rsidR="00085376" w:rsidRPr="001F5558">
        <w:rPr>
          <w:rFonts w:ascii="Arial" w:hAnsi="Arial" w:cs="Arial"/>
          <w:bCs/>
          <w:sz w:val="20"/>
          <w:szCs w:val="20"/>
        </w:rPr>
        <w:t>et al., 2024;</w:t>
      </w:r>
      <w:r w:rsidR="00283304" w:rsidRPr="001F5558">
        <w:rPr>
          <w:rFonts w:ascii="Arial" w:hAnsi="Arial" w:cs="Arial"/>
          <w:bCs/>
          <w:sz w:val="20"/>
          <w:szCs w:val="20"/>
        </w:rPr>
        <w:t xml:space="preserve"> </w:t>
      </w:r>
      <w:proofErr w:type="spellStart"/>
      <w:r w:rsidR="00085376" w:rsidRPr="001F5558">
        <w:rPr>
          <w:rFonts w:ascii="Arial" w:eastAsia="Times New Roman" w:hAnsi="Arial" w:cs="Arial"/>
          <w:bCs/>
          <w:sz w:val="20"/>
          <w:szCs w:val="20"/>
        </w:rPr>
        <w:t>Theodorakopoulou</w:t>
      </w:r>
      <w:proofErr w:type="spellEnd"/>
      <w:r w:rsidR="00085376" w:rsidRPr="001F5558">
        <w:rPr>
          <w:rFonts w:ascii="Arial" w:eastAsia="Times New Roman" w:hAnsi="Arial" w:cs="Arial"/>
          <w:bCs/>
          <w:sz w:val="20"/>
          <w:szCs w:val="20"/>
        </w:rPr>
        <w:t xml:space="preserve"> et al., 2024).</w:t>
      </w:r>
    </w:p>
    <w:p w14:paraId="1E8BD48D" w14:textId="77777777" w:rsidR="00A6588D" w:rsidRPr="001F5558" w:rsidRDefault="00A6588D" w:rsidP="00257B59">
      <w:pPr>
        <w:spacing w:after="0" w:line="240" w:lineRule="auto"/>
        <w:jc w:val="both"/>
        <w:rPr>
          <w:rFonts w:ascii="Arial" w:eastAsia="Times New Roman" w:hAnsi="Arial" w:cs="Arial"/>
          <w:bCs/>
          <w:sz w:val="20"/>
          <w:szCs w:val="20"/>
        </w:rPr>
      </w:pPr>
    </w:p>
    <w:p w14:paraId="26108268" w14:textId="07934FCB" w:rsidR="003A64C8" w:rsidRPr="001F5558" w:rsidRDefault="003A64C8" w:rsidP="00257B59">
      <w:pPr>
        <w:spacing w:after="0" w:line="240" w:lineRule="auto"/>
        <w:jc w:val="both"/>
        <w:rPr>
          <w:rFonts w:ascii="Arial" w:eastAsia="Times New Roman" w:hAnsi="Arial" w:cs="Arial"/>
          <w:b/>
          <w:bCs/>
        </w:rPr>
      </w:pPr>
      <w:r w:rsidRPr="001F5558">
        <w:rPr>
          <w:rFonts w:ascii="Arial" w:eastAsia="Times New Roman" w:hAnsi="Arial" w:cs="Arial"/>
          <w:b/>
          <w:bCs/>
        </w:rPr>
        <w:t>2. MANAGEMENT</w:t>
      </w:r>
      <w:r w:rsidRPr="001F5558">
        <w:rPr>
          <w:rFonts w:ascii="Arial" w:eastAsia="Times New Roman" w:hAnsi="Arial" w:cs="Arial"/>
        </w:rPr>
        <w:t xml:space="preserve"> </w:t>
      </w:r>
      <w:r w:rsidRPr="001F5558">
        <w:rPr>
          <w:rFonts w:ascii="Arial" w:eastAsia="Times New Roman" w:hAnsi="Arial" w:cs="Arial"/>
          <w:b/>
          <w:bCs/>
        </w:rPr>
        <w:t xml:space="preserve">OF </w:t>
      </w:r>
      <w:r w:rsidR="0056024F" w:rsidRPr="001F5558">
        <w:rPr>
          <w:rFonts w:ascii="Arial" w:eastAsia="Times New Roman" w:hAnsi="Arial" w:cs="Arial"/>
          <w:b/>
          <w:bCs/>
        </w:rPr>
        <w:t>HYPERTENSION</w:t>
      </w:r>
      <w:r w:rsidRPr="001F5558">
        <w:rPr>
          <w:rFonts w:ascii="Arial" w:eastAsia="Times New Roman" w:hAnsi="Arial" w:cs="Arial"/>
          <w:b/>
          <w:bCs/>
        </w:rPr>
        <w:t xml:space="preserve"> IN CKD </w:t>
      </w:r>
    </w:p>
    <w:p w14:paraId="63B550F1" w14:textId="77777777" w:rsidR="00F34DAE" w:rsidRPr="001F5558" w:rsidRDefault="00F34DAE" w:rsidP="00257B59">
      <w:pPr>
        <w:spacing w:after="0" w:line="240" w:lineRule="auto"/>
        <w:jc w:val="both"/>
        <w:rPr>
          <w:rFonts w:ascii="Arial" w:eastAsia="Times New Roman" w:hAnsi="Arial" w:cs="Arial"/>
          <w:b/>
          <w:bCs/>
          <w:sz w:val="20"/>
          <w:szCs w:val="20"/>
        </w:rPr>
      </w:pPr>
    </w:p>
    <w:p w14:paraId="7938C49C" w14:textId="77777777" w:rsidR="009A758F" w:rsidRPr="001F5558" w:rsidRDefault="00671D46" w:rsidP="00257B59">
      <w:pPr>
        <w:spacing w:after="0" w:line="240" w:lineRule="auto"/>
        <w:jc w:val="both"/>
        <w:rPr>
          <w:rFonts w:ascii="Arial" w:eastAsia="Times New Roman" w:hAnsi="Arial" w:cs="Arial"/>
          <w:b/>
          <w:bCs/>
        </w:rPr>
      </w:pPr>
      <w:r w:rsidRPr="001F5558">
        <w:rPr>
          <w:rFonts w:ascii="Arial" w:eastAsia="Times New Roman" w:hAnsi="Arial" w:cs="Arial"/>
          <w:b/>
        </w:rPr>
        <w:t>2.1.</w:t>
      </w:r>
      <w:r w:rsidRPr="001F5558">
        <w:rPr>
          <w:rFonts w:ascii="Arial" w:eastAsia="Times New Roman" w:hAnsi="Arial" w:cs="Arial"/>
          <w:bCs/>
        </w:rPr>
        <w:t xml:space="preserve"> </w:t>
      </w:r>
      <w:r w:rsidRPr="001F5558">
        <w:rPr>
          <w:rFonts w:ascii="Arial" w:eastAsia="Times New Roman" w:hAnsi="Arial" w:cs="Arial"/>
          <w:b/>
        </w:rPr>
        <w:t>Non</w:t>
      </w:r>
      <w:r w:rsidR="00961057" w:rsidRPr="001F5558">
        <w:rPr>
          <w:rFonts w:ascii="Arial" w:eastAsia="Times New Roman" w:hAnsi="Arial" w:cs="Arial"/>
          <w:b/>
        </w:rPr>
        <w:t>-</w:t>
      </w:r>
      <w:r w:rsidRPr="001F5558">
        <w:rPr>
          <w:rFonts w:ascii="Arial" w:eastAsia="Times New Roman" w:hAnsi="Arial" w:cs="Arial"/>
          <w:b/>
          <w:bCs/>
        </w:rPr>
        <w:t>pharmacological management</w:t>
      </w:r>
      <w:r w:rsidRPr="001F5558">
        <w:rPr>
          <w:rFonts w:ascii="Arial" w:eastAsia="Times New Roman" w:hAnsi="Arial" w:cs="Arial"/>
        </w:rPr>
        <w:t xml:space="preserve"> </w:t>
      </w:r>
      <w:r w:rsidRPr="001F5558">
        <w:rPr>
          <w:rFonts w:ascii="Arial" w:eastAsia="Times New Roman" w:hAnsi="Arial" w:cs="Arial"/>
          <w:b/>
          <w:bCs/>
        </w:rPr>
        <w:t>of hypertension in CKD</w:t>
      </w:r>
    </w:p>
    <w:p w14:paraId="20CF5E46" w14:textId="32D38F9A" w:rsidR="00671D46" w:rsidRPr="001F5558" w:rsidRDefault="00671D46" w:rsidP="00257B59">
      <w:pPr>
        <w:spacing w:after="0" w:line="240" w:lineRule="auto"/>
        <w:jc w:val="both"/>
        <w:rPr>
          <w:rFonts w:ascii="Arial" w:eastAsia="Times New Roman" w:hAnsi="Arial" w:cs="Arial"/>
          <w:b/>
          <w:bCs/>
        </w:rPr>
      </w:pPr>
      <w:r w:rsidRPr="001F5558">
        <w:rPr>
          <w:rFonts w:ascii="Arial" w:eastAsia="Times New Roman" w:hAnsi="Arial" w:cs="Arial"/>
          <w:b/>
          <w:bCs/>
        </w:rPr>
        <w:t xml:space="preserve"> </w:t>
      </w:r>
    </w:p>
    <w:p w14:paraId="097684F7" w14:textId="7452F643" w:rsidR="002C3744" w:rsidRPr="001F5558" w:rsidRDefault="002C3744" w:rsidP="00257B59">
      <w:pPr>
        <w:spacing w:after="0" w:line="240" w:lineRule="auto"/>
        <w:jc w:val="both"/>
        <w:rPr>
          <w:rFonts w:ascii="Arial" w:eastAsia="Times New Roman" w:hAnsi="Arial" w:cs="Arial"/>
          <w:bCs/>
          <w:sz w:val="20"/>
          <w:szCs w:val="20"/>
        </w:rPr>
      </w:pPr>
      <w:r w:rsidRPr="001F5558">
        <w:rPr>
          <w:rFonts w:ascii="Arial" w:eastAsia="Times New Roman" w:hAnsi="Arial" w:cs="Arial"/>
          <w:bCs/>
          <w:sz w:val="20"/>
          <w:szCs w:val="20"/>
        </w:rPr>
        <w:t>The initial approach to treating HTN, especially in individuals with CKD, should prioritize nonpharmacologic methods. Dietary interventions form the cornerstone of nonpharmacologic therapy. A diet abundant in fruits and vegetables, while low in saturated or unsaturated fats, such as the dietary approach to stop hypertension (DASH) diet, Mediterranean diet may result in a moderate decrease in blood pressure by 10 mmHg for individuals with HTN (</w:t>
      </w:r>
      <w:r w:rsidR="00654D05" w:rsidRPr="001F5558">
        <w:rPr>
          <w:rFonts w:ascii="Arial" w:eastAsia="Times New Roman" w:hAnsi="Arial" w:cs="Arial"/>
          <w:bCs/>
          <w:sz w:val="20"/>
          <w:szCs w:val="20"/>
        </w:rPr>
        <w:t xml:space="preserve">Ku </w:t>
      </w:r>
      <w:r w:rsidRPr="001F5558">
        <w:rPr>
          <w:rFonts w:ascii="Arial" w:eastAsia="Times New Roman" w:hAnsi="Arial" w:cs="Arial"/>
          <w:bCs/>
          <w:sz w:val="20"/>
          <w:szCs w:val="20"/>
        </w:rPr>
        <w:t>et al., 2019</w:t>
      </w:r>
      <w:r w:rsidR="003136E1" w:rsidRPr="001F5558">
        <w:rPr>
          <w:rFonts w:ascii="Arial" w:eastAsia="Times New Roman" w:hAnsi="Arial" w:cs="Arial"/>
          <w:bCs/>
          <w:sz w:val="20"/>
          <w:szCs w:val="20"/>
        </w:rPr>
        <w:t xml:space="preserve">; </w:t>
      </w:r>
      <w:proofErr w:type="spellStart"/>
      <w:r w:rsidR="003136E1" w:rsidRPr="001F5558">
        <w:rPr>
          <w:rFonts w:ascii="Arial" w:hAnsi="Arial" w:cs="Arial"/>
          <w:bCs/>
          <w:sz w:val="20"/>
          <w:szCs w:val="20"/>
        </w:rPr>
        <w:t>Alsalloum</w:t>
      </w:r>
      <w:proofErr w:type="spellEnd"/>
      <w:r w:rsidR="003136E1" w:rsidRPr="001F5558">
        <w:rPr>
          <w:rFonts w:ascii="Arial" w:hAnsi="Arial" w:cs="Arial"/>
          <w:bCs/>
          <w:sz w:val="20"/>
          <w:szCs w:val="20"/>
        </w:rPr>
        <w:t xml:space="preserve"> et al., 2025</w:t>
      </w:r>
      <w:r w:rsidRPr="001F5558">
        <w:rPr>
          <w:rFonts w:ascii="Arial" w:eastAsia="Times New Roman" w:hAnsi="Arial" w:cs="Arial"/>
          <w:bCs/>
          <w:sz w:val="20"/>
          <w:szCs w:val="20"/>
        </w:rPr>
        <w:t>). Restricting sodium intake to less than 2 grams daily and boosting potassium intake to 3 to 4 grams/day can result in a decrease in blood pressure for hypertensive patients, but maintaining a high potassium intake might pose challenges for individuals with advanced chronic kidney disease (like stage 4 or 5), potentially leading to hyperkalemia (</w:t>
      </w:r>
      <w:r w:rsidR="00654D05" w:rsidRPr="001F5558">
        <w:rPr>
          <w:rFonts w:ascii="Arial" w:eastAsia="Times New Roman" w:hAnsi="Arial" w:cs="Arial"/>
          <w:bCs/>
          <w:sz w:val="20"/>
          <w:szCs w:val="20"/>
        </w:rPr>
        <w:t xml:space="preserve">Ku </w:t>
      </w:r>
      <w:r w:rsidRPr="001F5558">
        <w:rPr>
          <w:rFonts w:ascii="Arial" w:eastAsia="Times New Roman" w:hAnsi="Arial" w:cs="Arial"/>
          <w:bCs/>
          <w:sz w:val="20"/>
          <w:szCs w:val="20"/>
        </w:rPr>
        <w:t xml:space="preserve">et al., 2019; Hebert </w:t>
      </w:r>
      <w:r w:rsidR="00654D05" w:rsidRPr="001F5558">
        <w:rPr>
          <w:rFonts w:ascii="Arial" w:eastAsia="Times New Roman" w:hAnsi="Arial" w:cs="Arial"/>
          <w:bCs/>
          <w:sz w:val="20"/>
          <w:szCs w:val="20"/>
        </w:rPr>
        <w:t xml:space="preserve">&amp; </w:t>
      </w:r>
      <w:r w:rsidR="00654D05" w:rsidRPr="001F5558">
        <w:rPr>
          <w:rFonts w:ascii="Arial" w:hAnsi="Arial" w:cs="Arial"/>
          <w:bCs/>
          <w:sz w:val="20"/>
          <w:szCs w:val="20"/>
        </w:rPr>
        <w:t>Ibrahim</w:t>
      </w:r>
      <w:r w:rsidRPr="001F5558">
        <w:rPr>
          <w:rFonts w:ascii="Arial" w:eastAsia="Times New Roman" w:hAnsi="Arial" w:cs="Arial"/>
          <w:bCs/>
          <w:sz w:val="20"/>
          <w:szCs w:val="20"/>
        </w:rPr>
        <w:t>, 2022; KDIGO 2024</w:t>
      </w:r>
      <w:r w:rsidR="003136E1" w:rsidRPr="001F5558">
        <w:rPr>
          <w:rFonts w:ascii="Arial" w:eastAsia="Times New Roman" w:hAnsi="Arial" w:cs="Arial"/>
          <w:bCs/>
          <w:sz w:val="20"/>
          <w:szCs w:val="20"/>
        </w:rPr>
        <w:t xml:space="preserve">; </w:t>
      </w:r>
      <w:proofErr w:type="spellStart"/>
      <w:r w:rsidR="003136E1" w:rsidRPr="001F5558">
        <w:rPr>
          <w:rFonts w:ascii="Arial" w:hAnsi="Arial" w:cs="Arial"/>
          <w:bCs/>
          <w:sz w:val="20"/>
          <w:szCs w:val="20"/>
        </w:rPr>
        <w:t>Alsalloum</w:t>
      </w:r>
      <w:proofErr w:type="spellEnd"/>
      <w:r w:rsidR="003136E1" w:rsidRPr="001F5558">
        <w:rPr>
          <w:rFonts w:ascii="Arial" w:hAnsi="Arial" w:cs="Arial"/>
          <w:bCs/>
          <w:sz w:val="20"/>
          <w:szCs w:val="20"/>
        </w:rPr>
        <w:t xml:space="preserve"> et al., 2025</w:t>
      </w:r>
      <w:r w:rsidRPr="001F5558">
        <w:rPr>
          <w:rFonts w:ascii="Arial" w:eastAsia="Times New Roman" w:hAnsi="Arial" w:cs="Arial"/>
          <w:bCs/>
          <w:sz w:val="20"/>
          <w:szCs w:val="20"/>
        </w:rPr>
        <w:t>). In obese individuals with CKD, body weight reduction is important, for every 5 kg weight loss presumably about a 5 mm Hg reduction in blood pressure is optimal (</w:t>
      </w:r>
      <w:r w:rsidR="00E9436E" w:rsidRPr="001F5558">
        <w:rPr>
          <w:rFonts w:ascii="Arial" w:eastAsia="Times New Roman" w:hAnsi="Arial" w:cs="Arial"/>
          <w:bCs/>
          <w:sz w:val="20"/>
          <w:szCs w:val="20"/>
        </w:rPr>
        <w:t xml:space="preserve">Ku </w:t>
      </w:r>
      <w:r w:rsidRPr="001F5558">
        <w:rPr>
          <w:rFonts w:ascii="Arial" w:eastAsia="Times New Roman" w:hAnsi="Arial" w:cs="Arial"/>
          <w:bCs/>
          <w:sz w:val="20"/>
          <w:szCs w:val="20"/>
        </w:rPr>
        <w:t xml:space="preserve">et al., 2019; </w:t>
      </w:r>
      <w:proofErr w:type="spellStart"/>
      <w:r w:rsidRPr="001F5558">
        <w:rPr>
          <w:rFonts w:ascii="Arial" w:eastAsia="Times New Roman" w:hAnsi="Arial" w:cs="Arial"/>
          <w:bCs/>
          <w:sz w:val="20"/>
          <w:szCs w:val="20"/>
        </w:rPr>
        <w:t>Mallamaci</w:t>
      </w:r>
      <w:proofErr w:type="spellEnd"/>
      <w:r w:rsidRPr="001F5558">
        <w:rPr>
          <w:rFonts w:ascii="Arial" w:eastAsia="Times New Roman" w:hAnsi="Arial" w:cs="Arial"/>
          <w:bCs/>
          <w:sz w:val="20"/>
          <w:szCs w:val="20"/>
        </w:rPr>
        <w:t xml:space="preserve"> et al., 2021). Resistance training and aerobic exercises can decrease the blood pressure in CKD patients with HTN (Doumani et al., 2025). Drinking alcohol daily was inversely linked to the risk of chronic kidney disease (CKD) in both women and men (Fan et al., 2019). Restricting alcohol consumption to a maximum of two drinks daily for men and one drink daily for women can contribute to better blood pressure management (</w:t>
      </w:r>
      <w:r w:rsidR="00E9436E" w:rsidRPr="001F5558">
        <w:rPr>
          <w:rFonts w:ascii="Arial" w:eastAsia="Times New Roman" w:hAnsi="Arial" w:cs="Arial"/>
          <w:bCs/>
          <w:sz w:val="20"/>
          <w:szCs w:val="20"/>
        </w:rPr>
        <w:t xml:space="preserve">Ku </w:t>
      </w:r>
      <w:r w:rsidRPr="001F5558">
        <w:rPr>
          <w:rFonts w:ascii="Arial" w:eastAsia="Times New Roman" w:hAnsi="Arial" w:cs="Arial"/>
          <w:bCs/>
          <w:sz w:val="20"/>
          <w:szCs w:val="20"/>
        </w:rPr>
        <w:t>et al., 2019).</w:t>
      </w:r>
    </w:p>
    <w:p w14:paraId="2CFCE8F4" w14:textId="77777777" w:rsidR="009A758F" w:rsidRPr="001F5558" w:rsidRDefault="009A758F" w:rsidP="00257B59">
      <w:pPr>
        <w:spacing w:after="0" w:line="240" w:lineRule="auto"/>
        <w:jc w:val="both"/>
        <w:rPr>
          <w:rFonts w:ascii="Arial" w:eastAsia="Times New Roman" w:hAnsi="Arial" w:cs="Arial"/>
          <w:bCs/>
          <w:sz w:val="20"/>
          <w:szCs w:val="20"/>
        </w:rPr>
      </w:pPr>
    </w:p>
    <w:p w14:paraId="19F69D7D" w14:textId="77777777" w:rsidR="009A758F" w:rsidRPr="001F5558" w:rsidRDefault="00961057" w:rsidP="00257B59">
      <w:pPr>
        <w:spacing w:after="0" w:line="240" w:lineRule="auto"/>
        <w:jc w:val="both"/>
        <w:rPr>
          <w:rFonts w:ascii="Arial" w:eastAsia="Times New Roman" w:hAnsi="Arial" w:cs="Arial"/>
          <w:b/>
          <w:bCs/>
        </w:rPr>
      </w:pPr>
      <w:r w:rsidRPr="001F5558">
        <w:rPr>
          <w:rFonts w:ascii="Arial" w:eastAsia="Times New Roman" w:hAnsi="Arial" w:cs="Arial"/>
          <w:b/>
          <w:bCs/>
        </w:rPr>
        <w:t>2.2. Pharmacological management</w:t>
      </w:r>
      <w:r w:rsidRPr="001F5558">
        <w:rPr>
          <w:rFonts w:ascii="Arial" w:eastAsia="Times New Roman" w:hAnsi="Arial" w:cs="Arial"/>
        </w:rPr>
        <w:t xml:space="preserve"> </w:t>
      </w:r>
      <w:r w:rsidRPr="001F5558">
        <w:rPr>
          <w:rFonts w:ascii="Arial" w:eastAsia="Times New Roman" w:hAnsi="Arial" w:cs="Arial"/>
          <w:b/>
          <w:bCs/>
        </w:rPr>
        <w:t>of hypertension in CKD</w:t>
      </w:r>
    </w:p>
    <w:p w14:paraId="5657A73F" w14:textId="6AFBEE88" w:rsidR="00835507" w:rsidRPr="001F5558" w:rsidRDefault="00CB2A4F" w:rsidP="00257B59">
      <w:pPr>
        <w:spacing w:after="0" w:line="240" w:lineRule="auto"/>
        <w:jc w:val="both"/>
        <w:rPr>
          <w:rFonts w:ascii="Arial" w:eastAsia="Times New Roman" w:hAnsi="Arial" w:cs="Arial"/>
          <w:sz w:val="20"/>
          <w:szCs w:val="20"/>
        </w:rPr>
      </w:pPr>
      <w:r w:rsidRPr="001F5558">
        <w:rPr>
          <w:rFonts w:ascii="Arial" w:eastAsia="Times New Roman" w:hAnsi="Arial" w:cs="Arial"/>
          <w:sz w:val="20"/>
          <w:szCs w:val="20"/>
        </w:rPr>
        <w:lastRenderedPageBreak/>
        <w:t xml:space="preserve">The pharmacological management of HTN in CKD involves </w:t>
      </w:r>
      <w:r w:rsidR="007C5428" w:rsidRPr="001F5558">
        <w:rPr>
          <w:rFonts w:ascii="Arial" w:eastAsia="Times New Roman" w:hAnsi="Arial" w:cs="Arial"/>
          <w:sz w:val="20"/>
          <w:szCs w:val="20"/>
        </w:rPr>
        <w:t>multiple treatment strategies and goals</w:t>
      </w:r>
      <w:r w:rsidR="00FE1E4F" w:rsidRPr="001F5558">
        <w:rPr>
          <w:rFonts w:ascii="Arial" w:eastAsia="Times New Roman" w:hAnsi="Arial" w:cs="Arial"/>
          <w:sz w:val="20"/>
          <w:szCs w:val="20"/>
        </w:rPr>
        <w:t>: controlling HTN, preserving renal function, mitigating renal damage, and providing additional cardiorenal protection, all achieved through</w:t>
      </w:r>
      <w:r w:rsidR="007C5428" w:rsidRPr="001F5558">
        <w:rPr>
          <w:rFonts w:ascii="Arial" w:eastAsia="Times New Roman" w:hAnsi="Arial" w:cs="Arial"/>
          <w:sz w:val="20"/>
          <w:szCs w:val="20"/>
        </w:rPr>
        <w:t xml:space="preserve"> combinations of pharmacotherapeutic options</w:t>
      </w:r>
      <w:r w:rsidRPr="001F5558">
        <w:rPr>
          <w:rFonts w:ascii="Arial" w:eastAsia="Times New Roman" w:hAnsi="Arial" w:cs="Arial"/>
          <w:sz w:val="20"/>
          <w:szCs w:val="20"/>
        </w:rPr>
        <w:t xml:space="preserve">. </w:t>
      </w:r>
      <w:r w:rsidR="00D96C7A" w:rsidRPr="001F5558">
        <w:rPr>
          <w:rFonts w:ascii="Arial" w:eastAsia="Times New Roman" w:hAnsi="Arial" w:cs="Arial"/>
          <w:sz w:val="20"/>
          <w:szCs w:val="20"/>
        </w:rPr>
        <w:t>The goa</w:t>
      </w:r>
      <w:r w:rsidR="00A73243" w:rsidRPr="001F5558">
        <w:rPr>
          <w:rFonts w:ascii="Arial" w:eastAsia="Times New Roman" w:hAnsi="Arial" w:cs="Arial"/>
          <w:bCs/>
          <w:sz w:val="20"/>
          <w:szCs w:val="20"/>
        </w:rPr>
        <w:t>ls of treatment</w:t>
      </w:r>
      <w:r w:rsidR="00D96C7A" w:rsidRPr="001F5558">
        <w:rPr>
          <w:rFonts w:ascii="Arial" w:eastAsia="Times New Roman" w:hAnsi="Arial" w:cs="Arial"/>
          <w:bCs/>
          <w:sz w:val="20"/>
          <w:szCs w:val="20"/>
        </w:rPr>
        <w:t xml:space="preserve"> include (1) r</w:t>
      </w:r>
      <w:r w:rsidR="00A73243" w:rsidRPr="001F5558">
        <w:rPr>
          <w:rFonts w:ascii="Arial" w:eastAsia="Times New Roman" w:hAnsi="Arial" w:cs="Arial"/>
          <w:sz w:val="20"/>
          <w:szCs w:val="20"/>
        </w:rPr>
        <w:t>eliev</w:t>
      </w:r>
      <w:r w:rsidR="00D96C7A" w:rsidRPr="001F5558">
        <w:rPr>
          <w:rFonts w:ascii="Arial" w:eastAsia="Times New Roman" w:hAnsi="Arial" w:cs="Arial"/>
          <w:sz w:val="20"/>
          <w:szCs w:val="20"/>
        </w:rPr>
        <w:t xml:space="preserve">ing </w:t>
      </w:r>
      <w:r w:rsidR="00A73243" w:rsidRPr="001F5558">
        <w:rPr>
          <w:rFonts w:ascii="Arial" w:eastAsia="Times New Roman" w:hAnsi="Arial" w:cs="Arial"/>
          <w:sz w:val="20"/>
          <w:szCs w:val="20"/>
        </w:rPr>
        <w:t>symptoms</w:t>
      </w:r>
      <w:r w:rsidR="00FE1E4F" w:rsidRPr="001F5558">
        <w:rPr>
          <w:rFonts w:ascii="Arial" w:eastAsia="Times New Roman" w:hAnsi="Arial" w:cs="Arial"/>
          <w:sz w:val="20"/>
          <w:szCs w:val="20"/>
        </w:rPr>
        <w:t xml:space="preserve"> by achieving and maintaining target blood pressure (&lt;130/80 mmHg)</w:t>
      </w:r>
      <w:r w:rsidR="00D96C7A" w:rsidRPr="001F5558">
        <w:rPr>
          <w:rFonts w:ascii="Arial" w:eastAsia="Times New Roman" w:hAnsi="Arial" w:cs="Arial"/>
          <w:sz w:val="20"/>
          <w:szCs w:val="20"/>
        </w:rPr>
        <w:t xml:space="preserve">, (2) </w:t>
      </w:r>
      <w:r w:rsidR="00FE1E4F" w:rsidRPr="001F5558">
        <w:rPr>
          <w:rFonts w:ascii="Arial" w:eastAsia="Times New Roman" w:hAnsi="Arial" w:cs="Arial"/>
          <w:sz w:val="20"/>
          <w:szCs w:val="20"/>
        </w:rPr>
        <w:t xml:space="preserve">focusing on intensive target of achieving lower systolic </w:t>
      </w:r>
      <w:r w:rsidR="00DE54BB" w:rsidRPr="001F5558">
        <w:rPr>
          <w:rFonts w:ascii="Arial" w:eastAsia="Times New Roman" w:hAnsi="Arial" w:cs="Arial"/>
          <w:sz w:val="20"/>
          <w:szCs w:val="20"/>
        </w:rPr>
        <w:t xml:space="preserve">BP </w:t>
      </w:r>
      <w:r w:rsidR="00FE1E4F" w:rsidRPr="001F5558">
        <w:rPr>
          <w:rFonts w:ascii="Arial" w:eastAsia="Times New Roman" w:hAnsi="Arial" w:cs="Arial"/>
          <w:sz w:val="20"/>
          <w:szCs w:val="20"/>
        </w:rPr>
        <w:t xml:space="preserve">target of (&lt;120 mmHg) to maximize cardiovascular benefit in high-risk patients, </w:t>
      </w:r>
      <w:r w:rsidR="00287F01" w:rsidRPr="001F5558">
        <w:rPr>
          <w:rFonts w:ascii="Arial" w:eastAsia="Times New Roman" w:hAnsi="Arial" w:cs="Arial"/>
          <w:sz w:val="20"/>
          <w:szCs w:val="20"/>
        </w:rPr>
        <w:t xml:space="preserve">(3) regular and continuous monitoring of eGFR and serum potassium levels, </w:t>
      </w:r>
      <w:r w:rsidR="00DE54BB" w:rsidRPr="001F5558">
        <w:rPr>
          <w:rFonts w:ascii="Arial" w:eastAsia="Times New Roman" w:hAnsi="Arial" w:cs="Arial"/>
          <w:sz w:val="20"/>
          <w:szCs w:val="20"/>
        </w:rPr>
        <w:t>(</w:t>
      </w:r>
      <w:r w:rsidR="00287F01" w:rsidRPr="001F5558">
        <w:rPr>
          <w:rFonts w:ascii="Arial" w:eastAsia="Times New Roman" w:hAnsi="Arial" w:cs="Arial"/>
          <w:sz w:val="20"/>
          <w:szCs w:val="20"/>
        </w:rPr>
        <w:t>4</w:t>
      </w:r>
      <w:r w:rsidR="00DE54BB" w:rsidRPr="001F5558">
        <w:rPr>
          <w:rFonts w:ascii="Arial" w:eastAsia="Times New Roman" w:hAnsi="Arial" w:cs="Arial"/>
          <w:sz w:val="20"/>
          <w:szCs w:val="20"/>
        </w:rPr>
        <w:t xml:space="preserve">) </w:t>
      </w:r>
      <w:r w:rsidR="00287F01" w:rsidRPr="001F5558">
        <w:rPr>
          <w:rFonts w:ascii="Arial" w:eastAsia="Times New Roman" w:hAnsi="Arial" w:cs="Arial"/>
          <w:sz w:val="20"/>
          <w:szCs w:val="20"/>
        </w:rPr>
        <w:t xml:space="preserve">rational selection of antihypertensive agent, (5) considerations for selecting antihypertensive agents in CKD patients with HTN and diabetes, (6) key monitoring and risk mitigation strategies for preferred antihypertensive agents, (7) </w:t>
      </w:r>
      <w:r w:rsidR="00D96C7A" w:rsidRPr="001F5558">
        <w:rPr>
          <w:rFonts w:ascii="Arial" w:eastAsia="Times New Roman" w:hAnsi="Arial" w:cs="Arial"/>
          <w:sz w:val="20"/>
          <w:szCs w:val="20"/>
        </w:rPr>
        <w:t>a</w:t>
      </w:r>
      <w:r w:rsidR="00A73243" w:rsidRPr="001F5558">
        <w:rPr>
          <w:rFonts w:ascii="Arial" w:eastAsia="Times New Roman" w:hAnsi="Arial" w:cs="Arial"/>
          <w:sz w:val="20"/>
          <w:szCs w:val="20"/>
        </w:rPr>
        <w:t>void</w:t>
      </w:r>
      <w:r w:rsidR="00D96C7A" w:rsidRPr="001F5558">
        <w:rPr>
          <w:rFonts w:ascii="Arial" w:eastAsia="Times New Roman" w:hAnsi="Arial" w:cs="Arial"/>
          <w:sz w:val="20"/>
          <w:szCs w:val="20"/>
        </w:rPr>
        <w:t>ing</w:t>
      </w:r>
      <w:r w:rsidR="00A73243" w:rsidRPr="001F5558">
        <w:rPr>
          <w:rFonts w:ascii="Arial" w:eastAsia="Times New Roman" w:hAnsi="Arial" w:cs="Arial"/>
          <w:sz w:val="20"/>
          <w:szCs w:val="20"/>
        </w:rPr>
        <w:t xml:space="preserve"> conditions </w:t>
      </w:r>
      <w:r w:rsidR="00D96C7A" w:rsidRPr="001F5558">
        <w:rPr>
          <w:rFonts w:ascii="Arial" w:eastAsia="Times New Roman" w:hAnsi="Arial" w:cs="Arial"/>
          <w:sz w:val="20"/>
          <w:szCs w:val="20"/>
        </w:rPr>
        <w:t xml:space="preserve">and/or drugs </w:t>
      </w:r>
      <w:r w:rsidR="00A73243" w:rsidRPr="001F5558">
        <w:rPr>
          <w:rFonts w:ascii="Arial" w:eastAsia="Times New Roman" w:hAnsi="Arial" w:cs="Arial"/>
          <w:sz w:val="20"/>
          <w:szCs w:val="20"/>
        </w:rPr>
        <w:t xml:space="preserve">that might worsen </w:t>
      </w:r>
      <w:r w:rsidR="00DE54BB" w:rsidRPr="001F5558">
        <w:rPr>
          <w:rFonts w:ascii="Arial" w:eastAsia="Times New Roman" w:hAnsi="Arial" w:cs="Arial"/>
          <w:sz w:val="20"/>
          <w:szCs w:val="20"/>
        </w:rPr>
        <w:t xml:space="preserve">HTN and/or </w:t>
      </w:r>
      <w:r w:rsidR="00A73243" w:rsidRPr="001F5558">
        <w:rPr>
          <w:rFonts w:ascii="Arial" w:eastAsia="Times New Roman" w:hAnsi="Arial" w:cs="Arial"/>
          <w:sz w:val="20"/>
          <w:szCs w:val="20"/>
        </w:rPr>
        <w:t xml:space="preserve">renal </w:t>
      </w:r>
      <w:r w:rsidR="00D96C7A" w:rsidRPr="001F5558">
        <w:rPr>
          <w:rFonts w:ascii="Arial" w:eastAsia="Times New Roman" w:hAnsi="Arial" w:cs="Arial"/>
          <w:sz w:val="20"/>
          <w:szCs w:val="20"/>
        </w:rPr>
        <w:t>function, (</w:t>
      </w:r>
      <w:r w:rsidR="00287F01" w:rsidRPr="001F5558">
        <w:rPr>
          <w:rFonts w:ascii="Arial" w:eastAsia="Times New Roman" w:hAnsi="Arial" w:cs="Arial"/>
          <w:sz w:val="20"/>
          <w:szCs w:val="20"/>
        </w:rPr>
        <w:t>8</w:t>
      </w:r>
      <w:r w:rsidR="00D96C7A" w:rsidRPr="001F5558">
        <w:rPr>
          <w:rFonts w:ascii="Arial" w:eastAsia="Times New Roman" w:hAnsi="Arial" w:cs="Arial"/>
          <w:sz w:val="20"/>
          <w:szCs w:val="20"/>
        </w:rPr>
        <w:t xml:space="preserve">) </w:t>
      </w:r>
      <w:r w:rsidR="00DE54BB" w:rsidRPr="001F5558">
        <w:rPr>
          <w:rFonts w:ascii="Arial" w:eastAsia="Times New Roman" w:hAnsi="Arial" w:cs="Arial"/>
          <w:sz w:val="20"/>
          <w:szCs w:val="20"/>
        </w:rPr>
        <w:t>slow CKD Progression by protecting kidney function, reducing kidney damage,  and delaying the need for renal replacement therapy, (</w:t>
      </w:r>
      <w:r w:rsidR="00287F01" w:rsidRPr="001F5558">
        <w:rPr>
          <w:rFonts w:ascii="Arial" w:eastAsia="Times New Roman" w:hAnsi="Arial" w:cs="Arial"/>
          <w:sz w:val="20"/>
          <w:szCs w:val="20"/>
        </w:rPr>
        <w:t>9</w:t>
      </w:r>
      <w:r w:rsidR="00DE54BB" w:rsidRPr="001F5558">
        <w:rPr>
          <w:rFonts w:ascii="Arial" w:eastAsia="Times New Roman" w:hAnsi="Arial" w:cs="Arial"/>
          <w:sz w:val="20"/>
          <w:szCs w:val="20"/>
        </w:rPr>
        <w:t xml:space="preserve">) </w:t>
      </w:r>
      <w:r w:rsidR="002253F5" w:rsidRPr="001F5558">
        <w:rPr>
          <w:rFonts w:ascii="Arial" w:eastAsia="Times New Roman" w:hAnsi="Arial" w:cs="Arial"/>
          <w:sz w:val="20"/>
          <w:szCs w:val="20"/>
        </w:rPr>
        <w:t>reversing</w:t>
      </w:r>
      <w:r w:rsidR="00D96C7A" w:rsidRPr="001F5558">
        <w:rPr>
          <w:rFonts w:ascii="Arial" w:eastAsia="Times New Roman" w:hAnsi="Arial" w:cs="Arial"/>
          <w:sz w:val="20"/>
          <w:szCs w:val="20"/>
        </w:rPr>
        <w:t xml:space="preserve"> </w:t>
      </w:r>
      <w:r w:rsidR="00A73243" w:rsidRPr="001F5558">
        <w:rPr>
          <w:rFonts w:ascii="Arial" w:eastAsia="Times New Roman" w:hAnsi="Arial" w:cs="Arial"/>
          <w:sz w:val="20"/>
          <w:szCs w:val="20"/>
        </w:rPr>
        <w:t>or arrest</w:t>
      </w:r>
      <w:r w:rsidR="00D96C7A" w:rsidRPr="001F5558">
        <w:rPr>
          <w:rFonts w:ascii="Arial" w:eastAsia="Times New Roman" w:hAnsi="Arial" w:cs="Arial"/>
          <w:sz w:val="20"/>
          <w:szCs w:val="20"/>
        </w:rPr>
        <w:t>ing</w:t>
      </w:r>
      <w:r w:rsidR="00A73243" w:rsidRPr="001F5558">
        <w:rPr>
          <w:rFonts w:ascii="Arial" w:eastAsia="Times New Roman" w:hAnsi="Arial" w:cs="Arial"/>
          <w:sz w:val="20"/>
          <w:szCs w:val="20"/>
        </w:rPr>
        <w:t xml:space="preserve"> the process causing the renal damage</w:t>
      </w:r>
      <w:r w:rsidR="00D96C7A" w:rsidRPr="001F5558">
        <w:rPr>
          <w:rFonts w:ascii="Arial" w:eastAsia="Times New Roman" w:hAnsi="Arial" w:cs="Arial"/>
          <w:sz w:val="20"/>
          <w:szCs w:val="20"/>
        </w:rPr>
        <w:t>, and (</w:t>
      </w:r>
      <w:r w:rsidR="00287F01" w:rsidRPr="001F5558">
        <w:rPr>
          <w:rFonts w:ascii="Arial" w:eastAsia="Times New Roman" w:hAnsi="Arial" w:cs="Arial"/>
          <w:sz w:val="20"/>
          <w:szCs w:val="20"/>
        </w:rPr>
        <w:t>10</w:t>
      </w:r>
      <w:r w:rsidR="00D96C7A" w:rsidRPr="001F5558">
        <w:rPr>
          <w:rFonts w:ascii="Arial" w:eastAsia="Times New Roman" w:hAnsi="Arial" w:cs="Arial"/>
          <w:sz w:val="20"/>
          <w:szCs w:val="20"/>
        </w:rPr>
        <w:t xml:space="preserve">) </w:t>
      </w:r>
      <w:r w:rsidR="00623E81" w:rsidRPr="001F5558">
        <w:rPr>
          <w:rFonts w:ascii="Arial" w:eastAsia="Times New Roman" w:hAnsi="Arial" w:cs="Arial"/>
          <w:sz w:val="20"/>
          <w:szCs w:val="20"/>
        </w:rPr>
        <w:t>reduce cardiovascular risk by well controlling hypertension to lower risk of stroke, heart attack, and heart failure, (</w:t>
      </w:r>
      <w:r w:rsidR="00287F01" w:rsidRPr="001F5558">
        <w:rPr>
          <w:rFonts w:ascii="Arial" w:eastAsia="Times New Roman" w:hAnsi="Arial" w:cs="Arial"/>
          <w:sz w:val="20"/>
          <w:szCs w:val="20"/>
        </w:rPr>
        <w:t>11</w:t>
      </w:r>
      <w:r w:rsidR="00623E81" w:rsidRPr="001F5558">
        <w:rPr>
          <w:rFonts w:ascii="Arial" w:eastAsia="Times New Roman" w:hAnsi="Arial" w:cs="Arial"/>
          <w:sz w:val="20"/>
          <w:szCs w:val="20"/>
        </w:rPr>
        <w:t xml:space="preserve">) </w:t>
      </w:r>
      <w:r w:rsidR="007535F5" w:rsidRPr="001F5558">
        <w:rPr>
          <w:rFonts w:ascii="Arial" w:eastAsia="Times New Roman" w:hAnsi="Arial" w:cs="Arial"/>
          <w:sz w:val="20"/>
          <w:szCs w:val="20"/>
        </w:rPr>
        <w:t>proteinuria reduction to in urine (&lt;1000 mg/day) to slow renal function decline, and (</w:t>
      </w:r>
      <w:r w:rsidR="00287F01" w:rsidRPr="001F5558">
        <w:rPr>
          <w:rFonts w:ascii="Arial" w:eastAsia="Times New Roman" w:hAnsi="Arial" w:cs="Arial"/>
          <w:sz w:val="20"/>
          <w:szCs w:val="20"/>
        </w:rPr>
        <w:t>12</w:t>
      </w:r>
      <w:r w:rsidR="007535F5" w:rsidRPr="001F5558">
        <w:rPr>
          <w:rFonts w:ascii="Arial" w:eastAsia="Times New Roman" w:hAnsi="Arial" w:cs="Arial"/>
          <w:sz w:val="20"/>
          <w:szCs w:val="20"/>
        </w:rPr>
        <w:t xml:space="preserve">) </w:t>
      </w:r>
      <w:r w:rsidR="00D96C7A" w:rsidRPr="001F5558">
        <w:rPr>
          <w:rFonts w:ascii="Arial" w:eastAsia="Times New Roman" w:hAnsi="Arial" w:cs="Arial"/>
          <w:sz w:val="20"/>
          <w:szCs w:val="20"/>
        </w:rPr>
        <w:t xml:space="preserve">implementing </w:t>
      </w:r>
      <w:r w:rsidR="00A73243" w:rsidRPr="001F5558">
        <w:rPr>
          <w:rFonts w:ascii="Arial" w:eastAsia="Times New Roman" w:hAnsi="Arial" w:cs="Arial"/>
          <w:sz w:val="20"/>
          <w:szCs w:val="20"/>
        </w:rPr>
        <w:t xml:space="preserve">regular dialysis treatment and/or transplantation </w:t>
      </w:r>
      <w:r w:rsidR="00D5646E" w:rsidRPr="001F5558">
        <w:rPr>
          <w:rFonts w:ascii="Arial" w:eastAsia="Times New Roman" w:hAnsi="Arial" w:cs="Arial"/>
          <w:sz w:val="20"/>
          <w:szCs w:val="20"/>
        </w:rPr>
        <w:t xml:space="preserve">with parallelly monitoring of BP </w:t>
      </w:r>
      <w:r w:rsidR="00A73243" w:rsidRPr="001F5558">
        <w:rPr>
          <w:rFonts w:ascii="Arial" w:eastAsia="Times New Roman" w:hAnsi="Arial" w:cs="Arial"/>
          <w:sz w:val="20"/>
          <w:szCs w:val="20"/>
        </w:rPr>
        <w:t>at the most appropriate time</w:t>
      </w:r>
      <w:r w:rsidR="00794A2E" w:rsidRPr="001F5558">
        <w:rPr>
          <w:rFonts w:ascii="Arial" w:eastAsia="Times New Roman" w:hAnsi="Arial" w:cs="Arial"/>
          <w:sz w:val="20"/>
          <w:szCs w:val="20"/>
        </w:rPr>
        <w:t xml:space="preserve"> (</w:t>
      </w:r>
      <w:r w:rsidR="00283304" w:rsidRPr="001F5558">
        <w:rPr>
          <w:rFonts w:ascii="Arial" w:hAnsi="Arial" w:cs="Arial"/>
          <w:sz w:val="20"/>
          <w:szCs w:val="20"/>
        </w:rPr>
        <w:t>Pethő</w:t>
      </w:r>
      <w:r w:rsidR="003136E1" w:rsidRPr="001F5558">
        <w:rPr>
          <w:rFonts w:ascii="Arial" w:eastAsia="Times New Roman" w:hAnsi="Arial" w:cs="Arial"/>
          <w:sz w:val="20"/>
          <w:szCs w:val="20"/>
        </w:rPr>
        <w:t xml:space="preserve"> et al., 202</w:t>
      </w:r>
      <w:r w:rsidR="00283304" w:rsidRPr="001F5558">
        <w:rPr>
          <w:rFonts w:ascii="Arial" w:eastAsia="Times New Roman" w:hAnsi="Arial" w:cs="Arial"/>
          <w:sz w:val="20"/>
          <w:szCs w:val="20"/>
        </w:rPr>
        <w:t>4</w:t>
      </w:r>
      <w:r w:rsidR="003136E1" w:rsidRPr="001F5558">
        <w:rPr>
          <w:rFonts w:ascii="Arial" w:eastAsia="Times New Roman" w:hAnsi="Arial" w:cs="Arial"/>
          <w:sz w:val="20"/>
          <w:szCs w:val="20"/>
        </w:rPr>
        <w:t xml:space="preserve">; </w:t>
      </w:r>
      <w:proofErr w:type="spellStart"/>
      <w:r w:rsidR="003136E1" w:rsidRPr="001F5558">
        <w:rPr>
          <w:rFonts w:ascii="Arial" w:eastAsia="Times New Roman" w:hAnsi="Arial" w:cs="Arial"/>
          <w:sz w:val="20"/>
          <w:szCs w:val="20"/>
        </w:rPr>
        <w:t>Theodorakopoulou</w:t>
      </w:r>
      <w:proofErr w:type="spellEnd"/>
      <w:r w:rsidR="003136E1" w:rsidRPr="001F5558">
        <w:rPr>
          <w:rFonts w:ascii="Arial" w:eastAsia="Times New Roman" w:hAnsi="Arial" w:cs="Arial"/>
          <w:sz w:val="20"/>
          <w:szCs w:val="20"/>
        </w:rPr>
        <w:t xml:space="preserve"> et al., 2024;  </w:t>
      </w:r>
      <w:proofErr w:type="spellStart"/>
      <w:r w:rsidR="003136E1" w:rsidRPr="001F5558">
        <w:rPr>
          <w:rFonts w:ascii="Arial" w:hAnsi="Arial" w:cs="Arial"/>
          <w:sz w:val="20"/>
          <w:szCs w:val="20"/>
        </w:rPr>
        <w:t>Alsalloum</w:t>
      </w:r>
      <w:proofErr w:type="spellEnd"/>
      <w:r w:rsidR="003136E1" w:rsidRPr="001F5558">
        <w:rPr>
          <w:rFonts w:ascii="Arial" w:hAnsi="Arial" w:cs="Arial"/>
          <w:sz w:val="20"/>
          <w:szCs w:val="20"/>
        </w:rPr>
        <w:t xml:space="preserve"> et al., 2025; </w:t>
      </w:r>
      <w:r w:rsidR="00115C32" w:rsidRPr="001F5558">
        <w:rPr>
          <w:rFonts w:ascii="Arial" w:eastAsia="Times New Roman" w:hAnsi="Arial" w:cs="Arial"/>
          <w:sz w:val="20"/>
          <w:szCs w:val="20"/>
        </w:rPr>
        <w:t>Doumani et al., 2025</w:t>
      </w:r>
      <w:r w:rsidR="00794A2E" w:rsidRPr="001F5558">
        <w:rPr>
          <w:rFonts w:ascii="Arial" w:eastAsia="Times New Roman" w:hAnsi="Arial" w:cs="Arial"/>
          <w:sz w:val="20"/>
          <w:szCs w:val="20"/>
        </w:rPr>
        <w:t>)</w:t>
      </w:r>
      <w:r w:rsidR="00A73243" w:rsidRPr="001F5558">
        <w:rPr>
          <w:rFonts w:ascii="Arial" w:eastAsia="Times New Roman" w:hAnsi="Arial" w:cs="Arial"/>
          <w:sz w:val="20"/>
          <w:szCs w:val="20"/>
        </w:rPr>
        <w:t>.</w:t>
      </w:r>
    </w:p>
    <w:p w14:paraId="19B87BAC" w14:textId="37EB3B88" w:rsidR="00A73243" w:rsidRPr="001F5558" w:rsidRDefault="00D96C7A" w:rsidP="00257B59">
      <w:pPr>
        <w:spacing w:after="0" w:line="240" w:lineRule="auto"/>
        <w:jc w:val="both"/>
        <w:rPr>
          <w:rFonts w:ascii="Arial" w:eastAsia="Times New Roman" w:hAnsi="Arial" w:cs="Arial"/>
          <w:sz w:val="20"/>
          <w:szCs w:val="20"/>
        </w:rPr>
      </w:pPr>
      <w:r w:rsidRPr="001F5558">
        <w:rPr>
          <w:rFonts w:ascii="Arial" w:eastAsia="Times New Roman" w:hAnsi="Arial" w:cs="Arial"/>
          <w:sz w:val="20"/>
          <w:szCs w:val="20"/>
        </w:rPr>
        <w:t xml:space="preserve"> </w:t>
      </w:r>
    </w:p>
    <w:p w14:paraId="79B63422" w14:textId="56261BE1" w:rsidR="00F34DAE" w:rsidRPr="001F5558" w:rsidRDefault="00F34DAE" w:rsidP="00257B59">
      <w:pPr>
        <w:spacing w:after="0" w:line="240" w:lineRule="auto"/>
        <w:jc w:val="both"/>
        <w:rPr>
          <w:rFonts w:ascii="Arial" w:eastAsia="Times New Roman" w:hAnsi="Arial" w:cs="Arial"/>
          <w:b/>
        </w:rPr>
      </w:pPr>
      <w:r w:rsidRPr="001F5558">
        <w:rPr>
          <w:rFonts w:ascii="Arial" w:eastAsia="Times New Roman" w:hAnsi="Arial" w:cs="Arial"/>
          <w:b/>
        </w:rPr>
        <w:t>2.</w:t>
      </w:r>
      <w:r w:rsidR="00D277B4" w:rsidRPr="001F5558">
        <w:rPr>
          <w:rFonts w:ascii="Arial" w:eastAsia="Times New Roman" w:hAnsi="Arial" w:cs="Arial"/>
          <w:b/>
        </w:rPr>
        <w:t>3</w:t>
      </w:r>
      <w:r w:rsidRPr="001F5558">
        <w:rPr>
          <w:rFonts w:ascii="Arial" w:eastAsia="Times New Roman" w:hAnsi="Arial" w:cs="Arial"/>
          <w:b/>
        </w:rPr>
        <w:t xml:space="preserve">. Recommendations for treatment targets </w:t>
      </w:r>
      <w:r w:rsidR="00506C0D" w:rsidRPr="001F5558">
        <w:rPr>
          <w:rFonts w:ascii="Arial" w:eastAsia="Times New Roman" w:hAnsi="Arial" w:cs="Arial"/>
          <w:b/>
        </w:rPr>
        <w:t xml:space="preserve">and </w:t>
      </w:r>
      <w:r w:rsidR="002A075B" w:rsidRPr="001F5558">
        <w:rPr>
          <w:rFonts w:ascii="Arial" w:eastAsia="Times New Roman" w:hAnsi="Arial" w:cs="Arial"/>
          <w:b/>
        </w:rPr>
        <w:t>pharmaco</w:t>
      </w:r>
      <w:r w:rsidR="00506C0D" w:rsidRPr="001F5558">
        <w:rPr>
          <w:rFonts w:ascii="Arial" w:eastAsia="Times New Roman" w:hAnsi="Arial" w:cs="Arial"/>
          <w:b/>
        </w:rPr>
        <w:t xml:space="preserve">therapeutic choices </w:t>
      </w:r>
      <w:r w:rsidR="002A075B" w:rsidRPr="001F5558">
        <w:rPr>
          <w:rFonts w:ascii="Arial" w:eastAsia="Times New Roman" w:hAnsi="Arial" w:cs="Arial"/>
          <w:b/>
        </w:rPr>
        <w:t xml:space="preserve">for </w:t>
      </w:r>
      <w:r w:rsidRPr="001F5558">
        <w:rPr>
          <w:rFonts w:ascii="Arial" w:eastAsia="Times New Roman" w:hAnsi="Arial" w:cs="Arial"/>
          <w:b/>
        </w:rPr>
        <w:t>managing hypertension in CKD</w:t>
      </w:r>
    </w:p>
    <w:p w14:paraId="17485D25" w14:textId="77777777" w:rsidR="00506C0D" w:rsidRPr="001F5558" w:rsidRDefault="00506C0D" w:rsidP="00257B59">
      <w:pPr>
        <w:spacing w:after="0" w:line="240" w:lineRule="auto"/>
        <w:jc w:val="both"/>
        <w:rPr>
          <w:rFonts w:ascii="Arial" w:eastAsia="Times New Roman" w:hAnsi="Arial" w:cs="Arial"/>
          <w:b/>
          <w:sz w:val="20"/>
          <w:szCs w:val="20"/>
        </w:rPr>
      </w:pPr>
    </w:p>
    <w:p w14:paraId="4FEC9FF0" w14:textId="7E6C29FC" w:rsidR="0004389E" w:rsidRPr="001F5558" w:rsidRDefault="00252EBD" w:rsidP="00257B59">
      <w:pPr>
        <w:spacing w:after="0" w:line="240" w:lineRule="auto"/>
        <w:jc w:val="both"/>
        <w:rPr>
          <w:rFonts w:ascii="Arial" w:eastAsia="Times New Roman" w:hAnsi="Arial" w:cs="Arial"/>
          <w:sz w:val="20"/>
          <w:szCs w:val="20"/>
        </w:rPr>
      </w:pPr>
      <w:r w:rsidRPr="001F5558">
        <w:rPr>
          <w:rFonts w:ascii="Arial" w:eastAsia="Gungsuh" w:hAnsi="Arial" w:cs="Arial"/>
          <w:sz w:val="20"/>
          <w:szCs w:val="20"/>
        </w:rPr>
        <w:t>In CKD patients, initiating antihypertensive treatment involves considering the use of two medications from different classes</w:t>
      </w:r>
      <w:r w:rsidR="00AA0D3E" w:rsidRPr="001F5558">
        <w:rPr>
          <w:rFonts w:ascii="Arial" w:eastAsia="Gungsuh" w:hAnsi="Arial" w:cs="Arial"/>
          <w:sz w:val="20"/>
          <w:szCs w:val="20"/>
        </w:rPr>
        <w:t xml:space="preserve"> in a single dosage form (pill)</w:t>
      </w:r>
      <w:r w:rsidRPr="001F5558">
        <w:rPr>
          <w:rFonts w:ascii="Arial" w:eastAsia="Gungsuh" w:hAnsi="Arial" w:cs="Arial"/>
          <w:sz w:val="20"/>
          <w:szCs w:val="20"/>
        </w:rPr>
        <w:t xml:space="preserve">, especially when dealing with </w:t>
      </w:r>
      <w:r w:rsidR="00296C07" w:rsidRPr="001F5558">
        <w:rPr>
          <w:rFonts w:ascii="Arial" w:eastAsia="Gungsuh" w:hAnsi="Arial" w:cs="Arial"/>
          <w:sz w:val="20"/>
          <w:szCs w:val="20"/>
        </w:rPr>
        <w:t>s</w:t>
      </w:r>
      <w:r w:rsidRPr="001F5558">
        <w:rPr>
          <w:rFonts w:ascii="Arial" w:eastAsia="Gungsuh" w:hAnsi="Arial" w:cs="Arial"/>
          <w:sz w:val="20"/>
          <w:szCs w:val="20"/>
        </w:rPr>
        <w:t xml:space="preserve">tage 2 </w:t>
      </w:r>
      <w:r w:rsidR="00454E33" w:rsidRPr="001F5558">
        <w:rPr>
          <w:rFonts w:ascii="Arial" w:eastAsia="Gungsuh" w:hAnsi="Arial" w:cs="Arial"/>
          <w:sz w:val="20"/>
          <w:szCs w:val="20"/>
        </w:rPr>
        <w:t>HTN</w:t>
      </w:r>
      <w:r w:rsidRPr="001F5558">
        <w:rPr>
          <w:rFonts w:ascii="Arial" w:eastAsia="Gungsuh" w:hAnsi="Arial" w:cs="Arial"/>
          <w:sz w:val="20"/>
          <w:szCs w:val="20"/>
        </w:rPr>
        <w:t xml:space="preserve"> (≥ 140/90 mm Hg) (</w:t>
      </w:r>
      <w:r w:rsidRPr="001F5558">
        <w:rPr>
          <w:rFonts w:ascii="Arial" w:eastAsia="Times New Roman" w:hAnsi="Arial" w:cs="Arial"/>
          <w:sz w:val="20"/>
          <w:szCs w:val="20"/>
        </w:rPr>
        <w:t xml:space="preserve">Hebert </w:t>
      </w:r>
      <w:r w:rsidR="009E59FA" w:rsidRPr="001F5558">
        <w:rPr>
          <w:rFonts w:ascii="Arial" w:eastAsia="Times New Roman" w:hAnsi="Arial" w:cs="Arial"/>
          <w:sz w:val="20"/>
          <w:szCs w:val="20"/>
        </w:rPr>
        <w:t xml:space="preserve">&amp; Ibrahim, </w:t>
      </w:r>
      <w:r w:rsidRPr="001F5558">
        <w:rPr>
          <w:rFonts w:ascii="Arial" w:eastAsia="Times New Roman" w:hAnsi="Arial" w:cs="Arial"/>
          <w:sz w:val="20"/>
          <w:szCs w:val="20"/>
        </w:rPr>
        <w:t>2022</w:t>
      </w:r>
      <w:r w:rsidR="00164CEF" w:rsidRPr="001F5558">
        <w:rPr>
          <w:rFonts w:ascii="Arial" w:eastAsia="Times New Roman" w:hAnsi="Arial" w:cs="Arial"/>
          <w:sz w:val="20"/>
          <w:szCs w:val="20"/>
        </w:rPr>
        <w:t xml:space="preserve">; </w:t>
      </w:r>
      <w:proofErr w:type="spellStart"/>
      <w:r w:rsidR="00164CEF" w:rsidRPr="001F5558">
        <w:rPr>
          <w:rFonts w:ascii="Arial" w:eastAsia="Times New Roman" w:hAnsi="Arial" w:cs="Arial"/>
          <w:sz w:val="20"/>
          <w:szCs w:val="20"/>
        </w:rPr>
        <w:t>Georgianos</w:t>
      </w:r>
      <w:proofErr w:type="spellEnd"/>
      <w:r w:rsidR="00164CEF" w:rsidRPr="001F5558">
        <w:rPr>
          <w:rFonts w:ascii="Arial" w:eastAsia="Times New Roman" w:hAnsi="Arial" w:cs="Arial"/>
          <w:sz w:val="20"/>
          <w:szCs w:val="20"/>
        </w:rPr>
        <w:t xml:space="preserve"> </w:t>
      </w:r>
      <w:r w:rsidR="00E244F4" w:rsidRPr="001F5558">
        <w:rPr>
          <w:rFonts w:ascii="Arial" w:eastAsia="Times New Roman" w:hAnsi="Arial" w:cs="Arial"/>
          <w:sz w:val="20"/>
          <w:szCs w:val="20"/>
        </w:rPr>
        <w:t xml:space="preserve">&amp; Agarwal, </w:t>
      </w:r>
      <w:r w:rsidR="00164CEF" w:rsidRPr="001F5558">
        <w:rPr>
          <w:rFonts w:ascii="Arial" w:eastAsia="Times New Roman" w:hAnsi="Arial" w:cs="Arial"/>
          <w:sz w:val="20"/>
          <w:szCs w:val="20"/>
        </w:rPr>
        <w:t>2023</w:t>
      </w:r>
      <w:r w:rsidR="00262D1E" w:rsidRPr="001F5558">
        <w:rPr>
          <w:rFonts w:ascii="Arial" w:eastAsia="Times New Roman" w:hAnsi="Arial" w:cs="Arial"/>
          <w:sz w:val="20"/>
          <w:szCs w:val="20"/>
        </w:rPr>
        <w:t xml:space="preserve">; </w:t>
      </w:r>
      <w:proofErr w:type="spellStart"/>
      <w:r w:rsidR="00262D1E" w:rsidRPr="001F5558">
        <w:rPr>
          <w:rFonts w:ascii="Arial" w:hAnsi="Arial" w:cs="Arial"/>
          <w:sz w:val="20"/>
          <w:szCs w:val="20"/>
        </w:rPr>
        <w:t>Alsalloum</w:t>
      </w:r>
      <w:proofErr w:type="spellEnd"/>
      <w:r w:rsidR="00262D1E" w:rsidRPr="001F5558">
        <w:rPr>
          <w:rFonts w:ascii="Arial" w:hAnsi="Arial" w:cs="Arial"/>
          <w:sz w:val="20"/>
          <w:szCs w:val="20"/>
        </w:rPr>
        <w:t xml:space="preserve"> et al., 2025</w:t>
      </w:r>
      <w:r w:rsidRPr="001F5558">
        <w:rPr>
          <w:rFonts w:ascii="Arial" w:eastAsia="Times New Roman" w:hAnsi="Arial" w:cs="Arial"/>
          <w:sz w:val="20"/>
          <w:szCs w:val="20"/>
        </w:rPr>
        <w:t xml:space="preserve">). </w:t>
      </w:r>
      <w:r w:rsidR="007C2ABF" w:rsidRPr="001F5558">
        <w:rPr>
          <w:rFonts w:ascii="Arial" w:eastAsia="Times New Roman" w:hAnsi="Arial" w:cs="Arial"/>
          <w:sz w:val="20"/>
          <w:szCs w:val="20"/>
        </w:rPr>
        <w:t>Renin-angiotensin-aldosterone system modulators (RAAS) inhibitors, angiotensin converting enzyme inhibitors</w:t>
      </w:r>
      <w:r w:rsidR="00296C07" w:rsidRPr="001F5558">
        <w:rPr>
          <w:rFonts w:ascii="Arial" w:eastAsia="Times New Roman" w:hAnsi="Arial" w:cs="Arial"/>
          <w:sz w:val="20"/>
          <w:szCs w:val="20"/>
        </w:rPr>
        <w:t xml:space="preserve"> (ACEI</w:t>
      </w:r>
      <w:r w:rsidR="007C2ABF" w:rsidRPr="001F5558">
        <w:rPr>
          <w:rFonts w:ascii="Arial" w:eastAsia="Times New Roman" w:hAnsi="Arial" w:cs="Arial"/>
          <w:sz w:val="20"/>
          <w:szCs w:val="20"/>
        </w:rPr>
        <w:t>)</w:t>
      </w:r>
      <w:r w:rsidR="00C97BE6" w:rsidRPr="001F5558">
        <w:rPr>
          <w:rFonts w:ascii="Arial" w:eastAsia="Times New Roman" w:hAnsi="Arial" w:cs="Arial"/>
          <w:sz w:val="20"/>
          <w:szCs w:val="20"/>
        </w:rPr>
        <w:t>,</w:t>
      </w:r>
      <w:r w:rsidR="007C2ABF" w:rsidRPr="001F5558">
        <w:rPr>
          <w:rFonts w:ascii="Arial" w:eastAsia="Times New Roman" w:hAnsi="Arial" w:cs="Arial"/>
          <w:sz w:val="20"/>
          <w:szCs w:val="20"/>
        </w:rPr>
        <w:t xml:space="preserve"> or angiotensin receptor blockers</w:t>
      </w:r>
      <w:r w:rsidR="00296C07" w:rsidRPr="001F5558">
        <w:rPr>
          <w:rFonts w:ascii="Arial" w:eastAsia="Times New Roman" w:hAnsi="Arial" w:cs="Arial"/>
          <w:sz w:val="20"/>
          <w:szCs w:val="20"/>
        </w:rPr>
        <w:t xml:space="preserve"> (ARB</w:t>
      </w:r>
      <w:r w:rsidR="007C2ABF" w:rsidRPr="001F5558">
        <w:rPr>
          <w:rFonts w:ascii="Arial" w:eastAsia="Times New Roman" w:hAnsi="Arial" w:cs="Arial"/>
          <w:sz w:val="20"/>
          <w:szCs w:val="20"/>
        </w:rPr>
        <w:t xml:space="preserve">) are the first choice of treatment to control </w:t>
      </w:r>
      <w:r w:rsidR="00454E33" w:rsidRPr="001F5558">
        <w:rPr>
          <w:rFonts w:ascii="Arial" w:eastAsia="Times New Roman" w:hAnsi="Arial" w:cs="Arial"/>
          <w:sz w:val="20"/>
          <w:szCs w:val="20"/>
        </w:rPr>
        <w:t>HTN</w:t>
      </w:r>
      <w:r w:rsidR="007C2ABF" w:rsidRPr="001F5558">
        <w:rPr>
          <w:rFonts w:ascii="Arial" w:eastAsia="Times New Roman" w:hAnsi="Arial" w:cs="Arial"/>
          <w:sz w:val="20"/>
          <w:szCs w:val="20"/>
        </w:rPr>
        <w:t xml:space="preserve"> in individuals with CKD and </w:t>
      </w:r>
      <w:r w:rsidR="00E63210" w:rsidRPr="001F5558">
        <w:rPr>
          <w:rFonts w:ascii="Arial" w:eastAsia="Times New Roman" w:hAnsi="Arial" w:cs="Arial"/>
          <w:sz w:val="20"/>
          <w:szCs w:val="20"/>
        </w:rPr>
        <w:t xml:space="preserve">moderate (ACR 30 to 300 mg/g) or severe (ACR &gt;300 mg/g) albuminuria </w:t>
      </w:r>
      <w:r w:rsidR="007C2ABF" w:rsidRPr="001F5558">
        <w:rPr>
          <w:rFonts w:ascii="Arial" w:eastAsia="Times New Roman" w:hAnsi="Arial" w:cs="Arial"/>
          <w:sz w:val="20"/>
          <w:szCs w:val="20"/>
        </w:rPr>
        <w:t>(Ohno et al., 2022</w:t>
      </w:r>
      <w:r w:rsidR="009E59FA" w:rsidRPr="001F5558">
        <w:rPr>
          <w:rFonts w:ascii="Arial" w:eastAsia="Times New Roman" w:hAnsi="Arial" w:cs="Arial"/>
          <w:sz w:val="20"/>
          <w:szCs w:val="20"/>
        </w:rPr>
        <w:t>; Mancia et al., 2023;</w:t>
      </w:r>
      <w:r w:rsidR="007C2ABF" w:rsidRPr="001F5558">
        <w:rPr>
          <w:rFonts w:ascii="Arial" w:eastAsia="Times New Roman" w:hAnsi="Arial" w:cs="Arial"/>
          <w:sz w:val="20"/>
          <w:szCs w:val="20"/>
        </w:rPr>
        <w:t xml:space="preserve">). </w:t>
      </w:r>
      <w:r w:rsidRPr="001F5558">
        <w:rPr>
          <w:rFonts w:ascii="Arial" w:eastAsia="Times New Roman" w:hAnsi="Arial" w:cs="Arial"/>
          <w:sz w:val="20"/>
          <w:szCs w:val="20"/>
        </w:rPr>
        <w:t xml:space="preserve">Diuretics are also a reasonable second-line therapy choice, particularly in those with reduced kidney function and hypervolemia (Hebert </w:t>
      </w:r>
      <w:r w:rsidR="009E59FA" w:rsidRPr="001F5558">
        <w:rPr>
          <w:rFonts w:ascii="Arial" w:eastAsia="Times New Roman" w:hAnsi="Arial" w:cs="Arial"/>
          <w:sz w:val="20"/>
          <w:szCs w:val="20"/>
        </w:rPr>
        <w:t xml:space="preserve">&amp; Ibrahim, </w:t>
      </w:r>
      <w:r w:rsidRPr="001F5558">
        <w:rPr>
          <w:rFonts w:ascii="Arial" w:eastAsia="Times New Roman" w:hAnsi="Arial" w:cs="Arial"/>
          <w:sz w:val="20"/>
          <w:szCs w:val="20"/>
        </w:rPr>
        <w:t>2022</w:t>
      </w:r>
      <w:r w:rsidR="007C2ABF" w:rsidRPr="001F5558">
        <w:rPr>
          <w:rFonts w:ascii="Arial" w:eastAsia="Times New Roman" w:hAnsi="Arial" w:cs="Arial"/>
          <w:sz w:val="20"/>
          <w:szCs w:val="20"/>
        </w:rPr>
        <w:t xml:space="preserve">). </w:t>
      </w:r>
      <w:r w:rsidR="00296C07" w:rsidRPr="001F5558">
        <w:rPr>
          <w:rFonts w:ascii="Arial" w:eastAsia="Times New Roman" w:hAnsi="Arial" w:cs="Arial"/>
          <w:sz w:val="20"/>
          <w:szCs w:val="20"/>
        </w:rPr>
        <w:t xml:space="preserve">The 2023 European Society of Hypertension (ESH) Guidelines recommend a 140/90 mmHg threshold for initiating </w:t>
      </w:r>
      <w:r w:rsidR="00454E33" w:rsidRPr="001F5558">
        <w:rPr>
          <w:rFonts w:ascii="Arial" w:eastAsia="Times New Roman" w:hAnsi="Arial" w:cs="Arial"/>
          <w:sz w:val="20"/>
          <w:szCs w:val="20"/>
        </w:rPr>
        <w:t>HTN</w:t>
      </w:r>
      <w:r w:rsidR="00296C07" w:rsidRPr="001F5558">
        <w:rPr>
          <w:rFonts w:ascii="Arial" w:eastAsia="Times New Roman" w:hAnsi="Arial" w:cs="Arial"/>
          <w:sz w:val="20"/>
          <w:szCs w:val="20"/>
        </w:rPr>
        <w:t xml:space="preserve"> treatment in </w:t>
      </w:r>
      <w:r w:rsidR="00D464AB" w:rsidRPr="001F5558">
        <w:rPr>
          <w:rFonts w:ascii="Arial" w:eastAsia="Times New Roman" w:hAnsi="Arial" w:cs="Arial"/>
          <w:sz w:val="20"/>
          <w:szCs w:val="20"/>
        </w:rPr>
        <w:t xml:space="preserve">CKD </w:t>
      </w:r>
      <w:r w:rsidR="00296C07" w:rsidRPr="001F5558">
        <w:rPr>
          <w:rFonts w:ascii="Arial" w:eastAsia="Times New Roman" w:hAnsi="Arial" w:cs="Arial"/>
          <w:sz w:val="20"/>
          <w:szCs w:val="20"/>
        </w:rPr>
        <w:t xml:space="preserve">adults, emphasizing early lifestyle changes and single-pill combinations. </w:t>
      </w:r>
      <w:r w:rsidR="00D464AB" w:rsidRPr="001F5558">
        <w:rPr>
          <w:rFonts w:ascii="Arial" w:eastAsia="Times New Roman" w:hAnsi="Arial" w:cs="Arial"/>
          <w:sz w:val="20"/>
          <w:szCs w:val="20"/>
        </w:rPr>
        <w:t>However, in CKD patients with a history of CVD, predominantly coronary artery disease</w:t>
      </w:r>
      <w:r w:rsidR="00180501" w:rsidRPr="001F5558">
        <w:rPr>
          <w:rFonts w:ascii="Arial" w:eastAsia="Times New Roman" w:hAnsi="Arial" w:cs="Arial"/>
          <w:sz w:val="20"/>
          <w:szCs w:val="20"/>
        </w:rPr>
        <w:t xml:space="preserve"> (CAD)</w:t>
      </w:r>
      <w:r w:rsidR="00D464AB" w:rsidRPr="001F5558">
        <w:rPr>
          <w:rFonts w:ascii="Arial" w:eastAsia="Times New Roman" w:hAnsi="Arial" w:cs="Arial"/>
          <w:sz w:val="20"/>
          <w:szCs w:val="20"/>
        </w:rPr>
        <w:t>, drug treatment should be initiated in the high-normal BP range (SBP ≥130 or DBP ≥80 mmHg)</w:t>
      </w:r>
      <w:r w:rsidR="008B2A6E" w:rsidRPr="001F5558">
        <w:rPr>
          <w:rFonts w:ascii="Arial" w:eastAsia="Times New Roman" w:hAnsi="Arial" w:cs="Arial"/>
          <w:sz w:val="20"/>
          <w:szCs w:val="20"/>
        </w:rPr>
        <w:t xml:space="preserve"> (</w:t>
      </w:r>
      <w:r w:rsidR="00780B1C" w:rsidRPr="001F5558">
        <w:rPr>
          <w:rFonts w:ascii="Arial" w:eastAsia="Times New Roman" w:hAnsi="Arial" w:cs="Arial"/>
          <w:sz w:val="20"/>
          <w:szCs w:val="20"/>
        </w:rPr>
        <w:t xml:space="preserve">Mancia et al., 2023; </w:t>
      </w:r>
      <w:proofErr w:type="spellStart"/>
      <w:r w:rsidR="006E5D3B" w:rsidRPr="001F5558">
        <w:rPr>
          <w:rFonts w:ascii="Arial" w:eastAsia="Times New Roman" w:hAnsi="Arial" w:cs="Arial"/>
          <w:sz w:val="20"/>
          <w:szCs w:val="20"/>
        </w:rPr>
        <w:t>Theodorakopoulou</w:t>
      </w:r>
      <w:proofErr w:type="spellEnd"/>
      <w:r w:rsidR="006E5D3B" w:rsidRPr="001F5558">
        <w:rPr>
          <w:rFonts w:ascii="Arial" w:eastAsia="Times New Roman" w:hAnsi="Arial" w:cs="Arial"/>
          <w:sz w:val="20"/>
          <w:szCs w:val="20"/>
        </w:rPr>
        <w:t xml:space="preserve"> et al., 2024</w:t>
      </w:r>
      <w:r w:rsidR="003136E1" w:rsidRPr="001F5558">
        <w:rPr>
          <w:rFonts w:ascii="Arial" w:eastAsia="Times New Roman" w:hAnsi="Arial" w:cs="Arial"/>
          <w:sz w:val="20"/>
          <w:szCs w:val="20"/>
        </w:rPr>
        <w:t xml:space="preserve">; </w:t>
      </w:r>
      <w:proofErr w:type="spellStart"/>
      <w:r w:rsidR="003136E1" w:rsidRPr="001F5558">
        <w:rPr>
          <w:rFonts w:ascii="Arial" w:hAnsi="Arial" w:cs="Arial"/>
          <w:sz w:val="20"/>
          <w:szCs w:val="20"/>
        </w:rPr>
        <w:t>Alsalloum</w:t>
      </w:r>
      <w:proofErr w:type="spellEnd"/>
      <w:r w:rsidR="003136E1" w:rsidRPr="001F5558">
        <w:rPr>
          <w:rFonts w:ascii="Arial" w:hAnsi="Arial" w:cs="Arial"/>
          <w:sz w:val="20"/>
          <w:szCs w:val="20"/>
        </w:rPr>
        <w:t xml:space="preserve"> et al., 2025</w:t>
      </w:r>
      <w:r w:rsidR="008B2A6E" w:rsidRPr="001F5558">
        <w:rPr>
          <w:rFonts w:ascii="Arial" w:eastAsia="Times New Roman" w:hAnsi="Arial" w:cs="Arial"/>
          <w:sz w:val="20"/>
          <w:szCs w:val="20"/>
        </w:rPr>
        <w:t>)</w:t>
      </w:r>
      <w:r w:rsidR="00D464AB" w:rsidRPr="001F5558">
        <w:rPr>
          <w:rFonts w:ascii="Arial" w:eastAsia="Times New Roman" w:hAnsi="Arial" w:cs="Arial"/>
          <w:sz w:val="20"/>
          <w:szCs w:val="20"/>
        </w:rPr>
        <w:t xml:space="preserve">. </w:t>
      </w:r>
      <w:r w:rsidR="001B5311" w:rsidRPr="001F5558">
        <w:rPr>
          <w:rFonts w:ascii="Arial" w:eastAsia="Times New Roman" w:hAnsi="Arial" w:cs="Arial"/>
          <w:sz w:val="20"/>
          <w:szCs w:val="20"/>
        </w:rPr>
        <w:t xml:space="preserve">Particularly, </w:t>
      </w:r>
      <w:r w:rsidRPr="001F5558">
        <w:rPr>
          <w:rFonts w:ascii="Arial" w:eastAsia="Times New Roman" w:hAnsi="Arial" w:cs="Arial"/>
          <w:sz w:val="20"/>
          <w:szCs w:val="20"/>
        </w:rPr>
        <w:t xml:space="preserve">initiating drug therapy with a combination of a RAAS </w:t>
      </w:r>
      <w:r w:rsidR="00850F46" w:rsidRPr="001F5558">
        <w:rPr>
          <w:rFonts w:ascii="Arial" w:eastAsia="Times New Roman" w:hAnsi="Arial" w:cs="Arial"/>
          <w:sz w:val="20"/>
          <w:szCs w:val="20"/>
        </w:rPr>
        <w:t xml:space="preserve">inhibitor </w:t>
      </w:r>
      <w:r w:rsidRPr="001F5558">
        <w:rPr>
          <w:rFonts w:ascii="Arial" w:eastAsia="Times New Roman" w:hAnsi="Arial" w:cs="Arial"/>
          <w:sz w:val="20"/>
          <w:szCs w:val="20"/>
        </w:rPr>
        <w:t xml:space="preserve">with either a dihydropyridine calcium channel blocker (CCB) or a </w:t>
      </w:r>
      <w:r w:rsidR="007C2ABF" w:rsidRPr="001F5558">
        <w:rPr>
          <w:rFonts w:ascii="Arial" w:eastAsia="Times New Roman" w:hAnsi="Arial" w:cs="Arial"/>
          <w:sz w:val="20"/>
          <w:szCs w:val="20"/>
        </w:rPr>
        <w:t>diuretic</w:t>
      </w:r>
      <w:r w:rsidRPr="001F5558">
        <w:rPr>
          <w:rFonts w:ascii="Arial" w:eastAsia="Times New Roman" w:hAnsi="Arial" w:cs="Arial"/>
          <w:sz w:val="20"/>
          <w:szCs w:val="20"/>
        </w:rPr>
        <w:t xml:space="preserve"> </w:t>
      </w:r>
      <w:r w:rsidR="001B5311" w:rsidRPr="001F5558">
        <w:rPr>
          <w:rFonts w:ascii="Arial" w:eastAsia="Times New Roman" w:hAnsi="Arial" w:cs="Arial"/>
          <w:sz w:val="20"/>
          <w:szCs w:val="20"/>
        </w:rPr>
        <w:t>to achieve target blood pressures efficiently</w:t>
      </w:r>
      <w:r w:rsidR="00B07662" w:rsidRPr="001F5558">
        <w:rPr>
          <w:rFonts w:ascii="Arial" w:eastAsia="Times New Roman" w:hAnsi="Arial" w:cs="Arial"/>
          <w:sz w:val="20"/>
          <w:szCs w:val="20"/>
        </w:rPr>
        <w:t>,</w:t>
      </w:r>
      <w:r w:rsidR="001B5311" w:rsidRPr="001F5558">
        <w:rPr>
          <w:rFonts w:ascii="Arial" w:eastAsia="Times New Roman" w:hAnsi="Arial" w:cs="Arial"/>
          <w:sz w:val="20"/>
          <w:szCs w:val="20"/>
        </w:rPr>
        <w:t xml:space="preserve"> </w:t>
      </w:r>
      <w:r w:rsidRPr="001F5558">
        <w:rPr>
          <w:rFonts w:ascii="Arial" w:eastAsia="Times New Roman" w:hAnsi="Arial" w:cs="Arial"/>
          <w:sz w:val="20"/>
          <w:szCs w:val="20"/>
        </w:rPr>
        <w:t>because monotherapy is insufficient to control blood pressure (</w:t>
      </w:r>
      <w:proofErr w:type="spellStart"/>
      <w:r w:rsidRPr="001F5558">
        <w:rPr>
          <w:rFonts w:ascii="Arial" w:eastAsia="Times New Roman" w:hAnsi="Arial" w:cs="Arial"/>
          <w:sz w:val="20"/>
          <w:szCs w:val="20"/>
        </w:rPr>
        <w:t>Damianaki</w:t>
      </w:r>
      <w:proofErr w:type="spellEnd"/>
      <w:r w:rsidRPr="001F5558">
        <w:rPr>
          <w:rFonts w:ascii="Arial" w:eastAsia="Times New Roman" w:hAnsi="Arial" w:cs="Arial"/>
          <w:sz w:val="20"/>
          <w:szCs w:val="20"/>
        </w:rPr>
        <w:t xml:space="preserve"> et al., 2022</w:t>
      </w:r>
      <w:r w:rsidR="0082138D" w:rsidRPr="001F5558">
        <w:rPr>
          <w:rFonts w:ascii="Arial" w:eastAsia="Times New Roman" w:hAnsi="Arial" w:cs="Arial"/>
          <w:sz w:val="20"/>
          <w:szCs w:val="20"/>
        </w:rPr>
        <w:t xml:space="preserve">; </w:t>
      </w:r>
      <w:r w:rsidR="009E59FA" w:rsidRPr="001F5558">
        <w:rPr>
          <w:rFonts w:ascii="Arial" w:eastAsia="Times New Roman" w:hAnsi="Arial" w:cs="Arial"/>
          <w:sz w:val="20"/>
          <w:szCs w:val="20"/>
        </w:rPr>
        <w:t xml:space="preserve">Ohno et al., 2022; </w:t>
      </w:r>
      <w:r w:rsidR="0082138D" w:rsidRPr="001F5558">
        <w:rPr>
          <w:rFonts w:ascii="Arial" w:eastAsia="Times New Roman" w:hAnsi="Arial" w:cs="Arial"/>
          <w:sz w:val="20"/>
          <w:szCs w:val="20"/>
        </w:rPr>
        <w:t>KDIGO 2024</w:t>
      </w:r>
      <w:r w:rsidR="007C2ABF" w:rsidRPr="001F5558">
        <w:rPr>
          <w:rFonts w:ascii="Arial" w:eastAsia="Times New Roman" w:hAnsi="Arial" w:cs="Arial"/>
          <w:sz w:val="20"/>
          <w:szCs w:val="20"/>
        </w:rPr>
        <w:t xml:space="preserve">). </w:t>
      </w:r>
      <w:r w:rsidR="00B07662" w:rsidRPr="001F5558">
        <w:rPr>
          <w:rFonts w:ascii="Arial" w:eastAsia="Times New Roman" w:hAnsi="Arial" w:cs="Arial"/>
          <w:sz w:val="20"/>
          <w:szCs w:val="20"/>
        </w:rPr>
        <w:t>Step</w:t>
      </w:r>
      <w:r w:rsidR="00776BE0" w:rsidRPr="001F5558">
        <w:rPr>
          <w:rFonts w:ascii="Arial" w:eastAsia="Times New Roman" w:hAnsi="Arial" w:cs="Arial"/>
          <w:sz w:val="20"/>
          <w:szCs w:val="20"/>
        </w:rPr>
        <w:t xml:space="preserve"> 1 of treatment includes </w:t>
      </w:r>
      <w:r w:rsidR="00B07662" w:rsidRPr="001F5558">
        <w:rPr>
          <w:rFonts w:ascii="Arial" w:eastAsia="Times New Roman" w:hAnsi="Arial" w:cs="Arial"/>
          <w:sz w:val="20"/>
          <w:szCs w:val="20"/>
        </w:rPr>
        <w:t xml:space="preserve">a </w:t>
      </w:r>
      <w:r w:rsidR="00776BE0" w:rsidRPr="001F5558">
        <w:rPr>
          <w:rFonts w:ascii="Arial" w:eastAsia="Times New Roman" w:hAnsi="Arial" w:cs="Arial"/>
          <w:sz w:val="20"/>
          <w:szCs w:val="20"/>
        </w:rPr>
        <w:t xml:space="preserve">combination of an ACEI or ARB + CCB or thiazide or </w:t>
      </w:r>
      <w:r w:rsidR="00F503E1" w:rsidRPr="001F5558">
        <w:rPr>
          <w:rFonts w:ascii="Arial" w:eastAsia="Times New Roman" w:hAnsi="Arial" w:cs="Arial"/>
          <w:sz w:val="20"/>
          <w:szCs w:val="20"/>
        </w:rPr>
        <w:t>thiazide-like</w:t>
      </w:r>
      <w:r w:rsidR="00776BE0" w:rsidRPr="001F5558">
        <w:rPr>
          <w:rFonts w:ascii="Arial" w:eastAsia="Times New Roman" w:hAnsi="Arial" w:cs="Arial"/>
          <w:sz w:val="20"/>
          <w:szCs w:val="20"/>
        </w:rPr>
        <w:t xml:space="preserve"> diuretic if eGFR ≥30 mL/min/1.73 m</w:t>
      </w:r>
      <w:r w:rsidR="00776BE0" w:rsidRPr="001F5558">
        <w:rPr>
          <w:rFonts w:ascii="Arial" w:eastAsia="Times New Roman" w:hAnsi="Arial" w:cs="Arial"/>
          <w:sz w:val="20"/>
          <w:szCs w:val="20"/>
          <w:vertAlign w:val="superscript"/>
        </w:rPr>
        <w:t>2</w:t>
      </w:r>
      <w:r w:rsidR="00776BE0" w:rsidRPr="001F5558">
        <w:rPr>
          <w:rFonts w:ascii="Arial" w:eastAsia="Times New Roman" w:hAnsi="Arial" w:cs="Arial"/>
          <w:sz w:val="20"/>
          <w:szCs w:val="20"/>
        </w:rPr>
        <w:t xml:space="preserve">, or </w:t>
      </w:r>
      <w:r w:rsidR="00B07662" w:rsidRPr="001F5558">
        <w:rPr>
          <w:rFonts w:ascii="Arial" w:eastAsia="Times New Roman" w:hAnsi="Arial" w:cs="Arial"/>
          <w:sz w:val="20"/>
          <w:szCs w:val="20"/>
        </w:rPr>
        <w:t xml:space="preserve">a </w:t>
      </w:r>
      <w:r w:rsidR="00776BE0" w:rsidRPr="001F5558">
        <w:rPr>
          <w:rFonts w:ascii="Arial" w:eastAsia="Times New Roman" w:hAnsi="Arial" w:cs="Arial"/>
          <w:sz w:val="20"/>
          <w:szCs w:val="20"/>
        </w:rPr>
        <w:t>combination of an ACEI or ARB + CCB or loop diuretic if eGFR &lt;30 mL/min/1.73 m</w:t>
      </w:r>
      <w:r w:rsidR="00776BE0" w:rsidRPr="001F5558">
        <w:rPr>
          <w:rFonts w:ascii="Arial" w:eastAsia="Times New Roman" w:hAnsi="Arial" w:cs="Arial"/>
          <w:sz w:val="20"/>
          <w:szCs w:val="20"/>
          <w:vertAlign w:val="superscript"/>
        </w:rPr>
        <w:t>2</w:t>
      </w:r>
      <w:r w:rsidR="00176562" w:rsidRPr="001F5558">
        <w:rPr>
          <w:rFonts w:ascii="Arial" w:eastAsia="Times New Roman" w:hAnsi="Arial" w:cs="Arial"/>
          <w:sz w:val="20"/>
          <w:szCs w:val="20"/>
        </w:rPr>
        <w:t>.</w:t>
      </w:r>
      <w:r w:rsidR="00F503E1" w:rsidRPr="001F5558">
        <w:rPr>
          <w:rFonts w:ascii="Arial" w:eastAsia="Times New Roman" w:hAnsi="Arial" w:cs="Arial"/>
          <w:sz w:val="20"/>
          <w:szCs w:val="20"/>
          <w:vertAlign w:val="superscript"/>
        </w:rPr>
        <w:t xml:space="preserve"> </w:t>
      </w:r>
      <w:r w:rsidR="00B07662" w:rsidRPr="001F5558">
        <w:rPr>
          <w:rFonts w:ascii="Arial" w:eastAsia="Times New Roman" w:hAnsi="Arial" w:cs="Arial"/>
          <w:sz w:val="20"/>
          <w:szCs w:val="20"/>
        </w:rPr>
        <w:t>Step</w:t>
      </w:r>
      <w:r w:rsidR="00776BE0" w:rsidRPr="001F5558">
        <w:rPr>
          <w:rFonts w:ascii="Arial" w:eastAsia="Times New Roman" w:hAnsi="Arial" w:cs="Arial"/>
          <w:sz w:val="20"/>
          <w:szCs w:val="20"/>
        </w:rPr>
        <w:t xml:space="preserve"> 2 of treatment includes </w:t>
      </w:r>
      <w:r w:rsidR="00B07662" w:rsidRPr="001F5558">
        <w:rPr>
          <w:rFonts w:ascii="Arial" w:eastAsia="Times New Roman" w:hAnsi="Arial" w:cs="Arial"/>
          <w:sz w:val="20"/>
          <w:szCs w:val="20"/>
        </w:rPr>
        <w:t xml:space="preserve">a </w:t>
      </w:r>
      <w:r w:rsidR="00776BE0" w:rsidRPr="001F5558">
        <w:rPr>
          <w:rFonts w:ascii="Arial" w:eastAsia="Times New Roman" w:hAnsi="Arial" w:cs="Arial"/>
          <w:sz w:val="20"/>
          <w:szCs w:val="20"/>
        </w:rPr>
        <w:t xml:space="preserve">combination of the </w:t>
      </w:r>
      <w:r w:rsidR="00B07662" w:rsidRPr="001F5558">
        <w:rPr>
          <w:rFonts w:ascii="Arial" w:eastAsia="Times New Roman" w:hAnsi="Arial" w:cs="Arial"/>
          <w:sz w:val="20"/>
          <w:szCs w:val="20"/>
        </w:rPr>
        <w:t xml:space="preserve">three (3) </w:t>
      </w:r>
      <w:r w:rsidR="00776BE0" w:rsidRPr="001F5558">
        <w:rPr>
          <w:rFonts w:ascii="Arial" w:eastAsia="Times New Roman" w:hAnsi="Arial" w:cs="Arial"/>
          <w:sz w:val="20"/>
          <w:szCs w:val="20"/>
        </w:rPr>
        <w:t>above drug classes to maximum tolerated doses</w:t>
      </w:r>
      <w:r w:rsidR="00B07662" w:rsidRPr="001F5558">
        <w:rPr>
          <w:rFonts w:ascii="Arial" w:eastAsia="Times New Roman" w:hAnsi="Arial" w:cs="Arial"/>
          <w:sz w:val="20"/>
          <w:szCs w:val="20"/>
        </w:rPr>
        <w:t xml:space="preserve">. </w:t>
      </w:r>
      <w:r w:rsidR="00776BE0" w:rsidRPr="001F5558">
        <w:rPr>
          <w:rFonts w:ascii="Arial" w:eastAsia="Times New Roman" w:hAnsi="Arial" w:cs="Arial"/>
          <w:sz w:val="20"/>
          <w:szCs w:val="20"/>
        </w:rPr>
        <w:t>Step</w:t>
      </w:r>
      <w:r w:rsidR="00176562" w:rsidRPr="001F5558">
        <w:rPr>
          <w:rFonts w:ascii="Arial" w:eastAsia="Times New Roman" w:hAnsi="Arial" w:cs="Arial"/>
          <w:sz w:val="20"/>
          <w:szCs w:val="20"/>
        </w:rPr>
        <w:t xml:space="preserve"> </w:t>
      </w:r>
      <w:r w:rsidR="00776BE0" w:rsidRPr="001F5558">
        <w:rPr>
          <w:rFonts w:ascii="Arial" w:eastAsia="Times New Roman" w:hAnsi="Arial" w:cs="Arial"/>
          <w:sz w:val="20"/>
          <w:szCs w:val="20"/>
        </w:rPr>
        <w:t>3</w:t>
      </w:r>
      <w:r w:rsidR="00176562" w:rsidRPr="001F5558">
        <w:rPr>
          <w:rFonts w:ascii="Arial" w:eastAsia="Times New Roman" w:hAnsi="Arial" w:cs="Arial"/>
          <w:sz w:val="20"/>
          <w:szCs w:val="20"/>
        </w:rPr>
        <w:t xml:space="preserve"> </w:t>
      </w:r>
      <w:r w:rsidR="00776BE0" w:rsidRPr="001F5558">
        <w:rPr>
          <w:rFonts w:ascii="Arial" w:eastAsia="Times New Roman" w:hAnsi="Arial" w:cs="Arial"/>
          <w:sz w:val="20"/>
          <w:szCs w:val="20"/>
        </w:rPr>
        <w:t>of</w:t>
      </w:r>
      <w:r w:rsidR="00176562" w:rsidRPr="001F5558">
        <w:rPr>
          <w:rFonts w:ascii="Arial" w:eastAsia="Times New Roman" w:hAnsi="Arial" w:cs="Arial"/>
          <w:sz w:val="20"/>
          <w:szCs w:val="20"/>
        </w:rPr>
        <w:t xml:space="preserve"> </w:t>
      </w:r>
      <w:r w:rsidR="00776BE0" w:rsidRPr="001F5558">
        <w:rPr>
          <w:rFonts w:ascii="Arial" w:eastAsia="Times New Roman" w:hAnsi="Arial" w:cs="Arial"/>
          <w:sz w:val="20"/>
          <w:szCs w:val="20"/>
        </w:rPr>
        <w:t xml:space="preserve">treatment includes </w:t>
      </w:r>
      <w:r w:rsidR="00287F82" w:rsidRPr="001F5558">
        <w:rPr>
          <w:rFonts w:ascii="Arial" w:eastAsia="Times New Roman" w:hAnsi="Arial" w:cs="Arial"/>
          <w:sz w:val="20"/>
          <w:szCs w:val="20"/>
        </w:rPr>
        <w:t xml:space="preserve">the </w:t>
      </w:r>
      <w:r w:rsidR="00776BE0" w:rsidRPr="001F5558">
        <w:rPr>
          <w:rFonts w:ascii="Arial" w:eastAsia="Times New Roman" w:hAnsi="Arial" w:cs="Arial"/>
          <w:sz w:val="20"/>
          <w:szCs w:val="20"/>
        </w:rPr>
        <w:t>addition of spironolactone if eGFR ≥30 mL/min/1.73 m</w:t>
      </w:r>
      <w:r w:rsidR="00776BE0" w:rsidRPr="001F5558">
        <w:rPr>
          <w:rFonts w:ascii="Arial" w:eastAsia="Times New Roman" w:hAnsi="Arial" w:cs="Arial"/>
          <w:sz w:val="20"/>
          <w:szCs w:val="20"/>
          <w:vertAlign w:val="superscript"/>
        </w:rPr>
        <w:t>2</w:t>
      </w:r>
      <w:r w:rsidR="00776BE0" w:rsidRPr="001F5558">
        <w:rPr>
          <w:rFonts w:ascii="Arial" w:eastAsia="Times New Roman" w:hAnsi="Arial" w:cs="Arial"/>
          <w:sz w:val="20"/>
          <w:szCs w:val="20"/>
        </w:rPr>
        <w:t> and potassium within the normal range or chlortalidone if eGFR &lt;30 mL/min/1.73 m</w:t>
      </w:r>
      <w:r w:rsidR="00776BE0" w:rsidRPr="001F5558">
        <w:rPr>
          <w:rFonts w:ascii="Arial" w:eastAsia="Times New Roman" w:hAnsi="Arial" w:cs="Arial"/>
          <w:sz w:val="20"/>
          <w:szCs w:val="20"/>
          <w:vertAlign w:val="superscript"/>
        </w:rPr>
        <w:t>2</w:t>
      </w:r>
      <w:r w:rsidR="00287F82" w:rsidRPr="001F5558">
        <w:rPr>
          <w:rFonts w:ascii="Arial" w:eastAsia="Times New Roman" w:hAnsi="Arial" w:cs="Arial"/>
          <w:sz w:val="20"/>
          <w:szCs w:val="20"/>
          <w:vertAlign w:val="superscript"/>
        </w:rPr>
        <w:t>.</w:t>
      </w:r>
      <w:r w:rsidR="0082138D" w:rsidRPr="001F5558">
        <w:rPr>
          <w:rFonts w:ascii="Arial" w:eastAsia="Times New Roman" w:hAnsi="Arial" w:cs="Arial"/>
          <w:sz w:val="20"/>
          <w:szCs w:val="20"/>
          <w:vertAlign w:val="superscript"/>
        </w:rPr>
        <w:t xml:space="preserve"> </w:t>
      </w:r>
      <w:r w:rsidRPr="001F5558">
        <w:rPr>
          <w:rFonts w:ascii="Arial" w:eastAsia="Times New Roman" w:hAnsi="Arial" w:cs="Arial"/>
          <w:sz w:val="20"/>
          <w:szCs w:val="20"/>
        </w:rPr>
        <w:t>Aldosterone receptor antagonists</w:t>
      </w:r>
      <w:r w:rsidR="007C2ABF" w:rsidRPr="001F5558">
        <w:rPr>
          <w:rFonts w:ascii="Arial" w:eastAsia="Times New Roman" w:hAnsi="Arial" w:cs="Arial"/>
          <w:sz w:val="20"/>
          <w:szCs w:val="20"/>
        </w:rPr>
        <w:t xml:space="preserve"> </w:t>
      </w:r>
      <w:r w:rsidRPr="001F5558">
        <w:rPr>
          <w:rFonts w:ascii="Arial" w:eastAsia="Times New Roman" w:hAnsi="Arial" w:cs="Arial"/>
          <w:sz w:val="20"/>
          <w:szCs w:val="20"/>
        </w:rPr>
        <w:t xml:space="preserve">(mineralocorticoid receptor antagonists) are also required in individuals with resistant </w:t>
      </w:r>
      <w:r w:rsidR="00454E33" w:rsidRPr="001F5558">
        <w:rPr>
          <w:rFonts w:ascii="Arial" w:eastAsia="Times New Roman" w:hAnsi="Arial" w:cs="Arial"/>
          <w:sz w:val="20"/>
          <w:szCs w:val="20"/>
        </w:rPr>
        <w:t>HTN</w:t>
      </w:r>
      <w:r w:rsidR="007C2ABF" w:rsidRPr="001F5558">
        <w:rPr>
          <w:rFonts w:ascii="Arial" w:eastAsia="Times New Roman" w:hAnsi="Arial" w:cs="Arial"/>
          <w:sz w:val="20"/>
          <w:szCs w:val="20"/>
        </w:rPr>
        <w:t>,</w:t>
      </w:r>
      <w:r w:rsidRPr="001F5558">
        <w:rPr>
          <w:rFonts w:ascii="Arial" w:eastAsia="Times New Roman" w:hAnsi="Arial" w:cs="Arial"/>
          <w:sz w:val="20"/>
          <w:szCs w:val="20"/>
        </w:rPr>
        <w:t xml:space="preserve"> albuminuria</w:t>
      </w:r>
      <w:r w:rsidR="007C2ABF" w:rsidRPr="001F5558">
        <w:rPr>
          <w:rFonts w:ascii="Arial" w:eastAsia="Times New Roman" w:hAnsi="Arial" w:cs="Arial"/>
          <w:sz w:val="20"/>
          <w:szCs w:val="20"/>
        </w:rPr>
        <w:t>,</w:t>
      </w:r>
      <w:r w:rsidRPr="001F5558">
        <w:rPr>
          <w:rFonts w:ascii="Arial" w:eastAsia="Times New Roman" w:hAnsi="Arial" w:cs="Arial"/>
          <w:sz w:val="20"/>
          <w:szCs w:val="20"/>
        </w:rPr>
        <w:t xml:space="preserve"> or heart failure with reduced ejection fraction (Chen et al., 2019</w:t>
      </w:r>
      <w:r w:rsidR="006E5D3B" w:rsidRPr="001F5558">
        <w:rPr>
          <w:rFonts w:ascii="Arial" w:eastAsia="Times New Roman" w:hAnsi="Arial" w:cs="Arial"/>
          <w:sz w:val="20"/>
          <w:szCs w:val="20"/>
        </w:rPr>
        <w:t xml:space="preserve">; </w:t>
      </w:r>
      <w:r w:rsidR="00780B1C" w:rsidRPr="001F5558">
        <w:rPr>
          <w:rFonts w:ascii="Arial" w:eastAsia="Times New Roman" w:hAnsi="Arial" w:cs="Arial"/>
          <w:sz w:val="20"/>
          <w:szCs w:val="20"/>
        </w:rPr>
        <w:t xml:space="preserve">Mancia et al., 2023; </w:t>
      </w:r>
      <w:r w:rsidR="006E5D3B" w:rsidRPr="001F5558">
        <w:rPr>
          <w:rFonts w:ascii="Arial" w:eastAsia="Times New Roman" w:hAnsi="Arial" w:cs="Arial"/>
          <w:sz w:val="20"/>
          <w:szCs w:val="20"/>
        </w:rPr>
        <w:t xml:space="preserve">Erviti et al., 2024; </w:t>
      </w:r>
      <w:proofErr w:type="spellStart"/>
      <w:r w:rsidR="006E5D3B" w:rsidRPr="001F5558">
        <w:rPr>
          <w:rFonts w:ascii="Arial" w:eastAsia="Times New Roman" w:hAnsi="Arial" w:cs="Arial"/>
          <w:sz w:val="20"/>
          <w:szCs w:val="20"/>
        </w:rPr>
        <w:t>Theodorakopoulou</w:t>
      </w:r>
      <w:proofErr w:type="spellEnd"/>
      <w:r w:rsidR="006E5D3B" w:rsidRPr="001F5558">
        <w:rPr>
          <w:rFonts w:ascii="Arial" w:eastAsia="Times New Roman" w:hAnsi="Arial" w:cs="Arial"/>
          <w:sz w:val="20"/>
          <w:szCs w:val="20"/>
        </w:rPr>
        <w:t xml:space="preserve"> et al., 2024</w:t>
      </w:r>
      <w:r w:rsidR="007C2ABF" w:rsidRPr="001F5558">
        <w:rPr>
          <w:rFonts w:ascii="Arial" w:eastAsia="Times New Roman" w:hAnsi="Arial" w:cs="Arial"/>
          <w:sz w:val="20"/>
          <w:szCs w:val="20"/>
        </w:rPr>
        <w:t>)</w:t>
      </w:r>
      <w:r w:rsidR="00A70858" w:rsidRPr="001F5558">
        <w:rPr>
          <w:rFonts w:ascii="Arial" w:eastAsia="Times New Roman" w:hAnsi="Arial" w:cs="Arial"/>
          <w:sz w:val="20"/>
          <w:szCs w:val="20"/>
        </w:rPr>
        <w:t xml:space="preserve"> (</w:t>
      </w:r>
      <w:r w:rsidR="0081414C" w:rsidRPr="001F5558">
        <w:rPr>
          <w:rFonts w:ascii="Arial" w:eastAsia="Times New Roman" w:hAnsi="Arial" w:cs="Arial"/>
          <w:sz w:val="20"/>
          <w:szCs w:val="20"/>
        </w:rPr>
        <w:t>Tables</w:t>
      </w:r>
      <w:r w:rsidR="00A70858" w:rsidRPr="001F5558">
        <w:rPr>
          <w:rFonts w:ascii="Arial" w:eastAsia="Times New Roman" w:hAnsi="Arial" w:cs="Arial"/>
          <w:sz w:val="20"/>
          <w:szCs w:val="20"/>
        </w:rPr>
        <w:t xml:space="preserve"> </w:t>
      </w:r>
      <w:r w:rsidR="005A76D9" w:rsidRPr="001F5558">
        <w:rPr>
          <w:rFonts w:ascii="Arial" w:eastAsia="Times New Roman" w:hAnsi="Arial" w:cs="Arial"/>
          <w:sz w:val="20"/>
          <w:szCs w:val="20"/>
        </w:rPr>
        <w:t>3</w:t>
      </w:r>
      <w:r w:rsidR="00BB77C7" w:rsidRPr="001F5558">
        <w:rPr>
          <w:rFonts w:ascii="Arial" w:eastAsia="Times New Roman" w:hAnsi="Arial" w:cs="Arial"/>
          <w:sz w:val="20"/>
          <w:szCs w:val="20"/>
        </w:rPr>
        <w:t xml:space="preserve"> &amp; 4</w:t>
      </w:r>
      <w:r w:rsidR="00A70858" w:rsidRPr="001F5558">
        <w:rPr>
          <w:rFonts w:ascii="Arial" w:eastAsia="Times New Roman" w:hAnsi="Arial" w:cs="Arial"/>
          <w:sz w:val="20"/>
          <w:szCs w:val="20"/>
        </w:rPr>
        <w:t>)</w:t>
      </w:r>
      <w:r w:rsidR="007C2ABF" w:rsidRPr="001F5558">
        <w:rPr>
          <w:rFonts w:ascii="Arial" w:eastAsia="Times New Roman" w:hAnsi="Arial" w:cs="Arial"/>
          <w:sz w:val="20"/>
          <w:szCs w:val="20"/>
        </w:rPr>
        <w:t>.</w:t>
      </w:r>
      <w:r w:rsidRPr="001F5558">
        <w:rPr>
          <w:rFonts w:ascii="Arial" w:eastAsia="Times New Roman" w:hAnsi="Arial" w:cs="Arial"/>
          <w:sz w:val="20"/>
          <w:szCs w:val="20"/>
        </w:rPr>
        <w:t xml:space="preserve"> </w:t>
      </w:r>
    </w:p>
    <w:p w14:paraId="19B43F79" w14:textId="77777777" w:rsidR="003F5A4B" w:rsidRPr="001F5558" w:rsidRDefault="003F5A4B" w:rsidP="00257B59">
      <w:pPr>
        <w:spacing w:after="0" w:line="240" w:lineRule="auto"/>
        <w:jc w:val="both"/>
        <w:rPr>
          <w:rFonts w:ascii="Arial" w:eastAsia="Times New Roman" w:hAnsi="Arial" w:cs="Arial"/>
          <w:sz w:val="20"/>
          <w:szCs w:val="20"/>
        </w:rPr>
      </w:pPr>
    </w:p>
    <w:p w14:paraId="409D62B7" w14:textId="19B08435" w:rsidR="003F5A4B" w:rsidRPr="001F5558" w:rsidRDefault="003F5A4B" w:rsidP="003F5A4B">
      <w:pPr>
        <w:spacing w:after="0" w:line="240" w:lineRule="auto"/>
        <w:jc w:val="both"/>
        <w:rPr>
          <w:rFonts w:ascii="Arial" w:eastAsia="Times New Roman" w:hAnsi="Arial" w:cs="Arial"/>
          <w:b/>
          <w:bCs/>
          <w:sz w:val="20"/>
          <w:szCs w:val="20"/>
        </w:rPr>
      </w:pPr>
      <w:r w:rsidRPr="001F5558">
        <w:rPr>
          <w:rFonts w:ascii="Arial" w:eastAsia="Times New Roman" w:hAnsi="Arial" w:cs="Arial"/>
          <w:sz w:val="20"/>
          <w:szCs w:val="20"/>
        </w:rPr>
        <w:t xml:space="preserve">Notably, combining an ACEI with an ARB should be avoided. Novel agents like sodium glucose transporter 2 (SGLT2) inhibitors or the non-steroidal mineralocorticoid receptor antagonist (ns-MRA), </w:t>
      </w:r>
      <w:proofErr w:type="spellStart"/>
      <w:r w:rsidRPr="001F5558">
        <w:rPr>
          <w:rFonts w:ascii="Arial" w:eastAsia="Times New Roman" w:hAnsi="Arial" w:cs="Arial"/>
          <w:sz w:val="20"/>
          <w:szCs w:val="20"/>
        </w:rPr>
        <w:t>finerenone</w:t>
      </w:r>
      <w:proofErr w:type="spellEnd"/>
      <w:r w:rsidRPr="001F5558">
        <w:rPr>
          <w:rFonts w:ascii="Arial" w:eastAsia="Times New Roman" w:hAnsi="Arial" w:cs="Arial"/>
          <w:sz w:val="20"/>
          <w:szCs w:val="20"/>
        </w:rPr>
        <w:t>, can slow the progression of kidney diseases and lower cardiovascular mortality in addition to standard care using RAAS inhibitors (</w:t>
      </w:r>
      <w:proofErr w:type="spellStart"/>
      <w:r w:rsidRPr="001F5558">
        <w:rPr>
          <w:rFonts w:ascii="Arial" w:eastAsia="Times New Roman" w:hAnsi="Arial" w:cs="Arial"/>
          <w:sz w:val="20"/>
          <w:szCs w:val="20"/>
        </w:rPr>
        <w:t>Damianaki</w:t>
      </w:r>
      <w:proofErr w:type="spellEnd"/>
      <w:r w:rsidRPr="001F5558">
        <w:rPr>
          <w:rFonts w:ascii="Arial" w:eastAsia="Times New Roman" w:hAnsi="Arial" w:cs="Arial"/>
          <w:sz w:val="20"/>
          <w:szCs w:val="20"/>
        </w:rPr>
        <w:t xml:space="preserve"> et al., 2022; </w:t>
      </w:r>
      <w:proofErr w:type="spellStart"/>
      <w:r w:rsidRPr="001F5558">
        <w:rPr>
          <w:rFonts w:ascii="Arial" w:eastAsia="Times New Roman" w:hAnsi="Arial" w:cs="Arial"/>
          <w:sz w:val="20"/>
          <w:szCs w:val="20"/>
        </w:rPr>
        <w:t>Georgianos</w:t>
      </w:r>
      <w:proofErr w:type="spellEnd"/>
      <w:r w:rsidRPr="001F5558">
        <w:rPr>
          <w:rFonts w:ascii="Arial" w:eastAsia="Times New Roman" w:hAnsi="Arial" w:cs="Arial"/>
          <w:sz w:val="20"/>
          <w:szCs w:val="20"/>
        </w:rPr>
        <w:t xml:space="preserve"> &amp; Agarwal, 2023; </w:t>
      </w:r>
      <w:proofErr w:type="spellStart"/>
      <w:r w:rsidRPr="001F5558">
        <w:rPr>
          <w:rFonts w:ascii="Arial" w:hAnsi="Arial" w:cs="Arial"/>
          <w:sz w:val="20"/>
          <w:szCs w:val="20"/>
        </w:rPr>
        <w:t>Alsalloum</w:t>
      </w:r>
      <w:proofErr w:type="spellEnd"/>
      <w:r w:rsidRPr="001F5558">
        <w:rPr>
          <w:rFonts w:ascii="Arial" w:hAnsi="Arial" w:cs="Arial"/>
          <w:sz w:val="20"/>
          <w:szCs w:val="20"/>
        </w:rPr>
        <w:t xml:space="preserve"> et al., 2025</w:t>
      </w:r>
      <w:r w:rsidRPr="001F5558">
        <w:rPr>
          <w:rFonts w:ascii="Arial" w:eastAsia="Times New Roman" w:hAnsi="Arial" w:cs="Arial"/>
          <w:sz w:val="20"/>
          <w:szCs w:val="20"/>
        </w:rPr>
        <w:t>). SGLT2 inhibitors are recommended for patients with diabetic and nondiabetic CKD, if eGFR is at least 20 mL/min/1.73 m</w:t>
      </w:r>
      <w:r w:rsidRPr="001F5558">
        <w:rPr>
          <w:rFonts w:ascii="Arial" w:eastAsia="Times New Roman" w:hAnsi="Arial" w:cs="Arial"/>
          <w:sz w:val="20"/>
          <w:szCs w:val="20"/>
          <w:vertAlign w:val="superscript"/>
        </w:rPr>
        <w:t>2</w:t>
      </w:r>
      <w:r w:rsidRPr="001F5558">
        <w:rPr>
          <w:rFonts w:ascii="Arial" w:eastAsia="Times New Roman" w:hAnsi="Arial" w:cs="Arial"/>
          <w:sz w:val="20"/>
          <w:szCs w:val="20"/>
        </w:rPr>
        <w:t xml:space="preserve"> for both kidney and heart protection in CKD patients. The ns-MRA </w:t>
      </w:r>
      <w:proofErr w:type="spellStart"/>
      <w:r w:rsidRPr="001F5558">
        <w:rPr>
          <w:rFonts w:ascii="Arial" w:eastAsia="Times New Roman" w:hAnsi="Arial" w:cs="Arial"/>
          <w:sz w:val="20"/>
          <w:szCs w:val="20"/>
        </w:rPr>
        <w:t>finerenone</w:t>
      </w:r>
      <w:proofErr w:type="spellEnd"/>
      <w:r w:rsidRPr="001F5558">
        <w:rPr>
          <w:rFonts w:ascii="Arial" w:eastAsia="Times New Roman" w:hAnsi="Arial" w:cs="Arial"/>
          <w:sz w:val="20"/>
          <w:szCs w:val="20"/>
        </w:rPr>
        <w:t xml:space="preserve"> is recommended in patients with CKD and albuminuria associated with T2DM, if eGFR is at least 25 mL/min/1.73 m</w:t>
      </w:r>
      <w:r w:rsidRPr="001F5558">
        <w:rPr>
          <w:rFonts w:ascii="Arial" w:eastAsia="Times New Roman" w:hAnsi="Arial" w:cs="Arial"/>
          <w:sz w:val="20"/>
          <w:szCs w:val="20"/>
          <w:vertAlign w:val="superscript"/>
        </w:rPr>
        <w:t>2</w:t>
      </w:r>
      <w:r w:rsidRPr="001F5558">
        <w:rPr>
          <w:rFonts w:ascii="Arial" w:eastAsia="Times New Roman" w:hAnsi="Arial" w:cs="Arial"/>
          <w:sz w:val="20"/>
          <w:szCs w:val="20"/>
        </w:rPr>
        <w:t> and serum potassium &lt;5.0 mmol/L. In CKD patients with hyperkalemia, a potassium binder can be used to maintain potassium &lt;5.5 mmol/L) to allow continuation of treatment with a R</w:t>
      </w:r>
      <w:r w:rsidR="000837A1" w:rsidRPr="001F5558">
        <w:rPr>
          <w:rFonts w:ascii="Arial" w:eastAsia="Times New Roman" w:hAnsi="Arial" w:cs="Arial"/>
          <w:sz w:val="20"/>
          <w:szCs w:val="20"/>
        </w:rPr>
        <w:t>A</w:t>
      </w:r>
      <w:r w:rsidRPr="001F5558">
        <w:rPr>
          <w:rFonts w:ascii="Arial" w:eastAsia="Times New Roman" w:hAnsi="Arial" w:cs="Arial"/>
          <w:sz w:val="20"/>
          <w:szCs w:val="20"/>
        </w:rPr>
        <w:t xml:space="preserve">AS </w:t>
      </w:r>
      <w:r w:rsidR="000837A1" w:rsidRPr="001F5558">
        <w:rPr>
          <w:rFonts w:ascii="Arial" w:eastAsia="Times New Roman" w:hAnsi="Arial" w:cs="Arial"/>
          <w:sz w:val="20"/>
          <w:szCs w:val="20"/>
        </w:rPr>
        <w:t xml:space="preserve">inhibitor </w:t>
      </w:r>
      <w:r w:rsidRPr="001F5558">
        <w:rPr>
          <w:rFonts w:ascii="Arial" w:eastAsia="Times New Roman" w:hAnsi="Arial" w:cs="Arial"/>
          <w:sz w:val="20"/>
          <w:szCs w:val="20"/>
        </w:rPr>
        <w:t xml:space="preserve">or an MRA to continue (de Boer et al., 2022; KDIGO 2024). In patients with CKD stage 1–3 and true-resistant HTN, step 3 of treatment includes the addition of spironolactone (preferred drug) or other MRA. Further, beta-blockers, alpha-1 blockers, or centrally acting agents can be used alternatively. In </w:t>
      </w:r>
      <w:r w:rsidRPr="001F5558">
        <w:rPr>
          <w:rFonts w:ascii="Arial" w:eastAsia="Times New Roman" w:hAnsi="Arial" w:cs="Arial"/>
          <w:sz w:val="20"/>
          <w:szCs w:val="20"/>
        </w:rPr>
        <w:lastRenderedPageBreak/>
        <w:t xml:space="preserve">patients with CKD stage 4–5 and true-resistant HTN, step 3 of treatment includes the addition of chlorthalidone (preferred drug) or other thiazide or thiazide-like diuretic. Additionally, beta-blockers, alpha-1 blockers, or centrally acting agents can be used alternatively. Further, discontinuation of RAAS inhibitors is not routinely recommended in patients with CKD stages 4 or 5 (Goodbred, 2023; Mancia et al., 2023; Erviti et al., 2024; KDIGO 2024; </w:t>
      </w:r>
      <w:proofErr w:type="spellStart"/>
      <w:r w:rsidRPr="001F5558">
        <w:rPr>
          <w:rFonts w:ascii="Arial" w:eastAsia="Times New Roman" w:hAnsi="Arial" w:cs="Arial"/>
          <w:sz w:val="20"/>
          <w:szCs w:val="20"/>
        </w:rPr>
        <w:t>Theodorakopoulou</w:t>
      </w:r>
      <w:proofErr w:type="spellEnd"/>
      <w:r w:rsidRPr="001F5558">
        <w:rPr>
          <w:rFonts w:ascii="Arial" w:eastAsia="Times New Roman" w:hAnsi="Arial" w:cs="Arial"/>
          <w:sz w:val="20"/>
          <w:szCs w:val="20"/>
        </w:rPr>
        <w:t xml:space="preserve"> et al., 2024) (</w:t>
      </w:r>
      <w:r w:rsidR="0081414C" w:rsidRPr="001F5558">
        <w:rPr>
          <w:rFonts w:ascii="Arial" w:eastAsia="Times New Roman" w:hAnsi="Arial" w:cs="Arial"/>
          <w:sz w:val="20"/>
          <w:szCs w:val="20"/>
        </w:rPr>
        <w:t>Tables</w:t>
      </w:r>
      <w:r w:rsidRPr="001F5558">
        <w:rPr>
          <w:rFonts w:ascii="Arial" w:eastAsia="Times New Roman" w:hAnsi="Arial" w:cs="Arial"/>
          <w:sz w:val="20"/>
          <w:szCs w:val="20"/>
        </w:rPr>
        <w:t xml:space="preserve"> 3 &amp; 4).</w:t>
      </w:r>
    </w:p>
    <w:p w14:paraId="4F4FB9F2" w14:textId="77777777" w:rsidR="003F5A4B" w:rsidRPr="001F5558" w:rsidRDefault="003F5A4B" w:rsidP="00257B59">
      <w:pPr>
        <w:spacing w:after="0" w:line="240" w:lineRule="auto"/>
        <w:jc w:val="both"/>
        <w:rPr>
          <w:rFonts w:ascii="Arial" w:eastAsia="Times New Roman" w:hAnsi="Arial" w:cs="Arial"/>
          <w:sz w:val="20"/>
          <w:szCs w:val="20"/>
        </w:rPr>
      </w:pPr>
    </w:p>
    <w:p w14:paraId="7E62C48A" w14:textId="01785CB7" w:rsidR="00DB493F" w:rsidRPr="001F5558" w:rsidRDefault="00DB493F" w:rsidP="00257B59">
      <w:pPr>
        <w:spacing w:after="0" w:line="240" w:lineRule="auto"/>
        <w:jc w:val="both"/>
        <w:rPr>
          <w:rFonts w:ascii="Arial" w:eastAsia="Times New Roman" w:hAnsi="Arial" w:cs="Arial"/>
          <w:sz w:val="20"/>
          <w:szCs w:val="20"/>
        </w:rPr>
      </w:pPr>
      <w:r w:rsidRPr="001F5558">
        <w:rPr>
          <w:rFonts w:ascii="Arial" w:eastAsia="Times New Roman" w:hAnsi="Arial" w:cs="Arial"/>
          <w:b/>
          <w:bCs/>
          <w:sz w:val="20"/>
          <w:szCs w:val="20"/>
        </w:rPr>
        <w:t xml:space="preserve">Table </w:t>
      </w:r>
      <w:r w:rsidR="005A76D9" w:rsidRPr="001F5558">
        <w:rPr>
          <w:rFonts w:ascii="Arial" w:eastAsia="Times New Roman" w:hAnsi="Arial" w:cs="Arial"/>
          <w:b/>
          <w:bCs/>
          <w:sz w:val="20"/>
          <w:szCs w:val="20"/>
        </w:rPr>
        <w:t>3</w:t>
      </w:r>
      <w:r w:rsidRPr="001F5558">
        <w:rPr>
          <w:rFonts w:ascii="Arial" w:eastAsia="Times New Roman" w:hAnsi="Arial" w:cs="Arial"/>
          <w:b/>
          <w:bCs/>
          <w:sz w:val="20"/>
          <w:szCs w:val="20"/>
        </w:rPr>
        <w:t xml:space="preserve">. Recommended </w:t>
      </w:r>
      <w:r w:rsidR="00490089" w:rsidRPr="001F5558">
        <w:rPr>
          <w:rFonts w:ascii="Arial" w:eastAsia="Times New Roman" w:hAnsi="Arial" w:cs="Arial"/>
          <w:b/>
          <w:bCs/>
          <w:sz w:val="20"/>
          <w:szCs w:val="20"/>
        </w:rPr>
        <w:t>initiating points</w:t>
      </w:r>
      <w:r w:rsidR="003312EE" w:rsidRPr="001F5558">
        <w:rPr>
          <w:rFonts w:ascii="Arial" w:eastAsia="Times New Roman" w:hAnsi="Arial" w:cs="Arial"/>
          <w:b/>
          <w:bCs/>
          <w:sz w:val="20"/>
          <w:szCs w:val="20"/>
        </w:rPr>
        <w:t>, targets,</w:t>
      </w:r>
      <w:r w:rsidR="00490089" w:rsidRPr="001F5558">
        <w:rPr>
          <w:rFonts w:ascii="Arial" w:eastAsia="Times New Roman" w:hAnsi="Arial" w:cs="Arial"/>
          <w:b/>
          <w:bCs/>
          <w:sz w:val="20"/>
          <w:szCs w:val="20"/>
        </w:rPr>
        <w:t xml:space="preserve"> and </w:t>
      </w:r>
      <w:r w:rsidRPr="001F5558">
        <w:rPr>
          <w:rFonts w:ascii="Arial" w:eastAsia="Times New Roman" w:hAnsi="Arial" w:cs="Arial"/>
          <w:b/>
          <w:bCs/>
          <w:sz w:val="20"/>
          <w:szCs w:val="20"/>
        </w:rPr>
        <w:t xml:space="preserve">therapeutic choices for </w:t>
      </w:r>
      <w:r w:rsidR="00326504" w:rsidRPr="001F5558">
        <w:rPr>
          <w:rFonts w:ascii="Arial" w:eastAsia="Times New Roman" w:hAnsi="Arial" w:cs="Arial"/>
          <w:b/>
          <w:bCs/>
          <w:sz w:val="20"/>
          <w:szCs w:val="20"/>
        </w:rPr>
        <w:t xml:space="preserve">the </w:t>
      </w:r>
      <w:r w:rsidRPr="001F5558">
        <w:rPr>
          <w:rFonts w:ascii="Arial" w:eastAsia="Times New Roman" w:hAnsi="Arial" w:cs="Arial"/>
          <w:b/>
          <w:bCs/>
          <w:sz w:val="20"/>
          <w:szCs w:val="20"/>
        </w:rPr>
        <w:t>management of hypertension in CKD</w:t>
      </w:r>
      <w:r w:rsidR="006D5667" w:rsidRPr="001F5558">
        <w:rPr>
          <w:rFonts w:ascii="Arial" w:eastAsia="Times New Roman" w:hAnsi="Arial" w:cs="Arial"/>
          <w:b/>
          <w:bCs/>
          <w:sz w:val="20"/>
          <w:szCs w:val="20"/>
        </w:rPr>
        <w:t>.</w:t>
      </w:r>
      <w:r w:rsidR="006D5667" w:rsidRPr="001F5558">
        <w:rPr>
          <w:rFonts w:ascii="Arial" w:eastAsia="Times New Roman" w:hAnsi="Arial" w:cs="Arial"/>
          <w:sz w:val="20"/>
          <w:szCs w:val="20"/>
        </w:rPr>
        <w:t xml:space="preserve"> (</w:t>
      </w:r>
      <w:proofErr w:type="spellStart"/>
      <w:r w:rsidR="00164CEF" w:rsidRPr="001F5558">
        <w:rPr>
          <w:rFonts w:ascii="Arial" w:eastAsia="Times New Roman" w:hAnsi="Arial" w:cs="Arial"/>
          <w:sz w:val="20"/>
          <w:szCs w:val="20"/>
        </w:rPr>
        <w:t>Georgianos</w:t>
      </w:r>
      <w:proofErr w:type="spellEnd"/>
      <w:r w:rsidR="00E244F4" w:rsidRPr="001F5558">
        <w:rPr>
          <w:rFonts w:ascii="Arial" w:eastAsia="Times New Roman" w:hAnsi="Arial" w:cs="Arial"/>
          <w:sz w:val="20"/>
          <w:szCs w:val="20"/>
        </w:rPr>
        <w:t xml:space="preserve"> &amp; Agarwal, </w:t>
      </w:r>
      <w:r w:rsidR="00164CEF" w:rsidRPr="001F5558">
        <w:rPr>
          <w:rFonts w:ascii="Arial" w:eastAsia="Times New Roman" w:hAnsi="Arial" w:cs="Arial"/>
          <w:sz w:val="20"/>
          <w:szCs w:val="20"/>
        </w:rPr>
        <w:t xml:space="preserve">2023; </w:t>
      </w:r>
      <w:r w:rsidR="00766037" w:rsidRPr="001F5558">
        <w:rPr>
          <w:rFonts w:ascii="Arial" w:eastAsia="Times New Roman" w:hAnsi="Arial" w:cs="Arial"/>
          <w:sz w:val="20"/>
          <w:szCs w:val="20"/>
        </w:rPr>
        <w:t xml:space="preserve">Goodbred, 2023; </w:t>
      </w:r>
      <w:r w:rsidR="006D5667" w:rsidRPr="001F5558">
        <w:rPr>
          <w:rFonts w:ascii="Arial" w:eastAsia="Times New Roman" w:hAnsi="Arial" w:cs="Arial"/>
          <w:sz w:val="20"/>
          <w:szCs w:val="20"/>
        </w:rPr>
        <w:t xml:space="preserve">Erviti et al., 2024; </w:t>
      </w:r>
      <w:r w:rsidR="00D1369F" w:rsidRPr="001F5558">
        <w:rPr>
          <w:rFonts w:ascii="Arial" w:eastAsia="Times New Roman" w:hAnsi="Arial" w:cs="Arial"/>
          <w:sz w:val="20"/>
          <w:szCs w:val="20"/>
        </w:rPr>
        <w:t xml:space="preserve">Ku et al., 2024, </w:t>
      </w:r>
      <w:r w:rsidR="0082138D" w:rsidRPr="001F5558">
        <w:rPr>
          <w:rFonts w:ascii="Arial" w:eastAsia="Times New Roman" w:hAnsi="Arial" w:cs="Arial"/>
          <w:sz w:val="20"/>
          <w:szCs w:val="20"/>
        </w:rPr>
        <w:t xml:space="preserve">KDIGO 2024; </w:t>
      </w:r>
      <w:proofErr w:type="spellStart"/>
      <w:r w:rsidR="006D5667" w:rsidRPr="001F5558">
        <w:rPr>
          <w:rFonts w:ascii="Arial" w:eastAsia="Times New Roman" w:hAnsi="Arial" w:cs="Arial"/>
          <w:sz w:val="20"/>
          <w:szCs w:val="20"/>
        </w:rPr>
        <w:t>Theodorakopoulou</w:t>
      </w:r>
      <w:proofErr w:type="spellEnd"/>
      <w:r w:rsidR="006D5667" w:rsidRPr="001F5558">
        <w:rPr>
          <w:rFonts w:ascii="Arial" w:eastAsia="Times New Roman" w:hAnsi="Arial" w:cs="Arial"/>
          <w:sz w:val="20"/>
          <w:szCs w:val="20"/>
        </w:rPr>
        <w:t xml:space="preserve"> et al., 2024</w:t>
      </w:r>
      <w:r w:rsidR="00544600" w:rsidRPr="001F5558">
        <w:rPr>
          <w:rFonts w:ascii="Arial" w:eastAsia="Times New Roman" w:hAnsi="Arial" w:cs="Arial"/>
          <w:sz w:val="20"/>
          <w:szCs w:val="20"/>
        </w:rPr>
        <w:t xml:space="preserve">; </w:t>
      </w:r>
      <w:proofErr w:type="spellStart"/>
      <w:r w:rsidR="003136E1" w:rsidRPr="001F5558">
        <w:rPr>
          <w:rFonts w:ascii="Arial" w:hAnsi="Arial" w:cs="Arial"/>
          <w:sz w:val="20"/>
          <w:szCs w:val="20"/>
        </w:rPr>
        <w:t>Alsalloum</w:t>
      </w:r>
      <w:proofErr w:type="spellEnd"/>
      <w:r w:rsidR="0084770A" w:rsidRPr="001F5558">
        <w:rPr>
          <w:rFonts w:ascii="Arial" w:hAnsi="Arial" w:cs="Arial"/>
          <w:sz w:val="20"/>
          <w:szCs w:val="20"/>
        </w:rPr>
        <w:t xml:space="preserve"> </w:t>
      </w:r>
      <w:r w:rsidR="003136E1" w:rsidRPr="001F5558">
        <w:rPr>
          <w:rFonts w:ascii="Arial" w:hAnsi="Arial" w:cs="Arial"/>
          <w:sz w:val="20"/>
          <w:szCs w:val="20"/>
        </w:rPr>
        <w:t xml:space="preserve">et al., 2025; </w:t>
      </w:r>
      <w:r w:rsidR="00D1369F" w:rsidRPr="001F5558">
        <w:rPr>
          <w:rFonts w:ascii="Arial" w:eastAsia="Times New Roman" w:hAnsi="Arial" w:cs="Arial"/>
          <w:sz w:val="20"/>
          <w:szCs w:val="20"/>
        </w:rPr>
        <w:t xml:space="preserve">Avula et al., 2025; </w:t>
      </w:r>
      <w:r w:rsidR="00766037" w:rsidRPr="001F5558">
        <w:rPr>
          <w:rFonts w:ascii="Arial" w:eastAsia="Times New Roman" w:hAnsi="Arial" w:cs="Arial"/>
          <w:sz w:val="20"/>
          <w:szCs w:val="20"/>
        </w:rPr>
        <w:t>Doumani et al., 2025</w:t>
      </w:r>
      <w:r w:rsidR="006D5667" w:rsidRPr="001F5558">
        <w:rPr>
          <w:rFonts w:ascii="Arial" w:eastAsia="Times New Roman" w:hAnsi="Arial" w:cs="Arial"/>
          <w:sz w:val="20"/>
          <w:szCs w:val="20"/>
        </w:rPr>
        <w:t>)</w:t>
      </w:r>
    </w:p>
    <w:p w14:paraId="29A6DE3E" w14:textId="77777777" w:rsidR="00835507" w:rsidRPr="001F5558" w:rsidRDefault="00835507" w:rsidP="00257B59">
      <w:pPr>
        <w:spacing w:after="0" w:line="240" w:lineRule="auto"/>
        <w:jc w:val="both"/>
        <w:rPr>
          <w:rFonts w:ascii="Arial" w:eastAsia="Times New Roman" w:hAnsi="Arial" w:cs="Arial"/>
          <w:sz w:val="20"/>
          <w:szCs w:val="20"/>
        </w:rPr>
      </w:pPr>
    </w:p>
    <w:tbl>
      <w:tblPr>
        <w:tblStyle w:val="TableGrid"/>
        <w:tblW w:w="0" w:type="auto"/>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371"/>
      </w:tblGrid>
      <w:tr w:rsidR="00490089" w:rsidRPr="001F5558" w14:paraId="1A0E998C" w14:textId="77777777" w:rsidTr="00057D8F">
        <w:trPr>
          <w:trHeight w:val="340"/>
        </w:trPr>
        <w:tc>
          <w:tcPr>
            <w:tcW w:w="1980" w:type="dxa"/>
            <w:tcBorders>
              <w:top w:val="single" w:sz="8" w:space="0" w:color="auto"/>
              <w:bottom w:val="single" w:sz="8" w:space="0" w:color="auto"/>
            </w:tcBorders>
            <w:vAlign w:val="center"/>
          </w:tcPr>
          <w:p w14:paraId="4A5E90E4" w14:textId="588954CB" w:rsidR="00490089" w:rsidRPr="001F5558" w:rsidRDefault="00490089" w:rsidP="003F5A4B">
            <w:pPr>
              <w:rPr>
                <w:rFonts w:ascii="Arial" w:eastAsia="Times New Roman" w:hAnsi="Arial" w:cs="Arial"/>
                <w:b/>
                <w:bCs/>
                <w:sz w:val="20"/>
                <w:szCs w:val="20"/>
              </w:rPr>
            </w:pPr>
            <w:r w:rsidRPr="001F5558">
              <w:rPr>
                <w:rFonts w:ascii="Arial" w:eastAsia="Times New Roman" w:hAnsi="Arial" w:cs="Arial"/>
                <w:b/>
                <w:bCs/>
                <w:sz w:val="20"/>
                <w:szCs w:val="20"/>
              </w:rPr>
              <w:t>Therapeutic area</w:t>
            </w:r>
          </w:p>
        </w:tc>
        <w:tc>
          <w:tcPr>
            <w:tcW w:w="7371" w:type="dxa"/>
            <w:tcBorders>
              <w:top w:val="single" w:sz="8" w:space="0" w:color="auto"/>
              <w:bottom w:val="single" w:sz="8" w:space="0" w:color="auto"/>
            </w:tcBorders>
            <w:vAlign w:val="center"/>
          </w:tcPr>
          <w:p w14:paraId="28E9527F" w14:textId="129A75BF" w:rsidR="00490089" w:rsidRPr="001F5558" w:rsidRDefault="00A6207D" w:rsidP="003F5A4B">
            <w:pPr>
              <w:rPr>
                <w:rFonts w:ascii="Arial" w:eastAsia="Times New Roman" w:hAnsi="Arial" w:cs="Arial"/>
                <w:b/>
                <w:bCs/>
                <w:sz w:val="20"/>
                <w:szCs w:val="20"/>
              </w:rPr>
            </w:pPr>
            <w:r w:rsidRPr="001F5558">
              <w:rPr>
                <w:rFonts w:ascii="Arial" w:eastAsia="Times New Roman" w:hAnsi="Arial" w:cs="Arial"/>
                <w:b/>
                <w:bCs/>
                <w:sz w:val="20"/>
                <w:szCs w:val="20"/>
              </w:rPr>
              <w:t>Recommendations</w:t>
            </w:r>
          </w:p>
        </w:tc>
      </w:tr>
      <w:tr w:rsidR="00490089" w:rsidRPr="001F5558" w14:paraId="1A8AD59B" w14:textId="77777777" w:rsidTr="00057D8F">
        <w:trPr>
          <w:trHeight w:val="340"/>
        </w:trPr>
        <w:tc>
          <w:tcPr>
            <w:tcW w:w="1980" w:type="dxa"/>
            <w:tcBorders>
              <w:top w:val="single" w:sz="8" w:space="0" w:color="auto"/>
              <w:bottom w:val="single" w:sz="8" w:space="0" w:color="auto"/>
            </w:tcBorders>
          </w:tcPr>
          <w:p w14:paraId="3D25474F" w14:textId="3E57F039" w:rsidR="00490089" w:rsidRPr="001F5558" w:rsidRDefault="00490089" w:rsidP="00176562">
            <w:pPr>
              <w:rPr>
                <w:rFonts w:ascii="Arial" w:eastAsia="Times New Roman" w:hAnsi="Arial" w:cs="Arial"/>
                <w:b/>
                <w:bCs/>
                <w:sz w:val="20"/>
                <w:szCs w:val="20"/>
              </w:rPr>
            </w:pPr>
            <w:r w:rsidRPr="001F5558">
              <w:rPr>
                <w:rFonts w:ascii="Arial" w:eastAsia="Times New Roman" w:hAnsi="Arial" w:cs="Arial"/>
                <w:b/>
                <w:bCs/>
                <w:sz w:val="20"/>
                <w:szCs w:val="20"/>
              </w:rPr>
              <w:t>Treatment initiation</w:t>
            </w:r>
          </w:p>
        </w:tc>
        <w:tc>
          <w:tcPr>
            <w:tcW w:w="7371" w:type="dxa"/>
            <w:tcBorders>
              <w:top w:val="single" w:sz="8" w:space="0" w:color="auto"/>
              <w:bottom w:val="single" w:sz="8" w:space="0" w:color="auto"/>
            </w:tcBorders>
          </w:tcPr>
          <w:p w14:paraId="064F7C65" w14:textId="058189D1" w:rsidR="00490089" w:rsidRPr="001F5558" w:rsidRDefault="00490089" w:rsidP="00176562">
            <w:pPr>
              <w:rPr>
                <w:rFonts w:ascii="Arial" w:eastAsia="Times New Roman" w:hAnsi="Arial" w:cs="Arial"/>
                <w:sz w:val="20"/>
                <w:szCs w:val="20"/>
              </w:rPr>
            </w:pPr>
            <w:r w:rsidRPr="001F5558">
              <w:rPr>
                <w:rFonts w:ascii="Arial" w:eastAsia="Times New Roman" w:hAnsi="Arial" w:cs="Arial"/>
                <w:sz w:val="20"/>
                <w:szCs w:val="20"/>
              </w:rPr>
              <w:t>When SBP 140 mmHg and/or DBP 90 mmHg in CKD patients 18–79 years</w:t>
            </w:r>
          </w:p>
          <w:p w14:paraId="5A2D650F" w14:textId="24C622C1" w:rsidR="00490089" w:rsidRPr="001F5558" w:rsidRDefault="00490089" w:rsidP="00176562">
            <w:pPr>
              <w:rPr>
                <w:rFonts w:ascii="Arial" w:eastAsia="Times New Roman" w:hAnsi="Arial" w:cs="Arial"/>
                <w:sz w:val="20"/>
                <w:szCs w:val="20"/>
              </w:rPr>
            </w:pPr>
            <w:r w:rsidRPr="001F5558">
              <w:rPr>
                <w:rFonts w:ascii="Arial" w:eastAsia="Times New Roman" w:hAnsi="Arial" w:cs="Arial"/>
                <w:sz w:val="20"/>
                <w:szCs w:val="20"/>
              </w:rPr>
              <w:t xml:space="preserve">When the BP </w:t>
            </w:r>
            <w:r w:rsidR="004D4E9E" w:rsidRPr="001F5558">
              <w:rPr>
                <w:rFonts w:ascii="Arial" w:eastAsia="Times New Roman" w:hAnsi="Arial" w:cs="Arial"/>
                <w:sz w:val="20"/>
                <w:szCs w:val="20"/>
              </w:rPr>
              <w:t xml:space="preserve">is </w:t>
            </w:r>
            <w:r w:rsidRPr="001F5558">
              <w:rPr>
                <w:rFonts w:ascii="Arial" w:eastAsia="Times New Roman" w:hAnsi="Arial" w:cs="Arial"/>
                <w:sz w:val="20"/>
                <w:szCs w:val="20"/>
              </w:rPr>
              <w:t xml:space="preserve">in </w:t>
            </w:r>
            <w:r w:rsidR="004D4E9E" w:rsidRPr="001F5558">
              <w:rPr>
                <w:rFonts w:ascii="Arial" w:eastAsia="Times New Roman" w:hAnsi="Arial" w:cs="Arial"/>
                <w:sz w:val="20"/>
                <w:szCs w:val="20"/>
              </w:rPr>
              <w:t xml:space="preserve">the </w:t>
            </w:r>
            <w:r w:rsidRPr="001F5558">
              <w:rPr>
                <w:rFonts w:ascii="Arial" w:eastAsia="Times New Roman" w:hAnsi="Arial" w:cs="Arial"/>
                <w:sz w:val="20"/>
                <w:szCs w:val="20"/>
              </w:rPr>
              <w:t>high-normal range (SBP ≥130 or DBP ≥80 mmHg) in CKD patients with a history of CVD (</w:t>
            </w:r>
            <w:r w:rsidR="00180501" w:rsidRPr="001F5558">
              <w:rPr>
                <w:rFonts w:ascii="Arial" w:eastAsia="Times New Roman" w:hAnsi="Arial" w:cs="Arial"/>
                <w:sz w:val="20"/>
                <w:szCs w:val="20"/>
              </w:rPr>
              <w:t>in particular, CAD</w:t>
            </w:r>
            <w:r w:rsidRPr="001F5558">
              <w:rPr>
                <w:rFonts w:ascii="Arial" w:eastAsia="Times New Roman" w:hAnsi="Arial" w:cs="Arial"/>
                <w:sz w:val="20"/>
                <w:szCs w:val="20"/>
              </w:rPr>
              <w:t>)</w:t>
            </w:r>
          </w:p>
        </w:tc>
      </w:tr>
      <w:tr w:rsidR="00490089" w:rsidRPr="001F5558" w14:paraId="6DEE4DA9" w14:textId="77777777" w:rsidTr="00057D8F">
        <w:trPr>
          <w:trHeight w:val="340"/>
        </w:trPr>
        <w:tc>
          <w:tcPr>
            <w:tcW w:w="1980" w:type="dxa"/>
            <w:tcBorders>
              <w:top w:val="single" w:sz="8" w:space="0" w:color="auto"/>
              <w:bottom w:val="single" w:sz="8" w:space="0" w:color="auto"/>
            </w:tcBorders>
          </w:tcPr>
          <w:p w14:paraId="5B315706" w14:textId="2C3D24D3" w:rsidR="00490089" w:rsidRPr="001F5558" w:rsidRDefault="003312EE" w:rsidP="00176562">
            <w:pPr>
              <w:rPr>
                <w:rFonts w:ascii="Arial" w:eastAsia="Times New Roman" w:hAnsi="Arial" w:cs="Arial"/>
                <w:b/>
                <w:bCs/>
                <w:sz w:val="20"/>
                <w:szCs w:val="20"/>
              </w:rPr>
            </w:pPr>
            <w:r w:rsidRPr="001F5558">
              <w:rPr>
                <w:rFonts w:ascii="Arial" w:eastAsia="Times New Roman" w:hAnsi="Arial" w:cs="Arial"/>
                <w:b/>
                <w:bCs/>
                <w:sz w:val="20"/>
                <w:szCs w:val="20"/>
              </w:rPr>
              <w:t>BP targets in CKD</w:t>
            </w:r>
          </w:p>
        </w:tc>
        <w:tc>
          <w:tcPr>
            <w:tcW w:w="7371" w:type="dxa"/>
            <w:tcBorders>
              <w:top w:val="single" w:sz="8" w:space="0" w:color="auto"/>
              <w:bottom w:val="single" w:sz="8" w:space="0" w:color="auto"/>
            </w:tcBorders>
          </w:tcPr>
          <w:p w14:paraId="5B6651F3" w14:textId="2DC6AA3F" w:rsidR="00490089" w:rsidRPr="001F5558" w:rsidRDefault="003312EE" w:rsidP="00176562">
            <w:pPr>
              <w:rPr>
                <w:rFonts w:ascii="Arial" w:eastAsia="Times New Roman" w:hAnsi="Arial" w:cs="Arial"/>
                <w:sz w:val="20"/>
                <w:szCs w:val="20"/>
              </w:rPr>
            </w:pPr>
            <w:r w:rsidRPr="001F5558">
              <w:rPr>
                <w:rFonts w:ascii="Arial" w:eastAsia="Times New Roman" w:hAnsi="Arial" w:cs="Arial"/>
                <w:sz w:val="20"/>
                <w:szCs w:val="20"/>
              </w:rPr>
              <w:t>The primary goal is to lower office BP to &lt;140/90 mmHg</w:t>
            </w:r>
            <w:r w:rsidR="009A389B" w:rsidRPr="001F5558">
              <w:rPr>
                <w:rFonts w:ascii="Arial" w:eastAsia="Times New Roman" w:hAnsi="Arial" w:cs="Arial"/>
                <w:sz w:val="20"/>
                <w:szCs w:val="20"/>
              </w:rPr>
              <w:t xml:space="preserve"> in all CKD patients</w:t>
            </w:r>
          </w:p>
          <w:p w14:paraId="0EE47878" w14:textId="0C1A60B0" w:rsidR="009A389B" w:rsidRPr="001F5558" w:rsidRDefault="009A389B" w:rsidP="00176562">
            <w:pPr>
              <w:rPr>
                <w:rFonts w:ascii="Arial" w:eastAsia="Times New Roman" w:hAnsi="Arial" w:cs="Arial"/>
                <w:sz w:val="20"/>
                <w:szCs w:val="20"/>
              </w:rPr>
            </w:pPr>
            <w:r w:rsidRPr="001F5558">
              <w:rPr>
                <w:rFonts w:ascii="Arial" w:hAnsi="Arial" w:cs="Arial"/>
                <w:color w:val="1B1B1B"/>
                <w:sz w:val="20"/>
                <w:szCs w:val="20"/>
              </w:rPr>
              <w:t>BP should be lowered to &lt;130/80 mmHg in CKD patients with an ACR ≥300 mg/g, high CV risk</w:t>
            </w:r>
            <w:r w:rsidR="00F92927" w:rsidRPr="001F5558">
              <w:rPr>
                <w:rFonts w:ascii="Arial" w:hAnsi="Arial" w:cs="Arial"/>
                <w:color w:val="1B1B1B"/>
                <w:sz w:val="20"/>
                <w:szCs w:val="20"/>
              </w:rPr>
              <w:t xml:space="preserve">, or kidney transplant with </w:t>
            </w:r>
            <w:r w:rsidR="00454E33" w:rsidRPr="001F5558">
              <w:rPr>
                <w:rFonts w:ascii="Arial" w:hAnsi="Arial" w:cs="Arial"/>
                <w:color w:val="1B1B1B"/>
                <w:sz w:val="20"/>
                <w:szCs w:val="20"/>
              </w:rPr>
              <w:t>HTN</w:t>
            </w:r>
            <w:r w:rsidRPr="001F5558">
              <w:rPr>
                <w:rFonts w:ascii="Arial" w:hAnsi="Arial" w:cs="Arial"/>
                <w:color w:val="1B1B1B"/>
                <w:sz w:val="20"/>
                <w:szCs w:val="20"/>
              </w:rPr>
              <w:t xml:space="preserve"> </w:t>
            </w:r>
          </w:p>
        </w:tc>
      </w:tr>
      <w:tr w:rsidR="00490089" w:rsidRPr="001F5558" w14:paraId="3172008A" w14:textId="77777777" w:rsidTr="00057D8F">
        <w:trPr>
          <w:trHeight w:val="340"/>
        </w:trPr>
        <w:tc>
          <w:tcPr>
            <w:tcW w:w="1980" w:type="dxa"/>
            <w:tcBorders>
              <w:top w:val="single" w:sz="8" w:space="0" w:color="auto"/>
              <w:bottom w:val="single" w:sz="8" w:space="0" w:color="auto"/>
            </w:tcBorders>
          </w:tcPr>
          <w:p w14:paraId="6A2643D4" w14:textId="2FAD3E14" w:rsidR="00490089" w:rsidRPr="001F5558" w:rsidRDefault="00F86932" w:rsidP="00176562">
            <w:pPr>
              <w:rPr>
                <w:rFonts w:ascii="Arial" w:eastAsia="Times New Roman" w:hAnsi="Arial" w:cs="Arial"/>
                <w:b/>
                <w:bCs/>
                <w:sz w:val="20"/>
                <w:szCs w:val="20"/>
              </w:rPr>
            </w:pPr>
            <w:r w:rsidRPr="001F5558">
              <w:rPr>
                <w:rFonts w:ascii="Arial" w:eastAsia="Times New Roman" w:hAnsi="Arial" w:cs="Arial"/>
                <w:b/>
                <w:bCs/>
                <w:sz w:val="20"/>
                <w:szCs w:val="20"/>
              </w:rPr>
              <w:t xml:space="preserve">Antihypertensive drug </w:t>
            </w:r>
            <w:r w:rsidR="003C48BE" w:rsidRPr="001F5558">
              <w:rPr>
                <w:rFonts w:ascii="Arial" w:eastAsia="Times New Roman" w:hAnsi="Arial" w:cs="Arial"/>
                <w:b/>
                <w:bCs/>
                <w:sz w:val="20"/>
                <w:szCs w:val="20"/>
              </w:rPr>
              <w:t xml:space="preserve">choices </w:t>
            </w:r>
            <w:r w:rsidRPr="001F5558">
              <w:rPr>
                <w:rFonts w:ascii="Arial" w:eastAsia="Times New Roman" w:hAnsi="Arial" w:cs="Arial"/>
                <w:b/>
                <w:bCs/>
                <w:sz w:val="20"/>
                <w:szCs w:val="20"/>
              </w:rPr>
              <w:t>in CKD</w:t>
            </w:r>
          </w:p>
        </w:tc>
        <w:tc>
          <w:tcPr>
            <w:tcW w:w="7371" w:type="dxa"/>
            <w:tcBorders>
              <w:top w:val="single" w:sz="8" w:space="0" w:color="auto"/>
              <w:bottom w:val="single" w:sz="8" w:space="0" w:color="auto"/>
            </w:tcBorders>
          </w:tcPr>
          <w:p w14:paraId="48DA1F20" w14:textId="01B61389" w:rsidR="00A15CCF" w:rsidRPr="001F5558" w:rsidRDefault="00A15CCF" w:rsidP="00176562">
            <w:pPr>
              <w:rPr>
                <w:rFonts w:ascii="Arial" w:eastAsia="Times New Roman" w:hAnsi="Arial" w:cs="Arial"/>
                <w:sz w:val="20"/>
                <w:szCs w:val="20"/>
              </w:rPr>
            </w:pPr>
            <w:r w:rsidRPr="001F5558">
              <w:rPr>
                <w:rFonts w:ascii="Arial" w:eastAsia="Times New Roman" w:hAnsi="Arial" w:cs="Arial"/>
                <w:sz w:val="20"/>
                <w:szCs w:val="20"/>
              </w:rPr>
              <w:t xml:space="preserve">An </w:t>
            </w:r>
            <w:proofErr w:type="spellStart"/>
            <w:r w:rsidRPr="001F5558">
              <w:rPr>
                <w:rFonts w:ascii="Arial" w:eastAsia="Times New Roman" w:hAnsi="Arial" w:cs="Arial"/>
                <w:sz w:val="20"/>
                <w:szCs w:val="20"/>
              </w:rPr>
              <w:t>ACEi</w:t>
            </w:r>
            <w:proofErr w:type="spellEnd"/>
            <w:r w:rsidRPr="001F5558">
              <w:rPr>
                <w:rFonts w:ascii="Arial" w:eastAsia="Times New Roman" w:hAnsi="Arial" w:cs="Arial"/>
                <w:sz w:val="20"/>
                <w:szCs w:val="20"/>
              </w:rPr>
              <w:t xml:space="preserve"> or an ARB, titrated to the maximum tolerated doses, is recommended for patients with CKD and moderate (ACR 30 to 300 mg/g) or severe (ACR &gt;300 mg/g) albuminuria</w:t>
            </w:r>
          </w:p>
          <w:p w14:paraId="0D71DDB5" w14:textId="59B32688" w:rsidR="00F86932" w:rsidRPr="001F5558" w:rsidRDefault="00F86932" w:rsidP="00176562">
            <w:pPr>
              <w:rPr>
                <w:rFonts w:ascii="Arial" w:eastAsia="Times New Roman" w:hAnsi="Arial" w:cs="Arial"/>
                <w:sz w:val="20"/>
                <w:szCs w:val="20"/>
                <w:vertAlign w:val="superscript"/>
              </w:rPr>
            </w:pPr>
            <w:r w:rsidRPr="001F5558">
              <w:rPr>
                <w:rFonts w:ascii="Arial" w:eastAsia="Times New Roman" w:hAnsi="Arial" w:cs="Arial"/>
                <w:b/>
                <w:bCs/>
                <w:sz w:val="20"/>
                <w:szCs w:val="20"/>
              </w:rPr>
              <w:t>Step 1:</w:t>
            </w:r>
            <w:r w:rsidRPr="001F5558">
              <w:rPr>
                <w:rFonts w:ascii="Arial" w:eastAsia="Times New Roman" w:hAnsi="Arial" w:cs="Arial"/>
                <w:sz w:val="20"/>
                <w:szCs w:val="20"/>
              </w:rPr>
              <w:t> ACEI or ARB + CCB or T/TL diuretic if eGFR ≥30 mL/min/1.73 m</w:t>
            </w:r>
            <w:r w:rsidRPr="001F5558">
              <w:rPr>
                <w:rFonts w:ascii="Arial" w:eastAsia="Times New Roman" w:hAnsi="Arial" w:cs="Arial"/>
                <w:sz w:val="20"/>
                <w:szCs w:val="20"/>
                <w:vertAlign w:val="superscript"/>
              </w:rPr>
              <w:t>2</w:t>
            </w:r>
            <w:r w:rsidRPr="001F5558">
              <w:rPr>
                <w:rFonts w:ascii="Arial" w:eastAsia="Times New Roman" w:hAnsi="Arial" w:cs="Arial"/>
                <w:sz w:val="20"/>
                <w:szCs w:val="20"/>
              </w:rPr>
              <w:t>, or ACEI or ARB + CCB or loop diuretic if eGFR &lt;30 mL/min/1.73 m</w:t>
            </w:r>
            <w:r w:rsidRPr="001F5558">
              <w:rPr>
                <w:rFonts w:ascii="Arial" w:eastAsia="Times New Roman" w:hAnsi="Arial" w:cs="Arial"/>
                <w:sz w:val="20"/>
                <w:szCs w:val="20"/>
                <w:vertAlign w:val="superscript"/>
              </w:rPr>
              <w:t>2</w:t>
            </w:r>
          </w:p>
          <w:p w14:paraId="53A7DC90" w14:textId="77777777" w:rsidR="00205D1C" w:rsidRPr="001F5558" w:rsidRDefault="00F86932" w:rsidP="00176562">
            <w:pPr>
              <w:rPr>
                <w:rFonts w:ascii="Arial" w:eastAsia="Times New Roman" w:hAnsi="Arial" w:cs="Arial"/>
                <w:sz w:val="20"/>
                <w:szCs w:val="20"/>
              </w:rPr>
            </w:pPr>
            <w:r w:rsidRPr="001F5558">
              <w:rPr>
                <w:rFonts w:ascii="Arial" w:eastAsia="Times New Roman" w:hAnsi="Arial" w:cs="Arial"/>
                <w:b/>
                <w:bCs/>
                <w:sz w:val="20"/>
                <w:szCs w:val="20"/>
              </w:rPr>
              <w:t>Step 2:</w:t>
            </w:r>
            <w:r w:rsidRPr="001F5558">
              <w:rPr>
                <w:rFonts w:ascii="Arial" w:eastAsia="Times New Roman" w:hAnsi="Arial" w:cs="Arial"/>
                <w:sz w:val="20"/>
                <w:szCs w:val="20"/>
              </w:rPr>
              <w:t> </w:t>
            </w:r>
            <w:r w:rsidR="00205D1C" w:rsidRPr="001F5558">
              <w:rPr>
                <w:rFonts w:ascii="Arial" w:eastAsia="Times New Roman" w:hAnsi="Arial" w:cs="Arial"/>
                <w:sz w:val="20"/>
                <w:szCs w:val="20"/>
              </w:rPr>
              <w:t>C</w:t>
            </w:r>
            <w:r w:rsidRPr="001F5558">
              <w:rPr>
                <w:rFonts w:ascii="Arial" w:eastAsia="Times New Roman" w:hAnsi="Arial" w:cs="Arial"/>
                <w:sz w:val="20"/>
                <w:szCs w:val="20"/>
              </w:rPr>
              <w:t>ombination of the 3 above drug classes to maximum tolerated doses</w:t>
            </w:r>
            <w:r w:rsidR="00205D1C" w:rsidRPr="001F5558">
              <w:rPr>
                <w:rFonts w:ascii="Arial" w:eastAsia="Times New Roman" w:hAnsi="Arial" w:cs="Arial"/>
                <w:sz w:val="20"/>
                <w:szCs w:val="20"/>
              </w:rPr>
              <w:t>.</w:t>
            </w:r>
          </w:p>
          <w:p w14:paraId="59050A89" w14:textId="591171AA" w:rsidR="00490089" w:rsidRPr="001F5558" w:rsidRDefault="00F86932" w:rsidP="00176562">
            <w:pPr>
              <w:rPr>
                <w:rFonts w:ascii="Arial" w:eastAsia="Times New Roman" w:hAnsi="Arial" w:cs="Arial"/>
                <w:sz w:val="20"/>
                <w:szCs w:val="20"/>
              </w:rPr>
            </w:pPr>
            <w:r w:rsidRPr="001F5558">
              <w:rPr>
                <w:rFonts w:ascii="Arial" w:eastAsia="Times New Roman" w:hAnsi="Arial" w:cs="Arial"/>
                <w:b/>
                <w:bCs/>
                <w:sz w:val="20"/>
                <w:szCs w:val="20"/>
              </w:rPr>
              <w:t>Step 3</w:t>
            </w:r>
            <w:r w:rsidR="00205D1C" w:rsidRPr="001F5558">
              <w:rPr>
                <w:rFonts w:ascii="Arial" w:eastAsia="Times New Roman" w:hAnsi="Arial" w:cs="Arial"/>
                <w:b/>
                <w:bCs/>
                <w:sz w:val="20"/>
                <w:szCs w:val="20"/>
              </w:rPr>
              <w:t>:</w:t>
            </w:r>
            <w:r w:rsidRPr="001F5558">
              <w:rPr>
                <w:rFonts w:ascii="Arial" w:eastAsia="Times New Roman" w:hAnsi="Arial" w:cs="Arial"/>
                <w:sz w:val="20"/>
                <w:szCs w:val="20"/>
              </w:rPr>
              <w:t> </w:t>
            </w:r>
            <w:r w:rsidR="00205D1C" w:rsidRPr="001F5558">
              <w:rPr>
                <w:rFonts w:ascii="Arial" w:eastAsia="Times New Roman" w:hAnsi="Arial" w:cs="Arial"/>
                <w:sz w:val="20"/>
                <w:szCs w:val="20"/>
              </w:rPr>
              <w:t xml:space="preserve">Add </w:t>
            </w:r>
            <w:r w:rsidRPr="001F5558">
              <w:rPr>
                <w:rFonts w:ascii="Arial" w:eastAsia="Times New Roman" w:hAnsi="Arial" w:cs="Arial"/>
                <w:sz w:val="20"/>
                <w:szCs w:val="20"/>
              </w:rPr>
              <w:t>spironolactone if eGFR ≥30 mL/min/1.73 m</w:t>
            </w:r>
            <w:r w:rsidRPr="001F5558">
              <w:rPr>
                <w:rFonts w:ascii="Arial" w:eastAsia="Times New Roman" w:hAnsi="Arial" w:cs="Arial"/>
                <w:sz w:val="20"/>
                <w:szCs w:val="20"/>
                <w:vertAlign w:val="superscript"/>
              </w:rPr>
              <w:t>2</w:t>
            </w:r>
            <w:r w:rsidRPr="001F5558">
              <w:rPr>
                <w:rFonts w:ascii="Arial" w:eastAsia="Times New Roman" w:hAnsi="Arial" w:cs="Arial"/>
                <w:sz w:val="20"/>
                <w:szCs w:val="20"/>
              </w:rPr>
              <w:t> and potassium within the normal range or chlortalidone if eGFR &lt;30 mL/min/1.73 m</w:t>
            </w:r>
            <w:r w:rsidRPr="001F5558">
              <w:rPr>
                <w:rFonts w:ascii="Arial" w:eastAsia="Times New Roman" w:hAnsi="Arial" w:cs="Arial"/>
                <w:sz w:val="20"/>
                <w:szCs w:val="20"/>
                <w:vertAlign w:val="superscript"/>
              </w:rPr>
              <w:t>2</w:t>
            </w:r>
          </w:p>
        </w:tc>
      </w:tr>
      <w:tr w:rsidR="00490089" w:rsidRPr="001F5558" w14:paraId="22945556" w14:textId="77777777" w:rsidTr="00057D8F">
        <w:trPr>
          <w:trHeight w:val="340"/>
        </w:trPr>
        <w:tc>
          <w:tcPr>
            <w:tcW w:w="1980" w:type="dxa"/>
            <w:tcBorders>
              <w:top w:val="single" w:sz="8" w:space="0" w:color="auto"/>
              <w:bottom w:val="single" w:sz="8" w:space="0" w:color="auto"/>
            </w:tcBorders>
          </w:tcPr>
          <w:p w14:paraId="0034DD91" w14:textId="77777777" w:rsidR="00490089" w:rsidRPr="001F5558" w:rsidRDefault="006D5667" w:rsidP="00176562">
            <w:pPr>
              <w:rPr>
                <w:rFonts w:ascii="Arial" w:eastAsia="Times New Roman" w:hAnsi="Arial" w:cs="Arial"/>
                <w:b/>
                <w:bCs/>
                <w:sz w:val="20"/>
                <w:szCs w:val="20"/>
              </w:rPr>
            </w:pPr>
            <w:r w:rsidRPr="001F5558">
              <w:rPr>
                <w:rFonts w:ascii="Arial" w:eastAsia="Times New Roman" w:hAnsi="Arial" w:cs="Arial"/>
                <w:b/>
                <w:bCs/>
                <w:sz w:val="20"/>
                <w:szCs w:val="20"/>
              </w:rPr>
              <w:t>Kidney and heart protection</w:t>
            </w:r>
          </w:p>
          <w:p w14:paraId="7D8B6EA5" w14:textId="3543FC0E" w:rsidR="00FE2BD2" w:rsidRPr="001F5558" w:rsidRDefault="00FE2BD2" w:rsidP="00176562">
            <w:pPr>
              <w:rPr>
                <w:rFonts w:ascii="Arial" w:eastAsia="Times New Roman" w:hAnsi="Arial" w:cs="Arial"/>
                <w:b/>
                <w:bCs/>
                <w:sz w:val="20"/>
                <w:szCs w:val="20"/>
              </w:rPr>
            </w:pPr>
            <w:r w:rsidRPr="001F5558">
              <w:rPr>
                <w:rFonts w:ascii="Arial" w:eastAsia="Times New Roman" w:hAnsi="Arial" w:cs="Arial"/>
                <w:b/>
                <w:bCs/>
                <w:sz w:val="20"/>
                <w:szCs w:val="20"/>
              </w:rPr>
              <w:t>(diabetic and nondiabetic CKD)</w:t>
            </w:r>
          </w:p>
        </w:tc>
        <w:tc>
          <w:tcPr>
            <w:tcW w:w="7371" w:type="dxa"/>
            <w:tcBorders>
              <w:top w:val="single" w:sz="8" w:space="0" w:color="auto"/>
              <w:bottom w:val="single" w:sz="8" w:space="0" w:color="auto"/>
            </w:tcBorders>
          </w:tcPr>
          <w:p w14:paraId="418BD543" w14:textId="476C3A84" w:rsidR="00490089" w:rsidRPr="001F5558" w:rsidRDefault="00FE2BD2" w:rsidP="00176562">
            <w:pPr>
              <w:rPr>
                <w:rFonts w:ascii="Arial" w:eastAsia="Times New Roman" w:hAnsi="Arial" w:cs="Arial"/>
                <w:sz w:val="20"/>
                <w:szCs w:val="20"/>
              </w:rPr>
            </w:pPr>
            <w:r w:rsidRPr="001F5558">
              <w:rPr>
                <w:rFonts w:ascii="Arial" w:eastAsia="Times New Roman" w:hAnsi="Arial" w:cs="Arial"/>
                <w:sz w:val="20"/>
                <w:szCs w:val="20"/>
              </w:rPr>
              <w:t xml:space="preserve">Use </w:t>
            </w:r>
            <w:r w:rsidR="00FC0247" w:rsidRPr="001F5558">
              <w:rPr>
                <w:rFonts w:ascii="Arial" w:eastAsia="Times New Roman" w:hAnsi="Arial" w:cs="Arial"/>
                <w:sz w:val="20"/>
                <w:szCs w:val="20"/>
              </w:rPr>
              <w:t>SGLT2</w:t>
            </w:r>
            <w:r w:rsidR="007C21B6" w:rsidRPr="001F5558">
              <w:rPr>
                <w:rFonts w:ascii="Arial" w:eastAsia="Times New Roman" w:hAnsi="Arial" w:cs="Arial"/>
                <w:sz w:val="20"/>
                <w:szCs w:val="20"/>
              </w:rPr>
              <w:t xml:space="preserve"> inhibitor</w:t>
            </w:r>
            <w:r w:rsidR="00FC0247" w:rsidRPr="001F5558">
              <w:rPr>
                <w:rFonts w:ascii="Arial" w:eastAsia="Times New Roman" w:hAnsi="Arial" w:cs="Arial"/>
                <w:sz w:val="20"/>
                <w:szCs w:val="20"/>
              </w:rPr>
              <w:t xml:space="preserve"> if eGFR is at least 20 mL/min/1.73 m</w:t>
            </w:r>
            <w:r w:rsidR="00FC0247" w:rsidRPr="001F5558">
              <w:rPr>
                <w:rFonts w:ascii="Arial" w:eastAsia="Times New Roman" w:hAnsi="Arial" w:cs="Arial"/>
                <w:sz w:val="20"/>
                <w:szCs w:val="20"/>
                <w:vertAlign w:val="superscript"/>
              </w:rPr>
              <w:t>2</w:t>
            </w:r>
            <w:r w:rsidR="00FC0247" w:rsidRPr="001F5558">
              <w:rPr>
                <w:rFonts w:ascii="Arial" w:eastAsia="Times New Roman" w:hAnsi="Arial" w:cs="Arial"/>
                <w:sz w:val="20"/>
                <w:szCs w:val="20"/>
              </w:rPr>
              <w:t> </w:t>
            </w:r>
          </w:p>
          <w:p w14:paraId="692098D7" w14:textId="61ED4169" w:rsidR="00FC0247" w:rsidRPr="001F5558" w:rsidRDefault="00FC0247" w:rsidP="00176562">
            <w:pPr>
              <w:rPr>
                <w:rFonts w:ascii="Arial" w:eastAsia="Times New Roman" w:hAnsi="Arial" w:cs="Arial"/>
                <w:sz w:val="20"/>
                <w:szCs w:val="20"/>
              </w:rPr>
            </w:pPr>
            <w:proofErr w:type="spellStart"/>
            <w:r w:rsidRPr="001F5558">
              <w:rPr>
                <w:rFonts w:ascii="Arial" w:eastAsia="Times New Roman" w:hAnsi="Arial" w:cs="Arial"/>
                <w:sz w:val="20"/>
                <w:szCs w:val="20"/>
              </w:rPr>
              <w:t>Finerenone</w:t>
            </w:r>
            <w:proofErr w:type="spellEnd"/>
            <w:r w:rsidRPr="001F5558">
              <w:rPr>
                <w:rFonts w:ascii="Arial" w:eastAsia="Times New Roman" w:hAnsi="Arial" w:cs="Arial"/>
                <w:sz w:val="20"/>
                <w:szCs w:val="20"/>
              </w:rPr>
              <w:t xml:space="preserve"> (Non-steroidal MRA) for patients with CKD and albuminuria associated with T2DM, if eGFR is at least 25 mL/min/1.73 m</w:t>
            </w:r>
            <w:r w:rsidRPr="001F5558">
              <w:rPr>
                <w:rFonts w:ascii="Arial" w:eastAsia="Times New Roman" w:hAnsi="Arial" w:cs="Arial"/>
                <w:sz w:val="20"/>
                <w:szCs w:val="20"/>
                <w:vertAlign w:val="superscript"/>
              </w:rPr>
              <w:t>2</w:t>
            </w:r>
            <w:r w:rsidRPr="001F5558">
              <w:rPr>
                <w:rFonts w:ascii="Arial" w:eastAsia="Times New Roman" w:hAnsi="Arial" w:cs="Arial"/>
                <w:sz w:val="20"/>
                <w:szCs w:val="20"/>
              </w:rPr>
              <w:t> and serum potassium &lt;5.0 mmol/L </w:t>
            </w:r>
          </w:p>
        </w:tc>
      </w:tr>
      <w:tr w:rsidR="00490089" w:rsidRPr="001F5558" w14:paraId="1C9D5C26" w14:textId="77777777" w:rsidTr="00057D8F">
        <w:trPr>
          <w:trHeight w:val="340"/>
        </w:trPr>
        <w:tc>
          <w:tcPr>
            <w:tcW w:w="1980" w:type="dxa"/>
            <w:tcBorders>
              <w:top w:val="single" w:sz="8" w:space="0" w:color="auto"/>
              <w:bottom w:val="single" w:sz="8" w:space="0" w:color="auto"/>
            </w:tcBorders>
          </w:tcPr>
          <w:p w14:paraId="626D0343" w14:textId="77777777" w:rsidR="00490089" w:rsidRPr="001F5558" w:rsidRDefault="003C48BE" w:rsidP="00176562">
            <w:pPr>
              <w:rPr>
                <w:rFonts w:ascii="Arial" w:eastAsia="Times New Roman" w:hAnsi="Arial" w:cs="Arial"/>
                <w:b/>
                <w:bCs/>
                <w:sz w:val="20"/>
                <w:szCs w:val="20"/>
              </w:rPr>
            </w:pPr>
            <w:r w:rsidRPr="001F5558">
              <w:rPr>
                <w:rFonts w:ascii="Arial" w:eastAsia="Times New Roman" w:hAnsi="Arial" w:cs="Arial"/>
                <w:b/>
                <w:bCs/>
                <w:sz w:val="20"/>
                <w:szCs w:val="20"/>
              </w:rPr>
              <w:t>Potassium management</w:t>
            </w:r>
          </w:p>
          <w:p w14:paraId="2F9A86EE" w14:textId="4008368C" w:rsidR="004C2E6A" w:rsidRPr="001F5558" w:rsidRDefault="004C2E6A" w:rsidP="00176562">
            <w:pPr>
              <w:rPr>
                <w:rFonts w:ascii="Arial" w:eastAsia="Times New Roman" w:hAnsi="Arial" w:cs="Arial"/>
                <w:b/>
                <w:bCs/>
                <w:sz w:val="20"/>
                <w:szCs w:val="20"/>
              </w:rPr>
            </w:pPr>
            <w:r w:rsidRPr="001F5558">
              <w:rPr>
                <w:rFonts w:ascii="Arial" w:eastAsia="Times New Roman" w:hAnsi="Arial" w:cs="Arial"/>
                <w:b/>
                <w:bCs/>
                <w:sz w:val="20"/>
                <w:szCs w:val="20"/>
              </w:rPr>
              <w:t>(Hyperkalemia in CKD)</w:t>
            </w:r>
          </w:p>
        </w:tc>
        <w:tc>
          <w:tcPr>
            <w:tcW w:w="7371" w:type="dxa"/>
            <w:tcBorders>
              <w:top w:val="single" w:sz="8" w:space="0" w:color="auto"/>
              <w:bottom w:val="single" w:sz="8" w:space="0" w:color="auto"/>
            </w:tcBorders>
          </w:tcPr>
          <w:p w14:paraId="56372543" w14:textId="570AE4CC" w:rsidR="00490089" w:rsidRPr="001F5558" w:rsidRDefault="003762C9" w:rsidP="000837A1">
            <w:pPr>
              <w:rPr>
                <w:rFonts w:ascii="Arial" w:eastAsia="Times New Roman" w:hAnsi="Arial" w:cs="Arial"/>
                <w:sz w:val="20"/>
                <w:szCs w:val="20"/>
              </w:rPr>
            </w:pPr>
            <w:r w:rsidRPr="001F5558">
              <w:rPr>
                <w:rFonts w:ascii="Arial" w:eastAsia="Times New Roman" w:hAnsi="Arial" w:cs="Arial"/>
                <w:sz w:val="20"/>
                <w:szCs w:val="20"/>
              </w:rPr>
              <w:t xml:space="preserve">A </w:t>
            </w:r>
            <w:r w:rsidR="003C48BE" w:rsidRPr="001F5558">
              <w:rPr>
                <w:rFonts w:ascii="Arial" w:eastAsia="Times New Roman" w:hAnsi="Arial" w:cs="Arial"/>
                <w:sz w:val="20"/>
                <w:szCs w:val="20"/>
              </w:rPr>
              <w:t xml:space="preserve">potassium binder can be used to maintain potassium </w:t>
            </w:r>
            <w:r w:rsidRPr="001F5558">
              <w:rPr>
                <w:rFonts w:ascii="Arial" w:eastAsia="Times New Roman" w:hAnsi="Arial" w:cs="Arial"/>
                <w:sz w:val="20"/>
                <w:szCs w:val="20"/>
              </w:rPr>
              <w:t xml:space="preserve">levels </w:t>
            </w:r>
            <w:r w:rsidR="003C48BE" w:rsidRPr="001F5558">
              <w:rPr>
                <w:rFonts w:ascii="Arial" w:eastAsia="Times New Roman" w:hAnsi="Arial" w:cs="Arial"/>
                <w:sz w:val="20"/>
                <w:szCs w:val="20"/>
              </w:rPr>
              <w:t>&lt;5.5 mmol/L) to allow continuation of treatment with a RA</w:t>
            </w:r>
            <w:r w:rsidR="00BC6EA3" w:rsidRPr="001F5558">
              <w:rPr>
                <w:rFonts w:ascii="Arial" w:eastAsia="Times New Roman" w:hAnsi="Arial" w:cs="Arial"/>
                <w:sz w:val="20"/>
                <w:szCs w:val="20"/>
              </w:rPr>
              <w:t>A</w:t>
            </w:r>
            <w:r w:rsidR="003C48BE" w:rsidRPr="001F5558">
              <w:rPr>
                <w:rFonts w:ascii="Arial" w:eastAsia="Times New Roman" w:hAnsi="Arial" w:cs="Arial"/>
                <w:sz w:val="20"/>
                <w:szCs w:val="20"/>
              </w:rPr>
              <w:t xml:space="preserve">S </w:t>
            </w:r>
            <w:r w:rsidR="000837A1" w:rsidRPr="001F5558">
              <w:rPr>
                <w:rFonts w:ascii="Arial" w:eastAsia="Times New Roman" w:hAnsi="Arial" w:cs="Arial"/>
                <w:sz w:val="20"/>
                <w:szCs w:val="20"/>
              </w:rPr>
              <w:t xml:space="preserve">inhibitor </w:t>
            </w:r>
            <w:r w:rsidR="003C48BE" w:rsidRPr="001F5558">
              <w:rPr>
                <w:rFonts w:ascii="Arial" w:eastAsia="Times New Roman" w:hAnsi="Arial" w:cs="Arial"/>
                <w:sz w:val="20"/>
                <w:szCs w:val="20"/>
              </w:rPr>
              <w:t xml:space="preserve">or </w:t>
            </w:r>
            <w:r w:rsidRPr="001F5558">
              <w:rPr>
                <w:rFonts w:ascii="Arial" w:eastAsia="Times New Roman" w:hAnsi="Arial" w:cs="Arial"/>
                <w:sz w:val="20"/>
                <w:szCs w:val="20"/>
              </w:rPr>
              <w:t>an</w:t>
            </w:r>
            <w:r w:rsidR="003C48BE" w:rsidRPr="001F5558">
              <w:rPr>
                <w:rFonts w:ascii="Arial" w:eastAsia="Times New Roman" w:hAnsi="Arial" w:cs="Arial"/>
                <w:sz w:val="20"/>
                <w:szCs w:val="20"/>
              </w:rPr>
              <w:t xml:space="preserve"> MRA</w:t>
            </w:r>
          </w:p>
        </w:tc>
      </w:tr>
      <w:tr w:rsidR="003C48BE" w:rsidRPr="001F5558" w14:paraId="5F034590" w14:textId="77777777" w:rsidTr="00057D8F">
        <w:trPr>
          <w:trHeight w:val="340"/>
        </w:trPr>
        <w:tc>
          <w:tcPr>
            <w:tcW w:w="1980" w:type="dxa"/>
            <w:tcBorders>
              <w:top w:val="single" w:sz="8" w:space="0" w:color="auto"/>
              <w:bottom w:val="single" w:sz="8" w:space="0" w:color="auto"/>
            </w:tcBorders>
          </w:tcPr>
          <w:p w14:paraId="6BB7C09D" w14:textId="02318D70" w:rsidR="003C48BE" w:rsidRPr="001F5558" w:rsidRDefault="003C48BE" w:rsidP="00176562">
            <w:pPr>
              <w:rPr>
                <w:rFonts w:ascii="Arial" w:eastAsia="Times New Roman" w:hAnsi="Arial" w:cs="Arial"/>
                <w:b/>
                <w:bCs/>
                <w:sz w:val="20"/>
                <w:szCs w:val="20"/>
              </w:rPr>
            </w:pPr>
            <w:r w:rsidRPr="001F5558">
              <w:rPr>
                <w:rFonts w:ascii="Arial" w:eastAsia="Times New Roman" w:hAnsi="Arial" w:cs="Arial"/>
                <w:b/>
                <w:bCs/>
                <w:sz w:val="20"/>
                <w:szCs w:val="20"/>
              </w:rPr>
              <w:t>Resistant hypertension</w:t>
            </w:r>
          </w:p>
        </w:tc>
        <w:tc>
          <w:tcPr>
            <w:tcW w:w="7371" w:type="dxa"/>
            <w:tcBorders>
              <w:top w:val="single" w:sz="8" w:space="0" w:color="auto"/>
              <w:bottom w:val="single" w:sz="8" w:space="0" w:color="auto"/>
            </w:tcBorders>
          </w:tcPr>
          <w:p w14:paraId="5A9435B5" w14:textId="7DFEEBCD" w:rsidR="008B4DF0" w:rsidRPr="001F5558" w:rsidRDefault="008B4DF0" w:rsidP="00176562">
            <w:pPr>
              <w:rPr>
                <w:rFonts w:ascii="Arial" w:eastAsia="Times New Roman" w:hAnsi="Arial" w:cs="Arial"/>
                <w:sz w:val="20"/>
                <w:szCs w:val="20"/>
              </w:rPr>
            </w:pPr>
            <w:r w:rsidRPr="001F5558">
              <w:rPr>
                <w:rFonts w:ascii="Arial" w:eastAsia="Times New Roman" w:hAnsi="Arial" w:cs="Arial"/>
                <w:sz w:val="20"/>
                <w:szCs w:val="20"/>
              </w:rPr>
              <w:t xml:space="preserve">In </w:t>
            </w:r>
            <w:r w:rsidRPr="001F5558">
              <w:rPr>
                <w:rFonts w:ascii="Arial" w:eastAsia="Times New Roman" w:hAnsi="Arial" w:cs="Arial"/>
                <w:b/>
                <w:bCs/>
                <w:sz w:val="20"/>
                <w:szCs w:val="20"/>
              </w:rPr>
              <w:t>step 3</w:t>
            </w:r>
            <w:r w:rsidRPr="001F5558">
              <w:rPr>
                <w:rFonts w:ascii="Arial" w:eastAsia="Times New Roman" w:hAnsi="Arial" w:cs="Arial"/>
                <w:sz w:val="20"/>
                <w:szCs w:val="20"/>
              </w:rPr>
              <w:t>, add spironolactone (preferred) or other MRA in patients with CKD stage 1–3 and true-resistant HTN. Beta-blockers, alpha-1 blockers</w:t>
            </w:r>
            <w:r w:rsidR="00FD132F" w:rsidRPr="001F5558">
              <w:rPr>
                <w:rFonts w:ascii="Arial" w:eastAsia="Times New Roman" w:hAnsi="Arial" w:cs="Arial"/>
                <w:sz w:val="20"/>
                <w:szCs w:val="20"/>
              </w:rPr>
              <w:t>,</w:t>
            </w:r>
            <w:r w:rsidRPr="001F5558">
              <w:rPr>
                <w:rFonts w:ascii="Arial" w:eastAsia="Times New Roman" w:hAnsi="Arial" w:cs="Arial"/>
                <w:sz w:val="20"/>
                <w:szCs w:val="20"/>
              </w:rPr>
              <w:t xml:space="preserve"> or centrally </w:t>
            </w:r>
            <w:r w:rsidR="00FD132F" w:rsidRPr="001F5558">
              <w:rPr>
                <w:rFonts w:ascii="Arial" w:eastAsia="Times New Roman" w:hAnsi="Arial" w:cs="Arial"/>
                <w:sz w:val="20"/>
                <w:szCs w:val="20"/>
              </w:rPr>
              <w:t>acting</w:t>
            </w:r>
            <w:r w:rsidRPr="001F5558">
              <w:rPr>
                <w:rFonts w:ascii="Arial" w:eastAsia="Times New Roman" w:hAnsi="Arial" w:cs="Arial"/>
                <w:sz w:val="20"/>
                <w:szCs w:val="20"/>
              </w:rPr>
              <w:t xml:space="preserve"> agents can be used alternatively.</w:t>
            </w:r>
          </w:p>
          <w:p w14:paraId="0365448B" w14:textId="6A28C3B8" w:rsidR="003C48BE" w:rsidRPr="001F5558" w:rsidRDefault="00FD132F" w:rsidP="00176562">
            <w:pPr>
              <w:rPr>
                <w:rFonts w:ascii="Arial" w:eastAsia="Times New Roman" w:hAnsi="Arial" w:cs="Arial"/>
                <w:sz w:val="20"/>
                <w:szCs w:val="20"/>
              </w:rPr>
            </w:pPr>
            <w:r w:rsidRPr="001F5558">
              <w:rPr>
                <w:rFonts w:ascii="Arial" w:eastAsia="Times New Roman" w:hAnsi="Arial" w:cs="Arial"/>
                <w:sz w:val="20"/>
                <w:szCs w:val="20"/>
              </w:rPr>
              <w:t xml:space="preserve">In </w:t>
            </w:r>
            <w:r w:rsidRPr="001F5558">
              <w:rPr>
                <w:rFonts w:ascii="Arial" w:eastAsia="Times New Roman" w:hAnsi="Arial" w:cs="Arial"/>
                <w:b/>
                <w:bCs/>
                <w:sz w:val="20"/>
                <w:szCs w:val="20"/>
              </w:rPr>
              <w:t>step 3</w:t>
            </w:r>
            <w:r w:rsidRPr="001F5558">
              <w:rPr>
                <w:rFonts w:ascii="Arial" w:eastAsia="Times New Roman" w:hAnsi="Arial" w:cs="Arial"/>
                <w:sz w:val="20"/>
                <w:szCs w:val="20"/>
              </w:rPr>
              <w:t xml:space="preserve">, add </w:t>
            </w:r>
            <w:r w:rsidR="008B4DF0" w:rsidRPr="001F5558">
              <w:rPr>
                <w:rFonts w:ascii="Arial" w:eastAsia="Times New Roman" w:hAnsi="Arial" w:cs="Arial"/>
                <w:sz w:val="20"/>
                <w:szCs w:val="20"/>
              </w:rPr>
              <w:t xml:space="preserve">chlortalidone (preferred) or other </w:t>
            </w:r>
            <w:r w:rsidRPr="001F5558">
              <w:rPr>
                <w:rFonts w:ascii="Arial" w:eastAsia="Times New Roman" w:hAnsi="Arial" w:cs="Arial"/>
                <w:sz w:val="20"/>
                <w:szCs w:val="20"/>
              </w:rPr>
              <w:t>thiazide</w:t>
            </w:r>
            <w:r w:rsidR="008B4DF0" w:rsidRPr="001F5558">
              <w:rPr>
                <w:rFonts w:ascii="Arial" w:eastAsia="Times New Roman" w:hAnsi="Arial" w:cs="Arial"/>
                <w:sz w:val="20"/>
                <w:szCs w:val="20"/>
              </w:rPr>
              <w:t>/</w:t>
            </w:r>
            <w:r w:rsidRPr="001F5558">
              <w:rPr>
                <w:rFonts w:ascii="Arial" w:eastAsia="Times New Roman" w:hAnsi="Arial" w:cs="Arial"/>
                <w:sz w:val="20"/>
                <w:szCs w:val="20"/>
              </w:rPr>
              <w:t xml:space="preserve">thiazide-like </w:t>
            </w:r>
            <w:r w:rsidR="008B4DF0" w:rsidRPr="001F5558">
              <w:rPr>
                <w:rFonts w:ascii="Arial" w:eastAsia="Times New Roman" w:hAnsi="Arial" w:cs="Arial"/>
                <w:sz w:val="20"/>
                <w:szCs w:val="20"/>
              </w:rPr>
              <w:t>diuretic</w:t>
            </w:r>
            <w:r w:rsidRPr="001F5558">
              <w:rPr>
                <w:rFonts w:ascii="Arial" w:eastAsia="Times New Roman" w:hAnsi="Arial" w:cs="Arial"/>
                <w:sz w:val="20"/>
                <w:szCs w:val="20"/>
              </w:rPr>
              <w:t xml:space="preserve"> in patients with CKD stage 4–5 and true-resistant </w:t>
            </w:r>
            <w:r w:rsidR="00EA5D5C" w:rsidRPr="001F5558">
              <w:rPr>
                <w:rFonts w:ascii="Arial" w:eastAsia="Times New Roman" w:hAnsi="Arial" w:cs="Arial"/>
                <w:sz w:val="20"/>
                <w:szCs w:val="20"/>
              </w:rPr>
              <w:t>HTN. Beta-blockers, alpha-1 blockers, or centrally acting agents can be used alternatively.</w:t>
            </w:r>
          </w:p>
        </w:tc>
      </w:tr>
    </w:tbl>
    <w:p w14:paraId="23B15616" w14:textId="59C76CB3" w:rsidR="00E725F1" w:rsidRPr="001F5558" w:rsidRDefault="001703F6" w:rsidP="00DB493F">
      <w:pPr>
        <w:spacing w:line="360" w:lineRule="auto"/>
        <w:jc w:val="both"/>
        <w:rPr>
          <w:rFonts w:ascii="Arial" w:eastAsia="Times New Roman" w:hAnsi="Arial" w:cs="Arial"/>
          <w:sz w:val="20"/>
          <w:szCs w:val="20"/>
        </w:rPr>
      </w:pPr>
      <w:r w:rsidRPr="001F5558">
        <w:rPr>
          <w:rFonts w:ascii="Arial" w:eastAsia="Times New Roman" w:hAnsi="Arial" w:cs="Arial"/>
          <w:sz w:val="20"/>
          <w:szCs w:val="20"/>
        </w:rPr>
        <w:t>T/TL diuretic: thiazide or thiazide-like diuretic; MRA: Mineralocorticoid receptor antagonist</w:t>
      </w:r>
    </w:p>
    <w:p w14:paraId="54CBEB9A" w14:textId="4B3EAD1D" w:rsidR="000E0639" w:rsidRPr="001F5558" w:rsidRDefault="000E0639" w:rsidP="00257B59">
      <w:pPr>
        <w:spacing w:after="0" w:line="240" w:lineRule="auto"/>
        <w:rPr>
          <w:rFonts w:ascii="Arial" w:eastAsia="Times New Roman" w:hAnsi="Arial" w:cs="Arial"/>
          <w:sz w:val="20"/>
          <w:szCs w:val="20"/>
          <w:lang w:val="en-IN"/>
        </w:rPr>
      </w:pPr>
      <w:r w:rsidRPr="001F5558">
        <w:rPr>
          <w:rFonts w:ascii="Arial" w:eastAsia="Times New Roman" w:hAnsi="Arial" w:cs="Arial"/>
          <w:b/>
          <w:bCs/>
          <w:sz w:val="20"/>
          <w:szCs w:val="20"/>
          <w:lang w:val="en-IN"/>
        </w:rPr>
        <w:t>Table </w:t>
      </w:r>
      <w:r w:rsidR="00A713B1" w:rsidRPr="001F5558">
        <w:rPr>
          <w:rFonts w:ascii="Arial" w:eastAsia="Times New Roman" w:hAnsi="Arial" w:cs="Arial"/>
          <w:b/>
          <w:bCs/>
          <w:sz w:val="20"/>
          <w:szCs w:val="20"/>
          <w:lang w:val="en-IN"/>
        </w:rPr>
        <w:t>4</w:t>
      </w:r>
      <w:r w:rsidRPr="001F5558">
        <w:rPr>
          <w:rFonts w:ascii="Arial" w:eastAsia="Times New Roman" w:hAnsi="Arial" w:cs="Arial"/>
          <w:b/>
          <w:bCs/>
          <w:sz w:val="20"/>
          <w:szCs w:val="20"/>
          <w:lang w:val="en-IN"/>
        </w:rPr>
        <w:t>. Therapeutic choice of antihypertensive agents in CKD</w:t>
      </w:r>
      <w:r w:rsidR="00216E10" w:rsidRPr="001F5558">
        <w:rPr>
          <w:rFonts w:ascii="Arial" w:eastAsia="Times New Roman" w:hAnsi="Arial" w:cs="Arial"/>
          <w:b/>
          <w:bCs/>
          <w:sz w:val="20"/>
          <w:szCs w:val="20"/>
          <w:lang w:val="en-IN"/>
        </w:rPr>
        <w:t xml:space="preserve"> </w:t>
      </w:r>
      <w:r w:rsidR="00216E10" w:rsidRPr="001F5558">
        <w:rPr>
          <w:rFonts w:ascii="Arial" w:eastAsia="Times New Roman" w:hAnsi="Arial" w:cs="Arial"/>
          <w:sz w:val="20"/>
          <w:szCs w:val="20"/>
          <w:lang w:val="en-IN"/>
        </w:rPr>
        <w:t xml:space="preserve">(Ku et </w:t>
      </w:r>
      <w:r w:rsidR="00421A1D" w:rsidRPr="001F5558">
        <w:rPr>
          <w:rFonts w:ascii="Arial" w:eastAsia="Times New Roman" w:hAnsi="Arial" w:cs="Arial"/>
          <w:sz w:val="20"/>
          <w:szCs w:val="20"/>
          <w:lang w:val="en-IN"/>
        </w:rPr>
        <w:t>al.</w:t>
      </w:r>
      <w:r w:rsidR="00216E10" w:rsidRPr="001F5558">
        <w:rPr>
          <w:rFonts w:ascii="Arial" w:eastAsia="Times New Roman" w:hAnsi="Arial" w:cs="Arial"/>
          <w:sz w:val="20"/>
          <w:szCs w:val="20"/>
          <w:lang w:val="en-IN"/>
        </w:rPr>
        <w:t xml:space="preserve">, 2019; </w:t>
      </w:r>
      <w:proofErr w:type="spellStart"/>
      <w:r w:rsidR="00414254" w:rsidRPr="001F5558">
        <w:rPr>
          <w:rFonts w:ascii="Arial" w:hAnsi="Arial" w:cs="Arial"/>
          <w:sz w:val="20"/>
          <w:szCs w:val="20"/>
        </w:rPr>
        <w:t>Alsalloum</w:t>
      </w:r>
      <w:proofErr w:type="spellEnd"/>
      <w:r w:rsidR="00414254" w:rsidRPr="001F5558">
        <w:rPr>
          <w:rFonts w:ascii="Arial" w:hAnsi="Arial" w:cs="Arial"/>
          <w:sz w:val="20"/>
          <w:szCs w:val="20"/>
        </w:rPr>
        <w:t xml:space="preserve"> et al., 2025; </w:t>
      </w:r>
      <w:r w:rsidR="00216E10" w:rsidRPr="001F5558">
        <w:rPr>
          <w:rFonts w:ascii="Arial" w:eastAsia="Times New Roman" w:hAnsi="Arial" w:cs="Arial"/>
          <w:sz w:val="20"/>
          <w:szCs w:val="20"/>
          <w:lang w:val="en-IN"/>
        </w:rPr>
        <w:t>PDR 2026)</w:t>
      </w:r>
    </w:p>
    <w:p w14:paraId="37202DF2" w14:textId="77777777" w:rsidR="00057D8F" w:rsidRPr="001F5558" w:rsidRDefault="00057D8F" w:rsidP="00257B59">
      <w:pPr>
        <w:spacing w:after="0" w:line="240" w:lineRule="auto"/>
        <w:rPr>
          <w:rFonts w:ascii="Times New Roman" w:eastAsia="Times New Roman" w:hAnsi="Times New Roman" w:cs="Times New Roman"/>
          <w:b/>
          <w:bCs/>
          <w:sz w:val="24"/>
          <w:szCs w:val="24"/>
          <w:lang w:val="en-IN"/>
        </w:rPr>
      </w:pPr>
    </w:p>
    <w:tbl>
      <w:tblPr>
        <w:tblW w:w="5000" w:type="pct"/>
        <w:tblCellSpacing w:w="0" w:type="dxa"/>
        <w:tblBorders>
          <w:top w:val="single" w:sz="8" w:space="0" w:color="auto"/>
          <w:bottom w:val="single" w:sz="8" w:space="0" w:color="auto"/>
        </w:tblBorders>
        <w:shd w:val="clear" w:color="auto" w:fill="FFFFFF"/>
        <w:tblLayout w:type="fixed"/>
        <w:tblCellMar>
          <w:left w:w="57" w:type="dxa"/>
          <w:right w:w="28" w:type="dxa"/>
        </w:tblCellMar>
        <w:tblLook w:val="04A0" w:firstRow="1" w:lastRow="0" w:firstColumn="1" w:lastColumn="0" w:noHBand="0" w:noVBand="1"/>
      </w:tblPr>
      <w:tblGrid>
        <w:gridCol w:w="1985"/>
        <w:gridCol w:w="1689"/>
        <w:gridCol w:w="1618"/>
        <w:gridCol w:w="1913"/>
        <w:gridCol w:w="2201"/>
      </w:tblGrid>
      <w:tr w:rsidR="000E0639" w:rsidRPr="001F5558" w14:paraId="25C74A64" w14:textId="77777777" w:rsidTr="000A0A9A">
        <w:trPr>
          <w:trHeight w:val="538"/>
          <w:tblHeader/>
          <w:tblCellSpacing w:w="0" w:type="dxa"/>
        </w:trPr>
        <w:tc>
          <w:tcPr>
            <w:tcW w:w="1985" w:type="dxa"/>
            <w:tcBorders>
              <w:top w:val="nil"/>
              <w:bottom w:val="single" w:sz="8" w:space="0" w:color="auto"/>
            </w:tcBorders>
            <w:shd w:val="clear" w:color="auto" w:fill="FFFFFF"/>
            <w:vAlign w:val="center"/>
            <w:hideMark/>
          </w:tcPr>
          <w:p w14:paraId="2E1A43CB" w14:textId="77777777" w:rsidR="000E0639" w:rsidRPr="001F5558" w:rsidRDefault="000E0639" w:rsidP="00661E5D">
            <w:pPr>
              <w:spacing w:after="0" w:line="240" w:lineRule="auto"/>
              <w:rPr>
                <w:rFonts w:ascii="Arial" w:hAnsi="Arial" w:cs="Arial"/>
                <w:b/>
                <w:bCs/>
                <w:sz w:val="20"/>
                <w:szCs w:val="20"/>
                <w:lang w:val="en-IN"/>
              </w:rPr>
            </w:pPr>
            <w:r w:rsidRPr="001F5558">
              <w:rPr>
                <w:rFonts w:ascii="Arial" w:hAnsi="Arial" w:cs="Arial"/>
                <w:b/>
                <w:bCs/>
                <w:sz w:val="20"/>
                <w:szCs w:val="20"/>
                <w:lang w:val="en-IN"/>
              </w:rPr>
              <w:t>Medications</w:t>
            </w:r>
          </w:p>
        </w:tc>
        <w:tc>
          <w:tcPr>
            <w:tcW w:w="1689" w:type="dxa"/>
            <w:tcBorders>
              <w:top w:val="nil"/>
              <w:bottom w:val="single" w:sz="8" w:space="0" w:color="auto"/>
            </w:tcBorders>
            <w:shd w:val="clear" w:color="auto" w:fill="FFFFFF"/>
            <w:vAlign w:val="center"/>
            <w:hideMark/>
          </w:tcPr>
          <w:p w14:paraId="40A79C36" w14:textId="77777777" w:rsidR="000E0639" w:rsidRPr="001F5558" w:rsidRDefault="000E0639" w:rsidP="00661E5D">
            <w:pPr>
              <w:spacing w:after="0" w:line="240" w:lineRule="auto"/>
              <w:rPr>
                <w:rFonts w:ascii="Arial" w:hAnsi="Arial" w:cs="Arial"/>
                <w:b/>
                <w:bCs/>
                <w:sz w:val="20"/>
                <w:szCs w:val="20"/>
                <w:lang w:val="en-IN"/>
              </w:rPr>
            </w:pPr>
            <w:r w:rsidRPr="001F5558">
              <w:rPr>
                <w:rFonts w:ascii="Arial" w:hAnsi="Arial" w:cs="Arial"/>
                <w:b/>
                <w:bCs/>
                <w:sz w:val="20"/>
                <w:szCs w:val="20"/>
                <w:lang w:val="en-IN"/>
              </w:rPr>
              <w:t>CKD-Related Indications</w:t>
            </w:r>
          </w:p>
        </w:tc>
        <w:tc>
          <w:tcPr>
            <w:tcW w:w="1618" w:type="dxa"/>
            <w:tcBorders>
              <w:top w:val="nil"/>
              <w:bottom w:val="single" w:sz="8" w:space="0" w:color="auto"/>
            </w:tcBorders>
            <w:shd w:val="clear" w:color="auto" w:fill="FFFFFF"/>
            <w:vAlign w:val="center"/>
            <w:hideMark/>
          </w:tcPr>
          <w:p w14:paraId="792098CF" w14:textId="77777777" w:rsidR="000E0639" w:rsidRPr="001F5558" w:rsidRDefault="000E0639" w:rsidP="00661E5D">
            <w:pPr>
              <w:spacing w:after="0" w:line="240" w:lineRule="auto"/>
              <w:rPr>
                <w:rFonts w:ascii="Arial" w:hAnsi="Arial" w:cs="Arial"/>
                <w:b/>
                <w:bCs/>
                <w:sz w:val="20"/>
                <w:szCs w:val="20"/>
                <w:lang w:val="en-IN"/>
              </w:rPr>
            </w:pPr>
            <w:r w:rsidRPr="001F5558">
              <w:rPr>
                <w:rFonts w:ascii="Arial" w:hAnsi="Arial" w:cs="Arial"/>
                <w:b/>
                <w:bCs/>
                <w:sz w:val="20"/>
                <w:szCs w:val="20"/>
                <w:lang w:val="en-IN"/>
              </w:rPr>
              <w:t>Common Side Effects</w:t>
            </w:r>
          </w:p>
        </w:tc>
        <w:tc>
          <w:tcPr>
            <w:tcW w:w="1913" w:type="dxa"/>
            <w:tcBorders>
              <w:top w:val="nil"/>
              <w:bottom w:val="single" w:sz="8" w:space="0" w:color="auto"/>
            </w:tcBorders>
            <w:shd w:val="clear" w:color="auto" w:fill="FFFFFF"/>
            <w:vAlign w:val="center"/>
            <w:hideMark/>
          </w:tcPr>
          <w:p w14:paraId="72932B31" w14:textId="77777777" w:rsidR="000E0639" w:rsidRPr="001F5558" w:rsidRDefault="000E0639" w:rsidP="00661E5D">
            <w:pPr>
              <w:spacing w:after="0" w:line="240" w:lineRule="auto"/>
              <w:rPr>
                <w:rFonts w:ascii="Arial" w:hAnsi="Arial" w:cs="Arial"/>
                <w:b/>
                <w:bCs/>
                <w:sz w:val="20"/>
                <w:szCs w:val="20"/>
                <w:lang w:val="en-IN"/>
              </w:rPr>
            </w:pPr>
            <w:r w:rsidRPr="001F5558">
              <w:rPr>
                <w:rFonts w:ascii="Arial" w:hAnsi="Arial" w:cs="Arial"/>
                <w:b/>
                <w:bCs/>
                <w:sz w:val="20"/>
                <w:szCs w:val="20"/>
                <w:lang w:val="en-IN"/>
              </w:rPr>
              <w:t>Potential Contraindications</w:t>
            </w:r>
          </w:p>
        </w:tc>
        <w:tc>
          <w:tcPr>
            <w:tcW w:w="2201" w:type="dxa"/>
            <w:tcBorders>
              <w:top w:val="nil"/>
              <w:bottom w:val="single" w:sz="8" w:space="0" w:color="auto"/>
            </w:tcBorders>
            <w:shd w:val="clear" w:color="auto" w:fill="FFFFFF"/>
            <w:vAlign w:val="center"/>
            <w:hideMark/>
          </w:tcPr>
          <w:p w14:paraId="12ECE985" w14:textId="77777777" w:rsidR="000E0639" w:rsidRPr="001F5558" w:rsidRDefault="000E0639" w:rsidP="00661E5D">
            <w:pPr>
              <w:spacing w:after="0" w:line="240" w:lineRule="auto"/>
              <w:rPr>
                <w:rFonts w:ascii="Arial" w:hAnsi="Arial" w:cs="Arial"/>
                <w:b/>
                <w:bCs/>
                <w:sz w:val="20"/>
                <w:szCs w:val="20"/>
                <w:lang w:val="en-IN"/>
              </w:rPr>
            </w:pPr>
            <w:r w:rsidRPr="001F5558">
              <w:rPr>
                <w:rFonts w:ascii="Arial" w:hAnsi="Arial" w:cs="Arial"/>
                <w:b/>
                <w:bCs/>
                <w:sz w:val="20"/>
                <w:szCs w:val="20"/>
                <w:lang w:val="en-IN"/>
              </w:rPr>
              <w:t>Other Considerations</w:t>
            </w:r>
          </w:p>
        </w:tc>
      </w:tr>
      <w:tr w:rsidR="000E0639" w:rsidRPr="001F5558" w14:paraId="6528E97B" w14:textId="77777777" w:rsidTr="000A0A9A">
        <w:trPr>
          <w:trHeight w:val="283"/>
          <w:tblCellSpacing w:w="0" w:type="dxa"/>
        </w:trPr>
        <w:tc>
          <w:tcPr>
            <w:tcW w:w="1985" w:type="dxa"/>
            <w:tcBorders>
              <w:top w:val="nil"/>
              <w:bottom w:val="single" w:sz="8" w:space="0" w:color="auto"/>
            </w:tcBorders>
            <w:shd w:val="clear" w:color="auto" w:fill="FFFFFF"/>
            <w:vAlign w:val="center"/>
          </w:tcPr>
          <w:p w14:paraId="697DA535" w14:textId="77777777" w:rsidR="000E0639" w:rsidRPr="001F5558" w:rsidRDefault="000E0639" w:rsidP="00040AFC">
            <w:pPr>
              <w:spacing w:after="0" w:line="240" w:lineRule="auto"/>
              <w:rPr>
                <w:rFonts w:ascii="Arial" w:hAnsi="Arial" w:cs="Arial"/>
                <w:b/>
                <w:bCs/>
                <w:sz w:val="20"/>
                <w:szCs w:val="20"/>
                <w:lang w:val="en-IN"/>
              </w:rPr>
            </w:pPr>
            <w:r w:rsidRPr="001F5558">
              <w:rPr>
                <w:rFonts w:ascii="Arial" w:hAnsi="Arial" w:cs="Arial"/>
                <w:b/>
                <w:bCs/>
                <w:sz w:val="20"/>
                <w:szCs w:val="20"/>
                <w:lang w:val="en-IN"/>
              </w:rPr>
              <w:t>Diuretics</w:t>
            </w:r>
          </w:p>
        </w:tc>
        <w:tc>
          <w:tcPr>
            <w:tcW w:w="1689" w:type="dxa"/>
            <w:shd w:val="clear" w:color="auto" w:fill="FFFFFF"/>
          </w:tcPr>
          <w:p w14:paraId="1437DC04" w14:textId="77777777" w:rsidR="000E0639" w:rsidRPr="001F5558" w:rsidRDefault="000E0639" w:rsidP="00B742D3">
            <w:pPr>
              <w:spacing w:after="0" w:line="240" w:lineRule="auto"/>
              <w:rPr>
                <w:rFonts w:ascii="Arial" w:hAnsi="Arial" w:cs="Arial"/>
                <w:sz w:val="20"/>
                <w:szCs w:val="20"/>
                <w:lang w:val="en-IN"/>
              </w:rPr>
            </w:pPr>
          </w:p>
        </w:tc>
        <w:tc>
          <w:tcPr>
            <w:tcW w:w="1618" w:type="dxa"/>
            <w:shd w:val="clear" w:color="auto" w:fill="FFFFFF"/>
          </w:tcPr>
          <w:p w14:paraId="3E003F4C" w14:textId="77777777" w:rsidR="000E0639" w:rsidRPr="001F5558" w:rsidRDefault="000E0639" w:rsidP="00B742D3">
            <w:pPr>
              <w:spacing w:after="0" w:line="240" w:lineRule="auto"/>
              <w:rPr>
                <w:rFonts w:ascii="Arial" w:hAnsi="Arial" w:cs="Arial"/>
                <w:sz w:val="20"/>
                <w:szCs w:val="20"/>
                <w:lang w:val="en-IN"/>
              </w:rPr>
            </w:pPr>
          </w:p>
        </w:tc>
        <w:tc>
          <w:tcPr>
            <w:tcW w:w="1913" w:type="dxa"/>
            <w:shd w:val="clear" w:color="auto" w:fill="FFFFFF"/>
          </w:tcPr>
          <w:p w14:paraId="2A892924" w14:textId="77777777" w:rsidR="000E0639" w:rsidRPr="001F5558" w:rsidRDefault="000E0639" w:rsidP="00B742D3">
            <w:pPr>
              <w:spacing w:after="0" w:line="240" w:lineRule="auto"/>
              <w:rPr>
                <w:rFonts w:ascii="Arial" w:hAnsi="Arial" w:cs="Arial"/>
                <w:sz w:val="20"/>
                <w:szCs w:val="20"/>
                <w:lang w:val="en-IN"/>
              </w:rPr>
            </w:pPr>
          </w:p>
        </w:tc>
        <w:tc>
          <w:tcPr>
            <w:tcW w:w="2201" w:type="dxa"/>
            <w:shd w:val="clear" w:color="auto" w:fill="FFFFFF"/>
          </w:tcPr>
          <w:p w14:paraId="6AFC1E72" w14:textId="77777777" w:rsidR="000E0639" w:rsidRPr="001F5558" w:rsidRDefault="000E0639" w:rsidP="00B742D3">
            <w:pPr>
              <w:spacing w:after="0" w:line="240" w:lineRule="auto"/>
              <w:rPr>
                <w:rFonts w:ascii="Arial" w:hAnsi="Arial" w:cs="Arial"/>
                <w:sz w:val="20"/>
                <w:szCs w:val="20"/>
                <w:lang w:val="en-IN"/>
              </w:rPr>
            </w:pPr>
          </w:p>
        </w:tc>
      </w:tr>
      <w:tr w:rsidR="000E0639" w:rsidRPr="001F5558" w14:paraId="4BC2AFE9" w14:textId="77777777" w:rsidTr="000A0A9A">
        <w:trPr>
          <w:trHeight w:val="1677"/>
          <w:tblCellSpacing w:w="0" w:type="dxa"/>
        </w:trPr>
        <w:tc>
          <w:tcPr>
            <w:tcW w:w="1985" w:type="dxa"/>
            <w:shd w:val="clear" w:color="auto" w:fill="FFFFFF"/>
            <w:hideMark/>
          </w:tcPr>
          <w:p w14:paraId="6D920D71" w14:textId="77777777" w:rsidR="000E0639" w:rsidRPr="001F5558" w:rsidRDefault="000E0639" w:rsidP="00B742D3">
            <w:pPr>
              <w:spacing w:after="0" w:line="240" w:lineRule="auto"/>
              <w:rPr>
                <w:rFonts w:ascii="Arial" w:hAnsi="Arial" w:cs="Arial"/>
                <w:b/>
                <w:bCs/>
                <w:sz w:val="20"/>
                <w:szCs w:val="20"/>
                <w:lang w:val="en-IN"/>
              </w:rPr>
            </w:pPr>
            <w:r w:rsidRPr="001F5558">
              <w:rPr>
                <w:rFonts w:ascii="Arial" w:hAnsi="Arial" w:cs="Arial"/>
                <w:b/>
                <w:bCs/>
                <w:sz w:val="20"/>
                <w:szCs w:val="20"/>
                <w:lang w:val="en-IN"/>
              </w:rPr>
              <w:lastRenderedPageBreak/>
              <w:t xml:space="preserve">Thiazide </w:t>
            </w:r>
          </w:p>
          <w:p w14:paraId="171A8843" w14:textId="77777777" w:rsidR="000E0639" w:rsidRPr="001F5558" w:rsidRDefault="000E0639" w:rsidP="00B742D3">
            <w:pPr>
              <w:spacing w:after="0" w:line="240" w:lineRule="auto"/>
              <w:rPr>
                <w:rFonts w:ascii="Arial" w:hAnsi="Arial" w:cs="Arial"/>
                <w:sz w:val="20"/>
                <w:szCs w:val="20"/>
                <w:lang w:val="en-IN"/>
              </w:rPr>
            </w:pPr>
            <w:r w:rsidRPr="001F5558">
              <w:rPr>
                <w:rFonts w:ascii="Arial" w:hAnsi="Arial" w:cs="Arial"/>
                <w:sz w:val="20"/>
                <w:szCs w:val="20"/>
                <w:lang w:val="en-IN"/>
              </w:rPr>
              <w:t>(hydrochlorothiazide, chlorthalidone, metolazone)</w:t>
            </w:r>
          </w:p>
        </w:tc>
        <w:tc>
          <w:tcPr>
            <w:tcW w:w="1689" w:type="dxa"/>
            <w:shd w:val="clear" w:color="auto" w:fill="FFFFFF"/>
            <w:hideMark/>
          </w:tcPr>
          <w:p w14:paraId="6FEA2E81" w14:textId="77777777" w:rsidR="000E0639" w:rsidRPr="001F5558" w:rsidRDefault="000E0639" w:rsidP="00B742D3">
            <w:pPr>
              <w:spacing w:after="0" w:line="240" w:lineRule="auto"/>
              <w:rPr>
                <w:rFonts w:ascii="Arial" w:hAnsi="Arial" w:cs="Arial"/>
                <w:sz w:val="20"/>
                <w:szCs w:val="20"/>
                <w:lang w:val="en-IN"/>
              </w:rPr>
            </w:pPr>
            <w:r w:rsidRPr="001F5558">
              <w:rPr>
                <w:rFonts w:ascii="Arial" w:hAnsi="Arial" w:cs="Arial"/>
                <w:sz w:val="20"/>
                <w:szCs w:val="20"/>
                <w:lang w:val="en-IN"/>
              </w:rPr>
              <w:t>Fluid overload; may improve proteinuria if used in combination with RAAS inhibitors</w:t>
            </w:r>
          </w:p>
        </w:tc>
        <w:tc>
          <w:tcPr>
            <w:tcW w:w="1618" w:type="dxa"/>
            <w:shd w:val="clear" w:color="auto" w:fill="FFFFFF"/>
            <w:hideMark/>
          </w:tcPr>
          <w:p w14:paraId="0607059A" w14:textId="77777777" w:rsidR="000E0639" w:rsidRPr="001F5558" w:rsidRDefault="000E0639" w:rsidP="00B742D3">
            <w:pPr>
              <w:spacing w:after="0" w:line="240" w:lineRule="auto"/>
              <w:rPr>
                <w:rFonts w:ascii="Arial" w:hAnsi="Arial" w:cs="Arial"/>
                <w:sz w:val="20"/>
                <w:szCs w:val="20"/>
                <w:lang w:val="en-IN"/>
              </w:rPr>
            </w:pPr>
            <w:r w:rsidRPr="001F5558">
              <w:rPr>
                <w:rFonts w:ascii="Arial" w:hAnsi="Arial" w:cs="Arial"/>
                <w:sz w:val="20"/>
                <w:szCs w:val="20"/>
                <w:lang w:val="en-IN"/>
              </w:rPr>
              <w:t xml:space="preserve">Hyperuricemia; hypercalcemia; hyponatremia; </w:t>
            </w:r>
            <w:proofErr w:type="spellStart"/>
            <w:r w:rsidRPr="001F5558">
              <w:rPr>
                <w:rFonts w:ascii="Arial" w:hAnsi="Arial" w:cs="Arial"/>
                <w:sz w:val="20"/>
                <w:szCs w:val="20"/>
                <w:lang w:val="en-IN"/>
              </w:rPr>
              <w:t>hypokalemia</w:t>
            </w:r>
            <w:proofErr w:type="spellEnd"/>
            <w:r w:rsidRPr="001F5558">
              <w:rPr>
                <w:rFonts w:ascii="Arial" w:hAnsi="Arial" w:cs="Arial"/>
                <w:sz w:val="20"/>
                <w:szCs w:val="20"/>
                <w:lang w:val="en-IN"/>
              </w:rPr>
              <w:t xml:space="preserve">; </w:t>
            </w:r>
            <w:proofErr w:type="spellStart"/>
            <w:r w:rsidRPr="001F5558">
              <w:rPr>
                <w:rFonts w:ascii="Arial" w:hAnsi="Arial" w:cs="Arial"/>
                <w:sz w:val="20"/>
                <w:szCs w:val="20"/>
                <w:lang w:val="en-IN"/>
              </w:rPr>
              <w:t>hyperglycemia</w:t>
            </w:r>
            <w:proofErr w:type="spellEnd"/>
            <w:r w:rsidRPr="001F5558">
              <w:rPr>
                <w:rFonts w:ascii="Arial" w:hAnsi="Arial" w:cs="Arial"/>
                <w:sz w:val="20"/>
                <w:szCs w:val="20"/>
                <w:lang w:val="en-IN"/>
              </w:rPr>
              <w:t xml:space="preserve"> (with long-term use)</w:t>
            </w:r>
          </w:p>
        </w:tc>
        <w:tc>
          <w:tcPr>
            <w:tcW w:w="1913" w:type="dxa"/>
            <w:shd w:val="clear" w:color="auto" w:fill="FFFFFF"/>
            <w:hideMark/>
          </w:tcPr>
          <w:p w14:paraId="566E8670" w14:textId="77777777" w:rsidR="000E0639" w:rsidRPr="001F5558" w:rsidRDefault="000E0639" w:rsidP="00B742D3">
            <w:pPr>
              <w:spacing w:after="0" w:line="240" w:lineRule="auto"/>
              <w:rPr>
                <w:rFonts w:ascii="Arial" w:hAnsi="Arial" w:cs="Arial"/>
                <w:sz w:val="20"/>
                <w:szCs w:val="20"/>
                <w:lang w:val="en-IN"/>
              </w:rPr>
            </w:pPr>
            <w:r w:rsidRPr="001F5558">
              <w:rPr>
                <w:rFonts w:ascii="Arial" w:hAnsi="Arial" w:cs="Arial"/>
                <w:sz w:val="20"/>
                <w:szCs w:val="20"/>
                <w:lang w:val="en-IN"/>
              </w:rPr>
              <w:t>Gout; hypercalcemia</w:t>
            </w:r>
          </w:p>
        </w:tc>
        <w:tc>
          <w:tcPr>
            <w:tcW w:w="2201" w:type="dxa"/>
            <w:shd w:val="clear" w:color="auto" w:fill="FFFFFF"/>
            <w:hideMark/>
          </w:tcPr>
          <w:p w14:paraId="692857F1" w14:textId="77777777" w:rsidR="000E0639" w:rsidRPr="001F5558" w:rsidRDefault="000E0639" w:rsidP="00B742D3">
            <w:pPr>
              <w:spacing w:after="0" w:line="240" w:lineRule="auto"/>
              <w:rPr>
                <w:rFonts w:ascii="Arial" w:hAnsi="Arial" w:cs="Arial"/>
                <w:sz w:val="20"/>
                <w:szCs w:val="20"/>
                <w:lang w:val="en-IN"/>
              </w:rPr>
            </w:pPr>
            <w:r w:rsidRPr="001F5558">
              <w:rPr>
                <w:rFonts w:ascii="Arial" w:hAnsi="Arial" w:cs="Arial"/>
                <w:sz w:val="20"/>
                <w:szCs w:val="20"/>
                <w:lang w:val="en-IN"/>
              </w:rPr>
              <w:t>May be less effective when eGFR is &lt;30 ml/min/1.73 m</w:t>
            </w:r>
            <w:r w:rsidRPr="001F5558">
              <w:rPr>
                <w:rFonts w:ascii="Arial" w:hAnsi="Arial" w:cs="Arial"/>
                <w:sz w:val="20"/>
                <w:szCs w:val="20"/>
                <w:vertAlign w:val="superscript"/>
                <w:lang w:val="en-IN"/>
              </w:rPr>
              <w:t>2</w:t>
            </w:r>
            <w:r w:rsidRPr="001F5558">
              <w:rPr>
                <w:rFonts w:ascii="Arial" w:hAnsi="Arial" w:cs="Arial"/>
                <w:sz w:val="20"/>
                <w:szCs w:val="20"/>
                <w:lang w:val="en-IN"/>
              </w:rPr>
              <w:t xml:space="preserve"> although some studies have shown these agents remain effective even with low eGFR</w:t>
            </w:r>
          </w:p>
        </w:tc>
      </w:tr>
      <w:tr w:rsidR="000E0639" w:rsidRPr="001F5558" w14:paraId="58332F4F" w14:textId="77777777" w:rsidTr="000A0A9A">
        <w:trPr>
          <w:trHeight w:val="283"/>
          <w:tblCellSpacing w:w="0" w:type="dxa"/>
        </w:trPr>
        <w:tc>
          <w:tcPr>
            <w:tcW w:w="1985" w:type="dxa"/>
            <w:shd w:val="clear" w:color="auto" w:fill="FFFFFF"/>
            <w:hideMark/>
          </w:tcPr>
          <w:p w14:paraId="06E3650D" w14:textId="77777777" w:rsidR="000E0639" w:rsidRPr="001F5558" w:rsidRDefault="000E0639" w:rsidP="00B742D3">
            <w:pPr>
              <w:spacing w:after="0" w:line="240" w:lineRule="auto"/>
              <w:rPr>
                <w:rFonts w:ascii="Arial" w:hAnsi="Arial" w:cs="Arial"/>
                <w:b/>
                <w:bCs/>
                <w:sz w:val="20"/>
                <w:szCs w:val="20"/>
                <w:lang w:val="en-IN"/>
              </w:rPr>
            </w:pPr>
            <w:r w:rsidRPr="001F5558">
              <w:rPr>
                <w:rFonts w:ascii="Arial" w:hAnsi="Arial" w:cs="Arial"/>
                <w:b/>
                <w:bCs/>
                <w:sz w:val="20"/>
                <w:szCs w:val="20"/>
                <w:lang w:val="en-IN"/>
              </w:rPr>
              <w:t xml:space="preserve">Loop </w:t>
            </w:r>
          </w:p>
          <w:p w14:paraId="5CA84A4F" w14:textId="77777777" w:rsidR="000E0639" w:rsidRPr="001F5558" w:rsidRDefault="000E0639" w:rsidP="00B742D3">
            <w:pPr>
              <w:spacing w:after="0" w:line="240" w:lineRule="auto"/>
              <w:rPr>
                <w:rFonts w:ascii="Arial" w:hAnsi="Arial" w:cs="Arial"/>
                <w:sz w:val="20"/>
                <w:szCs w:val="20"/>
                <w:lang w:val="en-IN"/>
              </w:rPr>
            </w:pPr>
            <w:r w:rsidRPr="001F5558">
              <w:rPr>
                <w:rFonts w:ascii="Arial" w:hAnsi="Arial" w:cs="Arial"/>
                <w:sz w:val="20"/>
                <w:szCs w:val="20"/>
                <w:lang w:val="en-IN"/>
              </w:rPr>
              <w:t>(furosemide, bumetanide, torsemide)</w:t>
            </w:r>
          </w:p>
        </w:tc>
        <w:tc>
          <w:tcPr>
            <w:tcW w:w="1689" w:type="dxa"/>
            <w:shd w:val="clear" w:color="auto" w:fill="FFFFFF"/>
            <w:hideMark/>
          </w:tcPr>
          <w:p w14:paraId="3F37A772" w14:textId="77777777" w:rsidR="000E0639" w:rsidRPr="001F5558" w:rsidRDefault="000E0639" w:rsidP="00B742D3">
            <w:pPr>
              <w:spacing w:after="0" w:line="240" w:lineRule="auto"/>
              <w:rPr>
                <w:rFonts w:ascii="Arial" w:hAnsi="Arial" w:cs="Arial"/>
                <w:sz w:val="20"/>
                <w:szCs w:val="20"/>
                <w:lang w:val="en-IN"/>
              </w:rPr>
            </w:pPr>
            <w:r w:rsidRPr="001F5558">
              <w:rPr>
                <w:rFonts w:ascii="Arial" w:hAnsi="Arial" w:cs="Arial"/>
                <w:sz w:val="20"/>
                <w:szCs w:val="20"/>
                <w:lang w:val="en-IN"/>
              </w:rPr>
              <w:t>Fluid overload</w:t>
            </w:r>
          </w:p>
        </w:tc>
        <w:tc>
          <w:tcPr>
            <w:tcW w:w="1618" w:type="dxa"/>
            <w:shd w:val="clear" w:color="auto" w:fill="FFFFFF"/>
            <w:hideMark/>
          </w:tcPr>
          <w:p w14:paraId="551F85B9" w14:textId="77777777" w:rsidR="000E0639" w:rsidRPr="001F5558" w:rsidRDefault="000E0639" w:rsidP="00B742D3">
            <w:pPr>
              <w:spacing w:after="0" w:line="240" w:lineRule="auto"/>
              <w:rPr>
                <w:rFonts w:ascii="Arial" w:hAnsi="Arial" w:cs="Arial"/>
                <w:sz w:val="20"/>
                <w:szCs w:val="20"/>
                <w:lang w:val="en-IN"/>
              </w:rPr>
            </w:pPr>
            <w:r w:rsidRPr="001F5558">
              <w:rPr>
                <w:rFonts w:ascii="Arial" w:hAnsi="Arial" w:cs="Arial"/>
                <w:sz w:val="20"/>
                <w:szCs w:val="20"/>
                <w:lang w:val="en-IN"/>
              </w:rPr>
              <w:t xml:space="preserve">Hearing loss; </w:t>
            </w:r>
            <w:proofErr w:type="spellStart"/>
            <w:r w:rsidRPr="001F5558">
              <w:rPr>
                <w:rFonts w:ascii="Arial" w:hAnsi="Arial" w:cs="Arial"/>
                <w:sz w:val="20"/>
                <w:szCs w:val="20"/>
                <w:lang w:val="en-IN"/>
              </w:rPr>
              <w:t>hypokalemia</w:t>
            </w:r>
            <w:proofErr w:type="spellEnd"/>
            <w:r w:rsidRPr="001F5558">
              <w:rPr>
                <w:rFonts w:ascii="Arial" w:hAnsi="Arial" w:cs="Arial"/>
                <w:sz w:val="20"/>
                <w:szCs w:val="20"/>
                <w:lang w:val="en-IN"/>
              </w:rPr>
              <w:t xml:space="preserve">; </w:t>
            </w:r>
            <w:proofErr w:type="spellStart"/>
            <w:r w:rsidRPr="001F5558">
              <w:rPr>
                <w:rFonts w:ascii="Arial" w:hAnsi="Arial" w:cs="Arial"/>
                <w:sz w:val="20"/>
                <w:szCs w:val="20"/>
                <w:lang w:val="en-IN"/>
              </w:rPr>
              <w:t>hypocalcemia</w:t>
            </w:r>
            <w:proofErr w:type="spellEnd"/>
            <w:r w:rsidRPr="001F5558">
              <w:rPr>
                <w:rFonts w:ascii="Arial" w:hAnsi="Arial" w:cs="Arial"/>
                <w:sz w:val="20"/>
                <w:szCs w:val="20"/>
                <w:lang w:val="en-IN"/>
              </w:rPr>
              <w:t>; hyponatremia</w:t>
            </w:r>
          </w:p>
        </w:tc>
        <w:tc>
          <w:tcPr>
            <w:tcW w:w="1913" w:type="dxa"/>
            <w:shd w:val="clear" w:color="auto" w:fill="FFFFFF"/>
            <w:hideMark/>
          </w:tcPr>
          <w:p w14:paraId="3559E4B9" w14:textId="77777777" w:rsidR="000E0639" w:rsidRPr="001F5558" w:rsidRDefault="000E0639" w:rsidP="00B742D3">
            <w:pPr>
              <w:spacing w:after="0" w:line="240" w:lineRule="auto"/>
              <w:rPr>
                <w:rFonts w:ascii="Arial" w:hAnsi="Arial" w:cs="Arial"/>
                <w:sz w:val="20"/>
                <w:szCs w:val="20"/>
                <w:lang w:val="en-IN"/>
              </w:rPr>
            </w:pPr>
            <w:r w:rsidRPr="001F5558">
              <w:rPr>
                <w:rFonts w:ascii="Arial" w:hAnsi="Arial" w:cs="Arial"/>
                <w:sz w:val="20"/>
                <w:szCs w:val="20"/>
                <w:lang w:val="en-IN"/>
              </w:rPr>
              <w:t xml:space="preserve">Gout; </w:t>
            </w:r>
            <w:proofErr w:type="spellStart"/>
            <w:r w:rsidRPr="001F5558">
              <w:rPr>
                <w:rFonts w:ascii="Arial" w:hAnsi="Arial" w:cs="Arial"/>
                <w:sz w:val="20"/>
                <w:szCs w:val="20"/>
                <w:lang w:val="en-IN"/>
              </w:rPr>
              <w:t>sulfonamide</w:t>
            </w:r>
            <w:proofErr w:type="spellEnd"/>
            <w:r w:rsidRPr="001F5558">
              <w:rPr>
                <w:rFonts w:ascii="Arial" w:hAnsi="Arial" w:cs="Arial"/>
                <w:sz w:val="20"/>
                <w:szCs w:val="20"/>
                <w:lang w:val="en-IN"/>
              </w:rPr>
              <w:t>-related hypersensitivity</w:t>
            </w:r>
          </w:p>
        </w:tc>
        <w:tc>
          <w:tcPr>
            <w:tcW w:w="2201" w:type="dxa"/>
            <w:shd w:val="clear" w:color="auto" w:fill="FFFFFF"/>
            <w:hideMark/>
          </w:tcPr>
          <w:p w14:paraId="54A850DE" w14:textId="77777777" w:rsidR="000E0639" w:rsidRPr="001F5558" w:rsidRDefault="000E0639" w:rsidP="00B742D3">
            <w:pPr>
              <w:spacing w:after="0" w:line="240" w:lineRule="auto"/>
              <w:rPr>
                <w:rFonts w:ascii="Arial" w:hAnsi="Arial" w:cs="Arial"/>
                <w:sz w:val="20"/>
                <w:szCs w:val="20"/>
                <w:lang w:val="en-IN"/>
              </w:rPr>
            </w:pPr>
            <w:r w:rsidRPr="001F5558">
              <w:rPr>
                <w:rFonts w:ascii="Arial" w:hAnsi="Arial" w:cs="Arial"/>
                <w:sz w:val="20"/>
                <w:szCs w:val="20"/>
                <w:lang w:val="en-IN"/>
              </w:rPr>
              <w:t>Bumetanide and torsemide have better intestinal absorption than furosemide</w:t>
            </w:r>
          </w:p>
        </w:tc>
      </w:tr>
      <w:tr w:rsidR="000E0639" w:rsidRPr="001F5558" w14:paraId="5EA7FED0" w14:textId="77777777" w:rsidTr="000A0A9A">
        <w:trPr>
          <w:trHeight w:val="766"/>
          <w:tblCellSpacing w:w="0" w:type="dxa"/>
        </w:trPr>
        <w:tc>
          <w:tcPr>
            <w:tcW w:w="1985" w:type="dxa"/>
            <w:tcBorders>
              <w:top w:val="nil"/>
              <w:bottom w:val="single" w:sz="8" w:space="0" w:color="auto"/>
            </w:tcBorders>
            <w:shd w:val="clear" w:color="auto" w:fill="FFFFFF"/>
            <w:hideMark/>
          </w:tcPr>
          <w:p w14:paraId="3EAAE1A9" w14:textId="77777777" w:rsidR="000E0639" w:rsidRPr="001F5558" w:rsidRDefault="000E0639" w:rsidP="00B742D3">
            <w:pPr>
              <w:spacing w:after="0" w:line="240" w:lineRule="auto"/>
              <w:rPr>
                <w:rFonts w:ascii="Arial" w:hAnsi="Arial" w:cs="Arial"/>
                <w:sz w:val="20"/>
                <w:szCs w:val="20"/>
                <w:lang w:val="en-IN"/>
              </w:rPr>
            </w:pPr>
            <w:r w:rsidRPr="001F5558">
              <w:rPr>
                <w:rFonts w:ascii="Arial" w:hAnsi="Arial" w:cs="Arial"/>
                <w:sz w:val="20"/>
                <w:szCs w:val="20"/>
                <w:lang w:val="en-IN"/>
              </w:rPr>
              <w:t xml:space="preserve">Potassium-sparing </w:t>
            </w:r>
          </w:p>
          <w:p w14:paraId="3C9FE2D1" w14:textId="77777777" w:rsidR="000E0639" w:rsidRPr="001F5558" w:rsidRDefault="000E0639" w:rsidP="00B742D3">
            <w:pPr>
              <w:spacing w:after="0" w:line="240" w:lineRule="auto"/>
              <w:rPr>
                <w:rFonts w:ascii="Arial" w:hAnsi="Arial" w:cs="Arial"/>
                <w:sz w:val="20"/>
                <w:szCs w:val="20"/>
                <w:lang w:val="en-IN"/>
              </w:rPr>
            </w:pPr>
            <w:r w:rsidRPr="001F5558">
              <w:rPr>
                <w:rFonts w:ascii="Arial" w:hAnsi="Arial" w:cs="Arial"/>
                <w:sz w:val="20"/>
                <w:szCs w:val="20"/>
                <w:lang w:val="en-IN"/>
              </w:rPr>
              <w:t>(triamterene, amiloride)</w:t>
            </w:r>
          </w:p>
        </w:tc>
        <w:tc>
          <w:tcPr>
            <w:tcW w:w="1689" w:type="dxa"/>
            <w:tcBorders>
              <w:top w:val="nil"/>
              <w:bottom w:val="single" w:sz="8" w:space="0" w:color="auto"/>
            </w:tcBorders>
            <w:shd w:val="clear" w:color="auto" w:fill="FFFFFF"/>
            <w:hideMark/>
          </w:tcPr>
          <w:p w14:paraId="5CCD3E45" w14:textId="77777777" w:rsidR="000E0639" w:rsidRPr="001F5558" w:rsidRDefault="000E0639" w:rsidP="00B742D3">
            <w:pPr>
              <w:spacing w:after="0" w:line="240" w:lineRule="auto"/>
              <w:rPr>
                <w:rFonts w:ascii="Arial" w:hAnsi="Arial" w:cs="Arial"/>
                <w:sz w:val="20"/>
                <w:szCs w:val="20"/>
                <w:lang w:val="en-IN"/>
              </w:rPr>
            </w:pPr>
            <w:r w:rsidRPr="001F5558">
              <w:rPr>
                <w:rFonts w:ascii="Arial" w:hAnsi="Arial" w:cs="Arial"/>
                <w:sz w:val="20"/>
                <w:szCs w:val="20"/>
                <w:lang w:val="en-IN"/>
              </w:rPr>
              <w:t xml:space="preserve">Fluid overload; </w:t>
            </w:r>
            <w:proofErr w:type="spellStart"/>
            <w:r w:rsidRPr="001F5558">
              <w:rPr>
                <w:rFonts w:ascii="Arial" w:hAnsi="Arial" w:cs="Arial"/>
                <w:sz w:val="20"/>
                <w:szCs w:val="20"/>
                <w:lang w:val="en-IN"/>
              </w:rPr>
              <w:t>hypokalemia</w:t>
            </w:r>
            <w:proofErr w:type="spellEnd"/>
          </w:p>
        </w:tc>
        <w:tc>
          <w:tcPr>
            <w:tcW w:w="1618" w:type="dxa"/>
            <w:tcBorders>
              <w:top w:val="nil"/>
              <w:bottom w:val="single" w:sz="8" w:space="0" w:color="auto"/>
            </w:tcBorders>
            <w:shd w:val="clear" w:color="auto" w:fill="FFFFFF"/>
            <w:hideMark/>
          </w:tcPr>
          <w:p w14:paraId="48DACECF" w14:textId="77777777" w:rsidR="000E0639" w:rsidRPr="001F5558" w:rsidRDefault="000E0639" w:rsidP="00B742D3">
            <w:pPr>
              <w:spacing w:after="0" w:line="240" w:lineRule="auto"/>
              <w:rPr>
                <w:rFonts w:ascii="Arial" w:hAnsi="Arial" w:cs="Arial"/>
                <w:sz w:val="20"/>
                <w:szCs w:val="20"/>
                <w:lang w:val="en-IN"/>
              </w:rPr>
            </w:pPr>
            <w:proofErr w:type="spellStart"/>
            <w:r w:rsidRPr="001F5558">
              <w:rPr>
                <w:rFonts w:ascii="Arial" w:hAnsi="Arial" w:cs="Arial"/>
                <w:sz w:val="20"/>
                <w:szCs w:val="20"/>
                <w:lang w:val="en-IN"/>
              </w:rPr>
              <w:t>Hyperkalemia</w:t>
            </w:r>
            <w:proofErr w:type="spellEnd"/>
            <w:r w:rsidRPr="001F5558">
              <w:rPr>
                <w:rFonts w:ascii="Arial" w:hAnsi="Arial" w:cs="Arial"/>
                <w:sz w:val="20"/>
                <w:szCs w:val="20"/>
                <w:lang w:val="en-IN"/>
              </w:rPr>
              <w:t>; metabolic acidosis</w:t>
            </w:r>
          </w:p>
        </w:tc>
        <w:tc>
          <w:tcPr>
            <w:tcW w:w="1913" w:type="dxa"/>
            <w:tcBorders>
              <w:top w:val="nil"/>
              <w:bottom w:val="single" w:sz="8" w:space="0" w:color="auto"/>
            </w:tcBorders>
            <w:shd w:val="clear" w:color="auto" w:fill="FFFFFF"/>
            <w:hideMark/>
          </w:tcPr>
          <w:p w14:paraId="0D3CAAB4" w14:textId="77777777" w:rsidR="000E0639" w:rsidRPr="001F5558" w:rsidRDefault="000E0639" w:rsidP="00B742D3">
            <w:pPr>
              <w:spacing w:after="0" w:line="240" w:lineRule="auto"/>
              <w:rPr>
                <w:rFonts w:ascii="Arial" w:hAnsi="Arial" w:cs="Arial"/>
                <w:sz w:val="20"/>
                <w:szCs w:val="20"/>
                <w:lang w:val="en-IN"/>
              </w:rPr>
            </w:pPr>
            <w:r w:rsidRPr="001F5558">
              <w:rPr>
                <w:rFonts w:ascii="Arial" w:hAnsi="Arial" w:cs="Arial"/>
                <w:sz w:val="20"/>
                <w:szCs w:val="20"/>
                <w:lang w:val="en-IN"/>
              </w:rPr>
              <w:t>Pregnancy</w:t>
            </w:r>
          </w:p>
        </w:tc>
        <w:tc>
          <w:tcPr>
            <w:tcW w:w="2201" w:type="dxa"/>
            <w:tcBorders>
              <w:top w:val="nil"/>
              <w:bottom w:val="single" w:sz="8" w:space="0" w:color="auto"/>
            </w:tcBorders>
            <w:shd w:val="clear" w:color="auto" w:fill="FFFFFF"/>
            <w:hideMark/>
          </w:tcPr>
          <w:p w14:paraId="6B6D6426" w14:textId="77777777" w:rsidR="000E0639" w:rsidRPr="001F5558" w:rsidRDefault="000E0639" w:rsidP="00B742D3">
            <w:pPr>
              <w:spacing w:after="0" w:line="240" w:lineRule="auto"/>
              <w:rPr>
                <w:rFonts w:ascii="Arial" w:hAnsi="Arial" w:cs="Arial"/>
                <w:sz w:val="20"/>
                <w:szCs w:val="20"/>
                <w:lang w:val="en-IN"/>
              </w:rPr>
            </w:pPr>
          </w:p>
        </w:tc>
      </w:tr>
      <w:tr w:rsidR="000E0639" w:rsidRPr="001F5558" w14:paraId="4D5E1300" w14:textId="77777777" w:rsidTr="000A0A9A">
        <w:trPr>
          <w:trHeight w:val="283"/>
          <w:tblCellSpacing w:w="0" w:type="dxa"/>
        </w:trPr>
        <w:tc>
          <w:tcPr>
            <w:tcW w:w="1985" w:type="dxa"/>
            <w:tcBorders>
              <w:top w:val="nil"/>
              <w:bottom w:val="single" w:sz="8" w:space="0" w:color="auto"/>
            </w:tcBorders>
            <w:shd w:val="clear" w:color="auto" w:fill="FFFFFF"/>
            <w:vAlign w:val="center"/>
          </w:tcPr>
          <w:p w14:paraId="6DE758E3" w14:textId="62AFECF8" w:rsidR="000E0639" w:rsidRPr="001F5558" w:rsidRDefault="000E0639" w:rsidP="00040AFC">
            <w:pPr>
              <w:spacing w:after="0" w:line="240" w:lineRule="auto"/>
              <w:rPr>
                <w:rFonts w:ascii="Arial" w:hAnsi="Arial" w:cs="Arial"/>
                <w:b/>
                <w:bCs/>
                <w:sz w:val="20"/>
                <w:szCs w:val="20"/>
                <w:lang w:val="en-IN"/>
              </w:rPr>
            </w:pPr>
            <w:r w:rsidRPr="001F5558">
              <w:rPr>
                <w:rFonts w:ascii="Arial" w:hAnsi="Arial" w:cs="Arial"/>
                <w:b/>
                <w:bCs/>
                <w:sz w:val="20"/>
                <w:szCs w:val="20"/>
                <w:lang w:val="en-IN"/>
              </w:rPr>
              <w:t xml:space="preserve">RAAS </w:t>
            </w:r>
            <w:r w:rsidR="001F5E16" w:rsidRPr="001F5558">
              <w:rPr>
                <w:rFonts w:ascii="Arial" w:hAnsi="Arial" w:cs="Arial"/>
                <w:b/>
                <w:bCs/>
                <w:sz w:val="20"/>
                <w:szCs w:val="20"/>
                <w:lang w:val="en-IN"/>
              </w:rPr>
              <w:t>inhibitors</w:t>
            </w:r>
          </w:p>
        </w:tc>
        <w:tc>
          <w:tcPr>
            <w:tcW w:w="1689" w:type="dxa"/>
            <w:shd w:val="clear" w:color="auto" w:fill="FFFFFF"/>
          </w:tcPr>
          <w:p w14:paraId="5F49E8CF" w14:textId="77777777" w:rsidR="000E0639" w:rsidRPr="001F5558" w:rsidRDefault="000E0639" w:rsidP="00B742D3">
            <w:pPr>
              <w:spacing w:after="0" w:line="240" w:lineRule="auto"/>
              <w:rPr>
                <w:rFonts w:ascii="Arial" w:hAnsi="Arial" w:cs="Arial"/>
                <w:sz w:val="20"/>
                <w:szCs w:val="20"/>
                <w:lang w:val="en-IN"/>
              </w:rPr>
            </w:pPr>
          </w:p>
        </w:tc>
        <w:tc>
          <w:tcPr>
            <w:tcW w:w="1618" w:type="dxa"/>
            <w:shd w:val="clear" w:color="auto" w:fill="FFFFFF"/>
          </w:tcPr>
          <w:p w14:paraId="31754037" w14:textId="77777777" w:rsidR="000E0639" w:rsidRPr="001F5558" w:rsidRDefault="000E0639" w:rsidP="00B742D3">
            <w:pPr>
              <w:spacing w:after="0" w:line="240" w:lineRule="auto"/>
              <w:rPr>
                <w:rFonts w:ascii="Arial" w:hAnsi="Arial" w:cs="Arial"/>
                <w:sz w:val="20"/>
                <w:szCs w:val="20"/>
                <w:lang w:val="en-IN"/>
              </w:rPr>
            </w:pPr>
          </w:p>
        </w:tc>
        <w:tc>
          <w:tcPr>
            <w:tcW w:w="1913" w:type="dxa"/>
            <w:shd w:val="clear" w:color="auto" w:fill="FFFFFF"/>
          </w:tcPr>
          <w:p w14:paraId="7A2D50D9" w14:textId="77777777" w:rsidR="000E0639" w:rsidRPr="001F5558" w:rsidRDefault="000E0639" w:rsidP="00B742D3">
            <w:pPr>
              <w:spacing w:after="0" w:line="240" w:lineRule="auto"/>
              <w:rPr>
                <w:rFonts w:ascii="Arial" w:hAnsi="Arial" w:cs="Arial"/>
                <w:sz w:val="20"/>
                <w:szCs w:val="20"/>
                <w:lang w:val="en-IN"/>
              </w:rPr>
            </w:pPr>
          </w:p>
        </w:tc>
        <w:tc>
          <w:tcPr>
            <w:tcW w:w="2201" w:type="dxa"/>
            <w:shd w:val="clear" w:color="auto" w:fill="FFFFFF"/>
          </w:tcPr>
          <w:p w14:paraId="378390FD" w14:textId="77777777" w:rsidR="000E0639" w:rsidRPr="001F5558" w:rsidRDefault="000E0639" w:rsidP="00B742D3">
            <w:pPr>
              <w:spacing w:after="0" w:line="240" w:lineRule="auto"/>
              <w:rPr>
                <w:rFonts w:ascii="Arial" w:hAnsi="Arial" w:cs="Arial"/>
                <w:sz w:val="20"/>
                <w:szCs w:val="20"/>
                <w:lang w:val="en-IN"/>
              </w:rPr>
            </w:pPr>
          </w:p>
        </w:tc>
      </w:tr>
      <w:tr w:rsidR="000E0639" w:rsidRPr="001F5558" w14:paraId="5A69B4D0" w14:textId="77777777" w:rsidTr="000A0A9A">
        <w:trPr>
          <w:trHeight w:val="283"/>
          <w:tblCellSpacing w:w="0" w:type="dxa"/>
        </w:trPr>
        <w:tc>
          <w:tcPr>
            <w:tcW w:w="1985" w:type="dxa"/>
            <w:shd w:val="clear" w:color="auto" w:fill="FFFFFF"/>
            <w:hideMark/>
          </w:tcPr>
          <w:p w14:paraId="2D0BBFB7" w14:textId="77777777" w:rsidR="000E0639" w:rsidRPr="001F5558" w:rsidRDefault="000E0639" w:rsidP="00B742D3">
            <w:pPr>
              <w:spacing w:after="0" w:line="240" w:lineRule="auto"/>
              <w:rPr>
                <w:rFonts w:ascii="Arial" w:hAnsi="Arial" w:cs="Arial"/>
                <w:b/>
                <w:bCs/>
                <w:sz w:val="20"/>
                <w:szCs w:val="20"/>
                <w:lang w:val="en-IN"/>
              </w:rPr>
            </w:pPr>
            <w:r w:rsidRPr="001F5558">
              <w:rPr>
                <w:rFonts w:ascii="Arial" w:hAnsi="Arial" w:cs="Arial"/>
                <w:b/>
                <w:bCs/>
                <w:sz w:val="20"/>
                <w:szCs w:val="20"/>
                <w:lang w:val="en-IN"/>
              </w:rPr>
              <w:t xml:space="preserve">ACEIs </w:t>
            </w:r>
          </w:p>
          <w:p w14:paraId="36C6ABB8" w14:textId="77777777" w:rsidR="000E0639" w:rsidRPr="001F5558" w:rsidRDefault="000E0639" w:rsidP="00B742D3">
            <w:pPr>
              <w:spacing w:after="0" w:line="240" w:lineRule="auto"/>
              <w:rPr>
                <w:rFonts w:ascii="Arial" w:hAnsi="Arial" w:cs="Arial"/>
                <w:sz w:val="20"/>
                <w:szCs w:val="20"/>
                <w:lang w:val="en-IN"/>
              </w:rPr>
            </w:pPr>
            <w:r w:rsidRPr="001F5558">
              <w:rPr>
                <w:rFonts w:ascii="Arial" w:hAnsi="Arial" w:cs="Arial"/>
                <w:sz w:val="20"/>
                <w:szCs w:val="20"/>
                <w:lang w:val="en-IN"/>
              </w:rPr>
              <w:t>(first-line agents if proteinuria)</w:t>
            </w:r>
          </w:p>
        </w:tc>
        <w:tc>
          <w:tcPr>
            <w:tcW w:w="1689" w:type="dxa"/>
            <w:shd w:val="clear" w:color="auto" w:fill="FFFFFF"/>
            <w:hideMark/>
          </w:tcPr>
          <w:p w14:paraId="7EB67C52" w14:textId="77777777" w:rsidR="000E0639" w:rsidRPr="001F5558" w:rsidRDefault="000E0639" w:rsidP="00B742D3">
            <w:pPr>
              <w:spacing w:after="0" w:line="240" w:lineRule="auto"/>
              <w:rPr>
                <w:rFonts w:ascii="Arial" w:hAnsi="Arial" w:cs="Arial"/>
                <w:sz w:val="20"/>
                <w:szCs w:val="20"/>
                <w:lang w:val="en-IN"/>
              </w:rPr>
            </w:pPr>
            <w:r w:rsidRPr="001F5558">
              <w:rPr>
                <w:rFonts w:ascii="Arial" w:hAnsi="Arial" w:cs="Arial"/>
                <w:sz w:val="20"/>
                <w:szCs w:val="20"/>
                <w:lang w:val="en-IN"/>
              </w:rPr>
              <w:t>Proteinuria reduction; delays progression of CKD</w:t>
            </w:r>
          </w:p>
        </w:tc>
        <w:tc>
          <w:tcPr>
            <w:tcW w:w="1618" w:type="dxa"/>
            <w:shd w:val="clear" w:color="auto" w:fill="FFFFFF"/>
            <w:hideMark/>
          </w:tcPr>
          <w:p w14:paraId="39CC44C2" w14:textId="77777777" w:rsidR="000E0639" w:rsidRPr="001F5558" w:rsidRDefault="000E0639" w:rsidP="00B742D3">
            <w:pPr>
              <w:spacing w:after="0" w:line="240" w:lineRule="auto"/>
              <w:rPr>
                <w:rFonts w:ascii="Arial" w:hAnsi="Arial" w:cs="Arial"/>
                <w:sz w:val="20"/>
                <w:szCs w:val="20"/>
                <w:lang w:val="en-IN"/>
              </w:rPr>
            </w:pPr>
            <w:r w:rsidRPr="001F5558">
              <w:rPr>
                <w:rFonts w:ascii="Arial" w:hAnsi="Arial" w:cs="Arial"/>
                <w:sz w:val="20"/>
                <w:szCs w:val="20"/>
                <w:lang w:val="en-IN"/>
              </w:rPr>
              <w:t xml:space="preserve">Cough; angioedema; </w:t>
            </w:r>
            <w:proofErr w:type="spellStart"/>
            <w:r w:rsidRPr="001F5558">
              <w:rPr>
                <w:rFonts w:ascii="Arial" w:hAnsi="Arial" w:cs="Arial"/>
                <w:sz w:val="20"/>
                <w:szCs w:val="20"/>
                <w:lang w:val="en-IN"/>
              </w:rPr>
              <w:t>hyperkalemia</w:t>
            </w:r>
            <w:proofErr w:type="spellEnd"/>
            <w:r w:rsidRPr="001F5558">
              <w:rPr>
                <w:rFonts w:ascii="Arial" w:hAnsi="Arial" w:cs="Arial"/>
                <w:sz w:val="20"/>
                <w:szCs w:val="20"/>
                <w:lang w:val="en-IN"/>
              </w:rPr>
              <w:t xml:space="preserve">; leukopenia; </w:t>
            </w:r>
            <w:proofErr w:type="spellStart"/>
            <w:r w:rsidRPr="001F5558">
              <w:rPr>
                <w:rFonts w:ascii="Arial" w:hAnsi="Arial" w:cs="Arial"/>
                <w:sz w:val="20"/>
                <w:szCs w:val="20"/>
                <w:lang w:val="en-IN"/>
              </w:rPr>
              <w:t>anemia</w:t>
            </w:r>
            <w:proofErr w:type="spellEnd"/>
          </w:p>
        </w:tc>
        <w:tc>
          <w:tcPr>
            <w:tcW w:w="1913" w:type="dxa"/>
            <w:shd w:val="clear" w:color="auto" w:fill="FFFFFF"/>
            <w:hideMark/>
          </w:tcPr>
          <w:p w14:paraId="6C76A0C3" w14:textId="77777777" w:rsidR="000E0639" w:rsidRPr="001F5558" w:rsidRDefault="000E0639" w:rsidP="00B742D3">
            <w:pPr>
              <w:spacing w:after="0" w:line="240" w:lineRule="auto"/>
              <w:rPr>
                <w:rFonts w:ascii="Arial" w:hAnsi="Arial" w:cs="Arial"/>
                <w:sz w:val="20"/>
                <w:szCs w:val="20"/>
                <w:lang w:val="en-IN"/>
              </w:rPr>
            </w:pPr>
            <w:r w:rsidRPr="001F5558">
              <w:rPr>
                <w:rFonts w:ascii="Arial" w:hAnsi="Arial" w:cs="Arial"/>
                <w:sz w:val="20"/>
                <w:szCs w:val="20"/>
                <w:lang w:val="en-IN"/>
              </w:rPr>
              <w:t>Pregnancy; bilateral renal artery stenosis</w:t>
            </w:r>
          </w:p>
        </w:tc>
        <w:tc>
          <w:tcPr>
            <w:tcW w:w="2201" w:type="dxa"/>
            <w:shd w:val="clear" w:color="auto" w:fill="FFFFFF"/>
            <w:hideMark/>
          </w:tcPr>
          <w:p w14:paraId="1E025453" w14:textId="77777777" w:rsidR="000E0639" w:rsidRPr="001F5558" w:rsidRDefault="000E0639" w:rsidP="00B742D3">
            <w:pPr>
              <w:spacing w:after="0" w:line="240" w:lineRule="auto"/>
              <w:rPr>
                <w:rFonts w:ascii="Arial" w:hAnsi="Arial" w:cs="Arial"/>
                <w:sz w:val="20"/>
                <w:szCs w:val="20"/>
                <w:lang w:val="en-IN"/>
              </w:rPr>
            </w:pPr>
          </w:p>
        </w:tc>
      </w:tr>
      <w:tr w:rsidR="000E0639" w:rsidRPr="001F5558" w14:paraId="59405227" w14:textId="77777777" w:rsidTr="000A0A9A">
        <w:trPr>
          <w:trHeight w:val="1082"/>
          <w:tblCellSpacing w:w="0" w:type="dxa"/>
        </w:trPr>
        <w:tc>
          <w:tcPr>
            <w:tcW w:w="1985" w:type="dxa"/>
            <w:tcBorders>
              <w:top w:val="nil"/>
              <w:bottom w:val="single" w:sz="8" w:space="0" w:color="auto"/>
            </w:tcBorders>
            <w:shd w:val="clear" w:color="auto" w:fill="FFFFFF"/>
            <w:hideMark/>
          </w:tcPr>
          <w:p w14:paraId="244A8667" w14:textId="77777777" w:rsidR="000E0639" w:rsidRPr="001F5558" w:rsidRDefault="000E0639" w:rsidP="00B742D3">
            <w:pPr>
              <w:spacing w:after="0" w:line="240" w:lineRule="auto"/>
              <w:rPr>
                <w:rFonts w:ascii="Arial" w:hAnsi="Arial" w:cs="Arial"/>
                <w:sz w:val="20"/>
                <w:szCs w:val="20"/>
                <w:lang w:val="en-IN"/>
              </w:rPr>
            </w:pPr>
            <w:r w:rsidRPr="001F5558">
              <w:rPr>
                <w:rFonts w:ascii="Arial" w:hAnsi="Arial" w:cs="Arial"/>
                <w:b/>
                <w:bCs/>
                <w:sz w:val="20"/>
                <w:szCs w:val="20"/>
                <w:lang w:val="en-IN"/>
              </w:rPr>
              <w:t>ARBs</w:t>
            </w:r>
            <w:r w:rsidRPr="001F5558">
              <w:rPr>
                <w:rFonts w:ascii="Arial" w:hAnsi="Arial" w:cs="Arial"/>
                <w:sz w:val="20"/>
                <w:szCs w:val="20"/>
                <w:lang w:val="en-IN"/>
              </w:rPr>
              <w:br/>
              <w:t>(first-line agents if proteinuria)</w:t>
            </w:r>
          </w:p>
        </w:tc>
        <w:tc>
          <w:tcPr>
            <w:tcW w:w="1689" w:type="dxa"/>
            <w:tcBorders>
              <w:top w:val="nil"/>
              <w:bottom w:val="single" w:sz="8" w:space="0" w:color="auto"/>
            </w:tcBorders>
            <w:shd w:val="clear" w:color="auto" w:fill="FFFFFF"/>
            <w:hideMark/>
          </w:tcPr>
          <w:p w14:paraId="5A12D40A" w14:textId="77777777" w:rsidR="000E0639" w:rsidRPr="001F5558" w:rsidRDefault="000E0639" w:rsidP="00B742D3">
            <w:pPr>
              <w:spacing w:after="0" w:line="240" w:lineRule="auto"/>
              <w:rPr>
                <w:rFonts w:ascii="Arial" w:hAnsi="Arial" w:cs="Arial"/>
                <w:sz w:val="20"/>
                <w:szCs w:val="20"/>
                <w:lang w:val="en-IN"/>
              </w:rPr>
            </w:pPr>
            <w:r w:rsidRPr="001F5558">
              <w:rPr>
                <w:rFonts w:ascii="Arial" w:hAnsi="Arial" w:cs="Arial"/>
                <w:sz w:val="20"/>
                <w:szCs w:val="20"/>
                <w:lang w:val="en-IN"/>
              </w:rPr>
              <w:t>Proteinuria reduction; delays progression of CKD</w:t>
            </w:r>
          </w:p>
        </w:tc>
        <w:tc>
          <w:tcPr>
            <w:tcW w:w="1618" w:type="dxa"/>
            <w:tcBorders>
              <w:top w:val="nil"/>
              <w:bottom w:val="single" w:sz="8" w:space="0" w:color="auto"/>
            </w:tcBorders>
            <w:shd w:val="clear" w:color="auto" w:fill="FFFFFF"/>
            <w:hideMark/>
          </w:tcPr>
          <w:p w14:paraId="1F5D6D6F" w14:textId="0BD0A916" w:rsidR="000E0639" w:rsidRPr="001F5558" w:rsidRDefault="000E0639" w:rsidP="00B742D3">
            <w:pPr>
              <w:spacing w:after="0" w:line="240" w:lineRule="auto"/>
              <w:rPr>
                <w:rFonts w:ascii="Arial" w:hAnsi="Arial" w:cs="Arial"/>
                <w:sz w:val="20"/>
                <w:szCs w:val="20"/>
                <w:lang w:val="en-IN"/>
              </w:rPr>
            </w:pPr>
            <w:r w:rsidRPr="001F5558">
              <w:rPr>
                <w:rFonts w:ascii="Arial" w:hAnsi="Arial" w:cs="Arial"/>
                <w:sz w:val="20"/>
                <w:szCs w:val="20"/>
                <w:lang w:val="en-IN"/>
              </w:rPr>
              <w:t>Cough (less than with ACE</w:t>
            </w:r>
            <w:r w:rsidR="000C248B" w:rsidRPr="001F5558">
              <w:rPr>
                <w:rFonts w:ascii="Arial" w:hAnsi="Arial" w:cs="Arial"/>
                <w:sz w:val="20"/>
                <w:szCs w:val="20"/>
                <w:lang w:val="en-IN"/>
              </w:rPr>
              <w:t>I</w:t>
            </w:r>
            <w:r w:rsidRPr="001F5558">
              <w:rPr>
                <w:rFonts w:ascii="Arial" w:hAnsi="Arial" w:cs="Arial"/>
                <w:sz w:val="20"/>
                <w:szCs w:val="20"/>
                <w:lang w:val="en-IN"/>
              </w:rPr>
              <w:t xml:space="preserve">); angioedema; </w:t>
            </w:r>
            <w:proofErr w:type="spellStart"/>
            <w:r w:rsidRPr="001F5558">
              <w:rPr>
                <w:rFonts w:ascii="Arial" w:hAnsi="Arial" w:cs="Arial"/>
                <w:sz w:val="20"/>
                <w:szCs w:val="20"/>
                <w:lang w:val="en-IN"/>
              </w:rPr>
              <w:t>hyperkalemia</w:t>
            </w:r>
            <w:proofErr w:type="spellEnd"/>
          </w:p>
        </w:tc>
        <w:tc>
          <w:tcPr>
            <w:tcW w:w="1913" w:type="dxa"/>
            <w:tcBorders>
              <w:top w:val="nil"/>
              <w:bottom w:val="single" w:sz="8" w:space="0" w:color="auto"/>
            </w:tcBorders>
            <w:shd w:val="clear" w:color="auto" w:fill="FFFFFF"/>
            <w:hideMark/>
          </w:tcPr>
          <w:p w14:paraId="5E3C0115" w14:textId="77777777" w:rsidR="000E0639" w:rsidRPr="001F5558" w:rsidRDefault="000E0639" w:rsidP="00B742D3">
            <w:pPr>
              <w:spacing w:after="0" w:line="240" w:lineRule="auto"/>
              <w:rPr>
                <w:rFonts w:ascii="Arial" w:hAnsi="Arial" w:cs="Arial"/>
                <w:sz w:val="20"/>
                <w:szCs w:val="20"/>
                <w:lang w:val="en-IN"/>
              </w:rPr>
            </w:pPr>
            <w:r w:rsidRPr="001F5558">
              <w:rPr>
                <w:rFonts w:ascii="Arial" w:hAnsi="Arial" w:cs="Arial"/>
                <w:sz w:val="20"/>
                <w:szCs w:val="20"/>
                <w:lang w:val="en-IN"/>
              </w:rPr>
              <w:t>Pregnancy; bilateral renal artery stenosis</w:t>
            </w:r>
          </w:p>
        </w:tc>
        <w:tc>
          <w:tcPr>
            <w:tcW w:w="2201" w:type="dxa"/>
            <w:tcBorders>
              <w:top w:val="nil"/>
              <w:bottom w:val="single" w:sz="8" w:space="0" w:color="auto"/>
            </w:tcBorders>
            <w:shd w:val="clear" w:color="auto" w:fill="FFFFFF"/>
            <w:hideMark/>
          </w:tcPr>
          <w:p w14:paraId="3F026097" w14:textId="77777777" w:rsidR="000E0639" w:rsidRPr="001F5558" w:rsidRDefault="000E0639" w:rsidP="00B742D3">
            <w:pPr>
              <w:spacing w:after="0" w:line="240" w:lineRule="auto"/>
              <w:rPr>
                <w:rFonts w:ascii="Arial" w:hAnsi="Arial" w:cs="Arial"/>
                <w:sz w:val="20"/>
                <w:szCs w:val="20"/>
                <w:lang w:val="en-IN"/>
              </w:rPr>
            </w:pPr>
          </w:p>
        </w:tc>
      </w:tr>
      <w:tr w:rsidR="000E0639" w:rsidRPr="001F5558" w14:paraId="3098A5AC" w14:textId="77777777" w:rsidTr="000A0A9A">
        <w:trPr>
          <w:trHeight w:val="283"/>
          <w:tblCellSpacing w:w="0" w:type="dxa"/>
        </w:trPr>
        <w:tc>
          <w:tcPr>
            <w:tcW w:w="1985" w:type="dxa"/>
            <w:tcBorders>
              <w:top w:val="nil"/>
              <w:bottom w:val="single" w:sz="8" w:space="0" w:color="auto"/>
            </w:tcBorders>
            <w:shd w:val="clear" w:color="auto" w:fill="FFFFFF"/>
            <w:vAlign w:val="center"/>
          </w:tcPr>
          <w:p w14:paraId="139C7F15" w14:textId="77777777" w:rsidR="000E0639" w:rsidRPr="001F5558" w:rsidRDefault="000E0639" w:rsidP="000A0A9A">
            <w:pPr>
              <w:spacing w:after="0" w:line="240" w:lineRule="auto"/>
              <w:rPr>
                <w:rFonts w:ascii="Arial" w:hAnsi="Arial" w:cs="Arial"/>
                <w:b/>
                <w:bCs/>
                <w:sz w:val="20"/>
                <w:szCs w:val="20"/>
                <w:lang w:val="en-IN"/>
              </w:rPr>
            </w:pPr>
            <w:r w:rsidRPr="001F5558">
              <w:rPr>
                <w:rFonts w:ascii="Arial" w:hAnsi="Arial" w:cs="Arial"/>
                <w:b/>
                <w:bCs/>
                <w:sz w:val="20"/>
                <w:szCs w:val="20"/>
                <w:lang w:val="en-IN"/>
              </w:rPr>
              <w:t>Beta-blockers</w:t>
            </w:r>
          </w:p>
        </w:tc>
        <w:tc>
          <w:tcPr>
            <w:tcW w:w="1689" w:type="dxa"/>
            <w:shd w:val="clear" w:color="auto" w:fill="FFFFFF"/>
          </w:tcPr>
          <w:p w14:paraId="75C40518" w14:textId="77777777" w:rsidR="000E0639" w:rsidRPr="001F5558" w:rsidRDefault="000E0639" w:rsidP="00B742D3">
            <w:pPr>
              <w:spacing w:after="0" w:line="240" w:lineRule="auto"/>
              <w:rPr>
                <w:rFonts w:ascii="Arial" w:hAnsi="Arial" w:cs="Arial"/>
                <w:sz w:val="20"/>
                <w:szCs w:val="20"/>
                <w:lang w:val="en-IN"/>
              </w:rPr>
            </w:pPr>
          </w:p>
        </w:tc>
        <w:tc>
          <w:tcPr>
            <w:tcW w:w="1618" w:type="dxa"/>
            <w:shd w:val="clear" w:color="auto" w:fill="FFFFFF"/>
          </w:tcPr>
          <w:p w14:paraId="7C0459F5" w14:textId="77777777" w:rsidR="000E0639" w:rsidRPr="001F5558" w:rsidRDefault="000E0639" w:rsidP="00B742D3">
            <w:pPr>
              <w:spacing w:after="0" w:line="240" w:lineRule="auto"/>
              <w:rPr>
                <w:rFonts w:ascii="Arial" w:hAnsi="Arial" w:cs="Arial"/>
                <w:sz w:val="20"/>
                <w:szCs w:val="20"/>
                <w:lang w:val="en-IN"/>
              </w:rPr>
            </w:pPr>
          </w:p>
        </w:tc>
        <w:tc>
          <w:tcPr>
            <w:tcW w:w="1913" w:type="dxa"/>
            <w:shd w:val="clear" w:color="auto" w:fill="FFFFFF"/>
          </w:tcPr>
          <w:p w14:paraId="4DFC101A" w14:textId="77777777" w:rsidR="000E0639" w:rsidRPr="001F5558" w:rsidRDefault="000E0639" w:rsidP="00B742D3">
            <w:pPr>
              <w:spacing w:after="0" w:line="240" w:lineRule="auto"/>
              <w:rPr>
                <w:rFonts w:ascii="Arial" w:hAnsi="Arial" w:cs="Arial"/>
                <w:sz w:val="20"/>
                <w:szCs w:val="20"/>
                <w:lang w:val="en-IN"/>
              </w:rPr>
            </w:pPr>
          </w:p>
        </w:tc>
        <w:tc>
          <w:tcPr>
            <w:tcW w:w="2201" w:type="dxa"/>
            <w:shd w:val="clear" w:color="auto" w:fill="FFFFFF"/>
          </w:tcPr>
          <w:p w14:paraId="5A029846" w14:textId="77777777" w:rsidR="000E0639" w:rsidRPr="001F5558" w:rsidRDefault="000E0639" w:rsidP="00B742D3">
            <w:pPr>
              <w:spacing w:after="0" w:line="240" w:lineRule="auto"/>
              <w:rPr>
                <w:rFonts w:ascii="Arial" w:hAnsi="Arial" w:cs="Arial"/>
                <w:sz w:val="20"/>
                <w:szCs w:val="20"/>
                <w:lang w:val="en-IN"/>
              </w:rPr>
            </w:pPr>
          </w:p>
        </w:tc>
      </w:tr>
      <w:tr w:rsidR="000E0639" w:rsidRPr="001F5558" w14:paraId="0B36843F" w14:textId="77777777" w:rsidTr="000A0A9A">
        <w:trPr>
          <w:trHeight w:val="283"/>
          <w:tblCellSpacing w:w="0" w:type="dxa"/>
        </w:trPr>
        <w:tc>
          <w:tcPr>
            <w:tcW w:w="1985" w:type="dxa"/>
            <w:shd w:val="clear" w:color="auto" w:fill="FFFFFF"/>
            <w:hideMark/>
          </w:tcPr>
          <w:p w14:paraId="6B189511" w14:textId="77777777" w:rsidR="000E0639" w:rsidRPr="001F5558" w:rsidRDefault="000E0639" w:rsidP="00B742D3">
            <w:pPr>
              <w:spacing w:after="0" w:line="240" w:lineRule="auto"/>
              <w:rPr>
                <w:rFonts w:ascii="Arial" w:hAnsi="Arial" w:cs="Arial"/>
                <w:sz w:val="20"/>
                <w:szCs w:val="20"/>
                <w:lang w:val="en-IN"/>
              </w:rPr>
            </w:pPr>
            <w:r w:rsidRPr="001F5558">
              <w:rPr>
                <w:rFonts w:ascii="Arial" w:hAnsi="Arial" w:cs="Arial"/>
                <w:sz w:val="20"/>
                <w:szCs w:val="20"/>
                <w:lang w:val="en-IN"/>
              </w:rPr>
              <w:t>Selective (metoprolol, nebivolol)</w:t>
            </w:r>
          </w:p>
        </w:tc>
        <w:tc>
          <w:tcPr>
            <w:tcW w:w="1689" w:type="dxa"/>
            <w:shd w:val="clear" w:color="auto" w:fill="FFFFFF"/>
            <w:hideMark/>
          </w:tcPr>
          <w:p w14:paraId="291BA85C" w14:textId="77777777" w:rsidR="000E0639" w:rsidRPr="001F5558" w:rsidRDefault="000E0639" w:rsidP="00B742D3">
            <w:pPr>
              <w:spacing w:after="0" w:line="240" w:lineRule="auto"/>
              <w:rPr>
                <w:rFonts w:ascii="Arial" w:hAnsi="Arial" w:cs="Arial"/>
                <w:sz w:val="20"/>
                <w:szCs w:val="20"/>
                <w:lang w:val="en-IN"/>
              </w:rPr>
            </w:pPr>
          </w:p>
        </w:tc>
        <w:tc>
          <w:tcPr>
            <w:tcW w:w="1618" w:type="dxa"/>
            <w:shd w:val="clear" w:color="auto" w:fill="FFFFFF"/>
            <w:hideMark/>
          </w:tcPr>
          <w:p w14:paraId="25169C94" w14:textId="77777777" w:rsidR="000E0639" w:rsidRPr="001F5558" w:rsidRDefault="000E0639" w:rsidP="00B742D3">
            <w:pPr>
              <w:spacing w:after="0" w:line="240" w:lineRule="auto"/>
              <w:rPr>
                <w:rFonts w:ascii="Arial" w:hAnsi="Arial" w:cs="Arial"/>
                <w:sz w:val="20"/>
                <w:szCs w:val="20"/>
                <w:lang w:val="en-IN"/>
              </w:rPr>
            </w:pPr>
            <w:r w:rsidRPr="001F5558">
              <w:rPr>
                <w:rFonts w:ascii="Arial" w:hAnsi="Arial" w:cs="Arial"/>
                <w:sz w:val="20"/>
                <w:szCs w:val="20"/>
                <w:lang w:val="en-IN"/>
              </w:rPr>
              <w:t xml:space="preserve">Bradycardia; </w:t>
            </w:r>
            <w:proofErr w:type="spellStart"/>
            <w:r w:rsidRPr="001F5558">
              <w:rPr>
                <w:rFonts w:ascii="Arial" w:hAnsi="Arial" w:cs="Arial"/>
                <w:sz w:val="20"/>
                <w:szCs w:val="20"/>
                <w:lang w:val="en-IN"/>
              </w:rPr>
              <w:t>hyperkalemia</w:t>
            </w:r>
            <w:proofErr w:type="spellEnd"/>
            <w:r w:rsidRPr="001F5558">
              <w:rPr>
                <w:rFonts w:ascii="Arial" w:hAnsi="Arial" w:cs="Arial"/>
                <w:sz w:val="20"/>
                <w:szCs w:val="20"/>
                <w:lang w:val="en-IN"/>
              </w:rPr>
              <w:t>; fatigue; depression; sexual dysfunction</w:t>
            </w:r>
          </w:p>
        </w:tc>
        <w:tc>
          <w:tcPr>
            <w:tcW w:w="1913" w:type="dxa"/>
            <w:shd w:val="clear" w:color="auto" w:fill="FFFFFF"/>
            <w:hideMark/>
          </w:tcPr>
          <w:p w14:paraId="6F81945B" w14:textId="77777777" w:rsidR="000E0639" w:rsidRPr="001F5558" w:rsidRDefault="000E0639" w:rsidP="00B742D3">
            <w:pPr>
              <w:spacing w:after="0" w:line="240" w:lineRule="auto"/>
              <w:rPr>
                <w:rFonts w:ascii="Arial" w:hAnsi="Arial" w:cs="Arial"/>
                <w:sz w:val="20"/>
                <w:szCs w:val="20"/>
                <w:lang w:val="en-IN"/>
              </w:rPr>
            </w:pPr>
            <w:r w:rsidRPr="001F5558">
              <w:rPr>
                <w:rFonts w:ascii="Arial" w:hAnsi="Arial" w:cs="Arial"/>
                <w:sz w:val="20"/>
                <w:szCs w:val="20"/>
                <w:lang w:val="en-IN"/>
              </w:rPr>
              <w:t>Asthma; COPD; 2nd or 3rd degree heart block</w:t>
            </w:r>
          </w:p>
        </w:tc>
        <w:tc>
          <w:tcPr>
            <w:tcW w:w="2201" w:type="dxa"/>
            <w:shd w:val="clear" w:color="auto" w:fill="FFFFFF"/>
            <w:hideMark/>
          </w:tcPr>
          <w:p w14:paraId="592568E8" w14:textId="77777777" w:rsidR="000E0639" w:rsidRPr="001F5558" w:rsidRDefault="000E0639" w:rsidP="00B742D3">
            <w:pPr>
              <w:spacing w:after="0" w:line="240" w:lineRule="auto"/>
              <w:rPr>
                <w:rFonts w:ascii="Arial" w:hAnsi="Arial" w:cs="Arial"/>
                <w:sz w:val="20"/>
                <w:szCs w:val="20"/>
                <w:lang w:val="en-IN"/>
              </w:rPr>
            </w:pPr>
          </w:p>
        </w:tc>
      </w:tr>
      <w:tr w:rsidR="000E0639" w:rsidRPr="001F5558" w14:paraId="7FCCEF5C" w14:textId="77777777" w:rsidTr="000A0A9A">
        <w:trPr>
          <w:trHeight w:val="1432"/>
          <w:tblCellSpacing w:w="0" w:type="dxa"/>
        </w:trPr>
        <w:tc>
          <w:tcPr>
            <w:tcW w:w="1985" w:type="dxa"/>
            <w:tcBorders>
              <w:top w:val="nil"/>
              <w:bottom w:val="single" w:sz="8" w:space="0" w:color="auto"/>
            </w:tcBorders>
            <w:shd w:val="clear" w:color="auto" w:fill="FFFFFF"/>
            <w:hideMark/>
          </w:tcPr>
          <w:p w14:paraId="457C10F2" w14:textId="3609C49C" w:rsidR="000E0639" w:rsidRPr="001F5558" w:rsidRDefault="000E0639" w:rsidP="00B742D3">
            <w:pPr>
              <w:spacing w:after="0" w:line="240" w:lineRule="auto"/>
              <w:rPr>
                <w:rFonts w:ascii="Arial" w:hAnsi="Arial" w:cs="Arial"/>
                <w:sz w:val="20"/>
                <w:szCs w:val="20"/>
                <w:lang w:val="en-IN"/>
              </w:rPr>
            </w:pPr>
            <w:r w:rsidRPr="001F5558">
              <w:rPr>
                <w:rFonts w:ascii="Arial" w:hAnsi="Arial" w:cs="Arial"/>
                <w:sz w:val="20"/>
                <w:szCs w:val="20"/>
                <w:lang w:val="en-IN"/>
              </w:rPr>
              <w:t xml:space="preserve">Combined </w:t>
            </w:r>
            <w:r w:rsidR="0052292E" w:rsidRPr="001F5558">
              <w:rPr>
                <w:rFonts w:ascii="Arial" w:hAnsi="Arial" w:cs="Arial"/>
                <w:sz w:val="20"/>
                <w:szCs w:val="20"/>
                <w:lang w:val="en-IN"/>
              </w:rPr>
              <w:t xml:space="preserve">alpha &amp; beta </w:t>
            </w:r>
            <w:r w:rsidRPr="001F5558">
              <w:rPr>
                <w:rFonts w:ascii="Arial" w:hAnsi="Arial" w:cs="Arial"/>
                <w:sz w:val="20"/>
                <w:szCs w:val="20"/>
                <w:lang w:val="en-IN"/>
              </w:rPr>
              <w:t>(carvedilol, labetalol)</w:t>
            </w:r>
          </w:p>
        </w:tc>
        <w:tc>
          <w:tcPr>
            <w:tcW w:w="1689" w:type="dxa"/>
            <w:tcBorders>
              <w:top w:val="nil"/>
              <w:bottom w:val="single" w:sz="8" w:space="0" w:color="auto"/>
            </w:tcBorders>
            <w:shd w:val="clear" w:color="auto" w:fill="FFFFFF"/>
            <w:hideMark/>
          </w:tcPr>
          <w:p w14:paraId="43A2E643" w14:textId="77777777" w:rsidR="000E0639" w:rsidRPr="001F5558" w:rsidRDefault="000E0639" w:rsidP="00B742D3">
            <w:pPr>
              <w:spacing w:after="0" w:line="240" w:lineRule="auto"/>
              <w:rPr>
                <w:rFonts w:ascii="Arial" w:hAnsi="Arial" w:cs="Arial"/>
                <w:sz w:val="20"/>
                <w:szCs w:val="20"/>
                <w:lang w:val="en-IN"/>
              </w:rPr>
            </w:pPr>
          </w:p>
        </w:tc>
        <w:tc>
          <w:tcPr>
            <w:tcW w:w="1618" w:type="dxa"/>
            <w:tcBorders>
              <w:top w:val="nil"/>
              <w:bottom w:val="single" w:sz="8" w:space="0" w:color="auto"/>
            </w:tcBorders>
            <w:shd w:val="clear" w:color="auto" w:fill="FFFFFF"/>
            <w:hideMark/>
          </w:tcPr>
          <w:p w14:paraId="5B6863B7" w14:textId="77777777" w:rsidR="000E0639" w:rsidRPr="001F5558" w:rsidRDefault="000E0639" w:rsidP="00B742D3">
            <w:pPr>
              <w:spacing w:after="0" w:line="240" w:lineRule="auto"/>
              <w:rPr>
                <w:rFonts w:ascii="Arial" w:hAnsi="Arial" w:cs="Arial"/>
                <w:sz w:val="20"/>
                <w:szCs w:val="20"/>
                <w:lang w:val="en-IN"/>
              </w:rPr>
            </w:pPr>
            <w:r w:rsidRPr="001F5558">
              <w:rPr>
                <w:rFonts w:ascii="Arial" w:hAnsi="Arial" w:cs="Arial"/>
                <w:sz w:val="20"/>
                <w:szCs w:val="20"/>
                <w:lang w:val="en-IN"/>
              </w:rPr>
              <w:t xml:space="preserve">Bradycardia; </w:t>
            </w:r>
            <w:proofErr w:type="spellStart"/>
            <w:r w:rsidRPr="001F5558">
              <w:rPr>
                <w:rFonts w:ascii="Arial" w:hAnsi="Arial" w:cs="Arial"/>
                <w:sz w:val="20"/>
                <w:szCs w:val="20"/>
                <w:lang w:val="en-IN"/>
              </w:rPr>
              <w:t>hyperkalemia</w:t>
            </w:r>
            <w:proofErr w:type="spellEnd"/>
            <w:r w:rsidRPr="001F5558">
              <w:rPr>
                <w:rFonts w:ascii="Arial" w:hAnsi="Arial" w:cs="Arial"/>
                <w:sz w:val="20"/>
                <w:szCs w:val="20"/>
                <w:lang w:val="en-IN"/>
              </w:rPr>
              <w:t>; fatigue; depression; sexual dysfunction</w:t>
            </w:r>
          </w:p>
        </w:tc>
        <w:tc>
          <w:tcPr>
            <w:tcW w:w="1913" w:type="dxa"/>
            <w:tcBorders>
              <w:top w:val="nil"/>
              <w:bottom w:val="single" w:sz="8" w:space="0" w:color="auto"/>
            </w:tcBorders>
            <w:shd w:val="clear" w:color="auto" w:fill="FFFFFF"/>
            <w:hideMark/>
          </w:tcPr>
          <w:p w14:paraId="4EC65958" w14:textId="77777777" w:rsidR="000E0639" w:rsidRPr="001F5558" w:rsidRDefault="000E0639" w:rsidP="00B742D3">
            <w:pPr>
              <w:spacing w:after="0" w:line="240" w:lineRule="auto"/>
              <w:rPr>
                <w:rFonts w:ascii="Arial" w:hAnsi="Arial" w:cs="Arial"/>
                <w:sz w:val="20"/>
                <w:szCs w:val="20"/>
                <w:lang w:val="en-IN"/>
              </w:rPr>
            </w:pPr>
            <w:r w:rsidRPr="001F5558">
              <w:rPr>
                <w:rFonts w:ascii="Arial" w:hAnsi="Arial" w:cs="Arial"/>
                <w:sz w:val="20"/>
                <w:szCs w:val="20"/>
                <w:lang w:val="en-IN"/>
              </w:rPr>
              <w:t>2nd or 3rd degree heart block</w:t>
            </w:r>
          </w:p>
        </w:tc>
        <w:tc>
          <w:tcPr>
            <w:tcW w:w="2201" w:type="dxa"/>
            <w:tcBorders>
              <w:top w:val="nil"/>
              <w:bottom w:val="single" w:sz="8" w:space="0" w:color="auto"/>
            </w:tcBorders>
            <w:shd w:val="clear" w:color="auto" w:fill="FFFFFF"/>
            <w:hideMark/>
          </w:tcPr>
          <w:p w14:paraId="2A5E5418" w14:textId="1EE58F63" w:rsidR="000E0639" w:rsidRPr="001F5558" w:rsidRDefault="000E0639" w:rsidP="00B742D3">
            <w:pPr>
              <w:spacing w:after="0" w:line="240" w:lineRule="auto"/>
              <w:rPr>
                <w:rFonts w:ascii="Arial" w:hAnsi="Arial" w:cs="Arial"/>
                <w:sz w:val="20"/>
                <w:szCs w:val="20"/>
                <w:lang w:val="en-IN"/>
              </w:rPr>
            </w:pPr>
            <w:r w:rsidRPr="001F5558">
              <w:rPr>
                <w:rFonts w:ascii="Arial" w:hAnsi="Arial" w:cs="Arial"/>
                <w:sz w:val="20"/>
                <w:szCs w:val="20"/>
                <w:lang w:val="en-IN"/>
              </w:rPr>
              <w:t xml:space="preserve">May be better tolerated in lung disease than selective </w:t>
            </w:r>
            <w:r w:rsidR="00850F46" w:rsidRPr="001F5558">
              <w:rPr>
                <w:rFonts w:ascii="Arial" w:hAnsi="Arial" w:cs="Arial"/>
                <w:sz w:val="20"/>
                <w:szCs w:val="20"/>
                <w:lang w:val="en-IN"/>
              </w:rPr>
              <w:t>beta</w:t>
            </w:r>
            <w:r w:rsidRPr="001F5558">
              <w:rPr>
                <w:rFonts w:ascii="Arial" w:hAnsi="Arial" w:cs="Arial"/>
                <w:sz w:val="20"/>
                <w:szCs w:val="20"/>
                <w:lang w:val="en-IN"/>
              </w:rPr>
              <w:t>-blockers</w:t>
            </w:r>
          </w:p>
        </w:tc>
      </w:tr>
      <w:tr w:rsidR="000E0639" w:rsidRPr="001F5558" w14:paraId="243C3C53" w14:textId="77777777" w:rsidTr="000A0A9A">
        <w:trPr>
          <w:trHeight w:val="283"/>
          <w:tblCellSpacing w:w="0" w:type="dxa"/>
        </w:trPr>
        <w:tc>
          <w:tcPr>
            <w:tcW w:w="1985" w:type="dxa"/>
            <w:tcBorders>
              <w:top w:val="nil"/>
              <w:bottom w:val="single" w:sz="8" w:space="0" w:color="auto"/>
            </w:tcBorders>
            <w:shd w:val="clear" w:color="auto" w:fill="FFFFFF"/>
            <w:vAlign w:val="center"/>
          </w:tcPr>
          <w:p w14:paraId="7407AA09" w14:textId="77777777" w:rsidR="000E0639" w:rsidRPr="001F5558" w:rsidRDefault="000E0639" w:rsidP="000A0A9A">
            <w:pPr>
              <w:spacing w:after="0" w:line="240" w:lineRule="auto"/>
              <w:rPr>
                <w:rFonts w:ascii="Arial" w:hAnsi="Arial" w:cs="Arial"/>
                <w:b/>
                <w:bCs/>
                <w:sz w:val="20"/>
                <w:szCs w:val="20"/>
                <w:lang w:val="en-IN"/>
              </w:rPr>
            </w:pPr>
            <w:r w:rsidRPr="001F5558">
              <w:rPr>
                <w:rFonts w:ascii="Arial" w:hAnsi="Arial" w:cs="Arial"/>
                <w:b/>
                <w:bCs/>
                <w:sz w:val="20"/>
                <w:szCs w:val="20"/>
                <w:lang w:val="en-IN"/>
              </w:rPr>
              <w:t>Calcium channel blockers</w:t>
            </w:r>
          </w:p>
        </w:tc>
        <w:tc>
          <w:tcPr>
            <w:tcW w:w="1689" w:type="dxa"/>
            <w:shd w:val="clear" w:color="auto" w:fill="FFFFFF"/>
          </w:tcPr>
          <w:p w14:paraId="651300CC" w14:textId="77777777" w:rsidR="000E0639" w:rsidRPr="001F5558" w:rsidRDefault="000E0639" w:rsidP="00B742D3">
            <w:pPr>
              <w:spacing w:after="0" w:line="240" w:lineRule="auto"/>
              <w:rPr>
                <w:rFonts w:ascii="Arial" w:hAnsi="Arial" w:cs="Arial"/>
                <w:sz w:val="20"/>
                <w:szCs w:val="20"/>
                <w:lang w:val="en-IN"/>
              </w:rPr>
            </w:pPr>
          </w:p>
        </w:tc>
        <w:tc>
          <w:tcPr>
            <w:tcW w:w="1618" w:type="dxa"/>
            <w:shd w:val="clear" w:color="auto" w:fill="FFFFFF"/>
          </w:tcPr>
          <w:p w14:paraId="251270BF" w14:textId="77777777" w:rsidR="000E0639" w:rsidRPr="001F5558" w:rsidRDefault="000E0639" w:rsidP="00B742D3">
            <w:pPr>
              <w:spacing w:after="0" w:line="240" w:lineRule="auto"/>
              <w:rPr>
                <w:rFonts w:ascii="Arial" w:hAnsi="Arial" w:cs="Arial"/>
                <w:sz w:val="20"/>
                <w:szCs w:val="20"/>
                <w:lang w:val="en-IN"/>
              </w:rPr>
            </w:pPr>
          </w:p>
        </w:tc>
        <w:tc>
          <w:tcPr>
            <w:tcW w:w="1913" w:type="dxa"/>
            <w:shd w:val="clear" w:color="auto" w:fill="FFFFFF"/>
          </w:tcPr>
          <w:p w14:paraId="4F7C12AC" w14:textId="77777777" w:rsidR="000E0639" w:rsidRPr="001F5558" w:rsidRDefault="000E0639" w:rsidP="00B742D3">
            <w:pPr>
              <w:spacing w:after="0" w:line="240" w:lineRule="auto"/>
              <w:rPr>
                <w:rFonts w:ascii="Arial" w:hAnsi="Arial" w:cs="Arial"/>
                <w:sz w:val="20"/>
                <w:szCs w:val="20"/>
                <w:lang w:val="en-IN"/>
              </w:rPr>
            </w:pPr>
          </w:p>
        </w:tc>
        <w:tc>
          <w:tcPr>
            <w:tcW w:w="2201" w:type="dxa"/>
            <w:shd w:val="clear" w:color="auto" w:fill="FFFFFF"/>
          </w:tcPr>
          <w:p w14:paraId="65E52EAB" w14:textId="77777777" w:rsidR="000E0639" w:rsidRPr="001F5558" w:rsidRDefault="000E0639" w:rsidP="00B742D3">
            <w:pPr>
              <w:spacing w:after="0" w:line="240" w:lineRule="auto"/>
              <w:rPr>
                <w:rFonts w:ascii="Arial" w:hAnsi="Arial" w:cs="Arial"/>
                <w:sz w:val="20"/>
                <w:szCs w:val="20"/>
                <w:lang w:val="en-IN"/>
              </w:rPr>
            </w:pPr>
          </w:p>
        </w:tc>
      </w:tr>
      <w:tr w:rsidR="000E0639" w:rsidRPr="001F5558" w14:paraId="63D970C1" w14:textId="77777777" w:rsidTr="000A0A9A">
        <w:trPr>
          <w:trHeight w:val="283"/>
          <w:tblCellSpacing w:w="0" w:type="dxa"/>
        </w:trPr>
        <w:tc>
          <w:tcPr>
            <w:tcW w:w="1985" w:type="dxa"/>
            <w:shd w:val="clear" w:color="auto" w:fill="FFFFFF"/>
            <w:hideMark/>
          </w:tcPr>
          <w:p w14:paraId="35E30CB4" w14:textId="77777777" w:rsidR="000E0639" w:rsidRPr="001F5558" w:rsidRDefault="000E0639" w:rsidP="00B742D3">
            <w:pPr>
              <w:spacing w:after="0" w:line="240" w:lineRule="auto"/>
              <w:rPr>
                <w:rFonts w:ascii="Arial" w:hAnsi="Arial" w:cs="Arial"/>
                <w:sz w:val="20"/>
                <w:szCs w:val="20"/>
                <w:lang w:val="en-IN"/>
              </w:rPr>
            </w:pPr>
            <w:r w:rsidRPr="001F5558">
              <w:rPr>
                <w:rFonts w:ascii="Arial" w:hAnsi="Arial" w:cs="Arial"/>
                <w:b/>
                <w:bCs/>
                <w:sz w:val="20"/>
                <w:szCs w:val="20"/>
                <w:lang w:val="en-IN"/>
              </w:rPr>
              <w:t>Dihydropyridine</w:t>
            </w:r>
            <w:r w:rsidRPr="001F5558">
              <w:rPr>
                <w:rFonts w:ascii="Arial" w:hAnsi="Arial" w:cs="Arial"/>
                <w:sz w:val="20"/>
                <w:szCs w:val="20"/>
                <w:lang w:val="en-IN"/>
              </w:rPr>
              <w:t xml:space="preserve"> (amlodipine, nifedipine)</w:t>
            </w:r>
          </w:p>
        </w:tc>
        <w:tc>
          <w:tcPr>
            <w:tcW w:w="1689" w:type="dxa"/>
            <w:shd w:val="clear" w:color="auto" w:fill="FFFFFF"/>
            <w:hideMark/>
          </w:tcPr>
          <w:p w14:paraId="626B12FB" w14:textId="77777777" w:rsidR="000E0639" w:rsidRPr="001F5558" w:rsidRDefault="000E0639" w:rsidP="00B742D3">
            <w:pPr>
              <w:spacing w:after="0" w:line="240" w:lineRule="auto"/>
              <w:rPr>
                <w:rFonts w:ascii="Arial" w:hAnsi="Arial" w:cs="Arial"/>
                <w:sz w:val="20"/>
                <w:szCs w:val="20"/>
                <w:lang w:val="en-IN"/>
              </w:rPr>
            </w:pPr>
          </w:p>
        </w:tc>
        <w:tc>
          <w:tcPr>
            <w:tcW w:w="1618" w:type="dxa"/>
            <w:shd w:val="clear" w:color="auto" w:fill="FFFFFF"/>
            <w:hideMark/>
          </w:tcPr>
          <w:p w14:paraId="40C40CDD" w14:textId="77777777" w:rsidR="000E0639" w:rsidRPr="001F5558" w:rsidRDefault="000E0639" w:rsidP="00B742D3">
            <w:pPr>
              <w:spacing w:after="0" w:line="240" w:lineRule="auto"/>
              <w:rPr>
                <w:rFonts w:ascii="Arial" w:hAnsi="Arial" w:cs="Arial"/>
                <w:sz w:val="20"/>
                <w:szCs w:val="20"/>
                <w:lang w:val="en-IN"/>
              </w:rPr>
            </w:pPr>
            <w:r w:rsidRPr="001F5558">
              <w:rPr>
                <w:rFonts w:ascii="Arial" w:hAnsi="Arial" w:cs="Arial"/>
                <w:sz w:val="20"/>
                <w:szCs w:val="20"/>
                <w:lang w:val="en-IN"/>
              </w:rPr>
              <w:t xml:space="preserve">Lower-extremity </w:t>
            </w:r>
            <w:proofErr w:type="spellStart"/>
            <w:r w:rsidRPr="001F5558">
              <w:rPr>
                <w:rFonts w:ascii="Arial" w:hAnsi="Arial" w:cs="Arial"/>
                <w:sz w:val="20"/>
                <w:szCs w:val="20"/>
                <w:lang w:val="en-IN"/>
              </w:rPr>
              <w:t>edema</w:t>
            </w:r>
            <w:proofErr w:type="spellEnd"/>
            <w:r w:rsidRPr="001F5558">
              <w:rPr>
                <w:rFonts w:ascii="Arial" w:hAnsi="Arial" w:cs="Arial"/>
                <w:sz w:val="20"/>
                <w:szCs w:val="20"/>
                <w:lang w:val="en-IN"/>
              </w:rPr>
              <w:t>; gingival hypertrophy</w:t>
            </w:r>
          </w:p>
        </w:tc>
        <w:tc>
          <w:tcPr>
            <w:tcW w:w="1913" w:type="dxa"/>
            <w:shd w:val="clear" w:color="auto" w:fill="FFFFFF"/>
            <w:hideMark/>
          </w:tcPr>
          <w:p w14:paraId="3C2E406B" w14:textId="77777777" w:rsidR="000E0639" w:rsidRPr="001F5558" w:rsidRDefault="000E0639" w:rsidP="00B742D3">
            <w:pPr>
              <w:spacing w:after="0" w:line="240" w:lineRule="auto"/>
              <w:rPr>
                <w:rFonts w:ascii="Arial" w:hAnsi="Arial" w:cs="Arial"/>
                <w:sz w:val="20"/>
                <w:szCs w:val="20"/>
                <w:lang w:val="en-IN"/>
              </w:rPr>
            </w:pPr>
          </w:p>
        </w:tc>
        <w:tc>
          <w:tcPr>
            <w:tcW w:w="2201" w:type="dxa"/>
            <w:shd w:val="clear" w:color="auto" w:fill="FFFFFF"/>
            <w:hideMark/>
          </w:tcPr>
          <w:p w14:paraId="556A234F" w14:textId="77777777" w:rsidR="000E0639" w:rsidRPr="001F5558" w:rsidRDefault="000E0639" w:rsidP="00B742D3">
            <w:pPr>
              <w:spacing w:after="0" w:line="240" w:lineRule="auto"/>
              <w:rPr>
                <w:rFonts w:ascii="Arial" w:hAnsi="Arial" w:cs="Arial"/>
                <w:sz w:val="20"/>
                <w:szCs w:val="20"/>
                <w:lang w:val="en-IN"/>
              </w:rPr>
            </w:pPr>
            <w:r w:rsidRPr="001F5558">
              <w:rPr>
                <w:rFonts w:ascii="Arial" w:hAnsi="Arial" w:cs="Arial"/>
                <w:sz w:val="20"/>
                <w:szCs w:val="20"/>
                <w:lang w:val="en-IN"/>
              </w:rPr>
              <w:t>May worsen proteinuria</w:t>
            </w:r>
          </w:p>
        </w:tc>
      </w:tr>
      <w:tr w:rsidR="000E0639" w:rsidRPr="001F5558" w14:paraId="75D897CB" w14:textId="77777777" w:rsidTr="000A0A9A">
        <w:trPr>
          <w:trHeight w:val="776"/>
          <w:tblCellSpacing w:w="0" w:type="dxa"/>
        </w:trPr>
        <w:tc>
          <w:tcPr>
            <w:tcW w:w="1985" w:type="dxa"/>
            <w:shd w:val="clear" w:color="auto" w:fill="FFFFFF"/>
            <w:hideMark/>
          </w:tcPr>
          <w:p w14:paraId="27C77AE6" w14:textId="77777777" w:rsidR="000E0639" w:rsidRPr="001F5558" w:rsidRDefault="000E0639" w:rsidP="00B742D3">
            <w:pPr>
              <w:spacing w:after="0" w:line="240" w:lineRule="auto"/>
              <w:rPr>
                <w:rFonts w:ascii="Arial" w:hAnsi="Arial" w:cs="Arial"/>
                <w:sz w:val="20"/>
                <w:szCs w:val="20"/>
                <w:lang w:val="en-IN"/>
              </w:rPr>
            </w:pPr>
            <w:proofErr w:type="spellStart"/>
            <w:r w:rsidRPr="001F5558">
              <w:rPr>
                <w:rFonts w:ascii="Arial" w:hAnsi="Arial" w:cs="Arial"/>
                <w:b/>
                <w:bCs/>
                <w:sz w:val="20"/>
                <w:szCs w:val="20"/>
                <w:lang w:val="en-IN"/>
              </w:rPr>
              <w:t>Nondihydropyridine</w:t>
            </w:r>
            <w:proofErr w:type="spellEnd"/>
            <w:r w:rsidRPr="001F5558">
              <w:rPr>
                <w:rFonts w:ascii="Arial" w:hAnsi="Arial" w:cs="Arial"/>
                <w:sz w:val="20"/>
                <w:szCs w:val="20"/>
                <w:lang w:val="en-IN"/>
              </w:rPr>
              <w:t xml:space="preserve"> (diltiazem, verapamil)</w:t>
            </w:r>
          </w:p>
        </w:tc>
        <w:tc>
          <w:tcPr>
            <w:tcW w:w="1689" w:type="dxa"/>
            <w:shd w:val="clear" w:color="auto" w:fill="FFFFFF"/>
            <w:hideMark/>
          </w:tcPr>
          <w:p w14:paraId="2AC29AC7" w14:textId="77777777" w:rsidR="000E0639" w:rsidRPr="001F5558" w:rsidRDefault="000E0639" w:rsidP="00B742D3">
            <w:pPr>
              <w:spacing w:after="0" w:line="240" w:lineRule="auto"/>
              <w:rPr>
                <w:rFonts w:ascii="Arial" w:hAnsi="Arial" w:cs="Arial"/>
                <w:sz w:val="20"/>
                <w:szCs w:val="20"/>
                <w:lang w:val="en-IN"/>
              </w:rPr>
            </w:pPr>
            <w:r w:rsidRPr="001F5558">
              <w:rPr>
                <w:rFonts w:ascii="Arial" w:hAnsi="Arial" w:cs="Arial"/>
                <w:sz w:val="20"/>
                <w:szCs w:val="20"/>
                <w:lang w:val="en-IN"/>
              </w:rPr>
              <w:t>Proteinuria reduction</w:t>
            </w:r>
          </w:p>
        </w:tc>
        <w:tc>
          <w:tcPr>
            <w:tcW w:w="1618" w:type="dxa"/>
            <w:shd w:val="clear" w:color="auto" w:fill="FFFFFF"/>
            <w:hideMark/>
          </w:tcPr>
          <w:p w14:paraId="06B89A3D" w14:textId="77777777" w:rsidR="000E0639" w:rsidRPr="001F5558" w:rsidRDefault="000E0639" w:rsidP="00B742D3">
            <w:pPr>
              <w:spacing w:after="0" w:line="240" w:lineRule="auto"/>
              <w:rPr>
                <w:rFonts w:ascii="Arial" w:hAnsi="Arial" w:cs="Arial"/>
                <w:sz w:val="20"/>
                <w:szCs w:val="20"/>
                <w:lang w:val="en-IN"/>
              </w:rPr>
            </w:pPr>
            <w:r w:rsidRPr="001F5558">
              <w:rPr>
                <w:rFonts w:ascii="Arial" w:hAnsi="Arial" w:cs="Arial"/>
                <w:sz w:val="20"/>
                <w:szCs w:val="20"/>
                <w:lang w:val="en-IN"/>
              </w:rPr>
              <w:t>Constipation; gingival hyperplasia</w:t>
            </w:r>
          </w:p>
        </w:tc>
        <w:tc>
          <w:tcPr>
            <w:tcW w:w="1913" w:type="dxa"/>
            <w:shd w:val="clear" w:color="auto" w:fill="FFFFFF"/>
            <w:hideMark/>
          </w:tcPr>
          <w:p w14:paraId="7301D6BF" w14:textId="77777777" w:rsidR="000E0639" w:rsidRPr="001F5558" w:rsidRDefault="000E0639" w:rsidP="00B742D3">
            <w:pPr>
              <w:spacing w:after="0" w:line="240" w:lineRule="auto"/>
              <w:rPr>
                <w:rFonts w:ascii="Arial" w:hAnsi="Arial" w:cs="Arial"/>
                <w:sz w:val="20"/>
                <w:szCs w:val="20"/>
                <w:lang w:val="en-IN"/>
              </w:rPr>
            </w:pPr>
            <w:r w:rsidRPr="001F5558">
              <w:rPr>
                <w:rFonts w:ascii="Arial" w:hAnsi="Arial" w:cs="Arial"/>
                <w:sz w:val="20"/>
                <w:szCs w:val="20"/>
                <w:lang w:val="en-IN"/>
              </w:rPr>
              <w:t>2nd or 3rd degree heart block</w:t>
            </w:r>
          </w:p>
        </w:tc>
        <w:tc>
          <w:tcPr>
            <w:tcW w:w="2201" w:type="dxa"/>
            <w:shd w:val="clear" w:color="auto" w:fill="FFFFFF"/>
            <w:hideMark/>
          </w:tcPr>
          <w:p w14:paraId="28984D42" w14:textId="77777777" w:rsidR="000E0639" w:rsidRPr="001F5558" w:rsidRDefault="000E0639" w:rsidP="00B742D3">
            <w:pPr>
              <w:spacing w:after="0" w:line="240" w:lineRule="auto"/>
              <w:rPr>
                <w:rFonts w:ascii="Arial" w:hAnsi="Arial" w:cs="Arial"/>
                <w:sz w:val="20"/>
                <w:szCs w:val="20"/>
                <w:lang w:val="en-IN"/>
              </w:rPr>
            </w:pPr>
            <w:r w:rsidRPr="001F5558">
              <w:rPr>
                <w:rFonts w:ascii="Arial" w:hAnsi="Arial" w:cs="Arial"/>
                <w:sz w:val="20"/>
                <w:szCs w:val="20"/>
                <w:lang w:val="en-IN"/>
              </w:rPr>
              <w:t>↑ calcineurin and mTOR inhibitor levels</w:t>
            </w:r>
          </w:p>
        </w:tc>
      </w:tr>
      <w:tr w:rsidR="000E0639" w:rsidRPr="001F5558" w14:paraId="3F462EDC" w14:textId="77777777" w:rsidTr="000A0A9A">
        <w:trPr>
          <w:trHeight w:val="283"/>
          <w:tblCellSpacing w:w="0" w:type="dxa"/>
        </w:trPr>
        <w:tc>
          <w:tcPr>
            <w:tcW w:w="1985" w:type="dxa"/>
            <w:tcBorders>
              <w:top w:val="single" w:sz="8" w:space="0" w:color="auto"/>
              <w:bottom w:val="single" w:sz="8" w:space="0" w:color="auto"/>
            </w:tcBorders>
            <w:shd w:val="clear" w:color="auto" w:fill="FFFFFF"/>
            <w:vAlign w:val="center"/>
          </w:tcPr>
          <w:p w14:paraId="11443724" w14:textId="77777777" w:rsidR="000E0639" w:rsidRPr="001F5558" w:rsidRDefault="000E0639" w:rsidP="000A0A9A">
            <w:pPr>
              <w:spacing w:after="0" w:line="240" w:lineRule="auto"/>
              <w:rPr>
                <w:rFonts w:ascii="Arial" w:hAnsi="Arial" w:cs="Arial"/>
                <w:b/>
                <w:bCs/>
                <w:sz w:val="20"/>
                <w:szCs w:val="20"/>
                <w:lang w:val="en-IN"/>
              </w:rPr>
            </w:pPr>
            <w:r w:rsidRPr="001F5558">
              <w:rPr>
                <w:rFonts w:ascii="Arial" w:hAnsi="Arial" w:cs="Arial"/>
                <w:b/>
                <w:bCs/>
                <w:sz w:val="20"/>
                <w:szCs w:val="20"/>
                <w:lang w:val="en-IN"/>
              </w:rPr>
              <w:t>Other agents</w:t>
            </w:r>
          </w:p>
        </w:tc>
        <w:tc>
          <w:tcPr>
            <w:tcW w:w="1689" w:type="dxa"/>
            <w:shd w:val="clear" w:color="auto" w:fill="FFFFFF"/>
          </w:tcPr>
          <w:p w14:paraId="0104253E" w14:textId="77777777" w:rsidR="000E0639" w:rsidRPr="001F5558" w:rsidRDefault="000E0639" w:rsidP="00B742D3">
            <w:pPr>
              <w:spacing w:after="0" w:line="240" w:lineRule="auto"/>
              <w:rPr>
                <w:rFonts w:ascii="Arial" w:hAnsi="Arial" w:cs="Arial"/>
                <w:sz w:val="20"/>
                <w:szCs w:val="20"/>
                <w:lang w:val="en-IN"/>
              </w:rPr>
            </w:pPr>
          </w:p>
        </w:tc>
        <w:tc>
          <w:tcPr>
            <w:tcW w:w="1618" w:type="dxa"/>
            <w:shd w:val="clear" w:color="auto" w:fill="FFFFFF"/>
          </w:tcPr>
          <w:p w14:paraId="171561BD" w14:textId="77777777" w:rsidR="000E0639" w:rsidRPr="001F5558" w:rsidRDefault="000E0639" w:rsidP="00B742D3">
            <w:pPr>
              <w:spacing w:after="0" w:line="240" w:lineRule="auto"/>
              <w:rPr>
                <w:rFonts w:ascii="Arial" w:hAnsi="Arial" w:cs="Arial"/>
                <w:sz w:val="20"/>
                <w:szCs w:val="20"/>
                <w:lang w:val="en-IN"/>
              </w:rPr>
            </w:pPr>
          </w:p>
        </w:tc>
        <w:tc>
          <w:tcPr>
            <w:tcW w:w="1913" w:type="dxa"/>
            <w:shd w:val="clear" w:color="auto" w:fill="FFFFFF"/>
          </w:tcPr>
          <w:p w14:paraId="2A535B91" w14:textId="77777777" w:rsidR="000E0639" w:rsidRPr="001F5558" w:rsidRDefault="000E0639" w:rsidP="00B742D3">
            <w:pPr>
              <w:spacing w:after="0" w:line="240" w:lineRule="auto"/>
              <w:rPr>
                <w:rFonts w:ascii="Arial" w:hAnsi="Arial" w:cs="Arial"/>
                <w:sz w:val="20"/>
                <w:szCs w:val="20"/>
                <w:lang w:val="en-IN"/>
              </w:rPr>
            </w:pPr>
          </w:p>
        </w:tc>
        <w:tc>
          <w:tcPr>
            <w:tcW w:w="2201" w:type="dxa"/>
            <w:shd w:val="clear" w:color="auto" w:fill="FFFFFF"/>
          </w:tcPr>
          <w:p w14:paraId="5AEC88BA" w14:textId="77777777" w:rsidR="000E0639" w:rsidRPr="001F5558" w:rsidRDefault="000E0639" w:rsidP="00B742D3">
            <w:pPr>
              <w:spacing w:after="0" w:line="240" w:lineRule="auto"/>
              <w:rPr>
                <w:rFonts w:ascii="Arial" w:hAnsi="Arial" w:cs="Arial"/>
                <w:sz w:val="20"/>
                <w:szCs w:val="20"/>
                <w:lang w:val="en-IN"/>
              </w:rPr>
            </w:pPr>
          </w:p>
        </w:tc>
      </w:tr>
      <w:tr w:rsidR="000E0639" w:rsidRPr="001F5558" w14:paraId="0C0F751D" w14:textId="77777777" w:rsidTr="000A0A9A">
        <w:trPr>
          <w:trHeight w:val="283"/>
          <w:tblCellSpacing w:w="0" w:type="dxa"/>
        </w:trPr>
        <w:tc>
          <w:tcPr>
            <w:tcW w:w="1985" w:type="dxa"/>
            <w:shd w:val="clear" w:color="auto" w:fill="FFFFFF"/>
            <w:hideMark/>
          </w:tcPr>
          <w:p w14:paraId="028083A5" w14:textId="24EA1E7D" w:rsidR="000E0639" w:rsidRPr="001F5558" w:rsidRDefault="0052292E" w:rsidP="00B742D3">
            <w:pPr>
              <w:spacing w:after="0" w:line="240" w:lineRule="auto"/>
              <w:rPr>
                <w:rFonts w:ascii="Arial" w:hAnsi="Arial" w:cs="Arial"/>
                <w:sz w:val="20"/>
                <w:szCs w:val="20"/>
                <w:lang w:val="en-IN"/>
              </w:rPr>
            </w:pPr>
            <w:r w:rsidRPr="001F5558">
              <w:rPr>
                <w:rFonts w:ascii="Arial" w:hAnsi="Arial" w:cs="Arial"/>
                <w:sz w:val="20"/>
                <w:szCs w:val="20"/>
                <w:lang w:val="en-IN"/>
              </w:rPr>
              <w:t>Alpha</w:t>
            </w:r>
            <w:r w:rsidR="000E0639" w:rsidRPr="001F5558">
              <w:rPr>
                <w:rFonts w:ascii="Arial" w:hAnsi="Arial" w:cs="Arial"/>
                <w:sz w:val="20"/>
                <w:szCs w:val="20"/>
                <w:lang w:val="en-IN"/>
              </w:rPr>
              <w:t>-</w:t>
            </w:r>
            <w:r w:rsidRPr="001F5558">
              <w:rPr>
                <w:rFonts w:ascii="Arial" w:hAnsi="Arial" w:cs="Arial"/>
                <w:sz w:val="20"/>
                <w:szCs w:val="20"/>
                <w:lang w:val="en-IN"/>
              </w:rPr>
              <w:t>b</w:t>
            </w:r>
            <w:r w:rsidR="000E0639" w:rsidRPr="001F5558">
              <w:rPr>
                <w:rFonts w:ascii="Arial" w:hAnsi="Arial" w:cs="Arial"/>
                <w:sz w:val="20"/>
                <w:szCs w:val="20"/>
                <w:lang w:val="en-IN"/>
              </w:rPr>
              <w:t>lockers</w:t>
            </w:r>
          </w:p>
        </w:tc>
        <w:tc>
          <w:tcPr>
            <w:tcW w:w="1689" w:type="dxa"/>
            <w:shd w:val="clear" w:color="auto" w:fill="FFFFFF"/>
            <w:hideMark/>
          </w:tcPr>
          <w:p w14:paraId="1746FCA1" w14:textId="77777777" w:rsidR="000E0639" w:rsidRPr="001F5558" w:rsidRDefault="000E0639" w:rsidP="00B742D3">
            <w:pPr>
              <w:spacing w:after="0" w:line="240" w:lineRule="auto"/>
              <w:rPr>
                <w:rFonts w:ascii="Arial" w:hAnsi="Arial" w:cs="Arial"/>
                <w:sz w:val="20"/>
                <w:szCs w:val="20"/>
                <w:lang w:val="en-IN"/>
              </w:rPr>
            </w:pPr>
          </w:p>
        </w:tc>
        <w:tc>
          <w:tcPr>
            <w:tcW w:w="1618" w:type="dxa"/>
            <w:shd w:val="clear" w:color="auto" w:fill="FFFFFF"/>
            <w:hideMark/>
          </w:tcPr>
          <w:p w14:paraId="19565BFF" w14:textId="77777777" w:rsidR="000E0639" w:rsidRPr="001F5558" w:rsidRDefault="000E0639" w:rsidP="00B742D3">
            <w:pPr>
              <w:spacing w:after="0" w:line="240" w:lineRule="auto"/>
              <w:rPr>
                <w:rFonts w:ascii="Arial" w:hAnsi="Arial" w:cs="Arial"/>
                <w:sz w:val="20"/>
                <w:szCs w:val="20"/>
                <w:lang w:val="en-IN"/>
              </w:rPr>
            </w:pPr>
            <w:r w:rsidRPr="001F5558">
              <w:rPr>
                <w:rFonts w:ascii="Arial" w:hAnsi="Arial" w:cs="Arial"/>
                <w:sz w:val="20"/>
                <w:szCs w:val="20"/>
                <w:lang w:val="en-IN"/>
              </w:rPr>
              <w:t>Orthostasis</w:t>
            </w:r>
          </w:p>
        </w:tc>
        <w:tc>
          <w:tcPr>
            <w:tcW w:w="1913" w:type="dxa"/>
            <w:shd w:val="clear" w:color="auto" w:fill="FFFFFF"/>
            <w:hideMark/>
          </w:tcPr>
          <w:p w14:paraId="21141643" w14:textId="77777777" w:rsidR="000E0639" w:rsidRPr="001F5558" w:rsidRDefault="000E0639" w:rsidP="00B742D3">
            <w:pPr>
              <w:spacing w:after="0" w:line="240" w:lineRule="auto"/>
              <w:rPr>
                <w:rFonts w:ascii="Arial" w:hAnsi="Arial" w:cs="Arial"/>
                <w:sz w:val="20"/>
                <w:szCs w:val="20"/>
                <w:lang w:val="en-IN"/>
              </w:rPr>
            </w:pPr>
          </w:p>
        </w:tc>
        <w:tc>
          <w:tcPr>
            <w:tcW w:w="2201" w:type="dxa"/>
            <w:shd w:val="clear" w:color="auto" w:fill="FFFFFF"/>
            <w:hideMark/>
          </w:tcPr>
          <w:p w14:paraId="1AA6CCE7" w14:textId="77777777" w:rsidR="000E0639" w:rsidRPr="001F5558" w:rsidRDefault="000E0639" w:rsidP="00B742D3">
            <w:pPr>
              <w:spacing w:after="0" w:line="240" w:lineRule="auto"/>
              <w:rPr>
                <w:rFonts w:ascii="Arial" w:hAnsi="Arial" w:cs="Arial"/>
                <w:sz w:val="20"/>
                <w:szCs w:val="20"/>
                <w:lang w:val="en-IN"/>
              </w:rPr>
            </w:pPr>
          </w:p>
        </w:tc>
      </w:tr>
      <w:tr w:rsidR="000E0639" w:rsidRPr="001F5558" w14:paraId="39091705" w14:textId="77777777" w:rsidTr="000A0A9A">
        <w:trPr>
          <w:trHeight w:val="283"/>
          <w:tblCellSpacing w:w="0" w:type="dxa"/>
        </w:trPr>
        <w:tc>
          <w:tcPr>
            <w:tcW w:w="1985" w:type="dxa"/>
            <w:shd w:val="clear" w:color="auto" w:fill="FFFFFF"/>
            <w:hideMark/>
          </w:tcPr>
          <w:p w14:paraId="480CA00B" w14:textId="77777777" w:rsidR="000E0639" w:rsidRPr="001F5558" w:rsidRDefault="000E0639" w:rsidP="00B742D3">
            <w:pPr>
              <w:spacing w:after="0" w:line="240" w:lineRule="auto"/>
              <w:rPr>
                <w:rFonts w:ascii="Arial" w:hAnsi="Arial" w:cs="Arial"/>
                <w:sz w:val="20"/>
                <w:szCs w:val="20"/>
                <w:lang w:val="en-IN"/>
              </w:rPr>
            </w:pPr>
            <w:r w:rsidRPr="001F5558">
              <w:rPr>
                <w:rFonts w:ascii="Arial" w:hAnsi="Arial" w:cs="Arial"/>
                <w:sz w:val="20"/>
                <w:szCs w:val="20"/>
                <w:lang w:val="en-IN"/>
              </w:rPr>
              <w:t>Central α-adrenergic agonists (clonidine)</w:t>
            </w:r>
          </w:p>
        </w:tc>
        <w:tc>
          <w:tcPr>
            <w:tcW w:w="1689" w:type="dxa"/>
            <w:shd w:val="clear" w:color="auto" w:fill="FFFFFF"/>
            <w:hideMark/>
          </w:tcPr>
          <w:p w14:paraId="27649CEA" w14:textId="77777777" w:rsidR="000E0639" w:rsidRPr="001F5558" w:rsidRDefault="000E0639" w:rsidP="00B742D3">
            <w:pPr>
              <w:spacing w:after="0" w:line="240" w:lineRule="auto"/>
              <w:rPr>
                <w:rFonts w:ascii="Arial" w:hAnsi="Arial" w:cs="Arial"/>
                <w:sz w:val="20"/>
                <w:szCs w:val="20"/>
                <w:lang w:val="en-IN"/>
              </w:rPr>
            </w:pPr>
          </w:p>
        </w:tc>
        <w:tc>
          <w:tcPr>
            <w:tcW w:w="1618" w:type="dxa"/>
            <w:shd w:val="clear" w:color="auto" w:fill="FFFFFF"/>
            <w:hideMark/>
          </w:tcPr>
          <w:p w14:paraId="59E48B75" w14:textId="77777777" w:rsidR="000E0639" w:rsidRPr="001F5558" w:rsidRDefault="000E0639" w:rsidP="00B742D3">
            <w:pPr>
              <w:spacing w:after="0" w:line="240" w:lineRule="auto"/>
              <w:rPr>
                <w:rFonts w:ascii="Arial" w:hAnsi="Arial" w:cs="Arial"/>
                <w:sz w:val="20"/>
                <w:szCs w:val="20"/>
                <w:lang w:val="en-IN"/>
              </w:rPr>
            </w:pPr>
            <w:r w:rsidRPr="001F5558">
              <w:rPr>
                <w:rFonts w:ascii="Arial" w:hAnsi="Arial" w:cs="Arial"/>
                <w:sz w:val="20"/>
                <w:szCs w:val="20"/>
                <w:lang w:val="en-IN"/>
              </w:rPr>
              <w:t xml:space="preserve">Sedation; bradycardia; dry </w:t>
            </w:r>
            <w:r w:rsidRPr="001F5558">
              <w:rPr>
                <w:rFonts w:ascii="Arial" w:hAnsi="Arial" w:cs="Arial"/>
                <w:sz w:val="20"/>
                <w:szCs w:val="20"/>
                <w:lang w:val="en-IN"/>
              </w:rPr>
              <w:lastRenderedPageBreak/>
              <w:t>mouth; rebound hypertension</w:t>
            </w:r>
          </w:p>
        </w:tc>
        <w:tc>
          <w:tcPr>
            <w:tcW w:w="1913" w:type="dxa"/>
            <w:shd w:val="clear" w:color="auto" w:fill="FFFFFF"/>
            <w:hideMark/>
          </w:tcPr>
          <w:p w14:paraId="2FC6E82A" w14:textId="77777777" w:rsidR="000E0639" w:rsidRPr="001F5558" w:rsidRDefault="000E0639" w:rsidP="00B742D3">
            <w:pPr>
              <w:spacing w:after="0" w:line="240" w:lineRule="auto"/>
              <w:rPr>
                <w:rFonts w:ascii="Arial" w:hAnsi="Arial" w:cs="Arial"/>
                <w:sz w:val="20"/>
                <w:szCs w:val="20"/>
                <w:lang w:val="en-IN"/>
              </w:rPr>
            </w:pPr>
            <w:r w:rsidRPr="001F5558">
              <w:rPr>
                <w:rFonts w:ascii="Arial" w:hAnsi="Arial" w:cs="Arial"/>
                <w:sz w:val="20"/>
                <w:szCs w:val="20"/>
                <w:lang w:val="en-IN"/>
              </w:rPr>
              <w:lastRenderedPageBreak/>
              <w:t>Depression</w:t>
            </w:r>
          </w:p>
        </w:tc>
        <w:tc>
          <w:tcPr>
            <w:tcW w:w="2201" w:type="dxa"/>
            <w:shd w:val="clear" w:color="auto" w:fill="FFFFFF"/>
            <w:hideMark/>
          </w:tcPr>
          <w:p w14:paraId="7CC552DE" w14:textId="77777777" w:rsidR="000E0639" w:rsidRPr="001F5558" w:rsidRDefault="000E0639" w:rsidP="00B742D3">
            <w:pPr>
              <w:spacing w:after="0" w:line="240" w:lineRule="auto"/>
              <w:rPr>
                <w:rFonts w:ascii="Arial" w:hAnsi="Arial" w:cs="Arial"/>
                <w:sz w:val="20"/>
                <w:szCs w:val="20"/>
                <w:lang w:val="en-IN"/>
              </w:rPr>
            </w:pPr>
          </w:p>
        </w:tc>
      </w:tr>
      <w:tr w:rsidR="000E0639" w:rsidRPr="001F5558" w14:paraId="70DE6C5E" w14:textId="77777777" w:rsidTr="000A0A9A">
        <w:trPr>
          <w:trHeight w:val="283"/>
          <w:tblCellSpacing w:w="0" w:type="dxa"/>
        </w:trPr>
        <w:tc>
          <w:tcPr>
            <w:tcW w:w="1985" w:type="dxa"/>
            <w:shd w:val="clear" w:color="auto" w:fill="FFFFFF"/>
            <w:hideMark/>
          </w:tcPr>
          <w:p w14:paraId="2CC4E4C6" w14:textId="77777777" w:rsidR="000E0639" w:rsidRPr="001F5558" w:rsidRDefault="000E0639" w:rsidP="00B742D3">
            <w:pPr>
              <w:spacing w:after="0" w:line="240" w:lineRule="auto"/>
              <w:rPr>
                <w:rFonts w:ascii="Arial" w:hAnsi="Arial" w:cs="Arial"/>
                <w:sz w:val="20"/>
                <w:szCs w:val="20"/>
                <w:lang w:val="en-IN"/>
              </w:rPr>
            </w:pPr>
            <w:r w:rsidRPr="001F5558">
              <w:rPr>
                <w:rFonts w:ascii="Arial" w:hAnsi="Arial" w:cs="Arial"/>
                <w:sz w:val="20"/>
                <w:szCs w:val="20"/>
                <w:lang w:val="en-IN"/>
              </w:rPr>
              <w:t>Vasodilators (minoxidil, hydralazine)</w:t>
            </w:r>
          </w:p>
        </w:tc>
        <w:tc>
          <w:tcPr>
            <w:tcW w:w="1689" w:type="dxa"/>
            <w:shd w:val="clear" w:color="auto" w:fill="FFFFFF"/>
            <w:hideMark/>
          </w:tcPr>
          <w:p w14:paraId="18893E1F" w14:textId="77777777" w:rsidR="000E0639" w:rsidRPr="001F5558" w:rsidRDefault="000E0639" w:rsidP="00B742D3">
            <w:pPr>
              <w:spacing w:after="0" w:line="240" w:lineRule="auto"/>
              <w:rPr>
                <w:rFonts w:ascii="Arial" w:hAnsi="Arial" w:cs="Arial"/>
                <w:sz w:val="20"/>
                <w:szCs w:val="20"/>
                <w:lang w:val="en-IN"/>
              </w:rPr>
            </w:pPr>
          </w:p>
        </w:tc>
        <w:tc>
          <w:tcPr>
            <w:tcW w:w="1618" w:type="dxa"/>
            <w:shd w:val="clear" w:color="auto" w:fill="FFFFFF"/>
            <w:hideMark/>
          </w:tcPr>
          <w:p w14:paraId="6420FBF5" w14:textId="77777777" w:rsidR="000E0639" w:rsidRPr="001F5558" w:rsidRDefault="000E0639" w:rsidP="00B742D3">
            <w:pPr>
              <w:spacing w:after="0" w:line="240" w:lineRule="auto"/>
              <w:rPr>
                <w:rFonts w:ascii="Arial" w:hAnsi="Arial" w:cs="Arial"/>
                <w:sz w:val="20"/>
                <w:szCs w:val="20"/>
                <w:lang w:val="en-IN"/>
              </w:rPr>
            </w:pPr>
            <w:r w:rsidRPr="001F5558">
              <w:rPr>
                <w:rFonts w:ascii="Arial" w:hAnsi="Arial" w:cs="Arial"/>
                <w:sz w:val="20"/>
                <w:szCs w:val="20"/>
                <w:lang w:val="en-IN"/>
              </w:rPr>
              <w:t xml:space="preserve">Headache; tachycardia; lupus-like syndrome (hydralazine); </w:t>
            </w:r>
            <w:proofErr w:type="spellStart"/>
            <w:r w:rsidRPr="001F5558">
              <w:rPr>
                <w:rFonts w:ascii="Arial" w:hAnsi="Arial" w:cs="Arial"/>
                <w:sz w:val="20"/>
                <w:szCs w:val="20"/>
                <w:lang w:val="en-IN"/>
              </w:rPr>
              <w:t>edema</w:t>
            </w:r>
            <w:proofErr w:type="spellEnd"/>
            <w:r w:rsidRPr="001F5558">
              <w:rPr>
                <w:rFonts w:ascii="Arial" w:hAnsi="Arial" w:cs="Arial"/>
                <w:sz w:val="20"/>
                <w:szCs w:val="20"/>
                <w:lang w:val="en-IN"/>
              </w:rPr>
              <w:t>; pericardial effusion</w:t>
            </w:r>
          </w:p>
        </w:tc>
        <w:tc>
          <w:tcPr>
            <w:tcW w:w="1913" w:type="dxa"/>
            <w:shd w:val="clear" w:color="auto" w:fill="FFFFFF"/>
            <w:hideMark/>
          </w:tcPr>
          <w:p w14:paraId="606ED7E5" w14:textId="77777777" w:rsidR="000E0639" w:rsidRPr="001F5558" w:rsidRDefault="000E0639" w:rsidP="00B742D3">
            <w:pPr>
              <w:spacing w:after="0" w:line="240" w:lineRule="auto"/>
              <w:rPr>
                <w:rFonts w:ascii="Arial" w:hAnsi="Arial" w:cs="Arial"/>
                <w:sz w:val="20"/>
                <w:szCs w:val="20"/>
                <w:lang w:val="en-IN"/>
              </w:rPr>
            </w:pPr>
            <w:r w:rsidRPr="001F5558">
              <w:rPr>
                <w:rFonts w:ascii="Arial" w:hAnsi="Arial" w:cs="Arial"/>
                <w:sz w:val="20"/>
                <w:szCs w:val="20"/>
                <w:lang w:val="en-IN"/>
              </w:rPr>
              <w:t>Post–myocardial infarction; heart failure</w:t>
            </w:r>
          </w:p>
        </w:tc>
        <w:tc>
          <w:tcPr>
            <w:tcW w:w="2201" w:type="dxa"/>
            <w:shd w:val="clear" w:color="auto" w:fill="FFFFFF"/>
            <w:hideMark/>
          </w:tcPr>
          <w:p w14:paraId="175D49A1" w14:textId="77777777" w:rsidR="000E0639" w:rsidRPr="001F5558" w:rsidRDefault="000E0639" w:rsidP="00B742D3">
            <w:pPr>
              <w:spacing w:after="0" w:line="240" w:lineRule="auto"/>
              <w:rPr>
                <w:rFonts w:ascii="Arial" w:hAnsi="Arial" w:cs="Arial"/>
                <w:sz w:val="20"/>
                <w:szCs w:val="20"/>
                <w:lang w:val="en-IN"/>
              </w:rPr>
            </w:pPr>
          </w:p>
        </w:tc>
      </w:tr>
      <w:tr w:rsidR="000E0639" w:rsidRPr="001F5558" w14:paraId="72C7879C" w14:textId="77777777" w:rsidTr="000A0A9A">
        <w:trPr>
          <w:trHeight w:val="283"/>
          <w:tblCellSpacing w:w="0" w:type="dxa"/>
        </w:trPr>
        <w:tc>
          <w:tcPr>
            <w:tcW w:w="1985" w:type="dxa"/>
            <w:shd w:val="clear" w:color="auto" w:fill="FFFFFF"/>
            <w:hideMark/>
          </w:tcPr>
          <w:p w14:paraId="1FF04BE9" w14:textId="77777777" w:rsidR="000E0639" w:rsidRPr="001F5558" w:rsidRDefault="000E0639" w:rsidP="00B742D3">
            <w:pPr>
              <w:spacing w:after="0" w:line="240" w:lineRule="auto"/>
              <w:rPr>
                <w:rFonts w:ascii="Arial" w:hAnsi="Arial" w:cs="Arial"/>
                <w:sz w:val="20"/>
                <w:szCs w:val="20"/>
                <w:lang w:val="en-IN"/>
              </w:rPr>
            </w:pPr>
            <w:r w:rsidRPr="001F5558">
              <w:rPr>
                <w:rFonts w:ascii="Arial" w:hAnsi="Arial" w:cs="Arial"/>
                <w:sz w:val="20"/>
                <w:szCs w:val="20"/>
                <w:lang w:val="en-IN"/>
              </w:rPr>
              <w:t>Direct renin inhibitors (aliskiren)</w:t>
            </w:r>
          </w:p>
        </w:tc>
        <w:tc>
          <w:tcPr>
            <w:tcW w:w="1689" w:type="dxa"/>
            <w:shd w:val="clear" w:color="auto" w:fill="FFFFFF"/>
            <w:hideMark/>
          </w:tcPr>
          <w:p w14:paraId="609CE390" w14:textId="3AA9FE08" w:rsidR="000E0639" w:rsidRPr="001F5558" w:rsidRDefault="000E0639" w:rsidP="00B742D3">
            <w:pPr>
              <w:spacing w:after="0" w:line="240" w:lineRule="auto"/>
              <w:rPr>
                <w:rFonts w:ascii="Arial" w:hAnsi="Arial" w:cs="Arial"/>
                <w:sz w:val="20"/>
                <w:szCs w:val="20"/>
                <w:lang w:val="en-IN"/>
              </w:rPr>
            </w:pPr>
            <w:r w:rsidRPr="001F5558">
              <w:rPr>
                <w:rFonts w:ascii="Arial" w:hAnsi="Arial" w:cs="Arial"/>
                <w:sz w:val="20"/>
                <w:szCs w:val="20"/>
                <w:lang w:val="en-IN"/>
              </w:rPr>
              <w:t xml:space="preserve">Proteinuria reduction; if not tolerating </w:t>
            </w:r>
            <w:r w:rsidR="000C248B" w:rsidRPr="001F5558">
              <w:rPr>
                <w:rFonts w:ascii="Arial" w:hAnsi="Arial" w:cs="Arial"/>
                <w:sz w:val="20"/>
                <w:szCs w:val="20"/>
                <w:lang w:val="en-IN"/>
              </w:rPr>
              <w:t>ACEIs or</w:t>
            </w:r>
            <w:r w:rsidRPr="001F5558">
              <w:rPr>
                <w:rFonts w:ascii="Arial" w:hAnsi="Arial" w:cs="Arial"/>
                <w:sz w:val="20"/>
                <w:szCs w:val="20"/>
                <w:lang w:val="en-IN"/>
              </w:rPr>
              <w:t xml:space="preserve"> ARB</w:t>
            </w:r>
          </w:p>
        </w:tc>
        <w:tc>
          <w:tcPr>
            <w:tcW w:w="1618" w:type="dxa"/>
            <w:shd w:val="clear" w:color="auto" w:fill="FFFFFF"/>
            <w:hideMark/>
          </w:tcPr>
          <w:p w14:paraId="7DD2F4CF" w14:textId="77777777" w:rsidR="000E0639" w:rsidRPr="001F5558" w:rsidRDefault="000E0639" w:rsidP="00B742D3">
            <w:pPr>
              <w:spacing w:after="0" w:line="240" w:lineRule="auto"/>
              <w:rPr>
                <w:rFonts w:ascii="Arial" w:hAnsi="Arial" w:cs="Arial"/>
                <w:sz w:val="20"/>
                <w:szCs w:val="20"/>
                <w:lang w:val="en-IN"/>
              </w:rPr>
            </w:pPr>
          </w:p>
        </w:tc>
        <w:tc>
          <w:tcPr>
            <w:tcW w:w="1913" w:type="dxa"/>
            <w:shd w:val="clear" w:color="auto" w:fill="FFFFFF"/>
            <w:hideMark/>
          </w:tcPr>
          <w:p w14:paraId="21069FD0" w14:textId="77777777" w:rsidR="000E0639" w:rsidRPr="001F5558" w:rsidRDefault="000E0639" w:rsidP="00B742D3">
            <w:pPr>
              <w:spacing w:after="0" w:line="240" w:lineRule="auto"/>
              <w:rPr>
                <w:rFonts w:ascii="Arial" w:hAnsi="Arial" w:cs="Arial"/>
                <w:sz w:val="20"/>
                <w:szCs w:val="20"/>
                <w:lang w:val="en-IN"/>
              </w:rPr>
            </w:pPr>
            <w:r w:rsidRPr="001F5558">
              <w:rPr>
                <w:rFonts w:ascii="Arial" w:hAnsi="Arial" w:cs="Arial"/>
                <w:sz w:val="20"/>
                <w:szCs w:val="20"/>
                <w:lang w:val="en-IN"/>
              </w:rPr>
              <w:t>Bilateral renal artery stenosis</w:t>
            </w:r>
          </w:p>
        </w:tc>
        <w:tc>
          <w:tcPr>
            <w:tcW w:w="2201" w:type="dxa"/>
            <w:shd w:val="clear" w:color="auto" w:fill="FFFFFF"/>
            <w:hideMark/>
          </w:tcPr>
          <w:p w14:paraId="162DB6B9" w14:textId="77777777" w:rsidR="000E0639" w:rsidRPr="001F5558" w:rsidRDefault="000E0639" w:rsidP="00B742D3">
            <w:pPr>
              <w:spacing w:after="0" w:line="240" w:lineRule="auto"/>
              <w:rPr>
                <w:rFonts w:ascii="Arial" w:hAnsi="Arial" w:cs="Arial"/>
                <w:sz w:val="20"/>
                <w:szCs w:val="20"/>
                <w:lang w:val="en-IN"/>
              </w:rPr>
            </w:pPr>
            <w:r w:rsidRPr="001F5558">
              <w:rPr>
                <w:rFonts w:ascii="Arial" w:hAnsi="Arial" w:cs="Arial"/>
                <w:sz w:val="20"/>
                <w:szCs w:val="20"/>
                <w:lang w:val="en-IN"/>
              </w:rPr>
              <w:t>Not recommended for use in combination with ACEIs or ARBs</w:t>
            </w:r>
          </w:p>
        </w:tc>
      </w:tr>
      <w:tr w:rsidR="000E0639" w:rsidRPr="001F5558" w14:paraId="58AB0BBE" w14:textId="77777777" w:rsidTr="000A0A9A">
        <w:trPr>
          <w:trHeight w:val="283"/>
          <w:tblCellSpacing w:w="0" w:type="dxa"/>
        </w:trPr>
        <w:tc>
          <w:tcPr>
            <w:tcW w:w="1985" w:type="dxa"/>
            <w:shd w:val="clear" w:color="auto" w:fill="FFFFFF"/>
            <w:hideMark/>
          </w:tcPr>
          <w:p w14:paraId="6BAA528C" w14:textId="77777777" w:rsidR="000E0639" w:rsidRPr="001F5558" w:rsidRDefault="000E0639" w:rsidP="00B742D3">
            <w:pPr>
              <w:spacing w:after="0" w:line="240" w:lineRule="auto"/>
              <w:rPr>
                <w:rFonts w:ascii="Arial" w:hAnsi="Arial" w:cs="Arial"/>
                <w:sz w:val="20"/>
                <w:szCs w:val="20"/>
                <w:lang w:val="en-IN"/>
              </w:rPr>
            </w:pPr>
            <w:r w:rsidRPr="001F5558">
              <w:rPr>
                <w:rFonts w:ascii="Arial" w:hAnsi="Arial" w:cs="Arial"/>
                <w:sz w:val="20"/>
                <w:szCs w:val="20"/>
                <w:lang w:val="en-IN"/>
              </w:rPr>
              <w:t xml:space="preserve">Aldosterone antagonists (spironolactone, eplerenone, </w:t>
            </w:r>
            <w:proofErr w:type="spellStart"/>
            <w:r w:rsidRPr="001F5558">
              <w:rPr>
                <w:rFonts w:ascii="Arial" w:hAnsi="Arial" w:cs="Arial"/>
                <w:sz w:val="20"/>
                <w:szCs w:val="20"/>
                <w:lang w:val="en-IN"/>
              </w:rPr>
              <w:t>finerenone</w:t>
            </w:r>
            <w:proofErr w:type="spellEnd"/>
            <w:r w:rsidRPr="001F5558">
              <w:rPr>
                <w:rFonts w:ascii="Arial" w:hAnsi="Arial" w:cs="Arial"/>
                <w:sz w:val="20"/>
                <w:szCs w:val="20"/>
                <w:lang w:val="en-IN"/>
              </w:rPr>
              <w:t>)</w:t>
            </w:r>
          </w:p>
        </w:tc>
        <w:tc>
          <w:tcPr>
            <w:tcW w:w="1689" w:type="dxa"/>
            <w:shd w:val="clear" w:color="auto" w:fill="FFFFFF"/>
            <w:hideMark/>
          </w:tcPr>
          <w:p w14:paraId="002DADD7" w14:textId="77777777" w:rsidR="000E0639" w:rsidRPr="001F5558" w:rsidRDefault="000E0639" w:rsidP="00B742D3">
            <w:pPr>
              <w:spacing w:after="0" w:line="240" w:lineRule="auto"/>
              <w:rPr>
                <w:rFonts w:ascii="Arial" w:hAnsi="Arial" w:cs="Arial"/>
                <w:sz w:val="20"/>
                <w:szCs w:val="20"/>
                <w:lang w:val="en-IN"/>
              </w:rPr>
            </w:pPr>
            <w:r w:rsidRPr="001F5558">
              <w:rPr>
                <w:rFonts w:ascii="Arial" w:hAnsi="Arial" w:cs="Arial"/>
                <w:sz w:val="20"/>
                <w:szCs w:val="20"/>
                <w:lang w:val="en-IN"/>
              </w:rPr>
              <w:t>Proteinuria reduction</w:t>
            </w:r>
          </w:p>
        </w:tc>
        <w:tc>
          <w:tcPr>
            <w:tcW w:w="1618" w:type="dxa"/>
            <w:shd w:val="clear" w:color="auto" w:fill="FFFFFF"/>
            <w:hideMark/>
          </w:tcPr>
          <w:p w14:paraId="7372B0A6" w14:textId="77777777" w:rsidR="000E0639" w:rsidRPr="001F5558" w:rsidRDefault="000E0639" w:rsidP="00B742D3">
            <w:pPr>
              <w:spacing w:after="0" w:line="240" w:lineRule="auto"/>
              <w:rPr>
                <w:rFonts w:ascii="Arial" w:hAnsi="Arial" w:cs="Arial"/>
                <w:sz w:val="20"/>
                <w:szCs w:val="20"/>
                <w:lang w:val="en-IN"/>
              </w:rPr>
            </w:pPr>
            <w:proofErr w:type="spellStart"/>
            <w:r w:rsidRPr="001F5558">
              <w:rPr>
                <w:rFonts w:ascii="Arial" w:hAnsi="Arial" w:cs="Arial"/>
                <w:sz w:val="20"/>
                <w:szCs w:val="20"/>
                <w:lang w:val="en-IN"/>
              </w:rPr>
              <w:t>Hyperkalemia</w:t>
            </w:r>
            <w:proofErr w:type="spellEnd"/>
            <w:r w:rsidRPr="001F5558">
              <w:rPr>
                <w:rFonts w:ascii="Arial" w:hAnsi="Arial" w:cs="Arial"/>
                <w:sz w:val="20"/>
                <w:szCs w:val="20"/>
                <w:lang w:val="en-IN"/>
              </w:rPr>
              <w:t>; metabolic acidosis; gynecomastia</w:t>
            </w:r>
          </w:p>
        </w:tc>
        <w:tc>
          <w:tcPr>
            <w:tcW w:w="1913" w:type="dxa"/>
            <w:shd w:val="clear" w:color="auto" w:fill="FFFFFF"/>
            <w:hideMark/>
          </w:tcPr>
          <w:p w14:paraId="11EFBC35" w14:textId="77777777" w:rsidR="000E0639" w:rsidRPr="001F5558" w:rsidRDefault="000E0639" w:rsidP="00B742D3">
            <w:pPr>
              <w:spacing w:after="0" w:line="240" w:lineRule="auto"/>
              <w:rPr>
                <w:rFonts w:ascii="Arial" w:hAnsi="Arial" w:cs="Arial"/>
                <w:sz w:val="20"/>
                <w:szCs w:val="20"/>
                <w:lang w:val="en-IN"/>
              </w:rPr>
            </w:pPr>
          </w:p>
        </w:tc>
        <w:tc>
          <w:tcPr>
            <w:tcW w:w="2201" w:type="dxa"/>
            <w:shd w:val="clear" w:color="auto" w:fill="FFFFFF"/>
            <w:hideMark/>
          </w:tcPr>
          <w:p w14:paraId="3513EE55" w14:textId="77777777" w:rsidR="000E0639" w:rsidRPr="001F5558" w:rsidRDefault="000E0639" w:rsidP="00B742D3">
            <w:pPr>
              <w:spacing w:after="0" w:line="240" w:lineRule="auto"/>
              <w:rPr>
                <w:rFonts w:ascii="Arial" w:hAnsi="Arial" w:cs="Arial"/>
                <w:sz w:val="20"/>
                <w:szCs w:val="20"/>
                <w:lang w:val="en-IN"/>
              </w:rPr>
            </w:pPr>
            <w:r w:rsidRPr="001F5558">
              <w:rPr>
                <w:rFonts w:ascii="Arial" w:hAnsi="Arial" w:cs="Arial"/>
                <w:sz w:val="20"/>
                <w:szCs w:val="20"/>
                <w:lang w:val="en-IN"/>
              </w:rPr>
              <w:t>May be useful in addition to ACEIs or ARB for proteinuria reduction</w:t>
            </w:r>
          </w:p>
        </w:tc>
      </w:tr>
    </w:tbl>
    <w:p w14:paraId="33B96575" w14:textId="77777777" w:rsidR="00707D03" w:rsidRPr="001F5558" w:rsidRDefault="00707D03" w:rsidP="00257B59">
      <w:pPr>
        <w:spacing w:after="0" w:line="240" w:lineRule="auto"/>
        <w:jc w:val="both"/>
        <w:rPr>
          <w:rFonts w:ascii="Arial" w:eastAsia="Times New Roman" w:hAnsi="Arial" w:cs="Arial"/>
          <w:b/>
          <w:bCs/>
        </w:rPr>
      </w:pPr>
    </w:p>
    <w:p w14:paraId="0405185A" w14:textId="23273F70" w:rsidR="006A7446" w:rsidRPr="001F5558" w:rsidRDefault="006A7446" w:rsidP="00257B59">
      <w:pPr>
        <w:spacing w:after="0" w:line="240" w:lineRule="auto"/>
        <w:jc w:val="both"/>
        <w:rPr>
          <w:rFonts w:ascii="Arial" w:eastAsia="Times New Roman" w:hAnsi="Arial" w:cs="Arial"/>
          <w:b/>
          <w:bCs/>
        </w:rPr>
      </w:pPr>
      <w:r w:rsidRPr="001F5558">
        <w:rPr>
          <w:rFonts w:ascii="Arial" w:eastAsia="Times New Roman" w:hAnsi="Arial" w:cs="Arial"/>
          <w:b/>
          <w:bCs/>
        </w:rPr>
        <w:t xml:space="preserve">3. PHARMACOTHERAPY FOR HYPERTENSION IN CKD </w:t>
      </w:r>
    </w:p>
    <w:p w14:paraId="67852540" w14:textId="77777777" w:rsidR="006A7446" w:rsidRPr="001F5558" w:rsidRDefault="006A7446" w:rsidP="00257B59">
      <w:pPr>
        <w:spacing w:after="0" w:line="240" w:lineRule="auto"/>
        <w:jc w:val="both"/>
        <w:rPr>
          <w:rFonts w:ascii="Arial" w:eastAsia="Times New Roman" w:hAnsi="Arial" w:cs="Arial"/>
          <w:b/>
          <w:bCs/>
          <w:sz w:val="20"/>
          <w:szCs w:val="20"/>
        </w:rPr>
      </w:pPr>
    </w:p>
    <w:p w14:paraId="6F9E35D8" w14:textId="3BA7E6E8" w:rsidR="00B91AEC" w:rsidRPr="001F5558" w:rsidRDefault="00B91AEC" w:rsidP="00257B59">
      <w:pPr>
        <w:spacing w:after="0" w:line="240" w:lineRule="auto"/>
        <w:jc w:val="both"/>
        <w:rPr>
          <w:rFonts w:ascii="Arial" w:eastAsia="Times New Roman" w:hAnsi="Arial" w:cs="Arial"/>
          <w:b/>
          <w:bCs/>
        </w:rPr>
      </w:pPr>
      <w:r w:rsidRPr="001F5558">
        <w:rPr>
          <w:rFonts w:ascii="Arial" w:eastAsia="Times New Roman" w:hAnsi="Arial" w:cs="Arial"/>
          <w:b/>
          <w:bCs/>
        </w:rPr>
        <w:t xml:space="preserve">3.1. Renin-angiotensin-aldosterone system modulators (RAAS) inhibitors (ACEIs and ARBs) </w:t>
      </w:r>
    </w:p>
    <w:p w14:paraId="4F1305AA" w14:textId="77777777" w:rsidR="00707D03" w:rsidRPr="001F5558" w:rsidRDefault="00707D03" w:rsidP="00257B59">
      <w:pPr>
        <w:spacing w:after="0" w:line="240" w:lineRule="auto"/>
        <w:jc w:val="both"/>
        <w:rPr>
          <w:rFonts w:ascii="Arial" w:eastAsia="Times New Roman" w:hAnsi="Arial" w:cs="Arial"/>
          <w:b/>
          <w:bCs/>
          <w:sz w:val="20"/>
          <w:szCs w:val="20"/>
        </w:rPr>
      </w:pPr>
    </w:p>
    <w:p w14:paraId="33FBEDFB" w14:textId="6F0E6EA9" w:rsidR="00A73243" w:rsidRPr="001F5558" w:rsidRDefault="00252EBD" w:rsidP="006723FF">
      <w:pPr>
        <w:spacing w:after="0" w:line="240" w:lineRule="auto"/>
        <w:jc w:val="both"/>
        <w:rPr>
          <w:rFonts w:ascii="Arial" w:eastAsia="Times New Roman" w:hAnsi="Arial" w:cs="Arial"/>
          <w:sz w:val="20"/>
          <w:szCs w:val="20"/>
        </w:rPr>
      </w:pPr>
      <w:r w:rsidRPr="001F5558">
        <w:rPr>
          <w:rFonts w:ascii="Arial" w:eastAsia="Times New Roman" w:hAnsi="Arial" w:cs="Arial"/>
          <w:sz w:val="20"/>
          <w:szCs w:val="20"/>
        </w:rPr>
        <w:t>ACE inhibitors offer significant cardiovascular and renal protection for CKD persons</w:t>
      </w:r>
      <w:r w:rsidR="000E4E76" w:rsidRPr="001F5558">
        <w:rPr>
          <w:rFonts w:ascii="Arial" w:eastAsia="Times New Roman" w:hAnsi="Arial" w:cs="Arial"/>
          <w:sz w:val="20"/>
          <w:szCs w:val="20"/>
        </w:rPr>
        <w:t>,</w:t>
      </w:r>
      <w:r w:rsidR="00F635B1" w:rsidRPr="001F5558">
        <w:rPr>
          <w:rFonts w:ascii="Arial" w:eastAsia="Times New Roman" w:hAnsi="Arial" w:cs="Arial"/>
          <w:sz w:val="20"/>
          <w:szCs w:val="20"/>
        </w:rPr>
        <w:t xml:space="preserve"> which</w:t>
      </w:r>
      <w:r w:rsidR="00021C4B" w:rsidRPr="001F5558">
        <w:rPr>
          <w:rFonts w:ascii="Arial" w:eastAsia="Times New Roman" w:hAnsi="Arial" w:cs="Arial"/>
          <w:sz w:val="20"/>
          <w:szCs w:val="20"/>
        </w:rPr>
        <w:t xml:space="preserve"> </w:t>
      </w:r>
      <w:r w:rsidR="00D1369F" w:rsidRPr="001F5558">
        <w:rPr>
          <w:rFonts w:ascii="Arial" w:eastAsia="Times New Roman" w:hAnsi="Arial" w:cs="Arial"/>
          <w:sz w:val="20"/>
          <w:szCs w:val="20"/>
        </w:rPr>
        <w:t>decreases</w:t>
      </w:r>
      <w:r w:rsidRPr="001F5558">
        <w:rPr>
          <w:rFonts w:ascii="Arial" w:eastAsia="Times New Roman" w:hAnsi="Arial" w:cs="Arial"/>
          <w:sz w:val="20"/>
          <w:szCs w:val="20"/>
        </w:rPr>
        <w:t xml:space="preserve"> proteinuria by reducing intraglomerular pressure, thereby mitigating hyperfiltration (</w:t>
      </w:r>
      <w:proofErr w:type="spellStart"/>
      <w:r w:rsidRPr="001F5558">
        <w:rPr>
          <w:rFonts w:ascii="Arial" w:eastAsia="Times New Roman" w:hAnsi="Arial" w:cs="Arial"/>
          <w:sz w:val="20"/>
          <w:szCs w:val="20"/>
        </w:rPr>
        <w:t>Momoniat</w:t>
      </w:r>
      <w:proofErr w:type="spellEnd"/>
      <w:r w:rsidRPr="001F5558">
        <w:rPr>
          <w:rFonts w:ascii="Arial" w:eastAsia="Times New Roman" w:hAnsi="Arial" w:cs="Arial"/>
          <w:sz w:val="20"/>
          <w:szCs w:val="20"/>
        </w:rPr>
        <w:t xml:space="preserve"> et al., 2019</w:t>
      </w:r>
      <w:r w:rsidR="00F635B1" w:rsidRPr="001F5558">
        <w:rPr>
          <w:rFonts w:ascii="Arial" w:eastAsia="Times New Roman" w:hAnsi="Arial" w:cs="Arial"/>
          <w:sz w:val="20"/>
          <w:szCs w:val="20"/>
        </w:rPr>
        <w:t>; Zhang et al., 2020</w:t>
      </w:r>
      <w:r w:rsidR="00B71D8F" w:rsidRPr="001F5558">
        <w:rPr>
          <w:rFonts w:ascii="Arial" w:eastAsia="Times New Roman" w:hAnsi="Arial" w:cs="Arial"/>
          <w:sz w:val="20"/>
          <w:szCs w:val="20"/>
        </w:rPr>
        <w:t>; Schmieder, 2025</w:t>
      </w:r>
      <w:r w:rsidR="00F635B1" w:rsidRPr="001F5558">
        <w:rPr>
          <w:rFonts w:ascii="Arial" w:eastAsia="Times New Roman" w:hAnsi="Arial" w:cs="Arial"/>
          <w:sz w:val="20"/>
          <w:szCs w:val="20"/>
        </w:rPr>
        <w:t>).</w:t>
      </w:r>
      <w:r w:rsidR="00021C4B" w:rsidRPr="001F5558">
        <w:rPr>
          <w:rFonts w:ascii="Arial" w:eastAsia="Times New Roman" w:hAnsi="Arial" w:cs="Arial"/>
          <w:sz w:val="20"/>
          <w:szCs w:val="20"/>
        </w:rPr>
        <w:t xml:space="preserve"> </w:t>
      </w:r>
      <w:r w:rsidR="0011735B" w:rsidRPr="001F5558">
        <w:rPr>
          <w:rFonts w:ascii="Arial" w:eastAsia="Times New Roman" w:hAnsi="Arial" w:cs="Arial"/>
          <w:sz w:val="20"/>
          <w:szCs w:val="20"/>
        </w:rPr>
        <w:t xml:space="preserve">The most widely used </w:t>
      </w:r>
      <w:r w:rsidR="000E4E76" w:rsidRPr="001F5558">
        <w:rPr>
          <w:rFonts w:ascii="Arial" w:eastAsia="Times New Roman" w:hAnsi="Arial" w:cs="Arial"/>
          <w:sz w:val="20"/>
          <w:szCs w:val="20"/>
        </w:rPr>
        <w:t xml:space="preserve">ACEIs are ramipril 10 mg/day, captopril 25-150 mg (Max: 450 mg/day), enalapril oral 10 mg/day, </w:t>
      </w:r>
      <w:r w:rsidR="006E78A9" w:rsidRPr="001F5558">
        <w:rPr>
          <w:rFonts w:ascii="Arial" w:eastAsia="Times New Roman" w:hAnsi="Arial" w:cs="Arial"/>
          <w:sz w:val="20"/>
          <w:szCs w:val="20"/>
        </w:rPr>
        <w:t>intravenous</w:t>
      </w:r>
      <w:r w:rsidR="000E4E76" w:rsidRPr="001F5558">
        <w:rPr>
          <w:rFonts w:ascii="Arial" w:eastAsia="Times New Roman" w:hAnsi="Arial" w:cs="Arial"/>
          <w:sz w:val="20"/>
          <w:szCs w:val="20"/>
        </w:rPr>
        <w:t xml:space="preserve"> </w:t>
      </w:r>
      <w:r w:rsidR="006E78A9" w:rsidRPr="001F5558">
        <w:rPr>
          <w:rFonts w:ascii="Arial" w:eastAsia="Times New Roman" w:hAnsi="Arial" w:cs="Arial"/>
          <w:sz w:val="20"/>
          <w:szCs w:val="20"/>
        </w:rPr>
        <w:t xml:space="preserve">dose is </w:t>
      </w:r>
      <w:r w:rsidR="000E4E76" w:rsidRPr="001F5558">
        <w:rPr>
          <w:rFonts w:ascii="Arial" w:eastAsia="Times New Roman" w:hAnsi="Arial" w:cs="Arial"/>
          <w:sz w:val="20"/>
          <w:szCs w:val="20"/>
        </w:rPr>
        <w:t>1.25</w:t>
      </w:r>
      <w:r w:rsidR="00180501" w:rsidRPr="001F5558">
        <w:rPr>
          <w:rFonts w:ascii="Arial" w:eastAsia="Times New Roman" w:hAnsi="Arial" w:cs="Arial"/>
          <w:sz w:val="20"/>
          <w:szCs w:val="20"/>
        </w:rPr>
        <w:t xml:space="preserve"> </w:t>
      </w:r>
      <w:r w:rsidR="0011735B" w:rsidRPr="001F5558">
        <w:rPr>
          <w:rFonts w:ascii="Arial" w:eastAsia="Times New Roman" w:hAnsi="Arial" w:cs="Arial"/>
          <w:sz w:val="20"/>
          <w:szCs w:val="20"/>
        </w:rPr>
        <w:t xml:space="preserve">mg </w:t>
      </w:r>
      <w:r w:rsidR="006E78A9" w:rsidRPr="001F5558">
        <w:rPr>
          <w:rFonts w:ascii="Arial" w:eastAsia="Times New Roman" w:hAnsi="Arial" w:cs="Arial"/>
          <w:sz w:val="20"/>
          <w:szCs w:val="20"/>
        </w:rPr>
        <w:t xml:space="preserve">after every </w:t>
      </w:r>
      <w:r w:rsidR="0011735B" w:rsidRPr="001F5558">
        <w:rPr>
          <w:rFonts w:ascii="Arial" w:eastAsia="Times New Roman" w:hAnsi="Arial" w:cs="Arial"/>
          <w:sz w:val="20"/>
          <w:szCs w:val="20"/>
        </w:rPr>
        <w:t>6 h (</w:t>
      </w:r>
      <w:r w:rsidR="00D1369F" w:rsidRPr="001F5558">
        <w:rPr>
          <w:rFonts w:ascii="Arial" w:eastAsia="Times New Roman" w:hAnsi="Arial" w:cs="Arial"/>
          <w:sz w:val="20"/>
          <w:szCs w:val="20"/>
        </w:rPr>
        <w:t>Ku et al., 2024; Avula et al., 2025</w:t>
      </w:r>
      <w:r w:rsidR="0011735B" w:rsidRPr="001F5558">
        <w:rPr>
          <w:rFonts w:ascii="Arial" w:eastAsia="Times New Roman" w:hAnsi="Arial" w:cs="Arial"/>
          <w:sz w:val="20"/>
          <w:szCs w:val="20"/>
        </w:rPr>
        <w:t xml:space="preserve">). </w:t>
      </w:r>
      <w:r w:rsidR="00B72D78" w:rsidRPr="001F5558">
        <w:rPr>
          <w:rFonts w:ascii="Arial" w:eastAsia="Times New Roman" w:hAnsi="Arial" w:cs="Arial"/>
          <w:sz w:val="20"/>
          <w:szCs w:val="20"/>
        </w:rPr>
        <w:t xml:space="preserve">ARBs are essential medications for managing </w:t>
      </w:r>
      <w:r w:rsidR="00454E33" w:rsidRPr="001F5558">
        <w:rPr>
          <w:rFonts w:ascii="Arial" w:eastAsia="Times New Roman" w:hAnsi="Arial" w:cs="Arial"/>
          <w:sz w:val="20"/>
          <w:szCs w:val="20"/>
        </w:rPr>
        <w:t>HTN</w:t>
      </w:r>
      <w:r w:rsidR="00B72D78" w:rsidRPr="001F5558">
        <w:rPr>
          <w:rFonts w:ascii="Arial" w:eastAsia="Times New Roman" w:hAnsi="Arial" w:cs="Arial"/>
          <w:sz w:val="20"/>
          <w:szCs w:val="20"/>
        </w:rPr>
        <w:t xml:space="preserve"> in individuals with </w:t>
      </w:r>
      <w:proofErr w:type="spellStart"/>
      <w:r w:rsidR="00B72D78" w:rsidRPr="001F5558">
        <w:rPr>
          <w:rFonts w:ascii="Arial" w:eastAsia="Times New Roman" w:hAnsi="Arial" w:cs="Arial"/>
          <w:sz w:val="20"/>
          <w:szCs w:val="20"/>
        </w:rPr>
        <w:t>proteinuric</w:t>
      </w:r>
      <w:proofErr w:type="spellEnd"/>
      <w:r w:rsidR="00B72D78" w:rsidRPr="001F5558">
        <w:rPr>
          <w:rFonts w:ascii="Arial" w:eastAsia="Times New Roman" w:hAnsi="Arial" w:cs="Arial"/>
          <w:sz w:val="20"/>
          <w:szCs w:val="20"/>
        </w:rPr>
        <w:t xml:space="preserve"> chronic kidney diseas</w:t>
      </w:r>
      <w:r w:rsidR="00021C4B" w:rsidRPr="001F5558">
        <w:rPr>
          <w:rFonts w:ascii="Arial" w:eastAsia="Times New Roman" w:hAnsi="Arial" w:cs="Arial"/>
          <w:sz w:val="20"/>
          <w:szCs w:val="20"/>
        </w:rPr>
        <w:t xml:space="preserve">e </w:t>
      </w:r>
      <w:r w:rsidR="00B72D78" w:rsidRPr="001F5558">
        <w:rPr>
          <w:rFonts w:ascii="Arial" w:eastAsia="Times New Roman" w:hAnsi="Arial" w:cs="Arial"/>
          <w:sz w:val="20"/>
          <w:szCs w:val="20"/>
        </w:rPr>
        <w:t xml:space="preserve">(Mukoyama </w:t>
      </w:r>
      <w:r w:rsidR="00F56493" w:rsidRPr="001F5558">
        <w:rPr>
          <w:rFonts w:ascii="Arial" w:eastAsia="Times New Roman" w:hAnsi="Arial" w:cs="Arial"/>
          <w:sz w:val="20"/>
          <w:szCs w:val="20"/>
        </w:rPr>
        <w:t xml:space="preserve">&amp; </w:t>
      </w:r>
      <w:r w:rsidR="00F56493" w:rsidRPr="001F5558">
        <w:rPr>
          <w:rFonts w:ascii="Arial" w:hAnsi="Arial" w:cs="Arial"/>
          <w:sz w:val="20"/>
          <w:szCs w:val="20"/>
        </w:rPr>
        <w:t xml:space="preserve">Kuwabara, </w:t>
      </w:r>
      <w:r w:rsidR="00B72D78" w:rsidRPr="001F5558">
        <w:rPr>
          <w:rFonts w:ascii="Arial" w:eastAsia="Times New Roman" w:hAnsi="Arial" w:cs="Arial"/>
          <w:sz w:val="20"/>
          <w:szCs w:val="20"/>
        </w:rPr>
        <w:t>2022</w:t>
      </w:r>
      <w:r w:rsidR="00164CEF" w:rsidRPr="001F5558">
        <w:rPr>
          <w:rFonts w:ascii="Arial" w:eastAsia="Times New Roman" w:hAnsi="Arial" w:cs="Arial"/>
          <w:sz w:val="20"/>
          <w:szCs w:val="20"/>
        </w:rPr>
        <w:t xml:space="preserve">; </w:t>
      </w:r>
      <w:proofErr w:type="spellStart"/>
      <w:r w:rsidR="00164CEF" w:rsidRPr="001F5558">
        <w:rPr>
          <w:rFonts w:ascii="Arial" w:eastAsia="Times New Roman" w:hAnsi="Arial" w:cs="Arial"/>
          <w:sz w:val="20"/>
          <w:szCs w:val="20"/>
        </w:rPr>
        <w:t>Georgianos</w:t>
      </w:r>
      <w:proofErr w:type="spellEnd"/>
      <w:r w:rsidR="00164CEF" w:rsidRPr="001F5558">
        <w:rPr>
          <w:rFonts w:ascii="Arial" w:eastAsia="Times New Roman" w:hAnsi="Arial" w:cs="Arial"/>
          <w:sz w:val="20"/>
          <w:szCs w:val="20"/>
        </w:rPr>
        <w:t xml:space="preserve"> </w:t>
      </w:r>
      <w:r w:rsidR="00E244F4" w:rsidRPr="001F5558">
        <w:rPr>
          <w:rFonts w:ascii="Arial" w:eastAsia="Times New Roman" w:hAnsi="Arial" w:cs="Arial"/>
          <w:sz w:val="20"/>
          <w:szCs w:val="20"/>
        </w:rPr>
        <w:t xml:space="preserve">&amp; Agarwal, </w:t>
      </w:r>
      <w:r w:rsidR="00164CEF" w:rsidRPr="001F5558">
        <w:rPr>
          <w:rFonts w:ascii="Arial" w:eastAsia="Times New Roman" w:hAnsi="Arial" w:cs="Arial"/>
          <w:sz w:val="20"/>
          <w:szCs w:val="20"/>
        </w:rPr>
        <w:t>2023</w:t>
      </w:r>
      <w:r w:rsidR="00021C4B" w:rsidRPr="001F5558">
        <w:rPr>
          <w:rFonts w:ascii="Arial" w:eastAsia="Times New Roman" w:hAnsi="Arial" w:cs="Arial"/>
          <w:sz w:val="20"/>
          <w:szCs w:val="20"/>
        </w:rPr>
        <w:t xml:space="preserve">). </w:t>
      </w:r>
      <w:r w:rsidR="00B72D78" w:rsidRPr="001F5558">
        <w:rPr>
          <w:rFonts w:ascii="Arial" w:eastAsia="Times New Roman" w:hAnsi="Arial" w:cs="Arial"/>
          <w:sz w:val="20"/>
          <w:szCs w:val="20"/>
        </w:rPr>
        <w:t xml:space="preserve">ARBs are </w:t>
      </w:r>
      <w:r w:rsidR="000E4E76" w:rsidRPr="001F5558">
        <w:rPr>
          <w:rFonts w:ascii="Arial" w:eastAsia="Times New Roman" w:hAnsi="Arial" w:cs="Arial"/>
          <w:sz w:val="20"/>
          <w:szCs w:val="20"/>
        </w:rPr>
        <w:t>recommended as a primary treatment option</w:t>
      </w:r>
      <w:r w:rsidR="00B72D78" w:rsidRPr="001F5558">
        <w:rPr>
          <w:rFonts w:ascii="Arial" w:eastAsia="Times New Roman" w:hAnsi="Arial" w:cs="Arial"/>
          <w:sz w:val="20"/>
          <w:szCs w:val="20"/>
        </w:rPr>
        <w:t xml:space="preserve"> for individuals with </w:t>
      </w:r>
      <w:r w:rsidR="00021C4B" w:rsidRPr="001F5558">
        <w:rPr>
          <w:rFonts w:ascii="Arial" w:eastAsia="Times New Roman" w:hAnsi="Arial" w:cs="Arial"/>
          <w:sz w:val="20"/>
          <w:szCs w:val="20"/>
        </w:rPr>
        <w:t xml:space="preserve">HTN </w:t>
      </w:r>
      <w:r w:rsidR="00B72D78" w:rsidRPr="001F5558">
        <w:rPr>
          <w:rFonts w:ascii="Arial" w:eastAsia="Times New Roman" w:hAnsi="Arial" w:cs="Arial"/>
          <w:sz w:val="20"/>
          <w:szCs w:val="20"/>
        </w:rPr>
        <w:t>and CKD (</w:t>
      </w:r>
      <w:proofErr w:type="spellStart"/>
      <w:r w:rsidR="00021C4B" w:rsidRPr="001F5558">
        <w:rPr>
          <w:rFonts w:ascii="Arial" w:eastAsia="Times New Roman" w:hAnsi="Arial" w:cs="Arial"/>
          <w:sz w:val="20"/>
          <w:szCs w:val="20"/>
        </w:rPr>
        <w:t>Burnier</w:t>
      </w:r>
      <w:proofErr w:type="spellEnd"/>
      <w:r w:rsidR="00021C4B" w:rsidRPr="001F5558">
        <w:rPr>
          <w:rFonts w:ascii="Arial" w:eastAsia="Times New Roman" w:hAnsi="Arial" w:cs="Arial"/>
          <w:sz w:val="20"/>
          <w:szCs w:val="20"/>
        </w:rPr>
        <w:t xml:space="preserve"> </w:t>
      </w:r>
      <w:r w:rsidR="00B72D78" w:rsidRPr="001F5558">
        <w:rPr>
          <w:rFonts w:ascii="Arial" w:eastAsia="Times New Roman" w:hAnsi="Arial" w:cs="Arial"/>
          <w:sz w:val="20"/>
          <w:szCs w:val="20"/>
        </w:rPr>
        <w:t>et al., 2019</w:t>
      </w:r>
      <w:r w:rsidR="00021C4B" w:rsidRPr="001F5558">
        <w:rPr>
          <w:rFonts w:ascii="Arial" w:eastAsia="Times New Roman" w:hAnsi="Arial" w:cs="Arial"/>
          <w:sz w:val="20"/>
          <w:szCs w:val="20"/>
        </w:rPr>
        <w:t xml:space="preserve">). </w:t>
      </w:r>
      <w:r w:rsidR="006F1C0C" w:rsidRPr="001F5558">
        <w:rPr>
          <w:rFonts w:ascii="Arial" w:eastAsia="Times New Roman" w:hAnsi="Arial" w:cs="Arial"/>
          <w:sz w:val="20"/>
          <w:szCs w:val="20"/>
        </w:rPr>
        <w:t>A combination</w:t>
      </w:r>
      <w:r w:rsidR="00021C4B" w:rsidRPr="001F5558">
        <w:rPr>
          <w:rFonts w:ascii="Arial" w:eastAsia="Times New Roman" w:hAnsi="Arial" w:cs="Arial"/>
          <w:sz w:val="20"/>
          <w:szCs w:val="20"/>
        </w:rPr>
        <w:t xml:space="preserve"> </w:t>
      </w:r>
      <w:r w:rsidR="00172DE0" w:rsidRPr="001F5558">
        <w:rPr>
          <w:rFonts w:ascii="Arial" w:eastAsia="Times New Roman" w:hAnsi="Arial" w:cs="Arial"/>
          <w:sz w:val="20"/>
          <w:szCs w:val="20"/>
        </w:rPr>
        <w:t xml:space="preserve">of </w:t>
      </w:r>
      <w:r w:rsidR="006E78A9" w:rsidRPr="001F5558">
        <w:rPr>
          <w:rFonts w:ascii="Arial" w:eastAsia="Times New Roman" w:hAnsi="Arial" w:cs="Arial"/>
          <w:sz w:val="20"/>
          <w:szCs w:val="20"/>
        </w:rPr>
        <w:t xml:space="preserve">an </w:t>
      </w:r>
      <w:r w:rsidR="00021C4B" w:rsidRPr="001F5558">
        <w:rPr>
          <w:rFonts w:ascii="Arial" w:eastAsia="Times New Roman" w:hAnsi="Arial" w:cs="Arial"/>
          <w:sz w:val="20"/>
          <w:szCs w:val="20"/>
        </w:rPr>
        <w:t>ACE</w:t>
      </w:r>
      <w:r w:rsidR="006E78A9" w:rsidRPr="001F5558">
        <w:rPr>
          <w:rFonts w:ascii="Arial" w:eastAsia="Times New Roman" w:hAnsi="Arial" w:cs="Arial"/>
          <w:sz w:val="20"/>
          <w:szCs w:val="20"/>
        </w:rPr>
        <w:t>I</w:t>
      </w:r>
      <w:r w:rsidR="00021C4B" w:rsidRPr="001F5558">
        <w:rPr>
          <w:rFonts w:ascii="Arial" w:eastAsia="Times New Roman" w:hAnsi="Arial" w:cs="Arial"/>
          <w:sz w:val="20"/>
          <w:szCs w:val="20"/>
        </w:rPr>
        <w:t xml:space="preserve"> </w:t>
      </w:r>
      <w:r w:rsidR="00172DE0" w:rsidRPr="001F5558">
        <w:rPr>
          <w:rFonts w:ascii="Arial" w:eastAsia="Times New Roman" w:hAnsi="Arial" w:cs="Arial"/>
          <w:sz w:val="20"/>
          <w:szCs w:val="20"/>
        </w:rPr>
        <w:t xml:space="preserve">with an ARB or </w:t>
      </w:r>
      <w:r w:rsidR="006F1C0C" w:rsidRPr="001F5558">
        <w:rPr>
          <w:rFonts w:ascii="Arial" w:eastAsia="Times New Roman" w:hAnsi="Arial" w:cs="Arial"/>
          <w:sz w:val="20"/>
          <w:szCs w:val="20"/>
        </w:rPr>
        <w:t xml:space="preserve">a </w:t>
      </w:r>
      <w:r w:rsidR="00172DE0" w:rsidRPr="001F5558">
        <w:rPr>
          <w:rFonts w:ascii="Arial" w:eastAsia="Times New Roman" w:hAnsi="Arial" w:cs="Arial"/>
          <w:sz w:val="20"/>
          <w:szCs w:val="20"/>
        </w:rPr>
        <w:t xml:space="preserve">combination of aliskiren </w:t>
      </w:r>
      <w:r w:rsidR="00021C4B" w:rsidRPr="001F5558">
        <w:rPr>
          <w:rFonts w:ascii="Arial" w:eastAsia="Times New Roman" w:hAnsi="Arial" w:cs="Arial"/>
          <w:sz w:val="20"/>
          <w:szCs w:val="20"/>
        </w:rPr>
        <w:t>is generally avoided in CKD patients with or without diabetes</w:t>
      </w:r>
      <w:r w:rsidR="00172DE0" w:rsidRPr="001F5558">
        <w:rPr>
          <w:rFonts w:ascii="Arial" w:eastAsia="Times New Roman" w:hAnsi="Arial" w:cs="Arial"/>
          <w:sz w:val="20"/>
          <w:szCs w:val="20"/>
        </w:rPr>
        <w:t xml:space="preserve"> due to increased risk of adverse events, such as </w:t>
      </w:r>
      <w:r w:rsidR="00021C4B" w:rsidRPr="001F5558">
        <w:rPr>
          <w:rFonts w:ascii="Arial" w:eastAsia="Times New Roman" w:hAnsi="Arial" w:cs="Arial"/>
          <w:sz w:val="20"/>
          <w:szCs w:val="20"/>
        </w:rPr>
        <w:t xml:space="preserve">hyperkalemia and acute kidney injury (Chen et al., 2019; Mukoyama </w:t>
      </w:r>
      <w:r w:rsidR="00E2219F" w:rsidRPr="001F5558">
        <w:rPr>
          <w:rFonts w:ascii="Arial" w:eastAsia="Times New Roman" w:hAnsi="Arial" w:cs="Arial"/>
          <w:sz w:val="20"/>
          <w:szCs w:val="20"/>
        </w:rPr>
        <w:t xml:space="preserve">&amp; </w:t>
      </w:r>
      <w:r w:rsidR="00E2219F" w:rsidRPr="001F5558">
        <w:rPr>
          <w:rFonts w:ascii="Arial" w:hAnsi="Arial" w:cs="Arial"/>
          <w:sz w:val="20"/>
          <w:szCs w:val="20"/>
        </w:rPr>
        <w:t xml:space="preserve">Kuwabara, </w:t>
      </w:r>
      <w:r w:rsidR="00021C4B" w:rsidRPr="001F5558">
        <w:rPr>
          <w:rFonts w:ascii="Arial" w:eastAsia="Times New Roman" w:hAnsi="Arial" w:cs="Arial"/>
          <w:sz w:val="20"/>
          <w:szCs w:val="20"/>
        </w:rPr>
        <w:t xml:space="preserve">2022). RAAS inhibitors </w:t>
      </w:r>
      <w:r w:rsidR="00180501" w:rsidRPr="001F5558">
        <w:rPr>
          <w:rFonts w:ascii="Arial" w:eastAsia="Times New Roman" w:hAnsi="Arial" w:cs="Arial"/>
          <w:sz w:val="20"/>
          <w:szCs w:val="20"/>
        </w:rPr>
        <w:t xml:space="preserve">are </w:t>
      </w:r>
      <w:r w:rsidR="00021C4B" w:rsidRPr="001F5558">
        <w:rPr>
          <w:rFonts w:ascii="Arial" w:eastAsia="Times New Roman" w:hAnsi="Arial" w:cs="Arial"/>
          <w:sz w:val="20"/>
          <w:szCs w:val="20"/>
        </w:rPr>
        <w:t>used cautiously in patients with CKD stages 4 and 5 because they can lead to renal function de</w:t>
      </w:r>
      <w:r w:rsidR="00A21C43" w:rsidRPr="001F5558">
        <w:rPr>
          <w:rFonts w:ascii="Arial" w:eastAsia="Times New Roman" w:hAnsi="Arial" w:cs="Arial"/>
          <w:sz w:val="20"/>
          <w:szCs w:val="20"/>
        </w:rPr>
        <w:t>cline</w:t>
      </w:r>
      <w:r w:rsidR="00021C4B" w:rsidRPr="001F5558">
        <w:rPr>
          <w:rFonts w:ascii="Arial" w:eastAsia="Times New Roman" w:hAnsi="Arial" w:cs="Arial"/>
          <w:sz w:val="20"/>
          <w:szCs w:val="20"/>
        </w:rPr>
        <w:t xml:space="preserve"> and hyperkalemia (Ohno et al., 2022</w:t>
      </w:r>
      <w:r w:rsidR="00D1369F" w:rsidRPr="001F5558">
        <w:rPr>
          <w:rFonts w:ascii="Arial" w:eastAsia="Times New Roman" w:hAnsi="Arial" w:cs="Arial"/>
          <w:sz w:val="20"/>
          <w:szCs w:val="20"/>
        </w:rPr>
        <w:t>; Ku et al., 2024; Avula et al., 2025</w:t>
      </w:r>
      <w:r w:rsidR="00324EAD" w:rsidRPr="001F5558">
        <w:rPr>
          <w:rFonts w:ascii="Arial" w:eastAsia="Times New Roman" w:hAnsi="Arial" w:cs="Arial"/>
          <w:sz w:val="20"/>
          <w:szCs w:val="20"/>
        </w:rPr>
        <w:t>; Schmieder, 2025</w:t>
      </w:r>
      <w:r w:rsidR="00021C4B" w:rsidRPr="001F5558">
        <w:rPr>
          <w:rFonts w:ascii="Arial" w:eastAsia="Times New Roman" w:hAnsi="Arial" w:cs="Arial"/>
          <w:sz w:val="20"/>
          <w:szCs w:val="20"/>
        </w:rPr>
        <w:t>)</w:t>
      </w:r>
      <w:r w:rsidR="00013A2C" w:rsidRPr="001F5558">
        <w:rPr>
          <w:rFonts w:ascii="Arial" w:eastAsia="Times New Roman" w:hAnsi="Arial" w:cs="Arial"/>
          <w:sz w:val="20"/>
          <w:szCs w:val="20"/>
        </w:rPr>
        <w:t xml:space="preserve"> (</w:t>
      </w:r>
      <w:r w:rsidR="0081414C" w:rsidRPr="001F5558">
        <w:rPr>
          <w:rFonts w:ascii="Arial" w:eastAsia="Times New Roman" w:hAnsi="Arial" w:cs="Arial"/>
          <w:sz w:val="20"/>
          <w:szCs w:val="20"/>
        </w:rPr>
        <w:t>Tables</w:t>
      </w:r>
      <w:r w:rsidR="00013A2C" w:rsidRPr="001F5558">
        <w:rPr>
          <w:rFonts w:ascii="Arial" w:eastAsia="Times New Roman" w:hAnsi="Arial" w:cs="Arial"/>
          <w:sz w:val="20"/>
          <w:szCs w:val="20"/>
        </w:rPr>
        <w:t xml:space="preserve"> </w:t>
      </w:r>
      <w:r w:rsidR="00BB77C7" w:rsidRPr="001F5558">
        <w:rPr>
          <w:rFonts w:ascii="Arial" w:eastAsia="Times New Roman" w:hAnsi="Arial" w:cs="Arial"/>
          <w:sz w:val="20"/>
          <w:szCs w:val="20"/>
        </w:rPr>
        <w:t>4</w:t>
      </w:r>
      <w:r w:rsidR="00C014A4" w:rsidRPr="001F5558">
        <w:rPr>
          <w:rFonts w:ascii="Arial" w:eastAsia="Times New Roman" w:hAnsi="Arial" w:cs="Arial"/>
          <w:sz w:val="20"/>
          <w:szCs w:val="20"/>
        </w:rPr>
        <w:t xml:space="preserve"> &amp; </w:t>
      </w:r>
      <w:r w:rsidR="00BB77C7" w:rsidRPr="001F5558">
        <w:rPr>
          <w:rFonts w:ascii="Arial" w:eastAsia="Times New Roman" w:hAnsi="Arial" w:cs="Arial"/>
          <w:sz w:val="20"/>
          <w:szCs w:val="20"/>
        </w:rPr>
        <w:t>5</w:t>
      </w:r>
      <w:r w:rsidR="00013A2C" w:rsidRPr="001F5558">
        <w:rPr>
          <w:rFonts w:ascii="Arial" w:eastAsia="Times New Roman" w:hAnsi="Arial" w:cs="Arial"/>
          <w:sz w:val="20"/>
          <w:szCs w:val="20"/>
        </w:rPr>
        <w:t>)</w:t>
      </w:r>
      <w:r w:rsidR="00021C4B" w:rsidRPr="001F5558">
        <w:rPr>
          <w:rFonts w:ascii="Arial" w:eastAsia="Times New Roman" w:hAnsi="Arial" w:cs="Arial"/>
          <w:sz w:val="20"/>
          <w:szCs w:val="20"/>
        </w:rPr>
        <w:t>.</w:t>
      </w:r>
      <w:r w:rsidR="00B711DC" w:rsidRPr="001F5558">
        <w:rPr>
          <w:rFonts w:ascii="Arial" w:eastAsia="Times New Roman" w:hAnsi="Arial" w:cs="Arial"/>
          <w:sz w:val="20"/>
          <w:szCs w:val="20"/>
        </w:rPr>
        <w:t xml:space="preserve"> Importantly, eGFR and serum electrolytes, particularly potassium, should be monitored within 4 – 8 weeks after treatment initiation. The treatment should be stopped or discontinued when there is more than &gt;30% reduction in GFR and should be examined for </w:t>
      </w:r>
      <w:r w:rsidR="008F4FEA" w:rsidRPr="001F5558">
        <w:rPr>
          <w:rFonts w:ascii="Arial" w:eastAsia="Times New Roman" w:hAnsi="Arial" w:cs="Arial"/>
          <w:sz w:val="20"/>
          <w:szCs w:val="20"/>
        </w:rPr>
        <w:t>the</w:t>
      </w:r>
      <w:r w:rsidR="00B711DC" w:rsidRPr="001F5558">
        <w:rPr>
          <w:rFonts w:ascii="Arial" w:eastAsia="Times New Roman" w:hAnsi="Arial" w:cs="Arial"/>
          <w:sz w:val="20"/>
          <w:szCs w:val="20"/>
        </w:rPr>
        <w:t xml:space="preserve"> presence of renovascular disease</w:t>
      </w:r>
      <w:r w:rsidR="002068A7" w:rsidRPr="001F5558">
        <w:rPr>
          <w:rFonts w:ascii="Arial" w:eastAsia="Times New Roman" w:hAnsi="Arial" w:cs="Arial"/>
          <w:sz w:val="20"/>
          <w:szCs w:val="20"/>
        </w:rPr>
        <w:t xml:space="preserve"> (Avula et al., 2025)</w:t>
      </w:r>
      <w:r w:rsidR="00B711DC" w:rsidRPr="001F5558">
        <w:rPr>
          <w:rFonts w:ascii="Arial" w:eastAsia="Times New Roman" w:hAnsi="Arial" w:cs="Arial"/>
          <w:sz w:val="20"/>
          <w:szCs w:val="20"/>
        </w:rPr>
        <w:t>. Moreover, the use of ACEIs or ARBs in CKD increases the risk of hyperkalemia</w:t>
      </w:r>
      <w:r w:rsidR="00A0559B" w:rsidRPr="001F5558">
        <w:rPr>
          <w:rFonts w:ascii="Arial" w:eastAsia="Times New Roman" w:hAnsi="Arial" w:cs="Arial"/>
          <w:sz w:val="20"/>
          <w:szCs w:val="20"/>
        </w:rPr>
        <w:t>, which</w:t>
      </w:r>
      <w:r w:rsidR="00B711DC" w:rsidRPr="001F5558">
        <w:rPr>
          <w:rFonts w:ascii="Arial" w:eastAsia="Times New Roman" w:hAnsi="Arial" w:cs="Arial"/>
          <w:sz w:val="20"/>
          <w:szCs w:val="20"/>
        </w:rPr>
        <w:t xml:space="preserve"> is another reason for treatment dose reduction or discontinuation (</w:t>
      </w:r>
      <w:r w:rsidR="00B64E95" w:rsidRPr="001F5558">
        <w:rPr>
          <w:rFonts w:ascii="Arial" w:eastAsia="Times New Roman" w:hAnsi="Arial" w:cs="Arial"/>
          <w:sz w:val="20"/>
          <w:szCs w:val="20"/>
        </w:rPr>
        <w:t xml:space="preserve">Leon &amp; Tangri, 2022; </w:t>
      </w:r>
      <w:proofErr w:type="spellStart"/>
      <w:r w:rsidR="00A0559B" w:rsidRPr="001F5558">
        <w:rPr>
          <w:rFonts w:ascii="Arial" w:hAnsi="Arial" w:cs="Arial"/>
          <w:sz w:val="20"/>
          <w:szCs w:val="20"/>
        </w:rPr>
        <w:t>Alsalloum</w:t>
      </w:r>
      <w:proofErr w:type="spellEnd"/>
      <w:r w:rsidR="00A0559B" w:rsidRPr="001F5558">
        <w:rPr>
          <w:rFonts w:ascii="Arial" w:hAnsi="Arial" w:cs="Arial"/>
          <w:sz w:val="20"/>
          <w:szCs w:val="20"/>
        </w:rPr>
        <w:t xml:space="preserve"> et al., 2025; </w:t>
      </w:r>
      <w:r w:rsidR="00B711DC" w:rsidRPr="001F5558">
        <w:rPr>
          <w:rFonts w:ascii="Arial" w:eastAsia="Times New Roman" w:hAnsi="Arial" w:cs="Arial"/>
          <w:sz w:val="20"/>
          <w:szCs w:val="20"/>
        </w:rPr>
        <w:t xml:space="preserve">Avula et al., 2025). </w:t>
      </w:r>
      <w:r w:rsidR="002068A7" w:rsidRPr="001F5558">
        <w:rPr>
          <w:rFonts w:ascii="Arial" w:eastAsia="Times New Roman" w:hAnsi="Arial" w:cs="Arial"/>
          <w:sz w:val="20"/>
          <w:szCs w:val="20"/>
        </w:rPr>
        <w:t xml:space="preserve">Hyperkalemia is effectively managed with potassium binders, with newer agents being highly preferred. Sodium polystyrene sulfonate is the first-generation binder generally limited by side effects and poor tolerability compared to newer agents, though still used. The </w:t>
      </w:r>
      <w:r w:rsidR="006F1C0C" w:rsidRPr="001F5558">
        <w:rPr>
          <w:rFonts w:ascii="Arial" w:eastAsia="Times New Roman" w:hAnsi="Arial" w:cs="Arial"/>
          <w:sz w:val="20"/>
          <w:szCs w:val="20"/>
        </w:rPr>
        <w:t>second-generation</w:t>
      </w:r>
      <w:r w:rsidR="002068A7" w:rsidRPr="001F5558">
        <w:rPr>
          <w:rFonts w:ascii="Arial" w:eastAsia="Times New Roman" w:hAnsi="Arial" w:cs="Arial"/>
          <w:sz w:val="20"/>
          <w:szCs w:val="20"/>
        </w:rPr>
        <w:t xml:space="preserve"> agents are newer potassium binders, namely </w:t>
      </w:r>
      <w:proofErr w:type="spellStart"/>
      <w:r w:rsidR="002068A7" w:rsidRPr="001F5558">
        <w:rPr>
          <w:rFonts w:ascii="Arial" w:eastAsia="Times New Roman" w:hAnsi="Arial" w:cs="Arial"/>
          <w:sz w:val="20"/>
          <w:szCs w:val="20"/>
        </w:rPr>
        <w:t>patiromer</w:t>
      </w:r>
      <w:proofErr w:type="spellEnd"/>
      <w:r w:rsidR="002068A7" w:rsidRPr="001F5558">
        <w:rPr>
          <w:rFonts w:ascii="Arial" w:eastAsia="Times New Roman" w:hAnsi="Arial" w:cs="Arial"/>
          <w:sz w:val="20"/>
          <w:szCs w:val="20"/>
        </w:rPr>
        <w:t xml:space="preserve"> and sodium zirconium cyclosilicate) which are non-absorbed polymers that exchange calcium for potassium</w:t>
      </w:r>
      <w:r w:rsidR="00184AC8" w:rsidRPr="001F5558">
        <w:rPr>
          <w:rFonts w:ascii="Arial" w:eastAsia="Times New Roman" w:hAnsi="Arial" w:cs="Arial"/>
          <w:sz w:val="20"/>
          <w:szCs w:val="20"/>
        </w:rPr>
        <w:t xml:space="preserve"> and </w:t>
      </w:r>
      <w:r w:rsidR="00225AD5" w:rsidRPr="001F5558">
        <w:rPr>
          <w:rFonts w:ascii="Arial" w:eastAsia="Times New Roman" w:hAnsi="Arial" w:cs="Arial"/>
          <w:sz w:val="20"/>
          <w:szCs w:val="20"/>
        </w:rPr>
        <w:t xml:space="preserve">have been </w:t>
      </w:r>
      <w:r w:rsidR="00B711DC" w:rsidRPr="001F5558">
        <w:rPr>
          <w:rFonts w:ascii="Arial" w:eastAsia="Times New Roman" w:hAnsi="Arial" w:cs="Arial"/>
          <w:sz w:val="20"/>
          <w:szCs w:val="20"/>
        </w:rPr>
        <w:t>shown to effectively normalize elevated serum potassium and chronically maintain normal levels in CKD patients treated with ACE</w:t>
      </w:r>
      <w:r w:rsidR="006F1C0C" w:rsidRPr="001F5558">
        <w:rPr>
          <w:rFonts w:ascii="Arial" w:eastAsia="Times New Roman" w:hAnsi="Arial" w:cs="Arial"/>
          <w:sz w:val="20"/>
          <w:szCs w:val="20"/>
        </w:rPr>
        <w:t>I</w:t>
      </w:r>
      <w:r w:rsidR="00B711DC" w:rsidRPr="001F5558">
        <w:rPr>
          <w:rFonts w:ascii="Arial" w:eastAsia="Times New Roman" w:hAnsi="Arial" w:cs="Arial"/>
          <w:sz w:val="20"/>
          <w:szCs w:val="20"/>
        </w:rPr>
        <w:t xml:space="preserve">s, ARBs or spironolactone, with good tolerability </w:t>
      </w:r>
      <w:r w:rsidR="00184AC8" w:rsidRPr="001F5558">
        <w:rPr>
          <w:rFonts w:ascii="Arial" w:eastAsia="Times New Roman" w:hAnsi="Arial" w:cs="Arial"/>
          <w:sz w:val="20"/>
          <w:szCs w:val="20"/>
        </w:rPr>
        <w:t xml:space="preserve">(Huang et al., 2025; Riaz et al., 2025). Clinical practice guidelines </w:t>
      </w:r>
      <w:r w:rsidR="00225AD5" w:rsidRPr="001F5558">
        <w:rPr>
          <w:rFonts w:ascii="Arial" w:eastAsia="Times New Roman" w:hAnsi="Arial" w:cs="Arial"/>
          <w:sz w:val="20"/>
          <w:szCs w:val="20"/>
        </w:rPr>
        <w:t>recommend using</w:t>
      </w:r>
      <w:r w:rsidR="00B711DC" w:rsidRPr="001F5558">
        <w:rPr>
          <w:rFonts w:ascii="Arial" w:eastAsia="Times New Roman" w:hAnsi="Arial" w:cs="Arial"/>
          <w:sz w:val="20"/>
          <w:szCs w:val="20"/>
        </w:rPr>
        <w:t xml:space="preserve"> these agents to maintain serum potassium &lt;5.5 mmol/L in individuals with CKD in order to allow optimal treatment with a RA</w:t>
      </w:r>
      <w:r w:rsidR="00184AC8" w:rsidRPr="001F5558">
        <w:rPr>
          <w:rFonts w:ascii="Arial" w:eastAsia="Times New Roman" w:hAnsi="Arial" w:cs="Arial"/>
          <w:sz w:val="20"/>
          <w:szCs w:val="20"/>
        </w:rPr>
        <w:t>A</w:t>
      </w:r>
      <w:r w:rsidR="00B711DC" w:rsidRPr="001F5558">
        <w:rPr>
          <w:rFonts w:ascii="Arial" w:eastAsia="Times New Roman" w:hAnsi="Arial" w:cs="Arial"/>
          <w:sz w:val="20"/>
          <w:szCs w:val="20"/>
        </w:rPr>
        <w:t xml:space="preserve">S </w:t>
      </w:r>
      <w:r w:rsidR="00184AC8" w:rsidRPr="001F5558">
        <w:rPr>
          <w:rFonts w:ascii="Arial" w:eastAsia="Times New Roman" w:hAnsi="Arial" w:cs="Arial"/>
          <w:sz w:val="20"/>
          <w:szCs w:val="20"/>
        </w:rPr>
        <w:t xml:space="preserve">inhibitor </w:t>
      </w:r>
      <w:r w:rsidR="00B711DC" w:rsidRPr="001F5558">
        <w:rPr>
          <w:rFonts w:ascii="Arial" w:eastAsia="Times New Roman" w:hAnsi="Arial" w:cs="Arial"/>
          <w:sz w:val="20"/>
          <w:szCs w:val="20"/>
        </w:rPr>
        <w:t xml:space="preserve">or MRA to continue </w:t>
      </w:r>
      <w:r w:rsidR="00184AC8" w:rsidRPr="001F5558">
        <w:rPr>
          <w:rFonts w:ascii="Arial" w:eastAsia="Times New Roman" w:hAnsi="Arial" w:cs="Arial"/>
          <w:sz w:val="20"/>
          <w:szCs w:val="20"/>
        </w:rPr>
        <w:t>(</w:t>
      </w:r>
      <w:r w:rsidR="00FA2186" w:rsidRPr="001F5558">
        <w:rPr>
          <w:rFonts w:ascii="Arial" w:eastAsia="Times New Roman" w:hAnsi="Arial" w:cs="Arial"/>
          <w:sz w:val="20"/>
          <w:szCs w:val="20"/>
        </w:rPr>
        <w:t xml:space="preserve">KDIGO 2024; </w:t>
      </w:r>
      <w:proofErr w:type="spellStart"/>
      <w:r w:rsidR="00FA2186" w:rsidRPr="001F5558">
        <w:rPr>
          <w:rFonts w:ascii="Arial" w:eastAsia="Times New Roman" w:hAnsi="Arial" w:cs="Arial"/>
          <w:sz w:val="20"/>
          <w:szCs w:val="20"/>
        </w:rPr>
        <w:t>Theodorakopoulou</w:t>
      </w:r>
      <w:proofErr w:type="spellEnd"/>
      <w:r w:rsidR="00FA2186" w:rsidRPr="001F5558">
        <w:rPr>
          <w:rFonts w:ascii="Arial" w:eastAsia="Times New Roman" w:hAnsi="Arial" w:cs="Arial"/>
          <w:sz w:val="20"/>
          <w:szCs w:val="20"/>
        </w:rPr>
        <w:t xml:space="preserve"> et al., 2024</w:t>
      </w:r>
      <w:r w:rsidR="00184AC8" w:rsidRPr="001F5558">
        <w:rPr>
          <w:rFonts w:ascii="Arial" w:eastAsia="Times New Roman" w:hAnsi="Arial" w:cs="Arial"/>
          <w:sz w:val="20"/>
          <w:szCs w:val="20"/>
        </w:rPr>
        <w:t>)</w:t>
      </w:r>
      <w:r w:rsidR="00B711DC" w:rsidRPr="001F5558">
        <w:rPr>
          <w:rFonts w:ascii="Arial" w:eastAsia="Times New Roman" w:hAnsi="Arial" w:cs="Arial"/>
          <w:sz w:val="20"/>
          <w:szCs w:val="20"/>
        </w:rPr>
        <w:t>.</w:t>
      </w:r>
    </w:p>
    <w:p w14:paraId="101A4A60" w14:textId="77777777" w:rsidR="00BB77C7" w:rsidRPr="001F5558" w:rsidRDefault="00BB77C7" w:rsidP="006723FF">
      <w:pPr>
        <w:spacing w:after="0" w:line="240" w:lineRule="auto"/>
        <w:jc w:val="both"/>
        <w:rPr>
          <w:rFonts w:ascii="Arial" w:eastAsia="Times New Roman" w:hAnsi="Arial" w:cs="Arial"/>
          <w:sz w:val="20"/>
          <w:szCs w:val="20"/>
        </w:rPr>
      </w:pPr>
    </w:p>
    <w:p w14:paraId="717D061F" w14:textId="77777777" w:rsidR="006723FF" w:rsidRPr="001F5558" w:rsidRDefault="006723FF" w:rsidP="006723FF">
      <w:pPr>
        <w:spacing w:after="0" w:line="240" w:lineRule="auto"/>
        <w:jc w:val="both"/>
        <w:rPr>
          <w:rFonts w:ascii="Arial" w:eastAsia="Times New Roman" w:hAnsi="Arial" w:cs="Arial"/>
          <w:b/>
          <w:bCs/>
        </w:rPr>
      </w:pPr>
      <w:r w:rsidRPr="001F5558">
        <w:rPr>
          <w:rFonts w:ascii="Arial" w:eastAsia="Times New Roman" w:hAnsi="Arial" w:cs="Arial"/>
          <w:b/>
          <w:bCs/>
        </w:rPr>
        <w:t>3.2. Diuretics</w:t>
      </w:r>
    </w:p>
    <w:p w14:paraId="629EF630" w14:textId="77777777" w:rsidR="006723FF" w:rsidRPr="001F5558" w:rsidRDefault="006723FF" w:rsidP="006723FF">
      <w:pPr>
        <w:spacing w:after="0" w:line="240" w:lineRule="auto"/>
        <w:jc w:val="both"/>
        <w:rPr>
          <w:rFonts w:ascii="Arial" w:eastAsia="Times New Roman" w:hAnsi="Arial" w:cs="Arial"/>
          <w:b/>
          <w:bCs/>
          <w:sz w:val="20"/>
          <w:szCs w:val="20"/>
        </w:rPr>
      </w:pPr>
    </w:p>
    <w:p w14:paraId="6460C05B" w14:textId="1F112673" w:rsidR="006723FF" w:rsidRPr="001F5558" w:rsidRDefault="006723FF" w:rsidP="006723FF">
      <w:pPr>
        <w:spacing w:after="0" w:line="240" w:lineRule="auto"/>
        <w:jc w:val="both"/>
        <w:rPr>
          <w:rFonts w:ascii="Arial" w:eastAsia="Times New Roman" w:hAnsi="Arial" w:cs="Arial"/>
          <w:sz w:val="20"/>
          <w:szCs w:val="20"/>
        </w:rPr>
      </w:pPr>
      <w:r w:rsidRPr="001F5558">
        <w:rPr>
          <w:rFonts w:ascii="Arial" w:eastAsia="Times New Roman" w:hAnsi="Arial" w:cs="Arial"/>
          <w:sz w:val="20"/>
          <w:szCs w:val="20"/>
        </w:rPr>
        <w:t xml:space="preserve">The usage of diuretics has been a cornerstone of the treatment of HTN in CKD patients (Ali et al., 2022; Agarwal &amp; Verma, 2025). Diuretics have a key role in the treatment of HTN and fluid overload in CKD. They reduce extracellular fluid volume and enhance the effectiveness of ACE-I, ARBs, and other antihypertensives (Agarwal et al., 2025). The combination of diuretics with ACE-I, ARBs, CCBs, </w:t>
      </w:r>
      <w:r w:rsidR="00B9576A" w:rsidRPr="001F5558">
        <w:rPr>
          <w:rFonts w:ascii="Arial" w:eastAsia="Times New Roman" w:hAnsi="Arial" w:cs="Arial"/>
          <w:sz w:val="20"/>
          <w:szCs w:val="20"/>
        </w:rPr>
        <w:t>beta</w:t>
      </w:r>
      <w:r w:rsidRPr="001F5558">
        <w:rPr>
          <w:rFonts w:ascii="Arial" w:eastAsia="Times New Roman" w:hAnsi="Arial" w:cs="Arial"/>
          <w:sz w:val="20"/>
          <w:szCs w:val="20"/>
        </w:rPr>
        <w:t xml:space="preserve">-blockers, and centrally acting drugs can yield positive results (Fu et al., 2021; </w:t>
      </w:r>
      <w:proofErr w:type="spellStart"/>
      <w:r w:rsidRPr="001F5558">
        <w:rPr>
          <w:rFonts w:ascii="Arial" w:eastAsia="Times New Roman" w:hAnsi="Arial" w:cs="Arial"/>
          <w:sz w:val="20"/>
          <w:szCs w:val="20"/>
        </w:rPr>
        <w:t>Georgianos</w:t>
      </w:r>
      <w:proofErr w:type="spellEnd"/>
      <w:r w:rsidRPr="001F5558">
        <w:rPr>
          <w:rFonts w:ascii="Arial" w:eastAsia="Times New Roman" w:hAnsi="Arial" w:cs="Arial"/>
          <w:sz w:val="20"/>
          <w:szCs w:val="20"/>
        </w:rPr>
        <w:t xml:space="preserve"> &amp; Agarwal, 2023). Thiazide diuretics are a first-line agent for the treatment of HTN, whether used alone or in combination with other antihypertensive drugs (de Boer et al., 2022; </w:t>
      </w:r>
      <w:proofErr w:type="spellStart"/>
      <w:r w:rsidRPr="001F5558">
        <w:rPr>
          <w:rFonts w:ascii="Arial" w:hAnsi="Arial" w:cs="Arial"/>
          <w:sz w:val="20"/>
          <w:szCs w:val="20"/>
        </w:rPr>
        <w:t>Alsalloum</w:t>
      </w:r>
      <w:proofErr w:type="spellEnd"/>
      <w:r w:rsidRPr="001F5558">
        <w:rPr>
          <w:rFonts w:ascii="Arial" w:hAnsi="Arial" w:cs="Arial"/>
          <w:sz w:val="20"/>
          <w:szCs w:val="20"/>
        </w:rPr>
        <w:t xml:space="preserve"> et al., 2025</w:t>
      </w:r>
      <w:r w:rsidRPr="001F5558">
        <w:rPr>
          <w:rFonts w:ascii="Arial" w:eastAsia="Times New Roman" w:hAnsi="Arial" w:cs="Arial"/>
          <w:sz w:val="20"/>
          <w:szCs w:val="20"/>
        </w:rPr>
        <w:t>). Thiazides induce a negative sodium balance and reduce 1-2 L of body fluids within the first 2-4 weeks, resulting in improved HTN control (Minutolo et al., 2022). Thiazides are avoided when eGFR &lt;45 mL/min because they are less effective and ineffective below 30 mL/min, making them unsuitable for stage 4 CKD (Teles et al., 2023; Schmieder, 2025). Generally used thiazides are hydrochlorothiazide 12.5–50 mg, chlorthalidone 12.5–50 mg, and metolazone 2.5–10 mg (Minutolo et al., 2022). In individuals with eGFR below 30 mL/min/1.73m² or stage 4 CKD, loop diuretics are generally preferred over thiazides due to less effectiveness in advanced CKD (Minutolo et al., 2022; Agarwal et al., 2025). Furthermore, due to their strong natriuretic effect, loop diuretics are administered to patients on maintenance dialysis to reduce the frequency and duration of dialysis sessions (Sánchez-Ospina et al., 2025; Schmieder, 2025; Bhandari et al., 2026). (Table</w:t>
      </w:r>
      <w:r w:rsidR="0081414C" w:rsidRPr="001F5558">
        <w:rPr>
          <w:rFonts w:ascii="Arial" w:eastAsia="Times New Roman" w:hAnsi="Arial" w:cs="Arial"/>
          <w:sz w:val="20"/>
          <w:szCs w:val="20"/>
        </w:rPr>
        <w:t>s</w:t>
      </w:r>
      <w:r w:rsidRPr="001F5558">
        <w:rPr>
          <w:rFonts w:ascii="Arial" w:eastAsia="Times New Roman" w:hAnsi="Arial" w:cs="Arial"/>
          <w:sz w:val="20"/>
          <w:szCs w:val="20"/>
        </w:rPr>
        <w:t xml:space="preserve"> 4 &amp; 6)</w:t>
      </w:r>
    </w:p>
    <w:p w14:paraId="18D2FE93" w14:textId="77777777" w:rsidR="006723FF" w:rsidRPr="001F5558" w:rsidRDefault="006723FF" w:rsidP="006723FF">
      <w:pPr>
        <w:spacing w:after="0" w:line="240" w:lineRule="auto"/>
        <w:jc w:val="both"/>
        <w:rPr>
          <w:rFonts w:ascii="Arial" w:eastAsia="Times New Roman" w:hAnsi="Arial" w:cs="Arial"/>
          <w:sz w:val="20"/>
          <w:szCs w:val="20"/>
        </w:rPr>
      </w:pPr>
    </w:p>
    <w:p w14:paraId="3F2183E5" w14:textId="22D901E5" w:rsidR="00013A2C" w:rsidRPr="001F5558" w:rsidRDefault="00013A2C" w:rsidP="006723FF">
      <w:pPr>
        <w:spacing w:after="0" w:line="240" w:lineRule="auto"/>
        <w:rPr>
          <w:rFonts w:ascii="Arial" w:hAnsi="Arial" w:cs="Arial"/>
          <w:sz w:val="20"/>
          <w:szCs w:val="20"/>
        </w:rPr>
      </w:pPr>
      <w:r w:rsidRPr="001F5558">
        <w:rPr>
          <w:rFonts w:ascii="Arial" w:hAnsi="Arial" w:cs="Arial"/>
          <w:b/>
          <w:bCs/>
          <w:sz w:val="20"/>
          <w:szCs w:val="20"/>
        </w:rPr>
        <w:t xml:space="preserve">Table </w:t>
      </w:r>
      <w:r w:rsidR="000E0639" w:rsidRPr="001F5558">
        <w:rPr>
          <w:rFonts w:ascii="Arial" w:hAnsi="Arial" w:cs="Arial"/>
          <w:b/>
          <w:bCs/>
          <w:sz w:val="20"/>
          <w:szCs w:val="20"/>
        </w:rPr>
        <w:t>5</w:t>
      </w:r>
      <w:r w:rsidRPr="001F5558">
        <w:rPr>
          <w:rFonts w:ascii="Arial" w:hAnsi="Arial" w:cs="Arial"/>
          <w:b/>
          <w:bCs/>
          <w:sz w:val="20"/>
          <w:szCs w:val="20"/>
        </w:rPr>
        <w:t xml:space="preserve">. </w:t>
      </w:r>
      <w:r w:rsidR="005741DA" w:rsidRPr="001F5558">
        <w:rPr>
          <w:rFonts w:ascii="Arial" w:hAnsi="Arial" w:cs="Arial"/>
          <w:b/>
          <w:bCs/>
          <w:sz w:val="20"/>
          <w:szCs w:val="20"/>
        </w:rPr>
        <w:t>Dose range for ACEIs and ARBs</w:t>
      </w:r>
      <w:r w:rsidR="009F5D0D" w:rsidRPr="001F5558">
        <w:rPr>
          <w:rFonts w:ascii="Arial" w:hAnsi="Arial" w:cs="Arial"/>
          <w:b/>
          <w:bCs/>
          <w:sz w:val="20"/>
          <w:szCs w:val="20"/>
        </w:rPr>
        <w:t xml:space="preserve"> </w:t>
      </w:r>
      <w:r w:rsidR="001A7395" w:rsidRPr="001F5558">
        <w:rPr>
          <w:rFonts w:ascii="Arial" w:hAnsi="Arial" w:cs="Arial"/>
          <w:b/>
          <w:bCs/>
          <w:sz w:val="20"/>
          <w:szCs w:val="20"/>
        </w:rPr>
        <w:t>for the treatment of hypertension</w:t>
      </w:r>
      <w:r w:rsidR="001A7395" w:rsidRPr="001F5558">
        <w:rPr>
          <w:rFonts w:ascii="Arial" w:hAnsi="Arial" w:cs="Arial"/>
          <w:sz w:val="20"/>
          <w:szCs w:val="20"/>
        </w:rPr>
        <w:t xml:space="preserve"> </w:t>
      </w:r>
      <w:r w:rsidR="009F5D0D" w:rsidRPr="001F5558">
        <w:rPr>
          <w:rFonts w:ascii="Arial" w:hAnsi="Arial" w:cs="Arial"/>
          <w:sz w:val="20"/>
          <w:szCs w:val="20"/>
        </w:rPr>
        <w:t>(KDOQI</w:t>
      </w:r>
      <w:r w:rsidR="00E2219F" w:rsidRPr="001F5558">
        <w:rPr>
          <w:rFonts w:ascii="Arial" w:hAnsi="Arial" w:cs="Arial"/>
          <w:sz w:val="20"/>
          <w:szCs w:val="20"/>
        </w:rPr>
        <w:t xml:space="preserve"> 2007</w:t>
      </w:r>
      <w:r w:rsidR="009F5D0D" w:rsidRPr="001F5558">
        <w:rPr>
          <w:rFonts w:ascii="Arial" w:hAnsi="Arial" w:cs="Arial"/>
          <w:sz w:val="20"/>
          <w:szCs w:val="20"/>
        </w:rPr>
        <w:t xml:space="preserve">, Singh 2026; </w:t>
      </w:r>
      <w:r w:rsidR="00E2219F" w:rsidRPr="001F5558">
        <w:rPr>
          <w:rFonts w:ascii="Arial" w:hAnsi="Arial" w:cs="Arial"/>
          <w:sz w:val="20"/>
          <w:szCs w:val="20"/>
        </w:rPr>
        <w:t>PDR 2026</w:t>
      </w:r>
      <w:r w:rsidR="00B06EA2" w:rsidRPr="001F5558">
        <w:rPr>
          <w:rFonts w:ascii="Arial" w:hAnsi="Arial" w:cs="Arial"/>
          <w:sz w:val="20"/>
          <w:szCs w:val="20"/>
        </w:rPr>
        <w:t>)</w:t>
      </w:r>
    </w:p>
    <w:p w14:paraId="1B2A0CD1" w14:textId="77777777" w:rsidR="006723FF" w:rsidRPr="001F5558" w:rsidRDefault="006723FF" w:rsidP="006723FF">
      <w:pPr>
        <w:spacing w:after="0" w:line="240" w:lineRule="auto"/>
        <w:rPr>
          <w:rFonts w:ascii="Arial" w:hAnsi="Arial" w:cs="Arial"/>
          <w:sz w:val="20"/>
          <w:szCs w:val="20"/>
        </w:rPr>
      </w:pPr>
    </w:p>
    <w:tbl>
      <w:tblPr>
        <w:tblStyle w:val="TableGrid"/>
        <w:tblW w:w="0" w:type="auto"/>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3118"/>
        <w:gridCol w:w="3963"/>
      </w:tblGrid>
      <w:tr w:rsidR="00013A2C" w:rsidRPr="001F5558" w14:paraId="2EB42789" w14:textId="77777777" w:rsidTr="00DD143B">
        <w:trPr>
          <w:trHeight w:val="278"/>
        </w:trPr>
        <w:tc>
          <w:tcPr>
            <w:tcW w:w="1980" w:type="dxa"/>
            <w:tcBorders>
              <w:top w:val="single" w:sz="8" w:space="0" w:color="auto"/>
              <w:bottom w:val="single" w:sz="8" w:space="0" w:color="auto"/>
            </w:tcBorders>
            <w:vAlign w:val="center"/>
          </w:tcPr>
          <w:p w14:paraId="091C2E41" w14:textId="77777777" w:rsidR="00013A2C" w:rsidRPr="001F5558" w:rsidRDefault="00013A2C" w:rsidP="00DD143B">
            <w:pPr>
              <w:rPr>
                <w:rFonts w:ascii="Arial" w:hAnsi="Arial" w:cs="Arial"/>
                <w:b/>
                <w:bCs/>
                <w:sz w:val="20"/>
                <w:szCs w:val="20"/>
              </w:rPr>
            </w:pPr>
            <w:r w:rsidRPr="001F5558">
              <w:rPr>
                <w:rFonts w:ascii="Arial" w:hAnsi="Arial" w:cs="Arial"/>
                <w:b/>
                <w:bCs/>
                <w:sz w:val="20"/>
                <w:szCs w:val="20"/>
              </w:rPr>
              <w:t xml:space="preserve">Drug Name </w:t>
            </w:r>
          </w:p>
        </w:tc>
        <w:tc>
          <w:tcPr>
            <w:tcW w:w="3118" w:type="dxa"/>
            <w:tcBorders>
              <w:top w:val="single" w:sz="8" w:space="0" w:color="auto"/>
              <w:bottom w:val="single" w:sz="8" w:space="0" w:color="auto"/>
            </w:tcBorders>
            <w:vAlign w:val="center"/>
          </w:tcPr>
          <w:p w14:paraId="1927163C" w14:textId="77777777" w:rsidR="00013A2C" w:rsidRPr="001F5558" w:rsidRDefault="00013A2C" w:rsidP="00DD143B">
            <w:pPr>
              <w:rPr>
                <w:rFonts w:ascii="Arial" w:hAnsi="Arial" w:cs="Arial"/>
                <w:b/>
                <w:bCs/>
                <w:sz w:val="20"/>
                <w:szCs w:val="20"/>
              </w:rPr>
            </w:pPr>
            <w:r w:rsidRPr="001F5558">
              <w:rPr>
                <w:rFonts w:ascii="Arial" w:hAnsi="Arial" w:cs="Arial"/>
                <w:b/>
                <w:bCs/>
                <w:sz w:val="20"/>
                <w:szCs w:val="20"/>
              </w:rPr>
              <w:t>Starting Dose</w:t>
            </w:r>
          </w:p>
        </w:tc>
        <w:tc>
          <w:tcPr>
            <w:tcW w:w="3963" w:type="dxa"/>
            <w:tcBorders>
              <w:top w:val="single" w:sz="8" w:space="0" w:color="auto"/>
              <w:bottom w:val="single" w:sz="8" w:space="0" w:color="auto"/>
            </w:tcBorders>
            <w:vAlign w:val="center"/>
          </w:tcPr>
          <w:p w14:paraId="0B8CAC21" w14:textId="77777777" w:rsidR="00013A2C" w:rsidRPr="001F5558" w:rsidRDefault="00013A2C" w:rsidP="00DD143B">
            <w:pPr>
              <w:rPr>
                <w:rFonts w:ascii="Arial" w:hAnsi="Arial" w:cs="Arial"/>
                <w:b/>
                <w:bCs/>
                <w:sz w:val="20"/>
                <w:szCs w:val="20"/>
              </w:rPr>
            </w:pPr>
            <w:r w:rsidRPr="001F5558">
              <w:rPr>
                <w:rFonts w:ascii="Arial" w:hAnsi="Arial" w:cs="Arial"/>
                <w:b/>
                <w:bCs/>
                <w:sz w:val="20"/>
                <w:szCs w:val="20"/>
              </w:rPr>
              <w:t>Goal Dose</w:t>
            </w:r>
          </w:p>
        </w:tc>
      </w:tr>
      <w:tr w:rsidR="00013A2C" w:rsidRPr="001F5558" w14:paraId="661EA6BD" w14:textId="77777777" w:rsidTr="004D1949">
        <w:trPr>
          <w:trHeight w:val="283"/>
        </w:trPr>
        <w:tc>
          <w:tcPr>
            <w:tcW w:w="1980" w:type="dxa"/>
            <w:tcBorders>
              <w:top w:val="single" w:sz="8" w:space="0" w:color="auto"/>
              <w:bottom w:val="single" w:sz="8" w:space="0" w:color="auto"/>
            </w:tcBorders>
            <w:vAlign w:val="center"/>
          </w:tcPr>
          <w:p w14:paraId="505D796D" w14:textId="77777777" w:rsidR="00013A2C" w:rsidRPr="001F5558" w:rsidRDefault="00013A2C" w:rsidP="004D1949">
            <w:pPr>
              <w:rPr>
                <w:rFonts w:ascii="Arial" w:hAnsi="Arial" w:cs="Arial"/>
                <w:b/>
                <w:bCs/>
                <w:sz w:val="20"/>
                <w:szCs w:val="20"/>
              </w:rPr>
            </w:pPr>
            <w:r w:rsidRPr="001F5558">
              <w:rPr>
                <w:rFonts w:ascii="Arial" w:hAnsi="Arial" w:cs="Arial"/>
                <w:b/>
                <w:bCs/>
                <w:sz w:val="20"/>
                <w:szCs w:val="20"/>
              </w:rPr>
              <w:t xml:space="preserve">ACE Inhibitors </w:t>
            </w:r>
          </w:p>
        </w:tc>
        <w:tc>
          <w:tcPr>
            <w:tcW w:w="3118" w:type="dxa"/>
            <w:tcBorders>
              <w:top w:val="single" w:sz="8" w:space="0" w:color="auto"/>
            </w:tcBorders>
          </w:tcPr>
          <w:p w14:paraId="2D082F74" w14:textId="77777777" w:rsidR="00013A2C" w:rsidRPr="001F5558" w:rsidRDefault="00013A2C" w:rsidP="006723FF">
            <w:pPr>
              <w:rPr>
                <w:rFonts w:ascii="Arial" w:hAnsi="Arial" w:cs="Arial"/>
                <w:sz w:val="20"/>
                <w:szCs w:val="20"/>
              </w:rPr>
            </w:pPr>
          </w:p>
        </w:tc>
        <w:tc>
          <w:tcPr>
            <w:tcW w:w="3963" w:type="dxa"/>
            <w:tcBorders>
              <w:top w:val="single" w:sz="8" w:space="0" w:color="auto"/>
            </w:tcBorders>
          </w:tcPr>
          <w:p w14:paraId="2E113B5A" w14:textId="77777777" w:rsidR="00013A2C" w:rsidRPr="001F5558" w:rsidRDefault="00013A2C" w:rsidP="006723FF">
            <w:pPr>
              <w:rPr>
                <w:rFonts w:ascii="Arial" w:hAnsi="Arial" w:cs="Arial"/>
                <w:sz w:val="20"/>
                <w:szCs w:val="20"/>
              </w:rPr>
            </w:pPr>
          </w:p>
        </w:tc>
      </w:tr>
      <w:tr w:rsidR="00013A2C" w:rsidRPr="001F5558" w14:paraId="0A53EDE4" w14:textId="77777777" w:rsidTr="00DD143B">
        <w:trPr>
          <w:trHeight w:val="283"/>
        </w:trPr>
        <w:tc>
          <w:tcPr>
            <w:tcW w:w="1980" w:type="dxa"/>
            <w:tcBorders>
              <w:top w:val="single" w:sz="8" w:space="0" w:color="auto"/>
            </w:tcBorders>
          </w:tcPr>
          <w:p w14:paraId="40EF7F98" w14:textId="77777777" w:rsidR="00013A2C" w:rsidRPr="001F5558" w:rsidRDefault="00013A2C" w:rsidP="006723FF">
            <w:pPr>
              <w:rPr>
                <w:rFonts w:ascii="Arial" w:hAnsi="Arial" w:cs="Arial"/>
                <w:sz w:val="20"/>
                <w:szCs w:val="20"/>
              </w:rPr>
            </w:pPr>
            <w:r w:rsidRPr="001F5558">
              <w:rPr>
                <w:rFonts w:ascii="Arial" w:hAnsi="Arial" w:cs="Arial"/>
                <w:sz w:val="20"/>
                <w:szCs w:val="20"/>
              </w:rPr>
              <w:t>Captopril</w:t>
            </w:r>
          </w:p>
        </w:tc>
        <w:tc>
          <w:tcPr>
            <w:tcW w:w="3118" w:type="dxa"/>
          </w:tcPr>
          <w:p w14:paraId="3EFEC961" w14:textId="77777777" w:rsidR="00013A2C" w:rsidRPr="001F5558" w:rsidRDefault="00013A2C" w:rsidP="006723FF">
            <w:pPr>
              <w:rPr>
                <w:rFonts w:ascii="Arial" w:hAnsi="Arial" w:cs="Arial"/>
                <w:sz w:val="20"/>
                <w:szCs w:val="20"/>
              </w:rPr>
            </w:pPr>
            <w:r w:rsidRPr="001F5558">
              <w:rPr>
                <w:rFonts w:ascii="Arial" w:hAnsi="Arial" w:cs="Arial"/>
                <w:sz w:val="20"/>
                <w:szCs w:val="20"/>
              </w:rPr>
              <w:t xml:space="preserve">6.25-25 mg 3 times per day </w:t>
            </w:r>
          </w:p>
        </w:tc>
        <w:tc>
          <w:tcPr>
            <w:tcW w:w="3963" w:type="dxa"/>
          </w:tcPr>
          <w:p w14:paraId="4F805BF0" w14:textId="77777777" w:rsidR="00013A2C" w:rsidRPr="001F5558" w:rsidRDefault="00013A2C" w:rsidP="006723FF">
            <w:pPr>
              <w:rPr>
                <w:rFonts w:ascii="Arial" w:hAnsi="Arial" w:cs="Arial"/>
                <w:sz w:val="20"/>
                <w:szCs w:val="20"/>
              </w:rPr>
            </w:pPr>
            <w:r w:rsidRPr="001F5558">
              <w:rPr>
                <w:rFonts w:ascii="Arial" w:hAnsi="Arial" w:cs="Arial"/>
                <w:sz w:val="20"/>
                <w:szCs w:val="20"/>
              </w:rPr>
              <w:t xml:space="preserve">25-150 mg 2 or 3 times per day </w:t>
            </w:r>
          </w:p>
        </w:tc>
      </w:tr>
      <w:tr w:rsidR="00013A2C" w:rsidRPr="001F5558" w14:paraId="448CA8AD" w14:textId="77777777" w:rsidTr="00DD143B">
        <w:trPr>
          <w:trHeight w:val="283"/>
        </w:trPr>
        <w:tc>
          <w:tcPr>
            <w:tcW w:w="1980" w:type="dxa"/>
          </w:tcPr>
          <w:p w14:paraId="50DA064A" w14:textId="77777777" w:rsidR="00013A2C" w:rsidRPr="001F5558" w:rsidRDefault="00013A2C" w:rsidP="006723FF">
            <w:pPr>
              <w:rPr>
                <w:rFonts w:ascii="Arial" w:hAnsi="Arial" w:cs="Arial"/>
                <w:sz w:val="20"/>
                <w:szCs w:val="20"/>
              </w:rPr>
            </w:pPr>
            <w:r w:rsidRPr="001F5558">
              <w:rPr>
                <w:rFonts w:ascii="Arial" w:hAnsi="Arial" w:cs="Arial"/>
                <w:sz w:val="20"/>
                <w:szCs w:val="20"/>
              </w:rPr>
              <w:t xml:space="preserve">Enalapril </w:t>
            </w:r>
          </w:p>
        </w:tc>
        <w:tc>
          <w:tcPr>
            <w:tcW w:w="3118" w:type="dxa"/>
          </w:tcPr>
          <w:p w14:paraId="57302324" w14:textId="77777777" w:rsidR="00013A2C" w:rsidRPr="001F5558" w:rsidRDefault="00013A2C" w:rsidP="006723FF">
            <w:pPr>
              <w:rPr>
                <w:rFonts w:ascii="Arial" w:hAnsi="Arial" w:cs="Arial"/>
                <w:sz w:val="20"/>
                <w:szCs w:val="20"/>
              </w:rPr>
            </w:pPr>
            <w:r w:rsidRPr="001F5558">
              <w:rPr>
                <w:rFonts w:ascii="Arial" w:hAnsi="Arial" w:cs="Arial"/>
                <w:sz w:val="20"/>
                <w:szCs w:val="20"/>
              </w:rPr>
              <w:t>5 mg daily</w:t>
            </w:r>
          </w:p>
        </w:tc>
        <w:tc>
          <w:tcPr>
            <w:tcW w:w="3963" w:type="dxa"/>
          </w:tcPr>
          <w:p w14:paraId="6CC1093F" w14:textId="77777777" w:rsidR="00013A2C" w:rsidRPr="001F5558" w:rsidRDefault="00013A2C" w:rsidP="006723FF">
            <w:pPr>
              <w:rPr>
                <w:rFonts w:ascii="Arial" w:hAnsi="Arial" w:cs="Arial"/>
                <w:sz w:val="20"/>
                <w:szCs w:val="20"/>
              </w:rPr>
            </w:pPr>
            <w:r w:rsidRPr="001F5558">
              <w:rPr>
                <w:rFonts w:ascii="Arial" w:hAnsi="Arial" w:cs="Arial"/>
                <w:sz w:val="20"/>
                <w:szCs w:val="20"/>
              </w:rPr>
              <w:t xml:space="preserve">10-40 mg daily in 1-2 divided doses </w:t>
            </w:r>
          </w:p>
        </w:tc>
      </w:tr>
      <w:tr w:rsidR="00013A2C" w:rsidRPr="001F5558" w14:paraId="0861A16E" w14:textId="77777777" w:rsidTr="00DD143B">
        <w:trPr>
          <w:trHeight w:val="283"/>
        </w:trPr>
        <w:tc>
          <w:tcPr>
            <w:tcW w:w="1980" w:type="dxa"/>
          </w:tcPr>
          <w:p w14:paraId="632FD92D" w14:textId="77777777" w:rsidR="00013A2C" w:rsidRPr="001F5558" w:rsidRDefault="00013A2C" w:rsidP="006723FF">
            <w:pPr>
              <w:rPr>
                <w:rFonts w:ascii="Arial" w:hAnsi="Arial" w:cs="Arial"/>
                <w:sz w:val="20"/>
                <w:szCs w:val="20"/>
              </w:rPr>
            </w:pPr>
            <w:r w:rsidRPr="001F5558">
              <w:rPr>
                <w:rFonts w:ascii="Arial" w:hAnsi="Arial" w:cs="Arial"/>
                <w:sz w:val="20"/>
                <w:szCs w:val="20"/>
              </w:rPr>
              <w:t xml:space="preserve">Benazepril </w:t>
            </w:r>
          </w:p>
        </w:tc>
        <w:tc>
          <w:tcPr>
            <w:tcW w:w="3118" w:type="dxa"/>
          </w:tcPr>
          <w:p w14:paraId="3DAB7581" w14:textId="77777777" w:rsidR="00013A2C" w:rsidRPr="001F5558" w:rsidRDefault="00013A2C" w:rsidP="006723FF">
            <w:pPr>
              <w:rPr>
                <w:rFonts w:ascii="Arial" w:hAnsi="Arial" w:cs="Arial"/>
                <w:sz w:val="20"/>
                <w:szCs w:val="20"/>
              </w:rPr>
            </w:pPr>
            <w:r w:rsidRPr="001F5558">
              <w:rPr>
                <w:rFonts w:ascii="Arial" w:hAnsi="Arial" w:cs="Arial"/>
                <w:sz w:val="20"/>
                <w:szCs w:val="20"/>
              </w:rPr>
              <w:t>10 mg daily</w:t>
            </w:r>
          </w:p>
        </w:tc>
        <w:tc>
          <w:tcPr>
            <w:tcW w:w="3963" w:type="dxa"/>
          </w:tcPr>
          <w:p w14:paraId="75C7ADC0" w14:textId="77777777" w:rsidR="00013A2C" w:rsidRPr="001F5558" w:rsidRDefault="00013A2C" w:rsidP="006723FF">
            <w:pPr>
              <w:rPr>
                <w:rFonts w:ascii="Arial" w:hAnsi="Arial" w:cs="Arial"/>
                <w:sz w:val="20"/>
                <w:szCs w:val="20"/>
              </w:rPr>
            </w:pPr>
            <w:r w:rsidRPr="001F5558">
              <w:rPr>
                <w:rFonts w:ascii="Arial" w:hAnsi="Arial" w:cs="Arial"/>
                <w:sz w:val="20"/>
                <w:szCs w:val="20"/>
              </w:rPr>
              <w:t xml:space="preserve">20-40 mg/d in 1-2 divided doses </w:t>
            </w:r>
          </w:p>
        </w:tc>
      </w:tr>
      <w:tr w:rsidR="00013A2C" w:rsidRPr="001F5558" w14:paraId="52370314" w14:textId="77777777" w:rsidTr="00DD143B">
        <w:trPr>
          <w:trHeight w:val="283"/>
        </w:trPr>
        <w:tc>
          <w:tcPr>
            <w:tcW w:w="1980" w:type="dxa"/>
          </w:tcPr>
          <w:p w14:paraId="247AA40C" w14:textId="77777777" w:rsidR="00013A2C" w:rsidRPr="001F5558" w:rsidRDefault="00013A2C" w:rsidP="006723FF">
            <w:pPr>
              <w:rPr>
                <w:rFonts w:ascii="Arial" w:hAnsi="Arial" w:cs="Arial"/>
                <w:sz w:val="20"/>
                <w:szCs w:val="20"/>
              </w:rPr>
            </w:pPr>
            <w:proofErr w:type="spellStart"/>
            <w:r w:rsidRPr="001F5558">
              <w:rPr>
                <w:rFonts w:ascii="Arial" w:hAnsi="Arial" w:cs="Arial"/>
                <w:sz w:val="20"/>
                <w:szCs w:val="20"/>
              </w:rPr>
              <w:t>Fosinopril</w:t>
            </w:r>
            <w:proofErr w:type="spellEnd"/>
            <w:r w:rsidRPr="001F5558">
              <w:rPr>
                <w:rFonts w:ascii="Arial" w:hAnsi="Arial" w:cs="Arial"/>
                <w:sz w:val="20"/>
                <w:szCs w:val="20"/>
              </w:rPr>
              <w:t xml:space="preserve"> </w:t>
            </w:r>
          </w:p>
        </w:tc>
        <w:tc>
          <w:tcPr>
            <w:tcW w:w="3118" w:type="dxa"/>
          </w:tcPr>
          <w:p w14:paraId="0FF424D9" w14:textId="149123B1" w:rsidR="009F5D0D" w:rsidRPr="001F5558" w:rsidRDefault="00013A2C" w:rsidP="004D1949">
            <w:pPr>
              <w:rPr>
                <w:rFonts w:ascii="Arial" w:hAnsi="Arial" w:cs="Arial"/>
                <w:sz w:val="20"/>
                <w:szCs w:val="20"/>
              </w:rPr>
            </w:pPr>
            <w:r w:rsidRPr="001F5558">
              <w:rPr>
                <w:rFonts w:ascii="Arial" w:hAnsi="Arial" w:cs="Arial"/>
                <w:sz w:val="20"/>
                <w:szCs w:val="20"/>
              </w:rPr>
              <w:t xml:space="preserve">10 mg </w:t>
            </w:r>
            <w:proofErr w:type="spellStart"/>
            <w:r w:rsidRPr="001F5558">
              <w:rPr>
                <w:rFonts w:ascii="Arial" w:hAnsi="Arial" w:cs="Arial"/>
                <w:sz w:val="20"/>
                <w:szCs w:val="20"/>
              </w:rPr>
              <w:t>daily</w:t>
            </w:r>
            <w:r w:rsidR="004D1949" w:rsidRPr="001F5558">
              <w:rPr>
                <w:rFonts w:ascii="Arial" w:hAnsi="Arial" w:cs="Arial"/>
                <w:sz w:val="20"/>
                <w:szCs w:val="20"/>
              </w:rPr>
              <w:t>s</w:t>
            </w:r>
            <w:proofErr w:type="spellEnd"/>
          </w:p>
        </w:tc>
        <w:tc>
          <w:tcPr>
            <w:tcW w:w="3963" w:type="dxa"/>
          </w:tcPr>
          <w:p w14:paraId="24364D0F" w14:textId="77777777" w:rsidR="00013A2C" w:rsidRPr="001F5558" w:rsidRDefault="00013A2C" w:rsidP="006723FF">
            <w:pPr>
              <w:rPr>
                <w:rFonts w:ascii="Arial" w:hAnsi="Arial" w:cs="Arial"/>
                <w:sz w:val="20"/>
                <w:szCs w:val="20"/>
              </w:rPr>
            </w:pPr>
            <w:r w:rsidRPr="001F5558">
              <w:rPr>
                <w:rFonts w:ascii="Arial" w:hAnsi="Arial" w:cs="Arial"/>
                <w:sz w:val="20"/>
                <w:szCs w:val="20"/>
              </w:rPr>
              <w:t>20-80 mg daily</w:t>
            </w:r>
          </w:p>
        </w:tc>
      </w:tr>
      <w:tr w:rsidR="00013A2C" w:rsidRPr="001F5558" w14:paraId="045B3B36" w14:textId="77777777" w:rsidTr="00DD143B">
        <w:trPr>
          <w:trHeight w:val="283"/>
        </w:trPr>
        <w:tc>
          <w:tcPr>
            <w:tcW w:w="1980" w:type="dxa"/>
          </w:tcPr>
          <w:p w14:paraId="237DECCF" w14:textId="77777777" w:rsidR="00013A2C" w:rsidRPr="001F5558" w:rsidRDefault="00013A2C" w:rsidP="006723FF">
            <w:pPr>
              <w:rPr>
                <w:rFonts w:ascii="Arial" w:hAnsi="Arial" w:cs="Arial"/>
                <w:sz w:val="20"/>
                <w:szCs w:val="20"/>
              </w:rPr>
            </w:pPr>
            <w:r w:rsidRPr="001F5558">
              <w:rPr>
                <w:rFonts w:ascii="Arial" w:hAnsi="Arial" w:cs="Arial"/>
                <w:sz w:val="20"/>
                <w:szCs w:val="20"/>
              </w:rPr>
              <w:t xml:space="preserve">Lisinopril </w:t>
            </w:r>
          </w:p>
        </w:tc>
        <w:tc>
          <w:tcPr>
            <w:tcW w:w="3118" w:type="dxa"/>
          </w:tcPr>
          <w:p w14:paraId="30F2932C" w14:textId="77777777" w:rsidR="00013A2C" w:rsidRPr="001F5558" w:rsidRDefault="00013A2C" w:rsidP="006723FF">
            <w:pPr>
              <w:rPr>
                <w:rFonts w:ascii="Arial" w:hAnsi="Arial" w:cs="Arial"/>
                <w:sz w:val="20"/>
                <w:szCs w:val="20"/>
              </w:rPr>
            </w:pPr>
            <w:r w:rsidRPr="001F5558">
              <w:rPr>
                <w:rFonts w:ascii="Arial" w:hAnsi="Arial" w:cs="Arial"/>
                <w:sz w:val="20"/>
                <w:szCs w:val="20"/>
              </w:rPr>
              <w:t>10 mg daily</w:t>
            </w:r>
          </w:p>
        </w:tc>
        <w:tc>
          <w:tcPr>
            <w:tcW w:w="3963" w:type="dxa"/>
          </w:tcPr>
          <w:p w14:paraId="6504CDE2" w14:textId="77777777" w:rsidR="00013A2C" w:rsidRPr="001F5558" w:rsidRDefault="00013A2C" w:rsidP="006723FF">
            <w:pPr>
              <w:rPr>
                <w:rFonts w:ascii="Arial" w:hAnsi="Arial" w:cs="Arial"/>
                <w:sz w:val="20"/>
                <w:szCs w:val="20"/>
              </w:rPr>
            </w:pPr>
            <w:r w:rsidRPr="001F5558">
              <w:rPr>
                <w:rFonts w:ascii="Arial" w:hAnsi="Arial" w:cs="Arial"/>
                <w:sz w:val="20"/>
                <w:szCs w:val="20"/>
              </w:rPr>
              <w:t>20-40 mg daily</w:t>
            </w:r>
          </w:p>
        </w:tc>
      </w:tr>
      <w:tr w:rsidR="00013A2C" w:rsidRPr="001F5558" w14:paraId="1A2B7C02" w14:textId="77777777" w:rsidTr="00DD143B">
        <w:trPr>
          <w:trHeight w:val="283"/>
        </w:trPr>
        <w:tc>
          <w:tcPr>
            <w:tcW w:w="1980" w:type="dxa"/>
          </w:tcPr>
          <w:p w14:paraId="3AFB2D81" w14:textId="77777777" w:rsidR="00013A2C" w:rsidRPr="001F5558" w:rsidRDefault="00013A2C" w:rsidP="006723FF">
            <w:pPr>
              <w:rPr>
                <w:rFonts w:ascii="Arial" w:hAnsi="Arial" w:cs="Arial"/>
                <w:sz w:val="20"/>
                <w:szCs w:val="20"/>
              </w:rPr>
            </w:pPr>
            <w:proofErr w:type="spellStart"/>
            <w:r w:rsidRPr="001F5558">
              <w:rPr>
                <w:rFonts w:ascii="Arial" w:hAnsi="Arial" w:cs="Arial"/>
                <w:sz w:val="20"/>
                <w:szCs w:val="20"/>
              </w:rPr>
              <w:t>Moexipril</w:t>
            </w:r>
            <w:proofErr w:type="spellEnd"/>
            <w:r w:rsidRPr="001F5558">
              <w:rPr>
                <w:rFonts w:ascii="Arial" w:hAnsi="Arial" w:cs="Arial"/>
                <w:sz w:val="20"/>
                <w:szCs w:val="20"/>
              </w:rPr>
              <w:t xml:space="preserve"> </w:t>
            </w:r>
          </w:p>
        </w:tc>
        <w:tc>
          <w:tcPr>
            <w:tcW w:w="3118" w:type="dxa"/>
          </w:tcPr>
          <w:p w14:paraId="510D921E" w14:textId="77777777" w:rsidR="00013A2C" w:rsidRPr="001F5558" w:rsidRDefault="00013A2C" w:rsidP="006723FF">
            <w:pPr>
              <w:rPr>
                <w:rFonts w:ascii="Arial" w:hAnsi="Arial" w:cs="Arial"/>
                <w:sz w:val="20"/>
                <w:szCs w:val="20"/>
              </w:rPr>
            </w:pPr>
            <w:r w:rsidRPr="001F5558">
              <w:rPr>
                <w:rFonts w:ascii="Arial" w:hAnsi="Arial" w:cs="Arial"/>
                <w:sz w:val="20"/>
                <w:szCs w:val="20"/>
              </w:rPr>
              <w:t xml:space="preserve">7.5 mg daily </w:t>
            </w:r>
          </w:p>
        </w:tc>
        <w:tc>
          <w:tcPr>
            <w:tcW w:w="3963" w:type="dxa"/>
          </w:tcPr>
          <w:p w14:paraId="10AB6417" w14:textId="77777777" w:rsidR="00013A2C" w:rsidRPr="001F5558" w:rsidRDefault="00013A2C" w:rsidP="006723FF">
            <w:pPr>
              <w:rPr>
                <w:rFonts w:ascii="Arial" w:hAnsi="Arial" w:cs="Arial"/>
                <w:sz w:val="20"/>
                <w:szCs w:val="20"/>
              </w:rPr>
            </w:pPr>
            <w:r w:rsidRPr="001F5558">
              <w:rPr>
                <w:rFonts w:ascii="Arial" w:hAnsi="Arial" w:cs="Arial"/>
                <w:sz w:val="20"/>
                <w:szCs w:val="20"/>
              </w:rPr>
              <w:t xml:space="preserve">7.5-30 mg daily in 1-2 divided doses </w:t>
            </w:r>
          </w:p>
        </w:tc>
      </w:tr>
      <w:tr w:rsidR="00013A2C" w:rsidRPr="001F5558" w14:paraId="592FDE4B" w14:textId="77777777" w:rsidTr="00DD143B">
        <w:trPr>
          <w:trHeight w:val="283"/>
        </w:trPr>
        <w:tc>
          <w:tcPr>
            <w:tcW w:w="1980" w:type="dxa"/>
          </w:tcPr>
          <w:p w14:paraId="11410E4E" w14:textId="77777777" w:rsidR="00013A2C" w:rsidRPr="001F5558" w:rsidRDefault="00013A2C" w:rsidP="006723FF">
            <w:pPr>
              <w:rPr>
                <w:rFonts w:ascii="Arial" w:hAnsi="Arial" w:cs="Arial"/>
                <w:sz w:val="20"/>
                <w:szCs w:val="20"/>
              </w:rPr>
            </w:pPr>
            <w:r w:rsidRPr="001F5558">
              <w:rPr>
                <w:rFonts w:ascii="Arial" w:hAnsi="Arial" w:cs="Arial"/>
                <w:sz w:val="20"/>
                <w:szCs w:val="20"/>
              </w:rPr>
              <w:t xml:space="preserve">Perindopril </w:t>
            </w:r>
          </w:p>
        </w:tc>
        <w:tc>
          <w:tcPr>
            <w:tcW w:w="3118" w:type="dxa"/>
          </w:tcPr>
          <w:p w14:paraId="07CE74F2" w14:textId="77777777" w:rsidR="00013A2C" w:rsidRPr="001F5558" w:rsidRDefault="00013A2C" w:rsidP="006723FF">
            <w:pPr>
              <w:rPr>
                <w:rFonts w:ascii="Arial" w:hAnsi="Arial" w:cs="Arial"/>
                <w:sz w:val="20"/>
                <w:szCs w:val="20"/>
              </w:rPr>
            </w:pPr>
            <w:r w:rsidRPr="001F5558">
              <w:rPr>
                <w:rFonts w:ascii="Arial" w:hAnsi="Arial" w:cs="Arial"/>
                <w:sz w:val="20"/>
                <w:szCs w:val="20"/>
              </w:rPr>
              <w:t xml:space="preserve">4 mg daily </w:t>
            </w:r>
          </w:p>
        </w:tc>
        <w:tc>
          <w:tcPr>
            <w:tcW w:w="3963" w:type="dxa"/>
          </w:tcPr>
          <w:p w14:paraId="16691AA5" w14:textId="77777777" w:rsidR="00013A2C" w:rsidRPr="001F5558" w:rsidRDefault="00013A2C" w:rsidP="006723FF">
            <w:pPr>
              <w:rPr>
                <w:rFonts w:ascii="Arial" w:hAnsi="Arial" w:cs="Arial"/>
                <w:sz w:val="20"/>
                <w:szCs w:val="20"/>
              </w:rPr>
            </w:pPr>
            <w:r w:rsidRPr="001F5558">
              <w:rPr>
                <w:rFonts w:ascii="Arial" w:hAnsi="Arial" w:cs="Arial"/>
                <w:sz w:val="20"/>
                <w:szCs w:val="20"/>
              </w:rPr>
              <w:t xml:space="preserve">4-16 mg daily in 1-2 divided doses </w:t>
            </w:r>
          </w:p>
        </w:tc>
      </w:tr>
      <w:tr w:rsidR="00013A2C" w:rsidRPr="001F5558" w14:paraId="7AC12384" w14:textId="77777777" w:rsidTr="00DD143B">
        <w:trPr>
          <w:trHeight w:val="283"/>
        </w:trPr>
        <w:tc>
          <w:tcPr>
            <w:tcW w:w="1980" w:type="dxa"/>
          </w:tcPr>
          <w:p w14:paraId="1C6FBF7C" w14:textId="77777777" w:rsidR="00013A2C" w:rsidRPr="001F5558" w:rsidRDefault="00013A2C" w:rsidP="006723FF">
            <w:pPr>
              <w:rPr>
                <w:rFonts w:ascii="Arial" w:hAnsi="Arial" w:cs="Arial"/>
                <w:sz w:val="20"/>
                <w:szCs w:val="20"/>
              </w:rPr>
            </w:pPr>
            <w:r w:rsidRPr="001F5558">
              <w:rPr>
                <w:rFonts w:ascii="Arial" w:hAnsi="Arial" w:cs="Arial"/>
                <w:sz w:val="20"/>
                <w:szCs w:val="20"/>
              </w:rPr>
              <w:t xml:space="preserve">Quinapril </w:t>
            </w:r>
          </w:p>
        </w:tc>
        <w:tc>
          <w:tcPr>
            <w:tcW w:w="3118" w:type="dxa"/>
          </w:tcPr>
          <w:p w14:paraId="0611C288" w14:textId="77777777" w:rsidR="00013A2C" w:rsidRPr="001F5558" w:rsidRDefault="00013A2C" w:rsidP="006723FF">
            <w:pPr>
              <w:rPr>
                <w:rFonts w:ascii="Arial" w:hAnsi="Arial" w:cs="Arial"/>
                <w:sz w:val="20"/>
                <w:szCs w:val="20"/>
              </w:rPr>
            </w:pPr>
            <w:r w:rsidRPr="001F5558">
              <w:rPr>
                <w:rFonts w:ascii="Arial" w:hAnsi="Arial" w:cs="Arial"/>
                <w:sz w:val="20"/>
                <w:szCs w:val="20"/>
              </w:rPr>
              <w:t>10-20 mg daily</w:t>
            </w:r>
          </w:p>
        </w:tc>
        <w:tc>
          <w:tcPr>
            <w:tcW w:w="3963" w:type="dxa"/>
          </w:tcPr>
          <w:p w14:paraId="72607DA5" w14:textId="77777777" w:rsidR="00013A2C" w:rsidRPr="001F5558" w:rsidRDefault="00013A2C" w:rsidP="006723FF">
            <w:pPr>
              <w:rPr>
                <w:rFonts w:ascii="Arial" w:hAnsi="Arial" w:cs="Arial"/>
                <w:sz w:val="20"/>
                <w:szCs w:val="20"/>
              </w:rPr>
            </w:pPr>
            <w:r w:rsidRPr="001F5558">
              <w:rPr>
                <w:rFonts w:ascii="Arial" w:hAnsi="Arial" w:cs="Arial"/>
                <w:sz w:val="20"/>
                <w:szCs w:val="20"/>
              </w:rPr>
              <w:t xml:space="preserve">20-80 mg daily in 1-2 divided doses </w:t>
            </w:r>
          </w:p>
        </w:tc>
      </w:tr>
      <w:tr w:rsidR="00013A2C" w:rsidRPr="001F5558" w14:paraId="0BB081A5" w14:textId="77777777" w:rsidTr="00DD143B">
        <w:trPr>
          <w:trHeight w:val="283"/>
        </w:trPr>
        <w:tc>
          <w:tcPr>
            <w:tcW w:w="1980" w:type="dxa"/>
            <w:tcBorders>
              <w:bottom w:val="nil"/>
            </w:tcBorders>
          </w:tcPr>
          <w:p w14:paraId="5E7C7377" w14:textId="77777777" w:rsidR="00013A2C" w:rsidRPr="001F5558" w:rsidRDefault="00013A2C" w:rsidP="006723FF">
            <w:pPr>
              <w:rPr>
                <w:rFonts w:ascii="Arial" w:hAnsi="Arial" w:cs="Arial"/>
                <w:sz w:val="20"/>
                <w:szCs w:val="20"/>
              </w:rPr>
            </w:pPr>
            <w:r w:rsidRPr="001F5558">
              <w:rPr>
                <w:rFonts w:ascii="Arial" w:hAnsi="Arial" w:cs="Arial"/>
                <w:sz w:val="20"/>
                <w:szCs w:val="20"/>
              </w:rPr>
              <w:t xml:space="preserve">Ramipril </w:t>
            </w:r>
          </w:p>
        </w:tc>
        <w:tc>
          <w:tcPr>
            <w:tcW w:w="3118" w:type="dxa"/>
            <w:tcBorders>
              <w:bottom w:val="nil"/>
            </w:tcBorders>
          </w:tcPr>
          <w:p w14:paraId="67668773" w14:textId="77777777" w:rsidR="00013A2C" w:rsidRPr="001F5558" w:rsidRDefault="00013A2C" w:rsidP="006723FF">
            <w:pPr>
              <w:rPr>
                <w:rFonts w:ascii="Arial" w:hAnsi="Arial" w:cs="Arial"/>
                <w:sz w:val="20"/>
                <w:szCs w:val="20"/>
              </w:rPr>
            </w:pPr>
            <w:r w:rsidRPr="001F5558">
              <w:rPr>
                <w:rFonts w:ascii="Arial" w:hAnsi="Arial" w:cs="Arial"/>
                <w:sz w:val="20"/>
                <w:szCs w:val="20"/>
              </w:rPr>
              <w:t xml:space="preserve">1.25-2.5 mg daily </w:t>
            </w:r>
          </w:p>
        </w:tc>
        <w:tc>
          <w:tcPr>
            <w:tcW w:w="3963" w:type="dxa"/>
            <w:tcBorders>
              <w:bottom w:val="nil"/>
            </w:tcBorders>
          </w:tcPr>
          <w:p w14:paraId="63674435" w14:textId="77777777" w:rsidR="00013A2C" w:rsidRPr="001F5558" w:rsidRDefault="00013A2C" w:rsidP="006723FF">
            <w:pPr>
              <w:rPr>
                <w:rFonts w:ascii="Arial" w:hAnsi="Arial" w:cs="Arial"/>
                <w:sz w:val="20"/>
                <w:szCs w:val="20"/>
              </w:rPr>
            </w:pPr>
            <w:r w:rsidRPr="001F5558">
              <w:rPr>
                <w:rFonts w:ascii="Arial" w:hAnsi="Arial" w:cs="Arial"/>
                <w:sz w:val="20"/>
                <w:szCs w:val="20"/>
              </w:rPr>
              <w:t>1.25-20 mg daily in 1-2 divided doses</w:t>
            </w:r>
          </w:p>
        </w:tc>
      </w:tr>
      <w:tr w:rsidR="00013A2C" w:rsidRPr="001F5558" w14:paraId="3EEB53D6" w14:textId="77777777" w:rsidTr="00DD143B">
        <w:trPr>
          <w:trHeight w:val="283"/>
        </w:trPr>
        <w:tc>
          <w:tcPr>
            <w:tcW w:w="1980" w:type="dxa"/>
            <w:tcBorders>
              <w:top w:val="nil"/>
              <w:bottom w:val="single" w:sz="8" w:space="0" w:color="auto"/>
            </w:tcBorders>
          </w:tcPr>
          <w:p w14:paraId="0D6A48FF" w14:textId="77777777" w:rsidR="00013A2C" w:rsidRPr="001F5558" w:rsidRDefault="00013A2C" w:rsidP="006723FF">
            <w:pPr>
              <w:rPr>
                <w:rFonts w:ascii="Arial" w:hAnsi="Arial" w:cs="Arial"/>
                <w:sz w:val="20"/>
                <w:szCs w:val="20"/>
              </w:rPr>
            </w:pPr>
            <w:proofErr w:type="spellStart"/>
            <w:r w:rsidRPr="001F5558">
              <w:rPr>
                <w:rFonts w:ascii="Arial" w:hAnsi="Arial" w:cs="Arial"/>
                <w:sz w:val="20"/>
                <w:szCs w:val="20"/>
              </w:rPr>
              <w:t>Trandclopril</w:t>
            </w:r>
            <w:proofErr w:type="spellEnd"/>
            <w:r w:rsidRPr="001F5558">
              <w:rPr>
                <w:rFonts w:ascii="Arial" w:hAnsi="Arial" w:cs="Arial"/>
                <w:sz w:val="20"/>
                <w:szCs w:val="20"/>
              </w:rPr>
              <w:t xml:space="preserve"> </w:t>
            </w:r>
          </w:p>
        </w:tc>
        <w:tc>
          <w:tcPr>
            <w:tcW w:w="3118" w:type="dxa"/>
            <w:tcBorders>
              <w:top w:val="nil"/>
              <w:bottom w:val="single" w:sz="8" w:space="0" w:color="auto"/>
            </w:tcBorders>
          </w:tcPr>
          <w:p w14:paraId="417F1F00" w14:textId="77777777" w:rsidR="00013A2C" w:rsidRPr="001F5558" w:rsidRDefault="00013A2C" w:rsidP="006723FF">
            <w:pPr>
              <w:rPr>
                <w:rFonts w:ascii="Arial" w:hAnsi="Arial" w:cs="Arial"/>
                <w:sz w:val="20"/>
                <w:szCs w:val="20"/>
              </w:rPr>
            </w:pPr>
            <w:r w:rsidRPr="001F5558">
              <w:rPr>
                <w:rFonts w:ascii="Arial" w:hAnsi="Arial" w:cs="Arial"/>
                <w:sz w:val="20"/>
                <w:szCs w:val="20"/>
              </w:rPr>
              <w:t>1 mg daily</w:t>
            </w:r>
          </w:p>
        </w:tc>
        <w:tc>
          <w:tcPr>
            <w:tcW w:w="3963" w:type="dxa"/>
            <w:tcBorders>
              <w:top w:val="nil"/>
              <w:bottom w:val="single" w:sz="8" w:space="0" w:color="auto"/>
            </w:tcBorders>
          </w:tcPr>
          <w:p w14:paraId="44D51DF7" w14:textId="77777777" w:rsidR="00013A2C" w:rsidRPr="001F5558" w:rsidRDefault="00013A2C" w:rsidP="006723FF">
            <w:pPr>
              <w:rPr>
                <w:rFonts w:ascii="Arial" w:hAnsi="Arial" w:cs="Arial"/>
                <w:sz w:val="20"/>
                <w:szCs w:val="20"/>
              </w:rPr>
            </w:pPr>
            <w:r w:rsidRPr="001F5558">
              <w:rPr>
                <w:rFonts w:ascii="Arial" w:hAnsi="Arial" w:cs="Arial"/>
                <w:sz w:val="20"/>
                <w:szCs w:val="20"/>
              </w:rPr>
              <w:t>2-4 mg daily</w:t>
            </w:r>
          </w:p>
        </w:tc>
      </w:tr>
      <w:tr w:rsidR="00013A2C" w:rsidRPr="001F5558" w14:paraId="06F577A6" w14:textId="77777777" w:rsidTr="004D1949">
        <w:trPr>
          <w:trHeight w:val="283"/>
        </w:trPr>
        <w:tc>
          <w:tcPr>
            <w:tcW w:w="1980" w:type="dxa"/>
            <w:tcBorders>
              <w:top w:val="single" w:sz="8" w:space="0" w:color="auto"/>
              <w:bottom w:val="single" w:sz="8" w:space="0" w:color="auto"/>
            </w:tcBorders>
            <w:vAlign w:val="center"/>
          </w:tcPr>
          <w:p w14:paraId="64FC210A" w14:textId="77777777" w:rsidR="00013A2C" w:rsidRPr="001F5558" w:rsidRDefault="00013A2C" w:rsidP="004D1949">
            <w:pPr>
              <w:rPr>
                <w:rFonts w:ascii="Arial" w:hAnsi="Arial" w:cs="Arial"/>
                <w:b/>
                <w:bCs/>
                <w:sz w:val="20"/>
                <w:szCs w:val="20"/>
              </w:rPr>
            </w:pPr>
            <w:r w:rsidRPr="001F5558">
              <w:rPr>
                <w:rFonts w:ascii="Arial" w:hAnsi="Arial" w:cs="Arial"/>
                <w:b/>
                <w:bCs/>
                <w:sz w:val="20"/>
                <w:szCs w:val="20"/>
              </w:rPr>
              <w:t>ARBs</w:t>
            </w:r>
          </w:p>
        </w:tc>
        <w:tc>
          <w:tcPr>
            <w:tcW w:w="3118" w:type="dxa"/>
            <w:tcBorders>
              <w:top w:val="single" w:sz="8" w:space="0" w:color="auto"/>
            </w:tcBorders>
          </w:tcPr>
          <w:p w14:paraId="378C76D7" w14:textId="77777777" w:rsidR="00013A2C" w:rsidRPr="001F5558" w:rsidRDefault="00013A2C" w:rsidP="006723FF">
            <w:pPr>
              <w:rPr>
                <w:rFonts w:ascii="Arial" w:hAnsi="Arial" w:cs="Arial"/>
                <w:sz w:val="20"/>
                <w:szCs w:val="20"/>
              </w:rPr>
            </w:pPr>
          </w:p>
        </w:tc>
        <w:tc>
          <w:tcPr>
            <w:tcW w:w="3963" w:type="dxa"/>
            <w:tcBorders>
              <w:top w:val="single" w:sz="8" w:space="0" w:color="auto"/>
            </w:tcBorders>
          </w:tcPr>
          <w:p w14:paraId="22B7F9C3" w14:textId="77777777" w:rsidR="00013A2C" w:rsidRPr="001F5558" w:rsidRDefault="00013A2C" w:rsidP="006723FF">
            <w:pPr>
              <w:rPr>
                <w:rFonts w:ascii="Arial" w:hAnsi="Arial" w:cs="Arial"/>
                <w:sz w:val="20"/>
                <w:szCs w:val="20"/>
              </w:rPr>
            </w:pPr>
          </w:p>
        </w:tc>
      </w:tr>
      <w:tr w:rsidR="00D7449A" w:rsidRPr="001F5558" w14:paraId="2AAB0CCA" w14:textId="77777777" w:rsidTr="00DD143B">
        <w:trPr>
          <w:trHeight w:val="283"/>
        </w:trPr>
        <w:tc>
          <w:tcPr>
            <w:tcW w:w="1980" w:type="dxa"/>
            <w:tcBorders>
              <w:top w:val="single" w:sz="8" w:space="0" w:color="auto"/>
            </w:tcBorders>
          </w:tcPr>
          <w:p w14:paraId="11FBCB90" w14:textId="54E8FD49" w:rsidR="00D7449A" w:rsidRPr="001F5558" w:rsidRDefault="00D7449A" w:rsidP="006723FF">
            <w:pPr>
              <w:rPr>
                <w:rFonts w:ascii="Arial" w:hAnsi="Arial" w:cs="Arial"/>
                <w:sz w:val="20"/>
                <w:szCs w:val="20"/>
              </w:rPr>
            </w:pPr>
            <w:r w:rsidRPr="001F5558">
              <w:rPr>
                <w:rFonts w:ascii="Arial" w:hAnsi="Arial" w:cs="Arial"/>
                <w:sz w:val="20"/>
                <w:szCs w:val="20"/>
              </w:rPr>
              <w:t xml:space="preserve">Losartan </w:t>
            </w:r>
          </w:p>
        </w:tc>
        <w:tc>
          <w:tcPr>
            <w:tcW w:w="3118" w:type="dxa"/>
          </w:tcPr>
          <w:p w14:paraId="03BD05E5" w14:textId="0949C6EB" w:rsidR="00D7449A" w:rsidRPr="001F5558" w:rsidRDefault="00D7449A" w:rsidP="006723FF">
            <w:pPr>
              <w:rPr>
                <w:rFonts w:ascii="Arial" w:hAnsi="Arial" w:cs="Arial"/>
                <w:sz w:val="20"/>
                <w:szCs w:val="20"/>
              </w:rPr>
            </w:pPr>
            <w:r w:rsidRPr="001F5558">
              <w:rPr>
                <w:rFonts w:ascii="Arial" w:hAnsi="Arial" w:cs="Arial"/>
                <w:sz w:val="20"/>
                <w:szCs w:val="20"/>
              </w:rPr>
              <w:t>25-50 mg daily</w:t>
            </w:r>
          </w:p>
        </w:tc>
        <w:tc>
          <w:tcPr>
            <w:tcW w:w="3963" w:type="dxa"/>
          </w:tcPr>
          <w:p w14:paraId="0597C69C" w14:textId="6E60E056" w:rsidR="00D7449A" w:rsidRPr="001F5558" w:rsidRDefault="00D7449A" w:rsidP="006723FF">
            <w:pPr>
              <w:rPr>
                <w:rFonts w:ascii="Arial" w:hAnsi="Arial" w:cs="Arial"/>
                <w:sz w:val="20"/>
                <w:szCs w:val="20"/>
              </w:rPr>
            </w:pPr>
            <w:r w:rsidRPr="001F5558">
              <w:rPr>
                <w:rFonts w:ascii="Arial" w:hAnsi="Arial" w:cs="Arial"/>
                <w:sz w:val="20"/>
                <w:szCs w:val="20"/>
              </w:rPr>
              <w:t>25-100 mg daily in 1-2 divided doses</w:t>
            </w:r>
          </w:p>
        </w:tc>
      </w:tr>
      <w:tr w:rsidR="00D7449A" w:rsidRPr="001F5558" w14:paraId="58C8AFFD" w14:textId="77777777" w:rsidTr="00DD143B">
        <w:trPr>
          <w:trHeight w:val="283"/>
        </w:trPr>
        <w:tc>
          <w:tcPr>
            <w:tcW w:w="1980" w:type="dxa"/>
          </w:tcPr>
          <w:p w14:paraId="7F166B1C" w14:textId="58CACCFC" w:rsidR="00D7449A" w:rsidRPr="001F5558" w:rsidRDefault="00D7449A" w:rsidP="006723FF">
            <w:pPr>
              <w:rPr>
                <w:rFonts w:ascii="Arial" w:hAnsi="Arial" w:cs="Arial"/>
                <w:sz w:val="20"/>
                <w:szCs w:val="20"/>
              </w:rPr>
            </w:pPr>
            <w:r w:rsidRPr="001F5558">
              <w:rPr>
                <w:rFonts w:ascii="Arial" w:hAnsi="Arial" w:cs="Arial"/>
                <w:sz w:val="20"/>
                <w:szCs w:val="20"/>
              </w:rPr>
              <w:t xml:space="preserve">Irbesartan </w:t>
            </w:r>
          </w:p>
        </w:tc>
        <w:tc>
          <w:tcPr>
            <w:tcW w:w="3118" w:type="dxa"/>
          </w:tcPr>
          <w:p w14:paraId="1A180730" w14:textId="7726B2A4" w:rsidR="00D7449A" w:rsidRPr="001F5558" w:rsidRDefault="00D7449A" w:rsidP="006723FF">
            <w:pPr>
              <w:rPr>
                <w:rFonts w:ascii="Arial" w:hAnsi="Arial" w:cs="Arial"/>
                <w:sz w:val="20"/>
                <w:szCs w:val="20"/>
              </w:rPr>
            </w:pPr>
            <w:r w:rsidRPr="001F5558">
              <w:rPr>
                <w:rFonts w:ascii="Arial" w:hAnsi="Arial" w:cs="Arial"/>
                <w:sz w:val="20"/>
                <w:szCs w:val="20"/>
              </w:rPr>
              <w:t xml:space="preserve">150 mg daily </w:t>
            </w:r>
          </w:p>
        </w:tc>
        <w:tc>
          <w:tcPr>
            <w:tcW w:w="3963" w:type="dxa"/>
          </w:tcPr>
          <w:p w14:paraId="26D87336" w14:textId="22A02847" w:rsidR="00D7449A" w:rsidRPr="001F5558" w:rsidRDefault="00D7449A" w:rsidP="006723FF">
            <w:pPr>
              <w:rPr>
                <w:rFonts w:ascii="Arial" w:hAnsi="Arial" w:cs="Arial"/>
                <w:sz w:val="20"/>
                <w:szCs w:val="20"/>
              </w:rPr>
            </w:pPr>
            <w:r w:rsidRPr="001F5558">
              <w:rPr>
                <w:rFonts w:ascii="Arial" w:hAnsi="Arial" w:cs="Arial"/>
                <w:sz w:val="20"/>
                <w:szCs w:val="20"/>
              </w:rPr>
              <w:t>150-300 mg daily</w:t>
            </w:r>
          </w:p>
        </w:tc>
      </w:tr>
      <w:tr w:rsidR="00D7449A" w:rsidRPr="001F5558" w14:paraId="328AE899" w14:textId="77777777" w:rsidTr="00DD143B">
        <w:trPr>
          <w:trHeight w:val="283"/>
        </w:trPr>
        <w:tc>
          <w:tcPr>
            <w:tcW w:w="1980" w:type="dxa"/>
          </w:tcPr>
          <w:p w14:paraId="261460CB" w14:textId="0362835A" w:rsidR="00D7449A" w:rsidRPr="001F5558" w:rsidRDefault="00D7449A" w:rsidP="006723FF">
            <w:pPr>
              <w:rPr>
                <w:rFonts w:ascii="Arial" w:hAnsi="Arial" w:cs="Arial"/>
                <w:sz w:val="20"/>
                <w:szCs w:val="20"/>
              </w:rPr>
            </w:pPr>
            <w:proofErr w:type="spellStart"/>
            <w:r w:rsidRPr="001F5558">
              <w:rPr>
                <w:rFonts w:ascii="Arial" w:hAnsi="Arial" w:cs="Arial"/>
                <w:sz w:val="20"/>
                <w:szCs w:val="20"/>
              </w:rPr>
              <w:t>Eprosartan</w:t>
            </w:r>
            <w:proofErr w:type="spellEnd"/>
            <w:r w:rsidRPr="001F5558">
              <w:rPr>
                <w:rFonts w:ascii="Arial" w:hAnsi="Arial" w:cs="Arial"/>
                <w:sz w:val="20"/>
                <w:szCs w:val="20"/>
              </w:rPr>
              <w:t xml:space="preserve"> </w:t>
            </w:r>
          </w:p>
        </w:tc>
        <w:tc>
          <w:tcPr>
            <w:tcW w:w="3118" w:type="dxa"/>
          </w:tcPr>
          <w:p w14:paraId="76D20417" w14:textId="7555CAB1" w:rsidR="00D7449A" w:rsidRPr="001F5558" w:rsidRDefault="00D7449A" w:rsidP="006723FF">
            <w:pPr>
              <w:rPr>
                <w:rFonts w:ascii="Arial" w:hAnsi="Arial" w:cs="Arial"/>
                <w:sz w:val="20"/>
                <w:szCs w:val="20"/>
              </w:rPr>
            </w:pPr>
            <w:r w:rsidRPr="001F5558">
              <w:rPr>
                <w:rFonts w:ascii="Arial" w:hAnsi="Arial" w:cs="Arial"/>
                <w:sz w:val="20"/>
                <w:szCs w:val="20"/>
              </w:rPr>
              <w:t xml:space="preserve">600 mg daily (monotherapy) </w:t>
            </w:r>
          </w:p>
        </w:tc>
        <w:tc>
          <w:tcPr>
            <w:tcW w:w="3963" w:type="dxa"/>
          </w:tcPr>
          <w:p w14:paraId="71F3D6F8" w14:textId="774DCE93" w:rsidR="00D7449A" w:rsidRPr="001F5558" w:rsidRDefault="00D7449A" w:rsidP="006723FF">
            <w:pPr>
              <w:rPr>
                <w:rFonts w:ascii="Arial" w:hAnsi="Arial" w:cs="Arial"/>
                <w:sz w:val="20"/>
                <w:szCs w:val="20"/>
              </w:rPr>
            </w:pPr>
            <w:r w:rsidRPr="001F5558">
              <w:rPr>
                <w:rFonts w:ascii="Arial" w:hAnsi="Arial" w:cs="Arial"/>
                <w:sz w:val="20"/>
                <w:szCs w:val="20"/>
              </w:rPr>
              <w:t xml:space="preserve">400-800 mg daily in 1-2 divided doses </w:t>
            </w:r>
          </w:p>
        </w:tc>
      </w:tr>
      <w:tr w:rsidR="00D7449A" w:rsidRPr="001F5558" w14:paraId="3482366D" w14:textId="77777777" w:rsidTr="00DD143B">
        <w:trPr>
          <w:trHeight w:val="283"/>
        </w:trPr>
        <w:tc>
          <w:tcPr>
            <w:tcW w:w="1980" w:type="dxa"/>
          </w:tcPr>
          <w:p w14:paraId="1609FCD7" w14:textId="39ED98CB" w:rsidR="00D7449A" w:rsidRPr="001F5558" w:rsidRDefault="00D7449A" w:rsidP="006723FF">
            <w:pPr>
              <w:rPr>
                <w:rFonts w:ascii="Arial" w:hAnsi="Arial" w:cs="Arial"/>
                <w:sz w:val="20"/>
                <w:szCs w:val="20"/>
              </w:rPr>
            </w:pPr>
            <w:r w:rsidRPr="001F5558">
              <w:rPr>
                <w:rFonts w:ascii="Arial" w:hAnsi="Arial" w:cs="Arial"/>
                <w:sz w:val="20"/>
                <w:szCs w:val="20"/>
              </w:rPr>
              <w:t xml:space="preserve">Candesartan </w:t>
            </w:r>
          </w:p>
        </w:tc>
        <w:tc>
          <w:tcPr>
            <w:tcW w:w="3118" w:type="dxa"/>
          </w:tcPr>
          <w:p w14:paraId="183593FB" w14:textId="6B0B891F" w:rsidR="00D7449A" w:rsidRPr="001F5558" w:rsidRDefault="00D7449A" w:rsidP="006723FF">
            <w:pPr>
              <w:rPr>
                <w:rFonts w:ascii="Arial" w:hAnsi="Arial" w:cs="Arial"/>
                <w:sz w:val="20"/>
                <w:szCs w:val="20"/>
              </w:rPr>
            </w:pPr>
            <w:r w:rsidRPr="001F5558">
              <w:rPr>
                <w:rFonts w:ascii="Arial" w:hAnsi="Arial" w:cs="Arial"/>
                <w:sz w:val="20"/>
                <w:szCs w:val="20"/>
              </w:rPr>
              <w:t xml:space="preserve">16 mg as monotherapy </w:t>
            </w:r>
          </w:p>
        </w:tc>
        <w:tc>
          <w:tcPr>
            <w:tcW w:w="3963" w:type="dxa"/>
          </w:tcPr>
          <w:p w14:paraId="5A7ACFC9" w14:textId="34986140" w:rsidR="00D7449A" w:rsidRPr="001F5558" w:rsidRDefault="00D7449A" w:rsidP="006723FF">
            <w:pPr>
              <w:rPr>
                <w:rFonts w:ascii="Arial" w:hAnsi="Arial" w:cs="Arial"/>
                <w:sz w:val="20"/>
                <w:szCs w:val="20"/>
              </w:rPr>
            </w:pPr>
            <w:r w:rsidRPr="001F5558">
              <w:rPr>
                <w:rFonts w:ascii="Arial" w:hAnsi="Arial" w:cs="Arial"/>
                <w:sz w:val="20"/>
                <w:szCs w:val="20"/>
              </w:rPr>
              <w:t xml:space="preserve">2-32 mg daily in 1-2 divided doses </w:t>
            </w:r>
          </w:p>
        </w:tc>
      </w:tr>
      <w:tr w:rsidR="00D7449A" w:rsidRPr="001F5558" w14:paraId="0E565758" w14:textId="77777777" w:rsidTr="00DD143B">
        <w:trPr>
          <w:trHeight w:val="283"/>
        </w:trPr>
        <w:tc>
          <w:tcPr>
            <w:tcW w:w="1980" w:type="dxa"/>
          </w:tcPr>
          <w:p w14:paraId="026EB65D" w14:textId="77777777" w:rsidR="00D7449A" w:rsidRPr="001F5558" w:rsidRDefault="00D7449A" w:rsidP="006723FF">
            <w:pPr>
              <w:rPr>
                <w:rFonts w:ascii="Arial" w:hAnsi="Arial" w:cs="Arial"/>
                <w:sz w:val="20"/>
                <w:szCs w:val="20"/>
              </w:rPr>
            </w:pPr>
            <w:proofErr w:type="spellStart"/>
            <w:r w:rsidRPr="001F5558">
              <w:rPr>
                <w:rFonts w:ascii="Arial" w:hAnsi="Arial" w:cs="Arial"/>
                <w:sz w:val="20"/>
                <w:szCs w:val="20"/>
              </w:rPr>
              <w:t>Omesartan</w:t>
            </w:r>
            <w:proofErr w:type="spellEnd"/>
            <w:r w:rsidRPr="001F5558">
              <w:rPr>
                <w:rFonts w:ascii="Arial" w:hAnsi="Arial" w:cs="Arial"/>
                <w:sz w:val="20"/>
                <w:szCs w:val="20"/>
              </w:rPr>
              <w:t xml:space="preserve"> </w:t>
            </w:r>
          </w:p>
        </w:tc>
        <w:tc>
          <w:tcPr>
            <w:tcW w:w="3118" w:type="dxa"/>
          </w:tcPr>
          <w:p w14:paraId="6C56BB30" w14:textId="77777777" w:rsidR="00D7449A" w:rsidRPr="001F5558" w:rsidRDefault="00D7449A" w:rsidP="006723FF">
            <w:pPr>
              <w:rPr>
                <w:rFonts w:ascii="Arial" w:hAnsi="Arial" w:cs="Arial"/>
                <w:sz w:val="20"/>
                <w:szCs w:val="20"/>
              </w:rPr>
            </w:pPr>
            <w:r w:rsidRPr="001F5558">
              <w:rPr>
                <w:rFonts w:ascii="Arial" w:hAnsi="Arial" w:cs="Arial"/>
                <w:sz w:val="20"/>
                <w:szCs w:val="20"/>
              </w:rPr>
              <w:t xml:space="preserve">20 mg daily (monotherapy) </w:t>
            </w:r>
          </w:p>
        </w:tc>
        <w:tc>
          <w:tcPr>
            <w:tcW w:w="3963" w:type="dxa"/>
          </w:tcPr>
          <w:p w14:paraId="5658237D" w14:textId="77777777" w:rsidR="00D7449A" w:rsidRPr="001F5558" w:rsidRDefault="00D7449A" w:rsidP="006723FF">
            <w:pPr>
              <w:rPr>
                <w:rFonts w:ascii="Arial" w:hAnsi="Arial" w:cs="Arial"/>
                <w:sz w:val="20"/>
                <w:szCs w:val="20"/>
              </w:rPr>
            </w:pPr>
            <w:r w:rsidRPr="001F5558">
              <w:rPr>
                <w:rFonts w:ascii="Arial" w:hAnsi="Arial" w:cs="Arial"/>
                <w:sz w:val="20"/>
                <w:szCs w:val="20"/>
              </w:rPr>
              <w:t>20-40 mg daily</w:t>
            </w:r>
          </w:p>
        </w:tc>
      </w:tr>
      <w:tr w:rsidR="00D7449A" w:rsidRPr="001F5558" w14:paraId="0A72D190" w14:textId="77777777" w:rsidTr="00DD143B">
        <w:trPr>
          <w:trHeight w:val="283"/>
        </w:trPr>
        <w:tc>
          <w:tcPr>
            <w:tcW w:w="1980" w:type="dxa"/>
          </w:tcPr>
          <w:p w14:paraId="216171C9" w14:textId="77777777" w:rsidR="00D7449A" w:rsidRPr="001F5558" w:rsidRDefault="00D7449A" w:rsidP="006723FF">
            <w:pPr>
              <w:rPr>
                <w:rFonts w:ascii="Arial" w:hAnsi="Arial" w:cs="Arial"/>
                <w:sz w:val="20"/>
                <w:szCs w:val="20"/>
              </w:rPr>
            </w:pPr>
            <w:r w:rsidRPr="001F5558">
              <w:rPr>
                <w:rFonts w:ascii="Arial" w:hAnsi="Arial" w:cs="Arial"/>
                <w:sz w:val="20"/>
                <w:szCs w:val="20"/>
              </w:rPr>
              <w:t xml:space="preserve">Telmisartan </w:t>
            </w:r>
          </w:p>
        </w:tc>
        <w:tc>
          <w:tcPr>
            <w:tcW w:w="3118" w:type="dxa"/>
          </w:tcPr>
          <w:p w14:paraId="3256E2F1" w14:textId="77777777" w:rsidR="00D7449A" w:rsidRPr="001F5558" w:rsidRDefault="00D7449A" w:rsidP="006723FF">
            <w:pPr>
              <w:rPr>
                <w:rFonts w:ascii="Arial" w:hAnsi="Arial" w:cs="Arial"/>
                <w:sz w:val="20"/>
                <w:szCs w:val="20"/>
              </w:rPr>
            </w:pPr>
            <w:r w:rsidRPr="001F5558">
              <w:rPr>
                <w:rFonts w:ascii="Arial" w:hAnsi="Arial" w:cs="Arial"/>
                <w:sz w:val="20"/>
                <w:szCs w:val="20"/>
              </w:rPr>
              <w:t xml:space="preserve">40 mg daily </w:t>
            </w:r>
          </w:p>
        </w:tc>
        <w:tc>
          <w:tcPr>
            <w:tcW w:w="3963" w:type="dxa"/>
          </w:tcPr>
          <w:p w14:paraId="4A4D16DC" w14:textId="77777777" w:rsidR="00D7449A" w:rsidRPr="001F5558" w:rsidRDefault="00D7449A" w:rsidP="006723FF">
            <w:pPr>
              <w:rPr>
                <w:rFonts w:ascii="Arial" w:hAnsi="Arial" w:cs="Arial"/>
                <w:sz w:val="20"/>
                <w:szCs w:val="20"/>
              </w:rPr>
            </w:pPr>
            <w:r w:rsidRPr="001F5558">
              <w:rPr>
                <w:rFonts w:ascii="Arial" w:hAnsi="Arial" w:cs="Arial"/>
                <w:sz w:val="20"/>
                <w:szCs w:val="20"/>
              </w:rPr>
              <w:t xml:space="preserve">40-80 mg daily </w:t>
            </w:r>
          </w:p>
        </w:tc>
      </w:tr>
      <w:tr w:rsidR="00D7449A" w:rsidRPr="001F5558" w14:paraId="1A9E72B3" w14:textId="77777777" w:rsidTr="00DD143B">
        <w:trPr>
          <w:trHeight w:val="283"/>
        </w:trPr>
        <w:tc>
          <w:tcPr>
            <w:tcW w:w="1980" w:type="dxa"/>
          </w:tcPr>
          <w:p w14:paraId="71DE3A68" w14:textId="77777777" w:rsidR="00D7449A" w:rsidRPr="001F5558" w:rsidRDefault="00D7449A" w:rsidP="006723FF">
            <w:pPr>
              <w:rPr>
                <w:rFonts w:ascii="Arial" w:hAnsi="Arial" w:cs="Arial"/>
                <w:sz w:val="20"/>
                <w:szCs w:val="20"/>
              </w:rPr>
            </w:pPr>
            <w:r w:rsidRPr="001F5558">
              <w:rPr>
                <w:rFonts w:ascii="Arial" w:hAnsi="Arial" w:cs="Arial"/>
                <w:sz w:val="20"/>
                <w:szCs w:val="20"/>
              </w:rPr>
              <w:t xml:space="preserve">Valsartan </w:t>
            </w:r>
          </w:p>
        </w:tc>
        <w:tc>
          <w:tcPr>
            <w:tcW w:w="3118" w:type="dxa"/>
          </w:tcPr>
          <w:p w14:paraId="7573915A" w14:textId="77777777" w:rsidR="00D7449A" w:rsidRPr="001F5558" w:rsidRDefault="00D7449A" w:rsidP="006723FF">
            <w:pPr>
              <w:rPr>
                <w:rFonts w:ascii="Arial" w:hAnsi="Arial" w:cs="Arial"/>
                <w:sz w:val="20"/>
                <w:szCs w:val="20"/>
              </w:rPr>
            </w:pPr>
            <w:r w:rsidRPr="001F5558">
              <w:rPr>
                <w:rFonts w:ascii="Arial" w:hAnsi="Arial" w:cs="Arial"/>
                <w:sz w:val="20"/>
                <w:szCs w:val="20"/>
              </w:rPr>
              <w:t>80 or 160 mg daily</w:t>
            </w:r>
          </w:p>
        </w:tc>
        <w:tc>
          <w:tcPr>
            <w:tcW w:w="3963" w:type="dxa"/>
          </w:tcPr>
          <w:p w14:paraId="6D9C2759" w14:textId="77777777" w:rsidR="00D7449A" w:rsidRPr="001F5558" w:rsidRDefault="00D7449A" w:rsidP="006723FF">
            <w:pPr>
              <w:rPr>
                <w:rFonts w:ascii="Arial" w:hAnsi="Arial" w:cs="Arial"/>
                <w:sz w:val="20"/>
                <w:szCs w:val="20"/>
              </w:rPr>
            </w:pPr>
            <w:r w:rsidRPr="001F5558">
              <w:rPr>
                <w:rFonts w:ascii="Arial" w:hAnsi="Arial" w:cs="Arial"/>
                <w:sz w:val="20"/>
                <w:szCs w:val="20"/>
              </w:rPr>
              <w:t>80-320 mg daily</w:t>
            </w:r>
          </w:p>
        </w:tc>
      </w:tr>
    </w:tbl>
    <w:p w14:paraId="7BD889C1" w14:textId="4DF7D91A" w:rsidR="00CC2984" w:rsidRPr="001F5558" w:rsidRDefault="00CC2984" w:rsidP="006723FF">
      <w:pPr>
        <w:spacing w:after="0" w:line="240" w:lineRule="auto"/>
        <w:ind w:firstLine="720"/>
        <w:jc w:val="both"/>
        <w:rPr>
          <w:rFonts w:ascii="Arial" w:eastAsia="Times New Roman" w:hAnsi="Arial" w:cs="Arial"/>
          <w:sz w:val="20"/>
          <w:szCs w:val="20"/>
        </w:rPr>
      </w:pPr>
    </w:p>
    <w:p w14:paraId="656192E0" w14:textId="508E8F81" w:rsidR="00C25DF8" w:rsidRPr="001F5558" w:rsidRDefault="00C317D2" w:rsidP="00257B59">
      <w:pPr>
        <w:spacing w:after="0" w:line="240" w:lineRule="auto"/>
        <w:jc w:val="both"/>
        <w:rPr>
          <w:rFonts w:ascii="Arial" w:eastAsia="Times New Roman" w:hAnsi="Arial" w:cs="Arial"/>
          <w:sz w:val="20"/>
          <w:szCs w:val="20"/>
          <w:lang w:val="en-IN"/>
        </w:rPr>
      </w:pPr>
      <w:r w:rsidRPr="001F5558">
        <w:rPr>
          <w:rFonts w:ascii="Arial" w:eastAsia="Times New Roman" w:hAnsi="Arial" w:cs="Arial"/>
          <w:sz w:val="20"/>
          <w:szCs w:val="20"/>
        </w:rPr>
        <w:t>Spironolactone, a steroidal mineralocorticoid receptor antagonist</w:t>
      </w:r>
      <w:r w:rsidR="00B35A78" w:rsidRPr="001F5558">
        <w:rPr>
          <w:rFonts w:ascii="Arial" w:eastAsia="Times New Roman" w:hAnsi="Arial" w:cs="Arial"/>
          <w:sz w:val="20"/>
          <w:szCs w:val="20"/>
        </w:rPr>
        <w:t xml:space="preserve"> (s-MRA)</w:t>
      </w:r>
      <w:r w:rsidRPr="001F5558">
        <w:rPr>
          <w:rFonts w:ascii="Arial" w:eastAsia="Times New Roman" w:hAnsi="Arial" w:cs="Arial"/>
          <w:sz w:val="20"/>
          <w:szCs w:val="20"/>
        </w:rPr>
        <w:t>, is used for the management of resistant hypertension and primary hyperaldosteronism in the setting of normal eGFR</w:t>
      </w:r>
      <w:r w:rsidR="00CD2FE6" w:rsidRPr="001F5558">
        <w:rPr>
          <w:rFonts w:ascii="Arial" w:eastAsia="Times New Roman" w:hAnsi="Arial" w:cs="Arial"/>
          <w:sz w:val="20"/>
          <w:szCs w:val="20"/>
        </w:rPr>
        <w:t xml:space="preserve"> (Edwards</w:t>
      </w:r>
      <w:r w:rsidR="006D144E" w:rsidRPr="001F5558">
        <w:rPr>
          <w:rFonts w:ascii="Arial" w:eastAsia="Times New Roman" w:hAnsi="Arial" w:cs="Arial"/>
          <w:sz w:val="20"/>
          <w:szCs w:val="20"/>
        </w:rPr>
        <w:t xml:space="preserve"> et al.</w:t>
      </w:r>
      <w:r w:rsidR="00CD2FE6" w:rsidRPr="001F5558">
        <w:rPr>
          <w:rFonts w:ascii="Arial" w:eastAsia="Times New Roman" w:hAnsi="Arial" w:cs="Arial"/>
          <w:sz w:val="20"/>
          <w:szCs w:val="20"/>
        </w:rPr>
        <w:t>, 2012; Ng</w:t>
      </w:r>
      <w:r w:rsidR="006D144E" w:rsidRPr="001F5558">
        <w:rPr>
          <w:rFonts w:ascii="Arial" w:eastAsia="Times New Roman" w:hAnsi="Arial" w:cs="Arial"/>
          <w:sz w:val="20"/>
          <w:szCs w:val="20"/>
        </w:rPr>
        <w:t xml:space="preserve"> et al.</w:t>
      </w:r>
      <w:r w:rsidR="00CD2FE6" w:rsidRPr="001F5558">
        <w:rPr>
          <w:rFonts w:ascii="Arial" w:eastAsia="Times New Roman" w:hAnsi="Arial" w:cs="Arial"/>
          <w:sz w:val="20"/>
          <w:szCs w:val="20"/>
        </w:rPr>
        <w:t>, 2016)</w:t>
      </w:r>
      <w:r w:rsidRPr="001F5558">
        <w:rPr>
          <w:rFonts w:ascii="Arial" w:eastAsia="Times New Roman" w:hAnsi="Arial" w:cs="Arial"/>
          <w:sz w:val="20"/>
          <w:szCs w:val="20"/>
        </w:rPr>
        <w:t xml:space="preserve">. </w:t>
      </w:r>
      <w:r w:rsidR="00CD2FE6" w:rsidRPr="001F5558">
        <w:rPr>
          <w:rFonts w:ascii="Arial" w:eastAsia="Times New Roman" w:hAnsi="Arial" w:cs="Arial"/>
          <w:sz w:val="20"/>
          <w:szCs w:val="20"/>
        </w:rPr>
        <w:t>It is used in CKD primarily to manage cardiovascular risk and reduce proteinuria due to its anti-fibrotic and anti-inflammatory properties (Edwards</w:t>
      </w:r>
      <w:r w:rsidR="006D144E" w:rsidRPr="001F5558">
        <w:rPr>
          <w:rFonts w:ascii="Arial" w:eastAsia="Times New Roman" w:hAnsi="Arial" w:cs="Arial"/>
          <w:sz w:val="20"/>
          <w:szCs w:val="20"/>
        </w:rPr>
        <w:t xml:space="preserve"> et al.</w:t>
      </w:r>
      <w:r w:rsidR="00CD2FE6" w:rsidRPr="001F5558">
        <w:rPr>
          <w:rFonts w:ascii="Arial" w:eastAsia="Times New Roman" w:hAnsi="Arial" w:cs="Arial"/>
          <w:sz w:val="20"/>
          <w:szCs w:val="20"/>
        </w:rPr>
        <w:t>, 2012</w:t>
      </w:r>
      <w:r w:rsidR="00225AD5" w:rsidRPr="001F5558">
        <w:rPr>
          <w:rFonts w:ascii="Arial" w:eastAsia="Times New Roman" w:hAnsi="Arial" w:cs="Arial"/>
          <w:sz w:val="20"/>
          <w:szCs w:val="20"/>
        </w:rPr>
        <w:t>;</w:t>
      </w:r>
      <w:r w:rsidR="00CD2FE6" w:rsidRPr="001F5558">
        <w:rPr>
          <w:rFonts w:ascii="Arial" w:eastAsia="Times New Roman" w:hAnsi="Arial" w:cs="Arial"/>
          <w:sz w:val="20"/>
          <w:szCs w:val="20"/>
        </w:rPr>
        <w:t xml:space="preserve"> Hobbs</w:t>
      </w:r>
      <w:r w:rsidR="006D144E" w:rsidRPr="001F5558">
        <w:rPr>
          <w:rFonts w:ascii="Arial" w:eastAsia="Times New Roman" w:hAnsi="Arial" w:cs="Arial"/>
          <w:sz w:val="20"/>
          <w:szCs w:val="20"/>
        </w:rPr>
        <w:t xml:space="preserve"> et al.</w:t>
      </w:r>
      <w:r w:rsidR="00CD2FE6" w:rsidRPr="001F5558">
        <w:rPr>
          <w:rFonts w:ascii="Arial" w:eastAsia="Times New Roman" w:hAnsi="Arial" w:cs="Arial"/>
          <w:sz w:val="20"/>
          <w:szCs w:val="20"/>
        </w:rPr>
        <w:t xml:space="preserve">, 2024). </w:t>
      </w:r>
      <w:r w:rsidRPr="001F5558">
        <w:rPr>
          <w:rFonts w:ascii="Arial" w:eastAsia="Times New Roman" w:hAnsi="Arial" w:cs="Arial"/>
          <w:sz w:val="20"/>
          <w:szCs w:val="20"/>
        </w:rPr>
        <w:t>Notably, spironolactone reduces mortality in heart failure patients with reduced ejection fraction. Nevertheless, hyperkalemia is a limiting factor, particularly with reduced eGFR &lt;45 mL/min/1.73 m</w:t>
      </w:r>
      <w:r w:rsidRPr="001F5558">
        <w:rPr>
          <w:rFonts w:ascii="Arial" w:eastAsia="Times New Roman" w:hAnsi="Arial" w:cs="Arial"/>
          <w:sz w:val="20"/>
          <w:szCs w:val="20"/>
          <w:vertAlign w:val="superscript"/>
        </w:rPr>
        <w:t xml:space="preserve">2 </w:t>
      </w:r>
      <w:r w:rsidRPr="001F5558">
        <w:rPr>
          <w:rFonts w:ascii="Arial" w:eastAsia="Times New Roman" w:hAnsi="Arial" w:cs="Arial"/>
          <w:sz w:val="20"/>
          <w:szCs w:val="20"/>
        </w:rPr>
        <w:t>(</w:t>
      </w:r>
      <w:r w:rsidR="00CD2FE6" w:rsidRPr="001F5558">
        <w:rPr>
          <w:rFonts w:ascii="Arial" w:eastAsia="Times New Roman" w:hAnsi="Arial" w:cs="Arial"/>
          <w:sz w:val="20"/>
          <w:szCs w:val="20"/>
        </w:rPr>
        <w:t>Hobbs</w:t>
      </w:r>
      <w:r w:rsidR="006D144E" w:rsidRPr="001F5558">
        <w:rPr>
          <w:rFonts w:ascii="Arial" w:eastAsia="Times New Roman" w:hAnsi="Arial" w:cs="Arial"/>
          <w:sz w:val="20"/>
          <w:szCs w:val="20"/>
        </w:rPr>
        <w:t xml:space="preserve"> et al.</w:t>
      </w:r>
      <w:r w:rsidR="00CD2FE6" w:rsidRPr="001F5558">
        <w:rPr>
          <w:rFonts w:ascii="Arial" w:eastAsia="Times New Roman" w:hAnsi="Arial" w:cs="Arial"/>
          <w:sz w:val="20"/>
          <w:szCs w:val="20"/>
        </w:rPr>
        <w:t>, 2024</w:t>
      </w:r>
      <w:r w:rsidRPr="001F5558">
        <w:rPr>
          <w:rFonts w:ascii="Arial" w:eastAsia="Times New Roman" w:hAnsi="Arial" w:cs="Arial"/>
          <w:sz w:val="20"/>
          <w:szCs w:val="20"/>
        </w:rPr>
        <w:t>). Eplerenone, another s</w:t>
      </w:r>
      <w:r w:rsidR="00B35A78" w:rsidRPr="001F5558">
        <w:rPr>
          <w:rFonts w:ascii="Arial" w:eastAsia="Times New Roman" w:hAnsi="Arial" w:cs="Arial"/>
          <w:sz w:val="20"/>
          <w:szCs w:val="20"/>
        </w:rPr>
        <w:t>-MRA</w:t>
      </w:r>
      <w:r w:rsidRPr="001F5558">
        <w:rPr>
          <w:rFonts w:ascii="Arial" w:eastAsia="Times New Roman" w:hAnsi="Arial" w:cs="Arial"/>
          <w:sz w:val="20"/>
          <w:szCs w:val="20"/>
        </w:rPr>
        <w:t>, is often restricted or used with caution in CKD primarily due to a significantly elevated risk of life-threatening hyperkalemia. Its use is limited because of reduced drug clearance, potential worsening of kidney function, and the availability of alternative treatments (Hu</w:t>
      </w:r>
      <w:r w:rsidR="006D144E" w:rsidRPr="001F5558">
        <w:rPr>
          <w:rFonts w:ascii="Arial" w:eastAsia="Times New Roman" w:hAnsi="Arial" w:cs="Arial"/>
          <w:sz w:val="20"/>
          <w:szCs w:val="20"/>
        </w:rPr>
        <w:t xml:space="preserve"> et al.</w:t>
      </w:r>
      <w:r w:rsidRPr="001F5558">
        <w:rPr>
          <w:rFonts w:ascii="Arial" w:eastAsia="Times New Roman" w:hAnsi="Arial" w:cs="Arial"/>
          <w:sz w:val="20"/>
          <w:szCs w:val="20"/>
        </w:rPr>
        <w:t xml:space="preserve">, </w:t>
      </w:r>
      <w:r w:rsidRPr="001F5558">
        <w:rPr>
          <w:rFonts w:ascii="Arial" w:eastAsia="Times New Roman" w:hAnsi="Arial" w:cs="Arial"/>
          <w:sz w:val="20"/>
          <w:szCs w:val="20"/>
        </w:rPr>
        <w:lastRenderedPageBreak/>
        <w:t>2023</w:t>
      </w:r>
      <w:r w:rsidR="00A0559B" w:rsidRPr="001F5558">
        <w:rPr>
          <w:rFonts w:ascii="Arial" w:eastAsia="Times New Roman" w:hAnsi="Arial" w:cs="Arial"/>
          <w:sz w:val="20"/>
          <w:szCs w:val="20"/>
        </w:rPr>
        <w:t xml:space="preserve">; </w:t>
      </w:r>
      <w:proofErr w:type="spellStart"/>
      <w:r w:rsidR="00A0559B" w:rsidRPr="001F5558">
        <w:rPr>
          <w:rFonts w:ascii="Arial" w:hAnsi="Arial" w:cs="Arial"/>
          <w:sz w:val="20"/>
          <w:szCs w:val="20"/>
        </w:rPr>
        <w:t>Alsalloum</w:t>
      </w:r>
      <w:proofErr w:type="spellEnd"/>
      <w:r w:rsidR="00A0559B" w:rsidRPr="001F5558">
        <w:rPr>
          <w:rFonts w:ascii="Arial" w:hAnsi="Arial" w:cs="Arial"/>
          <w:sz w:val="20"/>
          <w:szCs w:val="20"/>
        </w:rPr>
        <w:t xml:space="preserve"> et al., 2025</w:t>
      </w:r>
      <w:r w:rsidRPr="001F5558">
        <w:rPr>
          <w:rFonts w:ascii="Arial" w:eastAsia="Times New Roman" w:hAnsi="Arial" w:cs="Arial"/>
          <w:sz w:val="20"/>
          <w:szCs w:val="20"/>
        </w:rPr>
        <w:t xml:space="preserve">). </w:t>
      </w:r>
      <w:r w:rsidR="00CD2FE6" w:rsidRPr="001F5558">
        <w:rPr>
          <w:rFonts w:ascii="Arial" w:eastAsia="Times New Roman" w:hAnsi="Arial" w:cs="Arial"/>
          <w:sz w:val="20"/>
          <w:szCs w:val="20"/>
        </w:rPr>
        <w:t xml:space="preserve">A novel class of ns-MRAs, including </w:t>
      </w:r>
      <w:proofErr w:type="spellStart"/>
      <w:r w:rsidR="00CD2FE6" w:rsidRPr="001F5558">
        <w:rPr>
          <w:rFonts w:ascii="Arial" w:eastAsia="Times New Roman" w:hAnsi="Arial" w:cs="Arial"/>
          <w:sz w:val="20"/>
          <w:szCs w:val="20"/>
        </w:rPr>
        <w:t>esaxerenone</w:t>
      </w:r>
      <w:proofErr w:type="spellEnd"/>
      <w:r w:rsidR="00CD2FE6" w:rsidRPr="001F5558">
        <w:rPr>
          <w:rFonts w:ascii="Arial" w:eastAsia="Times New Roman" w:hAnsi="Arial" w:cs="Arial"/>
          <w:sz w:val="20"/>
          <w:szCs w:val="20"/>
        </w:rPr>
        <w:t xml:space="preserve"> and </w:t>
      </w:r>
      <w:proofErr w:type="spellStart"/>
      <w:r w:rsidR="00CD2FE6" w:rsidRPr="001F5558">
        <w:rPr>
          <w:rFonts w:ascii="Arial" w:eastAsia="Times New Roman" w:hAnsi="Arial" w:cs="Arial"/>
          <w:sz w:val="20"/>
          <w:szCs w:val="20"/>
        </w:rPr>
        <w:t>finerenone</w:t>
      </w:r>
      <w:proofErr w:type="spellEnd"/>
      <w:r w:rsidR="00CD2FE6" w:rsidRPr="001F5558">
        <w:rPr>
          <w:rFonts w:ascii="Arial" w:eastAsia="Times New Roman" w:hAnsi="Arial" w:cs="Arial"/>
          <w:sz w:val="20"/>
          <w:szCs w:val="20"/>
        </w:rPr>
        <w:t xml:space="preserve">, has recently been investigated among people with T2DM and CKD, in addition to RAAS inhibition. </w:t>
      </w:r>
      <w:proofErr w:type="spellStart"/>
      <w:r w:rsidR="00CD2FE6" w:rsidRPr="001F5558">
        <w:rPr>
          <w:rFonts w:ascii="Arial" w:eastAsia="Times New Roman" w:hAnsi="Arial" w:cs="Arial"/>
          <w:sz w:val="20"/>
          <w:szCs w:val="20"/>
        </w:rPr>
        <w:t>Esaxerenone</w:t>
      </w:r>
      <w:proofErr w:type="spellEnd"/>
      <w:r w:rsidR="00CD2FE6" w:rsidRPr="001F5558">
        <w:rPr>
          <w:rFonts w:ascii="Arial" w:eastAsia="Times New Roman" w:hAnsi="Arial" w:cs="Arial"/>
          <w:sz w:val="20"/>
          <w:szCs w:val="20"/>
        </w:rPr>
        <w:t xml:space="preserve"> </w:t>
      </w:r>
      <w:r w:rsidR="00333380" w:rsidRPr="001F5558">
        <w:rPr>
          <w:rFonts w:ascii="Arial" w:eastAsia="Times New Roman" w:hAnsi="Arial" w:cs="Arial"/>
          <w:sz w:val="20"/>
          <w:szCs w:val="20"/>
        </w:rPr>
        <w:t xml:space="preserve">significantly lowered morning home, bedtime home, and office BP, </w:t>
      </w:r>
      <w:r w:rsidR="00CD2FE6" w:rsidRPr="001F5558">
        <w:rPr>
          <w:rFonts w:ascii="Arial" w:eastAsia="Times New Roman" w:hAnsi="Arial" w:cs="Arial"/>
          <w:sz w:val="20"/>
          <w:szCs w:val="20"/>
        </w:rPr>
        <w:t xml:space="preserve">and albuminuria </w:t>
      </w:r>
      <w:r w:rsidR="00333380" w:rsidRPr="001F5558">
        <w:rPr>
          <w:rFonts w:ascii="Arial" w:eastAsia="Times New Roman" w:hAnsi="Arial" w:cs="Arial"/>
          <w:sz w:val="20"/>
          <w:szCs w:val="20"/>
        </w:rPr>
        <w:t xml:space="preserve">(reduced ACR) </w:t>
      </w:r>
      <w:r w:rsidR="00CD2FE6" w:rsidRPr="001F5558">
        <w:rPr>
          <w:rFonts w:ascii="Arial" w:eastAsia="Times New Roman" w:hAnsi="Arial" w:cs="Arial"/>
          <w:sz w:val="20"/>
          <w:szCs w:val="20"/>
        </w:rPr>
        <w:t>with limited changes in potassium</w:t>
      </w:r>
      <w:r w:rsidR="00333380" w:rsidRPr="001F5558">
        <w:rPr>
          <w:rFonts w:ascii="Arial" w:eastAsia="Times New Roman" w:hAnsi="Arial" w:cs="Arial"/>
          <w:sz w:val="20"/>
          <w:szCs w:val="20"/>
        </w:rPr>
        <w:t xml:space="preserve"> in CKD </w:t>
      </w:r>
      <w:r w:rsidR="00CD2FE6" w:rsidRPr="001F5558">
        <w:rPr>
          <w:rFonts w:ascii="Arial" w:eastAsia="Times New Roman" w:hAnsi="Arial" w:cs="Arial"/>
          <w:sz w:val="20"/>
          <w:szCs w:val="20"/>
        </w:rPr>
        <w:t xml:space="preserve">patients with </w:t>
      </w:r>
      <w:r w:rsidR="00333380" w:rsidRPr="001F5558">
        <w:rPr>
          <w:rFonts w:ascii="Arial" w:eastAsia="Times New Roman" w:hAnsi="Arial" w:cs="Arial"/>
          <w:sz w:val="20"/>
          <w:szCs w:val="20"/>
        </w:rPr>
        <w:t>HTN</w:t>
      </w:r>
      <w:r w:rsidR="00CD2FE6" w:rsidRPr="001F5558">
        <w:rPr>
          <w:rFonts w:ascii="Arial" w:eastAsia="Times New Roman" w:hAnsi="Arial" w:cs="Arial"/>
          <w:sz w:val="20"/>
          <w:szCs w:val="20"/>
        </w:rPr>
        <w:t xml:space="preserve">, regardless of T2DM status and kidney function (eGFR), and without any </w:t>
      </w:r>
      <w:r w:rsidR="002A3B7D" w:rsidRPr="001F5558">
        <w:rPr>
          <w:rFonts w:ascii="Arial" w:eastAsia="Times New Roman" w:hAnsi="Arial" w:cs="Arial"/>
          <w:sz w:val="20"/>
          <w:szCs w:val="20"/>
        </w:rPr>
        <w:t>new</w:t>
      </w:r>
      <w:r w:rsidR="00CD2FE6" w:rsidRPr="001F5558">
        <w:rPr>
          <w:rFonts w:ascii="Arial" w:eastAsia="Times New Roman" w:hAnsi="Arial" w:cs="Arial"/>
          <w:sz w:val="20"/>
          <w:szCs w:val="20"/>
        </w:rPr>
        <w:t xml:space="preserve"> safety concerns</w:t>
      </w:r>
      <w:r w:rsidR="0015270D" w:rsidRPr="001F5558">
        <w:rPr>
          <w:rFonts w:ascii="Arial" w:eastAsia="Times New Roman" w:hAnsi="Arial" w:cs="Arial"/>
          <w:sz w:val="20"/>
          <w:szCs w:val="20"/>
        </w:rPr>
        <w:t xml:space="preserve"> (</w:t>
      </w:r>
      <w:r w:rsidR="00C25DF8" w:rsidRPr="001F5558">
        <w:rPr>
          <w:rFonts w:ascii="Arial" w:eastAsia="Times New Roman" w:hAnsi="Arial" w:cs="Arial"/>
          <w:sz w:val="20"/>
          <w:szCs w:val="20"/>
        </w:rPr>
        <w:t>Wan</w:t>
      </w:r>
      <w:r w:rsidR="00344889" w:rsidRPr="001F5558">
        <w:rPr>
          <w:rFonts w:ascii="Arial" w:eastAsia="Times New Roman" w:hAnsi="Arial" w:cs="Arial"/>
          <w:sz w:val="20"/>
          <w:szCs w:val="20"/>
        </w:rPr>
        <w:t xml:space="preserve"> et al.</w:t>
      </w:r>
      <w:r w:rsidR="00C25DF8" w:rsidRPr="001F5558">
        <w:rPr>
          <w:rFonts w:ascii="Arial" w:eastAsia="Times New Roman" w:hAnsi="Arial" w:cs="Arial"/>
          <w:sz w:val="20"/>
          <w:szCs w:val="20"/>
        </w:rPr>
        <w:t>, 2021; Solis-Herrera</w:t>
      </w:r>
      <w:r w:rsidR="00344889" w:rsidRPr="001F5558">
        <w:rPr>
          <w:rFonts w:ascii="Arial" w:eastAsia="Times New Roman" w:hAnsi="Arial" w:cs="Arial"/>
          <w:sz w:val="20"/>
          <w:szCs w:val="20"/>
        </w:rPr>
        <w:t xml:space="preserve"> &amp; </w:t>
      </w:r>
      <w:r w:rsidR="00344889" w:rsidRPr="001F5558">
        <w:rPr>
          <w:rFonts w:ascii="Arial" w:hAnsi="Arial" w:cs="Arial"/>
          <w:sz w:val="20"/>
          <w:szCs w:val="20"/>
        </w:rPr>
        <w:t xml:space="preserve">Triplitt, </w:t>
      </w:r>
      <w:r w:rsidR="00C25DF8" w:rsidRPr="001F5558">
        <w:rPr>
          <w:rFonts w:ascii="Arial" w:eastAsia="Times New Roman" w:hAnsi="Arial" w:cs="Arial"/>
          <w:sz w:val="20"/>
          <w:szCs w:val="20"/>
        </w:rPr>
        <w:t xml:space="preserve">2024; </w:t>
      </w:r>
      <w:r w:rsidR="0015270D" w:rsidRPr="001F5558">
        <w:rPr>
          <w:rFonts w:ascii="Arial" w:eastAsia="Times New Roman" w:hAnsi="Arial" w:cs="Arial"/>
          <w:sz w:val="20"/>
          <w:szCs w:val="20"/>
        </w:rPr>
        <w:t>Uchida</w:t>
      </w:r>
      <w:r w:rsidR="00344889" w:rsidRPr="001F5558">
        <w:rPr>
          <w:rFonts w:ascii="Arial" w:eastAsia="Times New Roman" w:hAnsi="Arial" w:cs="Arial"/>
          <w:sz w:val="20"/>
          <w:szCs w:val="20"/>
        </w:rPr>
        <w:t xml:space="preserve"> et al.</w:t>
      </w:r>
      <w:r w:rsidR="0015270D" w:rsidRPr="001F5558">
        <w:rPr>
          <w:rFonts w:ascii="Arial" w:eastAsia="Times New Roman" w:hAnsi="Arial" w:cs="Arial"/>
          <w:sz w:val="20"/>
          <w:szCs w:val="20"/>
        </w:rPr>
        <w:t>, 2025)</w:t>
      </w:r>
      <w:r w:rsidR="00CD2FE6" w:rsidRPr="001F5558">
        <w:rPr>
          <w:rFonts w:ascii="Arial" w:eastAsia="Times New Roman" w:hAnsi="Arial" w:cs="Arial"/>
          <w:sz w:val="20"/>
          <w:szCs w:val="20"/>
        </w:rPr>
        <w:t>. </w:t>
      </w:r>
      <w:proofErr w:type="spellStart"/>
      <w:r w:rsidR="00C25DF8" w:rsidRPr="001F5558">
        <w:rPr>
          <w:rFonts w:ascii="Arial" w:eastAsia="Times New Roman" w:hAnsi="Arial" w:cs="Arial"/>
          <w:sz w:val="20"/>
          <w:szCs w:val="20"/>
        </w:rPr>
        <w:t>Finerenone</w:t>
      </w:r>
      <w:proofErr w:type="spellEnd"/>
      <w:r w:rsidR="00C25DF8" w:rsidRPr="001F5558">
        <w:rPr>
          <w:rFonts w:ascii="Arial" w:eastAsia="Times New Roman" w:hAnsi="Arial" w:cs="Arial"/>
          <w:sz w:val="20"/>
          <w:szCs w:val="20"/>
        </w:rPr>
        <w:t xml:space="preserve">, another </w:t>
      </w:r>
      <w:r w:rsidR="00C25DF8" w:rsidRPr="001F5558">
        <w:rPr>
          <w:rFonts w:ascii="Arial" w:eastAsia="Times New Roman" w:hAnsi="Arial" w:cs="Arial"/>
          <w:sz w:val="20"/>
          <w:szCs w:val="20"/>
          <w:lang w:val="en-IN"/>
        </w:rPr>
        <w:t>ns-MRA, with proven kidney and cardiovascular benefit, is recommended for patients with T2DM, eGFR ≥25 m</w:t>
      </w:r>
      <w:r w:rsidR="000A6328" w:rsidRPr="001F5558">
        <w:rPr>
          <w:rFonts w:ascii="Arial" w:eastAsia="Times New Roman" w:hAnsi="Arial" w:cs="Arial"/>
          <w:sz w:val="20"/>
          <w:szCs w:val="20"/>
          <w:lang w:val="en-IN"/>
        </w:rPr>
        <w:t>l</w:t>
      </w:r>
      <w:r w:rsidR="00C25DF8" w:rsidRPr="001F5558">
        <w:rPr>
          <w:rFonts w:ascii="Arial" w:eastAsia="Times New Roman" w:hAnsi="Arial" w:cs="Arial"/>
          <w:sz w:val="20"/>
          <w:szCs w:val="20"/>
          <w:lang w:val="en-IN"/>
        </w:rPr>
        <w:t>/min/1.73 m</w:t>
      </w:r>
      <w:r w:rsidR="00C25DF8" w:rsidRPr="001F5558">
        <w:rPr>
          <w:rFonts w:ascii="Arial" w:eastAsia="Times New Roman" w:hAnsi="Arial" w:cs="Arial"/>
          <w:sz w:val="20"/>
          <w:szCs w:val="20"/>
          <w:vertAlign w:val="superscript"/>
          <w:lang w:val="en-IN"/>
        </w:rPr>
        <w:t>2</w:t>
      </w:r>
      <w:r w:rsidR="00C25DF8" w:rsidRPr="001F5558">
        <w:rPr>
          <w:rFonts w:ascii="Arial" w:eastAsia="Times New Roman" w:hAnsi="Arial" w:cs="Arial"/>
          <w:sz w:val="20"/>
          <w:szCs w:val="20"/>
          <w:lang w:val="en-IN"/>
        </w:rPr>
        <w:t>, normal serum potassium concentration</w:t>
      </w:r>
      <w:r w:rsidR="000A6328" w:rsidRPr="001F5558">
        <w:rPr>
          <w:rFonts w:ascii="Arial" w:eastAsia="Times New Roman" w:hAnsi="Arial" w:cs="Arial"/>
          <w:sz w:val="20"/>
          <w:szCs w:val="20"/>
          <w:lang w:val="en-IN"/>
        </w:rPr>
        <w:t xml:space="preserve"> (</w:t>
      </w:r>
      <w:r w:rsidR="000A6328" w:rsidRPr="001F5558">
        <w:rPr>
          <w:rFonts w:ascii="Arial" w:eastAsia="Times New Roman" w:hAnsi="Arial" w:cs="Arial"/>
          <w:sz w:val="20"/>
          <w:szCs w:val="20"/>
        </w:rPr>
        <w:t>4.8 mmol/l</w:t>
      </w:r>
      <w:r w:rsidR="000A6328" w:rsidRPr="001F5558">
        <w:rPr>
          <w:rFonts w:ascii="Arial" w:eastAsia="Times New Roman" w:hAnsi="Arial" w:cs="Arial"/>
          <w:sz w:val="20"/>
          <w:szCs w:val="20"/>
          <w:lang w:val="en-IN"/>
        </w:rPr>
        <w:t>)</w:t>
      </w:r>
      <w:r w:rsidR="00C25DF8" w:rsidRPr="001F5558">
        <w:rPr>
          <w:rFonts w:ascii="Arial" w:eastAsia="Times New Roman" w:hAnsi="Arial" w:cs="Arial"/>
          <w:sz w:val="20"/>
          <w:szCs w:val="20"/>
          <w:lang w:val="en-IN"/>
        </w:rPr>
        <w:t>, and albuminuria (ACR ≥30 mg/g) in addition to the maximum tolerated dose of RAAS inhibitor</w:t>
      </w:r>
      <w:r w:rsidR="00374E8B" w:rsidRPr="001F5558">
        <w:rPr>
          <w:rFonts w:ascii="Arial" w:eastAsia="Times New Roman" w:hAnsi="Arial" w:cs="Arial"/>
          <w:sz w:val="20"/>
          <w:szCs w:val="20"/>
          <w:lang w:val="en-IN"/>
        </w:rPr>
        <w:t xml:space="preserve"> (</w:t>
      </w:r>
      <w:proofErr w:type="spellStart"/>
      <w:r w:rsidR="00374E8B" w:rsidRPr="001F5558">
        <w:rPr>
          <w:rFonts w:ascii="Arial" w:eastAsia="Times New Roman" w:hAnsi="Arial" w:cs="Arial"/>
          <w:sz w:val="20"/>
          <w:szCs w:val="20"/>
          <w:lang w:val="en-IN"/>
        </w:rPr>
        <w:t>Bakris</w:t>
      </w:r>
      <w:proofErr w:type="spellEnd"/>
      <w:r w:rsidR="009439F3" w:rsidRPr="001F5558">
        <w:rPr>
          <w:rFonts w:ascii="Arial" w:eastAsia="Times New Roman" w:hAnsi="Arial" w:cs="Arial"/>
          <w:sz w:val="20"/>
          <w:szCs w:val="20"/>
          <w:lang w:val="en-IN"/>
        </w:rPr>
        <w:t xml:space="preserve"> et al.</w:t>
      </w:r>
      <w:r w:rsidR="00374E8B" w:rsidRPr="001F5558">
        <w:rPr>
          <w:rFonts w:ascii="Arial" w:eastAsia="Times New Roman" w:hAnsi="Arial" w:cs="Arial"/>
          <w:sz w:val="20"/>
          <w:szCs w:val="20"/>
          <w:lang w:val="en-IN"/>
        </w:rPr>
        <w:t>, 2020; de Boer, 2022; Agarwal</w:t>
      </w:r>
      <w:r w:rsidR="00344889" w:rsidRPr="001F5558">
        <w:rPr>
          <w:rFonts w:ascii="Arial" w:eastAsia="Times New Roman" w:hAnsi="Arial" w:cs="Arial"/>
          <w:sz w:val="20"/>
          <w:szCs w:val="20"/>
          <w:lang w:val="en-IN"/>
        </w:rPr>
        <w:t xml:space="preserve"> et al.</w:t>
      </w:r>
      <w:r w:rsidR="00374E8B" w:rsidRPr="001F5558">
        <w:rPr>
          <w:rFonts w:ascii="Arial" w:eastAsia="Times New Roman" w:hAnsi="Arial" w:cs="Arial"/>
          <w:sz w:val="20"/>
          <w:szCs w:val="20"/>
          <w:lang w:val="en-IN"/>
        </w:rPr>
        <w:t>, 2023</w:t>
      </w:r>
      <w:r w:rsidR="009674F1" w:rsidRPr="001F5558">
        <w:rPr>
          <w:rFonts w:ascii="Arial" w:eastAsia="Times New Roman" w:hAnsi="Arial" w:cs="Arial"/>
          <w:sz w:val="20"/>
          <w:szCs w:val="20"/>
          <w:lang w:val="en-IN"/>
        </w:rPr>
        <w:t>; Prasad, 2025</w:t>
      </w:r>
      <w:r w:rsidR="00374E8B" w:rsidRPr="001F5558">
        <w:rPr>
          <w:rFonts w:ascii="Arial" w:eastAsia="Times New Roman" w:hAnsi="Arial" w:cs="Arial"/>
          <w:sz w:val="20"/>
          <w:szCs w:val="20"/>
          <w:lang w:val="en-IN"/>
        </w:rPr>
        <w:t>)</w:t>
      </w:r>
      <w:r w:rsidR="00C25DF8" w:rsidRPr="001F5558">
        <w:rPr>
          <w:rFonts w:ascii="Arial" w:eastAsia="Times New Roman" w:hAnsi="Arial" w:cs="Arial"/>
          <w:sz w:val="20"/>
          <w:szCs w:val="20"/>
          <w:lang w:val="en-IN"/>
        </w:rPr>
        <w:t>.</w:t>
      </w:r>
      <w:r w:rsidR="000A6328" w:rsidRPr="001F5558">
        <w:rPr>
          <w:rFonts w:ascii="Arial" w:eastAsia="Times New Roman" w:hAnsi="Arial" w:cs="Arial"/>
          <w:sz w:val="20"/>
          <w:szCs w:val="20"/>
          <w:lang w:val="en-IN"/>
        </w:rPr>
        <w:t xml:space="preserve"> F</w:t>
      </w:r>
      <w:proofErr w:type="spellStart"/>
      <w:r w:rsidR="000A6328" w:rsidRPr="001F5558">
        <w:rPr>
          <w:rFonts w:ascii="Arial" w:eastAsia="Times New Roman" w:hAnsi="Arial" w:cs="Arial"/>
          <w:sz w:val="20"/>
          <w:szCs w:val="20"/>
        </w:rPr>
        <w:t>inerenone</w:t>
      </w:r>
      <w:proofErr w:type="spellEnd"/>
      <w:r w:rsidR="000A6328" w:rsidRPr="001F5558">
        <w:rPr>
          <w:rFonts w:ascii="Arial" w:eastAsia="Times New Roman" w:hAnsi="Arial" w:cs="Arial"/>
          <w:sz w:val="20"/>
          <w:szCs w:val="20"/>
        </w:rPr>
        <w:t xml:space="preserve"> should be started at a dose of 20 mg daily for eGFR &gt;60 mL/min/1.73 m</w:t>
      </w:r>
      <w:r w:rsidR="000A6328" w:rsidRPr="001F5558">
        <w:rPr>
          <w:rFonts w:ascii="Arial" w:eastAsia="Times New Roman" w:hAnsi="Arial" w:cs="Arial"/>
          <w:sz w:val="20"/>
          <w:szCs w:val="20"/>
          <w:vertAlign w:val="superscript"/>
        </w:rPr>
        <w:t>2</w:t>
      </w:r>
      <w:r w:rsidR="000A6328" w:rsidRPr="001F5558">
        <w:rPr>
          <w:rFonts w:ascii="Arial" w:eastAsia="Times New Roman" w:hAnsi="Arial" w:cs="Arial"/>
          <w:sz w:val="20"/>
          <w:szCs w:val="20"/>
        </w:rPr>
        <w:t> and 10 mg for eGFR 25–60 mL/min/1.73 m</w:t>
      </w:r>
      <w:r w:rsidR="000A6328" w:rsidRPr="001F5558">
        <w:rPr>
          <w:rFonts w:ascii="Arial" w:eastAsia="Times New Roman" w:hAnsi="Arial" w:cs="Arial"/>
          <w:sz w:val="20"/>
          <w:szCs w:val="20"/>
          <w:vertAlign w:val="superscript"/>
        </w:rPr>
        <w:t>2</w:t>
      </w:r>
      <w:r w:rsidR="000A6328" w:rsidRPr="001F5558">
        <w:rPr>
          <w:rFonts w:ascii="Arial" w:eastAsia="Times New Roman" w:hAnsi="Arial" w:cs="Arial"/>
          <w:sz w:val="20"/>
          <w:szCs w:val="20"/>
        </w:rPr>
        <w:t xml:space="preserve"> and </w:t>
      </w:r>
      <w:proofErr w:type="spellStart"/>
      <w:r w:rsidR="000A6328" w:rsidRPr="001F5558">
        <w:rPr>
          <w:rFonts w:ascii="Arial" w:eastAsia="Times New Roman" w:hAnsi="Arial" w:cs="Arial"/>
          <w:sz w:val="20"/>
          <w:szCs w:val="20"/>
        </w:rPr>
        <w:t>uptitrated</w:t>
      </w:r>
      <w:proofErr w:type="spellEnd"/>
      <w:r w:rsidR="000A6328" w:rsidRPr="001F5558">
        <w:rPr>
          <w:rFonts w:ascii="Arial" w:eastAsia="Times New Roman" w:hAnsi="Arial" w:cs="Arial"/>
          <w:sz w:val="20"/>
          <w:szCs w:val="20"/>
        </w:rPr>
        <w:t xml:space="preserve"> to 20 mg daily if possible. Potassium should be followed 4 weeks after a dose change and regularly during treatment</w:t>
      </w:r>
      <w:r w:rsidR="00374E8B" w:rsidRPr="001F5558">
        <w:rPr>
          <w:rFonts w:ascii="Arial" w:eastAsia="Times New Roman" w:hAnsi="Arial" w:cs="Arial"/>
          <w:sz w:val="20"/>
          <w:szCs w:val="20"/>
        </w:rPr>
        <w:t xml:space="preserve"> (Agarwal</w:t>
      </w:r>
      <w:r w:rsidR="00344889" w:rsidRPr="001F5558">
        <w:rPr>
          <w:rFonts w:ascii="Arial" w:eastAsia="Times New Roman" w:hAnsi="Arial" w:cs="Arial"/>
          <w:sz w:val="20"/>
          <w:szCs w:val="20"/>
        </w:rPr>
        <w:t xml:space="preserve"> et al.</w:t>
      </w:r>
      <w:r w:rsidR="00374E8B" w:rsidRPr="001F5558">
        <w:rPr>
          <w:rFonts w:ascii="Arial" w:eastAsia="Times New Roman" w:hAnsi="Arial" w:cs="Arial"/>
          <w:sz w:val="20"/>
          <w:szCs w:val="20"/>
        </w:rPr>
        <w:t>, 2023</w:t>
      </w:r>
      <w:r w:rsidR="009674F1" w:rsidRPr="001F5558">
        <w:rPr>
          <w:rFonts w:ascii="Arial" w:eastAsia="Times New Roman" w:hAnsi="Arial" w:cs="Arial"/>
          <w:sz w:val="20"/>
          <w:szCs w:val="20"/>
        </w:rPr>
        <w:t>; Prasad</w:t>
      </w:r>
      <w:r w:rsidR="009439F3" w:rsidRPr="001F5558">
        <w:rPr>
          <w:rFonts w:ascii="Arial" w:eastAsia="Times New Roman" w:hAnsi="Arial" w:cs="Arial"/>
          <w:sz w:val="20"/>
          <w:szCs w:val="20"/>
        </w:rPr>
        <w:t xml:space="preserve"> et al.</w:t>
      </w:r>
      <w:r w:rsidR="009674F1" w:rsidRPr="001F5558">
        <w:rPr>
          <w:rFonts w:ascii="Arial" w:eastAsia="Times New Roman" w:hAnsi="Arial" w:cs="Arial"/>
          <w:sz w:val="20"/>
          <w:szCs w:val="20"/>
        </w:rPr>
        <w:t>, 2025</w:t>
      </w:r>
      <w:r w:rsidR="00374E8B" w:rsidRPr="001F5558">
        <w:rPr>
          <w:rFonts w:ascii="Arial" w:eastAsia="Times New Roman" w:hAnsi="Arial" w:cs="Arial"/>
          <w:sz w:val="20"/>
          <w:szCs w:val="20"/>
        </w:rPr>
        <w:t>)</w:t>
      </w:r>
      <w:r w:rsidR="000A6328" w:rsidRPr="001F5558">
        <w:rPr>
          <w:rFonts w:ascii="Arial" w:eastAsia="Times New Roman" w:hAnsi="Arial" w:cs="Arial"/>
          <w:sz w:val="20"/>
          <w:szCs w:val="20"/>
        </w:rPr>
        <w:t xml:space="preserve">. </w:t>
      </w:r>
      <w:proofErr w:type="spellStart"/>
      <w:r w:rsidR="000A6328" w:rsidRPr="001F5558">
        <w:rPr>
          <w:rFonts w:ascii="Arial" w:eastAsia="Times New Roman" w:hAnsi="Arial" w:cs="Arial"/>
          <w:sz w:val="20"/>
          <w:szCs w:val="20"/>
        </w:rPr>
        <w:t>Finerenone</w:t>
      </w:r>
      <w:proofErr w:type="spellEnd"/>
      <w:r w:rsidR="000A6328" w:rsidRPr="001F5558">
        <w:rPr>
          <w:rFonts w:ascii="Arial" w:eastAsia="Times New Roman" w:hAnsi="Arial" w:cs="Arial"/>
          <w:sz w:val="20"/>
          <w:szCs w:val="20"/>
        </w:rPr>
        <w:t xml:space="preserve"> administration should be stopped when serum potassium increases to &gt;5.5 mmol/l, and can be restarted at 10 mg daily when serum potassium is ≤5.0 mmol/L. </w:t>
      </w:r>
      <w:proofErr w:type="spellStart"/>
      <w:r w:rsidR="000A6328" w:rsidRPr="001F5558">
        <w:rPr>
          <w:rFonts w:ascii="Arial" w:eastAsia="Times New Roman" w:hAnsi="Arial" w:cs="Arial"/>
          <w:sz w:val="20"/>
          <w:szCs w:val="20"/>
        </w:rPr>
        <w:t>Finerenone</w:t>
      </w:r>
      <w:proofErr w:type="spellEnd"/>
      <w:r w:rsidR="000A6328" w:rsidRPr="001F5558">
        <w:rPr>
          <w:rFonts w:ascii="Arial" w:eastAsia="Times New Roman" w:hAnsi="Arial" w:cs="Arial"/>
          <w:sz w:val="20"/>
          <w:szCs w:val="20"/>
        </w:rPr>
        <w:t xml:space="preserve"> can be continued with eGFR &lt;25 mL/min/1.73 m</w:t>
      </w:r>
      <w:r w:rsidR="000A6328" w:rsidRPr="001F5558">
        <w:rPr>
          <w:rFonts w:ascii="Arial" w:eastAsia="Times New Roman" w:hAnsi="Arial" w:cs="Arial"/>
          <w:sz w:val="20"/>
          <w:szCs w:val="20"/>
          <w:vertAlign w:val="superscript"/>
        </w:rPr>
        <w:t>2</w:t>
      </w:r>
      <w:r w:rsidR="000A6328" w:rsidRPr="001F5558">
        <w:rPr>
          <w:rFonts w:ascii="Arial" w:eastAsia="Times New Roman" w:hAnsi="Arial" w:cs="Arial"/>
          <w:sz w:val="20"/>
          <w:szCs w:val="20"/>
        </w:rPr>
        <w:t xml:space="preserve"> as long as </w:t>
      </w:r>
      <w:r w:rsidR="000A163B" w:rsidRPr="001F5558">
        <w:rPr>
          <w:rFonts w:ascii="Arial" w:eastAsia="Times New Roman" w:hAnsi="Arial" w:cs="Arial"/>
          <w:sz w:val="20"/>
          <w:szCs w:val="20"/>
        </w:rPr>
        <w:t xml:space="preserve">the </w:t>
      </w:r>
      <w:r w:rsidR="005315F8" w:rsidRPr="001F5558">
        <w:rPr>
          <w:rFonts w:ascii="Arial" w:eastAsia="Times New Roman" w:hAnsi="Arial" w:cs="Arial"/>
          <w:sz w:val="20"/>
          <w:szCs w:val="20"/>
        </w:rPr>
        <w:t xml:space="preserve">serum </w:t>
      </w:r>
      <w:r w:rsidR="000A6328" w:rsidRPr="001F5558">
        <w:rPr>
          <w:rFonts w:ascii="Arial" w:eastAsia="Times New Roman" w:hAnsi="Arial" w:cs="Arial"/>
          <w:sz w:val="20"/>
          <w:szCs w:val="20"/>
        </w:rPr>
        <w:t xml:space="preserve">potassium </w:t>
      </w:r>
      <w:r w:rsidR="005315F8" w:rsidRPr="001F5558">
        <w:rPr>
          <w:rFonts w:ascii="Arial" w:eastAsia="Times New Roman" w:hAnsi="Arial" w:cs="Arial"/>
          <w:sz w:val="20"/>
          <w:szCs w:val="20"/>
        </w:rPr>
        <w:t xml:space="preserve">level </w:t>
      </w:r>
      <w:r w:rsidR="000A6328" w:rsidRPr="001F5558">
        <w:rPr>
          <w:rFonts w:ascii="Arial" w:eastAsia="Times New Roman" w:hAnsi="Arial" w:cs="Arial"/>
          <w:sz w:val="20"/>
          <w:szCs w:val="20"/>
        </w:rPr>
        <w:t>is acceptable and the drug is otherwise tolerated</w:t>
      </w:r>
      <w:r w:rsidR="00374E8B" w:rsidRPr="001F5558">
        <w:rPr>
          <w:rFonts w:ascii="Arial" w:eastAsia="Times New Roman" w:hAnsi="Arial" w:cs="Arial"/>
          <w:sz w:val="20"/>
          <w:szCs w:val="20"/>
        </w:rPr>
        <w:t xml:space="preserve"> (</w:t>
      </w:r>
      <w:r w:rsidR="009439F3" w:rsidRPr="001F5558">
        <w:rPr>
          <w:rFonts w:ascii="Arial" w:eastAsia="Times New Roman" w:hAnsi="Arial" w:cs="Arial"/>
          <w:sz w:val="20"/>
          <w:szCs w:val="20"/>
          <w:lang w:val="en-IN"/>
        </w:rPr>
        <w:t>de Boer et al., 2022; Hakim</w:t>
      </w:r>
      <w:r w:rsidR="009439F3" w:rsidRPr="001F5558">
        <w:rPr>
          <w:rFonts w:ascii="Arial" w:eastAsia="Times New Roman" w:hAnsi="Arial" w:cs="Arial"/>
          <w:sz w:val="20"/>
          <w:szCs w:val="20"/>
        </w:rPr>
        <w:t xml:space="preserve"> et al.</w:t>
      </w:r>
      <w:r w:rsidR="00374E8B" w:rsidRPr="001F5558">
        <w:rPr>
          <w:rFonts w:ascii="Arial" w:eastAsia="Times New Roman" w:hAnsi="Arial" w:cs="Arial"/>
          <w:sz w:val="20"/>
          <w:szCs w:val="20"/>
        </w:rPr>
        <w:t>, 2025)</w:t>
      </w:r>
      <w:r w:rsidR="000A6328" w:rsidRPr="001F5558">
        <w:rPr>
          <w:rFonts w:ascii="Arial" w:eastAsia="Times New Roman" w:hAnsi="Arial" w:cs="Arial"/>
          <w:sz w:val="20"/>
          <w:szCs w:val="20"/>
        </w:rPr>
        <w:t>.</w:t>
      </w:r>
      <w:r w:rsidR="000D374B" w:rsidRPr="001F5558">
        <w:rPr>
          <w:rFonts w:ascii="Arial" w:eastAsia="Times New Roman" w:hAnsi="Arial" w:cs="Arial"/>
          <w:sz w:val="20"/>
          <w:szCs w:val="20"/>
        </w:rPr>
        <w:t xml:space="preserve"> (Table</w:t>
      </w:r>
      <w:r w:rsidR="0081414C" w:rsidRPr="001F5558">
        <w:rPr>
          <w:rFonts w:ascii="Arial" w:eastAsia="Times New Roman" w:hAnsi="Arial" w:cs="Arial"/>
          <w:sz w:val="20"/>
          <w:szCs w:val="20"/>
        </w:rPr>
        <w:t>s</w:t>
      </w:r>
      <w:r w:rsidR="000D374B" w:rsidRPr="001F5558">
        <w:rPr>
          <w:rFonts w:ascii="Arial" w:eastAsia="Times New Roman" w:hAnsi="Arial" w:cs="Arial"/>
          <w:sz w:val="20"/>
          <w:szCs w:val="20"/>
        </w:rPr>
        <w:t xml:space="preserve"> </w:t>
      </w:r>
      <w:r w:rsidR="00692E30" w:rsidRPr="001F5558">
        <w:rPr>
          <w:rFonts w:ascii="Arial" w:eastAsia="Times New Roman" w:hAnsi="Arial" w:cs="Arial"/>
          <w:sz w:val="20"/>
          <w:szCs w:val="20"/>
        </w:rPr>
        <w:t xml:space="preserve">4 &amp; </w:t>
      </w:r>
      <w:r w:rsidR="00A713B1" w:rsidRPr="001F5558">
        <w:rPr>
          <w:rFonts w:ascii="Arial" w:eastAsia="Times New Roman" w:hAnsi="Arial" w:cs="Arial"/>
          <w:sz w:val="20"/>
          <w:szCs w:val="20"/>
        </w:rPr>
        <w:t>6</w:t>
      </w:r>
      <w:r w:rsidR="000D374B" w:rsidRPr="001F5558">
        <w:rPr>
          <w:rFonts w:ascii="Arial" w:eastAsia="Times New Roman" w:hAnsi="Arial" w:cs="Arial"/>
          <w:sz w:val="20"/>
          <w:szCs w:val="20"/>
        </w:rPr>
        <w:t>)</w:t>
      </w:r>
    </w:p>
    <w:p w14:paraId="6191576F" w14:textId="77777777" w:rsidR="00FA0E44" w:rsidRPr="001F5558" w:rsidRDefault="00FA0E44" w:rsidP="00257B59">
      <w:pPr>
        <w:spacing w:after="0" w:line="240" w:lineRule="auto"/>
        <w:jc w:val="both"/>
        <w:rPr>
          <w:rFonts w:ascii="Arial" w:eastAsia="Times New Roman" w:hAnsi="Arial" w:cs="Arial"/>
          <w:b/>
          <w:bCs/>
          <w:sz w:val="20"/>
          <w:szCs w:val="20"/>
        </w:rPr>
      </w:pPr>
    </w:p>
    <w:p w14:paraId="14763F23" w14:textId="77777777" w:rsidR="00FA0E44" w:rsidRPr="001F5558" w:rsidRDefault="00FA0E44" w:rsidP="00FA0E44">
      <w:pPr>
        <w:spacing w:after="0" w:line="240" w:lineRule="auto"/>
        <w:jc w:val="both"/>
        <w:rPr>
          <w:rFonts w:ascii="Arial" w:hAnsi="Arial" w:cs="Arial"/>
          <w:sz w:val="20"/>
          <w:szCs w:val="20"/>
        </w:rPr>
      </w:pPr>
      <w:r w:rsidRPr="001F5558">
        <w:rPr>
          <w:rFonts w:ascii="Arial" w:eastAsia="Times New Roman" w:hAnsi="Arial" w:cs="Arial"/>
          <w:b/>
          <w:bCs/>
          <w:sz w:val="20"/>
          <w:szCs w:val="20"/>
        </w:rPr>
        <w:t xml:space="preserve">Table 6. </w:t>
      </w:r>
      <w:r w:rsidRPr="001F5558">
        <w:rPr>
          <w:rFonts w:ascii="Arial" w:hAnsi="Arial" w:cs="Arial"/>
          <w:b/>
          <w:bCs/>
          <w:sz w:val="20"/>
          <w:szCs w:val="20"/>
        </w:rPr>
        <w:t xml:space="preserve">Dose range for diuretics for the treatment of hypertension </w:t>
      </w:r>
      <w:r w:rsidRPr="001F5558">
        <w:rPr>
          <w:rFonts w:ascii="Arial" w:hAnsi="Arial" w:cs="Arial"/>
          <w:sz w:val="20"/>
          <w:szCs w:val="20"/>
        </w:rPr>
        <w:t xml:space="preserve">(Hasegawa, 2021; </w:t>
      </w:r>
      <w:proofErr w:type="spellStart"/>
      <w:r w:rsidRPr="001F5558">
        <w:rPr>
          <w:rFonts w:ascii="Arial" w:hAnsi="Arial" w:cs="Arial"/>
          <w:sz w:val="20"/>
          <w:szCs w:val="20"/>
        </w:rPr>
        <w:t>Theodorakopoulou</w:t>
      </w:r>
      <w:proofErr w:type="spellEnd"/>
      <w:r w:rsidRPr="001F5558">
        <w:rPr>
          <w:rFonts w:ascii="Arial" w:hAnsi="Arial" w:cs="Arial"/>
          <w:sz w:val="20"/>
          <w:szCs w:val="20"/>
        </w:rPr>
        <w:t> et al., 2024; Hobbs, 2025; PDR 2026)</w:t>
      </w:r>
    </w:p>
    <w:p w14:paraId="1760D8A4" w14:textId="77777777" w:rsidR="00FA0E44" w:rsidRPr="001F5558" w:rsidRDefault="00FA0E44" w:rsidP="00FA0E44">
      <w:pPr>
        <w:spacing w:after="0" w:line="240" w:lineRule="auto"/>
        <w:jc w:val="both"/>
        <w:rPr>
          <w:rFonts w:ascii="Times New Roman" w:hAnsi="Times New Roman" w:cs="Times New Roman"/>
          <w:b/>
          <w:bCs/>
          <w:sz w:val="24"/>
          <w:szCs w:val="24"/>
        </w:rPr>
      </w:pPr>
    </w:p>
    <w:tbl>
      <w:tblPr>
        <w:tblStyle w:val="TableGrid"/>
        <w:tblW w:w="0" w:type="auto"/>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1560"/>
        <w:gridCol w:w="1275"/>
      </w:tblGrid>
      <w:tr w:rsidR="00FA0E44" w:rsidRPr="001F5558" w14:paraId="33B2A58C" w14:textId="77777777" w:rsidTr="00560C29">
        <w:trPr>
          <w:trHeight w:val="539"/>
        </w:trPr>
        <w:tc>
          <w:tcPr>
            <w:tcW w:w="2830" w:type="dxa"/>
            <w:tcBorders>
              <w:top w:val="single" w:sz="8" w:space="0" w:color="auto"/>
              <w:bottom w:val="single" w:sz="8" w:space="0" w:color="auto"/>
            </w:tcBorders>
            <w:vAlign w:val="center"/>
          </w:tcPr>
          <w:p w14:paraId="7963C485" w14:textId="77777777" w:rsidR="00FA0E44" w:rsidRPr="001F5558" w:rsidRDefault="00FA0E44" w:rsidP="00560C29">
            <w:pPr>
              <w:rPr>
                <w:rFonts w:ascii="Arial" w:eastAsia="Times New Roman" w:hAnsi="Arial" w:cs="Arial"/>
                <w:b/>
                <w:bCs/>
                <w:sz w:val="20"/>
                <w:szCs w:val="20"/>
              </w:rPr>
            </w:pPr>
            <w:r w:rsidRPr="001F5558">
              <w:rPr>
                <w:rFonts w:ascii="Arial" w:eastAsia="Times New Roman" w:hAnsi="Arial" w:cs="Arial"/>
                <w:b/>
                <w:bCs/>
                <w:sz w:val="20"/>
                <w:szCs w:val="20"/>
              </w:rPr>
              <w:t xml:space="preserve">Antihypertensive agent </w:t>
            </w:r>
          </w:p>
        </w:tc>
        <w:tc>
          <w:tcPr>
            <w:tcW w:w="1560" w:type="dxa"/>
            <w:tcBorders>
              <w:top w:val="single" w:sz="8" w:space="0" w:color="auto"/>
              <w:bottom w:val="single" w:sz="8" w:space="0" w:color="auto"/>
            </w:tcBorders>
            <w:vAlign w:val="center"/>
          </w:tcPr>
          <w:p w14:paraId="03772452" w14:textId="77777777" w:rsidR="00FA0E44" w:rsidRPr="001F5558" w:rsidRDefault="00FA0E44" w:rsidP="00223F96">
            <w:pPr>
              <w:rPr>
                <w:rFonts w:ascii="Arial" w:eastAsia="Times New Roman" w:hAnsi="Arial" w:cs="Arial"/>
                <w:b/>
                <w:bCs/>
                <w:sz w:val="20"/>
                <w:szCs w:val="20"/>
              </w:rPr>
            </w:pPr>
            <w:r w:rsidRPr="001F5558">
              <w:rPr>
                <w:rFonts w:ascii="Arial" w:eastAsia="Times New Roman" w:hAnsi="Arial" w:cs="Arial"/>
                <w:b/>
                <w:bCs/>
                <w:sz w:val="20"/>
                <w:szCs w:val="20"/>
              </w:rPr>
              <w:t>Usual dose range in mg/d</w:t>
            </w:r>
          </w:p>
        </w:tc>
        <w:tc>
          <w:tcPr>
            <w:tcW w:w="1275" w:type="dxa"/>
            <w:tcBorders>
              <w:top w:val="single" w:sz="8" w:space="0" w:color="auto"/>
              <w:bottom w:val="single" w:sz="8" w:space="0" w:color="auto"/>
            </w:tcBorders>
            <w:vAlign w:val="center"/>
          </w:tcPr>
          <w:p w14:paraId="0CB916F6" w14:textId="77777777" w:rsidR="00FA0E44" w:rsidRPr="001F5558" w:rsidRDefault="00FA0E44" w:rsidP="00223F96">
            <w:pPr>
              <w:rPr>
                <w:rFonts w:ascii="Arial" w:eastAsia="Times New Roman" w:hAnsi="Arial" w:cs="Arial"/>
                <w:b/>
                <w:bCs/>
                <w:sz w:val="20"/>
                <w:szCs w:val="20"/>
              </w:rPr>
            </w:pPr>
            <w:r w:rsidRPr="001F5558">
              <w:rPr>
                <w:rFonts w:ascii="Arial" w:eastAsia="Times New Roman" w:hAnsi="Arial" w:cs="Arial"/>
                <w:b/>
                <w:bCs/>
                <w:sz w:val="20"/>
                <w:szCs w:val="20"/>
              </w:rPr>
              <w:t>Frequency per day</w:t>
            </w:r>
          </w:p>
        </w:tc>
      </w:tr>
      <w:tr w:rsidR="00FA0E44" w:rsidRPr="001F5558" w14:paraId="0BF2BDDA" w14:textId="77777777" w:rsidTr="00560C29">
        <w:trPr>
          <w:trHeight w:val="283"/>
        </w:trPr>
        <w:tc>
          <w:tcPr>
            <w:tcW w:w="2830" w:type="dxa"/>
            <w:tcBorders>
              <w:top w:val="single" w:sz="8" w:space="0" w:color="auto"/>
              <w:bottom w:val="single" w:sz="8" w:space="0" w:color="auto"/>
            </w:tcBorders>
            <w:vAlign w:val="center"/>
          </w:tcPr>
          <w:p w14:paraId="6785BEF4" w14:textId="77777777" w:rsidR="00FA0E44" w:rsidRPr="001F5558" w:rsidRDefault="00FA0E44" w:rsidP="00560C29">
            <w:pPr>
              <w:rPr>
                <w:rFonts w:ascii="Arial" w:eastAsia="Times New Roman" w:hAnsi="Arial" w:cs="Arial"/>
                <w:b/>
                <w:bCs/>
                <w:sz w:val="20"/>
                <w:szCs w:val="20"/>
              </w:rPr>
            </w:pPr>
            <w:r w:rsidRPr="001F5558">
              <w:rPr>
                <w:rFonts w:ascii="Arial" w:eastAsia="Times New Roman" w:hAnsi="Arial" w:cs="Arial"/>
                <w:b/>
                <w:bCs/>
                <w:sz w:val="20"/>
                <w:szCs w:val="20"/>
              </w:rPr>
              <w:t>Thiazide diuretics</w:t>
            </w:r>
          </w:p>
        </w:tc>
        <w:tc>
          <w:tcPr>
            <w:tcW w:w="1560" w:type="dxa"/>
            <w:tcBorders>
              <w:top w:val="single" w:sz="8" w:space="0" w:color="auto"/>
            </w:tcBorders>
          </w:tcPr>
          <w:p w14:paraId="10FB8157" w14:textId="77777777" w:rsidR="00FA0E44" w:rsidRPr="001F5558" w:rsidRDefault="00FA0E44" w:rsidP="00223F96">
            <w:pPr>
              <w:rPr>
                <w:rFonts w:ascii="Arial" w:eastAsia="Times New Roman" w:hAnsi="Arial" w:cs="Arial"/>
                <w:sz w:val="20"/>
                <w:szCs w:val="20"/>
              </w:rPr>
            </w:pPr>
          </w:p>
        </w:tc>
        <w:tc>
          <w:tcPr>
            <w:tcW w:w="1275" w:type="dxa"/>
            <w:tcBorders>
              <w:top w:val="single" w:sz="8" w:space="0" w:color="auto"/>
            </w:tcBorders>
          </w:tcPr>
          <w:p w14:paraId="1B9DB342" w14:textId="77777777" w:rsidR="00FA0E44" w:rsidRPr="001F5558" w:rsidRDefault="00FA0E44" w:rsidP="00223F96">
            <w:pPr>
              <w:rPr>
                <w:rFonts w:ascii="Arial" w:eastAsia="Times New Roman" w:hAnsi="Arial" w:cs="Arial"/>
                <w:sz w:val="20"/>
                <w:szCs w:val="20"/>
              </w:rPr>
            </w:pPr>
          </w:p>
        </w:tc>
      </w:tr>
      <w:tr w:rsidR="00FA0E44" w:rsidRPr="001F5558" w14:paraId="40E8D703" w14:textId="77777777" w:rsidTr="00560C29">
        <w:trPr>
          <w:trHeight w:val="283"/>
        </w:trPr>
        <w:tc>
          <w:tcPr>
            <w:tcW w:w="2830" w:type="dxa"/>
            <w:tcBorders>
              <w:top w:val="single" w:sz="8" w:space="0" w:color="auto"/>
            </w:tcBorders>
          </w:tcPr>
          <w:p w14:paraId="7A6A039F" w14:textId="77777777" w:rsidR="00FA0E44" w:rsidRPr="001F5558" w:rsidRDefault="00FA0E44" w:rsidP="00223F96">
            <w:pPr>
              <w:rPr>
                <w:rFonts w:ascii="Arial" w:eastAsia="Times New Roman" w:hAnsi="Arial" w:cs="Arial"/>
                <w:sz w:val="20"/>
                <w:szCs w:val="20"/>
              </w:rPr>
            </w:pPr>
            <w:r w:rsidRPr="001F5558">
              <w:rPr>
                <w:rFonts w:ascii="Arial" w:eastAsia="Times New Roman" w:hAnsi="Arial" w:cs="Arial"/>
                <w:sz w:val="20"/>
                <w:szCs w:val="20"/>
              </w:rPr>
              <w:t>Chlorthalidone</w:t>
            </w:r>
          </w:p>
        </w:tc>
        <w:tc>
          <w:tcPr>
            <w:tcW w:w="1560" w:type="dxa"/>
          </w:tcPr>
          <w:p w14:paraId="5019EA24" w14:textId="77777777" w:rsidR="00FA0E44" w:rsidRPr="001F5558" w:rsidRDefault="00FA0E44" w:rsidP="00223F96">
            <w:pPr>
              <w:rPr>
                <w:rFonts w:ascii="Arial" w:eastAsia="Times New Roman" w:hAnsi="Arial" w:cs="Arial"/>
                <w:sz w:val="20"/>
                <w:szCs w:val="20"/>
              </w:rPr>
            </w:pPr>
            <w:r w:rsidRPr="001F5558">
              <w:rPr>
                <w:rFonts w:ascii="Arial" w:eastAsia="Times New Roman" w:hAnsi="Arial" w:cs="Arial"/>
                <w:sz w:val="20"/>
                <w:szCs w:val="20"/>
              </w:rPr>
              <w:t xml:space="preserve">12.5-50 </w:t>
            </w:r>
          </w:p>
        </w:tc>
        <w:tc>
          <w:tcPr>
            <w:tcW w:w="1275" w:type="dxa"/>
          </w:tcPr>
          <w:p w14:paraId="0D3838D4" w14:textId="77777777" w:rsidR="00FA0E44" w:rsidRPr="001F5558" w:rsidRDefault="00FA0E44" w:rsidP="00223F96">
            <w:pPr>
              <w:rPr>
                <w:rFonts w:ascii="Arial" w:eastAsia="Times New Roman" w:hAnsi="Arial" w:cs="Arial"/>
                <w:sz w:val="20"/>
                <w:szCs w:val="20"/>
              </w:rPr>
            </w:pPr>
            <w:r w:rsidRPr="001F5558">
              <w:rPr>
                <w:rFonts w:ascii="Arial" w:eastAsia="Times New Roman" w:hAnsi="Arial" w:cs="Arial"/>
                <w:sz w:val="20"/>
                <w:szCs w:val="20"/>
              </w:rPr>
              <w:t>1</w:t>
            </w:r>
          </w:p>
        </w:tc>
      </w:tr>
      <w:tr w:rsidR="00FA0E44" w:rsidRPr="001F5558" w14:paraId="29B268AB" w14:textId="77777777" w:rsidTr="00560C29">
        <w:trPr>
          <w:trHeight w:val="283"/>
        </w:trPr>
        <w:tc>
          <w:tcPr>
            <w:tcW w:w="2830" w:type="dxa"/>
          </w:tcPr>
          <w:p w14:paraId="3F8D5832" w14:textId="77777777" w:rsidR="00FA0E44" w:rsidRPr="001F5558" w:rsidRDefault="00FA0E44" w:rsidP="00223F96">
            <w:pPr>
              <w:rPr>
                <w:rFonts w:ascii="Arial" w:eastAsia="Times New Roman" w:hAnsi="Arial" w:cs="Arial"/>
                <w:sz w:val="20"/>
                <w:szCs w:val="20"/>
              </w:rPr>
            </w:pPr>
            <w:r w:rsidRPr="001F5558">
              <w:rPr>
                <w:rFonts w:ascii="Arial" w:eastAsia="Times New Roman" w:hAnsi="Arial" w:cs="Arial"/>
                <w:sz w:val="20"/>
                <w:szCs w:val="20"/>
              </w:rPr>
              <w:t xml:space="preserve">Hydrochlorothiazide </w:t>
            </w:r>
          </w:p>
        </w:tc>
        <w:tc>
          <w:tcPr>
            <w:tcW w:w="1560" w:type="dxa"/>
          </w:tcPr>
          <w:p w14:paraId="2C7D424B" w14:textId="77777777" w:rsidR="00FA0E44" w:rsidRPr="001F5558" w:rsidRDefault="00FA0E44" w:rsidP="00223F96">
            <w:pPr>
              <w:rPr>
                <w:rFonts w:ascii="Arial" w:eastAsia="Times New Roman" w:hAnsi="Arial" w:cs="Arial"/>
                <w:sz w:val="20"/>
                <w:szCs w:val="20"/>
              </w:rPr>
            </w:pPr>
            <w:r w:rsidRPr="001F5558">
              <w:rPr>
                <w:rFonts w:ascii="Arial" w:eastAsia="Times New Roman" w:hAnsi="Arial" w:cs="Arial"/>
                <w:sz w:val="20"/>
                <w:szCs w:val="20"/>
              </w:rPr>
              <w:t xml:space="preserve">12.5-50 </w:t>
            </w:r>
          </w:p>
        </w:tc>
        <w:tc>
          <w:tcPr>
            <w:tcW w:w="1275" w:type="dxa"/>
          </w:tcPr>
          <w:p w14:paraId="5C64FFB3" w14:textId="77777777" w:rsidR="00FA0E44" w:rsidRPr="001F5558" w:rsidRDefault="00FA0E44" w:rsidP="00223F96">
            <w:pPr>
              <w:rPr>
                <w:rFonts w:ascii="Arial" w:eastAsia="Times New Roman" w:hAnsi="Arial" w:cs="Arial"/>
                <w:sz w:val="20"/>
                <w:szCs w:val="20"/>
              </w:rPr>
            </w:pPr>
            <w:r w:rsidRPr="001F5558">
              <w:rPr>
                <w:rFonts w:ascii="Arial" w:eastAsia="Times New Roman" w:hAnsi="Arial" w:cs="Arial"/>
                <w:sz w:val="20"/>
                <w:szCs w:val="20"/>
              </w:rPr>
              <w:t>1</w:t>
            </w:r>
          </w:p>
        </w:tc>
      </w:tr>
      <w:tr w:rsidR="00FA0E44" w:rsidRPr="001F5558" w14:paraId="35C04C14" w14:textId="77777777" w:rsidTr="00560C29">
        <w:trPr>
          <w:trHeight w:val="283"/>
        </w:trPr>
        <w:tc>
          <w:tcPr>
            <w:tcW w:w="2830" w:type="dxa"/>
          </w:tcPr>
          <w:p w14:paraId="3C663E84" w14:textId="77777777" w:rsidR="00FA0E44" w:rsidRPr="001F5558" w:rsidRDefault="00FA0E44" w:rsidP="00223F96">
            <w:pPr>
              <w:rPr>
                <w:rFonts w:ascii="Arial" w:eastAsia="Times New Roman" w:hAnsi="Arial" w:cs="Arial"/>
                <w:sz w:val="20"/>
                <w:szCs w:val="20"/>
              </w:rPr>
            </w:pPr>
            <w:r w:rsidRPr="001F5558">
              <w:rPr>
                <w:rFonts w:ascii="Arial" w:eastAsia="Times New Roman" w:hAnsi="Arial" w:cs="Arial"/>
                <w:sz w:val="20"/>
                <w:szCs w:val="20"/>
              </w:rPr>
              <w:t xml:space="preserve">Indapamide </w:t>
            </w:r>
          </w:p>
        </w:tc>
        <w:tc>
          <w:tcPr>
            <w:tcW w:w="1560" w:type="dxa"/>
          </w:tcPr>
          <w:p w14:paraId="397911FD" w14:textId="77777777" w:rsidR="00FA0E44" w:rsidRPr="001F5558" w:rsidRDefault="00FA0E44" w:rsidP="00223F96">
            <w:pPr>
              <w:rPr>
                <w:rFonts w:ascii="Arial" w:eastAsia="Times New Roman" w:hAnsi="Arial" w:cs="Arial"/>
                <w:sz w:val="20"/>
                <w:szCs w:val="20"/>
              </w:rPr>
            </w:pPr>
            <w:r w:rsidRPr="001F5558">
              <w:rPr>
                <w:rFonts w:ascii="Arial" w:eastAsia="Times New Roman" w:hAnsi="Arial" w:cs="Arial"/>
                <w:sz w:val="20"/>
                <w:szCs w:val="20"/>
              </w:rPr>
              <w:t xml:space="preserve">1.25-5 </w:t>
            </w:r>
          </w:p>
        </w:tc>
        <w:tc>
          <w:tcPr>
            <w:tcW w:w="1275" w:type="dxa"/>
          </w:tcPr>
          <w:p w14:paraId="74B3EE0D" w14:textId="77777777" w:rsidR="00FA0E44" w:rsidRPr="001F5558" w:rsidRDefault="00FA0E44" w:rsidP="00223F96">
            <w:pPr>
              <w:rPr>
                <w:rFonts w:ascii="Arial" w:eastAsia="Times New Roman" w:hAnsi="Arial" w:cs="Arial"/>
                <w:sz w:val="20"/>
                <w:szCs w:val="20"/>
              </w:rPr>
            </w:pPr>
            <w:r w:rsidRPr="001F5558">
              <w:rPr>
                <w:rFonts w:ascii="Arial" w:eastAsia="Times New Roman" w:hAnsi="Arial" w:cs="Arial"/>
                <w:sz w:val="20"/>
                <w:szCs w:val="20"/>
              </w:rPr>
              <w:t>1</w:t>
            </w:r>
          </w:p>
        </w:tc>
      </w:tr>
      <w:tr w:rsidR="00FA0E44" w:rsidRPr="001F5558" w14:paraId="47760E87" w14:textId="77777777" w:rsidTr="00560C29">
        <w:trPr>
          <w:trHeight w:val="283"/>
        </w:trPr>
        <w:tc>
          <w:tcPr>
            <w:tcW w:w="2830" w:type="dxa"/>
            <w:tcBorders>
              <w:bottom w:val="single" w:sz="8" w:space="0" w:color="auto"/>
            </w:tcBorders>
          </w:tcPr>
          <w:p w14:paraId="2D336FB6" w14:textId="77777777" w:rsidR="00FA0E44" w:rsidRPr="001F5558" w:rsidRDefault="00FA0E44" w:rsidP="00223F96">
            <w:pPr>
              <w:rPr>
                <w:rFonts w:ascii="Arial" w:eastAsia="Times New Roman" w:hAnsi="Arial" w:cs="Arial"/>
                <w:sz w:val="20"/>
                <w:szCs w:val="20"/>
              </w:rPr>
            </w:pPr>
            <w:r w:rsidRPr="001F5558">
              <w:rPr>
                <w:rFonts w:ascii="Arial" w:eastAsia="Times New Roman" w:hAnsi="Arial" w:cs="Arial"/>
                <w:sz w:val="20"/>
                <w:szCs w:val="20"/>
              </w:rPr>
              <w:t xml:space="preserve">Metolazone </w:t>
            </w:r>
          </w:p>
        </w:tc>
        <w:tc>
          <w:tcPr>
            <w:tcW w:w="1560" w:type="dxa"/>
          </w:tcPr>
          <w:p w14:paraId="295167CB" w14:textId="77777777" w:rsidR="00FA0E44" w:rsidRPr="001F5558" w:rsidRDefault="00FA0E44" w:rsidP="00223F96">
            <w:pPr>
              <w:rPr>
                <w:rFonts w:ascii="Arial" w:eastAsia="Times New Roman" w:hAnsi="Arial" w:cs="Arial"/>
                <w:sz w:val="20"/>
                <w:szCs w:val="20"/>
              </w:rPr>
            </w:pPr>
            <w:r w:rsidRPr="001F5558">
              <w:rPr>
                <w:rFonts w:ascii="Arial" w:eastAsia="Times New Roman" w:hAnsi="Arial" w:cs="Arial"/>
                <w:sz w:val="20"/>
                <w:szCs w:val="20"/>
              </w:rPr>
              <w:t xml:space="preserve">2.5-10 </w:t>
            </w:r>
          </w:p>
        </w:tc>
        <w:tc>
          <w:tcPr>
            <w:tcW w:w="1275" w:type="dxa"/>
          </w:tcPr>
          <w:p w14:paraId="3307A5F2" w14:textId="77777777" w:rsidR="00FA0E44" w:rsidRPr="001F5558" w:rsidRDefault="00FA0E44" w:rsidP="00223F96">
            <w:pPr>
              <w:rPr>
                <w:rFonts w:ascii="Arial" w:eastAsia="Times New Roman" w:hAnsi="Arial" w:cs="Arial"/>
                <w:sz w:val="20"/>
                <w:szCs w:val="20"/>
              </w:rPr>
            </w:pPr>
            <w:r w:rsidRPr="001F5558">
              <w:rPr>
                <w:rFonts w:ascii="Arial" w:eastAsia="Times New Roman" w:hAnsi="Arial" w:cs="Arial"/>
                <w:sz w:val="20"/>
                <w:szCs w:val="20"/>
              </w:rPr>
              <w:t>1</w:t>
            </w:r>
          </w:p>
        </w:tc>
      </w:tr>
      <w:tr w:rsidR="00FA0E44" w:rsidRPr="001F5558" w14:paraId="34637B29" w14:textId="77777777" w:rsidTr="00560C29">
        <w:trPr>
          <w:trHeight w:val="283"/>
        </w:trPr>
        <w:tc>
          <w:tcPr>
            <w:tcW w:w="2830" w:type="dxa"/>
            <w:tcBorders>
              <w:top w:val="single" w:sz="8" w:space="0" w:color="auto"/>
              <w:bottom w:val="single" w:sz="8" w:space="0" w:color="auto"/>
            </w:tcBorders>
            <w:vAlign w:val="center"/>
          </w:tcPr>
          <w:p w14:paraId="1718342D" w14:textId="77777777" w:rsidR="00FA0E44" w:rsidRPr="001F5558" w:rsidRDefault="00FA0E44" w:rsidP="00560C29">
            <w:pPr>
              <w:rPr>
                <w:rFonts w:ascii="Arial" w:eastAsia="Times New Roman" w:hAnsi="Arial" w:cs="Arial"/>
                <w:b/>
                <w:bCs/>
                <w:sz w:val="20"/>
                <w:szCs w:val="20"/>
              </w:rPr>
            </w:pPr>
            <w:r w:rsidRPr="001F5558">
              <w:rPr>
                <w:rFonts w:ascii="Arial" w:eastAsia="Times New Roman" w:hAnsi="Arial" w:cs="Arial"/>
                <w:b/>
                <w:bCs/>
                <w:sz w:val="20"/>
                <w:szCs w:val="20"/>
              </w:rPr>
              <w:t>Loop diuretics</w:t>
            </w:r>
          </w:p>
        </w:tc>
        <w:tc>
          <w:tcPr>
            <w:tcW w:w="1560" w:type="dxa"/>
          </w:tcPr>
          <w:p w14:paraId="169661BD" w14:textId="77777777" w:rsidR="00FA0E44" w:rsidRPr="001F5558" w:rsidRDefault="00FA0E44" w:rsidP="00223F96">
            <w:pPr>
              <w:rPr>
                <w:rFonts w:ascii="Arial" w:eastAsia="Times New Roman" w:hAnsi="Arial" w:cs="Arial"/>
                <w:sz w:val="20"/>
                <w:szCs w:val="20"/>
              </w:rPr>
            </w:pPr>
          </w:p>
        </w:tc>
        <w:tc>
          <w:tcPr>
            <w:tcW w:w="1275" w:type="dxa"/>
          </w:tcPr>
          <w:p w14:paraId="22305CC3" w14:textId="77777777" w:rsidR="00FA0E44" w:rsidRPr="001F5558" w:rsidRDefault="00FA0E44" w:rsidP="00223F96">
            <w:pPr>
              <w:rPr>
                <w:rFonts w:ascii="Arial" w:eastAsia="Times New Roman" w:hAnsi="Arial" w:cs="Arial"/>
                <w:sz w:val="20"/>
                <w:szCs w:val="20"/>
              </w:rPr>
            </w:pPr>
          </w:p>
        </w:tc>
      </w:tr>
      <w:tr w:rsidR="00FA0E44" w:rsidRPr="001F5558" w14:paraId="32BF3269" w14:textId="77777777" w:rsidTr="00560C29">
        <w:trPr>
          <w:trHeight w:val="283"/>
        </w:trPr>
        <w:tc>
          <w:tcPr>
            <w:tcW w:w="2830" w:type="dxa"/>
            <w:tcBorders>
              <w:top w:val="single" w:sz="8" w:space="0" w:color="auto"/>
            </w:tcBorders>
          </w:tcPr>
          <w:p w14:paraId="677890F6" w14:textId="77777777" w:rsidR="00FA0E44" w:rsidRPr="001F5558" w:rsidRDefault="00FA0E44" w:rsidP="00223F96">
            <w:pPr>
              <w:rPr>
                <w:rFonts w:ascii="Arial" w:eastAsia="Times New Roman" w:hAnsi="Arial" w:cs="Arial"/>
                <w:sz w:val="20"/>
                <w:szCs w:val="20"/>
              </w:rPr>
            </w:pPr>
            <w:r w:rsidRPr="001F5558">
              <w:rPr>
                <w:rFonts w:ascii="Arial" w:eastAsia="Times New Roman" w:hAnsi="Arial" w:cs="Arial"/>
                <w:sz w:val="20"/>
                <w:szCs w:val="20"/>
              </w:rPr>
              <w:t xml:space="preserve">Bumetanide </w:t>
            </w:r>
          </w:p>
        </w:tc>
        <w:tc>
          <w:tcPr>
            <w:tcW w:w="1560" w:type="dxa"/>
          </w:tcPr>
          <w:p w14:paraId="175E08A2" w14:textId="77777777" w:rsidR="00FA0E44" w:rsidRPr="001F5558" w:rsidRDefault="00FA0E44" w:rsidP="00223F96">
            <w:pPr>
              <w:rPr>
                <w:rFonts w:ascii="Arial" w:eastAsia="Times New Roman" w:hAnsi="Arial" w:cs="Arial"/>
                <w:sz w:val="20"/>
                <w:szCs w:val="20"/>
              </w:rPr>
            </w:pPr>
            <w:r w:rsidRPr="001F5558">
              <w:rPr>
                <w:rFonts w:ascii="Arial" w:eastAsia="Times New Roman" w:hAnsi="Arial" w:cs="Arial"/>
                <w:sz w:val="20"/>
                <w:szCs w:val="20"/>
              </w:rPr>
              <w:t xml:space="preserve">0.5-4 </w:t>
            </w:r>
          </w:p>
        </w:tc>
        <w:tc>
          <w:tcPr>
            <w:tcW w:w="1275" w:type="dxa"/>
          </w:tcPr>
          <w:p w14:paraId="0D7DEB79" w14:textId="77777777" w:rsidR="00FA0E44" w:rsidRPr="001F5558" w:rsidRDefault="00FA0E44" w:rsidP="00223F96">
            <w:pPr>
              <w:rPr>
                <w:rFonts w:ascii="Arial" w:eastAsia="Times New Roman" w:hAnsi="Arial" w:cs="Arial"/>
                <w:sz w:val="20"/>
                <w:szCs w:val="20"/>
              </w:rPr>
            </w:pPr>
            <w:r w:rsidRPr="001F5558">
              <w:rPr>
                <w:rFonts w:ascii="Arial" w:eastAsia="Times New Roman" w:hAnsi="Arial" w:cs="Arial"/>
                <w:sz w:val="20"/>
                <w:szCs w:val="20"/>
              </w:rPr>
              <w:t>2 - 3</w:t>
            </w:r>
          </w:p>
        </w:tc>
      </w:tr>
      <w:tr w:rsidR="00FA0E44" w:rsidRPr="001F5558" w14:paraId="76F5CF19" w14:textId="77777777" w:rsidTr="00560C29">
        <w:trPr>
          <w:trHeight w:val="283"/>
        </w:trPr>
        <w:tc>
          <w:tcPr>
            <w:tcW w:w="2830" w:type="dxa"/>
          </w:tcPr>
          <w:p w14:paraId="6BFDBB7C" w14:textId="77777777" w:rsidR="00FA0E44" w:rsidRPr="001F5558" w:rsidRDefault="00FA0E44" w:rsidP="00223F96">
            <w:pPr>
              <w:rPr>
                <w:rFonts w:ascii="Arial" w:eastAsia="Times New Roman" w:hAnsi="Arial" w:cs="Arial"/>
                <w:sz w:val="20"/>
                <w:szCs w:val="20"/>
              </w:rPr>
            </w:pPr>
            <w:r w:rsidRPr="001F5558">
              <w:rPr>
                <w:rFonts w:ascii="Arial" w:eastAsia="Times New Roman" w:hAnsi="Arial" w:cs="Arial"/>
                <w:sz w:val="20"/>
                <w:szCs w:val="20"/>
              </w:rPr>
              <w:t xml:space="preserve">Ethacrynic acid </w:t>
            </w:r>
          </w:p>
        </w:tc>
        <w:tc>
          <w:tcPr>
            <w:tcW w:w="1560" w:type="dxa"/>
          </w:tcPr>
          <w:p w14:paraId="000E7FFC" w14:textId="77777777" w:rsidR="00FA0E44" w:rsidRPr="001F5558" w:rsidRDefault="00FA0E44" w:rsidP="00223F96">
            <w:pPr>
              <w:rPr>
                <w:rFonts w:ascii="Arial" w:eastAsia="Times New Roman" w:hAnsi="Arial" w:cs="Arial"/>
                <w:sz w:val="20"/>
                <w:szCs w:val="20"/>
              </w:rPr>
            </w:pPr>
            <w:r w:rsidRPr="001F5558">
              <w:rPr>
                <w:rFonts w:ascii="Arial" w:eastAsia="Times New Roman" w:hAnsi="Arial" w:cs="Arial"/>
                <w:sz w:val="20"/>
                <w:szCs w:val="20"/>
              </w:rPr>
              <w:t xml:space="preserve">0.25-100 </w:t>
            </w:r>
          </w:p>
        </w:tc>
        <w:tc>
          <w:tcPr>
            <w:tcW w:w="1275" w:type="dxa"/>
          </w:tcPr>
          <w:p w14:paraId="47508471" w14:textId="77777777" w:rsidR="00FA0E44" w:rsidRPr="001F5558" w:rsidRDefault="00FA0E44" w:rsidP="00223F96">
            <w:pPr>
              <w:rPr>
                <w:rFonts w:ascii="Arial" w:eastAsia="Times New Roman" w:hAnsi="Arial" w:cs="Arial"/>
                <w:sz w:val="20"/>
                <w:szCs w:val="20"/>
              </w:rPr>
            </w:pPr>
            <w:r w:rsidRPr="001F5558">
              <w:rPr>
                <w:rFonts w:ascii="Arial" w:eastAsia="Times New Roman" w:hAnsi="Arial" w:cs="Arial"/>
                <w:sz w:val="20"/>
                <w:szCs w:val="20"/>
              </w:rPr>
              <w:t>2 - 3</w:t>
            </w:r>
          </w:p>
        </w:tc>
      </w:tr>
      <w:tr w:rsidR="00FA0E44" w:rsidRPr="001F5558" w14:paraId="1DA71E4D" w14:textId="77777777" w:rsidTr="00560C29">
        <w:trPr>
          <w:trHeight w:val="283"/>
        </w:trPr>
        <w:tc>
          <w:tcPr>
            <w:tcW w:w="2830" w:type="dxa"/>
          </w:tcPr>
          <w:p w14:paraId="4F16D6B6" w14:textId="77777777" w:rsidR="00FA0E44" w:rsidRPr="001F5558" w:rsidRDefault="00FA0E44" w:rsidP="00223F96">
            <w:pPr>
              <w:rPr>
                <w:rFonts w:ascii="Arial" w:eastAsia="Times New Roman" w:hAnsi="Arial" w:cs="Arial"/>
                <w:sz w:val="20"/>
                <w:szCs w:val="20"/>
              </w:rPr>
            </w:pPr>
            <w:r w:rsidRPr="001F5558">
              <w:rPr>
                <w:rFonts w:ascii="Arial" w:eastAsia="Times New Roman" w:hAnsi="Arial" w:cs="Arial"/>
                <w:sz w:val="20"/>
                <w:szCs w:val="20"/>
              </w:rPr>
              <w:t>Furosemide</w:t>
            </w:r>
          </w:p>
        </w:tc>
        <w:tc>
          <w:tcPr>
            <w:tcW w:w="1560" w:type="dxa"/>
          </w:tcPr>
          <w:p w14:paraId="3A37DBDC" w14:textId="77777777" w:rsidR="00FA0E44" w:rsidRPr="001F5558" w:rsidRDefault="00FA0E44" w:rsidP="00223F96">
            <w:pPr>
              <w:rPr>
                <w:rFonts w:ascii="Arial" w:eastAsia="Times New Roman" w:hAnsi="Arial" w:cs="Arial"/>
                <w:sz w:val="20"/>
                <w:szCs w:val="20"/>
              </w:rPr>
            </w:pPr>
            <w:r w:rsidRPr="001F5558">
              <w:rPr>
                <w:rFonts w:ascii="Arial" w:eastAsia="Times New Roman" w:hAnsi="Arial" w:cs="Arial"/>
                <w:sz w:val="20"/>
                <w:szCs w:val="20"/>
              </w:rPr>
              <w:t xml:space="preserve">40-240 </w:t>
            </w:r>
          </w:p>
        </w:tc>
        <w:tc>
          <w:tcPr>
            <w:tcW w:w="1275" w:type="dxa"/>
          </w:tcPr>
          <w:p w14:paraId="0BFA554D" w14:textId="77777777" w:rsidR="00FA0E44" w:rsidRPr="001F5558" w:rsidRDefault="00FA0E44" w:rsidP="00223F96">
            <w:pPr>
              <w:rPr>
                <w:rFonts w:ascii="Arial" w:eastAsia="Times New Roman" w:hAnsi="Arial" w:cs="Arial"/>
                <w:sz w:val="20"/>
                <w:szCs w:val="20"/>
              </w:rPr>
            </w:pPr>
            <w:r w:rsidRPr="001F5558">
              <w:rPr>
                <w:rFonts w:ascii="Arial" w:eastAsia="Times New Roman" w:hAnsi="Arial" w:cs="Arial"/>
                <w:sz w:val="20"/>
                <w:szCs w:val="20"/>
              </w:rPr>
              <w:t>2 - 3</w:t>
            </w:r>
          </w:p>
        </w:tc>
      </w:tr>
      <w:tr w:rsidR="00FA0E44" w:rsidRPr="001F5558" w14:paraId="55A2C0D8" w14:textId="77777777" w:rsidTr="00560C29">
        <w:trPr>
          <w:trHeight w:val="283"/>
        </w:trPr>
        <w:tc>
          <w:tcPr>
            <w:tcW w:w="2830" w:type="dxa"/>
            <w:tcBorders>
              <w:bottom w:val="single" w:sz="8" w:space="0" w:color="auto"/>
            </w:tcBorders>
          </w:tcPr>
          <w:p w14:paraId="2F4233B6" w14:textId="77777777" w:rsidR="00FA0E44" w:rsidRPr="001F5558" w:rsidRDefault="00FA0E44" w:rsidP="00223F96">
            <w:pPr>
              <w:rPr>
                <w:rFonts w:ascii="Arial" w:eastAsia="Times New Roman" w:hAnsi="Arial" w:cs="Arial"/>
                <w:sz w:val="20"/>
                <w:szCs w:val="20"/>
              </w:rPr>
            </w:pPr>
            <w:r w:rsidRPr="001F5558">
              <w:rPr>
                <w:rFonts w:ascii="Arial" w:eastAsia="Times New Roman" w:hAnsi="Arial" w:cs="Arial"/>
                <w:sz w:val="20"/>
                <w:szCs w:val="20"/>
              </w:rPr>
              <w:t xml:space="preserve">Torsemide </w:t>
            </w:r>
          </w:p>
        </w:tc>
        <w:tc>
          <w:tcPr>
            <w:tcW w:w="1560" w:type="dxa"/>
          </w:tcPr>
          <w:p w14:paraId="19C68863" w14:textId="77777777" w:rsidR="00FA0E44" w:rsidRPr="001F5558" w:rsidRDefault="00FA0E44" w:rsidP="00223F96">
            <w:pPr>
              <w:rPr>
                <w:rFonts w:ascii="Arial" w:eastAsia="Times New Roman" w:hAnsi="Arial" w:cs="Arial"/>
                <w:sz w:val="20"/>
                <w:szCs w:val="20"/>
              </w:rPr>
            </w:pPr>
            <w:r w:rsidRPr="001F5558">
              <w:rPr>
                <w:rFonts w:ascii="Arial" w:eastAsia="Times New Roman" w:hAnsi="Arial" w:cs="Arial"/>
                <w:sz w:val="20"/>
                <w:szCs w:val="20"/>
              </w:rPr>
              <w:t>5-100</w:t>
            </w:r>
          </w:p>
        </w:tc>
        <w:tc>
          <w:tcPr>
            <w:tcW w:w="1275" w:type="dxa"/>
          </w:tcPr>
          <w:p w14:paraId="706B0B70" w14:textId="77777777" w:rsidR="00FA0E44" w:rsidRPr="001F5558" w:rsidRDefault="00FA0E44" w:rsidP="00223F96">
            <w:pPr>
              <w:rPr>
                <w:rFonts w:ascii="Arial" w:eastAsia="Times New Roman" w:hAnsi="Arial" w:cs="Arial"/>
                <w:sz w:val="20"/>
                <w:szCs w:val="20"/>
              </w:rPr>
            </w:pPr>
            <w:r w:rsidRPr="001F5558">
              <w:rPr>
                <w:rFonts w:ascii="Arial" w:eastAsia="Times New Roman" w:hAnsi="Arial" w:cs="Arial"/>
                <w:sz w:val="20"/>
                <w:szCs w:val="20"/>
              </w:rPr>
              <w:t>1 - 2</w:t>
            </w:r>
          </w:p>
        </w:tc>
      </w:tr>
      <w:tr w:rsidR="00FA0E44" w:rsidRPr="001F5558" w14:paraId="6B63775A" w14:textId="77777777" w:rsidTr="00560C29">
        <w:trPr>
          <w:trHeight w:val="283"/>
        </w:trPr>
        <w:tc>
          <w:tcPr>
            <w:tcW w:w="2830" w:type="dxa"/>
            <w:tcBorders>
              <w:top w:val="single" w:sz="8" w:space="0" w:color="auto"/>
              <w:bottom w:val="single" w:sz="8" w:space="0" w:color="auto"/>
            </w:tcBorders>
            <w:vAlign w:val="center"/>
          </w:tcPr>
          <w:p w14:paraId="5FCD13BB" w14:textId="77777777" w:rsidR="00FA0E44" w:rsidRPr="001F5558" w:rsidRDefault="00FA0E44" w:rsidP="00560C29">
            <w:pPr>
              <w:rPr>
                <w:rFonts w:ascii="Arial" w:eastAsia="Times New Roman" w:hAnsi="Arial" w:cs="Arial"/>
                <w:b/>
                <w:bCs/>
                <w:sz w:val="20"/>
                <w:szCs w:val="20"/>
              </w:rPr>
            </w:pPr>
            <w:r w:rsidRPr="001F5558">
              <w:rPr>
                <w:rFonts w:ascii="Arial" w:eastAsia="Times New Roman" w:hAnsi="Arial" w:cs="Arial"/>
                <w:b/>
                <w:bCs/>
                <w:sz w:val="20"/>
                <w:szCs w:val="20"/>
              </w:rPr>
              <w:t>Potassium-sparing agents</w:t>
            </w:r>
          </w:p>
        </w:tc>
        <w:tc>
          <w:tcPr>
            <w:tcW w:w="1560" w:type="dxa"/>
          </w:tcPr>
          <w:p w14:paraId="597AD109" w14:textId="77777777" w:rsidR="00FA0E44" w:rsidRPr="001F5558" w:rsidRDefault="00FA0E44" w:rsidP="00223F96">
            <w:pPr>
              <w:rPr>
                <w:rFonts w:ascii="Arial" w:eastAsia="Times New Roman" w:hAnsi="Arial" w:cs="Arial"/>
                <w:sz w:val="20"/>
                <w:szCs w:val="20"/>
              </w:rPr>
            </w:pPr>
          </w:p>
        </w:tc>
        <w:tc>
          <w:tcPr>
            <w:tcW w:w="1275" w:type="dxa"/>
          </w:tcPr>
          <w:p w14:paraId="57B239E2" w14:textId="77777777" w:rsidR="00FA0E44" w:rsidRPr="001F5558" w:rsidRDefault="00FA0E44" w:rsidP="00223F96">
            <w:pPr>
              <w:rPr>
                <w:rFonts w:ascii="Arial" w:eastAsia="Times New Roman" w:hAnsi="Arial" w:cs="Arial"/>
                <w:sz w:val="20"/>
                <w:szCs w:val="20"/>
              </w:rPr>
            </w:pPr>
          </w:p>
        </w:tc>
      </w:tr>
      <w:tr w:rsidR="00FA0E44" w:rsidRPr="001F5558" w14:paraId="039090A3" w14:textId="77777777" w:rsidTr="00560C29">
        <w:trPr>
          <w:trHeight w:val="283"/>
        </w:trPr>
        <w:tc>
          <w:tcPr>
            <w:tcW w:w="2830" w:type="dxa"/>
            <w:tcBorders>
              <w:top w:val="single" w:sz="8" w:space="0" w:color="auto"/>
            </w:tcBorders>
          </w:tcPr>
          <w:p w14:paraId="61E6B93F" w14:textId="77777777" w:rsidR="00FA0E44" w:rsidRPr="001F5558" w:rsidRDefault="00FA0E44" w:rsidP="00223F96">
            <w:pPr>
              <w:rPr>
                <w:rFonts w:ascii="Arial" w:eastAsia="Times New Roman" w:hAnsi="Arial" w:cs="Arial"/>
                <w:sz w:val="20"/>
                <w:szCs w:val="20"/>
              </w:rPr>
            </w:pPr>
            <w:r w:rsidRPr="001F5558">
              <w:rPr>
                <w:rFonts w:ascii="Arial" w:eastAsia="Times New Roman" w:hAnsi="Arial" w:cs="Arial"/>
                <w:sz w:val="20"/>
                <w:szCs w:val="20"/>
              </w:rPr>
              <w:t>(a) Sodium channel blockers</w:t>
            </w:r>
          </w:p>
        </w:tc>
        <w:tc>
          <w:tcPr>
            <w:tcW w:w="1560" w:type="dxa"/>
          </w:tcPr>
          <w:p w14:paraId="6B5D81F9" w14:textId="77777777" w:rsidR="00FA0E44" w:rsidRPr="001F5558" w:rsidRDefault="00FA0E44" w:rsidP="00223F96">
            <w:pPr>
              <w:rPr>
                <w:rFonts w:ascii="Arial" w:eastAsia="Times New Roman" w:hAnsi="Arial" w:cs="Arial"/>
                <w:sz w:val="20"/>
                <w:szCs w:val="20"/>
              </w:rPr>
            </w:pPr>
          </w:p>
        </w:tc>
        <w:tc>
          <w:tcPr>
            <w:tcW w:w="1275" w:type="dxa"/>
          </w:tcPr>
          <w:p w14:paraId="7D50105C" w14:textId="77777777" w:rsidR="00FA0E44" w:rsidRPr="001F5558" w:rsidRDefault="00FA0E44" w:rsidP="00223F96">
            <w:pPr>
              <w:rPr>
                <w:rFonts w:ascii="Arial" w:eastAsia="Times New Roman" w:hAnsi="Arial" w:cs="Arial"/>
                <w:sz w:val="20"/>
                <w:szCs w:val="20"/>
              </w:rPr>
            </w:pPr>
          </w:p>
        </w:tc>
      </w:tr>
      <w:tr w:rsidR="00FA0E44" w:rsidRPr="001F5558" w14:paraId="23187653" w14:textId="77777777" w:rsidTr="00560C29">
        <w:trPr>
          <w:trHeight w:val="283"/>
        </w:trPr>
        <w:tc>
          <w:tcPr>
            <w:tcW w:w="2830" w:type="dxa"/>
          </w:tcPr>
          <w:p w14:paraId="5C097064" w14:textId="77777777" w:rsidR="00FA0E44" w:rsidRPr="001F5558" w:rsidRDefault="00FA0E44" w:rsidP="00223F96">
            <w:pPr>
              <w:rPr>
                <w:rFonts w:ascii="Arial" w:eastAsia="Times New Roman" w:hAnsi="Arial" w:cs="Arial"/>
                <w:sz w:val="20"/>
                <w:szCs w:val="20"/>
              </w:rPr>
            </w:pPr>
            <w:r w:rsidRPr="001F5558">
              <w:rPr>
                <w:rFonts w:ascii="Arial" w:eastAsia="Times New Roman" w:hAnsi="Arial" w:cs="Arial"/>
                <w:sz w:val="20"/>
                <w:szCs w:val="20"/>
              </w:rPr>
              <w:t>Amiloride hydrochloride</w:t>
            </w:r>
          </w:p>
        </w:tc>
        <w:tc>
          <w:tcPr>
            <w:tcW w:w="1560" w:type="dxa"/>
          </w:tcPr>
          <w:p w14:paraId="7129887D" w14:textId="77777777" w:rsidR="00FA0E44" w:rsidRPr="001F5558" w:rsidRDefault="00FA0E44" w:rsidP="00223F96">
            <w:pPr>
              <w:rPr>
                <w:rFonts w:ascii="Arial" w:eastAsia="Times New Roman" w:hAnsi="Arial" w:cs="Arial"/>
                <w:sz w:val="20"/>
                <w:szCs w:val="20"/>
              </w:rPr>
            </w:pPr>
            <w:r w:rsidRPr="001F5558">
              <w:rPr>
                <w:rFonts w:ascii="Arial" w:eastAsia="Times New Roman" w:hAnsi="Arial" w:cs="Arial"/>
                <w:sz w:val="20"/>
                <w:szCs w:val="20"/>
              </w:rPr>
              <w:t xml:space="preserve">25-100 </w:t>
            </w:r>
          </w:p>
        </w:tc>
        <w:tc>
          <w:tcPr>
            <w:tcW w:w="1275" w:type="dxa"/>
          </w:tcPr>
          <w:p w14:paraId="61660D48" w14:textId="77777777" w:rsidR="00FA0E44" w:rsidRPr="001F5558" w:rsidRDefault="00FA0E44" w:rsidP="00223F96">
            <w:pPr>
              <w:rPr>
                <w:rFonts w:ascii="Arial" w:eastAsia="Times New Roman" w:hAnsi="Arial" w:cs="Arial"/>
                <w:sz w:val="20"/>
                <w:szCs w:val="20"/>
              </w:rPr>
            </w:pPr>
            <w:r w:rsidRPr="001F5558">
              <w:rPr>
                <w:rFonts w:ascii="Arial" w:eastAsia="Times New Roman" w:hAnsi="Arial" w:cs="Arial"/>
                <w:sz w:val="20"/>
                <w:szCs w:val="20"/>
              </w:rPr>
              <w:t>1</w:t>
            </w:r>
          </w:p>
        </w:tc>
      </w:tr>
      <w:tr w:rsidR="00FA0E44" w:rsidRPr="001F5558" w14:paraId="5C620E79" w14:textId="77777777" w:rsidTr="00560C29">
        <w:trPr>
          <w:trHeight w:val="283"/>
        </w:trPr>
        <w:tc>
          <w:tcPr>
            <w:tcW w:w="2830" w:type="dxa"/>
          </w:tcPr>
          <w:p w14:paraId="7C800898" w14:textId="77777777" w:rsidR="00FA0E44" w:rsidRPr="001F5558" w:rsidRDefault="00FA0E44" w:rsidP="00223F96">
            <w:pPr>
              <w:rPr>
                <w:rFonts w:ascii="Arial" w:eastAsia="Times New Roman" w:hAnsi="Arial" w:cs="Arial"/>
                <w:sz w:val="20"/>
                <w:szCs w:val="20"/>
              </w:rPr>
            </w:pPr>
            <w:r w:rsidRPr="001F5558">
              <w:rPr>
                <w:rFonts w:ascii="Arial" w:eastAsia="Times New Roman" w:hAnsi="Arial" w:cs="Arial"/>
                <w:sz w:val="20"/>
                <w:szCs w:val="20"/>
              </w:rPr>
              <w:t>Triamterene</w:t>
            </w:r>
          </w:p>
        </w:tc>
        <w:tc>
          <w:tcPr>
            <w:tcW w:w="1560" w:type="dxa"/>
          </w:tcPr>
          <w:p w14:paraId="56D6A322" w14:textId="77777777" w:rsidR="00FA0E44" w:rsidRPr="001F5558" w:rsidRDefault="00FA0E44" w:rsidP="00223F96">
            <w:pPr>
              <w:rPr>
                <w:rFonts w:ascii="Arial" w:eastAsia="Times New Roman" w:hAnsi="Arial" w:cs="Arial"/>
                <w:sz w:val="20"/>
                <w:szCs w:val="20"/>
              </w:rPr>
            </w:pPr>
            <w:r w:rsidRPr="001F5558">
              <w:rPr>
                <w:rFonts w:ascii="Arial" w:eastAsia="Times New Roman" w:hAnsi="Arial" w:cs="Arial"/>
                <w:sz w:val="20"/>
                <w:szCs w:val="20"/>
              </w:rPr>
              <w:t xml:space="preserve">5-10 </w:t>
            </w:r>
          </w:p>
        </w:tc>
        <w:tc>
          <w:tcPr>
            <w:tcW w:w="1275" w:type="dxa"/>
          </w:tcPr>
          <w:p w14:paraId="033D2932" w14:textId="77777777" w:rsidR="00FA0E44" w:rsidRPr="001F5558" w:rsidRDefault="00FA0E44" w:rsidP="00223F96">
            <w:pPr>
              <w:rPr>
                <w:rFonts w:ascii="Arial" w:eastAsia="Times New Roman" w:hAnsi="Arial" w:cs="Arial"/>
                <w:sz w:val="20"/>
                <w:szCs w:val="20"/>
              </w:rPr>
            </w:pPr>
            <w:r w:rsidRPr="001F5558">
              <w:rPr>
                <w:rFonts w:ascii="Arial" w:eastAsia="Times New Roman" w:hAnsi="Arial" w:cs="Arial"/>
                <w:sz w:val="20"/>
                <w:szCs w:val="20"/>
              </w:rPr>
              <w:t>1</w:t>
            </w:r>
          </w:p>
        </w:tc>
      </w:tr>
      <w:tr w:rsidR="00FA0E44" w:rsidRPr="001F5558" w14:paraId="75FA0FF3" w14:textId="77777777" w:rsidTr="00560C29">
        <w:trPr>
          <w:trHeight w:val="283"/>
        </w:trPr>
        <w:tc>
          <w:tcPr>
            <w:tcW w:w="2830" w:type="dxa"/>
          </w:tcPr>
          <w:p w14:paraId="38D21159" w14:textId="77777777" w:rsidR="00FA0E44" w:rsidRPr="001F5558" w:rsidRDefault="00FA0E44" w:rsidP="00223F96">
            <w:pPr>
              <w:rPr>
                <w:rFonts w:ascii="Arial" w:eastAsia="Times New Roman" w:hAnsi="Arial" w:cs="Arial"/>
                <w:sz w:val="20"/>
                <w:szCs w:val="20"/>
              </w:rPr>
            </w:pPr>
            <w:r w:rsidRPr="001F5558">
              <w:rPr>
                <w:rFonts w:ascii="Arial" w:eastAsia="Times New Roman" w:hAnsi="Arial" w:cs="Arial"/>
                <w:sz w:val="20"/>
                <w:szCs w:val="20"/>
              </w:rPr>
              <w:t>(b) Aldosterone antagonists</w:t>
            </w:r>
          </w:p>
        </w:tc>
        <w:tc>
          <w:tcPr>
            <w:tcW w:w="1560" w:type="dxa"/>
          </w:tcPr>
          <w:p w14:paraId="6DF0688F" w14:textId="77777777" w:rsidR="00FA0E44" w:rsidRPr="001F5558" w:rsidRDefault="00FA0E44" w:rsidP="00223F96">
            <w:pPr>
              <w:rPr>
                <w:rFonts w:ascii="Arial" w:eastAsia="Times New Roman" w:hAnsi="Arial" w:cs="Arial"/>
                <w:sz w:val="20"/>
                <w:szCs w:val="20"/>
              </w:rPr>
            </w:pPr>
          </w:p>
        </w:tc>
        <w:tc>
          <w:tcPr>
            <w:tcW w:w="1275" w:type="dxa"/>
          </w:tcPr>
          <w:p w14:paraId="3AE81F00" w14:textId="77777777" w:rsidR="00FA0E44" w:rsidRPr="001F5558" w:rsidRDefault="00FA0E44" w:rsidP="00223F96">
            <w:pPr>
              <w:rPr>
                <w:rFonts w:ascii="Arial" w:eastAsia="Times New Roman" w:hAnsi="Arial" w:cs="Arial"/>
                <w:sz w:val="20"/>
                <w:szCs w:val="20"/>
              </w:rPr>
            </w:pPr>
          </w:p>
        </w:tc>
      </w:tr>
      <w:tr w:rsidR="00FA0E44" w:rsidRPr="001F5558" w14:paraId="29FC7B8A" w14:textId="77777777" w:rsidTr="00560C29">
        <w:trPr>
          <w:trHeight w:val="283"/>
        </w:trPr>
        <w:tc>
          <w:tcPr>
            <w:tcW w:w="2830" w:type="dxa"/>
          </w:tcPr>
          <w:p w14:paraId="1542CC06" w14:textId="77777777" w:rsidR="00FA0E44" w:rsidRPr="001F5558" w:rsidRDefault="00FA0E44" w:rsidP="00223F96">
            <w:pPr>
              <w:rPr>
                <w:rFonts w:ascii="Arial" w:eastAsia="Times New Roman" w:hAnsi="Arial" w:cs="Arial"/>
                <w:sz w:val="20"/>
                <w:szCs w:val="20"/>
              </w:rPr>
            </w:pPr>
            <w:r w:rsidRPr="001F5558">
              <w:rPr>
                <w:rFonts w:ascii="Arial" w:eastAsia="Times New Roman" w:hAnsi="Arial" w:cs="Arial"/>
                <w:sz w:val="20"/>
                <w:szCs w:val="20"/>
              </w:rPr>
              <w:t>Spironolactone</w:t>
            </w:r>
          </w:p>
        </w:tc>
        <w:tc>
          <w:tcPr>
            <w:tcW w:w="1560" w:type="dxa"/>
          </w:tcPr>
          <w:p w14:paraId="3E99C7A3" w14:textId="77777777" w:rsidR="00FA0E44" w:rsidRPr="001F5558" w:rsidRDefault="00FA0E44" w:rsidP="00223F96">
            <w:pPr>
              <w:rPr>
                <w:rFonts w:ascii="Arial" w:eastAsia="Times New Roman" w:hAnsi="Arial" w:cs="Arial"/>
                <w:sz w:val="20"/>
                <w:szCs w:val="20"/>
              </w:rPr>
            </w:pPr>
            <w:r w:rsidRPr="001F5558">
              <w:rPr>
                <w:rFonts w:ascii="Arial" w:eastAsia="Times New Roman" w:hAnsi="Arial" w:cs="Arial"/>
                <w:sz w:val="20"/>
                <w:szCs w:val="20"/>
              </w:rPr>
              <w:t>25-100</w:t>
            </w:r>
          </w:p>
        </w:tc>
        <w:tc>
          <w:tcPr>
            <w:tcW w:w="1275" w:type="dxa"/>
          </w:tcPr>
          <w:p w14:paraId="2C8CA0AB" w14:textId="77777777" w:rsidR="00FA0E44" w:rsidRPr="001F5558" w:rsidRDefault="00FA0E44" w:rsidP="00223F96">
            <w:pPr>
              <w:rPr>
                <w:rFonts w:ascii="Arial" w:eastAsia="Times New Roman" w:hAnsi="Arial" w:cs="Arial"/>
                <w:sz w:val="20"/>
                <w:szCs w:val="20"/>
              </w:rPr>
            </w:pPr>
            <w:r w:rsidRPr="001F5558">
              <w:rPr>
                <w:rFonts w:ascii="Arial" w:eastAsia="Times New Roman" w:hAnsi="Arial" w:cs="Arial"/>
                <w:sz w:val="20"/>
                <w:szCs w:val="20"/>
              </w:rPr>
              <w:t>1</w:t>
            </w:r>
          </w:p>
        </w:tc>
      </w:tr>
      <w:tr w:rsidR="00FA0E44" w:rsidRPr="001F5558" w14:paraId="502A6AB9" w14:textId="77777777" w:rsidTr="00560C29">
        <w:trPr>
          <w:trHeight w:val="283"/>
        </w:trPr>
        <w:tc>
          <w:tcPr>
            <w:tcW w:w="2830" w:type="dxa"/>
          </w:tcPr>
          <w:p w14:paraId="561C388B" w14:textId="77777777" w:rsidR="00FA0E44" w:rsidRPr="001F5558" w:rsidRDefault="00FA0E44" w:rsidP="00223F96">
            <w:pPr>
              <w:rPr>
                <w:rFonts w:ascii="Arial" w:eastAsia="Times New Roman" w:hAnsi="Arial" w:cs="Arial"/>
                <w:sz w:val="20"/>
                <w:szCs w:val="20"/>
              </w:rPr>
            </w:pPr>
            <w:r w:rsidRPr="001F5558">
              <w:rPr>
                <w:rFonts w:ascii="Arial" w:eastAsia="Times New Roman" w:hAnsi="Arial" w:cs="Arial"/>
                <w:sz w:val="20"/>
                <w:szCs w:val="20"/>
              </w:rPr>
              <w:t>Eplerenone</w:t>
            </w:r>
          </w:p>
        </w:tc>
        <w:tc>
          <w:tcPr>
            <w:tcW w:w="1560" w:type="dxa"/>
          </w:tcPr>
          <w:p w14:paraId="13B21D6B" w14:textId="77777777" w:rsidR="00FA0E44" w:rsidRPr="001F5558" w:rsidRDefault="00FA0E44" w:rsidP="00223F96">
            <w:pPr>
              <w:rPr>
                <w:rFonts w:ascii="Arial" w:eastAsia="Times New Roman" w:hAnsi="Arial" w:cs="Arial"/>
                <w:sz w:val="20"/>
                <w:szCs w:val="20"/>
              </w:rPr>
            </w:pPr>
            <w:r w:rsidRPr="001F5558">
              <w:rPr>
                <w:rFonts w:ascii="Arial" w:eastAsia="Times New Roman" w:hAnsi="Arial" w:cs="Arial"/>
                <w:sz w:val="20"/>
                <w:szCs w:val="20"/>
              </w:rPr>
              <w:t xml:space="preserve">25-100 </w:t>
            </w:r>
          </w:p>
        </w:tc>
        <w:tc>
          <w:tcPr>
            <w:tcW w:w="1275" w:type="dxa"/>
          </w:tcPr>
          <w:p w14:paraId="331F3B15" w14:textId="77777777" w:rsidR="00FA0E44" w:rsidRPr="001F5558" w:rsidRDefault="00FA0E44" w:rsidP="00223F96">
            <w:pPr>
              <w:rPr>
                <w:rFonts w:ascii="Arial" w:eastAsia="Times New Roman" w:hAnsi="Arial" w:cs="Arial"/>
                <w:sz w:val="20"/>
                <w:szCs w:val="20"/>
              </w:rPr>
            </w:pPr>
            <w:r w:rsidRPr="001F5558">
              <w:rPr>
                <w:rFonts w:ascii="Arial" w:eastAsia="Times New Roman" w:hAnsi="Arial" w:cs="Arial"/>
                <w:sz w:val="20"/>
                <w:szCs w:val="20"/>
              </w:rPr>
              <w:t>1-2</w:t>
            </w:r>
          </w:p>
        </w:tc>
      </w:tr>
      <w:tr w:rsidR="00FA0E44" w:rsidRPr="001F5558" w14:paraId="2500B638" w14:textId="77777777" w:rsidTr="00560C29">
        <w:trPr>
          <w:trHeight w:val="283"/>
        </w:trPr>
        <w:tc>
          <w:tcPr>
            <w:tcW w:w="2830" w:type="dxa"/>
          </w:tcPr>
          <w:p w14:paraId="064D09BC" w14:textId="77777777" w:rsidR="00FA0E44" w:rsidRPr="001F5558" w:rsidRDefault="00FA0E44" w:rsidP="00223F96">
            <w:pPr>
              <w:rPr>
                <w:rFonts w:ascii="Arial" w:eastAsia="Times New Roman" w:hAnsi="Arial" w:cs="Arial"/>
                <w:sz w:val="20"/>
                <w:szCs w:val="20"/>
              </w:rPr>
            </w:pPr>
            <w:proofErr w:type="spellStart"/>
            <w:r w:rsidRPr="001F5558">
              <w:rPr>
                <w:rFonts w:ascii="Arial" w:eastAsia="Times New Roman" w:hAnsi="Arial" w:cs="Arial"/>
                <w:sz w:val="20"/>
                <w:szCs w:val="20"/>
              </w:rPr>
              <w:t>Finerenone</w:t>
            </w:r>
            <w:proofErr w:type="spellEnd"/>
            <w:r w:rsidRPr="001F5558">
              <w:rPr>
                <w:rFonts w:ascii="Arial" w:eastAsia="Times New Roman" w:hAnsi="Arial" w:cs="Arial"/>
                <w:sz w:val="20"/>
                <w:szCs w:val="20"/>
              </w:rPr>
              <w:t xml:space="preserve"> </w:t>
            </w:r>
          </w:p>
        </w:tc>
        <w:tc>
          <w:tcPr>
            <w:tcW w:w="1560" w:type="dxa"/>
          </w:tcPr>
          <w:p w14:paraId="547B328F" w14:textId="77777777" w:rsidR="00FA0E44" w:rsidRPr="001F5558" w:rsidRDefault="00FA0E44" w:rsidP="00223F96">
            <w:pPr>
              <w:rPr>
                <w:rFonts w:ascii="Arial" w:eastAsia="Times New Roman" w:hAnsi="Arial" w:cs="Arial"/>
                <w:sz w:val="20"/>
                <w:szCs w:val="20"/>
              </w:rPr>
            </w:pPr>
            <w:r w:rsidRPr="001F5558">
              <w:rPr>
                <w:rFonts w:ascii="Arial" w:eastAsia="Times New Roman" w:hAnsi="Arial" w:cs="Arial"/>
                <w:sz w:val="20"/>
                <w:szCs w:val="20"/>
              </w:rPr>
              <w:t>20-40</w:t>
            </w:r>
          </w:p>
        </w:tc>
        <w:tc>
          <w:tcPr>
            <w:tcW w:w="1275" w:type="dxa"/>
          </w:tcPr>
          <w:p w14:paraId="154F79CF" w14:textId="77777777" w:rsidR="00FA0E44" w:rsidRPr="001F5558" w:rsidRDefault="00FA0E44" w:rsidP="00223F96">
            <w:pPr>
              <w:rPr>
                <w:rFonts w:ascii="Arial" w:eastAsia="Times New Roman" w:hAnsi="Arial" w:cs="Arial"/>
                <w:sz w:val="20"/>
                <w:szCs w:val="20"/>
              </w:rPr>
            </w:pPr>
            <w:r w:rsidRPr="001F5558">
              <w:rPr>
                <w:rFonts w:ascii="Arial" w:eastAsia="Times New Roman" w:hAnsi="Arial" w:cs="Arial"/>
                <w:sz w:val="20"/>
                <w:szCs w:val="20"/>
              </w:rPr>
              <w:t>1</w:t>
            </w:r>
          </w:p>
        </w:tc>
      </w:tr>
    </w:tbl>
    <w:p w14:paraId="50727F18" w14:textId="77777777" w:rsidR="00FA0E44" w:rsidRPr="001F5558" w:rsidRDefault="00FA0E44" w:rsidP="00257B59">
      <w:pPr>
        <w:spacing w:after="0" w:line="240" w:lineRule="auto"/>
        <w:jc w:val="both"/>
        <w:rPr>
          <w:rFonts w:ascii="Arial" w:eastAsia="Times New Roman" w:hAnsi="Arial" w:cs="Arial"/>
          <w:b/>
          <w:bCs/>
          <w:sz w:val="20"/>
          <w:szCs w:val="20"/>
        </w:rPr>
      </w:pPr>
    </w:p>
    <w:p w14:paraId="611A64D4" w14:textId="35E56FB4" w:rsidR="00FC3E06" w:rsidRPr="001F5558" w:rsidRDefault="00FC3E06" w:rsidP="00257B59">
      <w:pPr>
        <w:spacing w:after="0" w:line="240" w:lineRule="auto"/>
        <w:jc w:val="both"/>
        <w:rPr>
          <w:rFonts w:ascii="Arial" w:eastAsia="Times New Roman" w:hAnsi="Arial" w:cs="Arial"/>
        </w:rPr>
      </w:pPr>
      <w:r w:rsidRPr="001F5558">
        <w:rPr>
          <w:rFonts w:ascii="Arial" w:eastAsia="Times New Roman" w:hAnsi="Arial" w:cs="Arial"/>
          <w:b/>
          <w:bCs/>
        </w:rPr>
        <w:t>3.3. Calcium channel blockers (CCBs)</w:t>
      </w:r>
    </w:p>
    <w:p w14:paraId="641F37D3" w14:textId="77777777" w:rsidR="0081414C" w:rsidRPr="001F5558" w:rsidRDefault="0081414C" w:rsidP="00257B59">
      <w:pPr>
        <w:spacing w:after="0" w:line="240" w:lineRule="auto"/>
        <w:jc w:val="both"/>
        <w:rPr>
          <w:rFonts w:ascii="Arial" w:eastAsia="Times New Roman" w:hAnsi="Arial" w:cs="Arial"/>
          <w:sz w:val="20"/>
          <w:szCs w:val="20"/>
        </w:rPr>
      </w:pPr>
    </w:p>
    <w:p w14:paraId="72086C4B" w14:textId="2D3798D4" w:rsidR="003019F9" w:rsidRPr="001F5558" w:rsidRDefault="00A57158" w:rsidP="00257B59">
      <w:pPr>
        <w:spacing w:after="0" w:line="240" w:lineRule="auto"/>
        <w:jc w:val="both"/>
        <w:rPr>
          <w:rFonts w:ascii="Arial" w:eastAsia="Times New Roman" w:hAnsi="Arial" w:cs="Arial"/>
          <w:sz w:val="20"/>
          <w:szCs w:val="20"/>
        </w:rPr>
      </w:pPr>
      <w:r w:rsidRPr="001F5558">
        <w:rPr>
          <w:rFonts w:ascii="Arial" w:eastAsia="Times New Roman" w:hAnsi="Arial" w:cs="Arial"/>
          <w:sz w:val="20"/>
          <w:szCs w:val="20"/>
        </w:rPr>
        <w:t xml:space="preserve">Calcium channel blockers (CCBs) are used to </w:t>
      </w:r>
      <w:r w:rsidR="00C95D94" w:rsidRPr="001F5558">
        <w:rPr>
          <w:rFonts w:ascii="Arial" w:eastAsia="Times New Roman" w:hAnsi="Arial" w:cs="Arial"/>
          <w:sz w:val="20"/>
          <w:szCs w:val="20"/>
        </w:rPr>
        <w:t>treat</w:t>
      </w:r>
      <w:r w:rsidR="002D09E9" w:rsidRPr="001F5558">
        <w:rPr>
          <w:rFonts w:ascii="Arial" w:eastAsia="Times New Roman" w:hAnsi="Arial" w:cs="Arial"/>
          <w:sz w:val="20"/>
          <w:szCs w:val="20"/>
        </w:rPr>
        <w:t xml:space="preserve"> HTN</w:t>
      </w:r>
      <w:r w:rsidRPr="001F5558">
        <w:rPr>
          <w:rFonts w:ascii="Arial" w:eastAsia="Times New Roman" w:hAnsi="Arial" w:cs="Arial"/>
          <w:sz w:val="20"/>
          <w:szCs w:val="20"/>
        </w:rPr>
        <w:t xml:space="preserve">, </w:t>
      </w:r>
      <w:r w:rsidR="002D09E9" w:rsidRPr="001F5558">
        <w:rPr>
          <w:rFonts w:ascii="Arial" w:eastAsia="Times New Roman" w:hAnsi="Arial" w:cs="Arial"/>
          <w:sz w:val="20"/>
          <w:szCs w:val="20"/>
        </w:rPr>
        <w:t>CAD</w:t>
      </w:r>
      <w:r w:rsidRPr="001F5558">
        <w:rPr>
          <w:rFonts w:ascii="Arial" w:eastAsia="Times New Roman" w:hAnsi="Arial" w:cs="Arial"/>
          <w:sz w:val="20"/>
          <w:szCs w:val="20"/>
        </w:rPr>
        <w:t xml:space="preserve">, and CKD. They lower blood pressure by dilating blood vessels and are </w:t>
      </w:r>
      <w:r w:rsidR="00C95D94" w:rsidRPr="001F5558">
        <w:rPr>
          <w:rFonts w:ascii="Arial" w:eastAsia="Times New Roman" w:hAnsi="Arial" w:cs="Arial"/>
          <w:sz w:val="20"/>
          <w:szCs w:val="20"/>
        </w:rPr>
        <w:t xml:space="preserve">first-line antihypertensive agents </w:t>
      </w:r>
      <w:r w:rsidRPr="001F5558">
        <w:rPr>
          <w:rFonts w:ascii="Arial" w:eastAsia="Times New Roman" w:hAnsi="Arial" w:cs="Arial"/>
          <w:sz w:val="20"/>
          <w:szCs w:val="20"/>
        </w:rPr>
        <w:t xml:space="preserve">in CKD patients, especially when </w:t>
      </w:r>
      <w:r w:rsidR="002D09E9" w:rsidRPr="001F5558">
        <w:rPr>
          <w:rFonts w:ascii="Arial" w:eastAsia="Times New Roman" w:hAnsi="Arial" w:cs="Arial"/>
          <w:sz w:val="20"/>
          <w:szCs w:val="20"/>
        </w:rPr>
        <w:t xml:space="preserve">hyperkalemia, </w:t>
      </w:r>
      <w:r w:rsidRPr="001F5558">
        <w:rPr>
          <w:rFonts w:ascii="Arial" w:eastAsia="Times New Roman" w:hAnsi="Arial" w:cs="Arial"/>
          <w:sz w:val="20"/>
          <w:szCs w:val="20"/>
        </w:rPr>
        <w:t>ACE</w:t>
      </w:r>
      <w:r w:rsidR="002D09E9" w:rsidRPr="001F5558">
        <w:rPr>
          <w:rFonts w:ascii="Arial" w:eastAsia="Times New Roman" w:hAnsi="Arial" w:cs="Arial"/>
          <w:sz w:val="20"/>
          <w:szCs w:val="20"/>
        </w:rPr>
        <w:t xml:space="preserve">-I, </w:t>
      </w:r>
      <w:r w:rsidRPr="001F5558">
        <w:rPr>
          <w:rFonts w:ascii="Arial" w:eastAsia="Times New Roman" w:hAnsi="Arial" w:cs="Arial"/>
          <w:sz w:val="20"/>
          <w:szCs w:val="20"/>
        </w:rPr>
        <w:t xml:space="preserve">or ARBs are contraindicated. CCBs </w:t>
      </w:r>
      <w:r w:rsidR="00C95D94" w:rsidRPr="001F5558">
        <w:rPr>
          <w:rFonts w:ascii="Arial" w:eastAsia="Times New Roman" w:hAnsi="Arial" w:cs="Arial"/>
          <w:sz w:val="20"/>
          <w:szCs w:val="20"/>
        </w:rPr>
        <w:t xml:space="preserve">presumably </w:t>
      </w:r>
      <w:r w:rsidRPr="001F5558">
        <w:rPr>
          <w:rFonts w:ascii="Arial" w:eastAsia="Times New Roman" w:hAnsi="Arial" w:cs="Arial"/>
          <w:sz w:val="20"/>
          <w:szCs w:val="20"/>
        </w:rPr>
        <w:t xml:space="preserve">slow renal function decline in </w:t>
      </w:r>
      <w:r w:rsidR="00454E33" w:rsidRPr="001F5558">
        <w:rPr>
          <w:rFonts w:ascii="Arial" w:eastAsia="Times New Roman" w:hAnsi="Arial" w:cs="Arial"/>
          <w:sz w:val="20"/>
          <w:szCs w:val="20"/>
        </w:rPr>
        <w:t>HTN</w:t>
      </w:r>
      <w:r w:rsidRPr="001F5558">
        <w:rPr>
          <w:rFonts w:ascii="Arial" w:eastAsia="Times New Roman" w:hAnsi="Arial" w:cs="Arial"/>
          <w:sz w:val="20"/>
          <w:szCs w:val="20"/>
        </w:rPr>
        <w:t xml:space="preserve"> and are </w:t>
      </w:r>
      <w:r w:rsidR="002D09E9" w:rsidRPr="001F5558">
        <w:rPr>
          <w:rFonts w:ascii="Arial" w:eastAsia="Times New Roman" w:hAnsi="Arial" w:cs="Arial"/>
          <w:sz w:val="20"/>
          <w:szCs w:val="20"/>
        </w:rPr>
        <w:t xml:space="preserve">furthermore </w:t>
      </w:r>
      <w:r w:rsidRPr="001F5558">
        <w:rPr>
          <w:rFonts w:ascii="Arial" w:eastAsia="Times New Roman" w:hAnsi="Arial" w:cs="Arial"/>
          <w:sz w:val="20"/>
          <w:szCs w:val="20"/>
        </w:rPr>
        <w:t>used in combination with RA</w:t>
      </w:r>
      <w:r w:rsidR="000837A1" w:rsidRPr="001F5558">
        <w:rPr>
          <w:rFonts w:ascii="Arial" w:eastAsia="Times New Roman" w:hAnsi="Arial" w:cs="Arial"/>
          <w:sz w:val="20"/>
          <w:szCs w:val="20"/>
        </w:rPr>
        <w:t>A</w:t>
      </w:r>
      <w:r w:rsidR="002D09E9" w:rsidRPr="001F5558">
        <w:rPr>
          <w:rFonts w:ascii="Arial" w:eastAsia="Times New Roman" w:hAnsi="Arial" w:cs="Arial"/>
          <w:sz w:val="20"/>
          <w:szCs w:val="20"/>
        </w:rPr>
        <w:t xml:space="preserve">S </w:t>
      </w:r>
      <w:r w:rsidRPr="001F5558">
        <w:rPr>
          <w:rFonts w:ascii="Arial" w:eastAsia="Times New Roman" w:hAnsi="Arial" w:cs="Arial"/>
          <w:sz w:val="20"/>
          <w:szCs w:val="20"/>
        </w:rPr>
        <w:t xml:space="preserve">inhibitors. </w:t>
      </w:r>
      <w:r w:rsidR="002D09E9" w:rsidRPr="001F5558">
        <w:rPr>
          <w:rFonts w:ascii="Arial" w:eastAsia="Times New Roman" w:hAnsi="Arial" w:cs="Arial"/>
          <w:sz w:val="20"/>
          <w:szCs w:val="20"/>
        </w:rPr>
        <w:t xml:space="preserve">CCBs </w:t>
      </w:r>
      <w:r w:rsidRPr="001F5558">
        <w:rPr>
          <w:rFonts w:ascii="Arial" w:eastAsia="Times New Roman" w:hAnsi="Arial" w:cs="Arial"/>
          <w:sz w:val="20"/>
          <w:szCs w:val="20"/>
        </w:rPr>
        <w:t>are classified into dihydropyridines and non-dihydropyridines. (</w:t>
      </w:r>
      <w:r w:rsidR="00574202" w:rsidRPr="001F5558">
        <w:rPr>
          <w:rFonts w:ascii="Arial" w:eastAsia="Times New Roman" w:hAnsi="Arial" w:cs="Arial"/>
          <w:sz w:val="20"/>
          <w:szCs w:val="20"/>
        </w:rPr>
        <w:t xml:space="preserve">Mugendi et al., 2020; </w:t>
      </w:r>
      <w:r w:rsidR="00C95D94" w:rsidRPr="001F5558">
        <w:rPr>
          <w:rFonts w:ascii="Arial" w:eastAsia="Times New Roman" w:hAnsi="Arial" w:cs="Arial"/>
          <w:sz w:val="20"/>
          <w:szCs w:val="20"/>
        </w:rPr>
        <w:t xml:space="preserve">Moore </w:t>
      </w:r>
      <w:r w:rsidR="0091777F" w:rsidRPr="001F5558">
        <w:rPr>
          <w:rFonts w:ascii="Arial" w:eastAsia="Times New Roman" w:hAnsi="Arial" w:cs="Arial"/>
          <w:sz w:val="20"/>
          <w:szCs w:val="20"/>
        </w:rPr>
        <w:t xml:space="preserve">&amp; </w:t>
      </w:r>
      <w:r w:rsidR="0091777F" w:rsidRPr="001F5558">
        <w:rPr>
          <w:rFonts w:ascii="Arial" w:hAnsi="Arial" w:cs="Arial"/>
          <w:sz w:val="20"/>
          <w:szCs w:val="20"/>
        </w:rPr>
        <w:t xml:space="preserve">Clemmer, </w:t>
      </w:r>
      <w:r w:rsidR="00C95D94" w:rsidRPr="001F5558">
        <w:rPr>
          <w:rFonts w:ascii="Arial" w:eastAsia="Times New Roman" w:hAnsi="Arial" w:cs="Arial"/>
          <w:sz w:val="20"/>
          <w:szCs w:val="20"/>
        </w:rPr>
        <w:t>2021; Ohno et al., 2022</w:t>
      </w:r>
      <w:r w:rsidRPr="001F5558">
        <w:rPr>
          <w:rFonts w:ascii="Arial" w:eastAsia="Times New Roman" w:hAnsi="Arial" w:cs="Arial"/>
          <w:sz w:val="20"/>
          <w:szCs w:val="20"/>
        </w:rPr>
        <w:t>).</w:t>
      </w:r>
      <w:r w:rsidR="00781B46" w:rsidRPr="001F5558">
        <w:rPr>
          <w:rFonts w:ascii="Arial" w:eastAsia="Times New Roman" w:hAnsi="Arial" w:cs="Arial"/>
          <w:sz w:val="20"/>
          <w:szCs w:val="20"/>
        </w:rPr>
        <w:t xml:space="preserve"> </w:t>
      </w:r>
      <w:r w:rsidR="00A0678B" w:rsidRPr="001F5558">
        <w:rPr>
          <w:rFonts w:ascii="Arial" w:eastAsia="Times New Roman" w:hAnsi="Arial" w:cs="Arial"/>
          <w:sz w:val="20"/>
          <w:szCs w:val="20"/>
        </w:rPr>
        <w:t xml:space="preserve">Dihydropyridine </w:t>
      </w:r>
      <w:r w:rsidR="00B9576A" w:rsidRPr="001F5558">
        <w:rPr>
          <w:rFonts w:ascii="Arial" w:eastAsia="Times New Roman" w:hAnsi="Arial" w:cs="Arial"/>
          <w:sz w:val="20"/>
          <w:szCs w:val="20"/>
        </w:rPr>
        <w:t>CCBs</w:t>
      </w:r>
      <w:r w:rsidR="00A0678B" w:rsidRPr="001F5558">
        <w:rPr>
          <w:rFonts w:ascii="Arial" w:eastAsia="Times New Roman" w:hAnsi="Arial" w:cs="Arial"/>
          <w:sz w:val="20"/>
          <w:szCs w:val="20"/>
        </w:rPr>
        <w:t xml:space="preserve"> (DHP-CCBs) are vascular-selective agents that </w:t>
      </w:r>
      <w:r w:rsidR="002D09E9" w:rsidRPr="001F5558">
        <w:rPr>
          <w:rFonts w:ascii="Arial" w:eastAsia="Times New Roman" w:hAnsi="Arial" w:cs="Arial"/>
          <w:sz w:val="20"/>
          <w:szCs w:val="20"/>
        </w:rPr>
        <w:t xml:space="preserve">strongly </w:t>
      </w:r>
      <w:r w:rsidR="00A0678B" w:rsidRPr="001F5558">
        <w:rPr>
          <w:rFonts w:ascii="Arial" w:eastAsia="Times New Roman" w:hAnsi="Arial" w:cs="Arial"/>
          <w:sz w:val="20"/>
          <w:szCs w:val="20"/>
        </w:rPr>
        <w:t xml:space="preserve">lower blood pressure and improve renal perfusion, and they </w:t>
      </w:r>
      <w:r w:rsidR="002D09E9" w:rsidRPr="001F5558">
        <w:rPr>
          <w:rFonts w:ascii="Arial" w:eastAsia="Times New Roman" w:hAnsi="Arial" w:cs="Arial"/>
          <w:sz w:val="20"/>
          <w:szCs w:val="20"/>
        </w:rPr>
        <w:t xml:space="preserve">decrease </w:t>
      </w:r>
      <w:r w:rsidR="00A0678B" w:rsidRPr="001F5558">
        <w:rPr>
          <w:rFonts w:ascii="Arial" w:eastAsia="Times New Roman" w:hAnsi="Arial" w:cs="Arial"/>
          <w:sz w:val="20"/>
          <w:szCs w:val="20"/>
        </w:rPr>
        <w:t>the risk of progression to advanced CKD and ESRD, especially in non-</w:t>
      </w:r>
      <w:proofErr w:type="spellStart"/>
      <w:r w:rsidR="00A0678B" w:rsidRPr="001F5558">
        <w:rPr>
          <w:rFonts w:ascii="Arial" w:eastAsia="Times New Roman" w:hAnsi="Arial" w:cs="Arial"/>
          <w:sz w:val="20"/>
          <w:szCs w:val="20"/>
        </w:rPr>
        <w:t>proteinuric</w:t>
      </w:r>
      <w:proofErr w:type="spellEnd"/>
      <w:r w:rsidR="00A0678B" w:rsidRPr="001F5558">
        <w:rPr>
          <w:rFonts w:ascii="Arial" w:eastAsia="Times New Roman" w:hAnsi="Arial" w:cs="Arial"/>
          <w:sz w:val="20"/>
          <w:szCs w:val="20"/>
        </w:rPr>
        <w:t xml:space="preserve"> and elderly diabetic patients (Lin et al., 2022; </w:t>
      </w:r>
      <w:proofErr w:type="spellStart"/>
      <w:r w:rsidR="00164CEF" w:rsidRPr="001F5558">
        <w:rPr>
          <w:rFonts w:ascii="Arial" w:eastAsia="Times New Roman" w:hAnsi="Arial" w:cs="Arial"/>
          <w:sz w:val="20"/>
          <w:szCs w:val="20"/>
        </w:rPr>
        <w:t>Georgianos</w:t>
      </w:r>
      <w:proofErr w:type="spellEnd"/>
      <w:r w:rsidR="00164CEF" w:rsidRPr="001F5558">
        <w:rPr>
          <w:rFonts w:ascii="Arial" w:eastAsia="Times New Roman" w:hAnsi="Arial" w:cs="Arial"/>
          <w:sz w:val="20"/>
          <w:szCs w:val="20"/>
        </w:rPr>
        <w:t xml:space="preserve"> </w:t>
      </w:r>
      <w:r w:rsidR="00E244F4" w:rsidRPr="001F5558">
        <w:rPr>
          <w:rFonts w:ascii="Arial" w:eastAsia="Times New Roman" w:hAnsi="Arial" w:cs="Arial"/>
          <w:sz w:val="20"/>
          <w:szCs w:val="20"/>
        </w:rPr>
        <w:t xml:space="preserve">&amp; Agarwal, </w:t>
      </w:r>
      <w:r w:rsidR="00164CEF" w:rsidRPr="001F5558">
        <w:rPr>
          <w:rFonts w:ascii="Arial" w:eastAsia="Times New Roman" w:hAnsi="Arial" w:cs="Arial"/>
          <w:sz w:val="20"/>
          <w:szCs w:val="20"/>
        </w:rPr>
        <w:t>2023</w:t>
      </w:r>
      <w:r w:rsidR="00A0678B" w:rsidRPr="001F5558">
        <w:rPr>
          <w:rFonts w:ascii="Arial" w:eastAsia="Times New Roman" w:hAnsi="Arial" w:cs="Arial"/>
          <w:sz w:val="20"/>
          <w:szCs w:val="20"/>
        </w:rPr>
        <w:t xml:space="preserve">). Even though effective, they are less beneficial than RAAS </w:t>
      </w:r>
      <w:r w:rsidR="00850F46" w:rsidRPr="001F5558">
        <w:rPr>
          <w:rFonts w:ascii="Arial" w:eastAsia="Times New Roman" w:hAnsi="Arial" w:cs="Arial"/>
          <w:sz w:val="20"/>
          <w:szCs w:val="20"/>
        </w:rPr>
        <w:t>inhibitors</w:t>
      </w:r>
      <w:r w:rsidR="00A0678B" w:rsidRPr="001F5558">
        <w:rPr>
          <w:rFonts w:ascii="Arial" w:eastAsia="Times New Roman" w:hAnsi="Arial" w:cs="Arial"/>
          <w:sz w:val="20"/>
          <w:szCs w:val="20"/>
        </w:rPr>
        <w:t xml:space="preserve"> in </w:t>
      </w:r>
      <w:proofErr w:type="spellStart"/>
      <w:r w:rsidR="00A0678B" w:rsidRPr="001F5558">
        <w:rPr>
          <w:rFonts w:ascii="Arial" w:eastAsia="Times New Roman" w:hAnsi="Arial" w:cs="Arial"/>
          <w:sz w:val="20"/>
          <w:szCs w:val="20"/>
        </w:rPr>
        <w:t>proteinuric</w:t>
      </w:r>
      <w:proofErr w:type="spellEnd"/>
      <w:r w:rsidR="00A0678B" w:rsidRPr="001F5558">
        <w:rPr>
          <w:rFonts w:ascii="Arial" w:eastAsia="Times New Roman" w:hAnsi="Arial" w:cs="Arial"/>
          <w:sz w:val="20"/>
          <w:szCs w:val="20"/>
        </w:rPr>
        <w:t xml:space="preserve"> CKD (Pugh et al., 2019). </w:t>
      </w:r>
      <w:r w:rsidR="00692FDF" w:rsidRPr="001F5558">
        <w:rPr>
          <w:rFonts w:ascii="Arial" w:eastAsia="Times New Roman" w:hAnsi="Arial" w:cs="Arial"/>
          <w:sz w:val="20"/>
          <w:szCs w:val="20"/>
        </w:rPr>
        <w:t>G</w:t>
      </w:r>
      <w:r w:rsidR="00805CA0" w:rsidRPr="001F5558">
        <w:rPr>
          <w:rFonts w:ascii="Arial" w:eastAsia="Times New Roman" w:hAnsi="Arial" w:cs="Arial"/>
          <w:sz w:val="20"/>
          <w:szCs w:val="20"/>
        </w:rPr>
        <w:t xml:space="preserve">enerally </w:t>
      </w:r>
      <w:r w:rsidR="00E91085" w:rsidRPr="001F5558">
        <w:rPr>
          <w:rFonts w:ascii="Arial" w:eastAsia="Times New Roman" w:hAnsi="Arial" w:cs="Arial"/>
          <w:sz w:val="20"/>
          <w:szCs w:val="20"/>
        </w:rPr>
        <w:lastRenderedPageBreak/>
        <w:t>used DHP-CCBs are amlodipine 5</w:t>
      </w:r>
      <w:r w:rsidR="00692FDF" w:rsidRPr="001F5558">
        <w:rPr>
          <w:rFonts w:ascii="Arial" w:eastAsia="Times New Roman" w:hAnsi="Arial" w:cs="Arial"/>
          <w:sz w:val="20"/>
          <w:szCs w:val="20"/>
        </w:rPr>
        <w:t xml:space="preserve"> </w:t>
      </w:r>
      <w:r w:rsidR="00E91085" w:rsidRPr="001F5558">
        <w:rPr>
          <w:rFonts w:ascii="Arial" w:eastAsia="Times New Roman" w:hAnsi="Arial" w:cs="Arial"/>
          <w:sz w:val="20"/>
          <w:szCs w:val="20"/>
        </w:rPr>
        <w:t>mg, nifedipine 30-60</w:t>
      </w:r>
      <w:r w:rsidR="00692FDF" w:rsidRPr="001F5558">
        <w:rPr>
          <w:rFonts w:ascii="Arial" w:eastAsia="Times New Roman" w:hAnsi="Arial" w:cs="Arial"/>
          <w:sz w:val="20"/>
          <w:szCs w:val="20"/>
        </w:rPr>
        <w:t xml:space="preserve"> </w:t>
      </w:r>
      <w:r w:rsidR="00E91085" w:rsidRPr="001F5558">
        <w:rPr>
          <w:rFonts w:ascii="Arial" w:eastAsia="Times New Roman" w:hAnsi="Arial" w:cs="Arial"/>
          <w:sz w:val="20"/>
          <w:szCs w:val="20"/>
        </w:rPr>
        <w:t>mg</w:t>
      </w:r>
      <w:r w:rsidR="00805CA0" w:rsidRPr="001F5558">
        <w:rPr>
          <w:rFonts w:ascii="Arial" w:eastAsia="Times New Roman" w:hAnsi="Arial" w:cs="Arial"/>
          <w:sz w:val="20"/>
          <w:szCs w:val="20"/>
        </w:rPr>
        <w:t xml:space="preserve">, </w:t>
      </w:r>
      <w:r w:rsidR="00E91085" w:rsidRPr="001F5558">
        <w:rPr>
          <w:rFonts w:ascii="Arial" w:eastAsia="Times New Roman" w:hAnsi="Arial" w:cs="Arial"/>
          <w:sz w:val="20"/>
          <w:szCs w:val="20"/>
        </w:rPr>
        <w:t>nicardipine 20 to 40</w:t>
      </w:r>
      <w:r w:rsidR="00692FDF" w:rsidRPr="001F5558">
        <w:rPr>
          <w:rFonts w:ascii="Arial" w:eastAsia="Times New Roman" w:hAnsi="Arial" w:cs="Arial"/>
          <w:sz w:val="20"/>
          <w:szCs w:val="20"/>
        </w:rPr>
        <w:t xml:space="preserve"> </w:t>
      </w:r>
      <w:r w:rsidR="00E91085" w:rsidRPr="001F5558">
        <w:rPr>
          <w:rFonts w:ascii="Arial" w:eastAsia="Times New Roman" w:hAnsi="Arial" w:cs="Arial"/>
          <w:sz w:val="20"/>
          <w:szCs w:val="20"/>
        </w:rPr>
        <w:t xml:space="preserve">mg </w:t>
      </w:r>
      <w:r w:rsidR="00A0678B" w:rsidRPr="001F5558">
        <w:rPr>
          <w:rFonts w:ascii="Arial" w:eastAsia="Times New Roman" w:hAnsi="Arial" w:cs="Arial"/>
          <w:sz w:val="20"/>
          <w:szCs w:val="20"/>
        </w:rPr>
        <w:t>(</w:t>
      </w:r>
      <w:r w:rsidR="00D30FCD" w:rsidRPr="001F5558">
        <w:rPr>
          <w:rFonts w:ascii="Arial" w:eastAsia="Times New Roman" w:hAnsi="Arial" w:cs="Arial"/>
          <w:sz w:val="20"/>
          <w:szCs w:val="20"/>
        </w:rPr>
        <w:t xml:space="preserve">Ohno et al., 2022; </w:t>
      </w:r>
      <w:r w:rsidR="00112987" w:rsidRPr="001F5558">
        <w:rPr>
          <w:rFonts w:ascii="Arial" w:eastAsia="Times New Roman" w:hAnsi="Arial" w:cs="Arial"/>
          <w:sz w:val="20"/>
          <w:szCs w:val="20"/>
        </w:rPr>
        <w:t xml:space="preserve">Zhao et al., 2023; </w:t>
      </w:r>
      <w:r w:rsidR="00B71D8F" w:rsidRPr="001F5558">
        <w:rPr>
          <w:rFonts w:ascii="Arial" w:eastAsia="Times New Roman" w:hAnsi="Arial" w:cs="Arial"/>
          <w:sz w:val="20"/>
          <w:szCs w:val="20"/>
        </w:rPr>
        <w:t>Schmieder, 2025</w:t>
      </w:r>
      <w:r w:rsidR="00A0678B" w:rsidRPr="001F5558">
        <w:rPr>
          <w:rFonts w:ascii="Arial" w:eastAsia="Times New Roman" w:hAnsi="Arial" w:cs="Arial"/>
          <w:sz w:val="20"/>
          <w:szCs w:val="20"/>
        </w:rPr>
        <w:t>).</w:t>
      </w:r>
      <w:r w:rsidR="00B22310" w:rsidRPr="001F5558">
        <w:rPr>
          <w:rFonts w:ascii="Arial" w:eastAsia="Times New Roman" w:hAnsi="Arial" w:cs="Arial"/>
          <w:sz w:val="20"/>
          <w:szCs w:val="20"/>
        </w:rPr>
        <w:t xml:space="preserve"> </w:t>
      </w:r>
      <w:r w:rsidR="003019F9" w:rsidRPr="001F5558">
        <w:rPr>
          <w:rFonts w:ascii="Arial" w:eastAsia="Times New Roman" w:hAnsi="Arial" w:cs="Arial"/>
          <w:sz w:val="20"/>
          <w:szCs w:val="20"/>
        </w:rPr>
        <w:t xml:space="preserve">Non-dihydropyridine </w:t>
      </w:r>
      <w:r w:rsidR="00B9576A" w:rsidRPr="001F5558">
        <w:rPr>
          <w:rFonts w:ascii="Arial" w:eastAsia="Times New Roman" w:hAnsi="Arial" w:cs="Arial"/>
          <w:sz w:val="20"/>
          <w:szCs w:val="20"/>
        </w:rPr>
        <w:t xml:space="preserve">CCBs </w:t>
      </w:r>
      <w:r w:rsidR="003019F9" w:rsidRPr="001F5558">
        <w:rPr>
          <w:rFonts w:ascii="Arial" w:eastAsia="Times New Roman" w:hAnsi="Arial" w:cs="Arial"/>
          <w:sz w:val="20"/>
          <w:szCs w:val="20"/>
        </w:rPr>
        <w:t>(</w:t>
      </w:r>
      <w:r w:rsidR="002525EE" w:rsidRPr="001F5558">
        <w:rPr>
          <w:rFonts w:ascii="Arial" w:eastAsia="Times New Roman" w:hAnsi="Arial" w:cs="Arial"/>
          <w:sz w:val="20"/>
          <w:szCs w:val="20"/>
        </w:rPr>
        <w:t>non-DHP CCBs</w:t>
      </w:r>
      <w:r w:rsidR="003019F9" w:rsidRPr="001F5558">
        <w:rPr>
          <w:rFonts w:ascii="Arial" w:eastAsia="Times New Roman" w:hAnsi="Arial" w:cs="Arial"/>
          <w:sz w:val="20"/>
          <w:szCs w:val="20"/>
        </w:rPr>
        <w:t>) are effective in reducing proteinuria in both diabetic and non-diabetic kidney disease and can be used alone or with ACE inhibitors or ARBs (Steuber et al., 2019</w:t>
      </w:r>
      <w:r w:rsidR="00D30FCD" w:rsidRPr="001F5558">
        <w:rPr>
          <w:rFonts w:ascii="Arial" w:eastAsia="Times New Roman" w:hAnsi="Arial" w:cs="Arial"/>
          <w:sz w:val="20"/>
          <w:szCs w:val="20"/>
        </w:rPr>
        <w:t>; Lido et al., 2025</w:t>
      </w:r>
      <w:r w:rsidR="003019F9" w:rsidRPr="001F5558">
        <w:rPr>
          <w:rFonts w:ascii="Arial" w:eastAsia="Times New Roman" w:hAnsi="Arial" w:cs="Arial"/>
          <w:sz w:val="20"/>
          <w:szCs w:val="20"/>
        </w:rPr>
        <w:t>).</w:t>
      </w:r>
      <w:r w:rsidR="00B22310" w:rsidRPr="001F5558">
        <w:rPr>
          <w:rFonts w:ascii="Arial" w:eastAsia="Times New Roman" w:hAnsi="Arial" w:cs="Arial"/>
          <w:sz w:val="20"/>
          <w:szCs w:val="20"/>
        </w:rPr>
        <w:t xml:space="preserve"> </w:t>
      </w:r>
      <w:r w:rsidR="004C0670" w:rsidRPr="001F5558">
        <w:rPr>
          <w:rFonts w:ascii="Arial" w:eastAsia="Times New Roman" w:hAnsi="Arial" w:cs="Arial"/>
          <w:sz w:val="20"/>
          <w:szCs w:val="20"/>
        </w:rPr>
        <w:t xml:space="preserve">Non-DHP CCBs </w:t>
      </w:r>
      <w:r w:rsidR="003019F9" w:rsidRPr="001F5558">
        <w:rPr>
          <w:rFonts w:ascii="Arial" w:eastAsia="Times New Roman" w:hAnsi="Arial" w:cs="Arial"/>
          <w:sz w:val="20"/>
          <w:szCs w:val="20"/>
        </w:rPr>
        <w:t xml:space="preserve">have been suggested as a treatment option for patients with </w:t>
      </w:r>
      <w:r w:rsidR="00454E33" w:rsidRPr="001F5558">
        <w:rPr>
          <w:rFonts w:ascii="Arial" w:eastAsia="Times New Roman" w:hAnsi="Arial" w:cs="Arial"/>
          <w:sz w:val="20"/>
          <w:szCs w:val="20"/>
        </w:rPr>
        <w:t>HTN</w:t>
      </w:r>
      <w:r w:rsidR="003019F9" w:rsidRPr="001F5558">
        <w:rPr>
          <w:rFonts w:ascii="Arial" w:eastAsia="Times New Roman" w:hAnsi="Arial" w:cs="Arial"/>
          <w:sz w:val="20"/>
          <w:szCs w:val="20"/>
        </w:rPr>
        <w:t xml:space="preserve"> (</w:t>
      </w:r>
      <w:r w:rsidR="00574202" w:rsidRPr="001F5558">
        <w:rPr>
          <w:rFonts w:ascii="Arial" w:eastAsia="Times New Roman" w:hAnsi="Arial" w:cs="Arial"/>
          <w:sz w:val="20"/>
          <w:szCs w:val="20"/>
        </w:rPr>
        <w:t>Mugendi et al., 2020</w:t>
      </w:r>
      <w:r w:rsidR="003019F9" w:rsidRPr="001F5558">
        <w:rPr>
          <w:rFonts w:ascii="Arial" w:eastAsia="Times New Roman" w:hAnsi="Arial" w:cs="Arial"/>
          <w:sz w:val="20"/>
          <w:szCs w:val="20"/>
        </w:rPr>
        <w:t xml:space="preserve">). </w:t>
      </w:r>
      <w:proofErr w:type="spellStart"/>
      <w:r w:rsidR="00ED16F6" w:rsidRPr="001F5558">
        <w:rPr>
          <w:rFonts w:ascii="Arial" w:eastAsia="Times New Roman" w:hAnsi="Arial" w:cs="Arial"/>
          <w:sz w:val="20"/>
          <w:szCs w:val="20"/>
        </w:rPr>
        <w:t>Nondihydropyridine</w:t>
      </w:r>
      <w:proofErr w:type="spellEnd"/>
      <w:r w:rsidR="00ED16F6" w:rsidRPr="001F5558">
        <w:rPr>
          <w:rFonts w:ascii="Arial" w:eastAsia="Times New Roman" w:hAnsi="Arial" w:cs="Arial"/>
          <w:sz w:val="20"/>
          <w:szCs w:val="20"/>
        </w:rPr>
        <w:t xml:space="preserve"> </w:t>
      </w:r>
      <w:r w:rsidR="003019F9" w:rsidRPr="001F5558">
        <w:rPr>
          <w:rFonts w:ascii="Arial" w:eastAsia="Times New Roman" w:hAnsi="Arial" w:cs="Arial"/>
          <w:sz w:val="20"/>
          <w:szCs w:val="20"/>
        </w:rPr>
        <w:t>CCBs significantly reduce proteinuria, whereas dihydropyridine CCBs do not</w:t>
      </w:r>
      <w:r w:rsidR="00B22310" w:rsidRPr="001F5558">
        <w:rPr>
          <w:rFonts w:ascii="Arial" w:eastAsia="Times New Roman" w:hAnsi="Arial" w:cs="Arial"/>
          <w:sz w:val="20"/>
          <w:szCs w:val="20"/>
        </w:rPr>
        <w:t>,</w:t>
      </w:r>
      <w:r w:rsidR="003019F9" w:rsidRPr="001F5558">
        <w:rPr>
          <w:rFonts w:ascii="Arial" w:eastAsia="Times New Roman" w:hAnsi="Arial" w:cs="Arial"/>
          <w:sz w:val="20"/>
          <w:szCs w:val="20"/>
        </w:rPr>
        <w:t xml:space="preserve"> </w:t>
      </w:r>
      <w:r w:rsidR="00B22310" w:rsidRPr="001F5558">
        <w:rPr>
          <w:rFonts w:ascii="Arial" w:eastAsia="Times New Roman" w:hAnsi="Arial" w:cs="Arial"/>
          <w:sz w:val="20"/>
          <w:szCs w:val="20"/>
        </w:rPr>
        <w:t xml:space="preserve">and </w:t>
      </w:r>
      <w:r w:rsidR="00ED16F6" w:rsidRPr="001F5558">
        <w:rPr>
          <w:rFonts w:ascii="Arial" w:eastAsia="Times New Roman" w:hAnsi="Arial" w:cs="Arial"/>
          <w:sz w:val="20"/>
          <w:szCs w:val="20"/>
        </w:rPr>
        <w:t xml:space="preserve">generally </w:t>
      </w:r>
      <w:r w:rsidR="00B22310" w:rsidRPr="001F5558">
        <w:rPr>
          <w:rFonts w:ascii="Arial" w:eastAsia="Times New Roman" w:hAnsi="Arial" w:cs="Arial"/>
          <w:sz w:val="20"/>
          <w:szCs w:val="20"/>
        </w:rPr>
        <w:t>used non-DHP CCBs are diltiazem initial dose</w:t>
      </w:r>
      <w:r w:rsidR="00B11315" w:rsidRPr="001F5558">
        <w:rPr>
          <w:rFonts w:ascii="Arial" w:eastAsia="Times New Roman" w:hAnsi="Arial" w:cs="Arial"/>
          <w:sz w:val="20"/>
          <w:szCs w:val="20"/>
        </w:rPr>
        <w:t xml:space="preserve"> of</w:t>
      </w:r>
      <w:r w:rsidR="00B22310" w:rsidRPr="001F5558">
        <w:rPr>
          <w:rFonts w:ascii="Arial" w:eastAsia="Times New Roman" w:hAnsi="Arial" w:cs="Arial"/>
          <w:sz w:val="20"/>
          <w:szCs w:val="20"/>
        </w:rPr>
        <w:t xml:space="preserve"> 180 to 240 mg (max: 540 mg) once daily and verapamil</w:t>
      </w:r>
      <w:r w:rsidR="00B11315" w:rsidRPr="001F5558">
        <w:rPr>
          <w:rFonts w:ascii="Arial" w:eastAsia="Times New Roman" w:hAnsi="Arial" w:cs="Arial"/>
          <w:sz w:val="20"/>
          <w:szCs w:val="20"/>
        </w:rPr>
        <w:t>,</w:t>
      </w:r>
      <w:r w:rsidR="00B22310" w:rsidRPr="001F5558">
        <w:rPr>
          <w:rFonts w:ascii="Arial" w:eastAsia="Times New Roman" w:hAnsi="Arial" w:cs="Arial"/>
          <w:sz w:val="20"/>
          <w:szCs w:val="20"/>
        </w:rPr>
        <w:t xml:space="preserve"> 40 mg TID </w:t>
      </w:r>
      <w:r w:rsidR="003019F9" w:rsidRPr="001F5558">
        <w:rPr>
          <w:rFonts w:ascii="Arial" w:eastAsia="Times New Roman" w:hAnsi="Arial" w:cs="Arial"/>
          <w:sz w:val="20"/>
          <w:szCs w:val="20"/>
        </w:rPr>
        <w:t>(</w:t>
      </w:r>
      <w:r w:rsidR="00574202" w:rsidRPr="001F5558">
        <w:rPr>
          <w:rFonts w:ascii="Arial" w:eastAsia="Times New Roman" w:hAnsi="Arial" w:cs="Arial"/>
          <w:sz w:val="20"/>
          <w:szCs w:val="20"/>
        </w:rPr>
        <w:t>Mugendi et al., 202</w:t>
      </w:r>
      <w:r w:rsidR="00E244F4" w:rsidRPr="001F5558">
        <w:rPr>
          <w:rFonts w:ascii="Arial" w:eastAsia="Times New Roman" w:hAnsi="Arial" w:cs="Arial"/>
          <w:sz w:val="20"/>
          <w:szCs w:val="20"/>
        </w:rPr>
        <w:t>0</w:t>
      </w:r>
      <w:r w:rsidR="00574202" w:rsidRPr="001F5558">
        <w:rPr>
          <w:rFonts w:ascii="Arial" w:eastAsia="Times New Roman" w:hAnsi="Arial" w:cs="Arial"/>
          <w:sz w:val="20"/>
          <w:szCs w:val="20"/>
        </w:rPr>
        <w:t xml:space="preserve">; </w:t>
      </w:r>
      <w:r w:rsidR="00D30FCD" w:rsidRPr="001F5558">
        <w:rPr>
          <w:rFonts w:ascii="Arial" w:eastAsia="Times New Roman" w:hAnsi="Arial" w:cs="Arial"/>
          <w:sz w:val="20"/>
          <w:szCs w:val="20"/>
        </w:rPr>
        <w:t>Lido et al., 2025</w:t>
      </w:r>
      <w:r w:rsidR="00B71D8F" w:rsidRPr="001F5558">
        <w:rPr>
          <w:rFonts w:ascii="Arial" w:eastAsia="Times New Roman" w:hAnsi="Arial" w:cs="Arial"/>
          <w:sz w:val="20"/>
          <w:szCs w:val="20"/>
        </w:rPr>
        <w:t>; Schmieder, 2025</w:t>
      </w:r>
      <w:r w:rsidR="00B22310" w:rsidRPr="001F5558">
        <w:rPr>
          <w:rFonts w:ascii="Arial" w:eastAsia="Times New Roman" w:hAnsi="Arial" w:cs="Arial"/>
          <w:sz w:val="20"/>
          <w:szCs w:val="20"/>
        </w:rPr>
        <w:t xml:space="preserve">) </w:t>
      </w:r>
      <w:r w:rsidR="00D437CE" w:rsidRPr="001F5558">
        <w:rPr>
          <w:rFonts w:ascii="Arial" w:eastAsia="Times New Roman" w:hAnsi="Arial" w:cs="Arial"/>
          <w:sz w:val="20"/>
          <w:szCs w:val="20"/>
        </w:rPr>
        <w:t>(</w:t>
      </w:r>
      <w:r w:rsidR="0081414C" w:rsidRPr="001F5558">
        <w:rPr>
          <w:rFonts w:ascii="Arial" w:eastAsia="Times New Roman" w:hAnsi="Arial" w:cs="Arial"/>
          <w:sz w:val="20"/>
          <w:szCs w:val="20"/>
        </w:rPr>
        <w:t>Tables</w:t>
      </w:r>
      <w:r w:rsidR="00D437CE" w:rsidRPr="001F5558">
        <w:rPr>
          <w:rFonts w:ascii="Arial" w:eastAsia="Times New Roman" w:hAnsi="Arial" w:cs="Arial"/>
          <w:sz w:val="20"/>
          <w:szCs w:val="20"/>
        </w:rPr>
        <w:t xml:space="preserve"> </w:t>
      </w:r>
      <w:r w:rsidR="00A713B1" w:rsidRPr="001F5558">
        <w:rPr>
          <w:rFonts w:ascii="Arial" w:eastAsia="Times New Roman" w:hAnsi="Arial" w:cs="Arial"/>
          <w:sz w:val="20"/>
          <w:szCs w:val="20"/>
        </w:rPr>
        <w:t>4 &amp; 7</w:t>
      </w:r>
      <w:r w:rsidR="00D437CE" w:rsidRPr="001F5558">
        <w:rPr>
          <w:rFonts w:ascii="Arial" w:eastAsia="Times New Roman" w:hAnsi="Arial" w:cs="Arial"/>
          <w:sz w:val="20"/>
          <w:szCs w:val="20"/>
        </w:rPr>
        <w:t>)</w:t>
      </w:r>
      <w:r w:rsidR="0081414C" w:rsidRPr="001F5558">
        <w:rPr>
          <w:rFonts w:ascii="Arial" w:eastAsia="Times New Roman" w:hAnsi="Arial" w:cs="Arial"/>
          <w:sz w:val="20"/>
          <w:szCs w:val="20"/>
        </w:rPr>
        <w:t>.</w:t>
      </w:r>
    </w:p>
    <w:p w14:paraId="11D56F3F" w14:textId="77777777" w:rsidR="0081414C" w:rsidRPr="001F5558" w:rsidRDefault="0081414C" w:rsidP="00257B59">
      <w:pPr>
        <w:spacing w:after="0" w:line="240" w:lineRule="auto"/>
        <w:jc w:val="both"/>
        <w:rPr>
          <w:rFonts w:ascii="Arial" w:eastAsia="Times New Roman" w:hAnsi="Arial" w:cs="Arial"/>
          <w:b/>
          <w:bCs/>
          <w:sz w:val="20"/>
          <w:szCs w:val="20"/>
        </w:rPr>
      </w:pPr>
    </w:p>
    <w:p w14:paraId="3CAA67B5" w14:textId="5E3205CA" w:rsidR="008C3EE3" w:rsidRPr="001F5558" w:rsidRDefault="008C3EE3" w:rsidP="00257B59">
      <w:pPr>
        <w:spacing w:after="0" w:line="240" w:lineRule="auto"/>
        <w:jc w:val="both"/>
        <w:rPr>
          <w:rFonts w:ascii="Arial" w:hAnsi="Arial" w:cs="Arial"/>
          <w:sz w:val="20"/>
          <w:szCs w:val="20"/>
        </w:rPr>
      </w:pPr>
      <w:r w:rsidRPr="001F5558">
        <w:rPr>
          <w:rFonts w:ascii="Arial" w:eastAsia="Times New Roman" w:hAnsi="Arial" w:cs="Arial"/>
          <w:b/>
          <w:bCs/>
          <w:sz w:val="20"/>
          <w:szCs w:val="20"/>
        </w:rPr>
        <w:t xml:space="preserve">Table </w:t>
      </w:r>
      <w:r w:rsidR="00D437CE" w:rsidRPr="001F5558">
        <w:rPr>
          <w:rFonts w:ascii="Arial" w:eastAsia="Times New Roman" w:hAnsi="Arial" w:cs="Arial"/>
          <w:b/>
          <w:bCs/>
          <w:sz w:val="20"/>
          <w:szCs w:val="20"/>
        </w:rPr>
        <w:t>7</w:t>
      </w:r>
      <w:r w:rsidRPr="001F5558">
        <w:rPr>
          <w:rFonts w:ascii="Arial" w:eastAsia="Times New Roman" w:hAnsi="Arial" w:cs="Arial"/>
          <w:b/>
          <w:bCs/>
          <w:sz w:val="20"/>
          <w:szCs w:val="20"/>
        </w:rPr>
        <w:t xml:space="preserve">. </w:t>
      </w:r>
      <w:r w:rsidRPr="001F5558">
        <w:rPr>
          <w:rFonts w:ascii="Arial" w:hAnsi="Arial" w:cs="Arial"/>
          <w:b/>
          <w:bCs/>
          <w:sz w:val="20"/>
          <w:szCs w:val="20"/>
        </w:rPr>
        <w:t xml:space="preserve">Dose range for diuretics </w:t>
      </w:r>
      <w:r w:rsidR="001A7395" w:rsidRPr="001F5558">
        <w:rPr>
          <w:rFonts w:ascii="Arial" w:hAnsi="Arial" w:cs="Arial"/>
          <w:b/>
          <w:bCs/>
          <w:sz w:val="20"/>
          <w:szCs w:val="20"/>
        </w:rPr>
        <w:t xml:space="preserve">for the treatment of hypertension </w:t>
      </w:r>
      <w:r w:rsidRPr="001F5558">
        <w:rPr>
          <w:rFonts w:ascii="Arial" w:hAnsi="Arial" w:cs="Arial"/>
          <w:sz w:val="20"/>
          <w:szCs w:val="20"/>
        </w:rPr>
        <w:t>(</w:t>
      </w:r>
      <w:proofErr w:type="spellStart"/>
      <w:r w:rsidR="00E244F4" w:rsidRPr="001F5558">
        <w:rPr>
          <w:rFonts w:ascii="Arial" w:hAnsi="Arial" w:cs="Arial"/>
          <w:sz w:val="20"/>
          <w:szCs w:val="20"/>
        </w:rPr>
        <w:t>Theodorakopoulou</w:t>
      </w:r>
      <w:proofErr w:type="spellEnd"/>
      <w:r w:rsidR="00E244F4" w:rsidRPr="001F5558">
        <w:rPr>
          <w:rFonts w:ascii="Arial" w:hAnsi="Arial" w:cs="Arial"/>
          <w:sz w:val="20"/>
          <w:szCs w:val="20"/>
        </w:rPr>
        <w:t> et al., 2024; Hobbs, 2025; PDR 2026</w:t>
      </w:r>
      <w:r w:rsidRPr="001F5558">
        <w:rPr>
          <w:rFonts w:ascii="Arial" w:hAnsi="Arial" w:cs="Arial"/>
          <w:sz w:val="20"/>
          <w:szCs w:val="20"/>
        </w:rPr>
        <w:t>)</w:t>
      </w:r>
    </w:p>
    <w:p w14:paraId="257108F4" w14:textId="77777777" w:rsidR="00867BC5" w:rsidRPr="001F5558" w:rsidRDefault="00867BC5" w:rsidP="00257B59">
      <w:pPr>
        <w:spacing w:after="0" w:line="240" w:lineRule="auto"/>
        <w:jc w:val="both"/>
        <w:rPr>
          <w:rFonts w:ascii="Arial" w:hAnsi="Arial" w:cs="Arial"/>
          <w:b/>
          <w:bCs/>
          <w:sz w:val="20"/>
          <w:szCs w:val="20"/>
        </w:rPr>
      </w:pPr>
    </w:p>
    <w:tbl>
      <w:tblPr>
        <w:tblStyle w:val="TableGrid"/>
        <w:tblW w:w="0" w:type="auto"/>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1701"/>
        <w:gridCol w:w="1228"/>
      </w:tblGrid>
      <w:tr w:rsidR="001A7395" w:rsidRPr="001F5558" w14:paraId="0A459239" w14:textId="77777777" w:rsidTr="00867BC5">
        <w:trPr>
          <w:trHeight w:val="283"/>
        </w:trPr>
        <w:tc>
          <w:tcPr>
            <w:tcW w:w="2689" w:type="dxa"/>
            <w:tcBorders>
              <w:top w:val="single" w:sz="8" w:space="0" w:color="auto"/>
              <w:bottom w:val="single" w:sz="8" w:space="0" w:color="auto"/>
            </w:tcBorders>
            <w:vAlign w:val="center"/>
          </w:tcPr>
          <w:p w14:paraId="6D434E3D" w14:textId="1E1B8092" w:rsidR="001A7395" w:rsidRPr="001F5558" w:rsidRDefault="001A7395" w:rsidP="00867BC5">
            <w:pPr>
              <w:rPr>
                <w:rFonts w:ascii="Arial" w:hAnsi="Arial" w:cs="Arial"/>
                <w:sz w:val="20"/>
                <w:szCs w:val="20"/>
              </w:rPr>
            </w:pPr>
            <w:r w:rsidRPr="001F5558">
              <w:rPr>
                <w:rFonts w:ascii="Arial" w:eastAsia="Times New Roman" w:hAnsi="Arial" w:cs="Arial"/>
                <w:b/>
                <w:bCs/>
                <w:sz w:val="20"/>
                <w:szCs w:val="20"/>
              </w:rPr>
              <w:t xml:space="preserve">Antihypertensive agent </w:t>
            </w:r>
          </w:p>
        </w:tc>
        <w:tc>
          <w:tcPr>
            <w:tcW w:w="1701" w:type="dxa"/>
            <w:tcBorders>
              <w:top w:val="single" w:sz="8" w:space="0" w:color="auto"/>
              <w:bottom w:val="single" w:sz="8" w:space="0" w:color="auto"/>
            </w:tcBorders>
            <w:vAlign w:val="center"/>
          </w:tcPr>
          <w:p w14:paraId="4A1D7558" w14:textId="202023CD" w:rsidR="001A7395" w:rsidRPr="001F5558" w:rsidRDefault="001A7395" w:rsidP="00867BC5">
            <w:pPr>
              <w:rPr>
                <w:rFonts w:ascii="Arial" w:hAnsi="Arial" w:cs="Arial"/>
                <w:sz w:val="20"/>
                <w:szCs w:val="20"/>
              </w:rPr>
            </w:pPr>
            <w:r w:rsidRPr="001F5558">
              <w:rPr>
                <w:rFonts w:ascii="Arial" w:eastAsia="Times New Roman" w:hAnsi="Arial" w:cs="Arial"/>
                <w:b/>
                <w:bCs/>
                <w:sz w:val="20"/>
                <w:szCs w:val="20"/>
              </w:rPr>
              <w:t>Usual dose range in mg/d</w:t>
            </w:r>
          </w:p>
        </w:tc>
        <w:tc>
          <w:tcPr>
            <w:tcW w:w="1026" w:type="dxa"/>
            <w:tcBorders>
              <w:top w:val="single" w:sz="8" w:space="0" w:color="auto"/>
              <w:bottom w:val="single" w:sz="8" w:space="0" w:color="auto"/>
            </w:tcBorders>
            <w:vAlign w:val="center"/>
          </w:tcPr>
          <w:p w14:paraId="672B7C1F" w14:textId="0C0A433F" w:rsidR="001A7395" w:rsidRPr="001F5558" w:rsidRDefault="001A7395" w:rsidP="00867BC5">
            <w:pPr>
              <w:rPr>
                <w:rFonts w:ascii="Arial" w:hAnsi="Arial" w:cs="Arial"/>
                <w:sz w:val="20"/>
                <w:szCs w:val="20"/>
              </w:rPr>
            </w:pPr>
            <w:r w:rsidRPr="001F5558">
              <w:rPr>
                <w:rFonts w:ascii="Arial" w:eastAsia="Times New Roman" w:hAnsi="Arial" w:cs="Arial"/>
                <w:b/>
                <w:bCs/>
                <w:sz w:val="20"/>
                <w:szCs w:val="20"/>
              </w:rPr>
              <w:t>Frequency per day</w:t>
            </w:r>
          </w:p>
        </w:tc>
      </w:tr>
      <w:tr w:rsidR="001A7395" w:rsidRPr="001F5558" w14:paraId="5402410E" w14:textId="77777777" w:rsidTr="00867BC5">
        <w:trPr>
          <w:trHeight w:val="283"/>
        </w:trPr>
        <w:tc>
          <w:tcPr>
            <w:tcW w:w="2689" w:type="dxa"/>
            <w:tcBorders>
              <w:top w:val="single" w:sz="8" w:space="0" w:color="auto"/>
              <w:bottom w:val="single" w:sz="8" w:space="0" w:color="auto"/>
            </w:tcBorders>
            <w:vAlign w:val="center"/>
          </w:tcPr>
          <w:p w14:paraId="2A0749D5" w14:textId="59D2B18C" w:rsidR="001A7395" w:rsidRPr="001F5558" w:rsidRDefault="001A7395" w:rsidP="00867BC5">
            <w:pPr>
              <w:rPr>
                <w:rFonts w:ascii="Arial" w:hAnsi="Arial" w:cs="Arial"/>
                <w:b/>
                <w:bCs/>
                <w:sz w:val="20"/>
                <w:szCs w:val="20"/>
              </w:rPr>
            </w:pPr>
            <w:r w:rsidRPr="001F5558">
              <w:rPr>
                <w:rFonts w:ascii="Arial" w:hAnsi="Arial" w:cs="Arial"/>
                <w:b/>
                <w:bCs/>
                <w:sz w:val="20"/>
                <w:szCs w:val="20"/>
              </w:rPr>
              <w:t>Dihydropyridines</w:t>
            </w:r>
          </w:p>
        </w:tc>
        <w:tc>
          <w:tcPr>
            <w:tcW w:w="1701" w:type="dxa"/>
            <w:tcBorders>
              <w:top w:val="single" w:sz="8" w:space="0" w:color="auto"/>
            </w:tcBorders>
          </w:tcPr>
          <w:p w14:paraId="74A841E6" w14:textId="6B27E141" w:rsidR="001A7395" w:rsidRPr="001F5558" w:rsidRDefault="001A7395" w:rsidP="00867BC5">
            <w:pPr>
              <w:rPr>
                <w:rFonts w:ascii="Arial" w:hAnsi="Arial" w:cs="Arial"/>
                <w:sz w:val="20"/>
                <w:szCs w:val="20"/>
              </w:rPr>
            </w:pPr>
          </w:p>
        </w:tc>
        <w:tc>
          <w:tcPr>
            <w:tcW w:w="1026" w:type="dxa"/>
            <w:tcBorders>
              <w:top w:val="single" w:sz="8" w:space="0" w:color="auto"/>
            </w:tcBorders>
          </w:tcPr>
          <w:p w14:paraId="75F5065E" w14:textId="567424BB" w:rsidR="001A7395" w:rsidRPr="001F5558" w:rsidRDefault="001A7395" w:rsidP="00867BC5">
            <w:pPr>
              <w:rPr>
                <w:rFonts w:ascii="Arial" w:hAnsi="Arial" w:cs="Arial"/>
                <w:sz w:val="20"/>
                <w:szCs w:val="20"/>
              </w:rPr>
            </w:pPr>
          </w:p>
        </w:tc>
      </w:tr>
      <w:tr w:rsidR="001A7395" w:rsidRPr="001F5558" w14:paraId="279B5DE2" w14:textId="77777777" w:rsidTr="00867BC5">
        <w:trPr>
          <w:trHeight w:val="283"/>
        </w:trPr>
        <w:tc>
          <w:tcPr>
            <w:tcW w:w="2689" w:type="dxa"/>
            <w:tcBorders>
              <w:top w:val="single" w:sz="8" w:space="0" w:color="auto"/>
            </w:tcBorders>
          </w:tcPr>
          <w:p w14:paraId="75868821" w14:textId="1D807134" w:rsidR="001A7395" w:rsidRPr="001F5558" w:rsidRDefault="001A7395" w:rsidP="00867BC5">
            <w:pPr>
              <w:rPr>
                <w:rFonts w:ascii="Arial" w:hAnsi="Arial" w:cs="Arial"/>
                <w:sz w:val="20"/>
                <w:szCs w:val="20"/>
              </w:rPr>
            </w:pPr>
            <w:r w:rsidRPr="001F5558">
              <w:rPr>
                <w:rFonts w:ascii="Arial" w:eastAsia="Times New Roman" w:hAnsi="Arial" w:cs="Arial"/>
                <w:sz w:val="20"/>
                <w:szCs w:val="20"/>
              </w:rPr>
              <w:t xml:space="preserve">Amlodipine besylate </w:t>
            </w:r>
          </w:p>
        </w:tc>
        <w:tc>
          <w:tcPr>
            <w:tcW w:w="1701" w:type="dxa"/>
          </w:tcPr>
          <w:p w14:paraId="45215638" w14:textId="0626F8DE" w:rsidR="001A7395" w:rsidRPr="001F5558" w:rsidRDefault="001A7395" w:rsidP="00867BC5">
            <w:pPr>
              <w:rPr>
                <w:rFonts w:ascii="Arial" w:hAnsi="Arial" w:cs="Arial"/>
                <w:sz w:val="20"/>
                <w:szCs w:val="20"/>
              </w:rPr>
            </w:pPr>
            <w:r w:rsidRPr="001F5558">
              <w:rPr>
                <w:rFonts w:ascii="Arial" w:eastAsia="Times New Roman" w:hAnsi="Arial" w:cs="Arial"/>
                <w:sz w:val="20"/>
                <w:szCs w:val="20"/>
              </w:rPr>
              <w:t>2.5-10</w:t>
            </w:r>
          </w:p>
        </w:tc>
        <w:tc>
          <w:tcPr>
            <w:tcW w:w="1026" w:type="dxa"/>
          </w:tcPr>
          <w:p w14:paraId="2AF5827A" w14:textId="6A4701AC" w:rsidR="001A7395" w:rsidRPr="001F5558" w:rsidRDefault="001A7395" w:rsidP="00867BC5">
            <w:pPr>
              <w:rPr>
                <w:rFonts w:ascii="Arial" w:hAnsi="Arial" w:cs="Arial"/>
                <w:sz w:val="20"/>
                <w:szCs w:val="20"/>
              </w:rPr>
            </w:pPr>
            <w:r w:rsidRPr="001F5558">
              <w:rPr>
                <w:rFonts w:ascii="Arial" w:hAnsi="Arial" w:cs="Arial"/>
                <w:sz w:val="20"/>
                <w:szCs w:val="20"/>
              </w:rPr>
              <w:t>1</w:t>
            </w:r>
          </w:p>
        </w:tc>
      </w:tr>
      <w:tr w:rsidR="001A7395" w:rsidRPr="001F5558" w14:paraId="025264A9" w14:textId="77777777" w:rsidTr="00867BC5">
        <w:trPr>
          <w:trHeight w:val="283"/>
        </w:trPr>
        <w:tc>
          <w:tcPr>
            <w:tcW w:w="2689" w:type="dxa"/>
          </w:tcPr>
          <w:p w14:paraId="0E6D7F98" w14:textId="04D8FC3C" w:rsidR="001A7395" w:rsidRPr="001F5558" w:rsidRDefault="001A7395" w:rsidP="00867BC5">
            <w:pPr>
              <w:rPr>
                <w:rFonts w:ascii="Arial" w:hAnsi="Arial" w:cs="Arial"/>
                <w:sz w:val="20"/>
                <w:szCs w:val="20"/>
              </w:rPr>
            </w:pPr>
            <w:r w:rsidRPr="001F5558">
              <w:rPr>
                <w:rFonts w:ascii="Arial" w:eastAsia="Times New Roman" w:hAnsi="Arial" w:cs="Arial"/>
                <w:sz w:val="20"/>
                <w:szCs w:val="20"/>
              </w:rPr>
              <w:t xml:space="preserve">Felodipine </w:t>
            </w:r>
          </w:p>
        </w:tc>
        <w:tc>
          <w:tcPr>
            <w:tcW w:w="1701" w:type="dxa"/>
          </w:tcPr>
          <w:p w14:paraId="19C4B18E" w14:textId="202605A3" w:rsidR="001A7395" w:rsidRPr="001F5558" w:rsidRDefault="001A7395" w:rsidP="00867BC5">
            <w:pPr>
              <w:rPr>
                <w:rFonts w:ascii="Arial" w:hAnsi="Arial" w:cs="Arial"/>
                <w:sz w:val="20"/>
                <w:szCs w:val="20"/>
              </w:rPr>
            </w:pPr>
            <w:r w:rsidRPr="001F5558">
              <w:rPr>
                <w:rFonts w:ascii="Arial" w:eastAsia="Times New Roman" w:hAnsi="Arial" w:cs="Arial"/>
                <w:sz w:val="20"/>
                <w:szCs w:val="20"/>
              </w:rPr>
              <w:t>2.5-10</w:t>
            </w:r>
          </w:p>
        </w:tc>
        <w:tc>
          <w:tcPr>
            <w:tcW w:w="1026" w:type="dxa"/>
          </w:tcPr>
          <w:p w14:paraId="29DC4511" w14:textId="411825EF" w:rsidR="001A7395" w:rsidRPr="001F5558" w:rsidRDefault="001A7395" w:rsidP="00867BC5">
            <w:pPr>
              <w:rPr>
                <w:rFonts w:ascii="Arial" w:hAnsi="Arial" w:cs="Arial"/>
                <w:sz w:val="20"/>
                <w:szCs w:val="20"/>
              </w:rPr>
            </w:pPr>
            <w:r w:rsidRPr="001F5558">
              <w:rPr>
                <w:rFonts w:ascii="Arial" w:hAnsi="Arial" w:cs="Arial"/>
                <w:sz w:val="20"/>
                <w:szCs w:val="20"/>
              </w:rPr>
              <w:t>1</w:t>
            </w:r>
          </w:p>
        </w:tc>
      </w:tr>
      <w:tr w:rsidR="001A7395" w:rsidRPr="001F5558" w14:paraId="218E6FDC" w14:textId="77777777" w:rsidTr="00867BC5">
        <w:trPr>
          <w:trHeight w:val="283"/>
        </w:trPr>
        <w:tc>
          <w:tcPr>
            <w:tcW w:w="2689" w:type="dxa"/>
          </w:tcPr>
          <w:p w14:paraId="2DEC65D0" w14:textId="24F04072" w:rsidR="001A7395" w:rsidRPr="001F5558" w:rsidRDefault="001A7395" w:rsidP="00867BC5">
            <w:pPr>
              <w:rPr>
                <w:rFonts w:ascii="Arial" w:hAnsi="Arial" w:cs="Arial"/>
                <w:sz w:val="20"/>
                <w:szCs w:val="20"/>
              </w:rPr>
            </w:pPr>
            <w:proofErr w:type="spellStart"/>
            <w:r w:rsidRPr="001F5558">
              <w:rPr>
                <w:rFonts w:ascii="Arial" w:eastAsia="Times New Roman" w:hAnsi="Arial" w:cs="Arial"/>
                <w:sz w:val="20"/>
                <w:szCs w:val="20"/>
              </w:rPr>
              <w:t>Isradipine</w:t>
            </w:r>
            <w:proofErr w:type="spellEnd"/>
            <w:r w:rsidRPr="001F5558">
              <w:rPr>
                <w:rFonts w:ascii="Arial" w:eastAsia="Times New Roman" w:hAnsi="Arial" w:cs="Arial"/>
                <w:sz w:val="20"/>
                <w:szCs w:val="20"/>
              </w:rPr>
              <w:t xml:space="preserve"> </w:t>
            </w:r>
          </w:p>
        </w:tc>
        <w:tc>
          <w:tcPr>
            <w:tcW w:w="1701" w:type="dxa"/>
          </w:tcPr>
          <w:p w14:paraId="610A9BCD" w14:textId="6DB30AE6" w:rsidR="001A7395" w:rsidRPr="001F5558" w:rsidRDefault="001A7395" w:rsidP="00867BC5">
            <w:pPr>
              <w:rPr>
                <w:rFonts w:ascii="Arial" w:hAnsi="Arial" w:cs="Arial"/>
                <w:sz w:val="20"/>
                <w:szCs w:val="20"/>
              </w:rPr>
            </w:pPr>
            <w:r w:rsidRPr="001F5558">
              <w:rPr>
                <w:rFonts w:ascii="Arial" w:eastAsia="Times New Roman" w:hAnsi="Arial" w:cs="Arial"/>
                <w:sz w:val="20"/>
                <w:szCs w:val="20"/>
              </w:rPr>
              <w:t xml:space="preserve">5-20 </w:t>
            </w:r>
          </w:p>
        </w:tc>
        <w:tc>
          <w:tcPr>
            <w:tcW w:w="1026" w:type="dxa"/>
          </w:tcPr>
          <w:p w14:paraId="6F080400" w14:textId="03E7AF91" w:rsidR="001A7395" w:rsidRPr="001F5558" w:rsidRDefault="001A7395" w:rsidP="00867BC5">
            <w:pPr>
              <w:rPr>
                <w:rFonts w:ascii="Arial" w:hAnsi="Arial" w:cs="Arial"/>
                <w:sz w:val="20"/>
                <w:szCs w:val="20"/>
              </w:rPr>
            </w:pPr>
            <w:r w:rsidRPr="001F5558">
              <w:rPr>
                <w:rFonts w:ascii="Arial" w:hAnsi="Arial" w:cs="Arial"/>
                <w:sz w:val="20"/>
                <w:szCs w:val="20"/>
              </w:rPr>
              <w:t>1-2</w:t>
            </w:r>
          </w:p>
        </w:tc>
      </w:tr>
      <w:tr w:rsidR="001A7395" w:rsidRPr="001F5558" w14:paraId="59BD9DF3" w14:textId="77777777" w:rsidTr="00867BC5">
        <w:trPr>
          <w:trHeight w:val="283"/>
        </w:trPr>
        <w:tc>
          <w:tcPr>
            <w:tcW w:w="2689" w:type="dxa"/>
          </w:tcPr>
          <w:p w14:paraId="70660823" w14:textId="34674C2C" w:rsidR="001A7395" w:rsidRPr="001F5558" w:rsidRDefault="001A7395" w:rsidP="00867BC5">
            <w:pPr>
              <w:rPr>
                <w:rFonts w:ascii="Arial" w:hAnsi="Arial" w:cs="Arial"/>
                <w:sz w:val="20"/>
                <w:szCs w:val="20"/>
              </w:rPr>
            </w:pPr>
            <w:r w:rsidRPr="001F5558">
              <w:rPr>
                <w:rFonts w:ascii="Arial" w:eastAsia="Times New Roman" w:hAnsi="Arial" w:cs="Arial"/>
                <w:sz w:val="20"/>
                <w:szCs w:val="20"/>
              </w:rPr>
              <w:t xml:space="preserve">Nicardipine </w:t>
            </w:r>
          </w:p>
        </w:tc>
        <w:tc>
          <w:tcPr>
            <w:tcW w:w="1701" w:type="dxa"/>
          </w:tcPr>
          <w:p w14:paraId="15530FEB" w14:textId="07707A85" w:rsidR="001A7395" w:rsidRPr="001F5558" w:rsidRDefault="001A7395" w:rsidP="00867BC5">
            <w:pPr>
              <w:rPr>
                <w:rFonts w:ascii="Arial" w:hAnsi="Arial" w:cs="Arial"/>
                <w:sz w:val="20"/>
                <w:szCs w:val="20"/>
              </w:rPr>
            </w:pPr>
            <w:r w:rsidRPr="001F5558">
              <w:rPr>
                <w:rFonts w:ascii="Arial" w:eastAsia="Times New Roman" w:hAnsi="Arial" w:cs="Arial"/>
                <w:sz w:val="20"/>
                <w:szCs w:val="20"/>
              </w:rPr>
              <w:t xml:space="preserve">60-90 </w:t>
            </w:r>
          </w:p>
        </w:tc>
        <w:tc>
          <w:tcPr>
            <w:tcW w:w="1026" w:type="dxa"/>
          </w:tcPr>
          <w:p w14:paraId="2E965EBF" w14:textId="1D114EA7" w:rsidR="001A7395" w:rsidRPr="001F5558" w:rsidRDefault="001A7395" w:rsidP="00867BC5">
            <w:pPr>
              <w:rPr>
                <w:rFonts w:ascii="Arial" w:hAnsi="Arial" w:cs="Arial"/>
                <w:sz w:val="20"/>
                <w:szCs w:val="20"/>
              </w:rPr>
            </w:pPr>
            <w:r w:rsidRPr="001F5558">
              <w:rPr>
                <w:rFonts w:ascii="Arial" w:hAnsi="Arial" w:cs="Arial"/>
                <w:sz w:val="20"/>
                <w:szCs w:val="20"/>
              </w:rPr>
              <w:t>2</w:t>
            </w:r>
          </w:p>
        </w:tc>
      </w:tr>
      <w:tr w:rsidR="001A7395" w:rsidRPr="001F5558" w14:paraId="6ABACEA0" w14:textId="77777777" w:rsidTr="00867BC5">
        <w:trPr>
          <w:trHeight w:val="283"/>
        </w:trPr>
        <w:tc>
          <w:tcPr>
            <w:tcW w:w="2689" w:type="dxa"/>
          </w:tcPr>
          <w:p w14:paraId="7FA64114" w14:textId="67934BD0" w:rsidR="001A7395" w:rsidRPr="001F5558" w:rsidRDefault="001A7395" w:rsidP="00867BC5">
            <w:pPr>
              <w:rPr>
                <w:rFonts w:ascii="Arial" w:eastAsia="Times New Roman" w:hAnsi="Arial" w:cs="Arial"/>
                <w:sz w:val="20"/>
                <w:szCs w:val="20"/>
              </w:rPr>
            </w:pPr>
            <w:r w:rsidRPr="001F5558">
              <w:rPr>
                <w:rFonts w:ascii="Arial" w:eastAsia="Times New Roman" w:hAnsi="Arial" w:cs="Arial"/>
                <w:sz w:val="20"/>
                <w:szCs w:val="20"/>
              </w:rPr>
              <w:t xml:space="preserve">Nifedipine </w:t>
            </w:r>
          </w:p>
        </w:tc>
        <w:tc>
          <w:tcPr>
            <w:tcW w:w="1701" w:type="dxa"/>
          </w:tcPr>
          <w:p w14:paraId="281BAA68" w14:textId="02DF3053" w:rsidR="001A7395" w:rsidRPr="001F5558" w:rsidRDefault="001A7395" w:rsidP="00867BC5">
            <w:pPr>
              <w:rPr>
                <w:rFonts w:ascii="Arial" w:hAnsi="Arial" w:cs="Arial"/>
                <w:sz w:val="20"/>
                <w:szCs w:val="20"/>
              </w:rPr>
            </w:pPr>
            <w:r w:rsidRPr="001F5558">
              <w:rPr>
                <w:rFonts w:ascii="Arial" w:eastAsia="Times New Roman" w:hAnsi="Arial" w:cs="Arial"/>
                <w:sz w:val="20"/>
                <w:szCs w:val="20"/>
              </w:rPr>
              <w:t xml:space="preserve">30-120 </w:t>
            </w:r>
          </w:p>
        </w:tc>
        <w:tc>
          <w:tcPr>
            <w:tcW w:w="1026" w:type="dxa"/>
          </w:tcPr>
          <w:p w14:paraId="48652149" w14:textId="712D3BA8" w:rsidR="001A7395" w:rsidRPr="001F5558" w:rsidRDefault="001A7395" w:rsidP="00867BC5">
            <w:pPr>
              <w:rPr>
                <w:rFonts w:ascii="Arial" w:hAnsi="Arial" w:cs="Arial"/>
                <w:sz w:val="20"/>
                <w:szCs w:val="20"/>
              </w:rPr>
            </w:pPr>
            <w:r w:rsidRPr="001F5558">
              <w:rPr>
                <w:rFonts w:ascii="Arial" w:hAnsi="Arial" w:cs="Arial"/>
                <w:sz w:val="20"/>
                <w:szCs w:val="20"/>
              </w:rPr>
              <w:t>1</w:t>
            </w:r>
          </w:p>
        </w:tc>
      </w:tr>
      <w:tr w:rsidR="001A7395" w:rsidRPr="001F5558" w14:paraId="19B8717F" w14:textId="77777777" w:rsidTr="00867BC5">
        <w:trPr>
          <w:trHeight w:val="283"/>
        </w:trPr>
        <w:tc>
          <w:tcPr>
            <w:tcW w:w="2689" w:type="dxa"/>
            <w:tcBorders>
              <w:bottom w:val="single" w:sz="8" w:space="0" w:color="auto"/>
            </w:tcBorders>
          </w:tcPr>
          <w:p w14:paraId="2578AF9A" w14:textId="2CADA7F6" w:rsidR="001A7395" w:rsidRPr="001F5558" w:rsidRDefault="001A7395" w:rsidP="00867BC5">
            <w:pPr>
              <w:rPr>
                <w:rFonts w:ascii="Arial" w:eastAsia="Times New Roman" w:hAnsi="Arial" w:cs="Arial"/>
                <w:sz w:val="20"/>
                <w:szCs w:val="20"/>
              </w:rPr>
            </w:pPr>
            <w:proofErr w:type="spellStart"/>
            <w:r w:rsidRPr="001F5558">
              <w:rPr>
                <w:rFonts w:ascii="Arial" w:eastAsia="Times New Roman" w:hAnsi="Arial" w:cs="Arial"/>
                <w:sz w:val="20"/>
                <w:szCs w:val="20"/>
              </w:rPr>
              <w:t>Nisoldipine</w:t>
            </w:r>
            <w:proofErr w:type="spellEnd"/>
            <w:r w:rsidRPr="001F5558">
              <w:rPr>
                <w:rFonts w:ascii="Arial" w:eastAsia="Times New Roman" w:hAnsi="Arial" w:cs="Arial"/>
                <w:sz w:val="20"/>
                <w:szCs w:val="20"/>
              </w:rPr>
              <w:t xml:space="preserve"> </w:t>
            </w:r>
          </w:p>
        </w:tc>
        <w:tc>
          <w:tcPr>
            <w:tcW w:w="1701" w:type="dxa"/>
          </w:tcPr>
          <w:p w14:paraId="21F56F1A" w14:textId="6F20967A" w:rsidR="001A7395" w:rsidRPr="001F5558" w:rsidRDefault="001A7395" w:rsidP="00867BC5">
            <w:pPr>
              <w:rPr>
                <w:rFonts w:ascii="Arial" w:hAnsi="Arial" w:cs="Arial"/>
                <w:sz w:val="20"/>
                <w:szCs w:val="20"/>
              </w:rPr>
            </w:pPr>
            <w:r w:rsidRPr="001F5558">
              <w:rPr>
                <w:rFonts w:ascii="Arial" w:eastAsia="Times New Roman" w:hAnsi="Arial" w:cs="Arial"/>
                <w:sz w:val="20"/>
                <w:szCs w:val="20"/>
              </w:rPr>
              <w:t xml:space="preserve">20-60 </w:t>
            </w:r>
          </w:p>
        </w:tc>
        <w:tc>
          <w:tcPr>
            <w:tcW w:w="1026" w:type="dxa"/>
          </w:tcPr>
          <w:p w14:paraId="5FB40F36" w14:textId="67B1C72E" w:rsidR="001A7395" w:rsidRPr="001F5558" w:rsidRDefault="001A7395" w:rsidP="00867BC5">
            <w:pPr>
              <w:rPr>
                <w:rFonts w:ascii="Arial" w:hAnsi="Arial" w:cs="Arial"/>
                <w:sz w:val="20"/>
                <w:szCs w:val="20"/>
              </w:rPr>
            </w:pPr>
            <w:r w:rsidRPr="001F5558">
              <w:rPr>
                <w:rFonts w:ascii="Arial" w:hAnsi="Arial" w:cs="Arial"/>
                <w:sz w:val="20"/>
                <w:szCs w:val="20"/>
              </w:rPr>
              <w:t>1</w:t>
            </w:r>
          </w:p>
        </w:tc>
      </w:tr>
      <w:tr w:rsidR="001A7395" w:rsidRPr="001F5558" w14:paraId="477E7884" w14:textId="77777777" w:rsidTr="00867BC5">
        <w:trPr>
          <w:trHeight w:val="283"/>
        </w:trPr>
        <w:tc>
          <w:tcPr>
            <w:tcW w:w="2689" w:type="dxa"/>
            <w:tcBorders>
              <w:top w:val="single" w:sz="8" w:space="0" w:color="auto"/>
              <w:bottom w:val="single" w:sz="8" w:space="0" w:color="auto"/>
            </w:tcBorders>
            <w:vAlign w:val="center"/>
          </w:tcPr>
          <w:p w14:paraId="12BBC76D" w14:textId="5941BB2A" w:rsidR="001A7395" w:rsidRPr="001F5558" w:rsidRDefault="001A7395" w:rsidP="00867BC5">
            <w:pPr>
              <w:rPr>
                <w:rFonts w:ascii="Arial" w:eastAsia="Times New Roman" w:hAnsi="Arial" w:cs="Arial"/>
                <w:b/>
                <w:bCs/>
                <w:sz w:val="20"/>
                <w:szCs w:val="20"/>
              </w:rPr>
            </w:pPr>
            <w:proofErr w:type="spellStart"/>
            <w:r w:rsidRPr="001F5558">
              <w:rPr>
                <w:rFonts w:ascii="Arial" w:eastAsia="Times New Roman" w:hAnsi="Arial" w:cs="Arial"/>
                <w:b/>
                <w:bCs/>
                <w:sz w:val="20"/>
                <w:szCs w:val="20"/>
              </w:rPr>
              <w:t>Nondihydropyridines</w:t>
            </w:r>
            <w:proofErr w:type="spellEnd"/>
          </w:p>
        </w:tc>
        <w:tc>
          <w:tcPr>
            <w:tcW w:w="1701" w:type="dxa"/>
          </w:tcPr>
          <w:p w14:paraId="48DE5B1E" w14:textId="49B62B06" w:rsidR="001A7395" w:rsidRPr="001F5558" w:rsidRDefault="001A7395" w:rsidP="00867BC5">
            <w:pPr>
              <w:rPr>
                <w:rFonts w:ascii="Arial" w:hAnsi="Arial" w:cs="Arial"/>
                <w:sz w:val="20"/>
                <w:szCs w:val="20"/>
              </w:rPr>
            </w:pPr>
          </w:p>
        </w:tc>
        <w:tc>
          <w:tcPr>
            <w:tcW w:w="1026" w:type="dxa"/>
          </w:tcPr>
          <w:p w14:paraId="155A626C" w14:textId="77777777" w:rsidR="001A7395" w:rsidRPr="001F5558" w:rsidRDefault="001A7395" w:rsidP="00867BC5">
            <w:pPr>
              <w:rPr>
                <w:rFonts w:ascii="Arial" w:hAnsi="Arial" w:cs="Arial"/>
                <w:sz w:val="20"/>
                <w:szCs w:val="20"/>
              </w:rPr>
            </w:pPr>
          </w:p>
        </w:tc>
      </w:tr>
      <w:tr w:rsidR="001A7395" w:rsidRPr="001F5558" w14:paraId="55647E62" w14:textId="77777777" w:rsidTr="00867BC5">
        <w:trPr>
          <w:trHeight w:val="283"/>
        </w:trPr>
        <w:tc>
          <w:tcPr>
            <w:tcW w:w="2689" w:type="dxa"/>
            <w:tcBorders>
              <w:top w:val="single" w:sz="8" w:space="0" w:color="auto"/>
            </w:tcBorders>
          </w:tcPr>
          <w:p w14:paraId="71563C9E" w14:textId="61DAED5C" w:rsidR="001A7395" w:rsidRPr="001F5558" w:rsidRDefault="001A7395" w:rsidP="00867BC5">
            <w:pPr>
              <w:rPr>
                <w:rFonts w:ascii="Arial" w:eastAsia="Times New Roman" w:hAnsi="Arial" w:cs="Arial"/>
                <w:sz w:val="20"/>
                <w:szCs w:val="20"/>
              </w:rPr>
            </w:pPr>
            <w:r w:rsidRPr="001F5558">
              <w:rPr>
                <w:rFonts w:ascii="Arial" w:eastAsia="Times New Roman" w:hAnsi="Arial" w:cs="Arial"/>
                <w:sz w:val="20"/>
                <w:szCs w:val="20"/>
              </w:rPr>
              <w:t xml:space="preserve">Diltiazem hydrochloride </w:t>
            </w:r>
          </w:p>
        </w:tc>
        <w:tc>
          <w:tcPr>
            <w:tcW w:w="1701" w:type="dxa"/>
          </w:tcPr>
          <w:p w14:paraId="14606EBD" w14:textId="2D43D713" w:rsidR="001A7395" w:rsidRPr="001F5558" w:rsidRDefault="001A7395" w:rsidP="00867BC5">
            <w:pPr>
              <w:rPr>
                <w:rFonts w:ascii="Arial" w:hAnsi="Arial" w:cs="Arial"/>
                <w:sz w:val="20"/>
                <w:szCs w:val="20"/>
              </w:rPr>
            </w:pPr>
            <w:r w:rsidRPr="001F5558">
              <w:rPr>
                <w:rFonts w:ascii="Arial" w:eastAsia="Times New Roman" w:hAnsi="Arial" w:cs="Arial"/>
                <w:sz w:val="20"/>
                <w:szCs w:val="20"/>
              </w:rPr>
              <w:t xml:space="preserve">120-360 </w:t>
            </w:r>
          </w:p>
        </w:tc>
        <w:tc>
          <w:tcPr>
            <w:tcW w:w="1026" w:type="dxa"/>
          </w:tcPr>
          <w:p w14:paraId="52850D85" w14:textId="1E3C3918" w:rsidR="001A7395" w:rsidRPr="001F5558" w:rsidRDefault="001A7395" w:rsidP="00867BC5">
            <w:pPr>
              <w:rPr>
                <w:rFonts w:ascii="Arial" w:hAnsi="Arial" w:cs="Arial"/>
                <w:sz w:val="20"/>
                <w:szCs w:val="20"/>
              </w:rPr>
            </w:pPr>
            <w:r w:rsidRPr="001F5558">
              <w:rPr>
                <w:rFonts w:ascii="Arial" w:hAnsi="Arial" w:cs="Arial"/>
                <w:sz w:val="20"/>
                <w:szCs w:val="20"/>
              </w:rPr>
              <w:t>2</w:t>
            </w:r>
          </w:p>
        </w:tc>
      </w:tr>
      <w:tr w:rsidR="001A7395" w:rsidRPr="001F5558" w14:paraId="01C61F89" w14:textId="77777777" w:rsidTr="00867BC5">
        <w:trPr>
          <w:trHeight w:val="283"/>
        </w:trPr>
        <w:tc>
          <w:tcPr>
            <w:tcW w:w="2689" w:type="dxa"/>
          </w:tcPr>
          <w:p w14:paraId="4B19B7B3" w14:textId="44158B21" w:rsidR="001A7395" w:rsidRPr="001F5558" w:rsidRDefault="001A7395" w:rsidP="00867BC5">
            <w:pPr>
              <w:rPr>
                <w:rFonts w:ascii="Arial" w:eastAsia="Times New Roman" w:hAnsi="Arial" w:cs="Arial"/>
                <w:sz w:val="20"/>
                <w:szCs w:val="20"/>
              </w:rPr>
            </w:pPr>
            <w:r w:rsidRPr="001F5558">
              <w:rPr>
                <w:rFonts w:ascii="Arial" w:eastAsia="Times New Roman" w:hAnsi="Arial" w:cs="Arial"/>
                <w:sz w:val="20"/>
                <w:szCs w:val="20"/>
              </w:rPr>
              <w:t xml:space="preserve">Verapamil hydrochloride </w:t>
            </w:r>
          </w:p>
        </w:tc>
        <w:tc>
          <w:tcPr>
            <w:tcW w:w="1701" w:type="dxa"/>
          </w:tcPr>
          <w:p w14:paraId="34A93B80" w14:textId="6BCBBB7D" w:rsidR="001A7395" w:rsidRPr="001F5558" w:rsidRDefault="001A7395" w:rsidP="00867BC5">
            <w:pPr>
              <w:rPr>
                <w:rFonts w:ascii="Arial" w:hAnsi="Arial" w:cs="Arial"/>
                <w:sz w:val="20"/>
                <w:szCs w:val="20"/>
              </w:rPr>
            </w:pPr>
            <w:r w:rsidRPr="001F5558">
              <w:rPr>
                <w:rFonts w:ascii="Arial" w:eastAsia="Times New Roman" w:hAnsi="Arial" w:cs="Arial"/>
                <w:sz w:val="20"/>
                <w:szCs w:val="20"/>
              </w:rPr>
              <w:t xml:space="preserve">120-480 </w:t>
            </w:r>
          </w:p>
        </w:tc>
        <w:tc>
          <w:tcPr>
            <w:tcW w:w="1026" w:type="dxa"/>
          </w:tcPr>
          <w:p w14:paraId="5B5C5F70" w14:textId="2CC91B69" w:rsidR="001A7395" w:rsidRPr="001F5558" w:rsidRDefault="001A7395" w:rsidP="00867BC5">
            <w:pPr>
              <w:rPr>
                <w:rFonts w:ascii="Arial" w:hAnsi="Arial" w:cs="Arial"/>
                <w:sz w:val="20"/>
                <w:szCs w:val="20"/>
              </w:rPr>
            </w:pPr>
            <w:r w:rsidRPr="001F5558">
              <w:rPr>
                <w:rFonts w:ascii="Arial" w:hAnsi="Arial" w:cs="Arial"/>
                <w:sz w:val="20"/>
                <w:szCs w:val="20"/>
              </w:rPr>
              <w:t>2</w:t>
            </w:r>
          </w:p>
        </w:tc>
      </w:tr>
    </w:tbl>
    <w:p w14:paraId="08131558" w14:textId="77777777" w:rsidR="008A702A" w:rsidRPr="001F5558" w:rsidRDefault="008A702A" w:rsidP="00257B59">
      <w:pPr>
        <w:spacing w:after="0" w:line="240" w:lineRule="auto"/>
        <w:jc w:val="both"/>
        <w:rPr>
          <w:rFonts w:ascii="Arial" w:eastAsia="Times New Roman" w:hAnsi="Arial" w:cs="Arial"/>
          <w:b/>
          <w:bCs/>
          <w:sz w:val="20"/>
          <w:szCs w:val="20"/>
        </w:rPr>
      </w:pPr>
    </w:p>
    <w:p w14:paraId="0FDEFC8A" w14:textId="54FD6F81" w:rsidR="00837956" w:rsidRPr="001F5558" w:rsidRDefault="00837956" w:rsidP="00257B59">
      <w:pPr>
        <w:spacing w:after="0" w:line="240" w:lineRule="auto"/>
        <w:jc w:val="both"/>
        <w:rPr>
          <w:rFonts w:ascii="Arial" w:eastAsia="Times New Roman" w:hAnsi="Arial" w:cs="Arial"/>
          <w:b/>
          <w:bCs/>
        </w:rPr>
      </w:pPr>
      <w:r w:rsidRPr="001F5558">
        <w:rPr>
          <w:rFonts w:ascii="Arial" w:eastAsia="Times New Roman" w:hAnsi="Arial" w:cs="Arial"/>
          <w:b/>
          <w:bCs/>
        </w:rPr>
        <w:t>3.</w:t>
      </w:r>
      <w:r w:rsidR="00806598" w:rsidRPr="001F5558">
        <w:rPr>
          <w:rFonts w:ascii="Arial" w:eastAsia="Times New Roman" w:hAnsi="Arial" w:cs="Arial"/>
          <w:b/>
          <w:bCs/>
        </w:rPr>
        <w:t>4</w:t>
      </w:r>
      <w:r w:rsidRPr="001F5558">
        <w:rPr>
          <w:rFonts w:ascii="Arial" w:eastAsia="Times New Roman" w:hAnsi="Arial" w:cs="Arial"/>
          <w:b/>
          <w:bCs/>
        </w:rPr>
        <w:t xml:space="preserve">. Beta-blockers </w:t>
      </w:r>
      <w:r w:rsidR="00350410" w:rsidRPr="001F5558">
        <w:rPr>
          <w:rFonts w:ascii="Arial" w:eastAsia="Times New Roman" w:hAnsi="Arial" w:cs="Arial"/>
          <w:b/>
          <w:bCs/>
        </w:rPr>
        <w:t xml:space="preserve">and </w:t>
      </w:r>
      <w:r w:rsidR="00167B24" w:rsidRPr="001F5558">
        <w:rPr>
          <w:rFonts w:ascii="Arial" w:eastAsia="Times New Roman" w:hAnsi="Arial" w:cs="Arial"/>
          <w:b/>
          <w:bCs/>
        </w:rPr>
        <w:t>centrally</w:t>
      </w:r>
      <w:r w:rsidR="00350410" w:rsidRPr="001F5558">
        <w:rPr>
          <w:rFonts w:ascii="Arial" w:eastAsia="Times New Roman" w:hAnsi="Arial" w:cs="Arial"/>
          <w:b/>
          <w:bCs/>
        </w:rPr>
        <w:t xml:space="preserve"> acting antihypertensive drugs </w:t>
      </w:r>
    </w:p>
    <w:p w14:paraId="1542EB64" w14:textId="77777777" w:rsidR="005002EF" w:rsidRPr="001F5558" w:rsidRDefault="005002EF" w:rsidP="00257B59">
      <w:pPr>
        <w:spacing w:after="0" w:line="240" w:lineRule="auto"/>
        <w:jc w:val="both"/>
        <w:rPr>
          <w:rFonts w:ascii="Arial" w:eastAsia="Times New Roman" w:hAnsi="Arial" w:cs="Arial"/>
          <w:b/>
          <w:bCs/>
        </w:rPr>
      </w:pPr>
    </w:p>
    <w:p w14:paraId="254D7147" w14:textId="6A795EB5" w:rsidR="004B507E" w:rsidRPr="001F5558" w:rsidRDefault="00915B5C" w:rsidP="00257B59">
      <w:pPr>
        <w:spacing w:after="0" w:line="240" w:lineRule="auto"/>
        <w:jc w:val="both"/>
        <w:rPr>
          <w:rFonts w:ascii="Arial" w:eastAsia="Times New Roman" w:hAnsi="Arial" w:cs="Arial"/>
          <w:sz w:val="20"/>
          <w:szCs w:val="20"/>
        </w:rPr>
      </w:pPr>
      <w:r w:rsidRPr="001F5558">
        <w:rPr>
          <w:rFonts w:ascii="Arial" w:eastAsia="Times New Roman" w:hAnsi="Arial" w:cs="Arial"/>
          <w:sz w:val="20"/>
          <w:szCs w:val="20"/>
        </w:rPr>
        <w:t xml:space="preserve">Beta-blockers are recommended as second-line agents after RAAS </w:t>
      </w:r>
      <w:r w:rsidR="00850F46" w:rsidRPr="001F5558">
        <w:rPr>
          <w:rFonts w:ascii="Arial" w:eastAsia="Times New Roman" w:hAnsi="Arial" w:cs="Arial"/>
          <w:sz w:val="20"/>
          <w:szCs w:val="20"/>
        </w:rPr>
        <w:t xml:space="preserve">inhibitors </w:t>
      </w:r>
      <w:r w:rsidRPr="001F5558">
        <w:rPr>
          <w:rFonts w:ascii="Arial" w:eastAsia="Times New Roman" w:hAnsi="Arial" w:cs="Arial"/>
          <w:sz w:val="20"/>
          <w:szCs w:val="20"/>
        </w:rPr>
        <w:t xml:space="preserve">for managing </w:t>
      </w:r>
      <w:r w:rsidR="00454E33" w:rsidRPr="001F5558">
        <w:rPr>
          <w:rFonts w:ascii="Arial" w:eastAsia="Times New Roman" w:hAnsi="Arial" w:cs="Arial"/>
          <w:sz w:val="20"/>
          <w:szCs w:val="20"/>
        </w:rPr>
        <w:t>HTN</w:t>
      </w:r>
      <w:r w:rsidRPr="001F5558">
        <w:rPr>
          <w:rFonts w:ascii="Arial" w:eastAsia="Times New Roman" w:hAnsi="Arial" w:cs="Arial"/>
          <w:sz w:val="20"/>
          <w:szCs w:val="20"/>
        </w:rPr>
        <w:t xml:space="preserve"> in CKD patients, especially those with systolic heart failure (</w:t>
      </w:r>
      <w:proofErr w:type="spellStart"/>
      <w:r w:rsidRPr="001F5558">
        <w:rPr>
          <w:rFonts w:ascii="Arial" w:eastAsia="Times New Roman" w:hAnsi="Arial" w:cs="Arial"/>
          <w:sz w:val="20"/>
          <w:szCs w:val="20"/>
        </w:rPr>
        <w:t>Mitsuboshi</w:t>
      </w:r>
      <w:proofErr w:type="spellEnd"/>
      <w:r w:rsidRPr="001F5558">
        <w:rPr>
          <w:rFonts w:ascii="Arial" w:eastAsia="Times New Roman" w:hAnsi="Arial" w:cs="Arial"/>
          <w:sz w:val="20"/>
          <w:szCs w:val="20"/>
        </w:rPr>
        <w:t xml:space="preserve"> et al., 2022</w:t>
      </w:r>
      <w:r w:rsidR="00164CEF" w:rsidRPr="001F5558">
        <w:rPr>
          <w:rFonts w:ascii="Arial" w:eastAsia="Times New Roman" w:hAnsi="Arial" w:cs="Arial"/>
          <w:sz w:val="20"/>
          <w:szCs w:val="20"/>
        </w:rPr>
        <w:t xml:space="preserve">; </w:t>
      </w:r>
      <w:proofErr w:type="spellStart"/>
      <w:r w:rsidR="00164CEF" w:rsidRPr="001F5558">
        <w:rPr>
          <w:rFonts w:ascii="Arial" w:eastAsia="Times New Roman" w:hAnsi="Arial" w:cs="Arial"/>
          <w:sz w:val="20"/>
          <w:szCs w:val="20"/>
        </w:rPr>
        <w:t>Theodorakopoulou</w:t>
      </w:r>
      <w:proofErr w:type="spellEnd"/>
      <w:r w:rsidR="00164CEF" w:rsidRPr="001F5558">
        <w:rPr>
          <w:rFonts w:ascii="Arial" w:eastAsia="Times New Roman" w:hAnsi="Arial" w:cs="Arial"/>
          <w:sz w:val="20"/>
          <w:szCs w:val="20"/>
        </w:rPr>
        <w:t xml:space="preserve"> et al., 2024</w:t>
      </w:r>
      <w:r w:rsidRPr="001F5558">
        <w:rPr>
          <w:rFonts w:ascii="Arial" w:eastAsia="Times New Roman" w:hAnsi="Arial" w:cs="Arial"/>
          <w:sz w:val="20"/>
          <w:szCs w:val="20"/>
        </w:rPr>
        <w:t xml:space="preserve">). They can reduce morbidity and mortality in advanced CKD but may worsen renal function by lowering cardiac output and renal perfusion (Fu et al., 2020). </w:t>
      </w:r>
      <w:r w:rsidR="00067772" w:rsidRPr="001F5558">
        <w:rPr>
          <w:rFonts w:ascii="Arial" w:eastAsia="Times New Roman" w:hAnsi="Arial" w:cs="Arial"/>
          <w:sz w:val="20"/>
          <w:szCs w:val="20"/>
        </w:rPr>
        <w:t>B</w:t>
      </w:r>
      <w:r w:rsidRPr="001F5558">
        <w:rPr>
          <w:rFonts w:ascii="Arial" w:eastAsia="Times New Roman" w:hAnsi="Arial" w:cs="Arial"/>
          <w:sz w:val="20"/>
          <w:szCs w:val="20"/>
        </w:rPr>
        <w:t>eta-blockers are less effective in reducing cardiovascular events</w:t>
      </w:r>
      <w:r w:rsidR="00067772" w:rsidRPr="001F5558">
        <w:rPr>
          <w:rFonts w:ascii="Arial" w:eastAsia="Times New Roman" w:hAnsi="Arial" w:cs="Arial"/>
          <w:sz w:val="20"/>
          <w:szCs w:val="20"/>
        </w:rPr>
        <w:t xml:space="preserve"> when compared to other antihypertensive classes</w:t>
      </w:r>
      <w:r w:rsidRPr="001F5558">
        <w:rPr>
          <w:rFonts w:ascii="Arial" w:eastAsia="Times New Roman" w:hAnsi="Arial" w:cs="Arial"/>
          <w:sz w:val="20"/>
          <w:szCs w:val="20"/>
        </w:rPr>
        <w:t xml:space="preserve"> (</w:t>
      </w:r>
      <w:proofErr w:type="spellStart"/>
      <w:r w:rsidR="00164CEF" w:rsidRPr="001F5558">
        <w:rPr>
          <w:rFonts w:ascii="Arial" w:eastAsia="Times New Roman" w:hAnsi="Arial" w:cs="Arial"/>
          <w:sz w:val="20"/>
          <w:szCs w:val="20"/>
        </w:rPr>
        <w:t>Georgianos</w:t>
      </w:r>
      <w:proofErr w:type="spellEnd"/>
      <w:r w:rsidR="00164CEF" w:rsidRPr="001F5558">
        <w:rPr>
          <w:rFonts w:ascii="Arial" w:eastAsia="Times New Roman" w:hAnsi="Arial" w:cs="Arial"/>
          <w:sz w:val="20"/>
          <w:szCs w:val="20"/>
        </w:rPr>
        <w:t xml:space="preserve"> </w:t>
      </w:r>
      <w:r w:rsidR="00800A18" w:rsidRPr="001F5558">
        <w:rPr>
          <w:rFonts w:ascii="Arial" w:eastAsia="Times New Roman" w:hAnsi="Arial" w:cs="Arial"/>
          <w:sz w:val="20"/>
          <w:szCs w:val="20"/>
        </w:rPr>
        <w:t xml:space="preserve">&amp; Agarwal, </w:t>
      </w:r>
      <w:r w:rsidR="00164CEF" w:rsidRPr="001F5558">
        <w:rPr>
          <w:rFonts w:ascii="Arial" w:eastAsia="Times New Roman" w:hAnsi="Arial" w:cs="Arial"/>
          <w:sz w:val="20"/>
          <w:szCs w:val="20"/>
        </w:rPr>
        <w:t xml:space="preserve">2023; </w:t>
      </w:r>
      <w:proofErr w:type="spellStart"/>
      <w:r w:rsidR="00164CEF" w:rsidRPr="001F5558">
        <w:rPr>
          <w:rFonts w:ascii="Arial" w:eastAsia="Times New Roman" w:hAnsi="Arial" w:cs="Arial"/>
          <w:sz w:val="20"/>
          <w:szCs w:val="20"/>
        </w:rPr>
        <w:t>Theodorakopoulou</w:t>
      </w:r>
      <w:proofErr w:type="spellEnd"/>
      <w:r w:rsidR="00164CEF" w:rsidRPr="001F5558">
        <w:rPr>
          <w:rFonts w:ascii="Arial" w:eastAsia="Times New Roman" w:hAnsi="Arial" w:cs="Arial"/>
          <w:sz w:val="20"/>
          <w:szCs w:val="20"/>
        </w:rPr>
        <w:t xml:space="preserve"> et al., 2024</w:t>
      </w:r>
      <w:r w:rsidR="00027BFA" w:rsidRPr="001F5558">
        <w:rPr>
          <w:rFonts w:ascii="Arial" w:eastAsia="Times New Roman" w:hAnsi="Arial" w:cs="Arial"/>
          <w:sz w:val="20"/>
          <w:szCs w:val="20"/>
        </w:rPr>
        <w:t>; Schmieder, 2025</w:t>
      </w:r>
      <w:r w:rsidRPr="001F5558">
        <w:rPr>
          <w:rFonts w:ascii="Arial" w:eastAsia="Times New Roman" w:hAnsi="Arial" w:cs="Arial"/>
          <w:sz w:val="20"/>
          <w:szCs w:val="20"/>
        </w:rPr>
        <w:t xml:space="preserve">). </w:t>
      </w:r>
      <w:r w:rsidR="00516DA3" w:rsidRPr="001F5558">
        <w:rPr>
          <w:rFonts w:ascii="Arial" w:eastAsia="Times New Roman" w:hAnsi="Arial" w:cs="Arial"/>
          <w:sz w:val="20"/>
          <w:szCs w:val="20"/>
        </w:rPr>
        <w:t xml:space="preserve">Vasodilators </w:t>
      </w:r>
      <w:r w:rsidR="006749C8" w:rsidRPr="001F5558">
        <w:rPr>
          <w:rFonts w:ascii="Arial" w:eastAsia="Times New Roman" w:hAnsi="Arial" w:cs="Arial"/>
          <w:sz w:val="20"/>
          <w:szCs w:val="20"/>
        </w:rPr>
        <w:t xml:space="preserve">can </w:t>
      </w:r>
      <w:r w:rsidR="00645A5B" w:rsidRPr="001F5558">
        <w:rPr>
          <w:rFonts w:ascii="Arial" w:eastAsia="Times New Roman" w:hAnsi="Arial" w:cs="Arial"/>
          <w:sz w:val="20"/>
          <w:szCs w:val="20"/>
        </w:rPr>
        <w:t xml:space="preserve">widen </w:t>
      </w:r>
      <w:r w:rsidR="00516DA3" w:rsidRPr="001F5558">
        <w:rPr>
          <w:rFonts w:ascii="Arial" w:eastAsia="Times New Roman" w:hAnsi="Arial" w:cs="Arial"/>
          <w:sz w:val="20"/>
          <w:szCs w:val="20"/>
        </w:rPr>
        <w:t>the constriction of blood vessels</w:t>
      </w:r>
      <w:r w:rsidR="00645A5B" w:rsidRPr="001F5558">
        <w:rPr>
          <w:rFonts w:ascii="Arial" w:eastAsia="Times New Roman" w:hAnsi="Arial" w:cs="Arial"/>
          <w:sz w:val="20"/>
          <w:szCs w:val="20"/>
        </w:rPr>
        <w:t xml:space="preserve">, resulting in </w:t>
      </w:r>
      <w:r w:rsidR="00516DA3" w:rsidRPr="001F5558">
        <w:rPr>
          <w:rFonts w:ascii="Arial" w:eastAsia="Times New Roman" w:hAnsi="Arial" w:cs="Arial"/>
          <w:sz w:val="20"/>
          <w:szCs w:val="20"/>
        </w:rPr>
        <w:t xml:space="preserve">increased blood flow to various organs in the body, making them useful in the treatment of </w:t>
      </w:r>
      <w:r w:rsidR="00454E33" w:rsidRPr="001F5558">
        <w:rPr>
          <w:rFonts w:ascii="Arial" w:eastAsia="Times New Roman" w:hAnsi="Arial" w:cs="Arial"/>
          <w:sz w:val="20"/>
          <w:szCs w:val="20"/>
        </w:rPr>
        <w:t>HTN</w:t>
      </w:r>
      <w:r w:rsidR="00516DA3" w:rsidRPr="001F5558">
        <w:rPr>
          <w:rFonts w:ascii="Arial" w:eastAsia="Times New Roman" w:hAnsi="Arial" w:cs="Arial"/>
          <w:sz w:val="20"/>
          <w:szCs w:val="20"/>
        </w:rPr>
        <w:t xml:space="preserve">. </w:t>
      </w:r>
      <w:r w:rsidR="00645A5B" w:rsidRPr="001F5558">
        <w:rPr>
          <w:rFonts w:ascii="Arial" w:eastAsia="Times New Roman" w:hAnsi="Arial" w:cs="Arial"/>
          <w:sz w:val="20"/>
          <w:szCs w:val="20"/>
        </w:rPr>
        <w:t>Hydralazine</w:t>
      </w:r>
      <w:r w:rsidR="00ED16F6" w:rsidRPr="001F5558">
        <w:rPr>
          <w:rFonts w:ascii="Arial" w:eastAsia="Times New Roman" w:hAnsi="Arial" w:cs="Arial"/>
          <w:sz w:val="20"/>
          <w:szCs w:val="20"/>
        </w:rPr>
        <w:t xml:space="preserve"> is a</w:t>
      </w:r>
      <w:r w:rsidR="00645A5B" w:rsidRPr="001F5558">
        <w:rPr>
          <w:rFonts w:ascii="Arial" w:eastAsia="Times New Roman" w:hAnsi="Arial" w:cs="Arial"/>
          <w:sz w:val="20"/>
          <w:szCs w:val="20"/>
        </w:rPr>
        <w:t xml:space="preserve"> d</w:t>
      </w:r>
      <w:r w:rsidR="004B507E" w:rsidRPr="001F5558">
        <w:rPr>
          <w:rFonts w:ascii="Arial" w:eastAsia="Times New Roman" w:hAnsi="Arial" w:cs="Arial"/>
          <w:sz w:val="20"/>
          <w:szCs w:val="20"/>
        </w:rPr>
        <w:t xml:space="preserve">irect </w:t>
      </w:r>
      <w:r w:rsidR="00645A5B" w:rsidRPr="001F5558">
        <w:rPr>
          <w:rFonts w:ascii="Arial" w:eastAsia="Times New Roman" w:hAnsi="Arial" w:cs="Arial"/>
          <w:sz w:val="20"/>
          <w:szCs w:val="20"/>
        </w:rPr>
        <w:t>vasodilator</w:t>
      </w:r>
      <w:r w:rsidR="006749C8" w:rsidRPr="001F5558">
        <w:rPr>
          <w:rFonts w:ascii="Arial" w:eastAsia="Times New Roman" w:hAnsi="Arial" w:cs="Arial"/>
          <w:sz w:val="20"/>
          <w:szCs w:val="20"/>
        </w:rPr>
        <w:t xml:space="preserve"> used for the treatment of </w:t>
      </w:r>
      <w:r w:rsidR="00454E33" w:rsidRPr="001F5558">
        <w:rPr>
          <w:rFonts w:ascii="Arial" w:eastAsia="Times New Roman" w:hAnsi="Arial" w:cs="Arial"/>
          <w:sz w:val="20"/>
          <w:szCs w:val="20"/>
        </w:rPr>
        <w:t>HTN</w:t>
      </w:r>
      <w:r w:rsidR="004B507E" w:rsidRPr="001F5558">
        <w:rPr>
          <w:rFonts w:ascii="Arial" w:eastAsia="Times New Roman" w:hAnsi="Arial" w:cs="Arial"/>
          <w:sz w:val="20"/>
          <w:szCs w:val="20"/>
        </w:rPr>
        <w:t>. It reduc</w:t>
      </w:r>
      <w:r w:rsidR="00516DA3" w:rsidRPr="001F5558">
        <w:rPr>
          <w:rFonts w:ascii="Arial" w:eastAsia="Times New Roman" w:hAnsi="Arial" w:cs="Arial"/>
          <w:sz w:val="20"/>
          <w:szCs w:val="20"/>
        </w:rPr>
        <w:t>es</w:t>
      </w:r>
      <w:r w:rsidR="004B507E" w:rsidRPr="001F5558">
        <w:rPr>
          <w:rFonts w:ascii="Arial" w:eastAsia="Times New Roman" w:hAnsi="Arial" w:cs="Arial"/>
          <w:sz w:val="20"/>
          <w:szCs w:val="20"/>
        </w:rPr>
        <w:t xml:space="preserve"> proteinuria and glomerular sclerosis</w:t>
      </w:r>
      <w:r w:rsidR="00516DA3" w:rsidRPr="001F5558">
        <w:rPr>
          <w:rFonts w:ascii="Arial" w:eastAsia="Times New Roman" w:hAnsi="Arial" w:cs="Arial"/>
          <w:sz w:val="20"/>
          <w:szCs w:val="20"/>
        </w:rPr>
        <w:t xml:space="preserve">, </w:t>
      </w:r>
      <w:r w:rsidR="00645A5B" w:rsidRPr="001F5558">
        <w:rPr>
          <w:rFonts w:ascii="Arial" w:eastAsia="Times New Roman" w:hAnsi="Arial" w:cs="Arial"/>
          <w:sz w:val="20"/>
          <w:szCs w:val="20"/>
        </w:rPr>
        <w:t>resulting</w:t>
      </w:r>
      <w:r w:rsidR="00516DA3" w:rsidRPr="001F5558">
        <w:rPr>
          <w:rFonts w:ascii="Arial" w:eastAsia="Times New Roman" w:hAnsi="Arial" w:cs="Arial"/>
          <w:sz w:val="20"/>
          <w:szCs w:val="20"/>
        </w:rPr>
        <w:t xml:space="preserve"> in renal protection</w:t>
      </w:r>
      <w:r w:rsidR="004B507E" w:rsidRPr="001F5558">
        <w:rPr>
          <w:rFonts w:ascii="Arial" w:eastAsia="Times New Roman" w:hAnsi="Arial" w:cs="Arial"/>
          <w:sz w:val="20"/>
          <w:szCs w:val="20"/>
        </w:rPr>
        <w:t xml:space="preserve">. The initial dose </w:t>
      </w:r>
      <w:r w:rsidR="00516DA3" w:rsidRPr="001F5558">
        <w:rPr>
          <w:rFonts w:ascii="Arial" w:eastAsia="Times New Roman" w:hAnsi="Arial" w:cs="Arial"/>
          <w:sz w:val="20"/>
          <w:szCs w:val="20"/>
        </w:rPr>
        <w:t xml:space="preserve">is </w:t>
      </w:r>
      <w:r w:rsidR="004B507E" w:rsidRPr="001F5558">
        <w:rPr>
          <w:rFonts w:ascii="Arial" w:eastAsia="Times New Roman" w:hAnsi="Arial" w:cs="Arial"/>
          <w:sz w:val="20"/>
          <w:szCs w:val="20"/>
        </w:rPr>
        <w:t>10</w:t>
      </w:r>
      <w:r w:rsidR="00516DA3" w:rsidRPr="001F5558">
        <w:rPr>
          <w:rFonts w:ascii="Arial" w:eastAsia="Times New Roman" w:hAnsi="Arial" w:cs="Arial"/>
          <w:sz w:val="20"/>
          <w:szCs w:val="20"/>
        </w:rPr>
        <w:t>-</w:t>
      </w:r>
      <w:r w:rsidR="004B507E" w:rsidRPr="001F5558">
        <w:rPr>
          <w:rFonts w:ascii="Arial" w:eastAsia="Times New Roman" w:hAnsi="Arial" w:cs="Arial"/>
          <w:sz w:val="20"/>
          <w:szCs w:val="20"/>
        </w:rPr>
        <w:t>25 mg (max: 300 mg/day) (</w:t>
      </w:r>
      <w:r w:rsidR="00E244F4" w:rsidRPr="001F5558">
        <w:rPr>
          <w:rFonts w:ascii="Arial" w:eastAsia="Times New Roman" w:hAnsi="Arial" w:cs="Arial"/>
          <w:sz w:val="20"/>
          <w:szCs w:val="20"/>
        </w:rPr>
        <w:t xml:space="preserve">Chang &amp; Chen, 2022; </w:t>
      </w:r>
      <w:proofErr w:type="spellStart"/>
      <w:r w:rsidR="00B72DD3" w:rsidRPr="001F5558">
        <w:rPr>
          <w:rFonts w:ascii="Arial" w:eastAsia="Times New Roman" w:hAnsi="Arial" w:cs="Arial"/>
          <w:sz w:val="20"/>
          <w:szCs w:val="20"/>
        </w:rPr>
        <w:t>Mavrakanas</w:t>
      </w:r>
      <w:proofErr w:type="spellEnd"/>
      <w:r w:rsidR="00B72DD3" w:rsidRPr="001F5558">
        <w:rPr>
          <w:rFonts w:ascii="Arial" w:eastAsia="Times New Roman" w:hAnsi="Arial" w:cs="Arial"/>
          <w:sz w:val="20"/>
          <w:szCs w:val="20"/>
        </w:rPr>
        <w:t>, 2022</w:t>
      </w:r>
      <w:r w:rsidR="004B507E" w:rsidRPr="001F5558">
        <w:rPr>
          <w:rFonts w:ascii="Arial" w:eastAsia="Times New Roman" w:hAnsi="Arial" w:cs="Arial"/>
          <w:sz w:val="20"/>
          <w:szCs w:val="20"/>
        </w:rPr>
        <w:t>)</w:t>
      </w:r>
      <w:r w:rsidR="0010318B" w:rsidRPr="001F5558">
        <w:rPr>
          <w:rFonts w:ascii="Arial" w:eastAsia="Times New Roman" w:hAnsi="Arial" w:cs="Arial"/>
          <w:sz w:val="20"/>
          <w:szCs w:val="20"/>
        </w:rPr>
        <w:t xml:space="preserve">. Minoxidil </w:t>
      </w:r>
      <w:r w:rsidR="0032104D" w:rsidRPr="001F5558">
        <w:rPr>
          <w:rFonts w:ascii="Arial" w:eastAsia="Times New Roman" w:hAnsi="Arial" w:cs="Arial"/>
          <w:sz w:val="20"/>
          <w:szCs w:val="20"/>
        </w:rPr>
        <w:t xml:space="preserve">is </w:t>
      </w:r>
      <w:r w:rsidR="004B507E" w:rsidRPr="001F5558">
        <w:rPr>
          <w:rFonts w:ascii="Arial" w:eastAsia="Times New Roman" w:hAnsi="Arial" w:cs="Arial"/>
          <w:sz w:val="20"/>
          <w:szCs w:val="20"/>
        </w:rPr>
        <w:t xml:space="preserve">a </w:t>
      </w:r>
      <w:r w:rsidR="00516DA3" w:rsidRPr="001F5558">
        <w:rPr>
          <w:rFonts w:ascii="Arial" w:eastAsia="Times New Roman" w:hAnsi="Arial" w:cs="Arial"/>
          <w:sz w:val="20"/>
          <w:szCs w:val="20"/>
        </w:rPr>
        <w:t xml:space="preserve">strong </w:t>
      </w:r>
      <w:r w:rsidR="004B507E" w:rsidRPr="001F5558">
        <w:rPr>
          <w:rFonts w:ascii="Arial" w:eastAsia="Times New Roman" w:hAnsi="Arial" w:cs="Arial"/>
          <w:sz w:val="20"/>
          <w:szCs w:val="20"/>
        </w:rPr>
        <w:t xml:space="preserve">reserve antihypertensive that lowers blood pressure. </w:t>
      </w:r>
      <w:r w:rsidR="0010318B" w:rsidRPr="001F5558">
        <w:rPr>
          <w:rFonts w:ascii="Arial" w:eastAsia="Times New Roman" w:hAnsi="Arial" w:cs="Arial"/>
          <w:sz w:val="20"/>
          <w:szCs w:val="20"/>
        </w:rPr>
        <w:t xml:space="preserve">The initial </w:t>
      </w:r>
      <w:r w:rsidR="004B507E" w:rsidRPr="001F5558">
        <w:rPr>
          <w:rFonts w:ascii="Arial" w:eastAsia="Times New Roman" w:hAnsi="Arial" w:cs="Arial"/>
          <w:sz w:val="20"/>
          <w:szCs w:val="20"/>
        </w:rPr>
        <w:t>dose</w:t>
      </w:r>
      <w:r w:rsidR="0010318B" w:rsidRPr="001F5558">
        <w:rPr>
          <w:rFonts w:ascii="Arial" w:eastAsia="Times New Roman" w:hAnsi="Arial" w:cs="Arial"/>
          <w:sz w:val="20"/>
          <w:szCs w:val="20"/>
        </w:rPr>
        <w:t xml:space="preserve"> is </w:t>
      </w:r>
      <w:r w:rsidR="004B507E" w:rsidRPr="001F5558">
        <w:rPr>
          <w:rFonts w:ascii="Arial" w:eastAsia="Times New Roman" w:hAnsi="Arial" w:cs="Arial"/>
          <w:sz w:val="20"/>
          <w:szCs w:val="20"/>
        </w:rPr>
        <w:t>5</w:t>
      </w:r>
      <w:r w:rsidR="0010318B" w:rsidRPr="001F5558">
        <w:rPr>
          <w:rFonts w:ascii="Arial" w:eastAsia="Times New Roman" w:hAnsi="Arial" w:cs="Arial"/>
          <w:sz w:val="20"/>
          <w:szCs w:val="20"/>
        </w:rPr>
        <w:t>-</w:t>
      </w:r>
      <w:r w:rsidR="004B507E" w:rsidRPr="001F5558">
        <w:rPr>
          <w:rFonts w:ascii="Arial" w:eastAsia="Times New Roman" w:hAnsi="Arial" w:cs="Arial"/>
          <w:sz w:val="20"/>
          <w:szCs w:val="20"/>
        </w:rPr>
        <w:t>40 mg/da</w:t>
      </w:r>
      <w:r w:rsidR="0010318B" w:rsidRPr="001F5558">
        <w:rPr>
          <w:rFonts w:ascii="Arial" w:eastAsia="Times New Roman" w:hAnsi="Arial" w:cs="Arial"/>
          <w:sz w:val="20"/>
          <w:szCs w:val="20"/>
        </w:rPr>
        <w:t>y (max: 100</w:t>
      </w:r>
      <w:r w:rsidR="004B507E" w:rsidRPr="001F5558">
        <w:rPr>
          <w:rFonts w:ascii="Arial" w:eastAsia="Times New Roman" w:hAnsi="Arial" w:cs="Arial"/>
          <w:sz w:val="20"/>
          <w:szCs w:val="20"/>
        </w:rPr>
        <w:t xml:space="preserve"> mg/day</w:t>
      </w:r>
      <w:r w:rsidR="0010318B" w:rsidRPr="001F5558">
        <w:rPr>
          <w:rFonts w:ascii="Arial" w:eastAsia="Times New Roman" w:hAnsi="Arial" w:cs="Arial"/>
          <w:sz w:val="20"/>
          <w:szCs w:val="20"/>
        </w:rPr>
        <w:t>)</w:t>
      </w:r>
      <w:r w:rsidR="004B507E" w:rsidRPr="001F5558">
        <w:rPr>
          <w:rFonts w:ascii="Arial" w:eastAsia="Times New Roman" w:hAnsi="Arial" w:cs="Arial"/>
          <w:sz w:val="20"/>
          <w:szCs w:val="20"/>
        </w:rPr>
        <w:t xml:space="preserve"> (</w:t>
      </w:r>
      <w:proofErr w:type="spellStart"/>
      <w:r w:rsidR="00164CEF" w:rsidRPr="001F5558">
        <w:rPr>
          <w:rFonts w:ascii="Arial" w:eastAsia="Times New Roman" w:hAnsi="Arial" w:cs="Arial"/>
          <w:sz w:val="20"/>
          <w:szCs w:val="20"/>
        </w:rPr>
        <w:t>Georgianos</w:t>
      </w:r>
      <w:proofErr w:type="spellEnd"/>
      <w:r w:rsidR="00164CEF" w:rsidRPr="001F5558">
        <w:rPr>
          <w:rFonts w:ascii="Arial" w:eastAsia="Times New Roman" w:hAnsi="Arial" w:cs="Arial"/>
          <w:sz w:val="20"/>
          <w:szCs w:val="20"/>
        </w:rPr>
        <w:t xml:space="preserve"> </w:t>
      </w:r>
      <w:r w:rsidR="007D1794" w:rsidRPr="001F5558">
        <w:rPr>
          <w:rFonts w:ascii="Arial" w:eastAsia="Times New Roman" w:hAnsi="Arial" w:cs="Arial"/>
          <w:sz w:val="20"/>
          <w:szCs w:val="20"/>
        </w:rPr>
        <w:t xml:space="preserve">&amp; Agarwal, </w:t>
      </w:r>
      <w:r w:rsidR="00164CEF" w:rsidRPr="001F5558">
        <w:rPr>
          <w:rFonts w:ascii="Arial" w:eastAsia="Times New Roman" w:hAnsi="Arial" w:cs="Arial"/>
          <w:sz w:val="20"/>
          <w:szCs w:val="20"/>
        </w:rPr>
        <w:t>2023</w:t>
      </w:r>
      <w:r w:rsidR="0026354A" w:rsidRPr="001F5558">
        <w:rPr>
          <w:rFonts w:ascii="Arial" w:eastAsia="Times New Roman" w:hAnsi="Arial" w:cs="Arial"/>
          <w:sz w:val="20"/>
          <w:szCs w:val="20"/>
        </w:rPr>
        <w:t xml:space="preserve">; Bursztyn </w:t>
      </w:r>
      <w:r w:rsidR="00616ABC" w:rsidRPr="001F5558">
        <w:rPr>
          <w:rFonts w:ascii="Arial" w:eastAsia="Times New Roman" w:hAnsi="Arial" w:cs="Arial"/>
          <w:sz w:val="20"/>
          <w:szCs w:val="20"/>
        </w:rPr>
        <w:t xml:space="preserve">&amp; </w:t>
      </w:r>
      <w:r w:rsidR="00616ABC" w:rsidRPr="001F5558">
        <w:rPr>
          <w:rFonts w:ascii="Arial" w:hAnsi="Arial" w:cs="Arial"/>
          <w:sz w:val="20"/>
          <w:szCs w:val="20"/>
        </w:rPr>
        <w:t xml:space="preserve">Ben-Dov, </w:t>
      </w:r>
      <w:r w:rsidR="0026354A" w:rsidRPr="001F5558">
        <w:rPr>
          <w:rFonts w:ascii="Arial" w:eastAsia="Times New Roman" w:hAnsi="Arial" w:cs="Arial"/>
          <w:sz w:val="20"/>
          <w:szCs w:val="20"/>
        </w:rPr>
        <w:t>2025</w:t>
      </w:r>
      <w:r w:rsidR="004B507E" w:rsidRPr="001F5558">
        <w:rPr>
          <w:rFonts w:ascii="Arial" w:eastAsia="Times New Roman" w:hAnsi="Arial" w:cs="Arial"/>
          <w:sz w:val="20"/>
          <w:szCs w:val="20"/>
        </w:rPr>
        <w:t>).</w:t>
      </w:r>
      <w:r w:rsidR="0010318B" w:rsidRPr="001F5558">
        <w:rPr>
          <w:rFonts w:ascii="Arial" w:eastAsia="Times New Roman" w:hAnsi="Arial" w:cs="Arial"/>
          <w:sz w:val="20"/>
          <w:szCs w:val="20"/>
        </w:rPr>
        <w:t xml:space="preserve"> </w:t>
      </w:r>
      <w:r w:rsidR="004B507E" w:rsidRPr="001F5558">
        <w:rPr>
          <w:rFonts w:ascii="Arial" w:eastAsia="Times New Roman" w:hAnsi="Arial" w:cs="Arial"/>
          <w:sz w:val="20"/>
          <w:szCs w:val="20"/>
        </w:rPr>
        <w:t xml:space="preserve">Centrally acting drugs </w:t>
      </w:r>
      <w:r w:rsidR="0010318B" w:rsidRPr="001F5558">
        <w:rPr>
          <w:rFonts w:ascii="Arial" w:eastAsia="Times New Roman" w:hAnsi="Arial" w:cs="Arial"/>
          <w:sz w:val="20"/>
          <w:szCs w:val="20"/>
        </w:rPr>
        <w:t xml:space="preserve">like </w:t>
      </w:r>
      <w:r w:rsidR="004B507E" w:rsidRPr="001F5558">
        <w:rPr>
          <w:rFonts w:ascii="Arial" w:eastAsia="Times New Roman" w:hAnsi="Arial" w:cs="Arial"/>
          <w:sz w:val="20"/>
          <w:szCs w:val="20"/>
        </w:rPr>
        <w:t xml:space="preserve">clonidine, methyldopa, guanfacine, </w:t>
      </w:r>
      <w:r w:rsidR="0010318B" w:rsidRPr="001F5558">
        <w:rPr>
          <w:rFonts w:ascii="Arial" w:eastAsia="Times New Roman" w:hAnsi="Arial" w:cs="Arial"/>
          <w:sz w:val="20"/>
          <w:szCs w:val="20"/>
        </w:rPr>
        <w:t xml:space="preserve">and </w:t>
      </w:r>
      <w:proofErr w:type="spellStart"/>
      <w:r w:rsidR="004B507E" w:rsidRPr="001F5558">
        <w:rPr>
          <w:rFonts w:ascii="Arial" w:eastAsia="Times New Roman" w:hAnsi="Arial" w:cs="Arial"/>
          <w:sz w:val="20"/>
          <w:szCs w:val="20"/>
        </w:rPr>
        <w:t>moxonidine</w:t>
      </w:r>
      <w:proofErr w:type="spellEnd"/>
      <w:r w:rsidR="0010318B" w:rsidRPr="001F5558">
        <w:rPr>
          <w:rFonts w:ascii="Arial" w:eastAsia="Times New Roman" w:hAnsi="Arial" w:cs="Arial"/>
          <w:sz w:val="20"/>
          <w:szCs w:val="20"/>
        </w:rPr>
        <w:t xml:space="preserve"> </w:t>
      </w:r>
      <w:r w:rsidR="004B507E" w:rsidRPr="001F5558">
        <w:rPr>
          <w:rFonts w:ascii="Arial" w:eastAsia="Times New Roman" w:hAnsi="Arial" w:cs="Arial"/>
          <w:sz w:val="20"/>
          <w:szCs w:val="20"/>
        </w:rPr>
        <w:t>reduce sympathetic tone via α</w:t>
      </w:r>
      <w:r w:rsidR="00645A5B" w:rsidRPr="001F5558">
        <w:rPr>
          <w:rFonts w:ascii="Arial" w:eastAsia="Times New Roman" w:hAnsi="Arial" w:cs="Arial"/>
          <w:sz w:val="20"/>
          <w:szCs w:val="20"/>
        </w:rPr>
        <w:t xml:space="preserve"> </w:t>
      </w:r>
      <w:r w:rsidR="004B507E" w:rsidRPr="001F5558">
        <w:rPr>
          <w:rFonts w:ascii="Arial" w:eastAsia="Times New Roman" w:hAnsi="Arial" w:cs="Arial"/>
          <w:sz w:val="20"/>
          <w:szCs w:val="20"/>
        </w:rPr>
        <w:t>2-adrenergic receptor activation in the brain, lowering blood pressure without adverse metabolic effects. (</w:t>
      </w:r>
      <w:proofErr w:type="spellStart"/>
      <w:r w:rsidR="0010318B" w:rsidRPr="001F5558">
        <w:rPr>
          <w:rFonts w:ascii="Arial" w:eastAsia="Times New Roman" w:hAnsi="Arial" w:cs="Arial"/>
          <w:sz w:val="20"/>
          <w:szCs w:val="20"/>
        </w:rPr>
        <w:t>Polychronopoulou</w:t>
      </w:r>
      <w:proofErr w:type="spellEnd"/>
      <w:r w:rsidR="0010318B" w:rsidRPr="001F5558">
        <w:rPr>
          <w:rFonts w:ascii="Arial" w:eastAsia="Times New Roman" w:hAnsi="Arial" w:cs="Arial"/>
          <w:sz w:val="20"/>
          <w:szCs w:val="20"/>
        </w:rPr>
        <w:t xml:space="preserve"> et al., 2021</w:t>
      </w:r>
      <w:r w:rsidR="000F5867" w:rsidRPr="001F5558">
        <w:rPr>
          <w:rFonts w:ascii="Arial" w:eastAsia="Times New Roman" w:hAnsi="Arial" w:cs="Arial"/>
          <w:sz w:val="20"/>
          <w:szCs w:val="20"/>
        </w:rPr>
        <w:t xml:space="preserve">; </w:t>
      </w:r>
      <w:proofErr w:type="spellStart"/>
      <w:r w:rsidR="000F5867" w:rsidRPr="001F5558">
        <w:rPr>
          <w:rFonts w:ascii="Arial" w:eastAsia="Times New Roman" w:hAnsi="Arial" w:cs="Arial"/>
          <w:sz w:val="20"/>
          <w:szCs w:val="20"/>
        </w:rPr>
        <w:t>Theodorakopoulou</w:t>
      </w:r>
      <w:proofErr w:type="spellEnd"/>
      <w:r w:rsidR="000F5867" w:rsidRPr="001F5558">
        <w:rPr>
          <w:rFonts w:ascii="Arial" w:eastAsia="Times New Roman" w:hAnsi="Arial" w:cs="Arial"/>
          <w:sz w:val="20"/>
          <w:szCs w:val="20"/>
        </w:rPr>
        <w:t xml:space="preserve"> et al., 2024; </w:t>
      </w:r>
      <w:r w:rsidR="0026354A" w:rsidRPr="001F5558">
        <w:rPr>
          <w:rFonts w:ascii="Arial" w:eastAsia="Times New Roman" w:hAnsi="Arial" w:cs="Arial"/>
          <w:sz w:val="20"/>
          <w:szCs w:val="20"/>
        </w:rPr>
        <w:t>Bursztyn</w:t>
      </w:r>
      <w:r w:rsidR="00296C49" w:rsidRPr="001F5558">
        <w:rPr>
          <w:rFonts w:ascii="Arial" w:eastAsia="Times New Roman" w:hAnsi="Arial" w:cs="Arial"/>
          <w:sz w:val="20"/>
          <w:szCs w:val="20"/>
        </w:rPr>
        <w:t xml:space="preserve"> &amp; </w:t>
      </w:r>
      <w:r w:rsidR="00296C49" w:rsidRPr="001F5558">
        <w:rPr>
          <w:rFonts w:ascii="Arial" w:hAnsi="Arial" w:cs="Arial"/>
          <w:sz w:val="20"/>
          <w:szCs w:val="20"/>
        </w:rPr>
        <w:t xml:space="preserve">Ben-Dov, </w:t>
      </w:r>
      <w:r w:rsidR="00296C49" w:rsidRPr="001F5558">
        <w:rPr>
          <w:rFonts w:ascii="Arial" w:eastAsia="Times New Roman" w:hAnsi="Arial" w:cs="Arial"/>
          <w:sz w:val="20"/>
          <w:szCs w:val="20"/>
        </w:rPr>
        <w:t>2025</w:t>
      </w:r>
      <w:r w:rsidR="0026354A" w:rsidRPr="001F5558">
        <w:rPr>
          <w:rFonts w:ascii="Arial" w:eastAsia="Times New Roman" w:hAnsi="Arial" w:cs="Arial"/>
          <w:sz w:val="20"/>
          <w:szCs w:val="20"/>
        </w:rPr>
        <w:t xml:space="preserve">; </w:t>
      </w:r>
      <w:r w:rsidR="000F5867" w:rsidRPr="001F5558">
        <w:rPr>
          <w:rFonts w:ascii="Arial" w:eastAsia="Times New Roman" w:hAnsi="Arial" w:cs="Arial"/>
          <w:sz w:val="20"/>
          <w:szCs w:val="20"/>
        </w:rPr>
        <w:t>Schmieder, 2025</w:t>
      </w:r>
      <w:r w:rsidR="004B507E" w:rsidRPr="001F5558">
        <w:rPr>
          <w:rFonts w:ascii="Arial" w:eastAsia="Times New Roman" w:hAnsi="Arial" w:cs="Arial"/>
          <w:sz w:val="20"/>
          <w:szCs w:val="20"/>
        </w:rPr>
        <w:t>)</w:t>
      </w:r>
      <w:r w:rsidR="00A713B1" w:rsidRPr="001F5558">
        <w:rPr>
          <w:rFonts w:ascii="Arial" w:eastAsia="Times New Roman" w:hAnsi="Arial" w:cs="Arial"/>
          <w:sz w:val="20"/>
          <w:szCs w:val="20"/>
        </w:rPr>
        <w:t xml:space="preserve"> (Table 4)</w:t>
      </w:r>
      <w:r w:rsidR="004B507E" w:rsidRPr="001F5558">
        <w:rPr>
          <w:rFonts w:ascii="Arial" w:eastAsia="Times New Roman" w:hAnsi="Arial" w:cs="Arial"/>
          <w:sz w:val="20"/>
          <w:szCs w:val="20"/>
        </w:rPr>
        <w:t>.</w:t>
      </w:r>
    </w:p>
    <w:p w14:paraId="425D973E" w14:textId="77777777" w:rsidR="008418A6" w:rsidRPr="001F5558" w:rsidRDefault="008418A6" w:rsidP="00257B59">
      <w:pPr>
        <w:spacing w:after="0" w:line="240" w:lineRule="auto"/>
        <w:jc w:val="both"/>
        <w:rPr>
          <w:rFonts w:ascii="Arial" w:eastAsia="Times New Roman" w:hAnsi="Arial" w:cs="Arial"/>
          <w:sz w:val="20"/>
          <w:szCs w:val="20"/>
        </w:rPr>
      </w:pPr>
    </w:p>
    <w:p w14:paraId="2511BC45" w14:textId="6B870CFD" w:rsidR="00347040" w:rsidRPr="001F5558" w:rsidRDefault="00806598" w:rsidP="00257B59">
      <w:pPr>
        <w:spacing w:after="0" w:line="240" w:lineRule="auto"/>
        <w:jc w:val="both"/>
        <w:rPr>
          <w:rFonts w:ascii="Arial" w:hAnsi="Arial" w:cs="Arial"/>
          <w:b/>
          <w:bCs/>
        </w:rPr>
      </w:pPr>
      <w:r w:rsidRPr="001F5558">
        <w:rPr>
          <w:rFonts w:ascii="Arial" w:hAnsi="Arial" w:cs="Arial"/>
          <w:b/>
          <w:bCs/>
        </w:rPr>
        <w:t>4. CONCLUSION</w:t>
      </w:r>
    </w:p>
    <w:p w14:paraId="1D7617A3" w14:textId="77777777" w:rsidR="00806598" w:rsidRPr="001F5558" w:rsidRDefault="00806598" w:rsidP="00257B59">
      <w:pPr>
        <w:spacing w:after="0" w:line="240" w:lineRule="auto"/>
        <w:jc w:val="both"/>
        <w:rPr>
          <w:rFonts w:ascii="Arial" w:hAnsi="Arial" w:cs="Arial"/>
          <w:b/>
          <w:bCs/>
          <w:sz w:val="20"/>
          <w:szCs w:val="20"/>
        </w:rPr>
      </w:pPr>
    </w:p>
    <w:p w14:paraId="3F6D6000" w14:textId="4FB04CC3" w:rsidR="00E872E8" w:rsidRPr="001F5558" w:rsidRDefault="00405128" w:rsidP="00E872E8">
      <w:pPr>
        <w:spacing w:after="0" w:line="240" w:lineRule="auto"/>
        <w:jc w:val="both"/>
        <w:rPr>
          <w:rFonts w:ascii="Arial" w:hAnsi="Arial" w:cs="Arial"/>
          <w:sz w:val="20"/>
          <w:szCs w:val="20"/>
        </w:rPr>
      </w:pPr>
      <w:r w:rsidRPr="001F5558">
        <w:rPr>
          <w:rFonts w:ascii="Arial" w:hAnsi="Arial" w:cs="Arial"/>
          <w:sz w:val="20"/>
          <w:szCs w:val="20"/>
        </w:rPr>
        <w:t xml:space="preserve">CKD is a progressive and irreversible condition that significantly impacts patient health and quality of life. Early detection is important to slowing disease progression, managing complications, and reducing morbidity and mortality risks. The management of </w:t>
      </w:r>
      <w:r w:rsidR="00AB4C91" w:rsidRPr="001F5558">
        <w:rPr>
          <w:rFonts w:ascii="Arial" w:hAnsi="Arial" w:cs="Arial"/>
          <w:sz w:val="20"/>
          <w:szCs w:val="20"/>
        </w:rPr>
        <w:t xml:space="preserve">HTN in </w:t>
      </w:r>
      <w:r w:rsidRPr="001F5558">
        <w:rPr>
          <w:rFonts w:ascii="Arial" w:hAnsi="Arial" w:cs="Arial"/>
          <w:sz w:val="20"/>
          <w:szCs w:val="20"/>
        </w:rPr>
        <w:t xml:space="preserve">CKD </w:t>
      </w:r>
      <w:r w:rsidR="00AB4C91" w:rsidRPr="001F5558">
        <w:rPr>
          <w:rFonts w:ascii="Arial" w:hAnsi="Arial" w:cs="Arial"/>
          <w:sz w:val="20"/>
          <w:szCs w:val="20"/>
        </w:rPr>
        <w:t xml:space="preserve">patients </w:t>
      </w:r>
      <w:r w:rsidRPr="001F5558">
        <w:rPr>
          <w:rFonts w:ascii="Arial" w:hAnsi="Arial" w:cs="Arial"/>
          <w:sz w:val="20"/>
          <w:szCs w:val="20"/>
        </w:rPr>
        <w:t xml:space="preserve">requires a multifaceted approach, including pharmacological </w:t>
      </w:r>
      <w:r w:rsidR="00965EA6" w:rsidRPr="001F5558">
        <w:rPr>
          <w:rFonts w:ascii="Arial" w:hAnsi="Arial" w:cs="Arial"/>
          <w:sz w:val="20"/>
          <w:szCs w:val="20"/>
        </w:rPr>
        <w:t>treatments, such</w:t>
      </w:r>
      <w:r w:rsidRPr="001F5558">
        <w:rPr>
          <w:rFonts w:ascii="Arial" w:hAnsi="Arial" w:cs="Arial"/>
          <w:sz w:val="20"/>
          <w:szCs w:val="20"/>
        </w:rPr>
        <w:t xml:space="preserve"> as RAAS</w:t>
      </w:r>
      <w:r w:rsidR="00850F46" w:rsidRPr="001F5558">
        <w:rPr>
          <w:rFonts w:ascii="Arial" w:hAnsi="Arial" w:cs="Arial"/>
          <w:sz w:val="20"/>
          <w:szCs w:val="20"/>
        </w:rPr>
        <w:t xml:space="preserve"> inhibitors, </w:t>
      </w:r>
      <w:r w:rsidR="00AB4C91" w:rsidRPr="001F5558">
        <w:rPr>
          <w:rFonts w:ascii="Arial" w:hAnsi="Arial" w:cs="Arial"/>
          <w:sz w:val="20"/>
          <w:szCs w:val="20"/>
        </w:rPr>
        <w:t xml:space="preserve">diuretics, and CCBs. Notably, the addition of </w:t>
      </w:r>
      <w:r w:rsidR="00DB3B47" w:rsidRPr="001F5558">
        <w:rPr>
          <w:rFonts w:ascii="Arial" w:hAnsi="Arial" w:cs="Arial"/>
          <w:sz w:val="20"/>
          <w:szCs w:val="20"/>
        </w:rPr>
        <w:t xml:space="preserve">MRAs, </w:t>
      </w:r>
      <w:r w:rsidR="00B7702A" w:rsidRPr="001F5558">
        <w:rPr>
          <w:rFonts w:ascii="Arial" w:hAnsi="Arial" w:cs="Arial"/>
          <w:sz w:val="20"/>
          <w:szCs w:val="20"/>
        </w:rPr>
        <w:t>particularly non-steroidal</w:t>
      </w:r>
      <w:r w:rsidR="00AB4C91" w:rsidRPr="001F5558">
        <w:rPr>
          <w:rFonts w:ascii="Arial" w:hAnsi="Arial" w:cs="Arial"/>
          <w:sz w:val="20"/>
          <w:szCs w:val="20"/>
        </w:rPr>
        <w:t xml:space="preserve">, is strongly recommended to improve renal function and reduce progression of kidney disease </w:t>
      </w:r>
      <w:r w:rsidR="00DB3B47" w:rsidRPr="001F5558">
        <w:rPr>
          <w:rFonts w:ascii="Arial" w:hAnsi="Arial" w:cs="Arial"/>
          <w:sz w:val="20"/>
          <w:szCs w:val="20"/>
        </w:rPr>
        <w:t>to achieve the desired</w:t>
      </w:r>
      <w:r w:rsidR="00AB4C91" w:rsidRPr="001F5558">
        <w:rPr>
          <w:rFonts w:ascii="Arial" w:hAnsi="Arial" w:cs="Arial"/>
          <w:sz w:val="20"/>
          <w:szCs w:val="20"/>
        </w:rPr>
        <w:t xml:space="preserve"> therapeutic benefits of antihypertensive drugs. Early detection and management </w:t>
      </w:r>
      <w:r w:rsidR="00D777D8" w:rsidRPr="001F5558">
        <w:rPr>
          <w:rFonts w:ascii="Arial" w:hAnsi="Arial" w:cs="Arial"/>
          <w:sz w:val="20"/>
          <w:szCs w:val="20"/>
        </w:rPr>
        <w:t xml:space="preserve">of HTN </w:t>
      </w:r>
      <w:r w:rsidR="00AB4C91" w:rsidRPr="001F5558">
        <w:rPr>
          <w:rFonts w:ascii="Arial" w:hAnsi="Arial" w:cs="Arial"/>
          <w:sz w:val="20"/>
          <w:szCs w:val="20"/>
        </w:rPr>
        <w:t>are important to reduce complications and improve patient outcomes in CKD.</w:t>
      </w:r>
      <w:r w:rsidR="0076722C" w:rsidRPr="001F5558">
        <w:rPr>
          <w:rFonts w:ascii="Arial" w:hAnsi="Arial" w:cs="Arial"/>
          <w:sz w:val="20"/>
          <w:szCs w:val="20"/>
        </w:rPr>
        <w:t xml:space="preserve"> Essentially, focusing on the outcomes </w:t>
      </w:r>
      <w:r w:rsidR="00C449D3" w:rsidRPr="001F5558">
        <w:rPr>
          <w:rFonts w:ascii="Arial" w:hAnsi="Arial" w:cs="Arial"/>
          <w:sz w:val="20"/>
          <w:szCs w:val="20"/>
        </w:rPr>
        <w:t xml:space="preserve">and endpoints </w:t>
      </w:r>
      <w:r w:rsidR="0076722C" w:rsidRPr="001F5558">
        <w:rPr>
          <w:rFonts w:ascii="Arial" w:hAnsi="Arial" w:cs="Arial"/>
          <w:sz w:val="20"/>
          <w:szCs w:val="20"/>
        </w:rPr>
        <w:t xml:space="preserve">of randomized clinical </w:t>
      </w:r>
      <w:r w:rsidR="00075710" w:rsidRPr="001F5558">
        <w:rPr>
          <w:rFonts w:ascii="Arial" w:hAnsi="Arial" w:cs="Arial"/>
          <w:sz w:val="20"/>
          <w:szCs w:val="20"/>
        </w:rPr>
        <w:t>trials, an</w:t>
      </w:r>
      <w:r w:rsidR="0076722C" w:rsidRPr="001F5558">
        <w:rPr>
          <w:rFonts w:ascii="Arial" w:hAnsi="Arial" w:cs="Arial"/>
          <w:sz w:val="20"/>
          <w:szCs w:val="20"/>
        </w:rPr>
        <w:t xml:space="preserve"> evidence-based </w:t>
      </w:r>
      <w:r w:rsidR="0076722C" w:rsidRPr="001F5558">
        <w:rPr>
          <w:rFonts w:ascii="Arial" w:hAnsi="Arial" w:cs="Arial"/>
          <w:sz w:val="20"/>
          <w:szCs w:val="20"/>
        </w:rPr>
        <w:lastRenderedPageBreak/>
        <w:t>management plan</w:t>
      </w:r>
      <w:r w:rsidR="00C449D3" w:rsidRPr="001F5558">
        <w:rPr>
          <w:rFonts w:ascii="Arial" w:hAnsi="Arial" w:cs="Arial"/>
          <w:sz w:val="20"/>
          <w:szCs w:val="20"/>
        </w:rPr>
        <w:t xml:space="preserve">, and personalized medicine with individualization of pharmacotherapeutics </w:t>
      </w:r>
      <w:r w:rsidR="0076722C" w:rsidRPr="001F5558">
        <w:rPr>
          <w:rFonts w:ascii="Arial" w:hAnsi="Arial" w:cs="Arial"/>
          <w:sz w:val="20"/>
          <w:szCs w:val="20"/>
        </w:rPr>
        <w:t xml:space="preserve">remains </w:t>
      </w:r>
      <w:r w:rsidR="00C449D3" w:rsidRPr="001F5558">
        <w:rPr>
          <w:rFonts w:ascii="Arial" w:hAnsi="Arial" w:cs="Arial"/>
          <w:sz w:val="20"/>
          <w:szCs w:val="20"/>
        </w:rPr>
        <w:t xml:space="preserve">fundamental </w:t>
      </w:r>
      <w:r w:rsidR="0076722C" w:rsidRPr="001F5558">
        <w:rPr>
          <w:rFonts w:ascii="Arial" w:hAnsi="Arial" w:cs="Arial"/>
          <w:sz w:val="20"/>
          <w:szCs w:val="20"/>
        </w:rPr>
        <w:t xml:space="preserve">to achieving BP </w:t>
      </w:r>
      <w:r w:rsidR="00075710" w:rsidRPr="001F5558">
        <w:rPr>
          <w:rFonts w:ascii="Arial" w:hAnsi="Arial" w:cs="Arial"/>
          <w:sz w:val="20"/>
          <w:szCs w:val="20"/>
        </w:rPr>
        <w:t xml:space="preserve">and treatment </w:t>
      </w:r>
      <w:r w:rsidR="0076722C" w:rsidRPr="001F5558">
        <w:rPr>
          <w:rFonts w:ascii="Arial" w:hAnsi="Arial" w:cs="Arial"/>
          <w:sz w:val="20"/>
          <w:szCs w:val="20"/>
        </w:rPr>
        <w:t xml:space="preserve">targets, reducing </w:t>
      </w:r>
      <w:r w:rsidR="00C449D3" w:rsidRPr="001F5558">
        <w:rPr>
          <w:rFonts w:ascii="Arial" w:hAnsi="Arial" w:cs="Arial"/>
          <w:sz w:val="20"/>
          <w:szCs w:val="20"/>
        </w:rPr>
        <w:t xml:space="preserve">cardiovascular disease </w:t>
      </w:r>
      <w:r w:rsidR="0076722C" w:rsidRPr="001F5558">
        <w:rPr>
          <w:rFonts w:ascii="Arial" w:hAnsi="Arial" w:cs="Arial"/>
          <w:sz w:val="20"/>
          <w:szCs w:val="20"/>
        </w:rPr>
        <w:t>risk</w:t>
      </w:r>
      <w:r w:rsidR="00C449D3" w:rsidRPr="001F5558">
        <w:rPr>
          <w:rFonts w:ascii="Arial" w:hAnsi="Arial" w:cs="Arial"/>
          <w:sz w:val="20"/>
          <w:szCs w:val="20"/>
        </w:rPr>
        <w:t xml:space="preserve">, mitigating adverse drug reactions and disease complications, </w:t>
      </w:r>
      <w:r w:rsidR="0076722C" w:rsidRPr="001F5558">
        <w:rPr>
          <w:rFonts w:ascii="Arial" w:hAnsi="Arial" w:cs="Arial"/>
          <w:sz w:val="20"/>
          <w:szCs w:val="20"/>
        </w:rPr>
        <w:t>and slowing progression of CKD.</w:t>
      </w:r>
    </w:p>
    <w:p w14:paraId="00A3A340" w14:textId="77777777" w:rsidR="00E872E8" w:rsidRPr="001F5558" w:rsidRDefault="00E872E8" w:rsidP="00E872E8">
      <w:pPr>
        <w:spacing w:after="0" w:line="240" w:lineRule="auto"/>
        <w:jc w:val="both"/>
        <w:rPr>
          <w:rFonts w:ascii="Arial" w:hAnsi="Arial" w:cs="Arial"/>
          <w:sz w:val="20"/>
          <w:szCs w:val="20"/>
        </w:rPr>
      </w:pPr>
    </w:p>
    <w:p w14:paraId="301F6D95" w14:textId="77777777" w:rsidR="00E872E8" w:rsidRPr="001F5558" w:rsidRDefault="00E872E8" w:rsidP="00E872E8">
      <w:pPr>
        <w:spacing w:after="0" w:line="240" w:lineRule="auto"/>
        <w:jc w:val="both"/>
        <w:rPr>
          <w:rFonts w:ascii="Arial" w:hAnsi="Arial" w:cs="Arial"/>
          <w:sz w:val="20"/>
          <w:szCs w:val="20"/>
        </w:rPr>
      </w:pPr>
    </w:p>
    <w:p w14:paraId="4A8A4FCB" w14:textId="77777777" w:rsidR="00E872E8" w:rsidRPr="001F5558" w:rsidRDefault="00E872E8" w:rsidP="00E872E8">
      <w:pPr>
        <w:spacing w:after="0" w:line="240" w:lineRule="auto"/>
        <w:jc w:val="both"/>
        <w:rPr>
          <w:rFonts w:ascii="Arial" w:hAnsi="Arial" w:cs="Arial"/>
          <w:b/>
          <w:bCs/>
        </w:rPr>
      </w:pPr>
      <w:r w:rsidRPr="001F5558">
        <w:rPr>
          <w:rFonts w:ascii="Arial" w:hAnsi="Arial" w:cs="Arial"/>
          <w:b/>
          <w:bCs/>
        </w:rPr>
        <w:t>CONSENT</w:t>
      </w:r>
    </w:p>
    <w:p w14:paraId="7A941DB2" w14:textId="77777777" w:rsidR="00E872E8" w:rsidRPr="001F5558" w:rsidRDefault="00E872E8" w:rsidP="00E872E8">
      <w:pPr>
        <w:spacing w:after="0" w:line="240" w:lineRule="auto"/>
        <w:jc w:val="both"/>
        <w:rPr>
          <w:rFonts w:ascii="Arial" w:hAnsi="Arial" w:cs="Arial"/>
          <w:b/>
          <w:bCs/>
        </w:rPr>
      </w:pPr>
    </w:p>
    <w:p w14:paraId="0E7C66FF" w14:textId="3723FC55" w:rsidR="00E872E8" w:rsidRPr="001F5558" w:rsidRDefault="00E872E8" w:rsidP="00E872E8">
      <w:pPr>
        <w:spacing w:after="0" w:line="240" w:lineRule="auto"/>
        <w:jc w:val="both"/>
        <w:rPr>
          <w:rFonts w:ascii="Arial" w:hAnsi="Arial" w:cs="Arial"/>
          <w:sz w:val="20"/>
        </w:rPr>
      </w:pPr>
      <w:r w:rsidRPr="001F5558">
        <w:rPr>
          <w:rFonts w:ascii="Arial" w:hAnsi="Arial" w:cs="Arial"/>
          <w:sz w:val="20"/>
        </w:rPr>
        <w:t>It is not applicable.</w:t>
      </w:r>
    </w:p>
    <w:p w14:paraId="6B6BB705" w14:textId="77777777" w:rsidR="00473B7F" w:rsidRPr="001F5558" w:rsidRDefault="00473B7F" w:rsidP="00E872E8">
      <w:pPr>
        <w:spacing w:after="0" w:line="240" w:lineRule="auto"/>
        <w:jc w:val="both"/>
        <w:rPr>
          <w:rFonts w:ascii="Arial" w:hAnsi="Arial" w:cs="Arial"/>
          <w:b/>
          <w:bCs/>
        </w:rPr>
      </w:pPr>
    </w:p>
    <w:p w14:paraId="5C68C0A7" w14:textId="77777777" w:rsidR="00E872E8" w:rsidRPr="001F5558" w:rsidRDefault="00E872E8" w:rsidP="00E872E8">
      <w:pPr>
        <w:pStyle w:val="AcknHead"/>
        <w:spacing w:after="0"/>
        <w:jc w:val="both"/>
        <w:rPr>
          <w:rFonts w:ascii="Arial" w:hAnsi="Arial" w:cs="Arial"/>
        </w:rPr>
      </w:pPr>
      <w:r w:rsidRPr="001F5558">
        <w:rPr>
          <w:rFonts w:ascii="Arial" w:hAnsi="Arial" w:cs="Arial"/>
          <w:caps w:val="0"/>
        </w:rPr>
        <w:t>ETHICAL APPROVAL</w:t>
      </w:r>
    </w:p>
    <w:p w14:paraId="39B3BB55" w14:textId="77777777" w:rsidR="00E872E8" w:rsidRPr="001F5558" w:rsidRDefault="00E872E8" w:rsidP="00E872E8">
      <w:pPr>
        <w:pStyle w:val="AcknHead"/>
        <w:spacing w:after="0"/>
        <w:jc w:val="both"/>
        <w:rPr>
          <w:rFonts w:ascii="Arial" w:hAnsi="Arial" w:cs="Arial"/>
          <w:sz w:val="20"/>
          <w:szCs w:val="18"/>
        </w:rPr>
      </w:pPr>
    </w:p>
    <w:p w14:paraId="3F267E9A" w14:textId="77777777" w:rsidR="00E872E8" w:rsidRPr="001F5558" w:rsidRDefault="00E872E8" w:rsidP="00E872E8">
      <w:pPr>
        <w:pStyle w:val="AcknHead"/>
        <w:spacing w:after="0"/>
        <w:jc w:val="both"/>
        <w:rPr>
          <w:rFonts w:ascii="Arial" w:hAnsi="Arial" w:cs="Arial"/>
          <w:b w:val="0"/>
          <w:caps w:val="0"/>
          <w:sz w:val="20"/>
        </w:rPr>
      </w:pPr>
      <w:r w:rsidRPr="001F5558">
        <w:rPr>
          <w:rFonts w:ascii="Arial" w:hAnsi="Arial" w:cs="Arial"/>
          <w:b w:val="0"/>
          <w:caps w:val="0"/>
          <w:sz w:val="20"/>
        </w:rPr>
        <w:t>It is not applicable.</w:t>
      </w:r>
    </w:p>
    <w:p w14:paraId="42D3A1CD" w14:textId="77777777" w:rsidR="00E872E8" w:rsidRPr="001F5558" w:rsidRDefault="00E872E8" w:rsidP="00E872E8">
      <w:pPr>
        <w:pStyle w:val="AcknHead"/>
        <w:spacing w:after="0"/>
        <w:jc w:val="both"/>
        <w:rPr>
          <w:rFonts w:ascii="Arial" w:hAnsi="Arial" w:cs="Arial"/>
          <w:b w:val="0"/>
          <w:caps w:val="0"/>
          <w:sz w:val="20"/>
        </w:rPr>
      </w:pPr>
    </w:p>
    <w:p w14:paraId="4BF316BB" w14:textId="77777777" w:rsidR="00E872E8" w:rsidRPr="001F5558" w:rsidRDefault="00E872E8" w:rsidP="00E872E8">
      <w:pPr>
        <w:spacing w:after="0" w:line="240" w:lineRule="auto"/>
        <w:rPr>
          <w:rFonts w:ascii="Arial" w:eastAsia="Calibri" w:hAnsi="Arial" w:cs="Arial"/>
          <w:b/>
          <w:bCs/>
          <w:kern w:val="2"/>
          <w14:ligatures w14:val="standardContextual"/>
        </w:rPr>
      </w:pPr>
      <w:r w:rsidRPr="001F5558">
        <w:rPr>
          <w:rFonts w:ascii="Arial" w:eastAsia="Calibri" w:hAnsi="Arial" w:cs="Arial"/>
          <w:b/>
          <w:bCs/>
          <w:kern w:val="2"/>
          <w14:ligatures w14:val="standardContextual"/>
        </w:rPr>
        <w:t>DISCLAIMER (Artificial intelligence)</w:t>
      </w:r>
    </w:p>
    <w:p w14:paraId="47BBD4EE" w14:textId="77777777" w:rsidR="00E872E8" w:rsidRPr="001F5558" w:rsidRDefault="00E872E8" w:rsidP="00E872E8">
      <w:pPr>
        <w:spacing w:after="0" w:line="240" w:lineRule="auto"/>
        <w:rPr>
          <w:rFonts w:ascii="Arial" w:eastAsia="Calibri" w:hAnsi="Arial" w:cs="Arial"/>
          <w:b/>
          <w:bCs/>
          <w:kern w:val="2"/>
          <w:sz w:val="20"/>
          <w:szCs w:val="20"/>
          <w14:ligatures w14:val="standardContextual"/>
        </w:rPr>
      </w:pPr>
    </w:p>
    <w:p w14:paraId="0BE495DE" w14:textId="77777777" w:rsidR="00E872E8" w:rsidRPr="001F5558" w:rsidRDefault="00E872E8" w:rsidP="00E872E8">
      <w:pPr>
        <w:spacing w:after="0" w:line="240" w:lineRule="auto"/>
        <w:jc w:val="both"/>
        <w:rPr>
          <w:rFonts w:ascii="Arial" w:eastAsia="Calibri" w:hAnsi="Arial" w:cs="Arial"/>
          <w:kern w:val="2"/>
          <w:sz w:val="20"/>
          <w:szCs w:val="20"/>
          <w14:ligatures w14:val="standardContextual"/>
        </w:rPr>
      </w:pPr>
      <w:r w:rsidRPr="001F5558">
        <w:rPr>
          <w:rFonts w:ascii="Arial" w:eastAsia="Calibri" w:hAnsi="Arial" w:cs="Arial"/>
          <w:kern w:val="2"/>
          <w:sz w:val="20"/>
          <w:szCs w:val="20"/>
          <w14:ligatures w14:val="standardContextual"/>
        </w:rPr>
        <w:t xml:space="preserve">Author(s) hereby </w:t>
      </w:r>
      <w:proofErr w:type="gramStart"/>
      <w:r w:rsidRPr="001F5558">
        <w:rPr>
          <w:rFonts w:ascii="Arial" w:eastAsia="Calibri" w:hAnsi="Arial" w:cs="Arial"/>
          <w:kern w:val="2"/>
          <w:sz w:val="20"/>
          <w:szCs w:val="20"/>
          <w14:ligatures w14:val="standardContextual"/>
        </w:rPr>
        <w:t>declare</w:t>
      </w:r>
      <w:proofErr w:type="gramEnd"/>
      <w:r w:rsidRPr="001F5558">
        <w:rPr>
          <w:rFonts w:ascii="Arial" w:eastAsia="Calibri" w:hAnsi="Arial" w:cs="Arial"/>
          <w:kern w:val="2"/>
          <w:sz w:val="20"/>
          <w:szCs w:val="20"/>
          <w14:ligatures w14:val="standardContextual"/>
        </w:rPr>
        <w:t xml:space="preserve"> that NO generative AI technologies such as Large Language Models (ChatGPT, COPILOT, </w:t>
      </w:r>
      <w:proofErr w:type="spellStart"/>
      <w:r w:rsidRPr="001F5558">
        <w:rPr>
          <w:rFonts w:ascii="Arial" w:eastAsia="Calibri" w:hAnsi="Arial" w:cs="Arial"/>
          <w:kern w:val="2"/>
          <w:sz w:val="20"/>
          <w:szCs w:val="20"/>
          <w14:ligatures w14:val="standardContextual"/>
        </w:rPr>
        <w:t>etc</w:t>
      </w:r>
      <w:proofErr w:type="spellEnd"/>
      <w:r w:rsidRPr="001F5558">
        <w:rPr>
          <w:rFonts w:ascii="Arial" w:eastAsia="Calibri" w:hAnsi="Arial" w:cs="Arial"/>
          <w:kern w:val="2"/>
          <w:sz w:val="20"/>
          <w:szCs w:val="20"/>
          <w14:ligatures w14:val="standardContextual"/>
        </w:rPr>
        <w:t xml:space="preserve">) and text-to-image generators have been used during the writing or editing of manuscripts. </w:t>
      </w:r>
    </w:p>
    <w:p w14:paraId="5B560C3C" w14:textId="77777777" w:rsidR="00E872E8" w:rsidRPr="001F5558" w:rsidRDefault="00E872E8" w:rsidP="00E872E8">
      <w:pPr>
        <w:pStyle w:val="AcknHead"/>
        <w:spacing w:after="0"/>
        <w:jc w:val="both"/>
        <w:rPr>
          <w:rFonts w:ascii="Arial" w:hAnsi="Arial" w:cs="Arial"/>
          <w:b w:val="0"/>
          <w:caps w:val="0"/>
          <w:sz w:val="20"/>
        </w:rPr>
      </w:pPr>
    </w:p>
    <w:p w14:paraId="0F20488B" w14:textId="77777777" w:rsidR="00E872E8" w:rsidRPr="001F5558" w:rsidRDefault="00E872E8" w:rsidP="00E872E8">
      <w:pPr>
        <w:pStyle w:val="ReferHead"/>
        <w:spacing w:after="0"/>
        <w:jc w:val="both"/>
        <w:rPr>
          <w:rFonts w:ascii="Arial" w:hAnsi="Arial" w:cs="Arial"/>
          <w:bCs/>
        </w:rPr>
      </w:pPr>
      <w:r w:rsidRPr="001F5558">
        <w:rPr>
          <w:rFonts w:ascii="Arial" w:hAnsi="Arial" w:cs="Arial"/>
          <w:bCs/>
        </w:rPr>
        <w:t>Competing interests</w:t>
      </w:r>
    </w:p>
    <w:p w14:paraId="648BC1CE" w14:textId="77777777" w:rsidR="00E872E8" w:rsidRPr="001F5558" w:rsidRDefault="00E872E8" w:rsidP="00E872E8">
      <w:pPr>
        <w:pStyle w:val="ReferHead"/>
        <w:spacing w:after="0"/>
        <w:jc w:val="both"/>
        <w:rPr>
          <w:rFonts w:ascii="Arial" w:hAnsi="Arial" w:cs="Arial"/>
          <w:sz w:val="20"/>
          <w:szCs w:val="18"/>
        </w:rPr>
      </w:pPr>
    </w:p>
    <w:p w14:paraId="6096D659" w14:textId="77777777" w:rsidR="00E872E8" w:rsidRPr="001F5558" w:rsidRDefault="00E872E8" w:rsidP="00E872E8">
      <w:pPr>
        <w:pStyle w:val="ReferHead"/>
        <w:spacing w:after="0"/>
        <w:jc w:val="both"/>
        <w:rPr>
          <w:rFonts w:ascii="Arial" w:hAnsi="Arial" w:cs="Arial"/>
          <w:b w:val="0"/>
          <w:caps w:val="0"/>
          <w:sz w:val="20"/>
        </w:rPr>
      </w:pPr>
      <w:r w:rsidRPr="001F5558">
        <w:rPr>
          <w:rFonts w:ascii="Arial" w:hAnsi="Arial" w:cs="Arial"/>
          <w:b w:val="0"/>
          <w:caps w:val="0"/>
          <w:sz w:val="20"/>
        </w:rPr>
        <w:t>We, the authors, declare no competing interests.</w:t>
      </w:r>
    </w:p>
    <w:p w14:paraId="15A9FE5C" w14:textId="77777777" w:rsidR="00E872E8" w:rsidRPr="001F5558" w:rsidRDefault="00E872E8" w:rsidP="00E872E8">
      <w:pPr>
        <w:pStyle w:val="ReferHead"/>
        <w:spacing w:after="0"/>
        <w:jc w:val="both"/>
        <w:rPr>
          <w:rFonts w:ascii="Arial" w:hAnsi="Arial" w:cs="Arial"/>
          <w:b w:val="0"/>
          <w:caps w:val="0"/>
          <w:sz w:val="18"/>
          <w:szCs w:val="18"/>
        </w:rPr>
      </w:pPr>
    </w:p>
    <w:p w14:paraId="42192C53" w14:textId="77777777" w:rsidR="00E872E8" w:rsidRPr="001F5558" w:rsidRDefault="00E872E8" w:rsidP="00E872E8">
      <w:pPr>
        <w:spacing w:after="0" w:line="240" w:lineRule="auto"/>
        <w:rPr>
          <w:rFonts w:ascii="Arial" w:hAnsi="Arial" w:cs="Arial"/>
          <w:b/>
          <w:bCs/>
          <w:sz w:val="20"/>
          <w:szCs w:val="20"/>
        </w:rPr>
      </w:pPr>
    </w:p>
    <w:p w14:paraId="36BFC49E" w14:textId="77777777" w:rsidR="00E37BA5" w:rsidRPr="001F5558" w:rsidRDefault="00E872E8" w:rsidP="00257B59">
      <w:pPr>
        <w:spacing w:after="0" w:line="240" w:lineRule="auto"/>
        <w:rPr>
          <w:rFonts w:ascii="Arial" w:hAnsi="Arial" w:cs="Arial"/>
          <w:b/>
          <w:bCs/>
        </w:rPr>
      </w:pPr>
      <w:r w:rsidRPr="001F5558">
        <w:rPr>
          <w:rFonts w:ascii="Arial" w:hAnsi="Arial" w:cs="Arial"/>
          <w:b/>
          <w:bCs/>
        </w:rPr>
        <w:t>REFERENCES</w:t>
      </w:r>
    </w:p>
    <w:p w14:paraId="2E6DB30F" w14:textId="77777777" w:rsidR="00E37BA5" w:rsidRPr="001F5558" w:rsidRDefault="00E37BA5" w:rsidP="00257B59">
      <w:pPr>
        <w:spacing w:after="0" w:line="240" w:lineRule="auto"/>
        <w:rPr>
          <w:rFonts w:ascii="Arial" w:hAnsi="Arial" w:cs="Arial"/>
          <w:b/>
          <w:bCs/>
        </w:rPr>
      </w:pPr>
    </w:p>
    <w:p w14:paraId="4561CC95" w14:textId="0A247AEB" w:rsidR="00602E6C" w:rsidRPr="001F5558" w:rsidRDefault="00602E6C" w:rsidP="00602E6C">
      <w:pPr>
        <w:shd w:val="clear" w:color="auto" w:fill="FFFFFF"/>
        <w:spacing w:after="120" w:line="240" w:lineRule="auto"/>
        <w:ind w:left="567" w:hanging="567"/>
        <w:jc w:val="both"/>
        <w:rPr>
          <w:rFonts w:ascii="Arial" w:hAnsi="Arial" w:cs="Arial"/>
          <w:sz w:val="20"/>
          <w:szCs w:val="20"/>
        </w:rPr>
      </w:pPr>
      <w:r w:rsidRPr="001F5558">
        <w:rPr>
          <w:rFonts w:ascii="Arial" w:hAnsi="Arial" w:cs="Arial"/>
          <w:sz w:val="20"/>
          <w:szCs w:val="20"/>
        </w:rPr>
        <w:t xml:space="preserve">Agarwal, R., </w:t>
      </w:r>
      <w:proofErr w:type="spellStart"/>
      <w:r w:rsidRPr="001F5558">
        <w:rPr>
          <w:rFonts w:ascii="Arial" w:hAnsi="Arial" w:cs="Arial"/>
          <w:sz w:val="20"/>
          <w:szCs w:val="20"/>
        </w:rPr>
        <w:t>Ruilope</w:t>
      </w:r>
      <w:proofErr w:type="spellEnd"/>
      <w:r w:rsidRPr="001F5558">
        <w:rPr>
          <w:rFonts w:ascii="Arial" w:hAnsi="Arial" w:cs="Arial"/>
          <w:sz w:val="20"/>
          <w:szCs w:val="20"/>
        </w:rPr>
        <w:t xml:space="preserve">, L. M., Ruiz-Hurtado, G., Haller, H., Schmieder, R. E., Anker, S. D., </w:t>
      </w:r>
      <w:r w:rsidR="006A6E2B" w:rsidRPr="001F5558">
        <w:rPr>
          <w:rFonts w:ascii="Arial" w:hAnsi="Arial" w:cs="Arial"/>
          <w:sz w:val="20"/>
          <w:szCs w:val="20"/>
        </w:rPr>
        <w:t xml:space="preserve">et al. </w:t>
      </w:r>
      <w:r w:rsidRPr="001F5558">
        <w:rPr>
          <w:rFonts w:ascii="Arial" w:hAnsi="Arial" w:cs="Arial"/>
          <w:sz w:val="20"/>
          <w:szCs w:val="20"/>
        </w:rPr>
        <w:t xml:space="preserve">(2023). Effect of </w:t>
      </w:r>
      <w:proofErr w:type="spellStart"/>
      <w:r w:rsidRPr="001F5558">
        <w:rPr>
          <w:rFonts w:ascii="Arial" w:hAnsi="Arial" w:cs="Arial"/>
          <w:sz w:val="20"/>
          <w:szCs w:val="20"/>
        </w:rPr>
        <w:t>finerenone</w:t>
      </w:r>
      <w:proofErr w:type="spellEnd"/>
      <w:r w:rsidRPr="001F5558">
        <w:rPr>
          <w:rFonts w:ascii="Arial" w:hAnsi="Arial" w:cs="Arial"/>
          <w:sz w:val="20"/>
          <w:szCs w:val="20"/>
        </w:rPr>
        <w:t xml:space="preserve"> on ambulatory blood pressure in chronic kidney disease in type 2 diabetes. </w:t>
      </w:r>
      <w:r w:rsidRPr="001F5558">
        <w:rPr>
          <w:rFonts w:ascii="Arial" w:hAnsi="Arial" w:cs="Arial"/>
          <w:i/>
          <w:iCs/>
          <w:sz w:val="20"/>
          <w:szCs w:val="20"/>
        </w:rPr>
        <w:t>Journal of hypertension</w:t>
      </w:r>
      <w:r w:rsidRPr="001F5558">
        <w:rPr>
          <w:rFonts w:ascii="Arial" w:hAnsi="Arial" w:cs="Arial"/>
          <w:sz w:val="20"/>
          <w:szCs w:val="20"/>
        </w:rPr>
        <w:t>, </w:t>
      </w:r>
      <w:r w:rsidRPr="001F5558">
        <w:rPr>
          <w:rFonts w:ascii="Arial" w:hAnsi="Arial" w:cs="Arial"/>
          <w:i/>
          <w:iCs/>
          <w:sz w:val="20"/>
          <w:szCs w:val="20"/>
        </w:rPr>
        <w:t>41</w:t>
      </w:r>
      <w:r w:rsidRPr="001F5558">
        <w:rPr>
          <w:rFonts w:ascii="Arial" w:hAnsi="Arial" w:cs="Arial"/>
          <w:sz w:val="20"/>
          <w:szCs w:val="20"/>
        </w:rPr>
        <w:t>(2), 295–302. https://doi.org/10.1097/HJH.0000000000003330</w:t>
      </w:r>
    </w:p>
    <w:p w14:paraId="53F24E3D" w14:textId="77777777" w:rsidR="00602E6C" w:rsidRPr="001F5558" w:rsidRDefault="00602E6C" w:rsidP="00602E6C">
      <w:pPr>
        <w:shd w:val="clear" w:color="auto" w:fill="FFFFFF"/>
        <w:spacing w:after="120" w:line="240" w:lineRule="auto"/>
        <w:ind w:left="567" w:hanging="567"/>
        <w:jc w:val="both"/>
        <w:rPr>
          <w:rFonts w:ascii="Arial" w:hAnsi="Arial" w:cs="Arial"/>
          <w:sz w:val="20"/>
          <w:szCs w:val="20"/>
        </w:rPr>
      </w:pPr>
      <w:r w:rsidRPr="001F5558">
        <w:rPr>
          <w:rFonts w:ascii="Arial" w:hAnsi="Arial" w:cs="Arial"/>
          <w:sz w:val="20"/>
          <w:szCs w:val="20"/>
        </w:rPr>
        <w:t xml:space="preserve">Agarwal, R., Verma, A., &amp; </w:t>
      </w:r>
      <w:proofErr w:type="spellStart"/>
      <w:r w:rsidRPr="001F5558">
        <w:rPr>
          <w:rFonts w:ascii="Arial" w:hAnsi="Arial" w:cs="Arial"/>
          <w:sz w:val="20"/>
          <w:szCs w:val="20"/>
        </w:rPr>
        <w:t>Georgianos</w:t>
      </w:r>
      <w:proofErr w:type="spellEnd"/>
      <w:r w:rsidRPr="001F5558">
        <w:rPr>
          <w:rFonts w:ascii="Arial" w:hAnsi="Arial" w:cs="Arial"/>
          <w:sz w:val="20"/>
          <w:szCs w:val="20"/>
        </w:rPr>
        <w:t>, P. I. (2025). Diuretics in patients with chronic kidney disease. </w:t>
      </w:r>
      <w:r w:rsidRPr="001F5558">
        <w:rPr>
          <w:rFonts w:ascii="Arial" w:hAnsi="Arial" w:cs="Arial"/>
          <w:i/>
          <w:iCs/>
          <w:sz w:val="20"/>
          <w:szCs w:val="20"/>
        </w:rPr>
        <w:t>Nature reviews. Nephrology</w:t>
      </w:r>
      <w:r w:rsidRPr="001F5558">
        <w:rPr>
          <w:rFonts w:ascii="Arial" w:hAnsi="Arial" w:cs="Arial"/>
          <w:sz w:val="20"/>
          <w:szCs w:val="20"/>
        </w:rPr>
        <w:t>, </w:t>
      </w:r>
      <w:r w:rsidRPr="001F5558">
        <w:rPr>
          <w:rFonts w:ascii="Arial" w:hAnsi="Arial" w:cs="Arial"/>
          <w:i/>
          <w:iCs/>
          <w:sz w:val="20"/>
          <w:szCs w:val="20"/>
        </w:rPr>
        <w:t>21</w:t>
      </w:r>
      <w:r w:rsidRPr="001F5558">
        <w:rPr>
          <w:rFonts w:ascii="Arial" w:hAnsi="Arial" w:cs="Arial"/>
          <w:sz w:val="20"/>
          <w:szCs w:val="20"/>
        </w:rPr>
        <w:t>(4), 264–278. https://doi.org/10.1038/s41581-024-00918-x</w:t>
      </w:r>
    </w:p>
    <w:p w14:paraId="11B05966" w14:textId="77777777" w:rsidR="00602E6C" w:rsidRPr="001F5558" w:rsidRDefault="00602E6C" w:rsidP="00602E6C">
      <w:pPr>
        <w:shd w:val="clear" w:color="auto" w:fill="FFFFFF"/>
        <w:spacing w:after="120" w:line="240" w:lineRule="auto"/>
        <w:ind w:left="567" w:hanging="567"/>
        <w:jc w:val="both"/>
        <w:rPr>
          <w:rFonts w:ascii="Arial" w:hAnsi="Arial" w:cs="Arial"/>
          <w:sz w:val="20"/>
          <w:szCs w:val="20"/>
        </w:rPr>
      </w:pPr>
      <w:r w:rsidRPr="001F5558">
        <w:rPr>
          <w:rFonts w:ascii="Arial" w:hAnsi="Arial" w:cs="Arial"/>
          <w:sz w:val="20"/>
          <w:szCs w:val="20"/>
        </w:rPr>
        <w:t>Ali, S., Navaneethan, S. D., Virani, S. S., &amp; Gregg, L. P. (2022). Revisiting diuretic choice in chronic kidney disease. </w:t>
      </w:r>
      <w:r w:rsidRPr="001F5558">
        <w:rPr>
          <w:rFonts w:ascii="Arial" w:hAnsi="Arial" w:cs="Arial"/>
          <w:i/>
          <w:iCs/>
          <w:sz w:val="20"/>
          <w:szCs w:val="20"/>
        </w:rPr>
        <w:t>Current opinion in nephrology and hypertension</w:t>
      </w:r>
      <w:r w:rsidRPr="001F5558">
        <w:rPr>
          <w:rFonts w:ascii="Arial" w:hAnsi="Arial" w:cs="Arial"/>
          <w:sz w:val="20"/>
          <w:szCs w:val="20"/>
        </w:rPr>
        <w:t>, </w:t>
      </w:r>
      <w:r w:rsidRPr="001F5558">
        <w:rPr>
          <w:rFonts w:ascii="Arial" w:hAnsi="Arial" w:cs="Arial"/>
          <w:i/>
          <w:iCs/>
          <w:sz w:val="20"/>
          <w:szCs w:val="20"/>
        </w:rPr>
        <w:t>31</w:t>
      </w:r>
      <w:r w:rsidRPr="001F5558">
        <w:rPr>
          <w:rFonts w:ascii="Arial" w:hAnsi="Arial" w:cs="Arial"/>
          <w:sz w:val="20"/>
          <w:szCs w:val="20"/>
        </w:rPr>
        <w:t>(5), 406–413. https://doi.org/10.1097/MNH.0000000000000814</w:t>
      </w:r>
    </w:p>
    <w:p w14:paraId="35624C5D" w14:textId="77777777" w:rsidR="00602E6C" w:rsidRPr="001F5558" w:rsidRDefault="00602E6C" w:rsidP="00602E6C">
      <w:pPr>
        <w:shd w:val="clear" w:color="auto" w:fill="FFFFFF"/>
        <w:spacing w:after="120" w:line="240" w:lineRule="auto"/>
        <w:ind w:left="567" w:hanging="567"/>
        <w:jc w:val="both"/>
        <w:rPr>
          <w:rFonts w:ascii="Arial" w:hAnsi="Arial" w:cs="Arial"/>
          <w:sz w:val="20"/>
          <w:szCs w:val="20"/>
        </w:rPr>
      </w:pPr>
      <w:proofErr w:type="spellStart"/>
      <w:r w:rsidRPr="001F5558">
        <w:rPr>
          <w:rFonts w:ascii="Arial" w:hAnsi="Arial" w:cs="Arial"/>
          <w:sz w:val="20"/>
          <w:szCs w:val="20"/>
        </w:rPr>
        <w:t>Alsalloum</w:t>
      </w:r>
      <w:proofErr w:type="spellEnd"/>
      <w:r w:rsidRPr="001F5558">
        <w:rPr>
          <w:rFonts w:ascii="Arial" w:hAnsi="Arial" w:cs="Arial"/>
          <w:sz w:val="20"/>
          <w:szCs w:val="20"/>
        </w:rPr>
        <w:t xml:space="preserve">, M. A., </w:t>
      </w:r>
      <w:proofErr w:type="spellStart"/>
      <w:r w:rsidRPr="001F5558">
        <w:rPr>
          <w:rFonts w:ascii="Arial" w:hAnsi="Arial" w:cs="Arial"/>
          <w:sz w:val="20"/>
          <w:szCs w:val="20"/>
        </w:rPr>
        <w:t>Albekery</w:t>
      </w:r>
      <w:proofErr w:type="spellEnd"/>
      <w:r w:rsidRPr="001F5558">
        <w:rPr>
          <w:rFonts w:ascii="Arial" w:hAnsi="Arial" w:cs="Arial"/>
          <w:sz w:val="20"/>
          <w:szCs w:val="20"/>
        </w:rPr>
        <w:t xml:space="preserve">, M. A., &amp; </w:t>
      </w:r>
      <w:proofErr w:type="spellStart"/>
      <w:r w:rsidRPr="001F5558">
        <w:rPr>
          <w:rFonts w:ascii="Arial" w:hAnsi="Arial" w:cs="Arial"/>
          <w:sz w:val="20"/>
          <w:szCs w:val="20"/>
        </w:rPr>
        <w:t>Alhomoud</w:t>
      </w:r>
      <w:proofErr w:type="spellEnd"/>
      <w:r w:rsidRPr="001F5558">
        <w:rPr>
          <w:rFonts w:ascii="Arial" w:hAnsi="Arial" w:cs="Arial"/>
          <w:sz w:val="20"/>
          <w:szCs w:val="20"/>
        </w:rPr>
        <w:t>, I. S. (2025). Management of hypertension in chronic kidney disease: current perspectives and therapeutic strategies. </w:t>
      </w:r>
      <w:r w:rsidRPr="001F5558">
        <w:rPr>
          <w:rFonts w:ascii="Arial" w:hAnsi="Arial" w:cs="Arial"/>
          <w:i/>
          <w:iCs/>
          <w:sz w:val="20"/>
          <w:szCs w:val="20"/>
        </w:rPr>
        <w:t>Frontiers in medicine</w:t>
      </w:r>
      <w:r w:rsidRPr="001F5558">
        <w:rPr>
          <w:rFonts w:ascii="Arial" w:hAnsi="Arial" w:cs="Arial"/>
          <w:sz w:val="20"/>
          <w:szCs w:val="20"/>
        </w:rPr>
        <w:t>, </w:t>
      </w:r>
      <w:r w:rsidRPr="001F5558">
        <w:rPr>
          <w:rFonts w:ascii="Arial" w:hAnsi="Arial" w:cs="Arial"/>
          <w:i/>
          <w:iCs/>
          <w:sz w:val="20"/>
          <w:szCs w:val="20"/>
        </w:rPr>
        <w:t>12</w:t>
      </w:r>
      <w:r w:rsidRPr="001F5558">
        <w:rPr>
          <w:rFonts w:ascii="Arial" w:hAnsi="Arial" w:cs="Arial"/>
          <w:sz w:val="20"/>
          <w:szCs w:val="20"/>
        </w:rPr>
        <w:t>, 1630160. https://doi.org/10.3389/fmed.2025.1630160</w:t>
      </w:r>
    </w:p>
    <w:p w14:paraId="17184901" w14:textId="067615BD" w:rsidR="00602E6C" w:rsidRPr="001F5558" w:rsidRDefault="00602E6C" w:rsidP="00602E6C">
      <w:pPr>
        <w:shd w:val="clear" w:color="auto" w:fill="FFFFFF"/>
        <w:spacing w:after="120" w:line="240" w:lineRule="auto"/>
        <w:ind w:left="567" w:hanging="567"/>
        <w:jc w:val="both"/>
        <w:rPr>
          <w:rFonts w:ascii="Arial" w:hAnsi="Arial" w:cs="Arial"/>
          <w:sz w:val="20"/>
          <w:szCs w:val="20"/>
        </w:rPr>
      </w:pPr>
      <w:r w:rsidRPr="001F5558">
        <w:rPr>
          <w:rFonts w:ascii="Arial" w:hAnsi="Arial" w:cs="Arial"/>
          <w:sz w:val="20"/>
          <w:szCs w:val="20"/>
        </w:rPr>
        <w:t xml:space="preserve">Avula, A., Johal, L. K., Ali, F., Amir, S., Yadav, S., </w:t>
      </w:r>
      <w:proofErr w:type="spellStart"/>
      <w:r w:rsidRPr="001F5558">
        <w:rPr>
          <w:rFonts w:ascii="Arial" w:hAnsi="Arial" w:cs="Arial"/>
          <w:sz w:val="20"/>
          <w:szCs w:val="20"/>
        </w:rPr>
        <w:t>Murtuza</w:t>
      </w:r>
      <w:proofErr w:type="spellEnd"/>
      <w:r w:rsidRPr="001F5558">
        <w:rPr>
          <w:rFonts w:ascii="Arial" w:hAnsi="Arial" w:cs="Arial"/>
          <w:sz w:val="20"/>
          <w:szCs w:val="20"/>
        </w:rPr>
        <w:t xml:space="preserve">, M., </w:t>
      </w:r>
      <w:r w:rsidR="006A6E2B" w:rsidRPr="001F5558">
        <w:rPr>
          <w:rFonts w:ascii="Arial" w:hAnsi="Arial" w:cs="Arial"/>
          <w:sz w:val="20"/>
          <w:szCs w:val="20"/>
        </w:rPr>
        <w:t xml:space="preserve">et al. </w:t>
      </w:r>
      <w:r w:rsidRPr="001F5558">
        <w:rPr>
          <w:rFonts w:ascii="Arial" w:hAnsi="Arial" w:cs="Arial"/>
          <w:sz w:val="20"/>
          <w:szCs w:val="20"/>
        </w:rPr>
        <w:t>(2025). ACE Inhibitors and ARBs in Chronic Kidney Disease: A Systematic Review of Randomized Controlled Trials on Albuminuria Reduction, eGFR Decline, and Safety. </w:t>
      </w:r>
      <w:r w:rsidRPr="001F5558">
        <w:rPr>
          <w:rFonts w:ascii="Arial" w:hAnsi="Arial" w:cs="Arial"/>
          <w:i/>
          <w:iCs/>
          <w:sz w:val="20"/>
          <w:szCs w:val="20"/>
        </w:rPr>
        <w:t>Cureus</w:t>
      </w:r>
      <w:r w:rsidRPr="001F5558">
        <w:rPr>
          <w:rFonts w:ascii="Arial" w:hAnsi="Arial" w:cs="Arial"/>
          <w:sz w:val="20"/>
          <w:szCs w:val="20"/>
        </w:rPr>
        <w:t>, </w:t>
      </w:r>
      <w:r w:rsidRPr="001F5558">
        <w:rPr>
          <w:rFonts w:ascii="Arial" w:hAnsi="Arial" w:cs="Arial"/>
          <w:i/>
          <w:iCs/>
          <w:sz w:val="20"/>
          <w:szCs w:val="20"/>
        </w:rPr>
        <w:t>17</w:t>
      </w:r>
      <w:r w:rsidRPr="001F5558">
        <w:rPr>
          <w:rFonts w:ascii="Arial" w:hAnsi="Arial" w:cs="Arial"/>
          <w:sz w:val="20"/>
          <w:szCs w:val="20"/>
        </w:rPr>
        <w:t>(10), e93707. https://doi.org/10.7759/cureus.93707</w:t>
      </w:r>
    </w:p>
    <w:p w14:paraId="19B56E34" w14:textId="77777777" w:rsidR="00602E6C" w:rsidRPr="001F5558" w:rsidRDefault="00602E6C" w:rsidP="00602E6C">
      <w:pPr>
        <w:shd w:val="clear" w:color="auto" w:fill="FFFFFF"/>
        <w:spacing w:after="120" w:line="240" w:lineRule="auto"/>
        <w:ind w:left="567" w:hanging="567"/>
        <w:jc w:val="both"/>
        <w:rPr>
          <w:rFonts w:ascii="Arial" w:hAnsi="Arial" w:cs="Arial"/>
          <w:sz w:val="20"/>
          <w:szCs w:val="20"/>
        </w:rPr>
      </w:pPr>
      <w:r w:rsidRPr="001F5558">
        <w:rPr>
          <w:rFonts w:ascii="Arial" w:hAnsi="Arial" w:cs="Arial"/>
          <w:sz w:val="20"/>
          <w:szCs w:val="20"/>
        </w:rPr>
        <w:t xml:space="preserve">Baker, L. W., </w:t>
      </w:r>
      <w:proofErr w:type="spellStart"/>
      <w:r w:rsidRPr="001F5558">
        <w:rPr>
          <w:rFonts w:ascii="Arial" w:hAnsi="Arial" w:cs="Arial"/>
          <w:sz w:val="20"/>
          <w:szCs w:val="20"/>
        </w:rPr>
        <w:t>Ovincy</w:t>
      </w:r>
      <w:proofErr w:type="spellEnd"/>
      <w:r w:rsidRPr="001F5558">
        <w:rPr>
          <w:rFonts w:ascii="Arial" w:hAnsi="Arial" w:cs="Arial"/>
          <w:sz w:val="20"/>
          <w:szCs w:val="20"/>
        </w:rPr>
        <w:t xml:space="preserve">, C., </w:t>
      </w:r>
      <w:proofErr w:type="spellStart"/>
      <w:r w:rsidRPr="001F5558">
        <w:rPr>
          <w:rFonts w:ascii="Arial" w:hAnsi="Arial" w:cs="Arial"/>
          <w:sz w:val="20"/>
          <w:szCs w:val="20"/>
        </w:rPr>
        <w:t>Souvalian</w:t>
      </w:r>
      <w:proofErr w:type="spellEnd"/>
      <w:r w:rsidRPr="001F5558">
        <w:rPr>
          <w:rFonts w:ascii="Arial" w:hAnsi="Arial" w:cs="Arial"/>
          <w:sz w:val="20"/>
          <w:szCs w:val="20"/>
        </w:rPr>
        <w:t xml:space="preserve">, L., Hickson, L. J., &amp; </w:t>
      </w:r>
      <w:proofErr w:type="spellStart"/>
      <w:r w:rsidRPr="001F5558">
        <w:rPr>
          <w:rFonts w:ascii="Arial" w:hAnsi="Arial" w:cs="Arial"/>
          <w:sz w:val="20"/>
          <w:szCs w:val="20"/>
        </w:rPr>
        <w:t>Chebib</w:t>
      </w:r>
      <w:proofErr w:type="spellEnd"/>
      <w:r w:rsidRPr="001F5558">
        <w:rPr>
          <w:rFonts w:ascii="Arial" w:hAnsi="Arial" w:cs="Arial"/>
          <w:sz w:val="20"/>
          <w:szCs w:val="20"/>
        </w:rPr>
        <w:t>, F. T. (2026). Contemporary management of advanced chronic kidney disease: An evidence-based review. </w:t>
      </w:r>
      <w:r w:rsidRPr="001F5558">
        <w:rPr>
          <w:rFonts w:ascii="Arial" w:hAnsi="Arial" w:cs="Arial"/>
          <w:i/>
          <w:iCs/>
          <w:sz w:val="20"/>
          <w:szCs w:val="20"/>
        </w:rPr>
        <w:t>European journal of internal medicine</w:t>
      </w:r>
      <w:r w:rsidRPr="001F5558">
        <w:rPr>
          <w:rFonts w:ascii="Arial" w:hAnsi="Arial" w:cs="Arial"/>
          <w:sz w:val="20"/>
          <w:szCs w:val="20"/>
        </w:rPr>
        <w:t>, </w:t>
      </w:r>
      <w:r w:rsidRPr="001F5558">
        <w:rPr>
          <w:rFonts w:ascii="Arial" w:hAnsi="Arial" w:cs="Arial"/>
          <w:i/>
          <w:iCs/>
          <w:sz w:val="20"/>
          <w:szCs w:val="20"/>
        </w:rPr>
        <w:t>143</w:t>
      </w:r>
      <w:r w:rsidRPr="001F5558">
        <w:rPr>
          <w:rFonts w:ascii="Arial" w:hAnsi="Arial" w:cs="Arial"/>
          <w:sz w:val="20"/>
          <w:szCs w:val="20"/>
        </w:rPr>
        <w:t>, 106557. https://doi.org/10.1016/j.ejim.2025.106557</w:t>
      </w:r>
    </w:p>
    <w:p w14:paraId="60517544" w14:textId="5FC4BDBD" w:rsidR="00602E6C" w:rsidRPr="001F5558" w:rsidRDefault="00602E6C" w:rsidP="00602E6C">
      <w:pPr>
        <w:shd w:val="clear" w:color="auto" w:fill="FFFFFF"/>
        <w:spacing w:after="120" w:line="240" w:lineRule="auto"/>
        <w:ind w:left="567" w:hanging="567"/>
        <w:jc w:val="both"/>
        <w:rPr>
          <w:rFonts w:ascii="Arial" w:hAnsi="Arial" w:cs="Arial"/>
          <w:sz w:val="20"/>
          <w:szCs w:val="20"/>
        </w:rPr>
      </w:pPr>
      <w:proofErr w:type="spellStart"/>
      <w:r w:rsidRPr="001F5558">
        <w:rPr>
          <w:rFonts w:ascii="Arial" w:hAnsi="Arial" w:cs="Arial"/>
          <w:sz w:val="20"/>
          <w:szCs w:val="20"/>
        </w:rPr>
        <w:t>Bakris</w:t>
      </w:r>
      <w:proofErr w:type="spellEnd"/>
      <w:r w:rsidRPr="001F5558">
        <w:rPr>
          <w:rFonts w:ascii="Arial" w:hAnsi="Arial" w:cs="Arial"/>
          <w:sz w:val="20"/>
          <w:szCs w:val="20"/>
        </w:rPr>
        <w:t xml:space="preserve">, G. L., Agarwal, R., Anker, S. D., Pitt, B., </w:t>
      </w:r>
      <w:proofErr w:type="spellStart"/>
      <w:r w:rsidRPr="001F5558">
        <w:rPr>
          <w:rFonts w:ascii="Arial" w:hAnsi="Arial" w:cs="Arial"/>
          <w:sz w:val="20"/>
          <w:szCs w:val="20"/>
        </w:rPr>
        <w:t>Ruilope</w:t>
      </w:r>
      <w:proofErr w:type="spellEnd"/>
      <w:r w:rsidRPr="001F5558">
        <w:rPr>
          <w:rFonts w:ascii="Arial" w:hAnsi="Arial" w:cs="Arial"/>
          <w:sz w:val="20"/>
          <w:szCs w:val="20"/>
        </w:rPr>
        <w:t xml:space="preserve">, L. M., Rossing, P., </w:t>
      </w:r>
      <w:r w:rsidR="006A6E2B" w:rsidRPr="001F5558">
        <w:rPr>
          <w:rFonts w:ascii="Arial" w:hAnsi="Arial" w:cs="Arial"/>
          <w:sz w:val="20"/>
          <w:szCs w:val="20"/>
        </w:rPr>
        <w:t xml:space="preserve">et al. </w:t>
      </w:r>
      <w:r w:rsidRPr="001F5558">
        <w:rPr>
          <w:rFonts w:ascii="Arial" w:hAnsi="Arial" w:cs="Arial"/>
          <w:sz w:val="20"/>
          <w:szCs w:val="20"/>
        </w:rPr>
        <w:t xml:space="preserve">(2020). Effect of </w:t>
      </w:r>
      <w:proofErr w:type="spellStart"/>
      <w:r w:rsidRPr="001F5558">
        <w:rPr>
          <w:rFonts w:ascii="Arial" w:hAnsi="Arial" w:cs="Arial"/>
          <w:sz w:val="20"/>
          <w:szCs w:val="20"/>
        </w:rPr>
        <w:t>Finerenone</w:t>
      </w:r>
      <w:proofErr w:type="spellEnd"/>
      <w:r w:rsidRPr="001F5558">
        <w:rPr>
          <w:rFonts w:ascii="Arial" w:hAnsi="Arial" w:cs="Arial"/>
          <w:sz w:val="20"/>
          <w:szCs w:val="20"/>
        </w:rPr>
        <w:t xml:space="preserve"> on Chronic Kidney Disease Outcomes in Type 2 Diabetes. </w:t>
      </w:r>
      <w:r w:rsidRPr="001F5558">
        <w:rPr>
          <w:rFonts w:ascii="Arial" w:hAnsi="Arial" w:cs="Arial"/>
          <w:i/>
          <w:iCs/>
          <w:sz w:val="20"/>
          <w:szCs w:val="20"/>
        </w:rPr>
        <w:t>The New England journal of medicine</w:t>
      </w:r>
      <w:r w:rsidRPr="001F5558">
        <w:rPr>
          <w:rFonts w:ascii="Arial" w:hAnsi="Arial" w:cs="Arial"/>
          <w:sz w:val="20"/>
          <w:szCs w:val="20"/>
        </w:rPr>
        <w:t>, </w:t>
      </w:r>
      <w:r w:rsidRPr="001F5558">
        <w:rPr>
          <w:rFonts w:ascii="Arial" w:hAnsi="Arial" w:cs="Arial"/>
          <w:i/>
          <w:iCs/>
          <w:sz w:val="20"/>
          <w:szCs w:val="20"/>
        </w:rPr>
        <w:t>383</w:t>
      </w:r>
      <w:r w:rsidRPr="001F5558">
        <w:rPr>
          <w:rFonts w:ascii="Arial" w:hAnsi="Arial" w:cs="Arial"/>
          <w:sz w:val="20"/>
          <w:szCs w:val="20"/>
        </w:rPr>
        <w:t>(23), 2219–2229. https://doi.org/10.1056/NEJMoa2025845</w:t>
      </w:r>
    </w:p>
    <w:p w14:paraId="300C8A45" w14:textId="77777777" w:rsidR="00602E6C" w:rsidRPr="001F5558" w:rsidRDefault="00602E6C" w:rsidP="00602E6C">
      <w:pPr>
        <w:shd w:val="clear" w:color="auto" w:fill="FFFFFF"/>
        <w:spacing w:after="120" w:line="240" w:lineRule="auto"/>
        <w:ind w:left="567" w:hanging="567"/>
        <w:jc w:val="both"/>
        <w:rPr>
          <w:rFonts w:ascii="Arial" w:hAnsi="Arial" w:cs="Arial"/>
          <w:sz w:val="20"/>
          <w:szCs w:val="20"/>
        </w:rPr>
      </w:pPr>
      <w:r w:rsidRPr="001F5558">
        <w:rPr>
          <w:rFonts w:ascii="Arial" w:hAnsi="Arial" w:cs="Arial"/>
          <w:sz w:val="20"/>
          <w:szCs w:val="20"/>
        </w:rPr>
        <w:t xml:space="preserve">Bhandari, S., Mehta, S., Ives, N., Cleland, J. G. F., &amp; </w:t>
      </w:r>
      <w:proofErr w:type="spellStart"/>
      <w:r w:rsidRPr="001F5558">
        <w:rPr>
          <w:rFonts w:ascii="Arial" w:hAnsi="Arial" w:cs="Arial"/>
          <w:sz w:val="20"/>
          <w:szCs w:val="20"/>
        </w:rPr>
        <w:t>Cockwell</w:t>
      </w:r>
      <w:proofErr w:type="spellEnd"/>
      <w:r w:rsidRPr="001F5558">
        <w:rPr>
          <w:rFonts w:ascii="Arial" w:hAnsi="Arial" w:cs="Arial"/>
          <w:sz w:val="20"/>
          <w:szCs w:val="20"/>
        </w:rPr>
        <w:t>, P. (2026). Impact of Loop Diuretics on Long-Term Kidney Outcome: A Post Hoc Analysis of the STOP-Angiotensin-Converting Enzyme Inhibitor Trial. </w:t>
      </w:r>
      <w:r w:rsidRPr="001F5558">
        <w:rPr>
          <w:rFonts w:ascii="Arial" w:hAnsi="Arial" w:cs="Arial"/>
          <w:i/>
          <w:iCs/>
          <w:sz w:val="20"/>
          <w:szCs w:val="20"/>
        </w:rPr>
        <w:t>Kidney360</w:t>
      </w:r>
      <w:r w:rsidRPr="001F5558">
        <w:rPr>
          <w:rFonts w:ascii="Arial" w:hAnsi="Arial" w:cs="Arial"/>
          <w:sz w:val="20"/>
          <w:szCs w:val="20"/>
        </w:rPr>
        <w:t>, </w:t>
      </w:r>
      <w:r w:rsidRPr="001F5558">
        <w:rPr>
          <w:rFonts w:ascii="Arial" w:hAnsi="Arial" w:cs="Arial"/>
          <w:i/>
          <w:iCs/>
          <w:sz w:val="20"/>
          <w:szCs w:val="20"/>
        </w:rPr>
        <w:t>7</w:t>
      </w:r>
      <w:r w:rsidRPr="001F5558">
        <w:rPr>
          <w:rFonts w:ascii="Arial" w:hAnsi="Arial" w:cs="Arial"/>
          <w:sz w:val="20"/>
          <w:szCs w:val="20"/>
        </w:rPr>
        <w:t>(4), 777–785. https://doi.org/10.34067/KID.0000001080</w:t>
      </w:r>
    </w:p>
    <w:p w14:paraId="6C21475D" w14:textId="77777777" w:rsidR="00602E6C" w:rsidRPr="001F5558" w:rsidRDefault="00602E6C" w:rsidP="00602E6C">
      <w:pPr>
        <w:shd w:val="clear" w:color="auto" w:fill="FFFFFF"/>
        <w:spacing w:after="120" w:line="240" w:lineRule="auto"/>
        <w:ind w:left="567" w:hanging="567"/>
        <w:jc w:val="both"/>
        <w:rPr>
          <w:rFonts w:ascii="Arial" w:hAnsi="Arial" w:cs="Arial"/>
          <w:sz w:val="20"/>
          <w:szCs w:val="20"/>
        </w:rPr>
      </w:pPr>
      <w:proofErr w:type="spellStart"/>
      <w:r w:rsidRPr="001F5558">
        <w:rPr>
          <w:rFonts w:ascii="Arial" w:hAnsi="Arial" w:cs="Arial"/>
          <w:sz w:val="20"/>
          <w:szCs w:val="20"/>
        </w:rPr>
        <w:t>Burnier</w:t>
      </w:r>
      <w:proofErr w:type="spellEnd"/>
      <w:r w:rsidRPr="001F5558">
        <w:rPr>
          <w:rFonts w:ascii="Arial" w:hAnsi="Arial" w:cs="Arial"/>
          <w:sz w:val="20"/>
          <w:szCs w:val="20"/>
        </w:rPr>
        <w:t xml:space="preserve">, M., Lin, S., </w:t>
      </w:r>
      <w:proofErr w:type="spellStart"/>
      <w:r w:rsidRPr="001F5558">
        <w:rPr>
          <w:rFonts w:ascii="Arial" w:hAnsi="Arial" w:cs="Arial"/>
          <w:sz w:val="20"/>
          <w:szCs w:val="20"/>
        </w:rPr>
        <w:t>Ruilope</w:t>
      </w:r>
      <w:proofErr w:type="spellEnd"/>
      <w:r w:rsidRPr="001F5558">
        <w:rPr>
          <w:rFonts w:ascii="Arial" w:hAnsi="Arial" w:cs="Arial"/>
          <w:sz w:val="20"/>
          <w:szCs w:val="20"/>
        </w:rPr>
        <w:t xml:space="preserve">, L., Bader, G., Durg, S., &amp; Brunel, P. (2019). Effect of angiotensin receptor blockers on blood pressure and renal function in patients with concomitant hypertension and chronic </w:t>
      </w:r>
      <w:r w:rsidRPr="001F5558">
        <w:rPr>
          <w:rFonts w:ascii="Arial" w:hAnsi="Arial" w:cs="Arial"/>
          <w:sz w:val="20"/>
          <w:szCs w:val="20"/>
        </w:rPr>
        <w:lastRenderedPageBreak/>
        <w:t>kidney disease: a systematic review and meta-analysis. </w:t>
      </w:r>
      <w:r w:rsidRPr="001F5558">
        <w:rPr>
          <w:rFonts w:ascii="Arial" w:hAnsi="Arial" w:cs="Arial"/>
          <w:i/>
          <w:iCs/>
          <w:sz w:val="20"/>
          <w:szCs w:val="20"/>
        </w:rPr>
        <w:t>Blood pressure</w:t>
      </w:r>
      <w:r w:rsidRPr="001F5558">
        <w:rPr>
          <w:rFonts w:ascii="Arial" w:hAnsi="Arial" w:cs="Arial"/>
          <w:sz w:val="20"/>
          <w:szCs w:val="20"/>
        </w:rPr>
        <w:t>, </w:t>
      </w:r>
      <w:r w:rsidRPr="001F5558">
        <w:rPr>
          <w:rFonts w:ascii="Arial" w:hAnsi="Arial" w:cs="Arial"/>
          <w:i/>
          <w:iCs/>
          <w:sz w:val="20"/>
          <w:szCs w:val="20"/>
        </w:rPr>
        <w:t>28</w:t>
      </w:r>
      <w:r w:rsidRPr="001F5558">
        <w:rPr>
          <w:rFonts w:ascii="Arial" w:hAnsi="Arial" w:cs="Arial"/>
          <w:sz w:val="20"/>
          <w:szCs w:val="20"/>
        </w:rPr>
        <w:t>(6), 358–374. https://doi.org/10.1080/08037051.2019.1644155</w:t>
      </w:r>
    </w:p>
    <w:p w14:paraId="53BBB3DE" w14:textId="19AFD5F4" w:rsidR="00602E6C" w:rsidRPr="001F5558" w:rsidRDefault="00602E6C" w:rsidP="00602E6C">
      <w:pPr>
        <w:shd w:val="clear" w:color="auto" w:fill="FFFFFF"/>
        <w:spacing w:after="120" w:line="240" w:lineRule="auto"/>
        <w:ind w:left="567" w:hanging="567"/>
        <w:jc w:val="both"/>
        <w:rPr>
          <w:rFonts w:ascii="Arial" w:hAnsi="Arial" w:cs="Arial"/>
          <w:sz w:val="20"/>
          <w:szCs w:val="20"/>
        </w:rPr>
      </w:pPr>
      <w:r w:rsidRPr="001F5558">
        <w:rPr>
          <w:rFonts w:ascii="Arial" w:hAnsi="Arial" w:cs="Arial"/>
          <w:sz w:val="20"/>
          <w:szCs w:val="20"/>
        </w:rPr>
        <w:t>Bursztyn, M., &amp; Ben-Dov, I. Z. (2025). Contemporary Use of an Old Drug: Minoxidil for Resistant Hypertension. </w:t>
      </w:r>
      <w:r w:rsidRPr="001F5558">
        <w:rPr>
          <w:rFonts w:ascii="Arial" w:hAnsi="Arial" w:cs="Arial"/>
          <w:i/>
          <w:iCs/>
          <w:sz w:val="20"/>
          <w:szCs w:val="20"/>
        </w:rPr>
        <w:t>Hypertension (Dallas, Tex.: 1979)</w:t>
      </w:r>
      <w:r w:rsidRPr="001F5558">
        <w:rPr>
          <w:rFonts w:ascii="Arial" w:hAnsi="Arial" w:cs="Arial"/>
          <w:sz w:val="20"/>
          <w:szCs w:val="20"/>
        </w:rPr>
        <w:t>, </w:t>
      </w:r>
      <w:r w:rsidRPr="001F5558">
        <w:rPr>
          <w:rFonts w:ascii="Arial" w:hAnsi="Arial" w:cs="Arial"/>
          <w:i/>
          <w:iCs/>
          <w:sz w:val="20"/>
          <w:szCs w:val="20"/>
        </w:rPr>
        <w:t>82</w:t>
      </w:r>
      <w:r w:rsidRPr="001F5558">
        <w:rPr>
          <w:rFonts w:ascii="Arial" w:hAnsi="Arial" w:cs="Arial"/>
          <w:sz w:val="20"/>
          <w:szCs w:val="20"/>
        </w:rPr>
        <w:t>(4), 543–548. https://doi.org/10.1161/HYPERTENSIONAHA.124.23976</w:t>
      </w:r>
    </w:p>
    <w:p w14:paraId="62F039DE" w14:textId="77777777" w:rsidR="00602E6C" w:rsidRPr="001F5558" w:rsidRDefault="00602E6C" w:rsidP="00602E6C">
      <w:pPr>
        <w:shd w:val="clear" w:color="auto" w:fill="FFFFFF"/>
        <w:spacing w:after="120" w:line="240" w:lineRule="auto"/>
        <w:ind w:left="567" w:hanging="567"/>
        <w:jc w:val="both"/>
        <w:rPr>
          <w:rFonts w:ascii="Arial" w:hAnsi="Arial" w:cs="Arial"/>
          <w:sz w:val="20"/>
          <w:szCs w:val="20"/>
        </w:rPr>
      </w:pPr>
      <w:r w:rsidRPr="001F5558">
        <w:rPr>
          <w:rFonts w:ascii="Arial" w:hAnsi="Arial" w:cs="Arial"/>
          <w:sz w:val="20"/>
          <w:szCs w:val="20"/>
        </w:rPr>
        <w:t>Chang, T. T., &amp; Chen, J. W. (2022). Potential Impacts of Hydralazine as a Novel Antioxidant on Cardiovascular and Renal Disease-Beyond Vasodilation and Blood Pressure Lowering. </w:t>
      </w:r>
      <w:r w:rsidRPr="001F5558">
        <w:rPr>
          <w:rFonts w:ascii="Arial" w:hAnsi="Arial" w:cs="Arial"/>
          <w:i/>
          <w:iCs/>
          <w:sz w:val="20"/>
          <w:szCs w:val="20"/>
        </w:rPr>
        <w:t>Antioxidants (Basel, Switzerland)</w:t>
      </w:r>
      <w:r w:rsidRPr="001F5558">
        <w:rPr>
          <w:rFonts w:ascii="Arial" w:hAnsi="Arial" w:cs="Arial"/>
          <w:sz w:val="20"/>
          <w:szCs w:val="20"/>
        </w:rPr>
        <w:t>, </w:t>
      </w:r>
      <w:r w:rsidRPr="001F5558">
        <w:rPr>
          <w:rFonts w:ascii="Arial" w:hAnsi="Arial" w:cs="Arial"/>
          <w:i/>
          <w:iCs/>
          <w:sz w:val="20"/>
          <w:szCs w:val="20"/>
        </w:rPr>
        <w:t>11</w:t>
      </w:r>
      <w:r w:rsidRPr="001F5558">
        <w:rPr>
          <w:rFonts w:ascii="Arial" w:hAnsi="Arial" w:cs="Arial"/>
          <w:sz w:val="20"/>
          <w:szCs w:val="20"/>
        </w:rPr>
        <w:t>(11), 2224. https://doi.org/10.3390/antiox11112224</w:t>
      </w:r>
    </w:p>
    <w:p w14:paraId="34E8DAE8" w14:textId="77777777" w:rsidR="00602E6C" w:rsidRPr="001F5558" w:rsidRDefault="00602E6C" w:rsidP="00602E6C">
      <w:pPr>
        <w:shd w:val="clear" w:color="auto" w:fill="FFFFFF"/>
        <w:spacing w:after="120" w:line="240" w:lineRule="auto"/>
        <w:ind w:left="567" w:hanging="567"/>
        <w:jc w:val="both"/>
        <w:rPr>
          <w:rFonts w:ascii="Arial" w:hAnsi="Arial" w:cs="Arial"/>
          <w:sz w:val="20"/>
          <w:szCs w:val="20"/>
        </w:rPr>
      </w:pPr>
      <w:r w:rsidRPr="001F5558">
        <w:rPr>
          <w:rFonts w:ascii="Arial" w:hAnsi="Arial" w:cs="Arial"/>
          <w:sz w:val="20"/>
          <w:szCs w:val="20"/>
        </w:rPr>
        <w:t>Chen, T. K., Knicely, D. H., &amp; Grams, M. E. (2019). Chronic Kidney Disease Diagnosis and Management: A Review. </w:t>
      </w:r>
      <w:r w:rsidRPr="001F5558">
        <w:rPr>
          <w:rFonts w:ascii="Arial" w:hAnsi="Arial" w:cs="Arial"/>
          <w:i/>
          <w:iCs/>
          <w:sz w:val="20"/>
          <w:szCs w:val="20"/>
        </w:rPr>
        <w:t>JAMA</w:t>
      </w:r>
      <w:r w:rsidRPr="001F5558">
        <w:rPr>
          <w:rFonts w:ascii="Arial" w:hAnsi="Arial" w:cs="Arial"/>
          <w:sz w:val="20"/>
          <w:szCs w:val="20"/>
        </w:rPr>
        <w:t>, </w:t>
      </w:r>
      <w:r w:rsidRPr="001F5558">
        <w:rPr>
          <w:rFonts w:ascii="Arial" w:hAnsi="Arial" w:cs="Arial"/>
          <w:i/>
          <w:iCs/>
          <w:sz w:val="20"/>
          <w:szCs w:val="20"/>
        </w:rPr>
        <w:t>322</w:t>
      </w:r>
      <w:r w:rsidRPr="001F5558">
        <w:rPr>
          <w:rFonts w:ascii="Arial" w:hAnsi="Arial" w:cs="Arial"/>
          <w:sz w:val="20"/>
          <w:szCs w:val="20"/>
        </w:rPr>
        <w:t>(13), 1294–1304. https://doi.org/10.1001/jama.2019.14745</w:t>
      </w:r>
    </w:p>
    <w:p w14:paraId="6422C747" w14:textId="77777777" w:rsidR="00602E6C" w:rsidRPr="001F5558" w:rsidRDefault="00602E6C" w:rsidP="00602E6C">
      <w:pPr>
        <w:shd w:val="clear" w:color="auto" w:fill="FFFFFF"/>
        <w:spacing w:after="120" w:line="240" w:lineRule="auto"/>
        <w:ind w:left="567" w:hanging="567"/>
        <w:jc w:val="both"/>
        <w:rPr>
          <w:rFonts w:ascii="Arial" w:hAnsi="Arial" w:cs="Arial"/>
          <w:sz w:val="20"/>
          <w:szCs w:val="20"/>
        </w:rPr>
      </w:pPr>
      <w:proofErr w:type="spellStart"/>
      <w:r w:rsidRPr="001F5558">
        <w:rPr>
          <w:rFonts w:ascii="Arial" w:hAnsi="Arial" w:cs="Arial"/>
          <w:sz w:val="20"/>
          <w:szCs w:val="20"/>
        </w:rPr>
        <w:t>Chuasuwan</w:t>
      </w:r>
      <w:proofErr w:type="spellEnd"/>
      <w:r w:rsidRPr="001F5558">
        <w:rPr>
          <w:rFonts w:ascii="Arial" w:hAnsi="Arial" w:cs="Arial"/>
          <w:sz w:val="20"/>
          <w:szCs w:val="20"/>
        </w:rPr>
        <w:t xml:space="preserve">, A., </w:t>
      </w:r>
      <w:proofErr w:type="spellStart"/>
      <w:r w:rsidRPr="001F5558">
        <w:rPr>
          <w:rFonts w:ascii="Arial" w:hAnsi="Arial" w:cs="Arial"/>
          <w:sz w:val="20"/>
          <w:szCs w:val="20"/>
        </w:rPr>
        <w:t>Pooripussarakul</w:t>
      </w:r>
      <w:proofErr w:type="spellEnd"/>
      <w:r w:rsidRPr="001F5558">
        <w:rPr>
          <w:rFonts w:ascii="Arial" w:hAnsi="Arial" w:cs="Arial"/>
          <w:sz w:val="20"/>
          <w:szCs w:val="20"/>
        </w:rPr>
        <w:t xml:space="preserve">, S., </w:t>
      </w:r>
      <w:proofErr w:type="spellStart"/>
      <w:r w:rsidRPr="001F5558">
        <w:rPr>
          <w:rFonts w:ascii="Arial" w:hAnsi="Arial" w:cs="Arial"/>
          <w:sz w:val="20"/>
          <w:szCs w:val="20"/>
        </w:rPr>
        <w:t>Thakkinstian</w:t>
      </w:r>
      <w:proofErr w:type="spellEnd"/>
      <w:r w:rsidRPr="001F5558">
        <w:rPr>
          <w:rFonts w:ascii="Arial" w:hAnsi="Arial" w:cs="Arial"/>
          <w:sz w:val="20"/>
          <w:szCs w:val="20"/>
        </w:rPr>
        <w:t xml:space="preserve">, A., </w:t>
      </w:r>
      <w:proofErr w:type="spellStart"/>
      <w:r w:rsidRPr="001F5558">
        <w:rPr>
          <w:rFonts w:ascii="Arial" w:hAnsi="Arial" w:cs="Arial"/>
          <w:sz w:val="20"/>
          <w:szCs w:val="20"/>
        </w:rPr>
        <w:t>Ingsathit</w:t>
      </w:r>
      <w:proofErr w:type="spellEnd"/>
      <w:r w:rsidRPr="001F5558">
        <w:rPr>
          <w:rFonts w:ascii="Arial" w:hAnsi="Arial" w:cs="Arial"/>
          <w:sz w:val="20"/>
          <w:szCs w:val="20"/>
        </w:rPr>
        <w:t xml:space="preserve">, A., &amp; </w:t>
      </w:r>
      <w:proofErr w:type="spellStart"/>
      <w:r w:rsidRPr="001F5558">
        <w:rPr>
          <w:rFonts w:ascii="Arial" w:hAnsi="Arial" w:cs="Arial"/>
          <w:sz w:val="20"/>
          <w:szCs w:val="20"/>
        </w:rPr>
        <w:t>Pattanaprateep</w:t>
      </w:r>
      <w:proofErr w:type="spellEnd"/>
      <w:r w:rsidRPr="001F5558">
        <w:rPr>
          <w:rFonts w:ascii="Arial" w:hAnsi="Arial" w:cs="Arial"/>
          <w:sz w:val="20"/>
          <w:szCs w:val="20"/>
        </w:rPr>
        <w:t>, O. (2020). Comparisons of quality of life between patients underwent peritoneal dialysis and hemodialysis: a systematic review and meta-analysis. </w:t>
      </w:r>
      <w:r w:rsidRPr="001F5558">
        <w:rPr>
          <w:rFonts w:ascii="Arial" w:hAnsi="Arial" w:cs="Arial"/>
          <w:i/>
          <w:iCs/>
          <w:sz w:val="20"/>
          <w:szCs w:val="20"/>
        </w:rPr>
        <w:t>Health and quality of life outcomes</w:t>
      </w:r>
      <w:r w:rsidRPr="001F5558">
        <w:rPr>
          <w:rFonts w:ascii="Arial" w:hAnsi="Arial" w:cs="Arial"/>
          <w:sz w:val="20"/>
          <w:szCs w:val="20"/>
        </w:rPr>
        <w:t>, </w:t>
      </w:r>
      <w:r w:rsidRPr="001F5558">
        <w:rPr>
          <w:rFonts w:ascii="Arial" w:hAnsi="Arial" w:cs="Arial"/>
          <w:i/>
          <w:iCs/>
          <w:sz w:val="20"/>
          <w:szCs w:val="20"/>
        </w:rPr>
        <w:t>18</w:t>
      </w:r>
      <w:r w:rsidRPr="001F5558">
        <w:rPr>
          <w:rFonts w:ascii="Arial" w:hAnsi="Arial" w:cs="Arial"/>
          <w:sz w:val="20"/>
          <w:szCs w:val="20"/>
        </w:rPr>
        <w:t>(1), 191. https://doi.org/10.1186/s12955-020-01449-2</w:t>
      </w:r>
    </w:p>
    <w:p w14:paraId="2543D632" w14:textId="77777777" w:rsidR="00602E6C" w:rsidRPr="001F5558" w:rsidRDefault="00602E6C" w:rsidP="00602E6C">
      <w:pPr>
        <w:shd w:val="clear" w:color="auto" w:fill="FFFFFF"/>
        <w:spacing w:after="120" w:line="240" w:lineRule="auto"/>
        <w:ind w:left="567" w:hanging="567"/>
        <w:jc w:val="both"/>
        <w:rPr>
          <w:rFonts w:ascii="Arial" w:hAnsi="Arial" w:cs="Arial"/>
          <w:sz w:val="20"/>
          <w:szCs w:val="20"/>
        </w:rPr>
      </w:pPr>
      <w:proofErr w:type="spellStart"/>
      <w:r w:rsidRPr="001F5558">
        <w:rPr>
          <w:rFonts w:ascii="Arial" w:hAnsi="Arial" w:cs="Arial"/>
          <w:sz w:val="20"/>
          <w:szCs w:val="20"/>
        </w:rPr>
        <w:t>Damianaki</w:t>
      </w:r>
      <w:proofErr w:type="spellEnd"/>
      <w:r w:rsidRPr="001F5558">
        <w:rPr>
          <w:rFonts w:ascii="Arial" w:hAnsi="Arial" w:cs="Arial"/>
          <w:sz w:val="20"/>
          <w:szCs w:val="20"/>
        </w:rPr>
        <w:t xml:space="preserve">, A., </w:t>
      </w:r>
      <w:proofErr w:type="spellStart"/>
      <w:r w:rsidRPr="001F5558">
        <w:rPr>
          <w:rFonts w:ascii="Arial" w:hAnsi="Arial" w:cs="Arial"/>
          <w:sz w:val="20"/>
          <w:szCs w:val="20"/>
        </w:rPr>
        <w:t>Polychronopoulou</w:t>
      </w:r>
      <w:proofErr w:type="spellEnd"/>
      <w:r w:rsidRPr="001F5558">
        <w:rPr>
          <w:rFonts w:ascii="Arial" w:hAnsi="Arial" w:cs="Arial"/>
          <w:sz w:val="20"/>
          <w:szCs w:val="20"/>
        </w:rPr>
        <w:t xml:space="preserve">, E., </w:t>
      </w:r>
      <w:proofErr w:type="spellStart"/>
      <w:r w:rsidRPr="001F5558">
        <w:rPr>
          <w:rFonts w:ascii="Arial" w:hAnsi="Arial" w:cs="Arial"/>
          <w:sz w:val="20"/>
          <w:szCs w:val="20"/>
        </w:rPr>
        <w:t>Wuerzner</w:t>
      </w:r>
      <w:proofErr w:type="spellEnd"/>
      <w:r w:rsidRPr="001F5558">
        <w:rPr>
          <w:rFonts w:ascii="Arial" w:hAnsi="Arial" w:cs="Arial"/>
          <w:sz w:val="20"/>
          <w:szCs w:val="20"/>
        </w:rPr>
        <w:t xml:space="preserve">, G., &amp; </w:t>
      </w:r>
      <w:proofErr w:type="spellStart"/>
      <w:r w:rsidRPr="001F5558">
        <w:rPr>
          <w:rFonts w:ascii="Arial" w:hAnsi="Arial" w:cs="Arial"/>
          <w:sz w:val="20"/>
          <w:szCs w:val="20"/>
        </w:rPr>
        <w:t>Burnier</w:t>
      </w:r>
      <w:proofErr w:type="spellEnd"/>
      <w:r w:rsidRPr="001F5558">
        <w:rPr>
          <w:rFonts w:ascii="Arial" w:hAnsi="Arial" w:cs="Arial"/>
          <w:sz w:val="20"/>
          <w:szCs w:val="20"/>
        </w:rPr>
        <w:t>, M. (2022). New Aspects in the Management of Hypertension in Patients with Chronic Kidney Disease not on Renal Replacement Therapy. </w:t>
      </w:r>
      <w:r w:rsidRPr="001F5558">
        <w:rPr>
          <w:rFonts w:ascii="Arial" w:hAnsi="Arial" w:cs="Arial"/>
          <w:i/>
          <w:iCs/>
          <w:sz w:val="20"/>
          <w:szCs w:val="20"/>
        </w:rPr>
        <w:t xml:space="preserve">High blood pressure &amp; cardiovascular </w:t>
      </w:r>
      <w:proofErr w:type="gramStart"/>
      <w:r w:rsidRPr="001F5558">
        <w:rPr>
          <w:rFonts w:ascii="Arial" w:hAnsi="Arial" w:cs="Arial"/>
          <w:i/>
          <w:iCs/>
          <w:sz w:val="20"/>
          <w:szCs w:val="20"/>
        </w:rPr>
        <w:t>prevention :</w:t>
      </w:r>
      <w:proofErr w:type="gramEnd"/>
      <w:r w:rsidRPr="001F5558">
        <w:rPr>
          <w:rFonts w:ascii="Arial" w:hAnsi="Arial" w:cs="Arial"/>
          <w:i/>
          <w:iCs/>
          <w:sz w:val="20"/>
          <w:szCs w:val="20"/>
        </w:rPr>
        <w:t xml:space="preserve"> the official journal of the Italian Society of Hypertension</w:t>
      </w:r>
      <w:r w:rsidRPr="001F5558">
        <w:rPr>
          <w:rFonts w:ascii="Arial" w:hAnsi="Arial" w:cs="Arial"/>
          <w:sz w:val="20"/>
          <w:szCs w:val="20"/>
        </w:rPr>
        <w:t>, </w:t>
      </w:r>
      <w:r w:rsidRPr="001F5558">
        <w:rPr>
          <w:rFonts w:ascii="Arial" w:hAnsi="Arial" w:cs="Arial"/>
          <w:i/>
          <w:iCs/>
          <w:sz w:val="20"/>
          <w:szCs w:val="20"/>
        </w:rPr>
        <w:t>29</w:t>
      </w:r>
      <w:r w:rsidRPr="001F5558">
        <w:rPr>
          <w:rFonts w:ascii="Arial" w:hAnsi="Arial" w:cs="Arial"/>
          <w:sz w:val="20"/>
          <w:szCs w:val="20"/>
        </w:rPr>
        <w:t>(2), 125–135. https://doi.org/10.1007/s40292-021-00495-1</w:t>
      </w:r>
    </w:p>
    <w:p w14:paraId="367D091E" w14:textId="3D716CB6" w:rsidR="00602E6C" w:rsidRPr="001F5558" w:rsidRDefault="00602E6C" w:rsidP="00602E6C">
      <w:pPr>
        <w:shd w:val="clear" w:color="auto" w:fill="FFFFFF"/>
        <w:spacing w:after="120" w:line="240" w:lineRule="auto"/>
        <w:ind w:left="567" w:hanging="567"/>
        <w:jc w:val="both"/>
        <w:rPr>
          <w:rFonts w:ascii="Arial" w:hAnsi="Arial" w:cs="Arial"/>
          <w:sz w:val="20"/>
          <w:szCs w:val="20"/>
        </w:rPr>
      </w:pPr>
      <w:r w:rsidRPr="001F5558">
        <w:rPr>
          <w:rFonts w:ascii="Arial" w:hAnsi="Arial" w:cs="Arial"/>
          <w:sz w:val="20"/>
          <w:szCs w:val="20"/>
        </w:rPr>
        <w:t xml:space="preserve">de Boer, I. H., </w:t>
      </w:r>
      <w:proofErr w:type="spellStart"/>
      <w:r w:rsidRPr="001F5558">
        <w:rPr>
          <w:rFonts w:ascii="Arial" w:hAnsi="Arial" w:cs="Arial"/>
          <w:sz w:val="20"/>
          <w:szCs w:val="20"/>
        </w:rPr>
        <w:t>Khunti</w:t>
      </w:r>
      <w:proofErr w:type="spellEnd"/>
      <w:r w:rsidRPr="001F5558">
        <w:rPr>
          <w:rFonts w:ascii="Arial" w:hAnsi="Arial" w:cs="Arial"/>
          <w:sz w:val="20"/>
          <w:szCs w:val="20"/>
        </w:rPr>
        <w:t xml:space="preserve">, K., Sadusky, T., Tuttle, K. R., Neumiller, J. J., Rhee, C. M., </w:t>
      </w:r>
      <w:r w:rsidR="006A6E2B" w:rsidRPr="001F5558">
        <w:rPr>
          <w:rFonts w:ascii="Arial" w:hAnsi="Arial" w:cs="Arial"/>
          <w:sz w:val="20"/>
          <w:szCs w:val="20"/>
        </w:rPr>
        <w:t xml:space="preserve">et al. </w:t>
      </w:r>
      <w:r w:rsidRPr="001F5558">
        <w:rPr>
          <w:rFonts w:ascii="Arial" w:hAnsi="Arial" w:cs="Arial"/>
          <w:sz w:val="20"/>
          <w:szCs w:val="20"/>
        </w:rPr>
        <w:t xml:space="preserve">(2022). Diabetes Management in Chronic Kidney Disease: A Consensus Report by the American Diabetes Association (ADA) and </w:t>
      </w:r>
      <w:proofErr w:type="gramStart"/>
      <w:r w:rsidRPr="001F5558">
        <w:rPr>
          <w:rFonts w:ascii="Arial" w:hAnsi="Arial" w:cs="Arial"/>
          <w:sz w:val="20"/>
          <w:szCs w:val="20"/>
        </w:rPr>
        <w:t>Kidney Disease</w:t>
      </w:r>
      <w:proofErr w:type="gramEnd"/>
      <w:r w:rsidRPr="001F5558">
        <w:rPr>
          <w:rFonts w:ascii="Arial" w:hAnsi="Arial" w:cs="Arial"/>
          <w:sz w:val="20"/>
          <w:szCs w:val="20"/>
        </w:rPr>
        <w:t>: Improving Global Outcomes (KDIGO). </w:t>
      </w:r>
      <w:r w:rsidRPr="001F5558">
        <w:rPr>
          <w:rFonts w:ascii="Arial" w:hAnsi="Arial" w:cs="Arial"/>
          <w:i/>
          <w:iCs/>
          <w:sz w:val="20"/>
          <w:szCs w:val="20"/>
        </w:rPr>
        <w:t>Diabetes care</w:t>
      </w:r>
      <w:r w:rsidRPr="001F5558">
        <w:rPr>
          <w:rFonts w:ascii="Arial" w:hAnsi="Arial" w:cs="Arial"/>
          <w:sz w:val="20"/>
          <w:szCs w:val="20"/>
        </w:rPr>
        <w:t>, </w:t>
      </w:r>
      <w:r w:rsidRPr="001F5558">
        <w:rPr>
          <w:rFonts w:ascii="Arial" w:hAnsi="Arial" w:cs="Arial"/>
          <w:i/>
          <w:iCs/>
          <w:sz w:val="20"/>
          <w:szCs w:val="20"/>
        </w:rPr>
        <w:t>45</w:t>
      </w:r>
      <w:r w:rsidRPr="001F5558">
        <w:rPr>
          <w:rFonts w:ascii="Arial" w:hAnsi="Arial" w:cs="Arial"/>
          <w:sz w:val="20"/>
          <w:szCs w:val="20"/>
        </w:rPr>
        <w:t>(12), 3075–3090. https://doi.org/10.2337/dci22-0027</w:t>
      </w:r>
    </w:p>
    <w:p w14:paraId="75D38C47" w14:textId="77777777" w:rsidR="00602E6C" w:rsidRPr="001F5558" w:rsidRDefault="00602E6C" w:rsidP="00602E6C">
      <w:pPr>
        <w:shd w:val="clear" w:color="auto" w:fill="FFFFFF"/>
        <w:spacing w:after="120" w:line="240" w:lineRule="auto"/>
        <w:ind w:left="567" w:hanging="567"/>
        <w:jc w:val="both"/>
        <w:rPr>
          <w:rFonts w:ascii="Arial" w:hAnsi="Arial" w:cs="Arial"/>
          <w:sz w:val="20"/>
          <w:szCs w:val="20"/>
        </w:rPr>
      </w:pPr>
      <w:r w:rsidRPr="001F5558">
        <w:rPr>
          <w:rFonts w:ascii="Arial" w:hAnsi="Arial" w:cs="Arial"/>
          <w:sz w:val="20"/>
          <w:szCs w:val="20"/>
        </w:rPr>
        <w:t xml:space="preserve">Doumani, G., </w:t>
      </w:r>
      <w:proofErr w:type="spellStart"/>
      <w:r w:rsidRPr="001F5558">
        <w:rPr>
          <w:rFonts w:ascii="Arial" w:hAnsi="Arial" w:cs="Arial"/>
          <w:sz w:val="20"/>
          <w:szCs w:val="20"/>
        </w:rPr>
        <w:t>Theofilis</w:t>
      </w:r>
      <w:proofErr w:type="spellEnd"/>
      <w:r w:rsidRPr="001F5558">
        <w:rPr>
          <w:rFonts w:ascii="Arial" w:hAnsi="Arial" w:cs="Arial"/>
          <w:sz w:val="20"/>
          <w:szCs w:val="20"/>
        </w:rPr>
        <w:t>, P., Vordoni, A., Smirloglou, D., &amp; Kalaitzidis, R. G. (2025). Therapeutic approaches in the management of chronic kidney disease: the past, the present, and the future. </w:t>
      </w:r>
      <w:r w:rsidRPr="001F5558">
        <w:rPr>
          <w:rFonts w:ascii="Arial" w:hAnsi="Arial" w:cs="Arial"/>
          <w:i/>
          <w:iCs/>
          <w:sz w:val="20"/>
          <w:szCs w:val="20"/>
        </w:rPr>
        <w:t>Minerva medica</w:t>
      </w:r>
      <w:r w:rsidRPr="001F5558">
        <w:rPr>
          <w:rFonts w:ascii="Arial" w:hAnsi="Arial" w:cs="Arial"/>
          <w:sz w:val="20"/>
          <w:szCs w:val="20"/>
        </w:rPr>
        <w:t>, </w:t>
      </w:r>
      <w:r w:rsidRPr="001F5558">
        <w:rPr>
          <w:rFonts w:ascii="Arial" w:hAnsi="Arial" w:cs="Arial"/>
          <w:i/>
          <w:iCs/>
          <w:sz w:val="20"/>
          <w:szCs w:val="20"/>
        </w:rPr>
        <w:t>116</w:t>
      </w:r>
      <w:r w:rsidRPr="001F5558">
        <w:rPr>
          <w:rFonts w:ascii="Arial" w:hAnsi="Arial" w:cs="Arial"/>
          <w:sz w:val="20"/>
          <w:szCs w:val="20"/>
        </w:rPr>
        <w:t>(6), 468–482. https://doi.org/10.23736/S0026-4806.25.09747-2</w:t>
      </w:r>
    </w:p>
    <w:p w14:paraId="4FB96B77" w14:textId="77777777" w:rsidR="00602E6C" w:rsidRPr="001F5558" w:rsidRDefault="00602E6C" w:rsidP="00602E6C">
      <w:pPr>
        <w:shd w:val="clear" w:color="auto" w:fill="FFFFFF"/>
        <w:spacing w:after="120" w:line="240" w:lineRule="auto"/>
        <w:ind w:left="567" w:hanging="567"/>
        <w:jc w:val="both"/>
        <w:rPr>
          <w:rFonts w:ascii="Arial" w:hAnsi="Arial" w:cs="Arial"/>
          <w:sz w:val="20"/>
          <w:szCs w:val="20"/>
        </w:rPr>
      </w:pPr>
      <w:r w:rsidRPr="001F5558">
        <w:rPr>
          <w:rFonts w:ascii="Arial" w:hAnsi="Arial" w:cs="Arial"/>
          <w:sz w:val="20"/>
          <w:szCs w:val="20"/>
        </w:rPr>
        <w:t>Edwards, N. C., Steeds, R. P., Chue, C. D., Stewart, P. M., Ferro, C. J., &amp; Townend, J. N. (2012). The safety and tolerability of spironolactone in patients with mild to moderate chronic kidney disease. </w:t>
      </w:r>
      <w:r w:rsidRPr="001F5558">
        <w:rPr>
          <w:rFonts w:ascii="Arial" w:hAnsi="Arial" w:cs="Arial"/>
          <w:i/>
          <w:iCs/>
          <w:sz w:val="20"/>
          <w:szCs w:val="20"/>
        </w:rPr>
        <w:t>British journal of clinical pharmacology</w:t>
      </w:r>
      <w:r w:rsidRPr="001F5558">
        <w:rPr>
          <w:rFonts w:ascii="Arial" w:hAnsi="Arial" w:cs="Arial"/>
          <w:sz w:val="20"/>
          <w:szCs w:val="20"/>
        </w:rPr>
        <w:t>, </w:t>
      </w:r>
      <w:r w:rsidRPr="001F5558">
        <w:rPr>
          <w:rFonts w:ascii="Arial" w:hAnsi="Arial" w:cs="Arial"/>
          <w:i/>
          <w:iCs/>
          <w:sz w:val="20"/>
          <w:szCs w:val="20"/>
        </w:rPr>
        <w:t>73</w:t>
      </w:r>
      <w:r w:rsidRPr="001F5558">
        <w:rPr>
          <w:rFonts w:ascii="Arial" w:hAnsi="Arial" w:cs="Arial"/>
          <w:sz w:val="20"/>
          <w:szCs w:val="20"/>
        </w:rPr>
        <w:t>(3), 447–454. https://doi.org/10.1111/j.1365-2125.2011.04102.x</w:t>
      </w:r>
    </w:p>
    <w:p w14:paraId="175C8ED2" w14:textId="77777777" w:rsidR="00602E6C" w:rsidRPr="001F5558" w:rsidRDefault="00602E6C" w:rsidP="00602E6C">
      <w:pPr>
        <w:shd w:val="clear" w:color="auto" w:fill="FFFFFF"/>
        <w:spacing w:after="120" w:line="240" w:lineRule="auto"/>
        <w:ind w:left="567" w:hanging="567"/>
        <w:jc w:val="both"/>
        <w:rPr>
          <w:rFonts w:ascii="Arial" w:hAnsi="Arial" w:cs="Arial"/>
          <w:sz w:val="20"/>
          <w:szCs w:val="20"/>
        </w:rPr>
      </w:pPr>
      <w:r w:rsidRPr="001F5558">
        <w:rPr>
          <w:rFonts w:ascii="Arial" w:hAnsi="Arial" w:cs="Arial"/>
          <w:sz w:val="20"/>
          <w:szCs w:val="20"/>
        </w:rPr>
        <w:t xml:space="preserve">Erviti, J., Saiz, L. C., </w:t>
      </w:r>
      <w:proofErr w:type="spellStart"/>
      <w:r w:rsidRPr="001F5558">
        <w:rPr>
          <w:rFonts w:ascii="Arial" w:hAnsi="Arial" w:cs="Arial"/>
          <w:sz w:val="20"/>
          <w:szCs w:val="20"/>
        </w:rPr>
        <w:t>Leache</w:t>
      </w:r>
      <w:proofErr w:type="spellEnd"/>
      <w:r w:rsidRPr="001F5558">
        <w:rPr>
          <w:rFonts w:ascii="Arial" w:hAnsi="Arial" w:cs="Arial"/>
          <w:sz w:val="20"/>
          <w:szCs w:val="20"/>
        </w:rPr>
        <w:t>, L., Pijoan, J. I., Menéndez Orenga, M., Salzwedel, D. M., &amp; Méndez-López, I. (2024). Blood pressure targets for hypertension in people with chronic renal disease. </w:t>
      </w:r>
      <w:r w:rsidRPr="001F5558">
        <w:rPr>
          <w:rFonts w:ascii="Arial" w:hAnsi="Arial" w:cs="Arial"/>
          <w:i/>
          <w:iCs/>
          <w:sz w:val="20"/>
          <w:szCs w:val="20"/>
        </w:rPr>
        <w:t>The Cochrane database of systematic reviews</w:t>
      </w:r>
      <w:r w:rsidRPr="001F5558">
        <w:rPr>
          <w:rFonts w:ascii="Arial" w:hAnsi="Arial" w:cs="Arial"/>
          <w:sz w:val="20"/>
          <w:szCs w:val="20"/>
        </w:rPr>
        <w:t>, </w:t>
      </w:r>
      <w:r w:rsidRPr="001F5558">
        <w:rPr>
          <w:rFonts w:ascii="Arial" w:hAnsi="Arial" w:cs="Arial"/>
          <w:i/>
          <w:iCs/>
          <w:sz w:val="20"/>
          <w:szCs w:val="20"/>
        </w:rPr>
        <w:t>10</w:t>
      </w:r>
      <w:r w:rsidRPr="001F5558">
        <w:rPr>
          <w:rFonts w:ascii="Arial" w:hAnsi="Arial" w:cs="Arial"/>
          <w:sz w:val="20"/>
          <w:szCs w:val="20"/>
        </w:rPr>
        <w:t>(10), CD008564. https://doi.org/10.1002/14651858.CD008564.pub3</w:t>
      </w:r>
    </w:p>
    <w:p w14:paraId="54DFD8EB" w14:textId="77777777" w:rsidR="00602E6C" w:rsidRPr="001F5558" w:rsidRDefault="00602E6C" w:rsidP="00602E6C">
      <w:pPr>
        <w:shd w:val="clear" w:color="auto" w:fill="FFFFFF"/>
        <w:spacing w:after="120" w:line="240" w:lineRule="auto"/>
        <w:ind w:left="567" w:hanging="567"/>
        <w:jc w:val="both"/>
        <w:rPr>
          <w:rFonts w:ascii="Arial" w:hAnsi="Arial" w:cs="Arial"/>
          <w:sz w:val="20"/>
          <w:szCs w:val="20"/>
        </w:rPr>
      </w:pPr>
      <w:r w:rsidRPr="001F5558">
        <w:rPr>
          <w:rFonts w:ascii="Arial" w:hAnsi="Arial" w:cs="Arial"/>
          <w:sz w:val="20"/>
          <w:szCs w:val="20"/>
        </w:rPr>
        <w:t>Fan, Z., Yun, J., Yu, S., Yang, Q., &amp; Song, L. (2019). Alcohol Consumption Can be a "Double-Edged Sword" for Chronic Kidney Disease Patients. </w:t>
      </w:r>
      <w:r w:rsidRPr="001F5558">
        <w:rPr>
          <w:rFonts w:ascii="Arial" w:hAnsi="Arial" w:cs="Arial"/>
          <w:i/>
          <w:iCs/>
          <w:sz w:val="20"/>
          <w:szCs w:val="20"/>
        </w:rPr>
        <w:t xml:space="preserve">Medical science </w:t>
      </w:r>
      <w:proofErr w:type="gramStart"/>
      <w:r w:rsidRPr="001F5558">
        <w:rPr>
          <w:rFonts w:ascii="Arial" w:hAnsi="Arial" w:cs="Arial"/>
          <w:i/>
          <w:iCs/>
          <w:sz w:val="20"/>
          <w:szCs w:val="20"/>
        </w:rPr>
        <w:t>monitor :</w:t>
      </w:r>
      <w:proofErr w:type="gramEnd"/>
      <w:r w:rsidRPr="001F5558">
        <w:rPr>
          <w:rFonts w:ascii="Arial" w:hAnsi="Arial" w:cs="Arial"/>
          <w:i/>
          <w:iCs/>
          <w:sz w:val="20"/>
          <w:szCs w:val="20"/>
        </w:rPr>
        <w:t xml:space="preserve"> international medical journal of experimental and clinical research</w:t>
      </w:r>
      <w:r w:rsidRPr="001F5558">
        <w:rPr>
          <w:rFonts w:ascii="Arial" w:hAnsi="Arial" w:cs="Arial"/>
          <w:sz w:val="20"/>
          <w:szCs w:val="20"/>
        </w:rPr>
        <w:t>, </w:t>
      </w:r>
      <w:r w:rsidRPr="001F5558">
        <w:rPr>
          <w:rFonts w:ascii="Arial" w:hAnsi="Arial" w:cs="Arial"/>
          <w:i/>
          <w:iCs/>
          <w:sz w:val="20"/>
          <w:szCs w:val="20"/>
        </w:rPr>
        <w:t>25</w:t>
      </w:r>
      <w:r w:rsidRPr="001F5558">
        <w:rPr>
          <w:rFonts w:ascii="Arial" w:hAnsi="Arial" w:cs="Arial"/>
          <w:sz w:val="20"/>
          <w:szCs w:val="20"/>
        </w:rPr>
        <w:t>, 7059–7072. https://doi.org/10.12659/MSM.916121</w:t>
      </w:r>
    </w:p>
    <w:p w14:paraId="2A9185EA" w14:textId="77777777" w:rsidR="00602E6C" w:rsidRPr="001F5558" w:rsidRDefault="00602E6C" w:rsidP="00602E6C">
      <w:pPr>
        <w:shd w:val="clear" w:color="auto" w:fill="FFFFFF"/>
        <w:spacing w:after="120" w:line="240" w:lineRule="auto"/>
        <w:ind w:left="567" w:hanging="567"/>
        <w:jc w:val="both"/>
        <w:rPr>
          <w:rFonts w:ascii="Arial" w:hAnsi="Arial" w:cs="Arial"/>
          <w:sz w:val="20"/>
          <w:szCs w:val="20"/>
        </w:rPr>
      </w:pPr>
      <w:r w:rsidRPr="001F5558">
        <w:rPr>
          <w:rFonts w:ascii="Arial" w:hAnsi="Arial" w:cs="Arial"/>
          <w:sz w:val="20"/>
          <w:szCs w:val="20"/>
        </w:rPr>
        <w:t>Forbes, A., &amp; Gallagher, H. (2020). Chronic kidney disease in adults: assessment and management. </w:t>
      </w:r>
      <w:r w:rsidRPr="001F5558">
        <w:rPr>
          <w:rFonts w:ascii="Arial" w:hAnsi="Arial" w:cs="Arial"/>
          <w:i/>
          <w:iCs/>
          <w:sz w:val="20"/>
          <w:szCs w:val="20"/>
        </w:rPr>
        <w:t>Clinical medicine (London, England)</w:t>
      </w:r>
      <w:r w:rsidRPr="001F5558">
        <w:rPr>
          <w:rFonts w:ascii="Arial" w:hAnsi="Arial" w:cs="Arial"/>
          <w:sz w:val="20"/>
          <w:szCs w:val="20"/>
        </w:rPr>
        <w:t>, </w:t>
      </w:r>
      <w:r w:rsidRPr="001F5558">
        <w:rPr>
          <w:rFonts w:ascii="Arial" w:hAnsi="Arial" w:cs="Arial"/>
          <w:i/>
          <w:iCs/>
          <w:sz w:val="20"/>
          <w:szCs w:val="20"/>
        </w:rPr>
        <w:t>20</w:t>
      </w:r>
      <w:r w:rsidRPr="001F5558">
        <w:rPr>
          <w:rFonts w:ascii="Arial" w:hAnsi="Arial" w:cs="Arial"/>
          <w:sz w:val="20"/>
          <w:szCs w:val="20"/>
        </w:rPr>
        <w:t>(2), 128–132. https://doi.org/10.7861/clinmed.cg.20.2</w:t>
      </w:r>
    </w:p>
    <w:p w14:paraId="2BCB33FB" w14:textId="0AC946AE" w:rsidR="00602E6C" w:rsidRPr="001F5558" w:rsidRDefault="00602E6C" w:rsidP="00602E6C">
      <w:pPr>
        <w:shd w:val="clear" w:color="auto" w:fill="FFFFFF"/>
        <w:spacing w:after="120" w:line="240" w:lineRule="auto"/>
        <w:ind w:left="567" w:hanging="567"/>
        <w:jc w:val="both"/>
        <w:rPr>
          <w:rFonts w:ascii="Arial" w:hAnsi="Arial" w:cs="Arial"/>
          <w:sz w:val="20"/>
          <w:szCs w:val="20"/>
        </w:rPr>
      </w:pPr>
      <w:r w:rsidRPr="001F5558">
        <w:rPr>
          <w:rFonts w:ascii="Arial" w:hAnsi="Arial" w:cs="Arial"/>
          <w:sz w:val="20"/>
          <w:szCs w:val="20"/>
        </w:rPr>
        <w:t xml:space="preserve">Fu, E. L., Clase, C. M., Evans, M., Lindholm, B., </w:t>
      </w:r>
      <w:proofErr w:type="spellStart"/>
      <w:r w:rsidRPr="001F5558">
        <w:rPr>
          <w:rFonts w:ascii="Arial" w:hAnsi="Arial" w:cs="Arial"/>
          <w:sz w:val="20"/>
          <w:szCs w:val="20"/>
        </w:rPr>
        <w:t>Rotmans</w:t>
      </w:r>
      <w:proofErr w:type="spellEnd"/>
      <w:r w:rsidRPr="001F5558">
        <w:rPr>
          <w:rFonts w:ascii="Arial" w:hAnsi="Arial" w:cs="Arial"/>
          <w:sz w:val="20"/>
          <w:szCs w:val="20"/>
        </w:rPr>
        <w:t xml:space="preserve">, J. I., Dekker, F. W., </w:t>
      </w:r>
      <w:r w:rsidR="00777FAA" w:rsidRPr="001F5558">
        <w:rPr>
          <w:rFonts w:ascii="Arial" w:hAnsi="Arial" w:cs="Arial"/>
          <w:sz w:val="20"/>
          <w:szCs w:val="20"/>
        </w:rPr>
        <w:t xml:space="preserve">et al. </w:t>
      </w:r>
      <w:r w:rsidRPr="001F5558">
        <w:rPr>
          <w:rFonts w:ascii="Arial" w:hAnsi="Arial" w:cs="Arial"/>
          <w:sz w:val="20"/>
          <w:szCs w:val="20"/>
        </w:rPr>
        <w:t xml:space="preserve">(2021). Comparative Effectiveness of Renin-Angiotensin System Inhibitors and Calcium Channel Blockers in Individuals </w:t>
      </w:r>
      <w:proofErr w:type="gramStart"/>
      <w:r w:rsidRPr="001F5558">
        <w:rPr>
          <w:rFonts w:ascii="Arial" w:hAnsi="Arial" w:cs="Arial"/>
          <w:sz w:val="20"/>
          <w:szCs w:val="20"/>
        </w:rPr>
        <w:t>With</w:t>
      </w:r>
      <w:proofErr w:type="gramEnd"/>
      <w:r w:rsidRPr="001F5558">
        <w:rPr>
          <w:rFonts w:ascii="Arial" w:hAnsi="Arial" w:cs="Arial"/>
          <w:sz w:val="20"/>
          <w:szCs w:val="20"/>
        </w:rPr>
        <w:t xml:space="preserve"> Advanced CKD: A Nationwide Observational Cohort Study. </w:t>
      </w:r>
      <w:r w:rsidRPr="001F5558">
        <w:rPr>
          <w:rFonts w:ascii="Arial" w:hAnsi="Arial" w:cs="Arial"/>
          <w:i/>
          <w:iCs/>
          <w:sz w:val="20"/>
          <w:szCs w:val="20"/>
        </w:rPr>
        <w:t xml:space="preserve">American journal of kidney </w:t>
      </w:r>
      <w:proofErr w:type="gramStart"/>
      <w:r w:rsidRPr="001F5558">
        <w:rPr>
          <w:rFonts w:ascii="Arial" w:hAnsi="Arial" w:cs="Arial"/>
          <w:i/>
          <w:iCs/>
          <w:sz w:val="20"/>
          <w:szCs w:val="20"/>
        </w:rPr>
        <w:t>diseases :</w:t>
      </w:r>
      <w:proofErr w:type="gramEnd"/>
      <w:r w:rsidRPr="001F5558">
        <w:rPr>
          <w:rFonts w:ascii="Arial" w:hAnsi="Arial" w:cs="Arial"/>
          <w:i/>
          <w:iCs/>
          <w:sz w:val="20"/>
          <w:szCs w:val="20"/>
        </w:rPr>
        <w:t xml:space="preserve"> the official journal of the National Kidney Foundation</w:t>
      </w:r>
      <w:r w:rsidRPr="001F5558">
        <w:rPr>
          <w:rFonts w:ascii="Arial" w:hAnsi="Arial" w:cs="Arial"/>
          <w:sz w:val="20"/>
          <w:szCs w:val="20"/>
        </w:rPr>
        <w:t>, </w:t>
      </w:r>
      <w:r w:rsidRPr="001F5558">
        <w:rPr>
          <w:rFonts w:ascii="Arial" w:hAnsi="Arial" w:cs="Arial"/>
          <w:i/>
          <w:iCs/>
          <w:sz w:val="20"/>
          <w:szCs w:val="20"/>
        </w:rPr>
        <w:t>77</w:t>
      </w:r>
      <w:r w:rsidRPr="001F5558">
        <w:rPr>
          <w:rFonts w:ascii="Arial" w:hAnsi="Arial" w:cs="Arial"/>
          <w:sz w:val="20"/>
          <w:szCs w:val="20"/>
        </w:rPr>
        <w:t>(5), 719–729.e1. https://doi.org/10.1053/j.ajkd.2020.10.006</w:t>
      </w:r>
    </w:p>
    <w:p w14:paraId="2D95F316" w14:textId="77777777" w:rsidR="00602E6C" w:rsidRPr="001F5558" w:rsidRDefault="00602E6C" w:rsidP="00602E6C">
      <w:pPr>
        <w:shd w:val="clear" w:color="auto" w:fill="FFFFFF"/>
        <w:spacing w:after="120" w:line="240" w:lineRule="auto"/>
        <w:ind w:left="567" w:hanging="567"/>
        <w:jc w:val="both"/>
        <w:rPr>
          <w:rFonts w:ascii="Arial" w:hAnsi="Arial" w:cs="Arial"/>
          <w:sz w:val="20"/>
          <w:szCs w:val="20"/>
        </w:rPr>
      </w:pPr>
      <w:r w:rsidRPr="001F5558">
        <w:rPr>
          <w:rFonts w:ascii="Arial" w:hAnsi="Arial" w:cs="Arial"/>
          <w:sz w:val="20"/>
          <w:szCs w:val="20"/>
        </w:rPr>
        <w:t xml:space="preserve">Fu, E. L., </w:t>
      </w:r>
      <w:proofErr w:type="spellStart"/>
      <w:r w:rsidRPr="001F5558">
        <w:rPr>
          <w:rFonts w:ascii="Arial" w:hAnsi="Arial" w:cs="Arial"/>
          <w:sz w:val="20"/>
          <w:szCs w:val="20"/>
        </w:rPr>
        <w:t>Uijl</w:t>
      </w:r>
      <w:proofErr w:type="spellEnd"/>
      <w:r w:rsidRPr="001F5558">
        <w:rPr>
          <w:rFonts w:ascii="Arial" w:hAnsi="Arial" w:cs="Arial"/>
          <w:sz w:val="20"/>
          <w:szCs w:val="20"/>
        </w:rPr>
        <w:t xml:space="preserve">, A., Dekker, F. W., Lund, L. H., Savarese, G., &amp; Carrero, J. J. (2020). Association Between β-Blocker Use and Mortality/Morbidity in Patients </w:t>
      </w:r>
      <w:proofErr w:type="gramStart"/>
      <w:r w:rsidRPr="001F5558">
        <w:rPr>
          <w:rFonts w:ascii="Arial" w:hAnsi="Arial" w:cs="Arial"/>
          <w:sz w:val="20"/>
          <w:szCs w:val="20"/>
        </w:rPr>
        <w:t>With</w:t>
      </w:r>
      <w:proofErr w:type="gramEnd"/>
      <w:r w:rsidRPr="001F5558">
        <w:rPr>
          <w:rFonts w:ascii="Arial" w:hAnsi="Arial" w:cs="Arial"/>
          <w:sz w:val="20"/>
          <w:szCs w:val="20"/>
        </w:rPr>
        <w:t xml:space="preserve"> Heart Failure </w:t>
      </w:r>
      <w:proofErr w:type="gramStart"/>
      <w:r w:rsidRPr="001F5558">
        <w:rPr>
          <w:rFonts w:ascii="Arial" w:hAnsi="Arial" w:cs="Arial"/>
          <w:sz w:val="20"/>
          <w:szCs w:val="20"/>
        </w:rPr>
        <w:t>With</w:t>
      </w:r>
      <w:proofErr w:type="gramEnd"/>
      <w:r w:rsidRPr="001F5558">
        <w:rPr>
          <w:rFonts w:ascii="Arial" w:hAnsi="Arial" w:cs="Arial"/>
          <w:sz w:val="20"/>
          <w:szCs w:val="20"/>
        </w:rPr>
        <w:t xml:space="preserve"> Reduced, Midrange, and Preserved Ejection Fraction and Advanced Chronic Kidney Disease. </w:t>
      </w:r>
      <w:r w:rsidRPr="001F5558">
        <w:rPr>
          <w:rFonts w:ascii="Arial" w:hAnsi="Arial" w:cs="Arial"/>
          <w:i/>
          <w:iCs/>
          <w:sz w:val="20"/>
          <w:szCs w:val="20"/>
        </w:rPr>
        <w:t>Circulation. Heart failure</w:t>
      </w:r>
      <w:r w:rsidRPr="001F5558">
        <w:rPr>
          <w:rFonts w:ascii="Arial" w:hAnsi="Arial" w:cs="Arial"/>
          <w:sz w:val="20"/>
          <w:szCs w:val="20"/>
        </w:rPr>
        <w:t>, </w:t>
      </w:r>
      <w:r w:rsidRPr="001F5558">
        <w:rPr>
          <w:rFonts w:ascii="Arial" w:hAnsi="Arial" w:cs="Arial"/>
          <w:i/>
          <w:iCs/>
          <w:sz w:val="20"/>
          <w:szCs w:val="20"/>
        </w:rPr>
        <w:t>13</w:t>
      </w:r>
      <w:r w:rsidRPr="001F5558">
        <w:rPr>
          <w:rFonts w:ascii="Arial" w:hAnsi="Arial" w:cs="Arial"/>
          <w:sz w:val="20"/>
          <w:szCs w:val="20"/>
        </w:rPr>
        <w:t>(11), e007180. https://doi.org/10.1161/CIRCHEARTFAILURE.120.007180</w:t>
      </w:r>
    </w:p>
    <w:p w14:paraId="6C9B50BB" w14:textId="77777777" w:rsidR="00602E6C" w:rsidRPr="001F5558" w:rsidRDefault="00602E6C" w:rsidP="00602E6C">
      <w:pPr>
        <w:shd w:val="clear" w:color="auto" w:fill="FFFFFF"/>
        <w:spacing w:after="120" w:line="240" w:lineRule="auto"/>
        <w:ind w:left="567" w:hanging="567"/>
        <w:jc w:val="both"/>
        <w:rPr>
          <w:rFonts w:ascii="Arial" w:hAnsi="Arial" w:cs="Arial"/>
          <w:sz w:val="20"/>
          <w:szCs w:val="20"/>
        </w:rPr>
      </w:pPr>
      <w:proofErr w:type="spellStart"/>
      <w:r w:rsidRPr="001F5558">
        <w:rPr>
          <w:rFonts w:ascii="Arial" w:hAnsi="Arial" w:cs="Arial"/>
          <w:sz w:val="20"/>
          <w:szCs w:val="20"/>
        </w:rPr>
        <w:t>Georgianos</w:t>
      </w:r>
      <w:proofErr w:type="spellEnd"/>
      <w:r w:rsidRPr="001F5558">
        <w:rPr>
          <w:rFonts w:ascii="Arial" w:hAnsi="Arial" w:cs="Arial"/>
          <w:sz w:val="20"/>
          <w:szCs w:val="20"/>
        </w:rPr>
        <w:t>, P. I., &amp; Agarwal, R. (2023). Hypertension in chronic kidney disease-treatment standard 2023. </w:t>
      </w:r>
      <w:r w:rsidRPr="001F5558">
        <w:rPr>
          <w:rFonts w:ascii="Arial" w:hAnsi="Arial" w:cs="Arial"/>
          <w:i/>
          <w:iCs/>
          <w:sz w:val="20"/>
          <w:szCs w:val="20"/>
        </w:rPr>
        <w:t xml:space="preserve">Nephrology, dialysis, </w:t>
      </w:r>
      <w:proofErr w:type="gramStart"/>
      <w:r w:rsidRPr="001F5558">
        <w:rPr>
          <w:rFonts w:ascii="Arial" w:hAnsi="Arial" w:cs="Arial"/>
          <w:i/>
          <w:iCs/>
          <w:sz w:val="20"/>
          <w:szCs w:val="20"/>
        </w:rPr>
        <w:t>transplantation :</w:t>
      </w:r>
      <w:proofErr w:type="gramEnd"/>
      <w:r w:rsidRPr="001F5558">
        <w:rPr>
          <w:rFonts w:ascii="Arial" w:hAnsi="Arial" w:cs="Arial"/>
          <w:i/>
          <w:iCs/>
          <w:sz w:val="20"/>
          <w:szCs w:val="20"/>
        </w:rPr>
        <w:t xml:space="preserve"> official publication of the European Dialysis and </w:t>
      </w:r>
      <w:r w:rsidRPr="001F5558">
        <w:rPr>
          <w:rFonts w:ascii="Arial" w:hAnsi="Arial" w:cs="Arial"/>
          <w:i/>
          <w:iCs/>
          <w:sz w:val="20"/>
          <w:szCs w:val="20"/>
        </w:rPr>
        <w:lastRenderedPageBreak/>
        <w:t>Transplant Association - European Renal Association</w:t>
      </w:r>
      <w:r w:rsidRPr="001F5558">
        <w:rPr>
          <w:rFonts w:ascii="Arial" w:hAnsi="Arial" w:cs="Arial"/>
          <w:sz w:val="20"/>
          <w:szCs w:val="20"/>
        </w:rPr>
        <w:t>, </w:t>
      </w:r>
      <w:r w:rsidRPr="001F5558">
        <w:rPr>
          <w:rFonts w:ascii="Arial" w:hAnsi="Arial" w:cs="Arial"/>
          <w:i/>
          <w:iCs/>
          <w:sz w:val="20"/>
          <w:szCs w:val="20"/>
        </w:rPr>
        <w:t>38</w:t>
      </w:r>
      <w:r w:rsidRPr="001F5558">
        <w:rPr>
          <w:rFonts w:ascii="Arial" w:hAnsi="Arial" w:cs="Arial"/>
          <w:sz w:val="20"/>
          <w:szCs w:val="20"/>
        </w:rPr>
        <w:t>(12), 2694–2703. https://doi.org/10.1093/ndt/gfad118</w:t>
      </w:r>
    </w:p>
    <w:p w14:paraId="2DFC2431" w14:textId="77777777" w:rsidR="00602E6C" w:rsidRPr="001F5558" w:rsidRDefault="00602E6C" w:rsidP="00602E6C">
      <w:pPr>
        <w:shd w:val="clear" w:color="auto" w:fill="FFFFFF"/>
        <w:spacing w:after="120" w:line="240" w:lineRule="auto"/>
        <w:ind w:left="567" w:hanging="567"/>
        <w:jc w:val="both"/>
        <w:rPr>
          <w:rFonts w:ascii="Arial" w:hAnsi="Arial" w:cs="Arial"/>
          <w:sz w:val="20"/>
          <w:szCs w:val="20"/>
        </w:rPr>
      </w:pPr>
      <w:r w:rsidRPr="001F5558">
        <w:rPr>
          <w:rFonts w:ascii="Arial" w:hAnsi="Arial" w:cs="Arial"/>
          <w:sz w:val="20"/>
          <w:szCs w:val="20"/>
        </w:rPr>
        <w:t>Goodbred, A. J., &amp; Langan, R. C. (2023). Chronic Kidney Disease: Prevention, Diagnosis, and Treatment. </w:t>
      </w:r>
      <w:r w:rsidRPr="001F5558">
        <w:rPr>
          <w:rFonts w:ascii="Arial" w:hAnsi="Arial" w:cs="Arial"/>
          <w:i/>
          <w:iCs/>
          <w:sz w:val="20"/>
          <w:szCs w:val="20"/>
        </w:rPr>
        <w:t>American family physician</w:t>
      </w:r>
      <w:r w:rsidRPr="001F5558">
        <w:rPr>
          <w:rFonts w:ascii="Arial" w:hAnsi="Arial" w:cs="Arial"/>
          <w:sz w:val="20"/>
          <w:szCs w:val="20"/>
        </w:rPr>
        <w:t>, </w:t>
      </w:r>
      <w:r w:rsidRPr="001F5558">
        <w:rPr>
          <w:rFonts w:ascii="Arial" w:hAnsi="Arial" w:cs="Arial"/>
          <w:i/>
          <w:iCs/>
          <w:sz w:val="20"/>
          <w:szCs w:val="20"/>
        </w:rPr>
        <w:t>108</w:t>
      </w:r>
      <w:r w:rsidRPr="001F5558">
        <w:rPr>
          <w:rFonts w:ascii="Arial" w:hAnsi="Arial" w:cs="Arial"/>
          <w:sz w:val="20"/>
          <w:szCs w:val="20"/>
        </w:rPr>
        <w:t>(6), 554–561.</w:t>
      </w:r>
    </w:p>
    <w:p w14:paraId="3D052798" w14:textId="77777777" w:rsidR="00602E6C" w:rsidRPr="001F5558" w:rsidRDefault="00602E6C" w:rsidP="00602E6C">
      <w:pPr>
        <w:shd w:val="clear" w:color="auto" w:fill="FFFFFF"/>
        <w:spacing w:after="120" w:line="240" w:lineRule="auto"/>
        <w:ind w:left="567" w:hanging="567"/>
        <w:jc w:val="both"/>
        <w:rPr>
          <w:rFonts w:ascii="Arial" w:hAnsi="Arial" w:cs="Arial"/>
          <w:sz w:val="20"/>
          <w:szCs w:val="20"/>
        </w:rPr>
      </w:pPr>
      <w:r w:rsidRPr="001F5558">
        <w:rPr>
          <w:rFonts w:ascii="Arial" w:hAnsi="Arial" w:cs="Arial"/>
          <w:sz w:val="20"/>
          <w:szCs w:val="20"/>
        </w:rPr>
        <w:t xml:space="preserve">Hakim, J. P., Handelsman, Y., &amp; Banerjee, T. (2025). Use of </w:t>
      </w:r>
      <w:proofErr w:type="spellStart"/>
      <w:r w:rsidRPr="001F5558">
        <w:rPr>
          <w:rFonts w:ascii="Arial" w:hAnsi="Arial" w:cs="Arial"/>
          <w:sz w:val="20"/>
          <w:szCs w:val="20"/>
        </w:rPr>
        <w:t>finerenone</w:t>
      </w:r>
      <w:proofErr w:type="spellEnd"/>
      <w:r w:rsidRPr="001F5558">
        <w:rPr>
          <w:rFonts w:ascii="Arial" w:hAnsi="Arial" w:cs="Arial"/>
          <w:sz w:val="20"/>
          <w:szCs w:val="20"/>
        </w:rPr>
        <w:t xml:space="preserve"> in patients with chronic kidney disease at high risk of heart failure. </w:t>
      </w:r>
      <w:r w:rsidRPr="001F5558">
        <w:rPr>
          <w:rFonts w:ascii="Arial" w:hAnsi="Arial" w:cs="Arial"/>
          <w:i/>
          <w:iCs/>
          <w:sz w:val="20"/>
          <w:szCs w:val="20"/>
        </w:rPr>
        <w:t>Metabolism: clinical and experimental</w:t>
      </w:r>
      <w:r w:rsidRPr="001F5558">
        <w:rPr>
          <w:rFonts w:ascii="Arial" w:hAnsi="Arial" w:cs="Arial"/>
          <w:sz w:val="20"/>
          <w:szCs w:val="20"/>
        </w:rPr>
        <w:t>, </w:t>
      </w:r>
      <w:r w:rsidRPr="001F5558">
        <w:rPr>
          <w:rFonts w:ascii="Arial" w:hAnsi="Arial" w:cs="Arial"/>
          <w:i/>
          <w:iCs/>
          <w:sz w:val="20"/>
          <w:szCs w:val="20"/>
        </w:rPr>
        <w:t>169</w:t>
      </w:r>
      <w:r w:rsidRPr="001F5558">
        <w:rPr>
          <w:rFonts w:ascii="Arial" w:hAnsi="Arial" w:cs="Arial"/>
          <w:sz w:val="20"/>
          <w:szCs w:val="20"/>
        </w:rPr>
        <w:t>, 156297. https://doi.org/10.1016/j.metabol.2025.156297</w:t>
      </w:r>
    </w:p>
    <w:p w14:paraId="09CCCA1D" w14:textId="77777777" w:rsidR="00602E6C" w:rsidRPr="001F5558" w:rsidRDefault="00602E6C" w:rsidP="00602E6C">
      <w:pPr>
        <w:shd w:val="clear" w:color="auto" w:fill="FFFFFF"/>
        <w:spacing w:after="120" w:line="240" w:lineRule="auto"/>
        <w:ind w:left="567" w:hanging="567"/>
        <w:jc w:val="both"/>
        <w:rPr>
          <w:rFonts w:ascii="Arial" w:hAnsi="Arial" w:cs="Arial"/>
          <w:sz w:val="20"/>
          <w:szCs w:val="20"/>
        </w:rPr>
      </w:pPr>
      <w:r w:rsidRPr="001F5558">
        <w:rPr>
          <w:rFonts w:ascii="Arial" w:hAnsi="Arial" w:cs="Arial"/>
          <w:sz w:val="20"/>
          <w:szCs w:val="20"/>
        </w:rPr>
        <w:t>Hasegawa, T., Nishiwaki, H., Ota, E., Levack, W. M., &amp; Noma, H. (2021). Aldosterone antagonists for people with chronic kidney disease requiring dialysis. </w:t>
      </w:r>
      <w:r w:rsidRPr="001F5558">
        <w:rPr>
          <w:rFonts w:ascii="Arial" w:hAnsi="Arial" w:cs="Arial"/>
          <w:i/>
          <w:iCs/>
          <w:sz w:val="20"/>
          <w:szCs w:val="20"/>
        </w:rPr>
        <w:t>The Cochrane database of systematic reviews</w:t>
      </w:r>
      <w:r w:rsidRPr="001F5558">
        <w:rPr>
          <w:rFonts w:ascii="Arial" w:hAnsi="Arial" w:cs="Arial"/>
          <w:sz w:val="20"/>
          <w:szCs w:val="20"/>
        </w:rPr>
        <w:t>, </w:t>
      </w:r>
      <w:r w:rsidRPr="001F5558">
        <w:rPr>
          <w:rFonts w:ascii="Arial" w:hAnsi="Arial" w:cs="Arial"/>
          <w:i/>
          <w:iCs/>
          <w:sz w:val="20"/>
          <w:szCs w:val="20"/>
        </w:rPr>
        <w:t>2</w:t>
      </w:r>
      <w:r w:rsidRPr="001F5558">
        <w:rPr>
          <w:rFonts w:ascii="Arial" w:hAnsi="Arial" w:cs="Arial"/>
          <w:sz w:val="20"/>
          <w:szCs w:val="20"/>
        </w:rPr>
        <w:t>(2), CD013109. https://doi.org/10.1002/14651858.CD013109.pub2</w:t>
      </w:r>
    </w:p>
    <w:p w14:paraId="1152167F" w14:textId="77777777" w:rsidR="00602E6C" w:rsidRPr="001F5558" w:rsidRDefault="00602E6C" w:rsidP="00602E6C">
      <w:pPr>
        <w:shd w:val="clear" w:color="auto" w:fill="FFFFFF"/>
        <w:spacing w:after="120" w:line="240" w:lineRule="auto"/>
        <w:ind w:left="567" w:hanging="567"/>
        <w:jc w:val="both"/>
        <w:rPr>
          <w:rFonts w:ascii="Arial" w:hAnsi="Arial" w:cs="Arial"/>
          <w:sz w:val="20"/>
          <w:szCs w:val="20"/>
        </w:rPr>
      </w:pPr>
      <w:r w:rsidRPr="001F5558">
        <w:rPr>
          <w:rFonts w:ascii="Arial" w:hAnsi="Arial" w:cs="Arial"/>
          <w:sz w:val="20"/>
          <w:szCs w:val="20"/>
        </w:rPr>
        <w:t>Hebert, S. A., &amp; Ibrahim, H. N. (2022). Hypertension Management in Patients with Chronic Kidney Disease. </w:t>
      </w:r>
      <w:r w:rsidRPr="001F5558">
        <w:rPr>
          <w:rFonts w:ascii="Arial" w:hAnsi="Arial" w:cs="Arial"/>
          <w:i/>
          <w:iCs/>
          <w:sz w:val="20"/>
          <w:szCs w:val="20"/>
        </w:rPr>
        <w:t>Methodist DeBakey cardiovascular journal</w:t>
      </w:r>
      <w:r w:rsidRPr="001F5558">
        <w:rPr>
          <w:rFonts w:ascii="Arial" w:hAnsi="Arial" w:cs="Arial"/>
          <w:sz w:val="20"/>
          <w:szCs w:val="20"/>
        </w:rPr>
        <w:t>, </w:t>
      </w:r>
      <w:r w:rsidRPr="001F5558">
        <w:rPr>
          <w:rFonts w:ascii="Arial" w:hAnsi="Arial" w:cs="Arial"/>
          <w:i/>
          <w:iCs/>
          <w:sz w:val="20"/>
          <w:szCs w:val="20"/>
        </w:rPr>
        <w:t>18</w:t>
      </w:r>
      <w:r w:rsidRPr="001F5558">
        <w:rPr>
          <w:rFonts w:ascii="Arial" w:hAnsi="Arial" w:cs="Arial"/>
          <w:sz w:val="20"/>
          <w:szCs w:val="20"/>
        </w:rPr>
        <w:t>(4), 41–49. https://doi.org/10.14797/mdcvj.1119</w:t>
      </w:r>
    </w:p>
    <w:p w14:paraId="1535CAA0" w14:textId="77777777" w:rsidR="00602E6C" w:rsidRPr="001F5558" w:rsidRDefault="00602E6C" w:rsidP="00602E6C">
      <w:pPr>
        <w:shd w:val="clear" w:color="auto" w:fill="FFFFFF"/>
        <w:spacing w:after="120" w:line="240" w:lineRule="auto"/>
        <w:ind w:left="567" w:hanging="567"/>
        <w:jc w:val="both"/>
        <w:rPr>
          <w:rFonts w:ascii="Arial" w:hAnsi="Arial" w:cs="Arial"/>
          <w:sz w:val="20"/>
          <w:szCs w:val="20"/>
        </w:rPr>
      </w:pPr>
      <w:r w:rsidRPr="001F5558">
        <w:rPr>
          <w:rFonts w:ascii="Arial" w:hAnsi="Arial" w:cs="Arial"/>
          <w:sz w:val="20"/>
          <w:szCs w:val="20"/>
        </w:rPr>
        <w:t xml:space="preserve">Herrington, W. G., Judge, P. K., Grams, M. E., &amp; </w:t>
      </w:r>
      <w:proofErr w:type="spellStart"/>
      <w:r w:rsidRPr="001F5558">
        <w:rPr>
          <w:rFonts w:ascii="Arial" w:hAnsi="Arial" w:cs="Arial"/>
          <w:sz w:val="20"/>
          <w:szCs w:val="20"/>
        </w:rPr>
        <w:t>Wanner</w:t>
      </w:r>
      <w:proofErr w:type="spellEnd"/>
      <w:r w:rsidRPr="001F5558">
        <w:rPr>
          <w:rFonts w:ascii="Arial" w:hAnsi="Arial" w:cs="Arial"/>
          <w:sz w:val="20"/>
          <w:szCs w:val="20"/>
        </w:rPr>
        <w:t>, C. (2026). Chronic kidney disease. </w:t>
      </w:r>
      <w:r w:rsidRPr="001F5558">
        <w:rPr>
          <w:rFonts w:ascii="Arial" w:hAnsi="Arial" w:cs="Arial"/>
          <w:i/>
          <w:iCs/>
          <w:sz w:val="20"/>
          <w:szCs w:val="20"/>
        </w:rPr>
        <w:t>Lancet (London, England)</w:t>
      </w:r>
      <w:r w:rsidRPr="001F5558">
        <w:rPr>
          <w:rFonts w:ascii="Arial" w:hAnsi="Arial" w:cs="Arial"/>
          <w:sz w:val="20"/>
          <w:szCs w:val="20"/>
        </w:rPr>
        <w:t>, </w:t>
      </w:r>
      <w:r w:rsidRPr="001F5558">
        <w:rPr>
          <w:rFonts w:ascii="Arial" w:hAnsi="Arial" w:cs="Arial"/>
          <w:i/>
          <w:iCs/>
          <w:sz w:val="20"/>
          <w:szCs w:val="20"/>
        </w:rPr>
        <w:t>407</w:t>
      </w:r>
      <w:r w:rsidRPr="001F5558">
        <w:rPr>
          <w:rFonts w:ascii="Arial" w:hAnsi="Arial" w:cs="Arial"/>
          <w:sz w:val="20"/>
          <w:szCs w:val="20"/>
        </w:rPr>
        <w:t>(10523), 90–104. https://doi.org/10.1016/S0140-6736(25)01942-7</w:t>
      </w:r>
    </w:p>
    <w:p w14:paraId="4BAB105A" w14:textId="5FE55B80" w:rsidR="00602E6C" w:rsidRPr="001F5558" w:rsidRDefault="00602E6C" w:rsidP="00602E6C">
      <w:pPr>
        <w:shd w:val="clear" w:color="auto" w:fill="FFFFFF"/>
        <w:spacing w:after="120" w:line="240" w:lineRule="auto"/>
        <w:ind w:left="567" w:hanging="567"/>
        <w:jc w:val="both"/>
        <w:rPr>
          <w:rFonts w:ascii="Arial" w:hAnsi="Arial" w:cs="Arial"/>
          <w:sz w:val="20"/>
          <w:szCs w:val="20"/>
        </w:rPr>
      </w:pPr>
      <w:r w:rsidRPr="001F5558">
        <w:rPr>
          <w:rFonts w:ascii="Arial" w:hAnsi="Arial" w:cs="Arial"/>
          <w:sz w:val="20"/>
          <w:szCs w:val="20"/>
        </w:rPr>
        <w:t xml:space="preserve">Hobbs, F. D. R., McManus, R. J., Taylor, C. J., Jones, N. R., Rahman, J. K., Wolstenholme, J., </w:t>
      </w:r>
      <w:r w:rsidR="00777FAA" w:rsidRPr="001F5558">
        <w:rPr>
          <w:rFonts w:ascii="Arial" w:hAnsi="Arial" w:cs="Arial"/>
          <w:sz w:val="20"/>
          <w:szCs w:val="20"/>
        </w:rPr>
        <w:t xml:space="preserve">et al. </w:t>
      </w:r>
      <w:r w:rsidRPr="001F5558">
        <w:rPr>
          <w:rFonts w:ascii="Arial" w:hAnsi="Arial" w:cs="Arial"/>
          <w:sz w:val="20"/>
          <w:szCs w:val="20"/>
        </w:rPr>
        <w:t>(2024). Low-dose spironolactone and cardiovascular outcomes in moderate stage chronic kidney disease: a randomized controlled trial. </w:t>
      </w:r>
      <w:r w:rsidRPr="001F5558">
        <w:rPr>
          <w:rFonts w:ascii="Arial" w:hAnsi="Arial" w:cs="Arial"/>
          <w:i/>
          <w:iCs/>
          <w:sz w:val="20"/>
          <w:szCs w:val="20"/>
        </w:rPr>
        <w:t>Nature medicine</w:t>
      </w:r>
      <w:r w:rsidRPr="001F5558">
        <w:rPr>
          <w:rFonts w:ascii="Arial" w:hAnsi="Arial" w:cs="Arial"/>
          <w:sz w:val="20"/>
          <w:szCs w:val="20"/>
        </w:rPr>
        <w:t>, </w:t>
      </w:r>
      <w:r w:rsidRPr="001F5558">
        <w:rPr>
          <w:rFonts w:ascii="Arial" w:hAnsi="Arial" w:cs="Arial"/>
          <w:i/>
          <w:iCs/>
          <w:sz w:val="20"/>
          <w:szCs w:val="20"/>
        </w:rPr>
        <w:t>30</w:t>
      </w:r>
      <w:r w:rsidRPr="001F5558">
        <w:rPr>
          <w:rFonts w:ascii="Arial" w:hAnsi="Arial" w:cs="Arial"/>
          <w:sz w:val="20"/>
          <w:szCs w:val="20"/>
        </w:rPr>
        <w:t>(12), 3634–3645. https://doi.org/10.1038/s41591-024-03263-5</w:t>
      </w:r>
    </w:p>
    <w:p w14:paraId="7C9F1752" w14:textId="77777777" w:rsidR="00602E6C" w:rsidRPr="001F5558" w:rsidRDefault="00602E6C" w:rsidP="00602E6C">
      <w:pPr>
        <w:shd w:val="clear" w:color="auto" w:fill="FFFFFF"/>
        <w:spacing w:after="120" w:line="240" w:lineRule="auto"/>
        <w:ind w:left="567" w:hanging="567"/>
        <w:jc w:val="both"/>
        <w:rPr>
          <w:rFonts w:ascii="Arial" w:hAnsi="Arial" w:cs="Arial"/>
          <w:sz w:val="20"/>
          <w:szCs w:val="20"/>
        </w:rPr>
      </w:pPr>
      <w:r w:rsidRPr="001F5558">
        <w:rPr>
          <w:rFonts w:ascii="Arial" w:hAnsi="Arial" w:cs="Arial"/>
          <w:sz w:val="20"/>
          <w:szCs w:val="20"/>
        </w:rPr>
        <w:t>Hu, H., Cao, M., Sun, Y., Jin, X., Zhao, X., &amp; Cong, X. (2023). Efficacy and Safety of Eplerenone for Treating Chronic Kidney Disease: A Meta-Analysis. </w:t>
      </w:r>
      <w:r w:rsidRPr="001F5558">
        <w:rPr>
          <w:rFonts w:ascii="Arial" w:hAnsi="Arial" w:cs="Arial"/>
          <w:i/>
          <w:iCs/>
          <w:sz w:val="20"/>
          <w:szCs w:val="20"/>
        </w:rPr>
        <w:t>International journal of hypertension</w:t>
      </w:r>
      <w:r w:rsidRPr="001F5558">
        <w:rPr>
          <w:rFonts w:ascii="Arial" w:hAnsi="Arial" w:cs="Arial"/>
          <w:sz w:val="20"/>
          <w:szCs w:val="20"/>
        </w:rPr>
        <w:t>, </w:t>
      </w:r>
      <w:r w:rsidRPr="001F5558">
        <w:rPr>
          <w:rFonts w:ascii="Arial" w:hAnsi="Arial" w:cs="Arial"/>
          <w:i/>
          <w:iCs/>
          <w:sz w:val="20"/>
          <w:szCs w:val="20"/>
        </w:rPr>
        <w:t>2023</w:t>
      </w:r>
      <w:r w:rsidRPr="001F5558">
        <w:rPr>
          <w:rFonts w:ascii="Arial" w:hAnsi="Arial" w:cs="Arial"/>
          <w:sz w:val="20"/>
          <w:szCs w:val="20"/>
        </w:rPr>
        <w:t>, 6683987. https://doi.org/10.1155/2023/6683987</w:t>
      </w:r>
    </w:p>
    <w:p w14:paraId="7E4EA1B1" w14:textId="0CEB8F25" w:rsidR="00602E6C" w:rsidRPr="001F5558" w:rsidRDefault="00602E6C" w:rsidP="00602E6C">
      <w:pPr>
        <w:shd w:val="clear" w:color="auto" w:fill="FFFFFF"/>
        <w:spacing w:after="120" w:line="240" w:lineRule="auto"/>
        <w:ind w:left="567" w:hanging="567"/>
        <w:jc w:val="both"/>
        <w:rPr>
          <w:rFonts w:ascii="Arial" w:hAnsi="Arial" w:cs="Arial"/>
          <w:sz w:val="20"/>
          <w:szCs w:val="20"/>
        </w:rPr>
      </w:pPr>
      <w:r w:rsidRPr="001F5558">
        <w:rPr>
          <w:rFonts w:ascii="Arial" w:hAnsi="Arial" w:cs="Arial"/>
          <w:sz w:val="20"/>
          <w:szCs w:val="20"/>
        </w:rPr>
        <w:t xml:space="preserve">Huang, N., Xu, Y., Liu, C., Liu, Y., Fan, Y., Li, Z., </w:t>
      </w:r>
      <w:r w:rsidR="00777FAA" w:rsidRPr="001F5558">
        <w:rPr>
          <w:rFonts w:ascii="Arial" w:hAnsi="Arial" w:cs="Arial"/>
          <w:sz w:val="20"/>
          <w:szCs w:val="20"/>
        </w:rPr>
        <w:t xml:space="preserve">et al. </w:t>
      </w:r>
      <w:r w:rsidRPr="001F5558">
        <w:rPr>
          <w:rFonts w:ascii="Arial" w:hAnsi="Arial" w:cs="Arial"/>
          <w:sz w:val="20"/>
          <w:szCs w:val="20"/>
        </w:rPr>
        <w:t>(2025). Novel Potassium Binders in Reduction of Hyperkalemia and Optimization of RAAS Inhibitors Treatment in Patients with Chronic Kidney Disease or Heart Failure: A Systematic Review and Meta-analysis. </w:t>
      </w:r>
      <w:r w:rsidRPr="001F5558">
        <w:rPr>
          <w:rFonts w:ascii="Arial" w:hAnsi="Arial" w:cs="Arial"/>
          <w:i/>
          <w:iCs/>
          <w:sz w:val="20"/>
          <w:szCs w:val="20"/>
        </w:rPr>
        <w:t>Drugs</w:t>
      </w:r>
      <w:r w:rsidRPr="001F5558">
        <w:rPr>
          <w:rFonts w:ascii="Arial" w:hAnsi="Arial" w:cs="Arial"/>
          <w:sz w:val="20"/>
          <w:szCs w:val="20"/>
        </w:rPr>
        <w:t>, </w:t>
      </w:r>
      <w:r w:rsidRPr="001F5558">
        <w:rPr>
          <w:rFonts w:ascii="Arial" w:hAnsi="Arial" w:cs="Arial"/>
          <w:i/>
          <w:iCs/>
          <w:sz w:val="20"/>
          <w:szCs w:val="20"/>
        </w:rPr>
        <w:t>85</w:t>
      </w:r>
      <w:r w:rsidRPr="001F5558">
        <w:rPr>
          <w:rFonts w:ascii="Arial" w:hAnsi="Arial" w:cs="Arial"/>
          <w:sz w:val="20"/>
          <w:szCs w:val="20"/>
        </w:rPr>
        <w:t>(8), 1013–1031. https://doi.org/10.1007/s40265-025-02198-6</w:t>
      </w:r>
    </w:p>
    <w:p w14:paraId="299DFBB6" w14:textId="77777777" w:rsidR="00602E6C" w:rsidRPr="001F5558" w:rsidRDefault="00602E6C" w:rsidP="00602E6C">
      <w:pPr>
        <w:shd w:val="clear" w:color="auto" w:fill="FFFFFF"/>
        <w:spacing w:after="120" w:line="240" w:lineRule="auto"/>
        <w:ind w:left="567" w:hanging="567"/>
        <w:jc w:val="both"/>
        <w:rPr>
          <w:rFonts w:ascii="Arial" w:hAnsi="Arial" w:cs="Arial"/>
          <w:sz w:val="20"/>
          <w:szCs w:val="20"/>
        </w:rPr>
      </w:pPr>
      <w:r w:rsidRPr="001F5558">
        <w:rPr>
          <w:rFonts w:ascii="Arial" w:hAnsi="Arial" w:cs="Arial"/>
          <w:sz w:val="20"/>
          <w:szCs w:val="20"/>
        </w:rPr>
        <w:t>KDOQI (2007). KDOQI Clinical Practice Guidelines and Clinical Practice Recommendations for Diabetes and Chronic Kidney Disease. </w:t>
      </w:r>
      <w:r w:rsidRPr="001F5558">
        <w:rPr>
          <w:rFonts w:ascii="Arial" w:hAnsi="Arial" w:cs="Arial"/>
          <w:i/>
          <w:iCs/>
          <w:sz w:val="20"/>
          <w:szCs w:val="20"/>
        </w:rPr>
        <w:t xml:space="preserve">American journal of kidney </w:t>
      </w:r>
      <w:proofErr w:type="gramStart"/>
      <w:r w:rsidRPr="001F5558">
        <w:rPr>
          <w:rFonts w:ascii="Arial" w:hAnsi="Arial" w:cs="Arial"/>
          <w:i/>
          <w:iCs/>
          <w:sz w:val="20"/>
          <w:szCs w:val="20"/>
        </w:rPr>
        <w:t>diseases :</w:t>
      </w:r>
      <w:proofErr w:type="gramEnd"/>
      <w:r w:rsidRPr="001F5558">
        <w:rPr>
          <w:rFonts w:ascii="Arial" w:hAnsi="Arial" w:cs="Arial"/>
          <w:i/>
          <w:iCs/>
          <w:sz w:val="20"/>
          <w:szCs w:val="20"/>
        </w:rPr>
        <w:t xml:space="preserve"> the official journal of the National Kidney Foundation</w:t>
      </w:r>
      <w:r w:rsidRPr="001F5558">
        <w:rPr>
          <w:rFonts w:ascii="Arial" w:hAnsi="Arial" w:cs="Arial"/>
          <w:sz w:val="20"/>
          <w:szCs w:val="20"/>
        </w:rPr>
        <w:t>, </w:t>
      </w:r>
      <w:r w:rsidRPr="001F5558">
        <w:rPr>
          <w:rFonts w:ascii="Arial" w:hAnsi="Arial" w:cs="Arial"/>
          <w:i/>
          <w:iCs/>
          <w:sz w:val="20"/>
          <w:szCs w:val="20"/>
        </w:rPr>
        <w:t>49</w:t>
      </w:r>
      <w:r w:rsidRPr="001F5558">
        <w:rPr>
          <w:rFonts w:ascii="Arial" w:hAnsi="Arial" w:cs="Arial"/>
          <w:sz w:val="20"/>
          <w:szCs w:val="20"/>
        </w:rPr>
        <w:t>(2 Suppl 2), S12–S154. https://doi.org/10.1053/j.ajkd.2006.12.005</w:t>
      </w:r>
    </w:p>
    <w:p w14:paraId="2CCE4B10" w14:textId="77777777" w:rsidR="00602E6C" w:rsidRPr="001F5558" w:rsidRDefault="00602E6C" w:rsidP="00602E6C">
      <w:pPr>
        <w:shd w:val="clear" w:color="auto" w:fill="FFFFFF"/>
        <w:spacing w:after="120" w:line="240" w:lineRule="auto"/>
        <w:ind w:left="567" w:hanging="567"/>
        <w:jc w:val="both"/>
        <w:rPr>
          <w:rFonts w:ascii="Arial" w:hAnsi="Arial" w:cs="Arial"/>
          <w:sz w:val="20"/>
          <w:szCs w:val="20"/>
        </w:rPr>
      </w:pPr>
      <w:r w:rsidRPr="001F5558">
        <w:rPr>
          <w:rFonts w:ascii="Arial" w:hAnsi="Arial" w:cs="Arial"/>
          <w:sz w:val="20"/>
          <w:szCs w:val="20"/>
        </w:rPr>
        <w:t>Kidney Disease: Improving Global Outcomes (KDIGO) CKD Work Group (2024). KDIGO 2024 Clinical Practice Guideline for the Evaluation and Management of Chronic Kidney Disease. </w:t>
      </w:r>
      <w:r w:rsidRPr="001F5558">
        <w:rPr>
          <w:rFonts w:ascii="Arial" w:hAnsi="Arial" w:cs="Arial"/>
          <w:i/>
          <w:iCs/>
          <w:sz w:val="20"/>
          <w:szCs w:val="20"/>
        </w:rPr>
        <w:t>Kidney international</w:t>
      </w:r>
      <w:r w:rsidRPr="001F5558">
        <w:rPr>
          <w:rFonts w:ascii="Arial" w:hAnsi="Arial" w:cs="Arial"/>
          <w:sz w:val="20"/>
          <w:szCs w:val="20"/>
        </w:rPr>
        <w:t>, </w:t>
      </w:r>
      <w:r w:rsidRPr="001F5558">
        <w:rPr>
          <w:rFonts w:ascii="Arial" w:hAnsi="Arial" w:cs="Arial"/>
          <w:i/>
          <w:iCs/>
          <w:sz w:val="20"/>
          <w:szCs w:val="20"/>
        </w:rPr>
        <w:t>105</w:t>
      </w:r>
      <w:r w:rsidRPr="001F5558">
        <w:rPr>
          <w:rFonts w:ascii="Arial" w:hAnsi="Arial" w:cs="Arial"/>
          <w:sz w:val="20"/>
          <w:szCs w:val="20"/>
        </w:rPr>
        <w:t>(4S), S117–S314. https://doi.org/10.1016/j.kint.2023.10.018</w:t>
      </w:r>
    </w:p>
    <w:p w14:paraId="01226568" w14:textId="77777777" w:rsidR="00602E6C" w:rsidRPr="001F5558" w:rsidRDefault="00602E6C" w:rsidP="00602E6C">
      <w:pPr>
        <w:shd w:val="clear" w:color="auto" w:fill="FFFFFF"/>
        <w:spacing w:after="120" w:line="240" w:lineRule="auto"/>
        <w:ind w:left="567" w:hanging="567"/>
        <w:jc w:val="both"/>
        <w:rPr>
          <w:rFonts w:ascii="Arial" w:hAnsi="Arial" w:cs="Arial"/>
          <w:sz w:val="20"/>
          <w:szCs w:val="20"/>
        </w:rPr>
      </w:pPr>
      <w:r w:rsidRPr="001F5558">
        <w:rPr>
          <w:rFonts w:ascii="Arial" w:hAnsi="Arial" w:cs="Arial"/>
          <w:sz w:val="20"/>
          <w:szCs w:val="20"/>
        </w:rPr>
        <w:t>Ku, E., Lee, B. J., Wei, J., &amp; Weir, M. R. (2019). Hypertension in CKD: Core Curriculum 2019. </w:t>
      </w:r>
      <w:r w:rsidRPr="001F5558">
        <w:rPr>
          <w:rFonts w:ascii="Arial" w:hAnsi="Arial" w:cs="Arial"/>
          <w:i/>
          <w:iCs/>
          <w:sz w:val="20"/>
          <w:szCs w:val="20"/>
        </w:rPr>
        <w:t xml:space="preserve">American journal of kidney </w:t>
      </w:r>
      <w:proofErr w:type="gramStart"/>
      <w:r w:rsidRPr="001F5558">
        <w:rPr>
          <w:rFonts w:ascii="Arial" w:hAnsi="Arial" w:cs="Arial"/>
          <w:i/>
          <w:iCs/>
          <w:sz w:val="20"/>
          <w:szCs w:val="20"/>
        </w:rPr>
        <w:t>diseases :</w:t>
      </w:r>
      <w:proofErr w:type="gramEnd"/>
      <w:r w:rsidRPr="001F5558">
        <w:rPr>
          <w:rFonts w:ascii="Arial" w:hAnsi="Arial" w:cs="Arial"/>
          <w:i/>
          <w:iCs/>
          <w:sz w:val="20"/>
          <w:szCs w:val="20"/>
        </w:rPr>
        <w:t xml:space="preserve"> the official journal of the National Kidney Foundation</w:t>
      </w:r>
      <w:r w:rsidRPr="001F5558">
        <w:rPr>
          <w:rFonts w:ascii="Arial" w:hAnsi="Arial" w:cs="Arial"/>
          <w:sz w:val="20"/>
          <w:szCs w:val="20"/>
        </w:rPr>
        <w:t>, </w:t>
      </w:r>
      <w:r w:rsidRPr="001F5558">
        <w:rPr>
          <w:rFonts w:ascii="Arial" w:hAnsi="Arial" w:cs="Arial"/>
          <w:i/>
          <w:iCs/>
          <w:sz w:val="20"/>
          <w:szCs w:val="20"/>
        </w:rPr>
        <w:t>74</w:t>
      </w:r>
      <w:r w:rsidRPr="001F5558">
        <w:rPr>
          <w:rFonts w:ascii="Arial" w:hAnsi="Arial" w:cs="Arial"/>
          <w:sz w:val="20"/>
          <w:szCs w:val="20"/>
        </w:rPr>
        <w:t>(1), 120–131. https://doi.org/10.1053/j.ajkd.2018.12.044</w:t>
      </w:r>
    </w:p>
    <w:p w14:paraId="4852E3D8" w14:textId="77777777" w:rsidR="00602E6C" w:rsidRPr="001F5558" w:rsidRDefault="00602E6C" w:rsidP="00602E6C">
      <w:pPr>
        <w:shd w:val="clear" w:color="auto" w:fill="FFFFFF"/>
        <w:spacing w:after="120" w:line="240" w:lineRule="auto"/>
        <w:ind w:left="567" w:hanging="567"/>
        <w:jc w:val="both"/>
        <w:rPr>
          <w:rFonts w:ascii="Arial" w:hAnsi="Arial" w:cs="Arial"/>
          <w:sz w:val="20"/>
          <w:szCs w:val="20"/>
        </w:rPr>
      </w:pPr>
      <w:r w:rsidRPr="001F5558">
        <w:rPr>
          <w:rFonts w:ascii="Arial" w:hAnsi="Arial" w:cs="Arial"/>
          <w:sz w:val="20"/>
          <w:szCs w:val="20"/>
        </w:rPr>
        <w:t>Leon, S. J., &amp; Tangri, N. (2022). Balancing Hyperkalemia Risks with Clinical Benefits of Renin-Angiotensin-Aldosterone Inhibitors/Mineralocorticoid Receptor Antagonists Blockade: It's Apples and Oranges. </w:t>
      </w:r>
      <w:r w:rsidRPr="001F5558">
        <w:rPr>
          <w:rFonts w:ascii="Arial" w:hAnsi="Arial" w:cs="Arial"/>
          <w:i/>
          <w:iCs/>
          <w:sz w:val="20"/>
          <w:szCs w:val="20"/>
        </w:rPr>
        <w:t>Kidney360</w:t>
      </w:r>
      <w:r w:rsidRPr="001F5558">
        <w:rPr>
          <w:rFonts w:ascii="Arial" w:hAnsi="Arial" w:cs="Arial"/>
          <w:sz w:val="20"/>
          <w:szCs w:val="20"/>
        </w:rPr>
        <w:t>, </w:t>
      </w:r>
      <w:r w:rsidRPr="001F5558">
        <w:rPr>
          <w:rFonts w:ascii="Arial" w:hAnsi="Arial" w:cs="Arial"/>
          <w:i/>
          <w:iCs/>
          <w:sz w:val="20"/>
          <w:szCs w:val="20"/>
        </w:rPr>
        <w:t>3</w:t>
      </w:r>
      <w:r w:rsidRPr="001F5558">
        <w:rPr>
          <w:rFonts w:ascii="Arial" w:hAnsi="Arial" w:cs="Arial"/>
          <w:sz w:val="20"/>
          <w:szCs w:val="20"/>
        </w:rPr>
        <w:t>(8), 1442–1444. https://doi.org/10.34067/KID.0000952022</w:t>
      </w:r>
    </w:p>
    <w:p w14:paraId="2EFBA408" w14:textId="45DFE165" w:rsidR="00602E6C" w:rsidRPr="001F5558" w:rsidRDefault="00602E6C" w:rsidP="00602E6C">
      <w:pPr>
        <w:shd w:val="clear" w:color="auto" w:fill="FFFFFF"/>
        <w:spacing w:after="120" w:line="240" w:lineRule="auto"/>
        <w:ind w:left="567" w:hanging="567"/>
        <w:jc w:val="both"/>
        <w:rPr>
          <w:rFonts w:ascii="Arial" w:hAnsi="Arial" w:cs="Arial"/>
          <w:sz w:val="20"/>
          <w:szCs w:val="20"/>
        </w:rPr>
      </w:pPr>
      <w:r w:rsidRPr="001F5558">
        <w:rPr>
          <w:rFonts w:ascii="Arial" w:hAnsi="Arial" w:cs="Arial"/>
          <w:sz w:val="20"/>
          <w:szCs w:val="20"/>
        </w:rPr>
        <w:t xml:space="preserve">Lido, P., Di Lullo, L., Infante, M., </w:t>
      </w:r>
      <w:proofErr w:type="spellStart"/>
      <w:r w:rsidRPr="001F5558">
        <w:rPr>
          <w:rFonts w:ascii="Arial" w:hAnsi="Arial" w:cs="Arial"/>
          <w:sz w:val="20"/>
          <w:szCs w:val="20"/>
        </w:rPr>
        <w:t>Ricordi</w:t>
      </w:r>
      <w:proofErr w:type="spellEnd"/>
      <w:r w:rsidRPr="001F5558">
        <w:rPr>
          <w:rFonts w:ascii="Arial" w:hAnsi="Arial" w:cs="Arial"/>
          <w:sz w:val="20"/>
          <w:szCs w:val="20"/>
        </w:rPr>
        <w:t xml:space="preserve">, C., Rezk, S., Romanello, D., </w:t>
      </w:r>
      <w:r w:rsidR="00C42A3A" w:rsidRPr="001F5558">
        <w:rPr>
          <w:rFonts w:ascii="Arial" w:hAnsi="Arial" w:cs="Arial"/>
          <w:sz w:val="20"/>
          <w:szCs w:val="20"/>
        </w:rPr>
        <w:t xml:space="preserve">et al. </w:t>
      </w:r>
      <w:r w:rsidRPr="001F5558">
        <w:rPr>
          <w:rFonts w:ascii="Arial" w:hAnsi="Arial" w:cs="Arial"/>
          <w:sz w:val="20"/>
          <w:szCs w:val="20"/>
        </w:rPr>
        <w:t xml:space="preserve">(2025). Choosing the right calcium channel blocker for patients with hypertension and </w:t>
      </w:r>
      <w:proofErr w:type="spellStart"/>
      <w:r w:rsidRPr="001F5558">
        <w:rPr>
          <w:rFonts w:ascii="Arial" w:hAnsi="Arial" w:cs="Arial"/>
          <w:sz w:val="20"/>
          <w:szCs w:val="20"/>
        </w:rPr>
        <w:t>proteinuric</w:t>
      </w:r>
      <w:proofErr w:type="spellEnd"/>
      <w:r w:rsidRPr="001F5558">
        <w:rPr>
          <w:rFonts w:ascii="Arial" w:hAnsi="Arial" w:cs="Arial"/>
          <w:sz w:val="20"/>
          <w:szCs w:val="20"/>
        </w:rPr>
        <w:t xml:space="preserve"> chronic kidney disease. </w:t>
      </w:r>
      <w:r w:rsidRPr="001F5558">
        <w:rPr>
          <w:rFonts w:ascii="Arial" w:hAnsi="Arial" w:cs="Arial"/>
          <w:i/>
          <w:iCs/>
          <w:sz w:val="20"/>
          <w:szCs w:val="20"/>
        </w:rPr>
        <w:t>Current medical research and opinion</w:t>
      </w:r>
      <w:r w:rsidRPr="001F5558">
        <w:rPr>
          <w:rFonts w:ascii="Arial" w:hAnsi="Arial" w:cs="Arial"/>
          <w:sz w:val="20"/>
          <w:szCs w:val="20"/>
        </w:rPr>
        <w:t>, </w:t>
      </w:r>
      <w:r w:rsidRPr="001F5558">
        <w:rPr>
          <w:rFonts w:ascii="Arial" w:hAnsi="Arial" w:cs="Arial"/>
          <w:i/>
          <w:iCs/>
          <w:sz w:val="20"/>
          <w:szCs w:val="20"/>
        </w:rPr>
        <w:t>41</w:t>
      </w:r>
      <w:r w:rsidRPr="001F5558">
        <w:rPr>
          <w:rFonts w:ascii="Arial" w:hAnsi="Arial" w:cs="Arial"/>
          <w:sz w:val="20"/>
          <w:szCs w:val="20"/>
        </w:rPr>
        <w:t>(7), 1333–1351. https://doi.org/10.1080/03007995.2025.2544594</w:t>
      </w:r>
    </w:p>
    <w:p w14:paraId="06D09EE0" w14:textId="77777777" w:rsidR="00602E6C" w:rsidRPr="001F5558" w:rsidRDefault="00602E6C" w:rsidP="00602E6C">
      <w:pPr>
        <w:shd w:val="clear" w:color="auto" w:fill="FFFFFF"/>
        <w:spacing w:after="120" w:line="240" w:lineRule="auto"/>
        <w:ind w:left="567" w:hanging="567"/>
        <w:jc w:val="both"/>
        <w:rPr>
          <w:rFonts w:ascii="Arial" w:hAnsi="Arial" w:cs="Arial"/>
          <w:sz w:val="20"/>
          <w:szCs w:val="20"/>
        </w:rPr>
      </w:pPr>
      <w:r w:rsidRPr="001F5558">
        <w:rPr>
          <w:rFonts w:ascii="Arial" w:hAnsi="Arial" w:cs="Arial"/>
          <w:sz w:val="20"/>
          <w:szCs w:val="20"/>
        </w:rPr>
        <w:t xml:space="preserve">Lin, S. Y., Lin, C. L., Lin, C. C., Hsu, W. H., Hsu, C. Y., &amp; Kao, C. H. (2022). Chronic Kidney Disease Progression Risk in Patients </w:t>
      </w:r>
      <w:proofErr w:type="gramStart"/>
      <w:r w:rsidRPr="001F5558">
        <w:rPr>
          <w:rFonts w:ascii="Arial" w:hAnsi="Arial" w:cs="Arial"/>
          <w:sz w:val="20"/>
          <w:szCs w:val="20"/>
        </w:rPr>
        <w:t>With</w:t>
      </w:r>
      <w:proofErr w:type="gramEnd"/>
      <w:r w:rsidRPr="001F5558">
        <w:rPr>
          <w:rFonts w:ascii="Arial" w:hAnsi="Arial" w:cs="Arial"/>
          <w:sz w:val="20"/>
          <w:szCs w:val="20"/>
        </w:rPr>
        <w:t xml:space="preserve"> Diabetes Mellitus Using Dihydropyridine Calcium Channel Blockers: A Nationwide, Population-Based, Propensity Score Matching Cohort Study. </w:t>
      </w:r>
      <w:r w:rsidRPr="001F5558">
        <w:rPr>
          <w:rFonts w:ascii="Arial" w:hAnsi="Arial" w:cs="Arial"/>
          <w:i/>
          <w:iCs/>
          <w:sz w:val="20"/>
          <w:szCs w:val="20"/>
        </w:rPr>
        <w:t>Frontiers in pharmacology</w:t>
      </w:r>
      <w:r w:rsidRPr="001F5558">
        <w:rPr>
          <w:rFonts w:ascii="Arial" w:hAnsi="Arial" w:cs="Arial"/>
          <w:sz w:val="20"/>
          <w:szCs w:val="20"/>
        </w:rPr>
        <w:t>, </w:t>
      </w:r>
      <w:r w:rsidRPr="001F5558">
        <w:rPr>
          <w:rFonts w:ascii="Arial" w:hAnsi="Arial" w:cs="Arial"/>
          <w:i/>
          <w:iCs/>
          <w:sz w:val="20"/>
          <w:szCs w:val="20"/>
        </w:rPr>
        <w:t>13</w:t>
      </w:r>
      <w:r w:rsidRPr="001F5558">
        <w:rPr>
          <w:rFonts w:ascii="Arial" w:hAnsi="Arial" w:cs="Arial"/>
          <w:sz w:val="20"/>
          <w:szCs w:val="20"/>
        </w:rPr>
        <w:t>, 786203. https://doi.org/10.3389/fphar.2022.786203</w:t>
      </w:r>
    </w:p>
    <w:p w14:paraId="0C6BB44C" w14:textId="77777777" w:rsidR="00602E6C" w:rsidRPr="001F5558" w:rsidRDefault="00602E6C" w:rsidP="00602E6C">
      <w:pPr>
        <w:shd w:val="clear" w:color="auto" w:fill="FFFFFF"/>
        <w:spacing w:after="120" w:line="240" w:lineRule="auto"/>
        <w:ind w:left="567" w:hanging="567"/>
        <w:jc w:val="both"/>
        <w:rPr>
          <w:rFonts w:ascii="Arial" w:hAnsi="Arial" w:cs="Arial"/>
          <w:sz w:val="20"/>
          <w:szCs w:val="20"/>
        </w:rPr>
      </w:pPr>
      <w:r w:rsidRPr="001F5558">
        <w:rPr>
          <w:rFonts w:ascii="Arial" w:hAnsi="Arial" w:cs="Arial"/>
          <w:sz w:val="20"/>
          <w:szCs w:val="20"/>
        </w:rPr>
        <w:t xml:space="preserve">Mallamaci, F., Pisano, A., &amp; </w:t>
      </w:r>
      <w:proofErr w:type="spellStart"/>
      <w:r w:rsidRPr="001F5558">
        <w:rPr>
          <w:rFonts w:ascii="Arial" w:hAnsi="Arial" w:cs="Arial"/>
          <w:sz w:val="20"/>
          <w:szCs w:val="20"/>
        </w:rPr>
        <w:t>Tripepi</w:t>
      </w:r>
      <w:proofErr w:type="spellEnd"/>
      <w:r w:rsidRPr="001F5558">
        <w:rPr>
          <w:rFonts w:ascii="Arial" w:hAnsi="Arial" w:cs="Arial"/>
          <w:sz w:val="20"/>
          <w:szCs w:val="20"/>
        </w:rPr>
        <w:t>, G. (2021). Hypertension management in chronic kidney disease. </w:t>
      </w:r>
      <w:r w:rsidRPr="001F5558">
        <w:rPr>
          <w:rFonts w:ascii="Arial" w:hAnsi="Arial" w:cs="Arial"/>
          <w:i/>
          <w:iCs/>
          <w:sz w:val="20"/>
          <w:szCs w:val="20"/>
        </w:rPr>
        <w:t xml:space="preserve">Nephrology, dialysis, </w:t>
      </w:r>
      <w:proofErr w:type="gramStart"/>
      <w:r w:rsidRPr="001F5558">
        <w:rPr>
          <w:rFonts w:ascii="Arial" w:hAnsi="Arial" w:cs="Arial"/>
          <w:i/>
          <w:iCs/>
          <w:sz w:val="20"/>
          <w:szCs w:val="20"/>
        </w:rPr>
        <w:t>transplantation :</w:t>
      </w:r>
      <w:proofErr w:type="gramEnd"/>
      <w:r w:rsidRPr="001F5558">
        <w:rPr>
          <w:rFonts w:ascii="Arial" w:hAnsi="Arial" w:cs="Arial"/>
          <w:i/>
          <w:iCs/>
          <w:sz w:val="20"/>
          <w:szCs w:val="20"/>
        </w:rPr>
        <w:t xml:space="preserve"> official publication of the European Dialysis and </w:t>
      </w:r>
      <w:r w:rsidRPr="001F5558">
        <w:rPr>
          <w:rFonts w:ascii="Arial" w:hAnsi="Arial" w:cs="Arial"/>
          <w:i/>
          <w:iCs/>
          <w:sz w:val="20"/>
          <w:szCs w:val="20"/>
        </w:rPr>
        <w:lastRenderedPageBreak/>
        <w:t>Transplant Association - European Renal Association</w:t>
      </w:r>
      <w:r w:rsidRPr="001F5558">
        <w:rPr>
          <w:rFonts w:ascii="Arial" w:hAnsi="Arial" w:cs="Arial"/>
          <w:sz w:val="20"/>
          <w:szCs w:val="20"/>
        </w:rPr>
        <w:t>, </w:t>
      </w:r>
      <w:r w:rsidRPr="001F5558">
        <w:rPr>
          <w:rFonts w:ascii="Arial" w:hAnsi="Arial" w:cs="Arial"/>
          <w:i/>
          <w:iCs/>
          <w:sz w:val="20"/>
          <w:szCs w:val="20"/>
        </w:rPr>
        <w:t>36</w:t>
      </w:r>
      <w:r w:rsidRPr="001F5558">
        <w:rPr>
          <w:rFonts w:ascii="Arial" w:hAnsi="Arial" w:cs="Arial"/>
          <w:sz w:val="20"/>
          <w:szCs w:val="20"/>
        </w:rPr>
        <w:t>(12), 2194–2195. https://doi.org/10.1093/ndt/gfz279</w:t>
      </w:r>
    </w:p>
    <w:p w14:paraId="1AF06E93" w14:textId="1A9A8A7E" w:rsidR="00602E6C" w:rsidRPr="001F5558" w:rsidRDefault="00602E6C" w:rsidP="00602E6C">
      <w:pPr>
        <w:shd w:val="clear" w:color="auto" w:fill="FFFFFF"/>
        <w:spacing w:after="120" w:line="240" w:lineRule="auto"/>
        <w:ind w:left="567" w:hanging="567"/>
        <w:jc w:val="both"/>
        <w:rPr>
          <w:rFonts w:ascii="Arial" w:hAnsi="Arial" w:cs="Arial"/>
          <w:sz w:val="20"/>
          <w:szCs w:val="20"/>
        </w:rPr>
      </w:pPr>
      <w:r w:rsidRPr="001F5558">
        <w:rPr>
          <w:rFonts w:ascii="Arial" w:hAnsi="Arial" w:cs="Arial"/>
          <w:sz w:val="20"/>
          <w:szCs w:val="20"/>
        </w:rPr>
        <w:t xml:space="preserve">Mancia, G., Kreutz, R., </w:t>
      </w:r>
      <w:proofErr w:type="spellStart"/>
      <w:r w:rsidRPr="001F5558">
        <w:rPr>
          <w:rFonts w:ascii="Arial" w:hAnsi="Arial" w:cs="Arial"/>
          <w:sz w:val="20"/>
          <w:szCs w:val="20"/>
        </w:rPr>
        <w:t>Brunström</w:t>
      </w:r>
      <w:proofErr w:type="spellEnd"/>
      <w:r w:rsidRPr="001F5558">
        <w:rPr>
          <w:rFonts w:ascii="Arial" w:hAnsi="Arial" w:cs="Arial"/>
          <w:sz w:val="20"/>
          <w:szCs w:val="20"/>
        </w:rPr>
        <w:t xml:space="preserve">, M., </w:t>
      </w:r>
      <w:proofErr w:type="spellStart"/>
      <w:r w:rsidRPr="001F5558">
        <w:rPr>
          <w:rFonts w:ascii="Arial" w:hAnsi="Arial" w:cs="Arial"/>
          <w:sz w:val="20"/>
          <w:szCs w:val="20"/>
        </w:rPr>
        <w:t>Burnier</w:t>
      </w:r>
      <w:proofErr w:type="spellEnd"/>
      <w:r w:rsidRPr="001F5558">
        <w:rPr>
          <w:rFonts w:ascii="Arial" w:hAnsi="Arial" w:cs="Arial"/>
          <w:sz w:val="20"/>
          <w:szCs w:val="20"/>
        </w:rPr>
        <w:t xml:space="preserve">, M., Grassi, G., Januszewicz, A., </w:t>
      </w:r>
      <w:r w:rsidR="00C42A3A" w:rsidRPr="001F5558">
        <w:rPr>
          <w:rFonts w:ascii="Arial" w:hAnsi="Arial" w:cs="Arial"/>
          <w:sz w:val="20"/>
          <w:szCs w:val="20"/>
        </w:rPr>
        <w:t xml:space="preserve">et al. </w:t>
      </w:r>
      <w:r w:rsidRPr="001F5558">
        <w:rPr>
          <w:rFonts w:ascii="Arial" w:hAnsi="Arial" w:cs="Arial"/>
          <w:sz w:val="20"/>
          <w:szCs w:val="20"/>
        </w:rPr>
        <w:t>(2023). 2023 ESH Guidelines for the management of arterial hypertension The Task Force for the management of arterial hypertension of the European Society of Hypertension: Endorsed by the International Society of Hypertension (ISH) and the European Renal Association (ERA). </w:t>
      </w:r>
      <w:r w:rsidRPr="001F5558">
        <w:rPr>
          <w:rFonts w:ascii="Arial" w:hAnsi="Arial" w:cs="Arial"/>
          <w:i/>
          <w:iCs/>
          <w:sz w:val="20"/>
          <w:szCs w:val="20"/>
        </w:rPr>
        <w:t>Journal of hypertension</w:t>
      </w:r>
      <w:r w:rsidRPr="001F5558">
        <w:rPr>
          <w:rFonts w:ascii="Arial" w:hAnsi="Arial" w:cs="Arial"/>
          <w:sz w:val="20"/>
          <w:szCs w:val="20"/>
        </w:rPr>
        <w:t>, </w:t>
      </w:r>
      <w:r w:rsidRPr="001F5558">
        <w:rPr>
          <w:rFonts w:ascii="Arial" w:hAnsi="Arial" w:cs="Arial"/>
          <w:i/>
          <w:iCs/>
          <w:sz w:val="20"/>
          <w:szCs w:val="20"/>
        </w:rPr>
        <w:t>41</w:t>
      </w:r>
      <w:r w:rsidRPr="001F5558">
        <w:rPr>
          <w:rFonts w:ascii="Arial" w:hAnsi="Arial" w:cs="Arial"/>
          <w:sz w:val="20"/>
          <w:szCs w:val="20"/>
        </w:rPr>
        <w:t>(12), 1874–2071. https://doi.org/10.1097/HJH.0000000000003480</w:t>
      </w:r>
    </w:p>
    <w:p w14:paraId="14CEC244" w14:textId="77777777" w:rsidR="00602E6C" w:rsidRPr="001F5558" w:rsidRDefault="00602E6C" w:rsidP="00602E6C">
      <w:pPr>
        <w:shd w:val="clear" w:color="auto" w:fill="FFFFFF"/>
        <w:spacing w:after="120" w:line="240" w:lineRule="auto"/>
        <w:ind w:left="567" w:hanging="567"/>
        <w:jc w:val="both"/>
        <w:rPr>
          <w:rFonts w:ascii="Arial" w:hAnsi="Arial" w:cs="Arial"/>
          <w:sz w:val="20"/>
          <w:szCs w:val="20"/>
        </w:rPr>
      </w:pPr>
      <w:proofErr w:type="spellStart"/>
      <w:r w:rsidRPr="001F5558">
        <w:rPr>
          <w:rFonts w:ascii="Arial" w:hAnsi="Arial" w:cs="Arial"/>
          <w:sz w:val="20"/>
          <w:szCs w:val="20"/>
        </w:rPr>
        <w:t>Mavrakanas</w:t>
      </w:r>
      <w:proofErr w:type="spellEnd"/>
      <w:r w:rsidRPr="001F5558">
        <w:rPr>
          <w:rFonts w:ascii="Arial" w:hAnsi="Arial" w:cs="Arial"/>
          <w:sz w:val="20"/>
          <w:szCs w:val="20"/>
        </w:rPr>
        <w:t xml:space="preserve">, T. A., Soomro, Q. H., &amp; </w:t>
      </w:r>
      <w:proofErr w:type="spellStart"/>
      <w:r w:rsidRPr="001F5558">
        <w:rPr>
          <w:rFonts w:ascii="Arial" w:hAnsi="Arial" w:cs="Arial"/>
          <w:sz w:val="20"/>
          <w:szCs w:val="20"/>
        </w:rPr>
        <w:t>Charytan</w:t>
      </w:r>
      <w:proofErr w:type="spellEnd"/>
      <w:r w:rsidRPr="001F5558">
        <w:rPr>
          <w:rFonts w:ascii="Arial" w:hAnsi="Arial" w:cs="Arial"/>
          <w:sz w:val="20"/>
          <w:szCs w:val="20"/>
        </w:rPr>
        <w:t xml:space="preserve">, D. M. (2022). Hydralazine-Isosorbide Dinitrate Use in Patients </w:t>
      </w:r>
      <w:proofErr w:type="gramStart"/>
      <w:r w:rsidRPr="001F5558">
        <w:rPr>
          <w:rFonts w:ascii="Arial" w:hAnsi="Arial" w:cs="Arial"/>
          <w:sz w:val="20"/>
          <w:szCs w:val="20"/>
        </w:rPr>
        <w:t>With</w:t>
      </w:r>
      <w:proofErr w:type="gramEnd"/>
      <w:r w:rsidRPr="001F5558">
        <w:rPr>
          <w:rFonts w:ascii="Arial" w:hAnsi="Arial" w:cs="Arial"/>
          <w:sz w:val="20"/>
          <w:szCs w:val="20"/>
        </w:rPr>
        <w:t xml:space="preserve"> End-Stage Kidney Disease on Dialysis. </w:t>
      </w:r>
      <w:r w:rsidRPr="001F5558">
        <w:rPr>
          <w:rFonts w:ascii="Arial" w:hAnsi="Arial" w:cs="Arial"/>
          <w:i/>
          <w:iCs/>
          <w:sz w:val="20"/>
          <w:szCs w:val="20"/>
        </w:rPr>
        <w:t>Kidney international reports</w:t>
      </w:r>
      <w:r w:rsidRPr="001F5558">
        <w:rPr>
          <w:rFonts w:ascii="Arial" w:hAnsi="Arial" w:cs="Arial"/>
          <w:sz w:val="20"/>
          <w:szCs w:val="20"/>
        </w:rPr>
        <w:t>, </w:t>
      </w:r>
      <w:r w:rsidRPr="001F5558">
        <w:rPr>
          <w:rFonts w:ascii="Arial" w:hAnsi="Arial" w:cs="Arial"/>
          <w:i/>
          <w:iCs/>
          <w:sz w:val="20"/>
          <w:szCs w:val="20"/>
        </w:rPr>
        <w:t>7</w:t>
      </w:r>
      <w:r w:rsidRPr="001F5558">
        <w:rPr>
          <w:rFonts w:ascii="Arial" w:hAnsi="Arial" w:cs="Arial"/>
          <w:sz w:val="20"/>
          <w:szCs w:val="20"/>
        </w:rPr>
        <w:t>(6), 1332–1340. https://doi.org/10.1016/j.ekir.2022.03.032</w:t>
      </w:r>
    </w:p>
    <w:p w14:paraId="5AFF5B68" w14:textId="77777777" w:rsidR="00602E6C" w:rsidRPr="001F5558" w:rsidRDefault="00602E6C" w:rsidP="00602E6C">
      <w:pPr>
        <w:shd w:val="clear" w:color="auto" w:fill="FFFFFF"/>
        <w:spacing w:after="120" w:line="240" w:lineRule="auto"/>
        <w:ind w:left="567" w:hanging="567"/>
        <w:jc w:val="both"/>
        <w:rPr>
          <w:rFonts w:ascii="Arial" w:hAnsi="Arial" w:cs="Arial"/>
          <w:sz w:val="20"/>
          <w:szCs w:val="20"/>
        </w:rPr>
      </w:pPr>
      <w:r w:rsidRPr="001F5558">
        <w:rPr>
          <w:rFonts w:ascii="Arial" w:hAnsi="Arial" w:cs="Arial"/>
          <w:sz w:val="20"/>
          <w:szCs w:val="20"/>
        </w:rPr>
        <w:t xml:space="preserve">Minutolo, R., De Nicola, L., </w:t>
      </w:r>
      <w:proofErr w:type="spellStart"/>
      <w:r w:rsidRPr="001F5558">
        <w:rPr>
          <w:rFonts w:ascii="Arial" w:hAnsi="Arial" w:cs="Arial"/>
          <w:sz w:val="20"/>
          <w:szCs w:val="20"/>
        </w:rPr>
        <w:t>Mallamaci</w:t>
      </w:r>
      <w:proofErr w:type="spellEnd"/>
      <w:r w:rsidRPr="001F5558">
        <w:rPr>
          <w:rFonts w:ascii="Arial" w:hAnsi="Arial" w:cs="Arial"/>
          <w:sz w:val="20"/>
          <w:szCs w:val="20"/>
        </w:rPr>
        <w:t>, F., &amp; Zoccali, C. (2022). Thiazide diuretics are back in CKD: the case of chlorthalidone. </w:t>
      </w:r>
      <w:r w:rsidRPr="001F5558">
        <w:rPr>
          <w:rFonts w:ascii="Arial" w:hAnsi="Arial" w:cs="Arial"/>
          <w:i/>
          <w:iCs/>
          <w:sz w:val="20"/>
          <w:szCs w:val="20"/>
        </w:rPr>
        <w:t>Clinical kidney journal</w:t>
      </w:r>
      <w:r w:rsidRPr="001F5558">
        <w:rPr>
          <w:rFonts w:ascii="Arial" w:hAnsi="Arial" w:cs="Arial"/>
          <w:sz w:val="20"/>
          <w:szCs w:val="20"/>
        </w:rPr>
        <w:t>, </w:t>
      </w:r>
      <w:r w:rsidRPr="001F5558">
        <w:rPr>
          <w:rFonts w:ascii="Arial" w:hAnsi="Arial" w:cs="Arial"/>
          <w:i/>
          <w:iCs/>
          <w:sz w:val="20"/>
          <w:szCs w:val="20"/>
        </w:rPr>
        <w:t>16</w:t>
      </w:r>
      <w:r w:rsidRPr="001F5558">
        <w:rPr>
          <w:rFonts w:ascii="Arial" w:hAnsi="Arial" w:cs="Arial"/>
          <w:sz w:val="20"/>
          <w:szCs w:val="20"/>
        </w:rPr>
        <w:t>(1), 41–51. https://doi.org/10.1093/ckj/sfac198</w:t>
      </w:r>
    </w:p>
    <w:p w14:paraId="1162812C" w14:textId="77777777" w:rsidR="00602E6C" w:rsidRPr="001F5558" w:rsidRDefault="00602E6C" w:rsidP="00602E6C">
      <w:pPr>
        <w:shd w:val="clear" w:color="auto" w:fill="FFFFFF"/>
        <w:spacing w:after="120" w:line="240" w:lineRule="auto"/>
        <w:ind w:left="567" w:hanging="567"/>
        <w:jc w:val="both"/>
        <w:rPr>
          <w:rFonts w:ascii="Arial" w:hAnsi="Arial" w:cs="Arial"/>
          <w:sz w:val="20"/>
          <w:szCs w:val="20"/>
        </w:rPr>
      </w:pPr>
      <w:proofErr w:type="spellStart"/>
      <w:r w:rsidRPr="001F5558">
        <w:rPr>
          <w:rFonts w:ascii="Arial" w:hAnsi="Arial" w:cs="Arial"/>
          <w:sz w:val="20"/>
          <w:szCs w:val="20"/>
        </w:rPr>
        <w:t>Mitsuboshi</w:t>
      </w:r>
      <w:proofErr w:type="spellEnd"/>
      <w:r w:rsidRPr="001F5558">
        <w:rPr>
          <w:rFonts w:ascii="Arial" w:hAnsi="Arial" w:cs="Arial"/>
          <w:sz w:val="20"/>
          <w:szCs w:val="20"/>
        </w:rPr>
        <w:t xml:space="preserve">, S., </w:t>
      </w:r>
      <w:proofErr w:type="spellStart"/>
      <w:r w:rsidRPr="001F5558">
        <w:rPr>
          <w:rFonts w:ascii="Arial" w:hAnsi="Arial" w:cs="Arial"/>
          <w:sz w:val="20"/>
          <w:szCs w:val="20"/>
        </w:rPr>
        <w:t>Niimura</w:t>
      </w:r>
      <w:proofErr w:type="spellEnd"/>
      <w:r w:rsidRPr="001F5558">
        <w:rPr>
          <w:rFonts w:ascii="Arial" w:hAnsi="Arial" w:cs="Arial"/>
          <w:sz w:val="20"/>
          <w:szCs w:val="20"/>
        </w:rPr>
        <w:t>, T., Aizawa, F., Goda, M., Zamami, Y., &amp; Ishizawa, K. (2022). Atenolol and mortality events in patients with chronic kidney disease: Analysis of data from the Japanese Adverse Drug Event Report database. </w:t>
      </w:r>
      <w:r w:rsidRPr="001F5558">
        <w:rPr>
          <w:rFonts w:ascii="Arial" w:hAnsi="Arial" w:cs="Arial"/>
          <w:i/>
          <w:iCs/>
          <w:sz w:val="20"/>
          <w:szCs w:val="20"/>
        </w:rPr>
        <w:t>Basic &amp; clinical pharmacology &amp; toxicology</w:t>
      </w:r>
      <w:r w:rsidRPr="001F5558">
        <w:rPr>
          <w:rFonts w:ascii="Arial" w:hAnsi="Arial" w:cs="Arial"/>
          <w:sz w:val="20"/>
          <w:szCs w:val="20"/>
        </w:rPr>
        <w:t>, </w:t>
      </w:r>
      <w:r w:rsidRPr="001F5558">
        <w:rPr>
          <w:rFonts w:ascii="Arial" w:hAnsi="Arial" w:cs="Arial"/>
          <w:i/>
          <w:iCs/>
          <w:sz w:val="20"/>
          <w:szCs w:val="20"/>
        </w:rPr>
        <w:t>130</w:t>
      </w:r>
      <w:r w:rsidRPr="001F5558">
        <w:rPr>
          <w:rFonts w:ascii="Arial" w:hAnsi="Arial" w:cs="Arial"/>
          <w:sz w:val="20"/>
          <w:szCs w:val="20"/>
        </w:rPr>
        <w:t>(4), 553–556. https://doi.org/10.1111/bcpt.13717</w:t>
      </w:r>
    </w:p>
    <w:p w14:paraId="0B02270A" w14:textId="77777777" w:rsidR="00602E6C" w:rsidRPr="001F5558" w:rsidRDefault="00602E6C" w:rsidP="00602E6C">
      <w:pPr>
        <w:shd w:val="clear" w:color="auto" w:fill="FFFFFF"/>
        <w:spacing w:after="120" w:line="240" w:lineRule="auto"/>
        <w:ind w:left="567" w:hanging="567"/>
        <w:jc w:val="both"/>
        <w:rPr>
          <w:rFonts w:ascii="Arial" w:hAnsi="Arial" w:cs="Arial"/>
          <w:sz w:val="20"/>
          <w:szCs w:val="20"/>
        </w:rPr>
      </w:pPr>
      <w:proofErr w:type="spellStart"/>
      <w:r w:rsidRPr="001F5558">
        <w:rPr>
          <w:rFonts w:ascii="Arial" w:hAnsi="Arial" w:cs="Arial"/>
          <w:sz w:val="20"/>
          <w:szCs w:val="20"/>
        </w:rPr>
        <w:t>Momoniat</w:t>
      </w:r>
      <w:proofErr w:type="spellEnd"/>
      <w:r w:rsidRPr="001F5558">
        <w:rPr>
          <w:rFonts w:ascii="Arial" w:hAnsi="Arial" w:cs="Arial"/>
          <w:sz w:val="20"/>
          <w:szCs w:val="20"/>
        </w:rPr>
        <w:t>, T., Ilyas, D., &amp; Bhandari, S. (2019). ACE inhibitors and ARBs: Managing potassium and renal function. </w:t>
      </w:r>
      <w:r w:rsidRPr="001F5558">
        <w:rPr>
          <w:rFonts w:ascii="Arial" w:hAnsi="Arial" w:cs="Arial"/>
          <w:i/>
          <w:iCs/>
          <w:sz w:val="20"/>
          <w:szCs w:val="20"/>
        </w:rPr>
        <w:t>Cleveland Clinic journal of medicine</w:t>
      </w:r>
      <w:r w:rsidRPr="001F5558">
        <w:rPr>
          <w:rFonts w:ascii="Arial" w:hAnsi="Arial" w:cs="Arial"/>
          <w:sz w:val="20"/>
          <w:szCs w:val="20"/>
        </w:rPr>
        <w:t>, </w:t>
      </w:r>
      <w:r w:rsidRPr="001F5558">
        <w:rPr>
          <w:rFonts w:ascii="Arial" w:hAnsi="Arial" w:cs="Arial"/>
          <w:i/>
          <w:iCs/>
          <w:sz w:val="20"/>
          <w:szCs w:val="20"/>
        </w:rPr>
        <w:t>86</w:t>
      </w:r>
      <w:r w:rsidRPr="001F5558">
        <w:rPr>
          <w:rFonts w:ascii="Arial" w:hAnsi="Arial" w:cs="Arial"/>
          <w:sz w:val="20"/>
          <w:szCs w:val="20"/>
        </w:rPr>
        <w:t>(9), 601–607. https://doi.org/10.3949/ccjm.86a.18024</w:t>
      </w:r>
    </w:p>
    <w:p w14:paraId="6CA06AFE" w14:textId="77777777" w:rsidR="00602E6C" w:rsidRPr="001F5558" w:rsidRDefault="00602E6C" w:rsidP="00602E6C">
      <w:pPr>
        <w:shd w:val="clear" w:color="auto" w:fill="FFFFFF"/>
        <w:spacing w:after="120" w:line="240" w:lineRule="auto"/>
        <w:ind w:left="567" w:hanging="567"/>
        <w:jc w:val="both"/>
        <w:rPr>
          <w:rFonts w:ascii="Arial" w:hAnsi="Arial" w:cs="Arial"/>
          <w:sz w:val="20"/>
          <w:szCs w:val="20"/>
        </w:rPr>
      </w:pPr>
      <w:r w:rsidRPr="001F5558">
        <w:rPr>
          <w:rFonts w:ascii="Arial" w:hAnsi="Arial" w:cs="Arial"/>
          <w:sz w:val="20"/>
          <w:szCs w:val="20"/>
        </w:rPr>
        <w:t xml:space="preserve">Moore, K. H., &amp; Clemmer, J. S. (2021). Questioning the </w:t>
      </w:r>
      <w:proofErr w:type="spellStart"/>
      <w:r w:rsidRPr="001F5558">
        <w:rPr>
          <w:rFonts w:ascii="Arial" w:hAnsi="Arial" w:cs="Arial"/>
          <w:sz w:val="20"/>
          <w:szCs w:val="20"/>
        </w:rPr>
        <w:t>renoprotective</w:t>
      </w:r>
      <w:proofErr w:type="spellEnd"/>
      <w:r w:rsidRPr="001F5558">
        <w:rPr>
          <w:rFonts w:ascii="Arial" w:hAnsi="Arial" w:cs="Arial"/>
          <w:sz w:val="20"/>
          <w:szCs w:val="20"/>
        </w:rPr>
        <w:t xml:space="preserve"> role of L-type calcium channel blockers in chronic kidney disease using physiological modeling. </w:t>
      </w:r>
      <w:r w:rsidRPr="001F5558">
        <w:rPr>
          <w:rFonts w:ascii="Arial" w:hAnsi="Arial" w:cs="Arial"/>
          <w:i/>
          <w:iCs/>
          <w:sz w:val="20"/>
          <w:szCs w:val="20"/>
        </w:rPr>
        <w:t>American journal of physiology. Renal physiology</w:t>
      </w:r>
      <w:r w:rsidRPr="001F5558">
        <w:rPr>
          <w:rFonts w:ascii="Arial" w:hAnsi="Arial" w:cs="Arial"/>
          <w:sz w:val="20"/>
          <w:szCs w:val="20"/>
        </w:rPr>
        <w:t>, </w:t>
      </w:r>
      <w:r w:rsidRPr="001F5558">
        <w:rPr>
          <w:rFonts w:ascii="Arial" w:hAnsi="Arial" w:cs="Arial"/>
          <w:i/>
          <w:iCs/>
          <w:sz w:val="20"/>
          <w:szCs w:val="20"/>
        </w:rPr>
        <w:t>321</w:t>
      </w:r>
      <w:r w:rsidRPr="001F5558">
        <w:rPr>
          <w:rFonts w:ascii="Arial" w:hAnsi="Arial" w:cs="Arial"/>
          <w:sz w:val="20"/>
          <w:szCs w:val="20"/>
        </w:rPr>
        <w:t>(4), F548–F557. https://doi.org/10.1152/ajprenal.00233.2021</w:t>
      </w:r>
    </w:p>
    <w:p w14:paraId="61359399" w14:textId="77777777" w:rsidR="00602E6C" w:rsidRPr="001F5558" w:rsidRDefault="00602E6C" w:rsidP="00602E6C">
      <w:pPr>
        <w:shd w:val="clear" w:color="auto" w:fill="FFFFFF"/>
        <w:spacing w:after="120" w:line="240" w:lineRule="auto"/>
        <w:ind w:left="567" w:hanging="567"/>
        <w:jc w:val="both"/>
        <w:rPr>
          <w:rFonts w:ascii="Arial" w:hAnsi="Arial" w:cs="Arial"/>
          <w:sz w:val="20"/>
          <w:szCs w:val="20"/>
        </w:rPr>
      </w:pPr>
      <w:r w:rsidRPr="001F5558">
        <w:rPr>
          <w:rFonts w:ascii="Arial" w:hAnsi="Arial" w:cs="Arial"/>
          <w:sz w:val="20"/>
          <w:szCs w:val="20"/>
        </w:rPr>
        <w:t>Mugendi, G. A., Mutua, F. M., Natale, P., Esterhuizen, T. M., &amp; Strippoli, G. F. (2020). Calcium channel blockers for people with chronic kidney disease requiring dialysis. </w:t>
      </w:r>
      <w:r w:rsidRPr="001F5558">
        <w:rPr>
          <w:rFonts w:ascii="Arial" w:hAnsi="Arial" w:cs="Arial"/>
          <w:i/>
          <w:iCs/>
          <w:sz w:val="20"/>
          <w:szCs w:val="20"/>
        </w:rPr>
        <w:t>The Cochrane database of systematic reviews</w:t>
      </w:r>
      <w:r w:rsidRPr="001F5558">
        <w:rPr>
          <w:rFonts w:ascii="Arial" w:hAnsi="Arial" w:cs="Arial"/>
          <w:sz w:val="20"/>
          <w:szCs w:val="20"/>
        </w:rPr>
        <w:t>, </w:t>
      </w:r>
      <w:r w:rsidRPr="001F5558">
        <w:rPr>
          <w:rFonts w:ascii="Arial" w:hAnsi="Arial" w:cs="Arial"/>
          <w:i/>
          <w:iCs/>
          <w:sz w:val="20"/>
          <w:szCs w:val="20"/>
        </w:rPr>
        <w:t>10</w:t>
      </w:r>
      <w:r w:rsidRPr="001F5558">
        <w:rPr>
          <w:rFonts w:ascii="Arial" w:hAnsi="Arial" w:cs="Arial"/>
          <w:sz w:val="20"/>
          <w:szCs w:val="20"/>
        </w:rPr>
        <w:t>(10), CD011064. https://doi.org/10.1002/14651858.CD011064.pub2</w:t>
      </w:r>
    </w:p>
    <w:p w14:paraId="573494C3" w14:textId="77777777" w:rsidR="00602E6C" w:rsidRPr="001F5558" w:rsidRDefault="00602E6C" w:rsidP="00602E6C">
      <w:pPr>
        <w:shd w:val="clear" w:color="auto" w:fill="FFFFFF"/>
        <w:spacing w:after="120" w:line="240" w:lineRule="auto"/>
        <w:ind w:left="567" w:hanging="567"/>
        <w:jc w:val="both"/>
        <w:rPr>
          <w:rFonts w:ascii="Arial" w:hAnsi="Arial" w:cs="Arial"/>
          <w:sz w:val="20"/>
          <w:szCs w:val="20"/>
        </w:rPr>
      </w:pPr>
      <w:r w:rsidRPr="001F5558">
        <w:rPr>
          <w:rFonts w:ascii="Arial" w:hAnsi="Arial" w:cs="Arial"/>
          <w:sz w:val="20"/>
          <w:szCs w:val="20"/>
        </w:rPr>
        <w:t xml:space="preserve">Mukoyama, M., &amp; Kuwabara, T. (2022). Role of renin-angiotensin system blockade in advanced CKD: to use or not to </w:t>
      </w:r>
      <w:proofErr w:type="gramStart"/>
      <w:r w:rsidRPr="001F5558">
        <w:rPr>
          <w:rFonts w:ascii="Arial" w:hAnsi="Arial" w:cs="Arial"/>
          <w:sz w:val="20"/>
          <w:szCs w:val="20"/>
        </w:rPr>
        <w:t>use?.</w:t>
      </w:r>
      <w:proofErr w:type="gramEnd"/>
      <w:r w:rsidRPr="001F5558">
        <w:rPr>
          <w:rFonts w:ascii="Arial" w:hAnsi="Arial" w:cs="Arial"/>
          <w:sz w:val="20"/>
          <w:szCs w:val="20"/>
        </w:rPr>
        <w:t> </w:t>
      </w:r>
      <w:r w:rsidRPr="001F5558">
        <w:rPr>
          <w:rFonts w:ascii="Arial" w:hAnsi="Arial" w:cs="Arial"/>
          <w:i/>
          <w:iCs/>
          <w:sz w:val="20"/>
          <w:szCs w:val="20"/>
        </w:rPr>
        <w:t xml:space="preserve">Hypertension </w:t>
      </w:r>
      <w:proofErr w:type="gramStart"/>
      <w:r w:rsidRPr="001F5558">
        <w:rPr>
          <w:rFonts w:ascii="Arial" w:hAnsi="Arial" w:cs="Arial"/>
          <w:i/>
          <w:iCs/>
          <w:sz w:val="20"/>
          <w:szCs w:val="20"/>
        </w:rPr>
        <w:t>research :</w:t>
      </w:r>
      <w:proofErr w:type="gramEnd"/>
      <w:r w:rsidRPr="001F5558">
        <w:rPr>
          <w:rFonts w:ascii="Arial" w:hAnsi="Arial" w:cs="Arial"/>
          <w:i/>
          <w:iCs/>
          <w:sz w:val="20"/>
          <w:szCs w:val="20"/>
        </w:rPr>
        <w:t xml:space="preserve"> official journal of the Japanese Society of Hypertension</w:t>
      </w:r>
      <w:r w:rsidRPr="001F5558">
        <w:rPr>
          <w:rFonts w:ascii="Arial" w:hAnsi="Arial" w:cs="Arial"/>
          <w:sz w:val="20"/>
          <w:szCs w:val="20"/>
        </w:rPr>
        <w:t>, </w:t>
      </w:r>
      <w:r w:rsidRPr="001F5558">
        <w:rPr>
          <w:rFonts w:ascii="Arial" w:hAnsi="Arial" w:cs="Arial"/>
          <w:i/>
          <w:iCs/>
          <w:sz w:val="20"/>
          <w:szCs w:val="20"/>
        </w:rPr>
        <w:t>45</w:t>
      </w:r>
      <w:r w:rsidRPr="001F5558">
        <w:rPr>
          <w:rFonts w:ascii="Arial" w:hAnsi="Arial" w:cs="Arial"/>
          <w:sz w:val="20"/>
          <w:szCs w:val="20"/>
        </w:rPr>
        <w:t>(6), 1072–1075. https://doi.org/10.1038/s41440-022-00902-7</w:t>
      </w:r>
    </w:p>
    <w:p w14:paraId="7145393D" w14:textId="77777777" w:rsidR="00602E6C" w:rsidRPr="001F5558" w:rsidRDefault="00602E6C" w:rsidP="00602E6C">
      <w:pPr>
        <w:shd w:val="clear" w:color="auto" w:fill="FFFFFF"/>
        <w:spacing w:after="120" w:line="240" w:lineRule="auto"/>
        <w:ind w:left="567" w:hanging="567"/>
        <w:jc w:val="both"/>
        <w:rPr>
          <w:rFonts w:ascii="Arial" w:hAnsi="Arial" w:cs="Arial"/>
          <w:sz w:val="20"/>
          <w:szCs w:val="20"/>
        </w:rPr>
      </w:pPr>
      <w:r w:rsidRPr="001F5558">
        <w:rPr>
          <w:rFonts w:ascii="Arial" w:hAnsi="Arial" w:cs="Arial"/>
          <w:sz w:val="20"/>
          <w:szCs w:val="20"/>
        </w:rPr>
        <w:t xml:space="preserve">Ng, K. P., Jain, P., Gill, P. S., Heer, G., Townend, J. N., Freemantle, N., Greenfield, S., McManus, R. J., &amp; Ferro, C. J. (2016). Results and lessons from the Spironolactone </w:t>
      </w:r>
      <w:proofErr w:type="gramStart"/>
      <w:r w:rsidRPr="001F5558">
        <w:rPr>
          <w:rFonts w:ascii="Arial" w:hAnsi="Arial" w:cs="Arial"/>
          <w:sz w:val="20"/>
          <w:szCs w:val="20"/>
        </w:rPr>
        <w:t>To</w:t>
      </w:r>
      <w:proofErr w:type="gramEnd"/>
      <w:r w:rsidRPr="001F5558">
        <w:rPr>
          <w:rFonts w:ascii="Arial" w:hAnsi="Arial" w:cs="Arial"/>
          <w:sz w:val="20"/>
          <w:szCs w:val="20"/>
        </w:rPr>
        <w:t xml:space="preserve"> Prevent Cardiovascular Events in </w:t>
      </w:r>
      <w:proofErr w:type="gramStart"/>
      <w:r w:rsidRPr="001F5558">
        <w:rPr>
          <w:rFonts w:ascii="Arial" w:hAnsi="Arial" w:cs="Arial"/>
          <w:sz w:val="20"/>
          <w:szCs w:val="20"/>
        </w:rPr>
        <w:t>Early Stage</w:t>
      </w:r>
      <w:proofErr w:type="gramEnd"/>
      <w:r w:rsidRPr="001F5558">
        <w:rPr>
          <w:rFonts w:ascii="Arial" w:hAnsi="Arial" w:cs="Arial"/>
          <w:sz w:val="20"/>
          <w:szCs w:val="20"/>
        </w:rPr>
        <w:t xml:space="preserve"> Chronic Kidney Disease (STOP-CKD) </w:t>
      </w:r>
      <w:proofErr w:type="spellStart"/>
      <w:r w:rsidRPr="001F5558">
        <w:rPr>
          <w:rFonts w:ascii="Arial" w:hAnsi="Arial" w:cs="Arial"/>
          <w:sz w:val="20"/>
          <w:szCs w:val="20"/>
        </w:rPr>
        <w:t>randomised</w:t>
      </w:r>
      <w:proofErr w:type="spellEnd"/>
      <w:r w:rsidRPr="001F5558">
        <w:rPr>
          <w:rFonts w:ascii="Arial" w:hAnsi="Arial" w:cs="Arial"/>
          <w:sz w:val="20"/>
          <w:szCs w:val="20"/>
        </w:rPr>
        <w:t xml:space="preserve"> controlled trial. </w:t>
      </w:r>
      <w:r w:rsidRPr="001F5558">
        <w:rPr>
          <w:rFonts w:ascii="Arial" w:hAnsi="Arial" w:cs="Arial"/>
          <w:i/>
          <w:iCs/>
          <w:sz w:val="20"/>
          <w:szCs w:val="20"/>
        </w:rPr>
        <w:t>BMJ open</w:t>
      </w:r>
      <w:r w:rsidRPr="001F5558">
        <w:rPr>
          <w:rFonts w:ascii="Arial" w:hAnsi="Arial" w:cs="Arial"/>
          <w:sz w:val="20"/>
          <w:szCs w:val="20"/>
        </w:rPr>
        <w:t>, </w:t>
      </w:r>
      <w:r w:rsidRPr="001F5558">
        <w:rPr>
          <w:rFonts w:ascii="Arial" w:hAnsi="Arial" w:cs="Arial"/>
          <w:i/>
          <w:iCs/>
          <w:sz w:val="20"/>
          <w:szCs w:val="20"/>
        </w:rPr>
        <w:t>6</w:t>
      </w:r>
      <w:r w:rsidRPr="001F5558">
        <w:rPr>
          <w:rFonts w:ascii="Arial" w:hAnsi="Arial" w:cs="Arial"/>
          <w:sz w:val="20"/>
          <w:szCs w:val="20"/>
        </w:rPr>
        <w:t>(2), e010519. https://doi.org/10.1136/bmjopen-2015-010519</w:t>
      </w:r>
    </w:p>
    <w:p w14:paraId="07B1C24A" w14:textId="77777777" w:rsidR="00602E6C" w:rsidRPr="001F5558" w:rsidRDefault="00602E6C" w:rsidP="00602E6C">
      <w:pPr>
        <w:shd w:val="clear" w:color="auto" w:fill="FFFFFF"/>
        <w:spacing w:after="120" w:line="240" w:lineRule="auto"/>
        <w:ind w:left="567" w:hanging="567"/>
        <w:jc w:val="both"/>
        <w:rPr>
          <w:rFonts w:ascii="Arial" w:hAnsi="Arial" w:cs="Arial"/>
          <w:sz w:val="20"/>
          <w:szCs w:val="20"/>
        </w:rPr>
      </w:pPr>
      <w:r w:rsidRPr="001F5558">
        <w:rPr>
          <w:rFonts w:ascii="Arial" w:hAnsi="Arial" w:cs="Arial"/>
          <w:sz w:val="20"/>
          <w:szCs w:val="20"/>
        </w:rPr>
        <w:t xml:space="preserve">Ohno, S., Ishii, A., </w:t>
      </w:r>
      <w:proofErr w:type="spellStart"/>
      <w:r w:rsidRPr="001F5558">
        <w:rPr>
          <w:rFonts w:ascii="Arial" w:hAnsi="Arial" w:cs="Arial"/>
          <w:sz w:val="20"/>
          <w:szCs w:val="20"/>
        </w:rPr>
        <w:t>Yanagita</w:t>
      </w:r>
      <w:proofErr w:type="spellEnd"/>
      <w:r w:rsidRPr="001F5558">
        <w:rPr>
          <w:rFonts w:ascii="Arial" w:hAnsi="Arial" w:cs="Arial"/>
          <w:sz w:val="20"/>
          <w:szCs w:val="20"/>
        </w:rPr>
        <w:t>, M., &amp; Yokoi, H. (2022). Calcium channel blocker in patients with chronic kidney disease. </w:t>
      </w:r>
      <w:r w:rsidRPr="001F5558">
        <w:rPr>
          <w:rFonts w:ascii="Arial" w:hAnsi="Arial" w:cs="Arial"/>
          <w:i/>
          <w:iCs/>
          <w:sz w:val="20"/>
          <w:szCs w:val="20"/>
        </w:rPr>
        <w:t>Clinical and experimental nephrology</w:t>
      </w:r>
      <w:r w:rsidRPr="001F5558">
        <w:rPr>
          <w:rFonts w:ascii="Arial" w:hAnsi="Arial" w:cs="Arial"/>
          <w:sz w:val="20"/>
          <w:szCs w:val="20"/>
        </w:rPr>
        <w:t>, </w:t>
      </w:r>
      <w:r w:rsidRPr="001F5558">
        <w:rPr>
          <w:rFonts w:ascii="Arial" w:hAnsi="Arial" w:cs="Arial"/>
          <w:i/>
          <w:iCs/>
          <w:sz w:val="20"/>
          <w:szCs w:val="20"/>
        </w:rPr>
        <w:t>26</w:t>
      </w:r>
      <w:r w:rsidRPr="001F5558">
        <w:rPr>
          <w:rFonts w:ascii="Arial" w:hAnsi="Arial" w:cs="Arial"/>
          <w:sz w:val="20"/>
          <w:szCs w:val="20"/>
        </w:rPr>
        <w:t>(3), 207–215. https://doi.org/10.1007/s10157-021-02153-1</w:t>
      </w:r>
    </w:p>
    <w:p w14:paraId="7EA05970" w14:textId="77777777" w:rsidR="00602E6C" w:rsidRPr="001F5558" w:rsidRDefault="00602E6C" w:rsidP="00602E6C">
      <w:pPr>
        <w:shd w:val="clear" w:color="auto" w:fill="FFFFFF"/>
        <w:spacing w:after="120" w:line="240" w:lineRule="auto"/>
        <w:ind w:left="567" w:hanging="567"/>
        <w:jc w:val="both"/>
        <w:rPr>
          <w:rFonts w:ascii="Arial" w:hAnsi="Arial" w:cs="Arial"/>
          <w:sz w:val="20"/>
          <w:szCs w:val="20"/>
        </w:rPr>
      </w:pPr>
      <w:r w:rsidRPr="001F5558">
        <w:rPr>
          <w:rFonts w:ascii="Arial" w:hAnsi="Arial" w:cs="Arial"/>
          <w:sz w:val="20"/>
          <w:szCs w:val="20"/>
        </w:rPr>
        <w:t xml:space="preserve">PDR 2026. PDR by </w:t>
      </w:r>
      <w:proofErr w:type="spellStart"/>
      <w:r w:rsidRPr="001F5558">
        <w:rPr>
          <w:rFonts w:ascii="Arial" w:hAnsi="Arial" w:cs="Arial"/>
          <w:sz w:val="20"/>
          <w:szCs w:val="20"/>
        </w:rPr>
        <w:t>ConneciveRx</w:t>
      </w:r>
      <w:proofErr w:type="spellEnd"/>
      <w:r w:rsidRPr="001F5558">
        <w:rPr>
          <w:rFonts w:ascii="Arial" w:hAnsi="Arial" w:cs="Arial"/>
          <w:sz w:val="20"/>
          <w:szCs w:val="20"/>
        </w:rPr>
        <w:t>. (2026). In Physicians' Desk Reference (76th ed.). PDR Network. Available at: https://www.pdr.net. Accessed on 12 May, 2026.</w:t>
      </w:r>
    </w:p>
    <w:p w14:paraId="68940DDA" w14:textId="77777777" w:rsidR="00602E6C" w:rsidRPr="001F5558" w:rsidRDefault="00602E6C" w:rsidP="00602E6C">
      <w:pPr>
        <w:shd w:val="clear" w:color="auto" w:fill="FFFFFF"/>
        <w:spacing w:after="120" w:line="240" w:lineRule="auto"/>
        <w:ind w:left="567" w:hanging="567"/>
        <w:jc w:val="both"/>
        <w:rPr>
          <w:rFonts w:ascii="Arial" w:hAnsi="Arial" w:cs="Arial"/>
          <w:sz w:val="20"/>
          <w:szCs w:val="20"/>
        </w:rPr>
      </w:pPr>
      <w:r w:rsidRPr="001F5558">
        <w:rPr>
          <w:rFonts w:ascii="Arial" w:hAnsi="Arial" w:cs="Arial"/>
          <w:sz w:val="20"/>
          <w:szCs w:val="20"/>
        </w:rPr>
        <w:t xml:space="preserve">Pethő, Á. G., </w:t>
      </w:r>
      <w:proofErr w:type="spellStart"/>
      <w:r w:rsidRPr="001F5558">
        <w:rPr>
          <w:rFonts w:ascii="Arial" w:hAnsi="Arial" w:cs="Arial"/>
          <w:sz w:val="20"/>
          <w:szCs w:val="20"/>
        </w:rPr>
        <w:t>Tapolyai</w:t>
      </w:r>
      <w:proofErr w:type="spellEnd"/>
      <w:r w:rsidRPr="001F5558">
        <w:rPr>
          <w:rFonts w:ascii="Arial" w:hAnsi="Arial" w:cs="Arial"/>
          <w:sz w:val="20"/>
          <w:szCs w:val="20"/>
        </w:rPr>
        <w:t>, M., Csongrádi, É., &amp; Orosz, P. (2024). Management of chronic kidney disease: The current novel and forgotten therapies. </w:t>
      </w:r>
      <w:r w:rsidRPr="001F5558">
        <w:rPr>
          <w:rFonts w:ascii="Arial" w:hAnsi="Arial" w:cs="Arial"/>
          <w:i/>
          <w:iCs/>
          <w:sz w:val="20"/>
          <w:szCs w:val="20"/>
        </w:rPr>
        <w:t>Journal of clinical &amp; translational endocrinology</w:t>
      </w:r>
      <w:r w:rsidRPr="001F5558">
        <w:rPr>
          <w:rFonts w:ascii="Arial" w:hAnsi="Arial" w:cs="Arial"/>
          <w:sz w:val="20"/>
          <w:szCs w:val="20"/>
        </w:rPr>
        <w:t>, </w:t>
      </w:r>
      <w:r w:rsidRPr="001F5558">
        <w:rPr>
          <w:rFonts w:ascii="Arial" w:hAnsi="Arial" w:cs="Arial"/>
          <w:i/>
          <w:iCs/>
          <w:sz w:val="20"/>
          <w:szCs w:val="20"/>
        </w:rPr>
        <w:t>36</w:t>
      </w:r>
      <w:r w:rsidRPr="001F5558">
        <w:rPr>
          <w:rFonts w:ascii="Arial" w:hAnsi="Arial" w:cs="Arial"/>
          <w:sz w:val="20"/>
          <w:szCs w:val="20"/>
        </w:rPr>
        <w:t>, 100354. https://doi.org/10.1016/j.jcte.2024.100354</w:t>
      </w:r>
    </w:p>
    <w:p w14:paraId="12E46141" w14:textId="77777777" w:rsidR="00602E6C" w:rsidRPr="001F5558" w:rsidRDefault="00602E6C" w:rsidP="00602E6C">
      <w:pPr>
        <w:shd w:val="clear" w:color="auto" w:fill="FFFFFF"/>
        <w:spacing w:after="120" w:line="240" w:lineRule="auto"/>
        <w:ind w:left="567" w:hanging="567"/>
        <w:jc w:val="both"/>
        <w:rPr>
          <w:rFonts w:ascii="Arial" w:eastAsia="Times New Roman" w:hAnsi="Arial" w:cs="Arial"/>
          <w:sz w:val="20"/>
          <w:szCs w:val="20"/>
        </w:rPr>
      </w:pPr>
      <w:proofErr w:type="spellStart"/>
      <w:r w:rsidRPr="001F5558">
        <w:rPr>
          <w:rFonts w:ascii="Arial" w:hAnsi="Arial" w:cs="Arial"/>
          <w:sz w:val="20"/>
          <w:szCs w:val="20"/>
        </w:rPr>
        <w:t>Polychronopoulou</w:t>
      </w:r>
      <w:proofErr w:type="spellEnd"/>
      <w:r w:rsidRPr="001F5558">
        <w:rPr>
          <w:rFonts w:ascii="Arial" w:hAnsi="Arial" w:cs="Arial"/>
          <w:sz w:val="20"/>
          <w:szCs w:val="20"/>
        </w:rPr>
        <w:t xml:space="preserve">, E., </w:t>
      </w:r>
      <w:proofErr w:type="spellStart"/>
      <w:r w:rsidRPr="001F5558">
        <w:rPr>
          <w:rFonts w:ascii="Arial" w:hAnsi="Arial" w:cs="Arial"/>
          <w:sz w:val="20"/>
          <w:szCs w:val="20"/>
        </w:rPr>
        <w:t>Wuerzner</w:t>
      </w:r>
      <w:proofErr w:type="spellEnd"/>
      <w:r w:rsidRPr="001F5558">
        <w:rPr>
          <w:rFonts w:ascii="Arial" w:hAnsi="Arial" w:cs="Arial"/>
          <w:sz w:val="20"/>
          <w:szCs w:val="20"/>
        </w:rPr>
        <w:t xml:space="preserve">, G., &amp; </w:t>
      </w:r>
      <w:proofErr w:type="spellStart"/>
      <w:r w:rsidRPr="001F5558">
        <w:rPr>
          <w:rFonts w:ascii="Arial" w:hAnsi="Arial" w:cs="Arial"/>
          <w:sz w:val="20"/>
          <w:szCs w:val="20"/>
        </w:rPr>
        <w:t>Burnier</w:t>
      </w:r>
      <w:proofErr w:type="spellEnd"/>
      <w:r w:rsidRPr="001F5558">
        <w:rPr>
          <w:rFonts w:ascii="Arial" w:hAnsi="Arial" w:cs="Arial"/>
          <w:sz w:val="20"/>
          <w:szCs w:val="20"/>
        </w:rPr>
        <w:t>, M. (2021). How Do I Manage Hypertension in Patients with Advanced Chronic Kidney Disease Not on Dialysis? Perspectives from Clinical Practice. </w:t>
      </w:r>
      <w:r w:rsidRPr="001F5558">
        <w:rPr>
          <w:rFonts w:ascii="Arial" w:hAnsi="Arial" w:cs="Arial"/>
          <w:i/>
          <w:iCs/>
          <w:sz w:val="20"/>
          <w:szCs w:val="20"/>
        </w:rPr>
        <w:t>Vascular health and risk management</w:t>
      </w:r>
      <w:r w:rsidRPr="001F5558">
        <w:rPr>
          <w:rFonts w:ascii="Arial" w:hAnsi="Arial" w:cs="Arial"/>
          <w:sz w:val="20"/>
          <w:szCs w:val="20"/>
        </w:rPr>
        <w:t>, </w:t>
      </w:r>
      <w:r w:rsidRPr="001F5558">
        <w:rPr>
          <w:rFonts w:ascii="Arial" w:hAnsi="Arial" w:cs="Arial"/>
          <w:i/>
          <w:iCs/>
          <w:sz w:val="20"/>
          <w:szCs w:val="20"/>
        </w:rPr>
        <w:t>17</w:t>
      </w:r>
      <w:r w:rsidRPr="001F5558">
        <w:rPr>
          <w:rFonts w:ascii="Arial" w:hAnsi="Arial" w:cs="Arial"/>
          <w:sz w:val="20"/>
          <w:szCs w:val="20"/>
        </w:rPr>
        <w:t>, 1–11. https://doi.org/10.2147/VHRM.S292522</w:t>
      </w:r>
    </w:p>
    <w:p w14:paraId="5E73B428" w14:textId="77777777" w:rsidR="00602E6C" w:rsidRPr="001F5558" w:rsidRDefault="00602E6C" w:rsidP="00602E6C">
      <w:pPr>
        <w:shd w:val="clear" w:color="auto" w:fill="FFFFFF"/>
        <w:spacing w:after="120" w:line="240" w:lineRule="auto"/>
        <w:ind w:left="567" w:hanging="567"/>
        <w:jc w:val="both"/>
        <w:rPr>
          <w:rFonts w:ascii="Arial" w:hAnsi="Arial" w:cs="Arial"/>
          <w:sz w:val="20"/>
          <w:szCs w:val="20"/>
        </w:rPr>
      </w:pPr>
      <w:r w:rsidRPr="001F5558">
        <w:rPr>
          <w:rFonts w:ascii="Arial" w:hAnsi="Arial" w:cs="Arial"/>
          <w:sz w:val="20"/>
          <w:szCs w:val="20"/>
        </w:rPr>
        <w:t xml:space="preserve">Prasad M, Al-Rashid S, </w:t>
      </w:r>
      <w:proofErr w:type="spellStart"/>
      <w:r w:rsidRPr="001F5558">
        <w:rPr>
          <w:rFonts w:ascii="Arial" w:hAnsi="Arial" w:cs="Arial"/>
          <w:sz w:val="20"/>
          <w:szCs w:val="20"/>
        </w:rPr>
        <w:t>Yashvanthan</w:t>
      </w:r>
      <w:proofErr w:type="spellEnd"/>
      <w:r w:rsidRPr="001F5558">
        <w:rPr>
          <w:rFonts w:ascii="Arial" w:hAnsi="Arial" w:cs="Arial"/>
          <w:sz w:val="20"/>
          <w:szCs w:val="20"/>
        </w:rPr>
        <w:t xml:space="preserve"> V. R, Prakash B. M, Priya M. D. L. (2025). Mechanistic Understanding of </w:t>
      </w:r>
      <w:proofErr w:type="spellStart"/>
      <w:r w:rsidRPr="001F5558">
        <w:rPr>
          <w:rFonts w:ascii="Arial" w:hAnsi="Arial" w:cs="Arial"/>
          <w:sz w:val="20"/>
          <w:szCs w:val="20"/>
        </w:rPr>
        <w:t>Finerenone</w:t>
      </w:r>
      <w:proofErr w:type="spellEnd"/>
      <w:r w:rsidRPr="001F5558">
        <w:rPr>
          <w:rFonts w:ascii="Arial" w:hAnsi="Arial" w:cs="Arial"/>
          <w:sz w:val="20"/>
          <w:szCs w:val="20"/>
        </w:rPr>
        <w:t xml:space="preserve"> in Hypertension Management: A Narrative Review. </w:t>
      </w:r>
      <w:r w:rsidRPr="001F5558">
        <w:rPr>
          <w:rFonts w:ascii="Arial" w:hAnsi="Arial" w:cs="Arial"/>
          <w:i/>
          <w:iCs/>
          <w:sz w:val="20"/>
          <w:szCs w:val="20"/>
        </w:rPr>
        <w:t xml:space="preserve">Biomed </w:t>
      </w:r>
      <w:proofErr w:type="spellStart"/>
      <w:r w:rsidRPr="001F5558">
        <w:rPr>
          <w:rFonts w:ascii="Arial" w:hAnsi="Arial" w:cs="Arial"/>
          <w:i/>
          <w:iCs/>
          <w:sz w:val="20"/>
          <w:szCs w:val="20"/>
        </w:rPr>
        <w:t>Pharmacol</w:t>
      </w:r>
      <w:proofErr w:type="spellEnd"/>
      <w:r w:rsidRPr="001F5558">
        <w:rPr>
          <w:rFonts w:ascii="Arial" w:hAnsi="Arial" w:cs="Arial"/>
          <w:i/>
          <w:iCs/>
          <w:sz w:val="20"/>
          <w:szCs w:val="20"/>
        </w:rPr>
        <w:t xml:space="preserve"> J, </w:t>
      </w:r>
      <w:r w:rsidRPr="001F5558">
        <w:rPr>
          <w:rFonts w:ascii="Arial" w:hAnsi="Arial" w:cs="Arial"/>
          <w:sz w:val="20"/>
          <w:szCs w:val="20"/>
        </w:rPr>
        <w:t xml:space="preserve">18(3). </w:t>
      </w:r>
      <w:proofErr w:type="spellStart"/>
      <w:r w:rsidRPr="001F5558">
        <w:rPr>
          <w:rFonts w:ascii="Arial" w:hAnsi="Arial" w:cs="Arial"/>
          <w:sz w:val="20"/>
          <w:szCs w:val="20"/>
        </w:rPr>
        <w:t>doi</w:t>
      </w:r>
      <w:proofErr w:type="spellEnd"/>
      <w:r w:rsidRPr="001F5558">
        <w:rPr>
          <w:rFonts w:ascii="Arial" w:hAnsi="Arial" w:cs="Arial"/>
          <w:sz w:val="20"/>
          <w:szCs w:val="20"/>
        </w:rPr>
        <w:t>: https://dx.doi.org/10.13005/bpj/3217</w:t>
      </w:r>
    </w:p>
    <w:p w14:paraId="17D34F8E" w14:textId="77777777" w:rsidR="00602E6C" w:rsidRPr="001F5558" w:rsidRDefault="00602E6C" w:rsidP="00602E6C">
      <w:pPr>
        <w:shd w:val="clear" w:color="auto" w:fill="FFFFFF"/>
        <w:spacing w:after="120" w:line="240" w:lineRule="auto"/>
        <w:ind w:left="567" w:hanging="567"/>
        <w:jc w:val="both"/>
        <w:rPr>
          <w:rFonts w:ascii="Arial" w:hAnsi="Arial" w:cs="Arial"/>
          <w:sz w:val="20"/>
          <w:szCs w:val="20"/>
        </w:rPr>
      </w:pPr>
      <w:r w:rsidRPr="001F5558">
        <w:rPr>
          <w:rFonts w:ascii="Arial" w:hAnsi="Arial" w:cs="Arial"/>
          <w:sz w:val="20"/>
          <w:szCs w:val="20"/>
        </w:rPr>
        <w:t xml:space="preserve">Pugh, D., Gallacher, P. J., &amp; </w:t>
      </w:r>
      <w:proofErr w:type="spellStart"/>
      <w:r w:rsidRPr="001F5558">
        <w:rPr>
          <w:rFonts w:ascii="Arial" w:hAnsi="Arial" w:cs="Arial"/>
          <w:sz w:val="20"/>
          <w:szCs w:val="20"/>
        </w:rPr>
        <w:t>Dhaun</w:t>
      </w:r>
      <w:proofErr w:type="spellEnd"/>
      <w:r w:rsidRPr="001F5558">
        <w:rPr>
          <w:rFonts w:ascii="Arial" w:hAnsi="Arial" w:cs="Arial"/>
          <w:sz w:val="20"/>
          <w:szCs w:val="20"/>
        </w:rPr>
        <w:t>, N. (2019). Management of Hypertension in Chronic Kidney Disease. Drugs, 79(4), 365–379. https://doi.org/10.1007/s40265-019-1064-1</w:t>
      </w:r>
    </w:p>
    <w:p w14:paraId="209FB914" w14:textId="77777777" w:rsidR="00602E6C" w:rsidRPr="001F5558" w:rsidRDefault="00602E6C" w:rsidP="00602E6C">
      <w:pPr>
        <w:shd w:val="clear" w:color="auto" w:fill="FFFFFF"/>
        <w:spacing w:after="120" w:line="240" w:lineRule="auto"/>
        <w:ind w:left="567" w:hanging="567"/>
        <w:jc w:val="both"/>
        <w:rPr>
          <w:rFonts w:ascii="Arial" w:hAnsi="Arial" w:cs="Arial"/>
          <w:sz w:val="20"/>
          <w:szCs w:val="20"/>
        </w:rPr>
      </w:pPr>
      <w:r w:rsidRPr="001F5558">
        <w:rPr>
          <w:rFonts w:ascii="Arial" w:hAnsi="Arial" w:cs="Arial"/>
          <w:sz w:val="20"/>
          <w:szCs w:val="20"/>
        </w:rPr>
        <w:lastRenderedPageBreak/>
        <w:t xml:space="preserve">Qasim, H., </w:t>
      </w:r>
      <w:proofErr w:type="spellStart"/>
      <w:r w:rsidRPr="001F5558">
        <w:rPr>
          <w:rFonts w:ascii="Arial" w:hAnsi="Arial" w:cs="Arial"/>
          <w:sz w:val="20"/>
          <w:szCs w:val="20"/>
        </w:rPr>
        <w:t>Ktaifan</w:t>
      </w:r>
      <w:proofErr w:type="spellEnd"/>
      <w:r w:rsidRPr="001F5558">
        <w:rPr>
          <w:rFonts w:ascii="Arial" w:hAnsi="Arial" w:cs="Arial"/>
          <w:sz w:val="20"/>
          <w:szCs w:val="20"/>
        </w:rPr>
        <w:t xml:space="preserve">, M., Awawdeh, A., Khattab, K., Leoni, M. L. G., &amp; </w:t>
      </w:r>
      <w:proofErr w:type="spellStart"/>
      <w:r w:rsidRPr="001F5558">
        <w:rPr>
          <w:rFonts w:ascii="Arial" w:hAnsi="Arial" w:cs="Arial"/>
          <w:sz w:val="20"/>
          <w:szCs w:val="20"/>
        </w:rPr>
        <w:t>Varrassi</w:t>
      </w:r>
      <w:proofErr w:type="spellEnd"/>
      <w:r w:rsidRPr="001F5558">
        <w:rPr>
          <w:rFonts w:ascii="Arial" w:hAnsi="Arial" w:cs="Arial"/>
          <w:sz w:val="20"/>
          <w:szCs w:val="20"/>
        </w:rPr>
        <w:t>, G. (2025). Hypertensive Nephrosclerosis: Pathological Changes and Overlap with Diabetic Nephropathy. </w:t>
      </w:r>
      <w:r w:rsidRPr="001F5558">
        <w:rPr>
          <w:rFonts w:ascii="Arial" w:hAnsi="Arial" w:cs="Arial"/>
          <w:i/>
          <w:iCs/>
          <w:sz w:val="20"/>
          <w:szCs w:val="20"/>
        </w:rPr>
        <w:t>Cureus</w:t>
      </w:r>
      <w:r w:rsidRPr="001F5558">
        <w:rPr>
          <w:rFonts w:ascii="Arial" w:hAnsi="Arial" w:cs="Arial"/>
          <w:sz w:val="20"/>
          <w:szCs w:val="20"/>
        </w:rPr>
        <w:t>, </w:t>
      </w:r>
      <w:r w:rsidRPr="001F5558">
        <w:rPr>
          <w:rFonts w:ascii="Arial" w:hAnsi="Arial" w:cs="Arial"/>
          <w:i/>
          <w:iCs/>
          <w:sz w:val="20"/>
          <w:szCs w:val="20"/>
        </w:rPr>
        <w:t>17</w:t>
      </w:r>
      <w:r w:rsidRPr="001F5558">
        <w:rPr>
          <w:rFonts w:ascii="Arial" w:hAnsi="Arial" w:cs="Arial"/>
          <w:sz w:val="20"/>
          <w:szCs w:val="20"/>
        </w:rPr>
        <w:t>(9), e92949. https://doi.org/10.7759/cureus.92949</w:t>
      </w:r>
    </w:p>
    <w:p w14:paraId="2A8BFA7A" w14:textId="5D710F82" w:rsidR="00602E6C" w:rsidRPr="001F5558" w:rsidRDefault="00602E6C" w:rsidP="00602E6C">
      <w:pPr>
        <w:shd w:val="clear" w:color="auto" w:fill="FFFFFF"/>
        <w:spacing w:after="120" w:line="240" w:lineRule="auto"/>
        <w:ind w:left="567" w:hanging="567"/>
        <w:jc w:val="both"/>
        <w:rPr>
          <w:rFonts w:ascii="Arial" w:hAnsi="Arial" w:cs="Arial"/>
          <w:sz w:val="20"/>
          <w:szCs w:val="20"/>
        </w:rPr>
      </w:pPr>
      <w:r w:rsidRPr="001F5558">
        <w:rPr>
          <w:rFonts w:ascii="Arial" w:hAnsi="Arial" w:cs="Arial"/>
          <w:sz w:val="20"/>
          <w:szCs w:val="20"/>
        </w:rPr>
        <w:t xml:space="preserve">Riaz, A. A., Abrar, Z., Cheema, F. F., Ayesha, N., </w:t>
      </w:r>
      <w:proofErr w:type="spellStart"/>
      <w:r w:rsidRPr="001F5558">
        <w:rPr>
          <w:rFonts w:ascii="Arial" w:hAnsi="Arial" w:cs="Arial"/>
          <w:sz w:val="20"/>
          <w:szCs w:val="20"/>
        </w:rPr>
        <w:t>Khoont</w:t>
      </w:r>
      <w:proofErr w:type="spellEnd"/>
      <w:r w:rsidRPr="001F5558">
        <w:rPr>
          <w:rFonts w:ascii="Arial" w:hAnsi="Arial" w:cs="Arial"/>
          <w:sz w:val="20"/>
          <w:szCs w:val="20"/>
        </w:rPr>
        <w:t xml:space="preserve">, D., Fatima, Z., </w:t>
      </w:r>
      <w:r w:rsidR="00C42A3A" w:rsidRPr="001F5558">
        <w:rPr>
          <w:rFonts w:ascii="Arial" w:hAnsi="Arial" w:cs="Arial"/>
          <w:sz w:val="20"/>
          <w:szCs w:val="20"/>
        </w:rPr>
        <w:t xml:space="preserve">et al. </w:t>
      </w:r>
      <w:r w:rsidRPr="001F5558">
        <w:rPr>
          <w:rFonts w:ascii="Arial" w:hAnsi="Arial" w:cs="Arial"/>
          <w:sz w:val="20"/>
          <w:szCs w:val="20"/>
        </w:rPr>
        <w:t>(2025). Safety and efficacy of novel potassium binders for chronic hyperkalemia: a systematic review and meta-analysis of randomized controlled trials. </w:t>
      </w:r>
      <w:r w:rsidRPr="001F5558">
        <w:rPr>
          <w:rFonts w:ascii="Arial" w:hAnsi="Arial" w:cs="Arial"/>
          <w:i/>
          <w:iCs/>
          <w:sz w:val="20"/>
          <w:szCs w:val="20"/>
        </w:rPr>
        <w:t>Proceedings (Baylor University. Medical Center)</w:t>
      </w:r>
      <w:r w:rsidRPr="001F5558">
        <w:rPr>
          <w:rFonts w:ascii="Arial" w:hAnsi="Arial" w:cs="Arial"/>
          <w:sz w:val="20"/>
          <w:szCs w:val="20"/>
        </w:rPr>
        <w:t>, </w:t>
      </w:r>
      <w:r w:rsidRPr="001F5558">
        <w:rPr>
          <w:rFonts w:ascii="Arial" w:hAnsi="Arial" w:cs="Arial"/>
          <w:i/>
          <w:iCs/>
          <w:sz w:val="20"/>
          <w:szCs w:val="20"/>
        </w:rPr>
        <w:t>39</w:t>
      </w:r>
      <w:r w:rsidRPr="001F5558">
        <w:rPr>
          <w:rFonts w:ascii="Arial" w:hAnsi="Arial" w:cs="Arial"/>
          <w:sz w:val="20"/>
          <w:szCs w:val="20"/>
        </w:rPr>
        <w:t>(1), 110–118. https://doi.org/10.1080/08998280.2025.2581466</w:t>
      </w:r>
    </w:p>
    <w:p w14:paraId="5714D55D" w14:textId="1C77614C" w:rsidR="00602E6C" w:rsidRPr="001F5558" w:rsidRDefault="00602E6C" w:rsidP="00602E6C">
      <w:pPr>
        <w:shd w:val="clear" w:color="auto" w:fill="FFFFFF"/>
        <w:spacing w:after="120" w:line="240" w:lineRule="auto"/>
        <w:ind w:left="567" w:hanging="567"/>
        <w:jc w:val="both"/>
        <w:rPr>
          <w:rFonts w:ascii="Arial" w:hAnsi="Arial" w:cs="Arial"/>
          <w:sz w:val="20"/>
          <w:szCs w:val="20"/>
        </w:rPr>
      </w:pPr>
      <w:r w:rsidRPr="001F5558">
        <w:rPr>
          <w:rFonts w:ascii="Arial" w:hAnsi="Arial" w:cs="Arial"/>
          <w:sz w:val="20"/>
          <w:szCs w:val="20"/>
        </w:rPr>
        <w:t xml:space="preserve">Sánchez-Ospina, D., Romero-Cote, M., Criado-Bellido, L., Saez-Calero, M. I., Hijazi-Prieto, B., Delgado-Cuesta, S., </w:t>
      </w:r>
      <w:r w:rsidR="001F4D9C" w:rsidRPr="001F5558">
        <w:rPr>
          <w:rFonts w:ascii="Arial" w:hAnsi="Arial" w:cs="Arial"/>
          <w:sz w:val="20"/>
          <w:szCs w:val="20"/>
        </w:rPr>
        <w:t xml:space="preserve">et al. </w:t>
      </w:r>
      <w:r w:rsidRPr="001F5558">
        <w:rPr>
          <w:rFonts w:ascii="Arial" w:hAnsi="Arial" w:cs="Arial"/>
          <w:sz w:val="20"/>
          <w:szCs w:val="20"/>
        </w:rPr>
        <w:t>(2025). Loop diuretics in anuric hemodialysis patients for the clearance of protein-bound uremic toxins. </w:t>
      </w:r>
      <w:r w:rsidRPr="001F5558">
        <w:rPr>
          <w:rFonts w:ascii="Arial" w:hAnsi="Arial" w:cs="Arial"/>
          <w:i/>
          <w:iCs/>
          <w:sz w:val="20"/>
          <w:szCs w:val="20"/>
        </w:rPr>
        <w:t>Clinical kidney journal</w:t>
      </w:r>
      <w:r w:rsidRPr="001F5558">
        <w:rPr>
          <w:rFonts w:ascii="Arial" w:hAnsi="Arial" w:cs="Arial"/>
          <w:sz w:val="20"/>
          <w:szCs w:val="20"/>
        </w:rPr>
        <w:t>, </w:t>
      </w:r>
      <w:r w:rsidRPr="001F5558">
        <w:rPr>
          <w:rFonts w:ascii="Arial" w:hAnsi="Arial" w:cs="Arial"/>
          <w:i/>
          <w:iCs/>
          <w:sz w:val="20"/>
          <w:szCs w:val="20"/>
        </w:rPr>
        <w:t>18</w:t>
      </w:r>
      <w:r w:rsidRPr="001F5558">
        <w:rPr>
          <w:rFonts w:ascii="Arial" w:hAnsi="Arial" w:cs="Arial"/>
          <w:sz w:val="20"/>
          <w:szCs w:val="20"/>
        </w:rPr>
        <w:t>(7), sfaf195. https://doi.org/10.1093/ckj/sfaf195</w:t>
      </w:r>
    </w:p>
    <w:p w14:paraId="554A2FB8" w14:textId="77777777" w:rsidR="00602E6C" w:rsidRPr="001F5558" w:rsidRDefault="00602E6C" w:rsidP="00602E6C">
      <w:pPr>
        <w:shd w:val="clear" w:color="auto" w:fill="FFFFFF"/>
        <w:spacing w:after="120" w:line="240" w:lineRule="auto"/>
        <w:ind w:left="567" w:hanging="567"/>
        <w:jc w:val="both"/>
        <w:rPr>
          <w:rFonts w:ascii="Arial" w:hAnsi="Arial" w:cs="Arial"/>
          <w:sz w:val="20"/>
          <w:szCs w:val="20"/>
        </w:rPr>
      </w:pPr>
      <w:r w:rsidRPr="001F5558">
        <w:rPr>
          <w:rFonts w:ascii="Arial" w:hAnsi="Arial" w:cs="Arial"/>
          <w:sz w:val="20"/>
          <w:szCs w:val="20"/>
        </w:rPr>
        <w:t xml:space="preserve">Schmieder R. E. (2025). 2025 Update on resistant hypertension in CKD: where do we stand and where do we </w:t>
      </w:r>
      <w:proofErr w:type="gramStart"/>
      <w:r w:rsidRPr="001F5558">
        <w:rPr>
          <w:rFonts w:ascii="Arial" w:hAnsi="Arial" w:cs="Arial"/>
          <w:sz w:val="20"/>
          <w:szCs w:val="20"/>
        </w:rPr>
        <w:t>go?.</w:t>
      </w:r>
      <w:proofErr w:type="gramEnd"/>
      <w:r w:rsidRPr="001F5558">
        <w:rPr>
          <w:rFonts w:ascii="Arial" w:hAnsi="Arial" w:cs="Arial"/>
          <w:sz w:val="20"/>
          <w:szCs w:val="20"/>
        </w:rPr>
        <w:t> </w:t>
      </w:r>
      <w:r w:rsidRPr="001F5558">
        <w:rPr>
          <w:rFonts w:ascii="Arial" w:hAnsi="Arial" w:cs="Arial"/>
          <w:i/>
          <w:iCs/>
          <w:sz w:val="20"/>
          <w:szCs w:val="20"/>
        </w:rPr>
        <w:t>Clinical kidney journal</w:t>
      </w:r>
      <w:r w:rsidRPr="001F5558">
        <w:rPr>
          <w:rFonts w:ascii="Arial" w:hAnsi="Arial" w:cs="Arial"/>
          <w:sz w:val="20"/>
          <w:szCs w:val="20"/>
        </w:rPr>
        <w:t>, </w:t>
      </w:r>
      <w:r w:rsidRPr="001F5558">
        <w:rPr>
          <w:rFonts w:ascii="Arial" w:hAnsi="Arial" w:cs="Arial"/>
          <w:i/>
          <w:iCs/>
          <w:sz w:val="20"/>
          <w:szCs w:val="20"/>
        </w:rPr>
        <w:t>18</w:t>
      </w:r>
      <w:r w:rsidRPr="001F5558">
        <w:rPr>
          <w:rFonts w:ascii="Arial" w:hAnsi="Arial" w:cs="Arial"/>
          <w:sz w:val="20"/>
          <w:szCs w:val="20"/>
        </w:rPr>
        <w:t>(Suppl 2), ii10–ii16. https://doi.org/10.1093/ckj/sfaf285</w:t>
      </w:r>
    </w:p>
    <w:p w14:paraId="1A158501" w14:textId="77777777" w:rsidR="00602E6C" w:rsidRPr="001F5558" w:rsidRDefault="00602E6C" w:rsidP="00602E6C">
      <w:pPr>
        <w:shd w:val="clear" w:color="auto" w:fill="FFFFFF"/>
        <w:spacing w:after="120" w:line="240" w:lineRule="auto"/>
        <w:ind w:left="567" w:hanging="567"/>
        <w:jc w:val="both"/>
        <w:rPr>
          <w:rFonts w:ascii="Arial" w:hAnsi="Arial" w:cs="Arial"/>
          <w:sz w:val="20"/>
          <w:szCs w:val="20"/>
        </w:rPr>
      </w:pPr>
      <w:r w:rsidRPr="001F5558">
        <w:rPr>
          <w:rFonts w:ascii="Arial" w:hAnsi="Arial" w:cs="Arial"/>
          <w:sz w:val="20"/>
          <w:szCs w:val="20"/>
        </w:rPr>
        <w:t xml:space="preserve">Singh B, Cusick AS, Goyal A, et al. ACE Inhibitors. [Updated 2025 May 4]. In: </w:t>
      </w:r>
      <w:proofErr w:type="spellStart"/>
      <w:r w:rsidRPr="001F5558">
        <w:rPr>
          <w:rFonts w:ascii="Arial" w:hAnsi="Arial" w:cs="Arial"/>
          <w:sz w:val="20"/>
          <w:szCs w:val="20"/>
        </w:rPr>
        <w:t>StatPearls</w:t>
      </w:r>
      <w:proofErr w:type="spellEnd"/>
      <w:r w:rsidRPr="001F5558">
        <w:rPr>
          <w:rFonts w:ascii="Arial" w:hAnsi="Arial" w:cs="Arial"/>
          <w:sz w:val="20"/>
          <w:szCs w:val="20"/>
        </w:rPr>
        <w:t xml:space="preserve"> [Internet]. Treasure Island (FL): </w:t>
      </w:r>
      <w:proofErr w:type="spellStart"/>
      <w:r w:rsidRPr="001F5558">
        <w:rPr>
          <w:rFonts w:ascii="Arial" w:hAnsi="Arial" w:cs="Arial"/>
          <w:sz w:val="20"/>
          <w:szCs w:val="20"/>
        </w:rPr>
        <w:t>StatPearls</w:t>
      </w:r>
      <w:proofErr w:type="spellEnd"/>
      <w:r w:rsidRPr="001F5558">
        <w:rPr>
          <w:rFonts w:ascii="Arial" w:hAnsi="Arial" w:cs="Arial"/>
          <w:sz w:val="20"/>
          <w:szCs w:val="20"/>
        </w:rPr>
        <w:t xml:space="preserve"> Publishing; 2026 Jan-. Available from: https://www.ncbi.nlm.nih.gov/books/NBK430896/</w:t>
      </w:r>
    </w:p>
    <w:p w14:paraId="469C4510" w14:textId="77777777" w:rsidR="00602E6C" w:rsidRPr="001F5558" w:rsidRDefault="00602E6C" w:rsidP="00602E6C">
      <w:pPr>
        <w:shd w:val="clear" w:color="auto" w:fill="FFFFFF"/>
        <w:spacing w:after="120" w:line="240" w:lineRule="auto"/>
        <w:ind w:left="567" w:hanging="567"/>
        <w:jc w:val="both"/>
        <w:rPr>
          <w:rFonts w:ascii="Arial" w:hAnsi="Arial" w:cs="Arial"/>
          <w:sz w:val="20"/>
          <w:szCs w:val="20"/>
        </w:rPr>
      </w:pPr>
      <w:r w:rsidRPr="001F5558">
        <w:rPr>
          <w:rFonts w:ascii="Arial" w:hAnsi="Arial" w:cs="Arial"/>
          <w:sz w:val="20"/>
          <w:szCs w:val="20"/>
        </w:rPr>
        <w:t>Solis-Herrera, C., &amp; Triplitt, C. (2024). Non-steroidal mineralocorticoid receptor antagonists in patients with chronic kidney disease and type 2 diabetes. </w:t>
      </w:r>
      <w:r w:rsidRPr="001F5558">
        <w:rPr>
          <w:rFonts w:ascii="Arial" w:hAnsi="Arial" w:cs="Arial"/>
          <w:i/>
          <w:iCs/>
          <w:sz w:val="20"/>
          <w:szCs w:val="20"/>
        </w:rPr>
        <w:t>Diabetes, obesity &amp; metabolism</w:t>
      </w:r>
      <w:r w:rsidRPr="001F5558">
        <w:rPr>
          <w:rFonts w:ascii="Arial" w:hAnsi="Arial" w:cs="Arial"/>
          <w:sz w:val="20"/>
          <w:szCs w:val="20"/>
        </w:rPr>
        <w:t>, </w:t>
      </w:r>
      <w:r w:rsidRPr="001F5558">
        <w:rPr>
          <w:rFonts w:ascii="Arial" w:hAnsi="Arial" w:cs="Arial"/>
          <w:i/>
          <w:iCs/>
          <w:sz w:val="20"/>
          <w:szCs w:val="20"/>
        </w:rPr>
        <w:t>26</w:t>
      </w:r>
      <w:r w:rsidRPr="001F5558">
        <w:rPr>
          <w:rFonts w:ascii="Arial" w:hAnsi="Arial" w:cs="Arial"/>
          <w:sz w:val="20"/>
          <w:szCs w:val="20"/>
        </w:rPr>
        <w:t>(2), 417–430. https://doi.org/10.1111/dom.15327</w:t>
      </w:r>
    </w:p>
    <w:p w14:paraId="74125E83" w14:textId="77777777" w:rsidR="00602E6C" w:rsidRPr="001F5558" w:rsidRDefault="00602E6C" w:rsidP="00602E6C">
      <w:pPr>
        <w:shd w:val="clear" w:color="auto" w:fill="FFFFFF"/>
        <w:spacing w:after="120" w:line="240" w:lineRule="auto"/>
        <w:ind w:left="567" w:hanging="567"/>
        <w:jc w:val="both"/>
        <w:rPr>
          <w:rFonts w:ascii="Arial" w:hAnsi="Arial" w:cs="Arial"/>
          <w:sz w:val="20"/>
          <w:szCs w:val="20"/>
        </w:rPr>
      </w:pPr>
      <w:r w:rsidRPr="001F5558">
        <w:rPr>
          <w:rFonts w:ascii="Arial" w:hAnsi="Arial" w:cs="Arial"/>
          <w:sz w:val="20"/>
          <w:szCs w:val="20"/>
        </w:rPr>
        <w:t xml:space="preserve">Steuber, T. D., Lee, J., Holloway, A., &amp; Andrus, M. R. (2019). </w:t>
      </w:r>
      <w:proofErr w:type="spellStart"/>
      <w:r w:rsidRPr="001F5558">
        <w:rPr>
          <w:rFonts w:ascii="Arial" w:hAnsi="Arial" w:cs="Arial"/>
          <w:sz w:val="20"/>
          <w:szCs w:val="20"/>
        </w:rPr>
        <w:t>Nondihydropyridine</w:t>
      </w:r>
      <w:proofErr w:type="spellEnd"/>
      <w:r w:rsidRPr="001F5558">
        <w:rPr>
          <w:rFonts w:ascii="Arial" w:hAnsi="Arial" w:cs="Arial"/>
          <w:sz w:val="20"/>
          <w:szCs w:val="20"/>
        </w:rPr>
        <w:t xml:space="preserve"> Calcium Channel Blockers for the Treatment of Proteinuria: A Review of the Literature. </w:t>
      </w:r>
      <w:r w:rsidRPr="001F5558">
        <w:rPr>
          <w:rFonts w:ascii="Arial" w:hAnsi="Arial" w:cs="Arial"/>
          <w:i/>
          <w:iCs/>
          <w:sz w:val="20"/>
          <w:szCs w:val="20"/>
        </w:rPr>
        <w:t>The Annals of pharmacotherapy</w:t>
      </w:r>
      <w:r w:rsidRPr="001F5558">
        <w:rPr>
          <w:rFonts w:ascii="Arial" w:hAnsi="Arial" w:cs="Arial"/>
          <w:sz w:val="20"/>
          <w:szCs w:val="20"/>
        </w:rPr>
        <w:t>, </w:t>
      </w:r>
      <w:r w:rsidRPr="001F5558">
        <w:rPr>
          <w:rFonts w:ascii="Arial" w:hAnsi="Arial" w:cs="Arial"/>
          <w:i/>
          <w:iCs/>
          <w:sz w:val="20"/>
          <w:szCs w:val="20"/>
        </w:rPr>
        <w:t>53</w:t>
      </w:r>
      <w:r w:rsidRPr="001F5558">
        <w:rPr>
          <w:rFonts w:ascii="Arial" w:hAnsi="Arial" w:cs="Arial"/>
          <w:sz w:val="20"/>
          <w:szCs w:val="20"/>
        </w:rPr>
        <w:t>(10), 1050–1059. https://doi.org/10.1177/1060028019843644</w:t>
      </w:r>
    </w:p>
    <w:p w14:paraId="7FC0B069" w14:textId="30C58770" w:rsidR="00602E6C" w:rsidRPr="001F5558" w:rsidRDefault="00602E6C" w:rsidP="00602E6C">
      <w:pPr>
        <w:shd w:val="clear" w:color="auto" w:fill="FFFFFF"/>
        <w:spacing w:after="120" w:line="240" w:lineRule="auto"/>
        <w:ind w:left="567" w:hanging="567"/>
        <w:jc w:val="both"/>
        <w:rPr>
          <w:rFonts w:ascii="Arial" w:hAnsi="Arial" w:cs="Arial"/>
          <w:sz w:val="20"/>
          <w:szCs w:val="20"/>
        </w:rPr>
      </w:pPr>
      <w:r w:rsidRPr="001F5558">
        <w:rPr>
          <w:rFonts w:ascii="Arial" w:hAnsi="Arial" w:cs="Arial"/>
          <w:sz w:val="20"/>
          <w:szCs w:val="20"/>
        </w:rPr>
        <w:t xml:space="preserve">Stracke, S., Wille, J., Smolka, A., Henkel, R., Shiferaw, K. B., Waltemath, D., </w:t>
      </w:r>
      <w:r w:rsidR="007F525E" w:rsidRPr="001F5558">
        <w:rPr>
          <w:rFonts w:ascii="Arial" w:hAnsi="Arial" w:cs="Arial"/>
          <w:sz w:val="20"/>
          <w:szCs w:val="20"/>
        </w:rPr>
        <w:t xml:space="preserve">et al. </w:t>
      </w:r>
      <w:r w:rsidRPr="001F5558">
        <w:rPr>
          <w:rFonts w:ascii="Arial" w:hAnsi="Arial" w:cs="Arial"/>
          <w:sz w:val="20"/>
          <w:szCs w:val="20"/>
        </w:rPr>
        <w:t>(2026). Sex and Gender Differences in Chronic Kidney Disease-Explained by the Brenner-Luyckx Concept of Hyperfiltration. </w:t>
      </w:r>
      <w:r w:rsidRPr="001F5558">
        <w:rPr>
          <w:rFonts w:ascii="Arial" w:hAnsi="Arial" w:cs="Arial"/>
          <w:i/>
          <w:iCs/>
          <w:sz w:val="20"/>
          <w:szCs w:val="20"/>
        </w:rPr>
        <w:t>Journal of clinical medicine</w:t>
      </w:r>
      <w:r w:rsidRPr="001F5558">
        <w:rPr>
          <w:rFonts w:ascii="Arial" w:hAnsi="Arial" w:cs="Arial"/>
          <w:sz w:val="20"/>
          <w:szCs w:val="20"/>
        </w:rPr>
        <w:t>, </w:t>
      </w:r>
      <w:r w:rsidRPr="001F5558">
        <w:rPr>
          <w:rFonts w:ascii="Arial" w:hAnsi="Arial" w:cs="Arial"/>
          <w:i/>
          <w:iCs/>
          <w:sz w:val="20"/>
          <w:szCs w:val="20"/>
        </w:rPr>
        <w:t>15</w:t>
      </w:r>
      <w:r w:rsidRPr="001F5558">
        <w:rPr>
          <w:rFonts w:ascii="Arial" w:hAnsi="Arial" w:cs="Arial"/>
          <w:sz w:val="20"/>
          <w:szCs w:val="20"/>
        </w:rPr>
        <w:t>(4), 1654. https://doi.org/10.3390/jcm15041654</w:t>
      </w:r>
    </w:p>
    <w:p w14:paraId="1E3CB0D8" w14:textId="798AEC51" w:rsidR="00602E6C" w:rsidRPr="001F5558" w:rsidRDefault="00602E6C" w:rsidP="00602E6C">
      <w:pPr>
        <w:shd w:val="clear" w:color="auto" w:fill="FFFFFF"/>
        <w:spacing w:after="120" w:line="240" w:lineRule="auto"/>
        <w:ind w:left="567" w:hanging="567"/>
        <w:jc w:val="both"/>
        <w:rPr>
          <w:rFonts w:ascii="Arial" w:hAnsi="Arial" w:cs="Arial"/>
          <w:sz w:val="20"/>
          <w:szCs w:val="20"/>
        </w:rPr>
      </w:pPr>
      <w:r w:rsidRPr="001F5558">
        <w:rPr>
          <w:rFonts w:ascii="Arial" w:hAnsi="Arial" w:cs="Arial"/>
          <w:sz w:val="20"/>
          <w:szCs w:val="20"/>
        </w:rPr>
        <w:t xml:space="preserve">Talukdar, R., Ajayan, R., Gupta, S., Biswas, S., Parveen, M., Sadhukhan, D., </w:t>
      </w:r>
      <w:r w:rsidR="007F525E" w:rsidRPr="001F5558">
        <w:rPr>
          <w:rFonts w:ascii="Arial" w:hAnsi="Arial" w:cs="Arial"/>
          <w:sz w:val="20"/>
          <w:szCs w:val="20"/>
        </w:rPr>
        <w:t xml:space="preserve">et al. </w:t>
      </w:r>
      <w:r w:rsidRPr="001F5558">
        <w:rPr>
          <w:rFonts w:ascii="Arial" w:hAnsi="Arial" w:cs="Arial"/>
          <w:sz w:val="20"/>
          <w:szCs w:val="20"/>
        </w:rPr>
        <w:t xml:space="preserve">(2025). Chronic Kidney Disease Prevalence in India: A Systematic Review and Meta-Analysis </w:t>
      </w:r>
      <w:proofErr w:type="gramStart"/>
      <w:r w:rsidRPr="001F5558">
        <w:rPr>
          <w:rFonts w:ascii="Arial" w:hAnsi="Arial" w:cs="Arial"/>
          <w:sz w:val="20"/>
          <w:szCs w:val="20"/>
        </w:rPr>
        <w:t>From</w:t>
      </w:r>
      <w:proofErr w:type="gramEnd"/>
      <w:r w:rsidRPr="001F5558">
        <w:rPr>
          <w:rFonts w:ascii="Arial" w:hAnsi="Arial" w:cs="Arial"/>
          <w:sz w:val="20"/>
          <w:szCs w:val="20"/>
        </w:rPr>
        <w:t xml:space="preserve"> Community-Based Representative Evidence Between 2011 to 2023. </w:t>
      </w:r>
      <w:r w:rsidRPr="001F5558">
        <w:rPr>
          <w:rFonts w:ascii="Arial" w:hAnsi="Arial" w:cs="Arial"/>
          <w:i/>
          <w:iCs/>
          <w:sz w:val="20"/>
          <w:szCs w:val="20"/>
        </w:rPr>
        <w:t>Nephrology (Carlton, Vic.)</w:t>
      </w:r>
      <w:r w:rsidRPr="001F5558">
        <w:rPr>
          <w:rFonts w:ascii="Arial" w:hAnsi="Arial" w:cs="Arial"/>
          <w:sz w:val="20"/>
          <w:szCs w:val="20"/>
        </w:rPr>
        <w:t>, </w:t>
      </w:r>
      <w:r w:rsidRPr="001F5558">
        <w:rPr>
          <w:rFonts w:ascii="Arial" w:hAnsi="Arial" w:cs="Arial"/>
          <w:i/>
          <w:iCs/>
          <w:sz w:val="20"/>
          <w:szCs w:val="20"/>
        </w:rPr>
        <w:t>30</w:t>
      </w:r>
      <w:r w:rsidRPr="001F5558">
        <w:rPr>
          <w:rFonts w:ascii="Arial" w:hAnsi="Arial" w:cs="Arial"/>
          <w:sz w:val="20"/>
          <w:szCs w:val="20"/>
        </w:rPr>
        <w:t>(1), e14420. https://doi.org/10.1111/nep.14420</w:t>
      </w:r>
    </w:p>
    <w:p w14:paraId="19591C52" w14:textId="1E9F224F" w:rsidR="00602E6C" w:rsidRPr="001F5558" w:rsidRDefault="00602E6C" w:rsidP="00602E6C">
      <w:pPr>
        <w:shd w:val="clear" w:color="auto" w:fill="FFFFFF"/>
        <w:spacing w:after="120" w:line="240" w:lineRule="auto"/>
        <w:ind w:left="567" w:hanging="567"/>
        <w:jc w:val="both"/>
        <w:rPr>
          <w:rFonts w:ascii="Arial" w:hAnsi="Arial" w:cs="Arial"/>
          <w:sz w:val="20"/>
          <w:szCs w:val="20"/>
        </w:rPr>
      </w:pPr>
      <w:r w:rsidRPr="001F5558">
        <w:rPr>
          <w:rFonts w:ascii="Arial" w:hAnsi="Arial" w:cs="Arial"/>
          <w:sz w:val="20"/>
          <w:szCs w:val="20"/>
        </w:rPr>
        <w:t xml:space="preserve">Teles, F., Peçanha de Miranda Coelho, J. A., Albino, R. M., </w:t>
      </w:r>
      <w:proofErr w:type="spellStart"/>
      <w:r w:rsidRPr="001F5558">
        <w:rPr>
          <w:rFonts w:ascii="Arial" w:hAnsi="Arial" w:cs="Arial"/>
          <w:sz w:val="20"/>
          <w:szCs w:val="20"/>
        </w:rPr>
        <w:t>Verçosa</w:t>
      </w:r>
      <w:proofErr w:type="spellEnd"/>
      <w:r w:rsidRPr="001F5558">
        <w:rPr>
          <w:rFonts w:ascii="Arial" w:hAnsi="Arial" w:cs="Arial"/>
          <w:sz w:val="20"/>
          <w:szCs w:val="20"/>
        </w:rPr>
        <w:t xml:space="preserve"> Pacheco, F. C., Rodrigues de Oliveira, E., Silveira, M. A. D., </w:t>
      </w:r>
      <w:r w:rsidR="007F525E" w:rsidRPr="001F5558">
        <w:rPr>
          <w:rFonts w:ascii="Arial" w:hAnsi="Arial" w:cs="Arial"/>
          <w:sz w:val="20"/>
          <w:szCs w:val="20"/>
        </w:rPr>
        <w:t xml:space="preserve">et al. </w:t>
      </w:r>
      <w:r w:rsidRPr="001F5558">
        <w:rPr>
          <w:rFonts w:ascii="Arial" w:hAnsi="Arial" w:cs="Arial"/>
          <w:sz w:val="20"/>
          <w:szCs w:val="20"/>
        </w:rPr>
        <w:t>(2023). Effectiveness of thiazide and thiazide-like diuretics in advanced chronic kidney disease: a systematic review and meta-analysis. </w:t>
      </w:r>
      <w:r w:rsidRPr="001F5558">
        <w:rPr>
          <w:rFonts w:ascii="Arial" w:hAnsi="Arial" w:cs="Arial"/>
          <w:i/>
          <w:iCs/>
          <w:sz w:val="20"/>
          <w:szCs w:val="20"/>
        </w:rPr>
        <w:t>Renal failure</w:t>
      </w:r>
      <w:r w:rsidRPr="001F5558">
        <w:rPr>
          <w:rFonts w:ascii="Arial" w:hAnsi="Arial" w:cs="Arial"/>
          <w:sz w:val="20"/>
          <w:szCs w:val="20"/>
        </w:rPr>
        <w:t>, </w:t>
      </w:r>
      <w:r w:rsidRPr="001F5558">
        <w:rPr>
          <w:rFonts w:ascii="Arial" w:hAnsi="Arial" w:cs="Arial"/>
          <w:i/>
          <w:iCs/>
          <w:sz w:val="20"/>
          <w:szCs w:val="20"/>
        </w:rPr>
        <w:t>45</w:t>
      </w:r>
      <w:r w:rsidRPr="001F5558">
        <w:rPr>
          <w:rFonts w:ascii="Arial" w:hAnsi="Arial" w:cs="Arial"/>
          <w:sz w:val="20"/>
          <w:szCs w:val="20"/>
        </w:rPr>
        <w:t>(1), 2163903. https://doi.org/10.1080/0886022X.2022.2163903</w:t>
      </w:r>
    </w:p>
    <w:p w14:paraId="0AA04511" w14:textId="77777777" w:rsidR="00602E6C" w:rsidRPr="001F5558" w:rsidRDefault="00602E6C" w:rsidP="00602E6C">
      <w:pPr>
        <w:shd w:val="clear" w:color="auto" w:fill="FFFFFF"/>
        <w:spacing w:after="120" w:line="240" w:lineRule="auto"/>
        <w:ind w:left="567" w:hanging="567"/>
        <w:jc w:val="both"/>
        <w:rPr>
          <w:rFonts w:ascii="Arial" w:hAnsi="Arial" w:cs="Arial"/>
          <w:sz w:val="20"/>
          <w:szCs w:val="20"/>
        </w:rPr>
      </w:pPr>
      <w:proofErr w:type="spellStart"/>
      <w:r w:rsidRPr="001F5558">
        <w:rPr>
          <w:rFonts w:ascii="Arial" w:hAnsi="Arial" w:cs="Arial"/>
          <w:sz w:val="20"/>
          <w:szCs w:val="20"/>
        </w:rPr>
        <w:t>Theodorakopoulou</w:t>
      </w:r>
      <w:proofErr w:type="spellEnd"/>
      <w:r w:rsidRPr="001F5558">
        <w:rPr>
          <w:rFonts w:ascii="Arial" w:hAnsi="Arial" w:cs="Arial"/>
          <w:sz w:val="20"/>
          <w:szCs w:val="20"/>
        </w:rPr>
        <w:t xml:space="preserve">, M., Ortiz, A., Fernandez-Fernandez, B., </w:t>
      </w:r>
      <w:proofErr w:type="spellStart"/>
      <w:r w:rsidRPr="001F5558">
        <w:rPr>
          <w:rFonts w:ascii="Arial" w:hAnsi="Arial" w:cs="Arial"/>
          <w:sz w:val="20"/>
          <w:szCs w:val="20"/>
        </w:rPr>
        <w:t>Kanbay</w:t>
      </w:r>
      <w:proofErr w:type="spellEnd"/>
      <w:r w:rsidRPr="001F5558">
        <w:rPr>
          <w:rFonts w:ascii="Arial" w:hAnsi="Arial" w:cs="Arial"/>
          <w:sz w:val="20"/>
          <w:szCs w:val="20"/>
        </w:rPr>
        <w:t xml:space="preserve">, M., Minutolo, R., &amp; </w:t>
      </w:r>
      <w:proofErr w:type="spellStart"/>
      <w:r w:rsidRPr="001F5558">
        <w:rPr>
          <w:rFonts w:ascii="Arial" w:hAnsi="Arial" w:cs="Arial"/>
          <w:sz w:val="20"/>
          <w:szCs w:val="20"/>
        </w:rPr>
        <w:t>Sarafidis</w:t>
      </w:r>
      <w:proofErr w:type="spellEnd"/>
      <w:r w:rsidRPr="001F5558">
        <w:rPr>
          <w:rFonts w:ascii="Arial" w:hAnsi="Arial" w:cs="Arial"/>
          <w:sz w:val="20"/>
          <w:szCs w:val="20"/>
        </w:rPr>
        <w:t xml:space="preserve">, P. A. (2024). Guidelines for the management of hypertension in CKD patients: where do we stand in </w:t>
      </w:r>
      <w:proofErr w:type="gramStart"/>
      <w:r w:rsidRPr="001F5558">
        <w:rPr>
          <w:rFonts w:ascii="Arial" w:hAnsi="Arial" w:cs="Arial"/>
          <w:sz w:val="20"/>
          <w:szCs w:val="20"/>
        </w:rPr>
        <w:t>2024?.</w:t>
      </w:r>
      <w:proofErr w:type="gramEnd"/>
      <w:r w:rsidRPr="001F5558">
        <w:rPr>
          <w:rFonts w:ascii="Arial" w:hAnsi="Arial" w:cs="Arial"/>
          <w:sz w:val="20"/>
          <w:szCs w:val="20"/>
        </w:rPr>
        <w:t> </w:t>
      </w:r>
      <w:r w:rsidRPr="001F5558">
        <w:rPr>
          <w:rFonts w:ascii="Arial" w:hAnsi="Arial" w:cs="Arial"/>
          <w:i/>
          <w:iCs/>
          <w:sz w:val="20"/>
          <w:szCs w:val="20"/>
        </w:rPr>
        <w:t>Clinical kidney journal</w:t>
      </w:r>
      <w:r w:rsidRPr="001F5558">
        <w:rPr>
          <w:rFonts w:ascii="Arial" w:hAnsi="Arial" w:cs="Arial"/>
          <w:sz w:val="20"/>
          <w:szCs w:val="20"/>
        </w:rPr>
        <w:t>, </w:t>
      </w:r>
      <w:r w:rsidRPr="001F5558">
        <w:rPr>
          <w:rFonts w:ascii="Arial" w:hAnsi="Arial" w:cs="Arial"/>
          <w:i/>
          <w:iCs/>
          <w:sz w:val="20"/>
          <w:szCs w:val="20"/>
        </w:rPr>
        <w:t>17</w:t>
      </w:r>
      <w:r w:rsidRPr="001F5558">
        <w:rPr>
          <w:rFonts w:ascii="Arial" w:hAnsi="Arial" w:cs="Arial"/>
          <w:sz w:val="20"/>
          <w:szCs w:val="20"/>
        </w:rPr>
        <w:t>(Suppl 2), 36–50. https://doi.org/10.1093/ckj/sfae278</w:t>
      </w:r>
    </w:p>
    <w:p w14:paraId="59D39CB3" w14:textId="53E54909" w:rsidR="00602E6C" w:rsidRPr="001F5558" w:rsidRDefault="00602E6C" w:rsidP="00602E6C">
      <w:pPr>
        <w:shd w:val="clear" w:color="auto" w:fill="FFFFFF"/>
        <w:spacing w:after="120" w:line="240" w:lineRule="auto"/>
        <w:ind w:left="567" w:hanging="567"/>
        <w:jc w:val="both"/>
        <w:rPr>
          <w:rFonts w:ascii="Arial" w:hAnsi="Arial" w:cs="Arial"/>
          <w:sz w:val="20"/>
          <w:szCs w:val="20"/>
        </w:rPr>
      </w:pPr>
      <w:r w:rsidRPr="001F5558">
        <w:rPr>
          <w:rFonts w:ascii="Arial" w:hAnsi="Arial" w:cs="Arial"/>
          <w:sz w:val="20"/>
          <w:szCs w:val="20"/>
        </w:rPr>
        <w:t xml:space="preserve">Uchida, H. A., Wada, J., Motoki, H., Kuwahara, K., Kario, K., Katsuya, T., </w:t>
      </w:r>
      <w:r w:rsidR="006E32AB" w:rsidRPr="001F5558">
        <w:rPr>
          <w:rFonts w:ascii="Arial" w:hAnsi="Arial" w:cs="Arial"/>
          <w:sz w:val="20"/>
          <w:szCs w:val="20"/>
        </w:rPr>
        <w:t xml:space="preserve">et al. </w:t>
      </w:r>
      <w:r w:rsidRPr="001F5558">
        <w:rPr>
          <w:rFonts w:ascii="Arial" w:hAnsi="Arial" w:cs="Arial"/>
          <w:sz w:val="20"/>
          <w:szCs w:val="20"/>
        </w:rPr>
        <w:t xml:space="preserve">(2025). Efficacy and safety of </w:t>
      </w:r>
      <w:proofErr w:type="spellStart"/>
      <w:r w:rsidRPr="001F5558">
        <w:rPr>
          <w:rFonts w:ascii="Arial" w:hAnsi="Arial" w:cs="Arial"/>
          <w:sz w:val="20"/>
          <w:szCs w:val="20"/>
        </w:rPr>
        <w:t>esaxerenone</w:t>
      </w:r>
      <w:proofErr w:type="spellEnd"/>
      <w:r w:rsidRPr="001F5558">
        <w:rPr>
          <w:rFonts w:ascii="Arial" w:hAnsi="Arial" w:cs="Arial"/>
          <w:sz w:val="20"/>
          <w:szCs w:val="20"/>
        </w:rPr>
        <w:t xml:space="preserve"> in hypertensive patients with chronic kidney disease, with or without type 2 diabetes mellitus: a pooled analysis of five clinical studies. Hypertension </w:t>
      </w:r>
      <w:proofErr w:type="gramStart"/>
      <w:r w:rsidRPr="001F5558">
        <w:rPr>
          <w:rFonts w:ascii="Arial" w:hAnsi="Arial" w:cs="Arial"/>
          <w:sz w:val="20"/>
          <w:szCs w:val="20"/>
        </w:rPr>
        <w:t>research :</w:t>
      </w:r>
      <w:proofErr w:type="gramEnd"/>
      <w:r w:rsidRPr="001F5558">
        <w:rPr>
          <w:rFonts w:ascii="Arial" w:hAnsi="Arial" w:cs="Arial"/>
          <w:sz w:val="20"/>
          <w:szCs w:val="20"/>
        </w:rPr>
        <w:t xml:space="preserve"> official journal of the Japanese Society of Hypertension, 48(9), 2413–2426. https://doi.org/10.1038/s41440-025-02259-z</w:t>
      </w:r>
    </w:p>
    <w:p w14:paraId="262F6528" w14:textId="77777777" w:rsidR="00602E6C" w:rsidRPr="001F5558" w:rsidRDefault="00602E6C" w:rsidP="00602E6C">
      <w:pPr>
        <w:shd w:val="clear" w:color="auto" w:fill="FFFFFF"/>
        <w:spacing w:after="120" w:line="240" w:lineRule="auto"/>
        <w:ind w:left="567" w:hanging="567"/>
        <w:jc w:val="both"/>
        <w:rPr>
          <w:rFonts w:ascii="Arial" w:hAnsi="Arial" w:cs="Arial"/>
          <w:sz w:val="20"/>
          <w:szCs w:val="20"/>
        </w:rPr>
      </w:pPr>
      <w:r w:rsidRPr="001F5558">
        <w:rPr>
          <w:rFonts w:ascii="Arial" w:hAnsi="Arial" w:cs="Arial"/>
          <w:sz w:val="20"/>
          <w:szCs w:val="20"/>
        </w:rPr>
        <w:t xml:space="preserve">Wan, N., Rahman, A., &amp; Nishiyama, A. (2021). </w:t>
      </w:r>
      <w:proofErr w:type="spellStart"/>
      <w:r w:rsidRPr="001F5558">
        <w:rPr>
          <w:rFonts w:ascii="Arial" w:hAnsi="Arial" w:cs="Arial"/>
          <w:sz w:val="20"/>
          <w:szCs w:val="20"/>
        </w:rPr>
        <w:t>Esaxerenone</w:t>
      </w:r>
      <w:proofErr w:type="spellEnd"/>
      <w:r w:rsidRPr="001F5558">
        <w:rPr>
          <w:rFonts w:ascii="Arial" w:hAnsi="Arial" w:cs="Arial"/>
          <w:sz w:val="20"/>
          <w:szCs w:val="20"/>
        </w:rPr>
        <w:t>, a novel nonsteroidal mineralocorticoid receptor blocker (MRB) in hypertension and chronic kidney disease. </w:t>
      </w:r>
      <w:r w:rsidRPr="001F5558">
        <w:rPr>
          <w:rFonts w:ascii="Arial" w:hAnsi="Arial" w:cs="Arial"/>
          <w:i/>
          <w:iCs/>
          <w:sz w:val="20"/>
          <w:szCs w:val="20"/>
        </w:rPr>
        <w:t>Journal of human hypertension</w:t>
      </w:r>
      <w:r w:rsidRPr="001F5558">
        <w:rPr>
          <w:rFonts w:ascii="Arial" w:hAnsi="Arial" w:cs="Arial"/>
          <w:sz w:val="20"/>
          <w:szCs w:val="20"/>
        </w:rPr>
        <w:t>, </w:t>
      </w:r>
      <w:r w:rsidRPr="001F5558">
        <w:rPr>
          <w:rFonts w:ascii="Arial" w:hAnsi="Arial" w:cs="Arial"/>
          <w:i/>
          <w:iCs/>
          <w:sz w:val="20"/>
          <w:szCs w:val="20"/>
        </w:rPr>
        <w:t>35</w:t>
      </w:r>
      <w:r w:rsidRPr="001F5558">
        <w:rPr>
          <w:rFonts w:ascii="Arial" w:hAnsi="Arial" w:cs="Arial"/>
          <w:sz w:val="20"/>
          <w:szCs w:val="20"/>
        </w:rPr>
        <w:t>(2), 148–156. https://doi.org/10.1038/s41371-020-0377-6</w:t>
      </w:r>
    </w:p>
    <w:p w14:paraId="0348791D" w14:textId="77777777" w:rsidR="00602E6C" w:rsidRPr="001F5558" w:rsidRDefault="00602E6C" w:rsidP="00602E6C">
      <w:pPr>
        <w:shd w:val="clear" w:color="auto" w:fill="FFFFFF"/>
        <w:spacing w:after="120" w:line="240" w:lineRule="auto"/>
        <w:ind w:left="567" w:hanging="567"/>
        <w:jc w:val="both"/>
        <w:rPr>
          <w:rFonts w:ascii="Arial" w:hAnsi="Arial" w:cs="Arial"/>
          <w:sz w:val="20"/>
          <w:szCs w:val="20"/>
        </w:rPr>
      </w:pPr>
      <w:r w:rsidRPr="001F5558">
        <w:rPr>
          <w:rFonts w:ascii="Arial" w:hAnsi="Arial" w:cs="Arial"/>
          <w:sz w:val="20"/>
          <w:szCs w:val="20"/>
        </w:rPr>
        <w:t>Woo, H. G., Park, M. S., &amp; Song, T. J. (2024). Persistent proteinuria is associated with the occurrence of cardiovascular disease: a nationwide population-based cohort study. </w:t>
      </w:r>
      <w:r w:rsidRPr="001F5558">
        <w:rPr>
          <w:rFonts w:ascii="Arial" w:hAnsi="Arial" w:cs="Arial"/>
          <w:i/>
          <w:iCs/>
          <w:sz w:val="20"/>
          <w:szCs w:val="20"/>
        </w:rPr>
        <w:t>Scientific reports</w:t>
      </w:r>
      <w:r w:rsidRPr="001F5558">
        <w:rPr>
          <w:rFonts w:ascii="Arial" w:hAnsi="Arial" w:cs="Arial"/>
          <w:sz w:val="20"/>
          <w:szCs w:val="20"/>
        </w:rPr>
        <w:t>, </w:t>
      </w:r>
      <w:r w:rsidRPr="001F5558">
        <w:rPr>
          <w:rFonts w:ascii="Arial" w:hAnsi="Arial" w:cs="Arial"/>
          <w:i/>
          <w:iCs/>
          <w:sz w:val="20"/>
          <w:szCs w:val="20"/>
        </w:rPr>
        <w:t>14</w:t>
      </w:r>
      <w:r w:rsidRPr="001F5558">
        <w:rPr>
          <w:rFonts w:ascii="Arial" w:hAnsi="Arial" w:cs="Arial"/>
          <w:sz w:val="20"/>
          <w:szCs w:val="20"/>
        </w:rPr>
        <w:t>(1), 25376. https://doi.org/10.1038/s41598-024-75384-3</w:t>
      </w:r>
    </w:p>
    <w:p w14:paraId="0E5B0F40" w14:textId="77777777" w:rsidR="00602E6C" w:rsidRPr="001F5558" w:rsidRDefault="00602E6C" w:rsidP="00602E6C">
      <w:pPr>
        <w:shd w:val="clear" w:color="auto" w:fill="FFFFFF"/>
        <w:spacing w:after="120" w:line="240" w:lineRule="auto"/>
        <w:ind w:left="567" w:hanging="567"/>
        <w:jc w:val="both"/>
        <w:rPr>
          <w:rFonts w:ascii="Arial" w:hAnsi="Arial" w:cs="Arial"/>
          <w:sz w:val="20"/>
          <w:szCs w:val="20"/>
        </w:rPr>
      </w:pPr>
      <w:r w:rsidRPr="001F5558">
        <w:rPr>
          <w:rFonts w:ascii="Arial" w:hAnsi="Arial" w:cs="Arial"/>
          <w:sz w:val="20"/>
          <w:szCs w:val="20"/>
        </w:rPr>
        <w:t>Yan, M. T., Chao, C. T., &amp; Lin, S. H. (2021). Chronic Kidney Disease: Strategies to Retard Progression. </w:t>
      </w:r>
      <w:r w:rsidRPr="001F5558">
        <w:rPr>
          <w:rFonts w:ascii="Arial" w:hAnsi="Arial" w:cs="Arial"/>
          <w:i/>
          <w:iCs/>
          <w:sz w:val="20"/>
          <w:szCs w:val="20"/>
        </w:rPr>
        <w:t>International journal of molecular sciences</w:t>
      </w:r>
      <w:r w:rsidRPr="001F5558">
        <w:rPr>
          <w:rFonts w:ascii="Arial" w:hAnsi="Arial" w:cs="Arial"/>
          <w:sz w:val="20"/>
          <w:szCs w:val="20"/>
        </w:rPr>
        <w:t>, </w:t>
      </w:r>
      <w:r w:rsidRPr="001F5558">
        <w:rPr>
          <w:rFonts w:ascii="Arial" w:hAnsi="Arial" w:cs="Arial"/>
          <w:i/>
          <w:iCs/>
          <w:sz w:val="20"/>
          <w:szCs w:val="20"/>
        </w:rPr>
        <w:t>22</w:t>
      </w:r>
      <w:r w:rsidRPr="001F5558">
        <w:rPr>
          <w:rFonts w:ascii="Arial" w:hAnsi="Arial" w:cs="Arial"/>
          <w:sz w:val="20"/>
          <w:szCs w:val="20"/>
        </w:rPr>
        <w:t>(18), 10084. https://doi.org/10.3390/ijms221810084</w:t>
      </w:r>
    </w:p>
    <w:p w14:paraId="5664C931" w14:textId="1B7FBE4D" w:rsidR="00602E6C" w:rsidRPr="001F5558" w:rsidRDefault="00602E6C" w:rsidP="00602E6C">
      <w:pPr>
        <w:shd w:val="clear" w:color="auto" w:fill="FFFFFF"/>
        <w:spacing w:after="120" w:line="240" w:lineRule="auto"/>
        <w:ind w:left="567" w:hanging="567"/>
        <w:jc w:val="both"/>
        <w:rPr>
          <w:rFonts w:ascii="Arial" w:hAnsi="Arial" w:cs="Arial"/>
          <w:sz w:val="20"/>
          <w:szCs w:val="20"/>
        </w:rPr>
      </w:pPr>
      <w:r w:rsidRPr="001F5558">
        <w:rPr>
          <w:rFonts w:ascii="Arial" w:hAnsi="Arial" w:cs="Arial"/>
          <w:sz w:val="20"/>
          <w:szCs w:val="20"/>
        </w:rPr>
        <w:lastRenderedPageBreak/>
        <w:t xml:space="preserve">Zhang, Y., He, D., Zhang, W., Xing, Y., Guo, Y., Wang, F., </w:t>
      </w:r>
      <w:r w:rsidR="006E32AB" w:rsidRPr="001F5558">
        <w:rPr>
          <w:rFonts w:ascii="Arial" w:hAnsi="Arial" w:cs="Arial"/>
          <w:sz w:val="20"/>
          <w:szCs w:val="20"/>
        </w:rPr>
        <w:t xml:space="preserve">et al. </w:t>
      </w:r>
      <w:r w:rsidRPr="001F5558">
        <w:rPr>
          <w:rFonts w:ascii="Arial" w:hAnsi="Arial" w:cs="Arial"/>
          <w:sz w:val="20"/>
          <w:szCs w:val="20"/>
        </w:rPr>
        <w:t xml:space="preserve">(2020). ACE Inhibitor Benefit to Kidney and Cardiovascular Outcomes for Patients with Non-Dialysis Chronic Kidney Disease Stages 3-5: A Network Meta-Analysis of </w:t>
      </w:r>
      <w:proofErr w:type="spellStart"/>
      <w:r w:rsidRPr="001F5558">
        <w:rPr>
          <w:rFonts w:ascii="Arial" w:hAnsi="Arial" w:cs="Arial"/>
          <w:sz w:val="20"/>
          <w:szCs w:val="20"/>
        </w:rPr>
        <w:t>Randomised</w:t>
      </w:r>
      <w:proofErr w:type="spellEnd"/>
      <w:r w:rsidRPr="001F5558">
        <w:rPr>
          <w:rFonts w:ascii="Arial" w:hAnsi="Arial" w:cs="Arial"/>
          <w:sz w:val="20"/>
          <w:szCs w:val="20"/>
        </w:rPr>
        <w:t xml:space="preserve"> Clinical Trials. </w:t>
      </w:r>
      <w:r w:rsidRPr="001F5558">
        <w:rPr>
          <w:rFonts w:ascii="Arial" w:hAnsi="Arial" w:cs="Arial"/>
          <w:i/>
          <w:iCs/>
          <w:sz w:val="20"/>
          <w:szCs w:val="20"/>
        </w:rPr>
        <w:t>Drugs</w:t>
      </w:r>
      <w:r w:rsidRPr="001F5558">
        <w:rPr>
          <w:rFonts w:ascii="Arial" w:hAnsi="Arial" w:cs="Arial"/>
          <w:sz w:val="20"/>
          <w:szCs w:val="20"/>
        </w:rPr>
        <w:t>, </w:t>
      </w:r>
      <w:r w:rsidRPr="001F5558">
        <w:rPr>
          <w:rFonts w:ascii="Arial" w:hAnsi="Arial" w:cs="Arial"/>
          <w:i/>
          <w:iCs/>
          <w:sz w:val="20"/>
          <w:szCs w:val="20"/>
        </w:rPr>
        <w:t>80</w:t>
      </w:r>
      <w:r w:rsidRPr="001F5558">
        <w:rPr>
          <w:rFonts w:ascii="Arial" w:hAnsi="Arial" w:cs="Arial"/>
          <w:sz w:val="20"/>
          <w:szCs w:val="20"/>
        </w:rPr>
        <w:t>(8), 797–811. https://doi.org/10.1007/s40265-020-01290-3</w:t>
      </w:r>
    </w:p>
    <w:p w14:paraId="4ECA721F" w14:textId="5B1A123A" w:rsidR="00F9470D" w:rsidRPr="00602E6C" w:rsidRDefault="00602E6C" w:rsidP="00602E6C">
      <w:pPr>
        <w:shd w:val="clear" w:color="auto" w:fill="FFFFFF"/>
        <w:spacing w:after="120" w:line="240" w:lineRule="auto"/>
        <w:ind w:left="567" w:hanging="567"/>
        <w:jc w:val="both"/>
        <w:rPr>
          <w:rFonts w:ascii="Arial" w:hAnsi="Arial" w:cs="Arial"/>
          <w:b/>
          <w:bCs/>
          <w:sz w:val="20"/>
          <w:szCs w:val="20"/>
        </w:rPr>
      </w:pPr>
      <w:r w:rsidRPr="001F5558">
        <w:rPr>
          <w:rFonts w:ascii="Arial" w:hAnsi="Arial" w:cs="Arial"/>
          <w:sz w:val="20"/>
          <w:szCs w:val="20"/>
        </w:rPr>
        <w:t xml:space="preserve">Zhao, M., Zhang, Z., Pan, Z., Ma, S., Chang, M., Fan, J., </w:t>
      </w:r>
      <w:r w:rsidR="006E32AB" w:rsidRPr="001F5558">
        <w:rPr>
          <w:rFonts w:ascii="Arial" w:hAnsi="Arial" w:cs="Arial"/>
          <w:sz w:val="20"/>
          <w:szCs w:val="20"/>
        </w:rPr>
        <w:t xml:space="preserve">et al. </w:t>
      </w:r>
      <w:r w:rsidRPr="001F5558">
        <w:rPr>
          <w:rFonts w:ascii="Arial" w:hAnsi="Arial" w:cs="Arial"/>
          <w:sz w:val="20"/>
          <w:szCs w:val="20"/>
        </w:rPr>
        <w:t>(2023). N-/T-Type vs. L-Type Calcium Channel Blocker in Treating Chronic Kidney Disease: A Systematic Review and Meta-Analysis. </w:t>
      </w:r>
      <w:r w:rsidRPr="001F5558">
        <w:rPr>
          <w:rFonts w:ascii="Arial" w:hAnsi="Arial" w:cs="Arial"/>
          <w:i/>
          <w:iCs/>
          <w:sz w:val="20"/>
          <w:szCs w:val="20"/>
        </w:rPr>
        <w:t>Pharmaceuticals (Basel, Switzerland)</w:t>
      </w:r>
      <w:r w:rsidRPr="001F5558">
        <w:rPr>
          <w:rFonts w:ascii="Arial" w:hAnsi="Arial" w:cs="Arial"/>
          <w:sz w:val="20"/>
          <w:szCs w:val="20"/>
        </w:rPr>
        <w:t>, </w:t>
      </w:r>
      <w:r w:rsidRPr="001F5558">
        <w:rPr>
          <w:rFonts w:ascii="Arial" w:hAnsi="Arial" w:cs="Arial"/>
          <w:i/>
          <w:iCs/>
          <w:sz w:val="20"/>
          <w:szCs w:val="20"/>
        </w:rPr>
        <w:t>16</w:t>
      </w:r>
      <w:r w:rsidRPr="001F5558">
        <w:rPr>
          <w:rFonts w:ascii="Arial" w:hAnsi="Arial" w:cs="Arial"/>
          <w:sz w:val="20"/>
          <w:szCs w:val="20"/>
        </w:rPr>
        <w:t>(3), 338. https://doi.org/10.3390/ph16030338</w:t>
      </w:r>
    </w:p>
    <w:sectPr w:rsidR="00F9470D" w:rsidRPr="00602E6C" w:rsidSect="0026650F">
      <w:headerReference w:type="even" r:id="rId8"/>
      <w:headerReference w:type="default" r:id="rId9"/>
      <w:footerReference w:type="even" r:id="rId10"/>
      <w:footerReference w:type="default" r:id="rId11"/>
      <w:headerReference w:type="first" r:id="rId12"/>
      <w:footerReference w:type="first" r:id="rId13"/>
      <w:type w:val="continuous"/>
      <w:pgSz w:w="12242" w:h="15842" w:code="1"/>
      <w:pgMar w:top="1418" w:right="1418" w:bottom="1418" w:left="141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7D038" w14:textId="77777777" w:rsidR="00B413EA" w:rsidRDefault="00B413EA" w:rsidP="0011735B">
      <w:pPr>
        <w:spacing w:after="0" w:line="240" w:lineRule="auto"/>
      </w:pPr>
      <w:r>
        <w:separator/>
      </w:r>
    </w:p>
  </w:endnote>
  <w:endnote w:type="continuationSeparator" w:id="0">
    <w:p w14:paraId="22BF409A" w14:textId="77777777" w:rsidR="00B413EA" w:rsidRDefault="00B413EA" w:rsidP="00117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467CA" w14:textId="77777777" w:rsidR="007271B8" w:rsidRDefault="007271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24FA7" w14:textId="77777777" w:rsidR="007271B8" w:rsidRDefault="007271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0346B" w14:textId="77777777" w:rsidR="007271B8" w:rsidRDefault="007271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2ABD5" w14:textId="77777777" w:rsidR="00B413EA" w:rsidRDefault="00B413EA" w:rsidP="0011735B">
      <w:pPr>
        <w:spacing w:after="0" w:line="240" w:lineRule="auto"/>
      </w:pPr>
      <w:r>
        <w:separator/>
      </w:r>
    </w:p>
  </w:footnote>
  <w:footnote w:type="continuationSeparator" w:id="0">
    <w:p w14:paraId="5A3BF324" w14:textId="77777777" w:rsidR="00B413EA" w:rsidRDefault="00B413EA" w:rsidP="001173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6CF52" w14:textId="3EF41C1D" w:rsidR="007271B8" w:rsidRDefault="007271B8">
    <w:pPr>
      <w:pStyle w:val="Header"/>
    </w:pPr>
    <w:r>
      <w:rPr>
        <w:noProof/>
      </w:rPr>
      <w:pict w14:anchorId="706DCA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172" o:spid="_x0000_s1026" type="#_x0000_t136" style="position:absolute;margin-left:0;margin-top:0;width:558.3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F4E38" w14:textId="401224C3" w:rsidR="007271B8" w:rsidRDefault="007271B8">
    <w:pPr>
      <w:pStyle w:val="Header"/>
    </w:pPr>
    <w:r>
      <w:rPr>
        <w:noProof/>
      </w:rPr>
      <w:pict w14:anchorId="384813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173" o:spid="_x0000_s1027" type="#_x0000_t136" style="position:absolute;margin-left:0;margin-top:0;width:558.3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A1976" w14:textId="382844E3" w:rsidR="007271B8" w:rsidRDefault="007271B8">
    <w:pPr>
      <w:pStyle w:val="Header"/>
    </w:pPr>
    <w:r>
      <w:rPr>
        <w:noProof/>
      </w:rPr>
      <w:pict w14:anchorId="4F34D0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171" o:spid="_x0000_s1025" type="#_x0000_t136" style="position:absolute;margin-left:0;margin-top:0;width:558.3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E306ED"/>
    <w:multiLevelType w:val="multilevel"/>
    <w:tmpl w:val="B5E306ED"/>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CF092B84"/>
    <w:multiLevelType w:val="multilevel"/>
    <w:tmpl w:val="CF092B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02946B0"/>
    <w:multiLevelType w:val="multilevel"/>
    <w:tmpl w:val="0F163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53208E"/>
    <w:multiLevelType w:val="multilevel"/>
    <w:tmpl w:val="0053208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15:restartNumberingAfterBreak="0">
    <w:nsid w:val="01914547"/>
    <w:multiLevelType w:val="multilevel"/>
    <w:tmpl w:val="E8FEE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9ADCABA"/>
    <w:multiLevelType w:val="multilevel"/>
    <w:tmpl w:val="59ADCA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6600694E"/>
    <w:multiLevelType w:val="multilevel"/>
    <w:tmpl w:val="31560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58694942">
    <w:abstractNumId w:val="3"/>
  </w:num>
  <w:num w:numId="2" w16cid:durableId="1865172673">
    <w:abstractNumId w:val="1"/>
  </w:num>
  <w:num w:numId="3" w16cid:durableId="2080664204">
    <w:abstractNumId w:val="5"/>
  </w:num>
  <w:num w:numId="4" w16cid:durableId="783696743">
    <w:abstractNumId w:val="2"/>
  </w:num>
  <w:num w:numId="5" w16cid:durableId="283535707">
    <w:abstractNumId w:val="0"/>
  </w:num>
  <w:num w:numId="6" w16cid:durableId="1910461967">
    <w:abstractNumId w:val="6"/>
  </w:num>
  <w:num w:numId="7" w16cid:durableId="11843692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DF2"/>
    <w:rsid w:val="00002F21"/>
    <w:rsid w:val="000058A3"/>
    <w:rsid w:val="00005FAC"/>
    <w:rsid w:val="00007783"/>
    <w:rsid w:val="00012EA6"/>
    <w:rsid w:val="00013A2C"/>
    <w:rsid w:val="00017AC7"/>
    <w:rsid w:val="00020A66"/>
    <w:rsid w:val="00020B14"/>
    <w:rsid w:val="00021C4B"/>
    <w:rsid w:val="000257F8"/>
    <w:rsid w:val="00027BFA"/>
    <w:rsid w:val="00040AFC"/>
    <w:rsid w:val="00041B12"/>
    <w:rsid w:val="00041D61"/>
    <w:rsid w:val="00042239"/>
    <w:rsid w:val="000433D2"/>
    <w:rsid w:val="0004389E"/>
    <w:rsid w:val="0004609F"/>
    <w:rsid w:val="00046169"/>
    <w:rsid w:val="0004684B"/>
    <w:rsid w:val="00047D3B"/>
    <w:rsid w:val="00050EAF"/>
    <w:rsid w:val="00052BA6"/>
    <w:rsid w:val="00053D04"/>
    <w:rsid w:val="00056251"/>
    <w:rsid w:val="00057D8F"/>
    <w:rsid w:val="000608B8"/>
    <w:rsid w:val="00067772"/>
    <w:rsid w:val="00070DC1"/>
    <w:rsid w:val="00072C68"/>
    <w:rsid w:val="00075710"/>
    <w:rsid w:val="000802A9"/>
    <w:rsid w:val="000837A1"/>
    <w:rsid w:val="00085376"/>
    <w:rsid w:val="00087AAD"/>
    <w:rsid w:val="00092B0E"/>
    <w:rsid w:val="00096159"/>
    <w:rsid w:val="000A0A9A"/>
    <w:rsid w:val="000A163B"/>
    <w:rsid w:val="000A1801"/>
    <w:rsid w:val="000A2975"/>
    <w:rsid w:val="000A6328"/>
    <w:rsid w:val="000B58A8"/>
    <w:rsid w:val="000B61A9"/>
    <w:rsid w:val="000B68C6"/>
    <w:rsid w:val="000C248B"/>
    <w:rsid w:val="000C65BC"/>
    <w:rsid w:val="000D3458"/>
    <w:rsid w:val="000D374B"/>
    <w:rsid w:val="000E0639"/>
    <w:rsid w:val="000E0A7B"/>
    <w:rsid w:val="000E4E76"/>
    <w:rsid w:val="000E509E"/>
    <w:rsid w:val="000E602E"/>
    <w:rsid w:val="000F13CA"/>
    <w:rsid w:val="000F5867"/>
    <w:rsid w:val="001015B6"/>
    <w:rsid w:val="0010318B"/>
    <w:rsid w:val="001038E2"/>
    <w:rsid w:val="001045EB"/>
    <w:rsid w:val="00111050"/>
    <w:rsid w:val="00111211"/>
    <w:rsid w:val="0011272C"/>
    <w:rsid w:val="00112987"/>
    <w:rsid w:val="00114468"/>
    <w:rsid w:val="00115B4B"/>
    <w:rsid w:val="00115C32"/>
    <w:rsid w:val="0011735B"/>
    <w:rsid w:val="001175C8"/>
    <w:rsid w:val="00123F79"/>
    <w:rsid w:val="00123F83"/>
    <w:rsid w:val="001258E1"/>
    <w:rsid w:val="001275DB"/>
    <w:rsid w:val="00134033"/>
    <w:rsid w:val="0013780F"/>
    <w:rsid w:val="00137AEA"/>
    <w:rsid w:val="00140C4D"/>
    <w:rsid w:val="00146133"/>
    <w:rsid w:val="00150A57"/>
    <w:rsid w:val="0015270D"/>
    <w:rsid w:val="0015273C"/>
    <w:rsid w:val="00155A54"/>
    <w:rsid w:val="00164CEF"/>
    <w:rsid w:val="00165246"/>
    <w:rsid w:val="00167B24"/>
    <w:rsid w:val="001703F6"/>
    <w:rsid w:val="00171F0F"/>
    <w:rsid w:val="00172DE0"/>
    <w:rsid w:val="00176562"/>
    <w:rsid w:val="00180501"/>
    <w:rsid w:val="00180704"/>
    <w:rsid w:val="00184541"/>
    <w:rsid w:val="00184AC8"/>
    <w:rsid w:val="00184FFE"/>
    <w:rsid w:val="0019032A"/>
    <w:rsid w:val="001946E4"/>
    <w:rsid w:val="0019730F"/>
    <w:rsid w:val="001A0DB9"/>
    <w:rsid w:val="001A2060"/>
    <w:rsid w:val="001A488D"/>
    <w:rsid w:val="001A7395"/>
    <w:rsid w:val="001B1CC1"/>
    <w:rsid w:val="001B5311"/>
    <w:rsid w:val="001B5B3F"/>
    <w:rsid w:val="001C3EB8"/>
    <w:rsid w:val="001C4D05"/>
    <w:rsid w:val="001C6350"/>
    <w:rsid w:val="001D23D7"/>
    <w:rsid w:val="001D2908"/>
    <w:rsid w:val="001D52C7"/>
    <w:rsid w:val="001E22E9"/>
    <w:rsid w:val="001E25EC"/>
    <w:rsid w:val="001E6CAC"/>
    <w:rsid w:val="001F0B7B"/>
    <w:rsid w:val="001F18FD"/>
    <w:rsid w:val="001F4D9C"/>
    <w:rsid w:val="001F5558"/>
    <w:rsid w:val="001F5E16"/>
    <w:rsid w:val="00205D1C"/>
    <w:rsid w:val="00206338"/>
    <w:rsid w:val="002068A7"/>
    <w:rsid w:val="002073CB"/>
    <w:rsid w:val="00216E10"/>
    <w:rsid w:val="00220A12"/>
    <w:rsid w:val="002253F5"/>
    <w:rsid w:val="00225AD5"/>
    <w:rsid w:val="00226B4A"/>
    <w:rsid w:val="0023194D"/>
    <w:rsid w:val="00241E01"/>
    <w:rsid w:val="00242D29"/>
    <w:rsid w:val="00243EB0"/>
    <w:rsid w:val="00252406"/>
    <w:rsid w:val="002525EE"/>
    <w:rsid w:val="0025264B"/>
    <w:rsid w:val="00252EBD"/>
    <w:rsid w:val="00257B59"/>
    <w:rsid w:val="00262768"/>
    <w:rsid w:val="00262D1E"/>
    <w:rsid w:val="0026354A"/>
    <w:rsid w:val="0026650F"/>
    <w:rsid w:val="0027102B"/>
    <w:rsid w:val="00271FD4"/>
    <w:rsid w:val="00273E62"/>
    <w:rsid w:val="002752F5"/>
    <w:rsid w:val="00277080"/>
    <w:rsid w:val="00283304"/>
    <w:rsid w:val="00287F01"/>
    <w:rsid w:val="00287F82"/>
    <w:rsid w:val="00290C9A"/>
    <w:rsid w:val="0029463A"/>
    <w:rsid w:val="00295B85"/>
    <w:rsid w:val="00296656"/>
    <w:rsid w:val="00296C07"/>
    <w:rsid w:val="00296C49"/>
    <w:rsid w:val="00296EDB"/>
    <w:rsid w:val="00297A8C"/>
    <w:rsid w:val="002A075B"/>
    <w:rsid w:val="002A1890"/>
    <w:rsid w:val="002A3B7D"/>
    <w:rsid w:val="002A402C"/>
    <w:rsid w:val="002C3744"/>
    <w:rsid w:val="002C7E6A"/>
    <w:rsid w:val="002D09E9"/>
    <w:rsid w:val="002E1F1D"/>
    <w:rsid w:val="002E6189"/>
    <w:rsid w:val="002E6214"/>
    <w:rsid w:val="002F2868"/>
    <w:rsid w:val="002F4022"/>
    <w:rsid w:val="003019F9"/>
    <w:rsid w:val="00303A04"/>
    <w:rsid w:val="0030529F"/>
    <w:rsid w:val="003057D8"/>
    <w:rsid w:val="00305F39"/>
    <w:rsid w:val="003136E1"/>
    <w:rsid w:val="00315B80"/>
    <w:rsid w:val="0032104D"/>
    <w:rsid w:val="00322D83"/>
    <w:rsid w:val="00324EAD"/>
    <w:rsid w:val="00325273"/>
    <w:rsid w:val="00326504"/>
    <w:rsid w:val="00327D21"/>
    <w:rsid w:val="003312EE"/>
    <w:rsid w:val="00331B9C"/>
    <w:rsid w:val="00333380"/>
    <w:rsid w:val="00334CCD"/>
    <w:rsid w:val="0033570A"/>
    <w:rsid w:val="00336247"/>
    <w:rsid w:val="00343609"/>
    <w:rsid w:val="00343892"/>
    <w:rsid w:val="0034409F"/>
    <w:rsid w:val="00344889"/>
    <w:rsid w:val="00347040"/>
    <w:rsid w:val="00347639"/>
    <w:rsid w:val="00347956"/>
    <w:rsid w:val="00347FDB"/>
    <w:rsid w:val="00350410"/>
    <w:rsid w:val="00351A43"/>
    <w:rsid w:val="00353D8C"/>
    <w:rsid w:val="003600AF"/>
    <w:rsid w:val="00363BB0"/>
    <w:rsid w:val="00364B82"/>
    <w:rsid w:val="00367BC0"/>
    <w:rsid w:val="00374E8B"/>
    <w:rsid w:val="003762C9"/>
    <w:rsid w:val="00376529"/>
    <w:rsid w:val="00384104"/>
    <w:rsid w:val="003847A9"/>
    <w:rsid w:val="00385AE9"/>
    <w:rsid w:val="0039791D"/>
    <w:rsid w:val="00397AA1"/>
    <w:rsid w:val="00397D87"/>
    <w:rsid w:val="003A48E3"/>
    <w:rsid w:val="003A64C8"/>
    <w:rsid w:val="003A7335"/>
    <w:rsid w:val="003B081F"/>
    <w:rsid w:val="003B245C"/>
    <w:rsid w:val="003B424E"/>
    <w:rsid w:val="003B5D32"/>
    <w:rsid w:val="003C0012"/>
    <w:rsid w:val="003C1490"/>
    <w:rsid w:val="003C48BE"/>
    <w:rsid w:val="003C4D55"/>
    <w:rsid w:val="003C6253"/>
    <w:rsid w:val="003D28CB"/>
    <w:rsid w:val="003F071F"/>
    <w:rsid w:val="003F28B0"/>
    <w:rsid w:val="003F4942"/>
    <w:rsid w:val="003F5A4B"/>
    <w:rsid w:val="00400C67"/>
    <w:rsid w:val="00405128"/>
    <w:rsid w:val="00414254"/>
    <w:rsid w:val="004161A8"/>
    <w:rsid w:val="004218AE"/>
    <w:rsid w:val="00421A1D"/>
    <w:rsid w:val="00424CD8"/>
    <w:rsid w:val="00426639"/>
    <w:rsid w:val="0043492C"/>
    <w:rsid w:val="004411F4"/>
    <w:rsid w:val="00444E75"/>
    <w:rsid w:val="004462F6"/>
    <w:rsid w:val="00454E33"/>
    <w:rsid w:val="00456352"/>
    <w:rsid w:val="004635A3"/>
    <w:rsid w:val="0046731E"/>
    <w:rsid w:val="00467731"/>
    <w:rsid w:val="00467965"/>
    <w:rsid w:val="00467EFE"/>
    <w:rsid w:val="00473B7F"/>
    <w:rsid w:val="00475DE1"/>
    <w:rsid w:val="00476B43"/>
    <w:rsid w:val="00477B15"/>
    <w:rsid w:val="004818A1"/>
    <w:rsid w:val="00490089"/>
    <w:rsid w:val="0049108C"/>
    <w:rsid w:val="004A2CAC"/>
    <w:rsid w:val="004B0C21"/>
    <w:rsid w:val="004B507E"/>
    <w:rsid w:val="004B6280"/>
    <w:rsid w:val="004B7C85"/>
    <w:rsid w:val="004C01A1"/>
    <w:rsid w:val="004C0670"/>
    <w:rsid w:val="004C0A45"/>
    <w:rsid w:val="004C2E6A"/>
    <w:rsid w:val="004C317F"/>
    <w:rsid w:val="004C3494"/>
    <w:rsid w:val="004C4CD1"/>
    <w:rsid w:val="004D1371"/>
    <w:rsid w:val="004D1949"/>
    <w:rsid w:val="004D4925"/>
    <w:rsid w:val="004D4E9E"/>
    <w:rsid w:val="004D61E5"/>
    <w:rsid w:val="004D7142"/>
    <w:rsid w:val="004E48CD"/>
    <w:rsid w:val="004E5166"/>
    <w:rsid w:val="004E7C42"/>
    <w:rsid w:val="004F127A"/>
    <w:rsid w:val="004F20B0"/>
    <w:rsid w:val="004F347A"/>
    <w:rsid w:val="005002EF"/>
    <w:rsid w:val="005042DA"/>
    <w:rsid w:val="0050482D"/>
    <w:rsid w:val="00506C0D"/>
    <w:rsid w:val="00507B19"/>
    <w:rsid w:val="00516DA3"/>
    <w:rsid w:val="005175BC"/>
    <w:rsid w:val="00522920"/>
    <w:rsid w:val="0052292E"/>
    <w:rsid w:val="00523761"/>
    <w:rsid w:val="00523E25"/>
    <w:rsid w:val="00525860"/>
    <w:rsid w:val="00526BF6"/>
    <w:rsid w:val="005315F8"/>
    <w:rsid w:val="0053317A"/>
    <w:rsid w:val="005332C5"/>
    <w:rsid w:val="005337C9"/>
    <w:rsid w:val="00535838"/>
    <w:rsid w:val="005410B8"/>
    <w:rsid w:val="00544600"/>
    <w:rsid w:val="00544B7A"/>
    <w:rsid w:val="005458FA"/>
    <w:rsid w:val="00547AE8"/>
    <w:rsid w:val="00551AA8"/>
    <w:rsid w:val="00554409"/>
    <w:rsid w:val="0056024F"/>
    <w:rsid w:val="00560C29"/>
    <w:rsid w:val="00562DE5"/>
    <w:rsid w:val="00570BD9"/>
    <w:rsid w:val="005741DA"/>
    <w:rsid w:val="00574202"/>
    <w:rsid w:val="005762A5"/>
    <w:rsid w:val="00577113"/>
    <w:rsid w:val="005809F8"/>
    <w:rsid w:val="00580FFB"/>
    <w:rsid w:val="00581AEE"/>
    <w:rsid w:val="00586A3E"/>
    <w:rsid w:val="00587DAC"/>
    <w:rsid w:val="00587E65"/>
    <w:rsid w:val="00591CAF"/>
    <w:rsid w:val="00592ADB"/>
    <w:rsid w:val="00592AF6"/>
    <w:rsid w:val="00595DEA"/>
    <w:rsid w:val="005964B1"/>
    <w:rsid w:val="0059672D"/>
    <w:rsid w:val="005A045D"/>
    <w:rsid w:val="005A2A74"/>
    <w:rsid w:val="005A76D9"/>
    <w:rsid w:val="005B0E95"/>
    <w:rsid w:val="005B707C"/>
    <w:rsid w:val="005C0FB6"/>
    <w:rsid w:val="005C6256"/>
    <w:rsid w:val="005C7671"/>
    <w:rsid w:val="005D274E"/>
    <w:rsid w:val="005E5BC2"/>
    <w:rsid w:val="005F37C0"/>
    <w:rsid w:val="005F5F77"/>
    <w:rsid w:val="005F61B6"/>
    <w:rsid w:val="005F784D"/>
    <w:rsid w:val="00602E6C"/>
    <w:rsid w:val="00603ADA"/>
    <w:rsid w:val="00616ABC"/>
    <w:rsid w:val="00617710"/>
    <w:rsid w:val="00622B52"/>
    <w:rsid w:val="00623E81"/>
    <w:rsid w:val="00624C07"/>
    <w:rsid w:val="00631226"/>
    <w:rsid w:val="0063184D"/>
    <w:rsid w:val="00634A59"/>
    <w:rsid w:val="00642E0D"/>
    <w:rsid w:val="00643DB3"/>
    <w:rsid w:val="00645A5B"/>
    <w:rsid w:val="00654D05"/>
    <w:rsid w:val="0065659A"/>
    <w:rsid w:val="00657ACC"/>
    <w:rsid w:val="00661E5D"/>
    <w:rsid w:val="00662543"/>
    <w:rsid w:val="0066335F"/>
    <w:rsid w:val="00665623"/>
    <w:rsid w:val="006676E4"/>
    <w:rsid w:val="00671D46"/>
    <w:rsid w:val="006723FF"/>
    <w:rsid w:val="0067288D"/>
    <w:rsid w:val="006742CF"/>
    <w:rsid w:val="006749C8"/>
    <w:rsid w:val="006761CD"/>
    <w:rsid w:val="00677CDD"/>
    <w:rsid w:val="00681811"/>
    <w:rsid w:val="006831F4"/>
    <w:rsid w:val="00683EF5"/>
    <w:rsid w:val="006864DC"/>
    <w:rsid w:val="006920F6"/>
    <w:rsid w:val="00692E30"/>
    <w:rsid w:val="00692FDF"/>
    <w:rsid w:val="00695740"/>
    <w:rsid w:val="00697856"/>
    <w:rsid w:val="006A3C11"/>
    <w:rsid w:val="006A5CA8"/>
    <w:rsid w:val="006A6E2B"/>
    <w:rsid w:val="006A7403"/>
    <w:rsid w:val="006A7446"/>
    <w:rsid w:val="006A792B"/>
    <w:rsid w:val="006B0B98"/>
    <w:rsid w:val="006C192C"/>
    <w:rsid w:val="006C3261"/>
    <w:rsid w:val="006C4989"/>
    <w:rsid w:val="006D144E"/>
    <w:rsid w:val="006D4F17"/>
    <w:rsid w:val="006D4F45"/>
    <w:rsid w:val="006D5667"/>
    <w:rsid w:val="006E2E65"/>
    <w:rsid w:val="006E32AB"/>
    <w:rsid w:val="006E5D3B"/>
    <w:rsid w:val="006E76CB"/>
    <w:rsid w:val="006E78A9"/>
    <w:rsid w:val="006F1C0C"/>
    <w:rsid w:val="0070109C"/>
    <w:rsid w:val="007071A7"/>
    <w:rsid w:val="00707D03"/>
    <w:rsid w:val="007113CF"/>
    <w:rsid w:val="00713508"/>
    <w:rsid w:val="00715971"/>
    <w:rsid w:val="00721CC3"/>
    <w:rsid w:val="0072359E"/>
    <w:rsid w:val="00724396"/>
    <w:rsid w:val="0072504C"/>
    <w:rsid w:val="00726814"/>
    <w:rsid w:val="007271B8"/>
    <w:rsid w:val="00730B20"/>
    <w:rsid w:val="0073439E"/>
    <w:rsid w:val="00736DF1"/>
    <w:rsid w:val="00737135"/>
    <w:rsid w:val="00737F07"/>
    <w:rsid w:val="007460F5"/>
    <w:rsid w:val="00751DEB"/>
    <w:rsid w:val="007535F5"/>
    <w:rsid w:val="0075438C"/>
    <w:rsid w:val="00756610"/>
    <w:rsid w:val="00757806"/>
    <w:rsid w:val="007629F9"/>
    <w:rsid w:val="00766037"/>
    <w:rsid w:val="0076722C"/>
    <w:rsid w:val="00770896"/>
    <w:rsid w:val="00771334"/>
    <w:rsid w:val="007713D3"/>
    <w:rsid w:val="00772313"/>
    <w:rsid w:val="00772BC1"/>
    <w:rsid w:val="00776BE0"/>
    <w:rsid w:val="00777FAA"/>
    <w:rsid w:val="00780B1C"/>
    <w:rsid w:val="00781B46"/>
    <w:rsid w:val="00782F26"/>
    <w:rsid w:val="00790F0E"/>
    <w:rsid w:val="00794A2E"/>
    <w:rsid w:val="00795D8D"/>
    <w:rsid w:val="007A452E"/>
    <w:rsid w:val="007A5584"/>
    <w:rsid w:val="007B0097"/>
    <w:rsid w:val="007B04D1"/>
    <w:rsid w:val="007B1E5F"/>
    <w:rsid w:val="007B7724"/>
    <w:rsid w:val="007C0442"/>
    <w:rsid w:val="007C15AD"/>
    <w:rsid w:val="007C21B6"/>
    <w:rsid w:val="007C2ABF"/>
    <w:rsid w:val="007C2DF2"/>
    <w:rsid w:val="007C3ACA"/>
    <w:rsid w:val="007C5428"/>
    <w:rsid w:val="007D1794"/>
    <w:rsid w:val="007D1B96"/>
    <w:rsid w:val="007D64CD"/>
    <w:rsid w:val="007E385E"/>
    <w:rsid w:val="007E5FC3"/>
    <w:rsid w:val="007E671C"/>
    <w:rsid w:val="007F09A3"/>
    <w:rsid w:val="007F35EC"/>
    <w:rsid w:val="007F5069"/>
    <w:rsid w:val="007F525E"/>
    <w:rsid w:val="00800A18"/>
    <w:rsid w:val="00805CA0"/>
    <w:rsid w:val="00805EF9"/>
    <w:rsid w:val="00806598"/>
    <w:rsid w:val="0081414C"/>
    <w:rsid w:val="0082138D"/>
    <w:rsid w:val="008273B9"/>
    <w:rsid w:val="00830650"/>
    <w:rsid w:val="00832C8D"/>
    <w:rsid w:val="00833502"/>
    <w:rsid w:val="00835507"/>
    <w:rsid w:val="008365C9"/>
    <w:rsid w:val="00837956"/>
    <w:rsid w:val="008400B1"/>
    <w:rsid w:val="008418A6"/>
    <w:rsid w:val="00844E34"/>
    <w:rsid w:val="0084770A"/>
    <w:rsid w:val="00850883"/>
    <w:rsid w:val="00850F46"/>
    <w:rsid w:val="00851364"/>
    <w:rsid w:val="0085780C"/>
    <w:rsid w:val="008626B3"/>
    <w:rsid w:val="008676F2"/>
    <w:rsid w:val="00867BC5"/>
    <w:rsid w:val="00871947"/>
    <w:rsid w:val="008750B5"/>
    <w:rsid w:val="008768B3"/>
    <w:rsid w:val="00877F13"/>
    <w:rsid w:val="00881A6B"/>
    <w:rsid w:val="0088348A"/>
    <w:rsid w:val="008842B3"/>
    <w:rsid w:val="00886D4D"/>
    <w:rsid w:val="008937B7"/>
    <w:rsid w:val="00894018"/>
    <w:rsid w:val="0089424E"/>
    <w:rsid w:val="008A3F22"/>
    <w:rsid w:val="008A58A9"/>
    <w:rsid w:val="008A5C34"/>
    <w:rsid w:val="008A702A"/>
    <w:rsid w:val="008A7F95"/>
    <w:rsid w:val="008B2A6E"/>
    <w:rsid w:val="008B32F5"/>
    <w:rsid w:val="008B4DF0"/>
    <w:rsid w:val="008B4E9D"/>
    <w:rsid w:val="008C125C"/>
    <w:rsid w:val="008C2EB0"/>
    <w:rsid w:val="008C3EE3"/>
    <w:rsid w:val="008C4368"/>
    <w:rsid w:val="008D1B27"/>
    <w:rsid w:val="008D249C"/>
    <w:rsid w:val="008D2529"/>
    <w:rsid w:val="008D2D65"/>
    <w:rsid w:val="008D37F5"/>
    <w:rsid w:val="008D3E02"/>
    <w:rsid w:val="008D478E"/>
    <w:rsid w:val="008D6942"/>
    <w:rsid w:val="008E0630"/>
    <w:rsid w:val="008E158E"/>
    <w:rsid w:val="008E18B6"/>
    <w:rsid w:val="008E31AA"/>
    <w:rsid w:val="008E40B9"/>
    <w:rsid w:val="008F3679"/>
    <w:rsid w:val="008F3D52"/>
    <w:rsid w:val="008F4FEA"/>
    <w:rsid w:val="008F589B"/>
    <w:rsid w:val="008F6228"/>
    <w:rsid w:val="008F6899"/>
    <w:rsid w:val="008F6F97"/>
    <w:rsid w:val="0090269B"/>
    <w:rsid w:val="009102F2"/>
    <w:rsid w:val="00915B5C"/>
    <w:rsid w:val="0091777F"/>
    <w:rsid w:val="00920F3D"/>
    <w:rsid w:val="009272A5"/>
    <w:rsid w:val="00927A0A"/>
    <w:rsid w:val="009308D1"/>
    <w:rsid w:val="0093284C"/>
    <w:rsid w:val="00934409"/>
    <w:rsid w:val="009439F3"/>
    <w:rsid w:val="00947704"/>
    <w:rsid w:val="00950364"/>
    <w:rsid w:val="00953285"/>
    <w:rsid w:val="009607B5"/>
    <w:rsid w:val="00961057"/>
    <w:rsid w:val="00963EC5"/>
    <w:rsid w:val="00965EA6"/>
    <w:rsid w:val="009674F1"/>
    <w:rsid w:val="00981113"/>
    <w:rsid w:val="00983353"/>
    <w:rsid w:val="00983885"/>
    <w:rsid w:val="00984478"/>
    <w:rsid w:val="00993258"/>
    <w:rsid w:val="00996E54"/>
    <w:rsid w:val="009A1364"/>
    <w:rsid w:val="009A389B"/>
    <w:rsid w:val="009A4D38"/>
    <w:rsid w:val="009A5116"/>
    <w:rsid w:val="009A758F"/>
    <w:rsid w:val="009B0EC9"/>
    <w:rsid w:val="009B3AF4"/>
    <w:rsid w:val="009B4BEA"/>
    <w:rsid w:val="009B6F93"/>
    <w:rsid w:val="009C0264"/>
    <w:rsid w:val="009D6BD8"/>
    <w:rsid w:val="009E526B"/>
    <w:rsid w:val="009E59FA"/>
    <w:rsid w:val="009F1E1E"/>
    <w:rsid w:val="009F5D0D"/>
    <w:rsid w:val="00A02BE0"/>
    <w:rsid w:val="00A0559B"/>
    <w:rsid w:val="00A06443"/>
    <w:rsid w:val="00A0678B"/>
    <w:rsid w:val="00A11C4E"/>
    <w:rsid w:val="00A14204"/>
    <w:rsid w:val="00A15624"/>
    <w:rsid w:val="00A15CCF"/>
    <w:rsid w:val="00A21C43"/>
    <w:rsid w:val="00A23568"/>
    <w:rsid w:val="00A274E4"/>
    <w:rsid w:val="00A41558"/>
    <w:rsid w:val="00A42979"/>
    <w:rsid w:val="00A45682"/>
    <w:rsid w:val="00A472B2"/>
    <w:rsid w:val="00A506E0"/>
    <w:rsid w:val="00A509DC"/>
    <w:rsid w:val="00A511F8"/>
    <w:rsid w:val="00A53F60"/>
    <w:rsid w:val="00A57158"/>
    <w:rsid w:val="00A6207D"/>
    <w:rsid w:val="00A6588D"/>
    <w:rsid w:val="00A673E8"/>
    <w:rsid w:val="00A705F1"/>
    <w:rsid w:val="00A70858"/>
    <w:rsid w:val="00A71054"/>
    <w:rsid w:val="00A713B1"/>
    <w:rsid w:val="00A72539"/>
    <w:rsid w:val="00A73243"/>
    <w:rsid w:val="00A82387"/>
    <w:rsid w:val="00A91DBB"/>
    <w:rsid w:val="00AA0D3E"/>
    <w:rsid w:val="00AA2BA2"/>
    <w:rsid w:val="00AA5244"/>
    <w:rsid w:val="00AB4653"/>
    <w:rsid w:val="00AB4C91"/>
    <w:rsid w:val="00AB6861"/>
    <w:rsid w:val="00AB706E"/>
    <w:rsid w:val="00AB75B3"/>
    <w:rsid w:val="00AD0488"/>
    <w:rsid w:val="00AD0B97"/>
    <w:rsid w:val="00AD0ED3"/>
    <w:rsid w:val="00AD130E"/>
    <w:rsid w:val="00AD34CC"/>
    <w:rsid w:val="00AD443D"/>
    <w:rsid w:val="00AF1B19"/>
    <w:rsid w:val="00AF4D25"/>
    <w:rsid w:val="00B01964"/>
    <w:rsid w:val="00B026AA"/>
    <w:rsid w:val="00B03F4D"/>
    <w:rsid w:val="00B055B4"/>
    <w:rsid w:val="00B06EA2"/>
    <w:rsid w:val="00B07662"/>
    <w:rsid w:val="00B07F6C"/>
    <w:rsid w:val="00B11315"/>
    <w:rsid w:val="00B16DF6"/>
    <w:rsid w:val="00B22310"/>
    <w:rsid w:val="00B24CF8"/>
    <w:rsid w:val="00B25623"/>
    <w:rsid w:val="00B26046"/>
    <w:rsid w:val="00B268D0"/>
    <w:rsid w:val="00B32634"/>
    <w:rsid w:val="00B32C4A"/>
    <w:rsid w:val="00B35A78"/>
    <w:rsid w:val="00B36A3F"/>
    <w:rsid w:val="00B373F8"/>
    <w:rsid w:val="00B413EA"/>
    <w:rsid w:val="00B46A58"/>
    <w:rsid w:val="00B506F8"/>
    <w:rsid w:val="00B61CD8"/>
    <w:rsid w:val="00B62B0E"/>
    <w:rsid w:val="00B63C34"/>
    <w:rsid w:val="00B63C43"/>
    <w:rsid w:val="00B64A78"/>
    <w:rsid w:val="00B64E95"/>
    <w:rsid w:val="00B711DC"/>
    <w:rsid w:val="00B71D8F"/>
    <w:rsid w:val="00B72D78"/>
    <w:rsid w:val="00B72DD3"/>
    <w:rsid w:val="00B72EE6"/>
    <w:rsid w:val="00B742D3"/>
    <w:rsid w:val="00B76DE2"/>
    <w:rsid w:val="00B7702A"/>
    <w:rsid w:val="00B827CB"/>
    <w:rsid w:val="00B843E6"/>
    <w:rsid w:val="00B84592"/>
    <w:rsid w:val="00B855B9"/>
    <w:rsid w:val="00B85624"/>
    <w:rsid w:val="00B91AEC"/>
    <w:rsid w:val="00B9576A"/>
    <w:rsid w:val="00BA2EE8"/>
    <w:rsid w:val="00BA7BC9"/>
    <w:rsid w:val="00BB0653"/>
    <w:rsid w:val="00BB0B2C"/>
    <w:rsid w:val="00BB0CFD"/>
    <w:rsid w:val="00BB2A34"/>
    <w:rsid w:val="00BB77C7"/>
    <w:rsid w:val="00BC3A4A"/>
    <w:rsid w:val="00BC4195"/>
    <w:rsid w:val="00BC59DC"/>
    <w:rsid w:val="00BC6EA3"/>
    <w:rsid w:val="00BD03E1"/>
    <w:rsid w:val="00BD727B"/>
    <w:rsid w:val="00BD73D4"/>
    <w:rsid w:val="00BD7B2B"/>
    <w:rsid w:val="00BE2F33"/>
    <w:rsid w:val="00BF536B"/>
    <w:rsid w:val="00BF6158"/>
    <w:rsid w:val="00BF6AC6"/>
    <w:rsid w:val="00C00109"/>
    <w:rsid w:val="00C014A4"/>
    <w:rsid w:val="00C0284C"/>
    <w:rsid w:val="00C123DC"/>
    <w:rsid w:val="00C126A5"/>
    <w:rsid w:val="00C12E0D"/>
    <w:rsid w:val="00C1335F"/>
    <w:rsid w:val="00C154CA"/>
    <w:rsid w:val="00C21C51"/>
    <w:rsid w:val="00C22E50"/>
    <w:rsid w:val="00C22FE1"/>
    <w:rsid w:val="00C25DF8"/>
    <w:rsid w:val="00C275FE"/>
    <w:rsid w:val="00C31261"/>
    <w:rsid w:val="00C317D2"/>
    <w:rsid w:val="00C31C7A"/>
    <w:rsid w:val="00C32871"/>
    <w:rsid w:val="00C340BA"/>
    <w:rsid w:val="00C35F97"/>
    <w:rsid w:val="00C41601"/>
    <w:rsid w:val="00C42A3A"/>
    <w:rsid w:val="00C449D3"/>
    <w:rsid w:val="00C51916"/>
    <w:rsid w:val="00C62E33"/>
    <w:rsid w:val="00C63723"/>
    <w:rsid w:val="00C66FC8"/>
    <w:rsid w:val="00C714FD"/>
    <w:rsid w:val="00C729AE"/>
    <w:rsid w:val="00C74157"/>
    <w:rsid w:val="00C742F0"/>
    <w:rsid w:val="00C84153"/>
    <w:rsid w:val="00C85D0C"/>
    <w:rsid w:val="00C879D2"/>
    <w:rsid w:val="00C94824"/>
    <w:rsid w:val="00C95D94"/>
    <w:rsid w:val="00C97BE6"/>
    <w:rsid w:val="00CA2054"/>
    <w:rsid w:val="00CA3ED6"/>
    <w:rsid w:val="00CA6BAF"/>
    <w:rsid w:val="00CB1C92"/>
    <w:rsid w:val="00CB2A4F"/>
    <w:rsid w:val="00CB45B1"/>
    <w:rsid w:val="00CC0CC5"/>
    <w:rsid w:val="00CC2984"/>
    <w:rsid w:val="00CC5E1C"/>
    <w:rsid w:val="00CC6192"/>
    <w:rsid w:val="00CC661F"/>
    <w:rsid w:val="00CD1E4D"/>
    <w:rsid w:val="00CD2FE6"/>
    <w:rsid w:val="00CE030C"/>
    <w:rsid w:val="00CE5CCA"/>
    <w:rsid w:val="00CE7DAA"/>
    <w:rsid w:val="00CF1336"/>
    <w:rsid w:val="00CF3B0B"/>
    <w:rsid w:val="00D009B9"/>
    <w:rsid w:val="00D01CE8"/>
    <w:rsid w:val="00D03D22"/>
    <w:rsid w:val="00D05A6C"/>
    <w:rsid w:val="00D05BBB"/>
    <w:rsid w:val="00D1369F"/>
    <w:rsid w:val="00D155E7"/>
    <w:rsid w:val="00D161C5"/>
    <w:rsid w:val="00D2271B"/>
    <w:rsid w:val="00D22AE0"/>
    <w:rsid w:val="00D23D4F"/>
    <w:rsid w:val="00D277B4"/>
    <w:rsid w:val="00D30FCD"/>
    <w:rsid w:val="00D31663"/>
    <w:rsid w:val="00D34C17"/>
    <w:rsid w:val="00D36EBD"/>
    <w:rsid w:val="00D417A1"/>
    <w:rsid w:val="00D437CE"/>
    <w:rsid w:val="00D43FEC"/>
    <w:rsid w:val="00D464AB"/>
    <w:rsid w:val="00D46F61"/>
    <w:rsid w:val="00D50542"/>
    <w:rsid w:val="00D55757"/>
    <w:rsid w:val="00D5646E"/>
    <w:rsid w:val="00D61F0E"/>
    <w:rsid w:val="00D64CBA"/>
    <w:rsid w:val="00D65A7E"/>
    <w:rsid w:val="00D6743F"/>
    <w:rsid w:val="00D711AA"/>
    <w:rsid w:val="00D720B9"/>
    <w:rsid w:val="00D7449A"/>
    <w:rsid w:val="00D75D4F"/>
    <w:rsid w:val="00D777D8"/>
    <w:rsid w:val="00D819F3"/>
    <w:rsid w:val="00D82D43"/>
    <w:rsid w:val="00D83C13"/>
    <w:rsid w:val="00D91A97"/>
    <w:rsid w:val="00D96336"/>
    <w:rsid w:val="00D96C7A"/>
    <w:rsid w:val="00DA3D13"/>
    <w:rsid w:val="00DB269C"/>
    <w:rsid w:val="00DB2DBE"/>
    <w:rsid w:val="00DB3B47"/>
    <w:rsid w:val="00DB493F"/>
    <w:rsid w:val="00DB6569"/>
    <w:rsid w:val="00DC166B"/>
    <w:rsid w:val="00DC1E68"/>
    <w:rsid w:val="00DC563E"/>
    <w:rsid w:val="00DD143B"/>
    <w:rsid w:val="00DD277F"/>
    <w:rsid w:val="00DD7AD6"/>
    <w:rsid w:val="00DE2BD0"/>
    <w:rsid w:val="00DE4933"/>
    <w:rsid w:val="00DE54BB"/>
    <w:rsid w:val="00DF063F"/>
    <w:rsid w:val="00DF39DF"/>
    <w:rsid w:val="00DF56E4"/>
    <w:rsid w:val="00E0014C"/>
    <w:rsid w:val="00E032F4"/>
    <w:rsid w:val="00E04F0F"/>
    <w:rsid w:val="00E05A33"/>
    <w:rsid w:val="00E062CA"/>
    <w:rsid w:val="00E10B8F"/>
    <w:rsid w:val="00E1210E"/>
    <w:rsid w:val="00E16E2F"/>
    <w:rsid w:val="00E2219F"/>
    <w:rsid w:val="00E22940"/>
    <w:rsid w:val="00E244F4"/>
    <w:rsid w:val="00E25F70"/>
    <w:rsid w:val="00E26604"/>
    <w:rsid w:val="00E302F7"/>
    <w:rsid w:val="00E342A7"/>
    <w:rsid w:val="00E36417"/>
    <w:rsid w:val="00E36FC2"/>
    <w:rsid w:val="00E37080"/>
    <w:rsid w:val="00E37BA5"/>
    <w:rsid w:val="00E4409A"/>
    <w:rsid w:val="00E4671E"/>
    <w:rsid w:val="00E468C1"/>
    <w:rsid w:val="00E46EFE"/>
    <w:rsid w:val="00E52A69"/>
    <w:rsid w:val="00E57E7D"/>
    <w:rsid w:val="00E61731"/>
    <w:rsid w:val="00E62C75"/>
    <w:rsid w:val="00E63210"/>
    <w:rsid w:val="00E64D7B"/>
    <w:rsid w:val="00E655F2"/>
    <w:rsid w:val="00E7141F"/>
    <w:rsid w:val="00E725F1"/>
    <w:rsid w:val="00E7380C"/>
    <w:rsid w:val="00E77E2D"/>
    <w:rsid w:val="00E8326E"/>
    <w:rsid w:val="00E872E8"/>
    <w:rsid w:val="00E901A7"/>
    <w:rsid w:val="00E91085"/>
    <w:rsid w:val="00E91231"/>
    <w:rsid w:val="00E92EA3"/>
    <w:rsid w:val="00E9436E"/>
    <w:rsid w:val="00E95CB2"/>
    <w:rsid w:val="00EA5D5C"/>
    <w:rsid w:val="00EB3D68"/>
    <w:rsid w:val="00EB7380"/>
    <w:rsid w:val="00EC1D19"/>
    <w:rsid w:val="00EC2611"/>
    <w:rsid w:val="00EC28C5"/>
    <w:rsid w:val="00EC5343"/>
    <w:rsid w:val="00EC5F2E"/>
    <w:rsid w:val="00ED16F6"/>
    <w:rsid w:val="00EE188D"/>
    <w:rsid w:val="00EE20D4"/>
    <w:rsid w:val="00EE30FB"/>
    <w:rsid w:val="00EF5535"/>
    <w:rsid w:val="00EF6ECA"/>
    <w:rsid w:val="00EF7CA2"/>
    <w:rsid w:val="00F074C6"/>
    <w:rsid w:val="00F104FF"/>
    <w:rsid w:val="00F12A30"/>
    <w:rsid w:val="00F12C2D"/>
    <w:rsid w:val="00F1424A"/>
    <w:rsid w:val="00F14C3E"/>
    <w:rsid w:val="00F15216"/>
    <w:rsid w:val="00F15DD0"/>
    <w:rsid w:val="00F2493D"/>
    <w:rsid w:val="00F2600E"/>
    <w:rsid w:val="00F26E9F"/>
    <w:rsid w:val="00F308E3"/>
    <w:rsid w:val="00F34DAE"/>
    <w:rsid w:val="00F3545F"/>
    <w:rsid w:val="00F451D2"/>
    <w:rsid w:val="00F503E1"/>
    <w:rsid w:val="00F52DD9"/>
    <w:rsid w:val="00F56493"/>
    <w:rsid w:val="00F56C56"/>
    <w:rsid w:val="00F62AFF"/>
    <w:rsid w:val="00F635B1"/>
    <w:rsid w:val="00F6485A"/>
    <w:rsid w:val="00F6693B"/>
    <w:rsid w:val="00F66C23"/>
    <w:rsid w:val="00F67186"/>
    <w:rsid w:val="00F736EE"/>
    <w:rsid w:val="00F7551A"/>
    <w:rsid w:val="00F75784"/>
    <w:rsid w:val="00F76229"/>
    <w:rsid w:val="00F76383"/>
    <w:rsid w:val="00F81DF6"/>
    <w:rsid w:val="00F82218"/>
    <w:rsid w:val="00F82F2C"/>
    <w:rsid w:val="00F848A9"/>
    <w:rsid w:val="00F86932"/>
    <w:rsid w:val="00F92927"/>
    <w:rsid w:val="00F93E8E"/>
    <w:rsid w:val="00F942F1"/>
    <w:rsid w:val="00F94419"/>
    <w:rsid w:val="00F9470D"/>
    <w:rsid w:val="00F94D8A"/>
    <w:rsid w:val="00FA0E44"/>
    <w:rsid w:val="00FA2186"/>
    <w:rsid w:val="00FB36F8"/>
    <w:rsid w:val="00FB6B91"/>
    <w:rsid w:val="00FC0247"/>
    <w:rsid w:val="00FC3E06"/>
    <w:rsid w:val="00FC7751"/>
    <w:rsid w:val="00FC7CA7"/>
    <w:rsid w:val="00FD132F"/>
    <w:rsid w:val="00FD54BE"/>
    <w:rsid w:val="00FE1E4F"/>
    <w:rsid w:val="00FE2BD2"/>
    <w:rsid w:val="00FE5F7F"/>
    <w:rsid w:val="00FF1E96"/>
    <w:rsid w:val="00FF3F8C"/>
    <w:rsid w:val="00FF531F"/>
    <w:rsid w:val="00FF5BA7"/>
    <w:rsid w:val="00FF6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186CC"/>
  <w15:chartTrackingRefBased/>
  <w15:docId w15:val="{92EE701D-21D8-4480-A504-3DABD728D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2D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2D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2D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2D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2D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2D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2D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2D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2D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2D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2D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2D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2D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2D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2D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2D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2D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2DF2"/>
    <w:rPr>
      <w:rFonts w:eastAsiaTheme="majorEastAsia" w:cstheme="majorBidi"/>
      <w:color w:val="272727" w:themeColor="text1" w:themeTint="D8"/>
    </w:rPr>
  </w:style>
  <w:style w:type="paragraph" w:styleId="Title">
    <w:name w:val="Title"/>
    <w:basedOn w:val="Normal"/>
    <w:next w:val="Normal"/>
    <w:link w:val="TitleChar"/>
    <w:uiPriority w:val="10"/>
    <w:qFormat/>
    <w:rsid w:val="007C2D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2D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2D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2D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2DF2"/>
    <w:pPr>
      <w:spacing w:before="160"/>
      <w:jc w:val="center"/>
    </w:pPr>
    <w:rPr>
      <w:i/>
      <w:iCs/>
      <w:color w:val="404040" w:themeColor="text1" w:themeTint="BF"/>
    </w:rPr>
  </w:style>
  <w:style w:type="character" w:customStyle="1" w:styleId="QuoteChar">
    <w:name w:val="Quote Char"/>
    <w:basedOn w:val="DefaultParagraphFont"/>
    <w:link w:val="Quote"/>
    <w:uiPriority w:val="29"/>
    <w:rsid w:val="007C2DF2"/>
    <w:rPr>
      <w:i/>
      <w:iCs/>
      <w:color w:val="404040" w:themeColor="text1" w:themeTint="BF"/>
    </w:rPr>
  </w:style>
  <w:style w:type="paragraph" w:styleId="ListParagraph">
    <w:name w:val="List Paragraph"/>
    <w:basedOn w:val="Normal"/>
    <w:uiPriority w:val="34"/>
    <w:qFormat/>
    <w:rsid w:val="007C2DF2"/>
    <w:pPr>
      <w:ind w:left="720"/>
      <w:contextualSpacing/>
    </w:pPr>
  </w:style>
  <w:style w:type="character" w:styleId="IntenseEmphasis">
    <w:name w:val="Intense Emphasis"/>
    <w:basedOn w:val="DefaultParagraphFont"/>
    <w:uiPriority w:val="21"/>
    <w:qFormat/>
    <w:rsid w:val="007C2DF2"/>
    <w:rPr>
      <w:i/>
      <w:iCs/>
      <w:color w:val="0F4761" w:themeColor="accent1" w:themeShade="BF"/>
    </w:rPr>
  </w:style>
  <w:style w:type="paragraph" w:styleId="IntenseQuote">
    <w:name w:val="Intense Quote"/>
    <w:basedOn w:val="Normal"/>
    <w:next w:val="Normal"/>
    <w:link w:val="IntenseQuoteChar"/>
    <w:uiPriority w:val="30"/>
    <w:qFormat/>
    <w:rsid w:val="007C2D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2DF2"/>
    <w:rPr>
      <w:i/>
      <w:iCs/>
      <w:color w:val="0F4761" w:themeColor="accent1" w:themeShade="BF"/>
    </w:rPr>
  </w:style>
  <w:style w:type="character" w:styleId="IntenseReference">
    <w:name w:val="Intense Reference"/>
    <w:basedOn w:val="DefaultParagraphFont"/>
    <w:uiPriority w:val="32"/>
    <w:qFormat/>
    <w:rsid w:val="007C2DF2"/>
    <w:rPr>
      <w:b/>
      <w:bCs/>
      <w:smallCaps/>
      <w:color w:val="0F4761" w:themeColor="accent1" w:themeShade="BF"/>
      <w:spacing w:val="5"/>
    </w:rPr>
  </w:style>
  <w:style w:type="character" w:styleId="Hyperlink">
    <w:name w:val="Hyperlink"/>
    <w:basedOn w:val="DefaultParagraphFont"/>
    <w:uiPriority w:val="99"/>
    <w:unhideWhenUsed/>
    <w:rsid w:val="00683EF5"/>
    <w:rPr>
      <w:color w:val="467886" w:themeColor="hyperlink"/>
      <w:u w:val="single"/>
    </w:rPr>
  </w:style>
  <w:style w:type="character" w:styleId="UnresolvedMention">
    <w:name w:val="Unresolved Mention"/>
    <w:basedOn w:val="DefaultParagraphFont"/>
    <w:uiPriority w:val="99"/>
    <w:semiHidden/>
    <w:unhideWhenUsed/>
    <w:rsid w:val="00683EF5"/>
    <w:rPr>
      <w:color w:val="605E5C"/>
      <w:shd w:val="clear" w:color="auto" w:fill="E1DFDD"/>
    </w:rPr>
  </w:style>
  <w:style w:type="table" w:customStyle="1" w:styleId="Style11">
    <w:name w:val="_Style 11"/>
    <w:basedOn w:val="TableNormal"/>
    <w:qFormat/>
    <w:rsid w:val="0011735B"/>
    <w:pPr>
      <w:spacing w:after="0" w:line="240" w:lineRule="auto"/>
    </w:pPr>
    <w:rPr>
      <w:rFonts w:ascii="Times New Roman" w:hAnsi="Times New Roman" w:cs="Times New Roman"/>
      <w:sz w:val="20"/>
      <w:szCs w:val="20"/>
    </w:rPr>
    <w:tblPr>
      <w:tblInd w:w="0" w:type="nil"/>
      <w:tblCellMar>
        <w:top w:w="100" w:type="dxa"/>
        <w:left w:w="100" w:type="dxa"/>
        <w:bottom w:w="100" w:type="dxa"/>
        <w:right w:w="100" w:type="dxa"/>
      </w:tblCellMar>
    </w:tblPr>
  </w:style>
  <w:style w:type="paragraph" w:styleId="Header">
    <w:name w:val="header"/>
    <w:basedOn w:val="Normal"/>
    <w:link w:val="HeaderChar"/>
    <w:uiPriority w:val="99"/>
    <w:unhideWhenUsed/>
    <w:rsid w:val="001173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35B"/>
  </w:style>
  <w:style w:type="paragraph" w:styleId="Footer">
    <w:name w:val="footer"/>
    <w:basedOn w:val="Normal"/>
    <w:link w:val="FooterChar"/>
    <w:uiPriority w:val="99"/>
    <w:unhideWhenUsed/>
    <w:rsid w:val="001173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735B"/>
  </w:style>
  <w:style w:type="table" w:customStyle="1" w:styleId="Style12">
    <w:name w:val="_Style 12"/>
    <w:basedOn w:val="TableNormal"/>
    <w:qFormat/>
    <w:rsid w:val="0004684B"/>
    <w:pPr>
      <w:spacing w:after="0" w:line="240" w:lineRule="auto"/>
    </w:pPr>
    <w:rPr>
      <w:rFonts w:ascii="Times New Roman" w:hAnsi="Times New Roman" w:cs="Times New Roman"/>
      <w:sz w:val="20"/>
      <w:szCs w:val="20"/>
    </w:rPr>
    <w:tblPr>
      <w:tblInd w:w="0" w:type="nil"/>
      <w:tblCellMar>
        <w:top w:w="100" w:type="dxa"/>
        <w:left w:w="100" w:type="dxa"/>
        <w:bottom w:w="100" w:type="dxa"/>
        <w:right w:w="100" w:type="dxa"/>
      </w:tblCellMar>
    </w:tblPr>
  </w:style>
  <w:style w:type="table" w:customStyle="1" w:styleId="Style13">
    <w:name w:val="_Style 13"/>
    <w:basedOn w:val="TableNormal"/>
    <w:qFormat/>
    <w:rsid w:val="00E91085"/>
    <w:pPr>
      <w:spacing w:after="0" w:line="240" w:lineRule="auto"/>
    </w:pPr>
    <w:rPr>
      <w:rFonts w:ascii="Times New Roman" w:hAnsi="Times New Roman" w:cs="Times New Roman"/>
      <w:sz w:val="20"/>
      <w:szCs w:val="20"/>
    </w:rPr>
    <w:tblPr>
      <w:tblInd w:w="0" w:type="nil"/>
      <w:tblCellMar>
        <w:top w:w="100" w:type="dxa"/>
        <w:left w:w="100" w:type="dxa"/>
        <w:bottom w:w="100" w:type="dxa"/>
        <w:right w:w="100" w:type="dxa"/>
      </w:tblCellMar>
    </w:tblPr>
  </w:style>
  <w:style w:type="table" w:customStyle="1" w:styleId="Style14">
    <w:name w:val="_Style 14"/>
    <w:basedOn w:val="TableNormal"/>
    <w:qFormat/>
    <w:rsid w:val="00591CAF"/>
    <w:pPr>
      <w:spacing w:after="0" w:line="240" w:lineRule="auto"/>
    </w:pPr>
    <w:rPr>
      <w:rFonts w:ascii="Times New Roman" w:hAnsi="Times New Roman" w:cs="Times New Roman"/>
      <w:sz w:val="20"/>
      <w:szCs w:val="20"/>
    </w:rPr>
    <w:tblPr>
      <w:tblInd w:w="0" w:type="nil"/>
      <w:tblCellMar>
        <w:top w:w="100" w:type="dxa"/>
        <w:left w:w="100" w:type="dxa"/>
        <w:bottom w:w="100" w:type="dxa"/>
        <w:right w:w="100" w:type="dxa"/>
      </w:tblCellMar>
    </w:tblPr>
  </w:style>
  <w:style w:type="character" w:styleId="Strong">
    <w:name w:val="Strong"/>
    <w:basedOn w:val="DefaultParagraphFont"/>
    <w:uiPriority w:val="22"/>
    <w:qFormat/>
    <w:rsid w:val="00F15DD0"/>
    <w:rPr>
      <w:b/>
      <w:bCs/>
    </w:rPr>
  </w:style>
  <w:style w:type="table" w:styleId="TableGrid">
    <w:name w:val="Table Grid"/>
    <w:basedOn w:val="TableNormal"/>
    <w:uiPriority w:val="39"/>
    <w:rsid w:val="004900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274E4"/>
    <w:rPr>
      <w:rFonts w:ascii="Times New Roman" w:hAnsi="Times New Roman" w:cs="Times New Roman"/>
      <w:sz w:val="24"/>
      <w:szCs w:val="24"/>
    </w:rPr>
  </w:style>
  <w:style w:type="paragraph" w:customStyle="1" w:styleId="AcknHead">
    <w:name w:val="Ackn Head"/>
    <w:basedOn w:val="Normal"/>
    <w:rsid w:val="00E872E8"/>
    <w:pPr>
      <w:keepNext/>
      <w:spacing w:after="240" w:line="240" w:lineRule="auto"/>
    </w:pPr>
    <w:rPr>
      <w:rFonts w:ascii="Helvetica" w:eastAsia="Times New Roman" w:hAnsi="Helvetica" w:cs="Times New Roman"/>
      <w:b/>
      <w:caps/>
      <w:szCs w:val="20"/>
    </w:rPr>
  </w:style>
  <w:style w:type="paragraph" w:customStyle="1" w:styleId="ReferHead">
    <w:name w:val="Refer Head"/>
    <w:basedOn w:val="Normal"/>
    <w:rsid w:val="00E872E8"/>
    <w:pPr>
      <w:keepNext/>
      <w:spacing w:after="240" w:line="240" w:lineRule="auto"/>
    </w:pPr>
    <w:rPr>
      <w:rFonts w:ascii="Helvetica" w:eastAsia="Times New Roman" w:hAnsi="Helvetica" w:cs="Times New Roman"/>
      <w:b/>
      <w:cap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07034">
      <w:bodyDiv w:val="1"/>
      <w:marLeft w:val="0"/>
      <w:marRight w:val="0"/>
      <w:marTop w:val="0"/>
      <w:marBottom w:val="0"/>
      <w:divBdr>
        <w:top w:val="none" w:sz="0" w:space="0" w:color="auto"/>
        <w:left w:val="none" w:sz="0" w:space="0" w:color="auto"/>
        <w:bottom w:val="none" w:sz="0" w:space="0" w:color="auto"/>
        <w:right w:val="none" w:sz="0" w:space="0" w:color="auto"/>
      </w:divBdr>
      <w:divsChild>
        <w:div w:id="810829311">
          <w:marLeft w:val="0"/>
          <w:marRight w:val="0"/>
          <w:marTop w:val="0"/>
          <w:marBottom w:val="0"/>
          <w:divBdr>
            <w:top w:val="none" w:sz="0" w:space="0" w:color="auto"/>
            <w:left w:val="none" w:sz="0" w:space="0" w:color="auto"/>
            <w:bottom w:val="none" w:sz="0" w:space="0" w:color="auto"/>
            <w:right w:val="none" w:sz="0" w:space="0" w:color="auto"/>
          </w:divBdr>
          <w:divsChild>
            <w:div w:id="189878369">
              <w:marLeft w:val="0"/>
              <w:marRight w:val="0"/>
              <w:marTop w:val="0"/>
              <w:marBottom w:val="450"/>
              <w:divBdr>
                <w:top w:val="none" w:sz="0" w:space="0" w:color="auto"/>
                <w:left w:val="none" w:sz="0" w:space="0" w:color="auto"/>
                <w:bottom w:val="none" w:sz="0" w:space="0" w:color="auto"/>
                <w:right w:val="none" w:sz="0" w:space="0" w:color="auto"/>
              </w:divBdr>
              <w:divsChild>
                <w:div w:id="1159274645">
                  <w:marLeft w:val="0"/>
                  <w:marRight w:val="0"/>
                  <w:marTop w:val="0"/>
                  <w:marBottom w:val="0"/>
                  <w:divBdr>
                    <w:top w:val="none" w:sz="0" w:space="0" w:color="auto"/>
                    <w:left w:val="none" w:sz="0" w:space="0" w:color="auto"/>
                    <w:bottom w:val="none" w:sz="0" w:space="0" w:color="auto"/>
                    <w:right w:val="none" w:sz="0" w:space="0" w:color="auto"/>
                  </w:divBdr>
                  <w:divsChild>
                    <w:div w:id="1423256084">
                      <w:marLeft w:val="0"/>
                      <w:marRight w:val="0"/>
                      <w:marTop w:val="0"/>
                      <w:marBottom w:val="0"/>
                      <w:divBdr>
                        <w:top w:val="none" w:sz="0" w:space="0" w:color="auto"/>
                        <w:left w:val="none" w:sz="0" w:space="0" w:color="auto"/>
                        <w:bottom w:val="none" w:sz="0" w:space="0" w:color="auto"/>
                        <w:right w:val="none" w:sz="0" w:space="0" w:color="auto"/>
                      </w:divBdr>
                      <w:divsChild>
                        <w:div w:id="74287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43326">
      <w:bodyDiv w:val="1"/>
      <w:marLeft w:val="0"/>
      <w:marRight w:val="0"/>
      <w:marTop w:val="0"/>
      <w:marBottom w:val="0"/>
      <w:divBdr>
        <w:top w:val="none" w:sz="0" w:space="0" w:color="auto"/>
        <w:left w:val="none" w:sz="0" w:space="0" w:color="auto"/>
        <w:bottom w:val="none" w:sz="0" w:space="0" w:color="auto"/>
        <w:right w:val="none" w:sz="0" w:space="0" w:color="auto"/>
      </w:divBdr>
    </w:div>
    <w:div w:id="142550929">
      <w:bodyDiv w:val="1"/>
      <w:marLeft w:val="0"/>
      <w:marRight w:val="0"/>
      <w:marTop w:val="0"/>
      <w:marBottom w:val="0"/>
      <w:divBdr>
        <w:top w:val="none" w:sz="0" w:space="0" w:color="auto"/>
        <w:left w:val="none" w:sz="0" w:space="0" w:color="auto"/>
        <w:bottom w:val="none" w:sz="0" w:space="0" w:color="auto"/>
        <w:right w:val="none" w:sz="0" w:space="0" w:color="auto"/>
      </w:divBdr>
    </w:div>
    <w:div w:id="440807749">
      <w:bodyDiv w:val="1"/>
      <w:marLeft w:val="0"/>
      <w:marRight w:val="0"/>
      <w:marTop w:val="0"/>
      <w:marBottom w:val="0"/>
      <w:divBdr>
        <w:top w:val="none" w:sz="0" w:space="0" w:color="auto"/>
        <w:left w:val="none" w:sz="0" w:space="0" w:color="auto"/>
        <w:bottom w:val="none" w:sz="0" w:space="0" w:color="auto"/>
        <w:right w:val="none" w:sz="0" w:space="0" w:color="auto"/>
      </w:divBdr>
    </w:div>
    <w:div w:id="988557468">
      <w:bodyDiv w:val="1"/>
      <w:marLeft w:val="0"/>
      <w:marRight w:val="0"/>
      <w:marTop w:val="0"/>
      <w:marBottom w:val="0"/>
      <w:divBdr>
        <w:top w:val="none" w:sz="0" w:space="0" w:color="auto"/>
        <w:left w:val="none" w:sz="0" w:space="0" w:color="auto"/>
        <w:bottom w:val="none" w:sz="0" w:space="0" w:color="auto"/>
        <w:right w:val="none" w:sz="0" w:space="0" w:color="auto"/>
      </w:divBdr>
      <w:divsChild>
        <w:div w:id="179973932">
          <w:marLeft w:val="0"/>
          <w:marRight w:val="0"/>
          <w:marTop w:val="0"/>
          <w:marBottom w:val="0"/>
          <w:divBdr>
            <w:top w:val="none" w:sz="0" w:space="0" w:color="auto"/>
            <w:left w:val="none" w:sz="0" w:space="0" w:color="auto"/>
            <w:bottom w:val="none" w:sz="0" w:space="0" w:color="auto"/>
            <w:right w:val="none" w:sz="0" w:space="0" w:color="auto"/>
          </w:divBdr>
          <w:divsChild>
            <w:div w:id="1888762411">
              <w:marLeft w:val="0"/>
              <w:marRight w:val="0"/>
              <w:marTop w:val="0"/>
              <w:marBottom w:val="0"/>
              <w:divBdr>
                <w:top w:val="none" w:sz="0" w:space="0" w:color="auto"/>
                <w:left w:val="none" w:sz="0" w:space="0" w:color="auto"/>
                <w:bottom w:val="none" w:sz="0" w:space="0" w:color="auto"/>
                <w:right w:val="none" w:sz="0" w:space="0" w:color="auto"/>
              </w:divBdr>
              <w:divsChild>
                <w:div w:id="402215020">
                  <w:marLeft w:val="0"/>
                  <w:marRight w:val="0"/>
                  <w:marTop w:val="0"/>
                  <w:marBottom w:val="0"/>
                  <w:divBdr>
                    <w:top w:val="none" w:sz="0" w:space="0" w:color="auto"/>
                    <w:left w:val="none" w:sz="0" w:space="0" w:color="auto"/>
                    <w:bottom w:val="none" w:sz="0" w:space="0" w:color="auto"/>
                    <w:right w:val="none" w:sz="0" w:space="0" w:color="auto"/>
                  </w:divBdr>
                  <w:divsChild>
                    <w:div w:id="2033189248">
                      <w:marLeft w:val="0"/>
                      <w:marRight w:val="0"/>
                      <w:marTop w:val="0"/>
                      <w:marBottom w:val="0"/>
                      <w:divBdr>
                        <w:top w:val="none" w:sz="0" w:space="0" w:color="auto"/>
                        <w:left w:val="none" w:sz="0" w:space="0" w:color="auto"/>
                        <w:bottom w:val="none" w:sz="0" w:space="0" w:color="auto"/>
                        <w:right w:val="none" w:sz="0" w:space="0" w:color="auto"/>
                      </w:divBdr>
                      <w:divsChild>
                        <w:div w:id="909382916">
                          <w:marLeft w:val="0"/>
                          <w:marRight w:val="0"/>
                          <w:marTop w:val="0"/>
                          <w:marBottom w:val="0"/>
                          <w:divBdr>
                            <w:top w:val="none" w:sz="0" w:space="0" w:color="auto"/>
                            <w:left w:val="none" w:sz="0" w:space="0" w:color="auto"/>
                            <w:bottom w:val="none" w:sz="0" w:space="0" w:color="auto"/>
                            <w:right w:val="none" w:sz="0" w:space="0" w:color="auto"/>
                          </w:divBdr>
                          <w:divsChild>
                            <w:div w:id="147212995">
                              <w:marLeft w:val="0"/>
                              <w:marRight w:val="0"/>
                              <w:marTop w:val="0"/>
                              <w:marBottom w:val="0"/>
                              <w:divBdr>
                                <w:top w:val="none" w:sz="0" w:space="0" w:color="auto"/>
                                <w:left w:val="none" w:sz="0" w:space="0" w:color="auto"/>
                                <w:bottom w:val="none" w:sz="0" w:space="0" w:color="auto"/>
                                <w:right w:val="none" w:sz="0" w:space="0" w:color="auto"/>
                              </w:divBdr>
                              <w:divsChild>
                                <w:div w:id="1842087126">
                                  <w:marLeft w:val="0"/>
                                  <w:marRight w:val="0"/>
                                  <w:marTop w:val="0"/>
                                  <w:marBottom w:val="0"/>
                                  <w:divBdr>
                                    <w:top w:val="none" w:sz="0" w:space="0" w:color="auto"/>
                                    <w:left w:val="none" w:sz="0" w:space="0" w:color="auto"/>
                                    <w:bottom w:val="none" w:sz="0" w:space="0" w:color="auto"/>
                                    <w:right w:val="none" w:sz="0" w:space="0" w:color="auto"/>
                                  </w:divBdr>
                                  <w:divsChild>
                                    <w:div w:id="119113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578860">
                          <w:marLeft w:val="0"/>
                          <w:marRight w:val="0"/>
                          <w:marTop w:val="0"/>
                          <w:marBottom w:val="0"/>
                          <w:divBdr>
                            <w:top w:val="none" w:sz="0" w:space="0" w:color="auto"/>
                            <w:left w:val="none" w:sz="0" w:space="0" w:color="auto"/>
                            <w:bottom w:val="none" w:sz="0" w:space="0" w:color="auto"/>
                            <w:right w:val="none" w:sz="0" w:space="0" w:color="auto"/>
                          </w:divBdr>
                          <w:divsChild>
                            <w:div w:id="436557434">
                              <w:marLeft w:val="0"/>
                              <w:marRight w:val="0"/>
                              <w:marTop w:val="0"/>
                              <w:marBottom w:val="0"/>
                              <w:divBdr>
                                <w:top w:val="none" w:sz="0" w:space="0" w:color="auto"/>
                                <w:left w:val="none" w:sz="0" w:space="0" w:color="auto"/>
                                <w:bottom w:val="none" w:sz="0" w:space="0" w:color="auto"/>
                                <w:right w:val="none" w:sz="0" w:space="0" w:color="auto"/>
                              </w:divBdr>
                              <w:divsChild>
                                <w:div w:id="144415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4617888">
      <w:bodyDiv w:val="1"/>
      <w:marLeft w:val="0"/>
      <w:marRight w:val="0"/>
      <w:marTop w:val="0"/>
      <w:marBottom w:val="0"/>
      <w:divBdr>
        <w:top w:val="none" w:sz="0" w:space="0" w:color="auto"/>
        <w:left w:val="none" w:sz="0" w:space="0" w:color="auto"/>
        <w:bottom w:val="none" w:sz="0" w:space="0" w:color="auto"/>
        <w:right w:val="none" w:sz="0" w:space="0" w:color="auto"/>
      </w:divBdr>
      <w:divsChild>
        <w:div w:id="978416441">
          <w:marLeft w:val="0"/>
          <w:marRight w:val="0"/>
          <w:marTop w:val="0"/>
          <w:marBottom w:val="0"/>
          <w:divBdr>
            <w:top w:val="none" w:sz="0" w:space="0" w:color="auto"/>
            <w:left w:val="none" w:sz="0" w:space="0" w:color="auto"/>
            <w:bottom w:val="none" w:sz="0" w:space="0" w:color="auto"/>
            <w:right w:val="none" w:sz="0" w:space="0" w:color="auto"/>
          </w:divBdr>
          <w:divsChild>
            <w:div w:id="129789924">
              <w:marLeft w:val="0"/>
              <w:marRight w:val="0"/>
              <w:marTop w:val="0"/>
              <w:marBottom w:val="450"/>
              <w:divBdr>
                <w:top w:val="none" w:sz="0" w:space="0" w:color="auto"/>
                <w:left w:val="none" w:sz="0" w:space="0" w:color="auto"/>
                <w:bottom w:val="none" w:sz="0" w:space="0" w:color="auto"/>
                <w:right w:val="none" w:sz="0" w:space="0" w:color="auto"/>
              </w:divBdr>
              <w:divsChild>
                <w:div w:id="1636523545">
                  <w:marLeft w:val="0"/>
                  <w:marRight w:val="0"/>
                  <w:marTop w:val="0"/>
                  <w:marBottom w:val="0"/>
                  <w:divBdr>
                    <w:top w:val="none" w:sz="0" w:space="0" w:color="auto"/>
                    <w:left w:val="none" w:sz="0" w:space="0" w:color="auto"/>
                    <w:bottom w:val="none" w:sz="0" w:space="0" w:color="auto"/>
                    <w:right w:val="none" w:sz="0" w:space="0" w:color="auto"/>
                  </w:divBdr>
                  <w:divsChild>
                    <w:div w:id="1590775666">
                      <w:marLeft w:val="0"/>
                      <w:marRight w:val="0"/>
                      <w:marTop w:val="0"/>
                      <w:marBottom w:val="0"/>
                      <w:divBdr>
                        <w:top w:val="none" w:sz="0" w:space="0" w:color="auto"/>
                        <w:left w:val="none" w:sz="0" w:space="0" w:color="auto"/>
                        <w:bottom w:val="none" w:sz="0" w:space="0" w:color="auto"/>
                        <w:right w:val="none" w:sz="0" w:space="0" w:color="auto"/>
                      </w:divBdr>
                      <w:divsChild>
                        <w:div w:id="97887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4767479">
      <w:bodyDiv w:val="1"/>
      <w:marLeft w:val="0"/>
      <w:marRight w:val="0"/>
      <w:marTop w:val="0"/>
      <w:marBottom w:val="0"/>
      <w:divBdr>
        <w:top w:val="none" w:sz="0" w:space="0" w:color="auto"/>
        <w:left w:val="none" w:sz="0" w:space="0" w:color="auto"/>
        <w:bottom w:val="none" w:sz="0" w:space="0" w:color="auto"/>
        <w:right w:val="none" w:sz="0" w:space="0" w:color="auto"/>
      </w:divBdr>
    </w:div>
    <w:div w:id="1085302893">
      <w:bodyDiv w:val="1"/>
      <w:marLeft w:val="0"/>
      <w:marRight w:val="0"/>
      <w:marTop w:val="0"/>
      <w:marBottom w:val="0"/>
      <w:divBdr>
        <w:top w:val="none" w:sz="0" w:space="0" w:color="auto"/>
        <w:left w:val="none" w:sz="0" w:space="0" w:color="auto"/>
        <w:bottom w:val="none" w:sz="0" w:space="0" w:color="auto"/>
        <w:right w:val="none" w:sz="0" w:space="0" w:color="auto"/>
      </w:divBdr>
    </w:div>
    <w:div w:id="1428648858">
      <w:bodyDiv w:val="1"/>
      <w:marLeft w:val="0"/>
      <w:marRight w:val="0"/>
      <w:marTop w:val="0"/>
      <w:marBottom w:val="0"/>
      <w:divBdr>
        <w:top w:val="none" w:sz="0" w:space="0" w:color="auto"/>
        <w:left w:val="none" w:sz="0" w:space="0" w:color="auto"/>
        <w:bottom w:val="none" w:sz="0" w:space="0" w:color="auto"/>
        <w:right w:val="none" w:sz="0" w:space="0" w:color="auto"/>
      </w:divBdr>
      <w:divsChild>
        <w:div w:id="1473254353">
          <w:marLeft w:val="0"/>
          <w:marRight w:val="0"/>
          <w:marTop w:val="0"/>
          <w:marBottom w:val="0"/>
          <w:divBdr>
            <w:top w:val="none" w:sz="0" w:space="0" w:color="auto"/>
            <w:left w:val="none" w:sz="0" w:space="0" w:color="auto"/>
            <w:bottom w:val="none" w:sz="0" w:space="0" w:color="auto"/>
            <w:right w:val="none" w:sz="0" w:space="0" w:color="auto"/>
          </w:divBdr>
          <w:divsChild>
            <w:div w:id="1031538961">
              <w:marLeft w:val="0"/>
              <w:marRight w:val="0"/>
              <w:marTop w:val="0"/>
              <w:marBottom w:val="0"/>
              <w:divBdr>
                <w:top w:val="none" w:sz="0" w:space="0" w:color="auto"/>
                <w:left w:val="none" w:sz="0" w:space="0" w:color="auto"/>
                <w:bottom w:val="none" w:sz="0" w:space="0" w:color="auto"/>
                <w:right w:val="none" w:sz="0" w:space="0" w:color="auto"/>
              </w:divBdr>
              <w:divsChild>
                <w:div w:id="1393113187">
                  <w:marLeft w:val="0"/>
                  <w:marRight w:val="0"/>
                  <w:marTop w:val="0"/>
                  <w:marBottom w:val="0"/>
                  <w:divBdr>
                    <w:top w:val="none" w:sz="0" w:space="0" w:color="auto"/>
                    <w:left w:val="none" w:sz="0" w:space="0" w:color="auto"/>
                    <w:bottom w:val="none" w:sz="0" w:space="0" w:color="auto"/>
                    <w:right w:val="none" w:sz="0" w:space="0" w:color="auto"/>
                  </w:divBdr>
                  <w:divsChild>
                    <w:div w:id="1639332894">
                      <w:marLeft w:val="0"/>
                      <w:marRight w:val="0"/>
                      <w:marTop w:val="0"/>
                      <w:marBottom w:val="0"/>
                      <w:divBdr>
                        <w:top w:val="none" w:sz="0" w:space="0" w:color="auto"/>
                        <w:left w:val="none" w:sz="0" w:space="0" w:color="auto"/>
                        <w:bottom w:val="none" w:sz="0" w:space="0" w:color="auto"/>
                        <w:right w:val="none" w:sz="0" w:space="0" w:color="auto"/>
                      </w:divBdr>
                      <w:divsChild>
                        <w:div w:id="1616672360">
                          <w:marLeft w:val="0"/>
                          <w:marRight w:val="0"/>
                          <w:marTop w:val="0"/>
                          <w:marBottom w:val="0"/>
                          <w:divBdr>
                            <w:top w:val="none" w:sz="0" w:space="0" w:color="auto"/>
                            <w:left w:val="none" w:sz="0" w:space="0" w:color="auto"/>
                            <w:bottom w:val="none" w:sz="0" w:space="0" w:color="auto"/>
                            <w:right w:val="none" w:sz="0" w:space="0" w:color="auto"/>
                          </w:divBdr>
                          <w:divsChild>
                            <w:div w:id="439300899">
                              <w:marLeft w:val="0"/>
                              <w:marRight w:val="0"/>
                              <w:marTop w:val="0"/>
                              <w:marBottom w:val="0"/>
                              <w:divBdr>
                                <w:top w:val="none" w:sz="0" w:space="0" w:color="auto"/>
                                <w:left w:val="none" w:sz="0" w:space="0" w:color="auto"/>
                                <w:bottom w:val="none" w:sz="0" w:space="0" w:color="auto"/>
                                <w:right w:val="none" w:sz="0" w:space="0" w:color="auto"/>
                              </w:divBdr>
                              <w:divsChild>
                                <w:div w:id="1681588231">
                                  <w:marLeft w:val="0"/>
                                  <w:marRight w:val="0"/>
                                  <w:marTop w:val="0"/>
                                  <w:marBottom w:val="0"/>
                                  <w:divBdr>
                                    <w:top w:val="none" w:sz="0" w:space="0" w:color="auto"/>
                                    <w:left w:val="none" w:sz="0" w:space="0" w:color="auto"/>
                                    <w:bottom w:val="none" w:sz="0" w:space="0" w:color="auto"/>
                                    <w:right w:val="none" w:sz="0" w:space="0" w:color="auto"/>
                                  </w:divBdr>
                                  <w:divsChild>
                                    <w:div w:id="211728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167822">
                          <w:marLeft w:val="0"/>
                          <w:marRight w:val="0"/>
                          <w:marTop w:val="0"/>
                          <w:marBottom w:val="0"/>
                          <w:divBdr>
                            <w:top w:val="none" w:sz="0" w:space="0" w:color="auto"/>
                            <w:left w:val="none" w:sz="0" w:space="0" w:color="auto"/>
                            <w:bottom w:val="none" w:sz="0" w:space="0" w:color="auto"/>
                            <w:right w:val="none" w:sz="0" w:space="0" w:color="auto"/>
                          </w:divBdr>
                          <w:divsChild>
                            <w:div w:id="728765577">
                              <w:marLeft w:val="0"/>
                              <w:marRight w:val="0"/>
                              <w:marTop w:val="0"/>
                              <w:marBottom w:val="0"/>
                              <w:divBdr>
                                <w:top w:val="none" w:sz="0" w:space="0" w:color="auto"/>
                                <w:left w:val="none" w:sz="0" w:space="0" w:color="auto"/>
                                <w:bottom w:val="none" w:sz="0" w:space="0" w:color="auto"/>
                                <w:right w:val="none" w:sz="0" w:space="0" w:color="auto"/>
                              </w:divBdr>
                              <w:divsChild>
                                <w:div w:id="78843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4324868">
      <w:bodyDiv w:val="1"/>
      <w:marLeft w:val="0"/>
      <w:marRight w:val="0"/>
      <w:marTop w:val="0"/>
      <w:marBottom w:val="0"/>
      <w:divBdr>
        <w:top w:val="none" w:sz="0" w:space="0" w:color="auto"/>
        <w:left w:val="none" w:sz="0" w:space="0" w:color="auto"/>
        <w:bottom w:val="none" w:sz="0" w:space="0" w:color="auto"/>
        <w:right w:val="none" w:sz="0" w:space="0" w:color="auto"/>
      </w:divBdr>
    </w:div>
    <w:div w:id="1548294020">
      <w:bodyDiv w:val="1"/>
      <w:marLeft w:val="0"/>
      <w:marRight w:val="0"/>
      <w:marTop w:val="0"/>
      <w:marBottom w:val="0"/>
      <w:divBdr>
        <w:top w:val="none" w:sz="0" w:space="0" w:color="auto"/>
        <w:left w:val="none" w:sz="0" w:space="0" w:color="auto"/>
        <w:bottom w:val="none" w:sz="0" w:space="0" w:color="auto"/>
        <w:right w:val="none" w:sz="0" w:space="0" w:color="auto"/>
      </w:divBdr>
    </w:div>
    <w:div w:id="1695770318">
      <w:bodyDiv w:val="1"/>
      <w:marLeft w:val="0"/>
      <w:marRight w:val="0"/>
      <w:marTop w:val="0"/>
      <w:marBottom w:val="0"/>
      <w:divBdr>
        <w:top w:val="none" w:sz="0" w:space="0" w:color="auto"/>
        <w:left w:val="none" w:sz="0" w:space="0" w:color="auto"/>
        <w:bottom w:val="none" w:sz="0" w:space="0" w:color="auto"/>
        <w:right w:val="none" w:sz="0" w:space="0" w:color="auto"/>
      </w:divBdr>
    </w:div>
    <w:div w:id="1770156496">
      <w:bodyDiv w:val="1"/>
      <w:marLeft w:val="0"/>
      <w:marRight w:val="0"/>
      <w:marTop w:val="0"/>
      <w:marBottom w:val="0"/>
      <w:divBdr>
        <w:top w:val="none" w:sz="0" w:space="0" w:color="auto"/>
        <w:left w:val="none" w:sz="0" w:space="0" w:color="auto"/>
        <w:bottom w:val="none" w:sz="0" w:space="0" w:color="auto"/>
        <w:right w:val="none" w:sz="0" w:space="0" w:color="auto"/>
      </w:divBdr>
    </w:div>
    <w:div w:id="1851067376">
      <w:bodyDiv w:val="1"/>
      <w:marLeft w:val="0"/>
      <w:marRight w:val="0"/>
      <w:marTop w:val="0"/>
      <w:marBottom w:val="0"/>
      <w:divBdr>
        <w:top w:val="none" w:sz="0" w:space="0" w:color="auto"/>
        <w:left w:val="none" w:sz="0" w:space="0" w:color="auto"/>
        <w:bottom w:val="none" w:sz="0" w:space="0" w:color="auto"/>
        <w:right w:val="none" w:sz="0" w:space="0" w:color="auto"/>
      </w:divBdr>
    </w:div>
    <w:div w:id="1868711918">
      <w:bodyDiv w:val="1"/>
      <w:marLeft w:val="0"/>
      <w:marRight w:val="0"/>
      <w:marTop w:val="0"/>
      <w:marBottom w:val="0"/>
      <w:divBdr>
        <w:top w:val="none" w:sz="0" w:space="0" w:color="auto"/>
        <w:left w:val="none" w:sz="0" w:space="0" w:color="auto"/>
        <w:bottom w:val="none" w:sz="0" w:space="0" w:color="auto"/>
        <w:right w:val="none" w:sz="0" w:space="0" w:color="auto"/>
      </w:divBdr>
    </w:div>
    <w:div w:id="1890997886">
      <w:bodyDiv w:val="1"/>
      <w:marLeft w:val="0"/>
      <w:marRight w:val="0"/>
      <w:marTop w:val="0"/>
      <w:marBottom w:val="0"/>
      <w:divBdr>
        <w:top w:val="none" w:sz="0" w:space="0" w:color="auto"/>
        <w:left w:val="none" w:sz="0" w:space="0" w:color="auto"/>
        <w:bottom w:val="none" w:sz="0" w:space="0" w:color="auto"/>
        <w:right w:val="none" w:sz="0" w:space="0" w:color="auto"/>
      </w:divBdr>
    </w:div>
    <w:div w:id="1942493780">
      <w:bodyDiv w:val="1"/>
      <w:marLeft w:val="0"/>
      <w:marRight w:val="0"/>
      <w:marTop w:val="0"/>
      <w:marBottom w:val="0"/>
      <w:divBdr>
        <w:top w:val="none" w:sz="0" w:space="0" w:color="auto"/>
        <w:left w:val="none" w:sz="0" w:space="0" w:color="auto"/>
        <w:bottom w:val="none" w:sz="0" w:space="0" w:color="auto"/>
        <w:right w:val="none" w:sz="0" w:space="0" w:color="auto"/>
      </w:divBdr>
    </w:div>
    <w:div w:id="1952854950">
      <w:bodyDiv w:val="1"/>
      <w:marLeft w:val="0"/>
      <w:marRight w:val="0"/>
      <w:marTop w:val="0"/>
      <w:marBottom w:val="0"/>
      <w:divBdr>
        <w:top w:val="none" w:sz="0" w:space="0" w:color="auto"/>
        <w:left w:val="none" w:sz="0" w:space="0" w:color="auto"/>
        <w:bottom w:val="none" w:sz="0" w:space="0" w:color="auto"/>
        <w:right w:val="none" w:sz="0" w:space="0" w:color="auto"/>
      </w:divBdr>
    </w:div>
    <w:div w:id="200188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C21A1-369E-4893-B71D-F4EA46EB0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4196</TotalTime>
  <Pages>17</Pages>
  <Words>8420</Words>
  <Characters>47994</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akhila gundeti</dc:creator>
  <cp:keywords/>
  <dc:description/>
  <cp:lastModifiedBy>SDI 1166</cp:lastModifiedBy>
  <cp:revision>1077</cp:revision>
  <dcterms:created xsi:type="dcterms:W3CDTF">2025-05-05T06:21:00Z</dcterms:created>
  <dcterms:modified xsi:type="dcterms:W3CDTF">2026-05-16T12:23:00Z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64f8f717-a0e6-445e-a7f7-daa07b54ad1b</vt:lpwstr>
  </property>
</Properties>
</file>