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E26E0" w14:textId="54566E96" w:rsidR="005B198D" w:rsidRDefault="00D135DF" w:rsidP="005B198D">
      <w:pPr>
        <w:jc w:val="both"/>
        <w:rPr>
          <w:b/>
          <w:bCs/>
          <w:sz w:val="24"/>
          <w:szCs w:val="24"/>
        </w:rPr>
      </w:pPr>
      <w:r>
        <w:rPr>
          <w:b/>
          <w:bCs/>
        </w:rPr>
        <w:t>Serum Uric Acid and Uric Acid–Creatinine Ratio as Emerging Indicators of Renal Adaptation and Risk in Pregnancy</w:t>
      </w:r>
      <w:r>
        <w:rPr>
          <w:b/>
          <w:bCs/>
          <w:highlight w:val="magenta"/>
        </w:rPr>
        <w:br/>
      </w:r>
      <w:r>
        <w:rPr>
          <w:b/>
          <w:bCs/>
        </w:rPr>
        <w:br/>
      </w:r>
    </w:p>
    <w:p w14:paraId="12DD5D11" w14:textId="77777777" w:rsidR="005B198D" w:rsidRDefault="005B198D" w:rsidP="005B198D">
      <w:pPr>
        <w:jc w:val="both"/>
        <w:rPr>
          <w:b/>
          <w:bCs/>
          <w:sz w:val="24"/>
          <w:szCs w:val="24"/>
        </w:rPr>
      </w:pPr>
      <w:bookmarkStart w:id="0" w:name="_GoBack"/>
      <w:bookmarkEnd w:id="0"/>
    </w:p>
    <w:p w14:paraId="370603F1" w14:textId="096F0728" w:rsidR="00FD08C3" w:rsidRDefault="005C6EB4">
      <w:pPr>
        <w:jc w:val="both"/>
        <w:rPr>
          <w:b/>
          <w:bCs/>
          <w:sz w:val="24"/>
          <w:szCs w:val="24"/>
        </w:rPr>
      </w:pPr>
      <w:r>
        <w:rPr>
          <w:b/>
          <w:bCs/>
          <w:sz w:val="24"/>
          <w:szCs w:val="24"/>
        </w:rPr>
        <w:br/>
        <w:t>ABSTRACT</w:t>
      </w:r>
    </w:p>
    <w:p w14:paraId="7CD2009A" w14:textId="77777777" w:rsidR="00FD08C3" w:rsidRDefault="00D135DF">
      <w:pPr>
        <w:spacing w:before="240" w:after="240"/>
        <w:jc w:val="both"/>
        <w:rPr>
          <w:sz w:val="24"/>
          <w:szCs w:val="24"/>
        </w:rPr>
      </w:pPr>
      <w:r>
        <w:rPr>
          <w:b/>
          <w:bCs/>
          <w:sz w:val="24"/>
          <w:szCs w:val="24"/>
        </w:rPr>
        <w:t>Ba</w:t>
      </w:r>
      <w:r>
        <w:rPr>
          <w:b/>
          <w:bCs/>
          <w:sz w:val="24"/>
          <w:szCs w:val="24"/>
        </w:rPr>
        <w:t xml:space="preserve">ckground: </w:t>
      </w:r>
      <w:r>
        <w:rPr>
          <w:sz w:val="24"/>
          <w:szCs w:val="24"/>
        </w:rPr>
        <w:t xml:space="preserve">Serum uric acid has emerged as a clinically relevant biomarker in pregnancy due to its association with renal function, oxidative stress, and hypertensive disorders such as preeclampsia. The uric acid–creatinine ratio has been proposed as a more </w:t>
      </w:r>
      <w:r>
        <w:rPr>
          <w:sz w:val="24"/>
          <w:szCs w:val="24"/>
        </w:rPr>
        <w:t>sensitive indicator of renal adaptation, as it accounts for variations in glomerular filtration.</w:t>
      </w:r>
    </w:p>
    <w:p w14:paraId="1F6E0A2F" w14:textId="77777777" w:rsidR="00FD08C3" w:rsidRDefault="00D135DF">
      <w:pPr>
        <w:spacing w:before="240" w:after="240"/>
        <w:jc w:val="both"/>
        <w:rPr>
          <w:sz w:val="24"/>
          <w:szCs w:val="24"/>
        </w:rPr>
      </w:pPr>
      <w:r>
        <w:rPr>
          <w:b/>
          <w:bCs/>
          <w:sz w:val="24"/>
          <w:szCs w:val="24"/>
        </w:rPr>
        <w:t xml:space="preserve">Objective: </w:t>
      </w:r>
      <w:r>
        <w:rPr>
          <w:sz w:val="24"/>
          <w:szCs w:val="24"/>
        </w:rPr>
        <w:t>This study evaluated serum uric acid levels and the uric acid–creatinine ratio as indicators of renal adaptation among pregnant women in Port Harcou</w:t>
      </w:r>
      <w:r>
        <w:rPr>
          <w:sz w:val="24"/>
          <w:szCs w:val="24"/>
        </w:rPr>
        <w:t>rt, Nigeria, and compared findings with non-pregnant controls.</w:t>
      </w:r>
    </w:p>
    <w:p w14:paraId="5B8978D3" w14:textId="77777777" w:rsidR="00FD08C3" w:rsidRDefault="00D135DF">
      <w:pPr>
        <w:spacing w:before="240" w:after="240"/>
        <w:jc w:val="both"/>
        <w:rPr>
          <w:sz w:val="24"/>
          <w:szCs w:val="24"/>
        </w:rPr>
      </w:pPr>
      <w:r>
        <w:rPr>
          <w:b/>
          <w:bCs/>
          <w:sz w:val="24"/>
          <w:szCs w:val="24"/>
        </w:rPr>
        <w:t xml:space="preserve">Methods: </w:t>
      </w:r>
      <w:r>
        <w:rPr>
          <w:sz w:val="24"/>
          <w:szCs w:val="24"/>
        </w:rPr>
        <w:t>A cross-sectional analytical study was conducted among 150 women, comprising 90 pregnant women (30 per trimester) and 60 non-pregnant controls. Blood samples were collected and analyze</w:t>
      </w:r>
      <w:r>
        <w:rPr>
          <w:sz w:val="24"/>
          <w:szCs w:val="24"/>
        </w:rPr>
        <w:t>d for creatinine, urea, electrolytes, and uric acid using standard laboratory methods. The uric acid–creatinine ratio was calculated. Data were analyzed using SPSS version 24, with statistical significance set at p &lt; 0.05.</w:t>
      </w:r>
    </w:p>
    <w:p w14:paraId="43ED28FE" w14:textId="77777777" w:rsidR="00FD08C3" w:rsidRDefault="00D135DF">
      <w:pPr>
        <w:spacing w:before="240" w:after="240"/>
        <w:jc w:val="both"/>
        <w:rPr>
          <w:sz w:val="24"/>
          <w:szCs w:val="24"/>
        </w:rPr>
      </w:pPr>
      <w:r>
        <w:rPr>
          <w:b/>
          <w:bCs/>
          <w:sz w:val="24"/>
          <w:szCs w:val="24"/>
        </w:rPr>
        <w:t xml:space="preserve">Results: </w:t>
      </w:r>
      <w:r>
        <w:rPr>
          <w:sz w:val="24"/>
          <w:szCs w:val="24"/>
        </w:rPr>
        <w:t>Pregnant women had signi</w:t>
      </w:r>
      <w:r>
        <w:rPr>
          <w:sz w:val="24"/>
          <w:szCs w:val="24"/>
        </w:rPr>
        <w:t>ficantly higher levels of creatinine, urea, potassium, chloride, bicarbonate, uric acid, and uric acid–creatinine ratio compared to non-pregnant controls (p &lt; 0.05), while sodium levels showed no significant difference. Across trimesters, creatinine increa</w:t>
      </w:r>
      <w:r>
        <w:rPr>
          <w:sz w:val="24"/>
          <w:szCs w:val="24"/>
        </w:rPr>
        <w:t>sed significantly (p = 0.026), and chloride decreased in the third trimester (p = 0.043). Uric acid levels and derived ratios did not vary significantly across trimesters. Age-related analysis showed a significant decline in potassium levels with increasin</w:t>
      </w:r>
      <w:r>
        <w:rPr>
          <w:sz w:val="24"/>
          <w:szCs w:val="24"/>
        </w:rPr>
        <w:t>g age (p = 0.032).</w:t>
      </w:r>
    </w:p>
    <w:p w14:paraId="7C4A7927" w14:textId="77777777" w:rsidR="00FD08C3" w:rsidRDefault="00D135DF">
      <w:pPr>
        <w:spacing w:before="240" w:after="240"/>
        <w:jc w:val="both"/>
        <w:rPr>
          <w:sz w:val="24"/>
          <w:szCs w:val="24"/>
        </w:rPr>
      </w:pPr>
      <w:r>
        <w:rPr>
          <w:b/>
          <w:bCs/>
          <w:sz w:val="24"/>
          <w:szCs w:val="24"/>
        </w:rPr>
        <w:t xml:space="preserve">Conclusion: </w:t>
      </w:r>
      <w:r>
        <w:rPr>
          <w:sz w:val="24"/>
          <w:szCs w:val="24"/>
        </w:rPr>
        <w:t xml:space="preserve">Serum uric acid and the uric acid–creatinine ratio </w:t>
      </w:r>
      <w:proofErr w:type="gramStart"/>
      <w:r>
        <w:rPr>
          <w:sz w:val="24"/>
          <w:szCs w:val="24"/>
        </w:rPr>
        <w:t>are</w:t>
      </w:r>
      <w:proofErr w:type="gramEnd"/>
      <w:r>
        <w:rPr>
          <w:sz w:val="24"/>
          <w:szCs w:val="24"/>
        </w:rPr>
        <w:t xml:space="preserve"> elevated in pregnancy and reflect important renal adaptations. These biomarkers may serve as useful, cost-effective tools for monitoring renal function and identifying ea</w:t>
      </w:r>
      <w:r>
        <w:rPr>
          <w:sz w:val="24"/>
          <w:szCs w:val="24"/>
        </w:rPr>
        <w:t>rly risk of pregnancy-related complications.</w:t>
      </w:r>
    </w:p>
    <w:p w14:paraId="5016C80D" w14:textId="77777777" w:rsidR="00FD08C3" w:rsidRDefault="00D135DF">
      <w:pPr>
        <w:pStyle w:val="Heading1"/>
        <w:keepNext w:val="0"/>
        <w:keepLines w:val="0"/>
        <w:spacing w:before="480"/>
        <w:jc w:val="both"/>
        <w:rPr>
          <w:sz w:val="24"/>
          <w:szCs w:val="24"/>
        </w:rPr>
      </w:pPr>
      <w:bookmarkStart w:id="1" w:name="_p3i9midk6dkd" w:colFirst="0" w:colLast="0"/>
      <w:bookmarkEnd w:id="1"/>
      <w:r>
        <w:rPr>
          <w:b/>
          <w:bCs/>
          <w:sz w:val="24"/>
          <w:szCs w:val="24"/>
        </w:rPr>
        <w:t>Keywords:</w:t>
      </w:r>
      <w:r>
        <w:rPr>
          <w:sz w:val="24"/>
          <w:szCs w:val="24"/>
        </w:rPr>
        <w:t xml:space="preserve"> Serum uric acid, Uric acid–creatinine ratio, Pregnancy, Renal function, Electrolytes, Preeclampsia, Nigeria</w:t>
      </w:r>
    </w:p>
    <w:p w14:paraId="1505705E" w14:textId="77777777" w:rsidR="00FD08C3" w:rsidRDefault="00FD08C3">
      <w:pPr>
        <w:jc w:val="both"/>
        <w:rPr>
          <w:b/>
          <w:bCs/>
          <w:highlight w:val="magenta"/>
        </w:rPr>
      </w:pPr>
    </w:p>
    <w:p w14:paraId="0CB4913B" w14:textId="77777777" w:rsidR="00FD08C3" w:rsidRDefault="00FD08C3">
      <w:pPr>
        <w:jc w:val="both"/>
        <w:rPr>
          <w:b/>
          <w:bCs/>
          <w:sz w:val="24"/>
          <w:szCs w:val="24"/>
        </w:rPr>
      </w:pPr>
    </w:p>
    <w:p w14:paraId="06343810" w14:textId="77777777" w:rsidR="00FD08C3" w:rsidRDefault="00D135DF">
      <w:pPr>
        <w:jc w:val="both"/>
        <w:rPr>
          <w:b/>
          <w:bCs/>
          <w:sz w:val="34"/>
          <w:szCs w:val="34"/>
        </w:rPr>
      </w:pPr>
      <w:r>
        <w:rPr>
          <w:b/>
          <w:bCs/>
          <w:sz w:val="24"/>
          <w:szCs w:val="24"/>
        </w:rPr>
        <w:lastRenderedPageBreak/>
        <w:t>INTRODUCTION</w:t>
      </w:r>
    </w:p>
    <w:p w14:paraId="1C57770F" w14:textId="77777777" w:rsidR="00FD08C3" w:rsidRDefault="00D135DF">
      <w:pPr>
        <w:spacing w:before="240" w:after="240"/>
        <w:jc w:val="both"/>
        <w:rPr>
          <w:sz w:val="24"/>
          <w:szCs w:val="24"/>
        </w:rPr>
      </w:pPr>
      <w:r>
        <w:rPr>
          <w:sz w:val="24"/>
          <w:szCs w:val="24"/>
        </w:rPr>
        <w:t>Serum uric acid is the end product of purine metabolism and has traditionally been regarded as a metabolic waste compound. However, growing evidence indicates that uric acid plays a dual role in human physiology, acting as both an antioxidant and a pro-oxi</w:t>
      </w:r>
      <w:r>
        <w:rPr>
          <w:sz w:val="24"/>
          <w:szCs w:val="24"/>
        </w:rPr>
        <w:t xml:space="preserve">dant depending on its concentration and biological context (El </w:t>
      </w:r>
      <w:proofErr w:type="spellStart"/>
      <w:r>
        <w:rPr>
          <w:sz w:val="24"/>
          <w:szCs w:val="24"/>
        </w:rPr>
        <w:t>Ridi</w:t>
      </w:r>
      <w:proofErr w:type="spellEnd"/>
      <w:r>
        <w:rPr>
          <w:sz w:val="24"/>
          <w:szCs w:val="24"/>
        </w:rPr>
        <w:t xml:space="preserve"> &amp; </w:t>
      </w:r>
      <w:proofErr w:type="spellStart"/>
      <w:r>
        <w:rPr>
          <w:sz w:val="24"/>
          <w:szCs w:val="24"/>
        </w:rPr>
        <w:t>Tallima</w:t>
      </w:r>
      <w:proofErr w:type="spellEnd"/>
      <w:r>
        <w:rPr>
          <w:sz w:val="24"/>
          <w:szCs w:val="24"/>
        </w:rPr>
        <w:t xml:space="preserve">, 2017; </w:t>
      </w:r>
      <w:proofErr w:type="spellStart"/>
      <w:r>
        <w:rPr>
          <w:sz w:val="24"/>
          <w:szCs w:val="24"/>
        </w:rPr>
        <w:t>Furuhashi</w:t>
      </w:r>
      <w:proofErr w:type="spellEnd"/>
      <w:r>
        <w:rPr>
          <w:sz w:val="24"/>
          <w:szCs w:val="24"/>
        </w:rPr>
        <w:t>, 2020). In pregnancy, uric acid has gained increasing attention as an important biomarker due to its association with renal function, oxidative stress, and vascu</w:t>
      </w:r>
      <w:r>
        <w:rPr>
          <w:sz w:val="24"/>
          <w:szCs w:val="24"/>
        </w:rPr>
        <w:t>lar regulation (</w:t>
      </w:r>
      <w:proofErr w:type="spellStart"/>
      <w:r>
        <w:rPr>
          <w:sz w:val="24"/>
          <w:szCs w:val="24"/>
        </w:rPr>
        <w:t>Buhimschi</w:t>
      </w:r>
      <w:proofErr w:type="spellEnd"/>
      <w:r>
        <w:rPr>
          <w:sz w:val="24"/>
          <w:szCs w:val="24"/>
        </w:rPr>
        <w:t xml:space="preserve"> &amp; </w:t>
      </w:r>
      <w:proofErr w:type="spellStart"/>
      <w:r>
        <w:rPr>
          <w:sz w:val="24"/>
          <w:szCs w:val="24"/>
        </w:rPr>
        <w:t>Saade</w:t>
      </w:r>
      <w:proofErr w:type="spellEnd"/>
      <w:r>
        <w:rPr>
          <w:sz w:val="24"/>
          <w:szCs w:val="24"/>
        </w:rPr>
        <w:t>, 2020).</w:t>
      </w:r>
    </w:p>
    <w:p w14:paraId="627F4B98" w14:textId="77777777" w:rsidR="00FD08C3" w:rsidRDefault="00D135DF">
      <w:pPr>
        <w:spacing w:before="240" w:after="240"/>
        <w:jc w:val="both"/>
        <w:rPr>
          <w:sz w:val="24"/>
          <w:szCs w:val="24"/>
        </w:rPr>
      </w:pPr>
      <w:r>
        <w:rPr>
          <w:sz w:val="24"/>
          <w:szCs w:val="24"/>
        </w:rPr>
        <w:t xml:space="preserve">Pregnancy is characterized by profound physiological changes, particularly within the renal system, which undergoes significant hemodynamic and functional adaptations. These include increased renal plasma flow and </w:t>
      </w:r>
      <w:r>
        <w:rPr>
          <w:sz w:val="24"/>
          <w:szCs w:val="24"/>
        </w:rPr>
        <w:t>glomerular filtration rate, which enhance the clearance of metabolic waste products such as uric acid (Conrad et al., 2017; Cheung &amp; Lafayette, 2019). As a result, serum uric acid levels typically decrease in early pregnancy. However, as gestation progress</w:t>
      </w:r>
      <w:r>
        <w:rPr>
          <w:sz w:val="24"/>
          <w:szCs w:val="24"/>
        </w:rPr>
        <w:t>es, uric acid levels tend to rise, reflecting reduced renal clearance, increased tubular reabsorption, and heightened oxidative stress (Corominas et al., 2022).</w:t>
      </w:r>
    </w:p>
    <w:p w14:paraId="4883FB8E" w14:textId="77777777" w:rsidR="00FD08C3" w:rsidRDefault="00D135DF">
      <w:pPr>
        <w:spacing w:before="240" w:after="240"/>
        <w:jc w:val="both"/>
        <w:rPr>
          <w:sz w:val="24"/>
          <w:szCs w:val="24"/>
        </w:rPr>
      </w:pPr>
      <w:r>
        <w:rPr>
          <w:sz w:val="24"/>
          <w:szCs w:val="24"/>
        </w:rPr>
        <w:t>The clinical significance of uric acid in pregnancy extends beyond its role as a metabolic mark</w:t>
      </w:r>
      <w:r>
        <w:rPr>
          <w:sz w:val="24"/>
          <w:szCs w:val="24"/>
        </w:rPr>
        <w:t>er. Elevated serum uric acid levels have been consistently associated with endothelial dysfunction, inflammation, and impaired nitric oxide production, all of which contribute to the pathophysiology of hypertensive disorders of pregnancy, particularly pree</w:t>
      </w:r>
      <w:r>
        <w:rPr>
          <w:sz w:val="24"/>
          <w:szCs w:val="24"/>
        </w:rPr>
        <w:t>clampsia (Perales et al., 2021; Lu et al., 2020). Preeclampsia remains a major cause of maternal and perinatal morbidity and mortality worldwide, and early identification of women at risk remains a critical challenge in obstetric care (Wang et al., 2021; K</w:t>
      </w:r>
      <w:r>
        <w:rPr>
          <w:sz w:val="24"/>
          <w:szCs w:val="24"/>
        </w:rPr>
        <w:t>okori et al., 2024).</w:t>
      </w:r>
    </w:p>
    <w:p w14:paraId="0A5661A9" w14:textId="77777777" w:rsidR="00FD08C3" w:rsidRDefault="00D135DF">
      <w:pPr>
        <w:spacing w:before="240" w:after="240"/>
        <w:jc w:val="both"/>
        <w:rPr>
          <w:sz w:val="24"/>
          <w:szCs w:val="24"/>
        </w:rPr>
      </w:pPr>
      <w:r>
        <w:rPr>
          <w:sz w:val="24"/>
          <w:szCs w:val="24"/>
        </w:rPr>
        <w:t>While absolute serum uric acid levels provide valuable information, their interpretation may be influenced by variations in renal function, hydration status, and metabolic activity. Consequently, derived indices such as the uric acid–t</w:t>
      </w:r>
      <w:r>
        <w:rPr>
          <w:sz w:val="24"/>
          <w:szCs w:val="24"/>
        </w:rPr>
        <w:t>o–creatinine ratio have been proposed as more reliable indicators of renal handling of uric acid. This ratio accounts for changes in glomerular filtration and may offer improved diagnostic sensitivity compared to individual biomarkers (Wang et al., 2023; B</w:t>
      </w:r>
      <w:r>
        <w:rPr>
          <w:sz w:val="24"/>
          <w:szCs w:val="24"/>
        </w:rPr>
        <w:t>rookes, 2022).</w:t>
      </w:r>
    </w:p>
    <w:p w14:paraId="2EED5987" w14:textId="77777777" w:rsidR="00FD08C3" w:rsidRDefault="00D135DF">
      <w:pPr>
        <w:spacing w:before="240" w:after="240"/>
        <w:jc w:val="both"/>
        <w:rPr>
          <w:sz w:val="24"/>
          <w:szCs w:val="24"/>
        </w:rPr>
      </w:pPr>
      <w:r>
        <w:rPr>
          <w:sz w:val="24"/>
          <w:szCs w:val="24"/>
        </w:rPr>
        <w:t>Despite the growing recognition of uric acid as a clinically relevant biomarker, there is limited data on its dynamics and derived indices among pregnant women in sub-Saharan Africa, particularly in Nigeria. Population-specific variations in</w:t>
      </w:r>
      <w:r>
        <w:rPr>
          <w:sz w:val="24"/>
          <w:szCs w:val="24"/>
        </w:rPr>
        <w:t xml:space="preserve"> diet, genetics, and environmental factors may influence biomarker levels and their clinical interpretation (Bolarinwa et al., 2024). In view of this, the present study was undertaken to evaluate serum uric acid levels and the uric acid–creatinine ratio am</w:t>
      </w:r>
      <w:r>
        <w:rPr>
          <w:sz w:val="24"/>
          <w:szCs w:val="24"/>
        </w:rPr>
        <w:t xml:space="preserve">ong pregnant women in Port Harcourt, Nigeria, in comparison with non-pregnant controls, and to assess variations </w:t>
      </w:r>
      <w:r>
        <w:rPr>
          <w:sz w:val="24"/>
          <w:szCs w:val="24"/>
        </w:rPr>
        <w:lastRenderedPageBreak/>
        <w:t>across different trimesters of pregnancy, with the aim of determining their potential utility as indicators of renal adaptation and early marke</w:t>
      </w:r>
      <w:r>
        <w:rPr>
          <w:sz w:val="24"/>
          <w:szCs w:val="24"/>
        </w:rPr>
        <w:t>rs of pregnancy-related complications such as preeclampsia.</w:t>
      </w:r>
    </w:p>
    <w:p w14:paraId="62904E4E" w14:textId="77777777" w:rsidR="00FD08C3" w:rsidRDefault="00FD08C3">
      <w:pPr>
        <w:spacing w:before="240" w:after="240"/>
        <w:jc w:val="both"/>
        <w:rPr>
          <w:sz w:val="24"/>
          <w:szCs w:val="24"/>
        </w:rPr>
      </w:pPr>
    </w:p>
    <w:p w14:paraId="5519045D" w14:textId="77777777" w:rsidR="00FD08C3" w:rsidRDefault="00D135DF">
      <w:pPr>
        <w:pStyle w:val="Heading1"/>
        <w:keepNext w:val="0"/>
        <w:keepLines w:val="0"/>
        <w:spacing w:before="480"/>
        <w:jc w:val="both"/>
        <w:rPr>
          <w:b/>
          <w:bCs/>
          <w:sz w:val="24"/>
          <w:szCs w:val="24"/>
        </w:rPr>
      </w:pPr>
      <w:bookmarkStart w:id="2" w:name="_v8vb52pfwat9" w:colFirst="0" w:colLast="0"/>
      <w:bookmarkEnd w:id="2"/>
      <w:r>
        <w:rPr>
          <w:b/>
          <w:bCs/>
          <w:sz w:val="24"/>
          <w:szCs w:val="24"/>
        </w:rPr>
        <w:t>MATERIALS AND METHODS</w:t>
      </w:r>
    </w:p>
    <w:p w14:paraId="3BC9518E" w14:textId="77777777" w:rsidR="00FD08C3" w:rsidRDefault="00D135DF">
      <w:pPr>
        <w:pStyle w:val="Heading2"/>
        <w:keepNext w:val="0"/>
        <w:keepLines w:val="0"/>
        <w:spacing w:after="80"/>
        <w:jc w:val="both"/>
        <w:rPr>
          <w:b/>
          <w:bCs/>
          <w:sz w:val="24"/>
          <w:szCs w:val="24"/>
        </w:rPr>
      </w:pPr>
      <w:bookmarkStart w:id="3" w:name="_r3y8fggcb1vq" w:colFirst="0" w:colLast="0"/>
      <w:bookmarkEnd w:id="3"/>
      <w:r>
        <w:rPr>
          <w:b/>
          <w:bCs/>
          <w:sz w:val="24"/>
          <w:szCs w:val="24"/>
        </w:rPr>
        <w:t>Study Design</w:t>
      </w:r>
    </w:p>
    <w:p w14:paraId="354A9266" w14:textId="77777777" w:rsidR="00FD08C3" w:rsidRDefault="00D135DF">
      <w:pPr>
        <w:spacing w:before="240" w:after="240"/>
        <w:jc w:val="both"/>
        <w:rPr>
          <w:b/>
          <w:bCs/>
          <w:sz w:val="24"/>
          <w:szCs w:val="24"/>
        </w:rPr>
      </w:pPr>
      <w:r>
        <w:rPr>
          <w:sz w:val="24"/>
          <w:szCs w:val="24"/>
        </w:rPr>
        <w:t xml:space="preserve">This study was conducted using a cross-sectional analytical design to evaluate serum uric acid levels and the uric acid–creatinine ratio as indicators of renal </w:t>
      </w:r>
      <w:r>
        <w:rPr>
          <w:sz w:val="24"/>
          <w:szCs w:val="24"/>
        </w:rPr>
        <w:t>adaptation in pregnancy. The design allowed for comparison between pregnant women at different stages of gestation and non-pregnant controls.</w:t>
      </w:r>
    </w:p>
    <w:p w14:paraId="08DF166B" w14:textId="77777777" w:rsidR="00FD08C3" w:rsidRDefault="00D135DF">
      <w:pPr>
        <w:pStyle w:val="Heading2"/>
        <w:keepNext w:val="0"/>
        <w:keepLines w:val="0"/>
        <w:spacing w:after="80"/>
        <w:jc w:val="both"/>
        <w:rPr>
          <w:b/>
          <w:bCs/>
          <w:sz w:val="24"/>
          <w:szCs w:val="24"/>
        </w:rPr>
      </w:pPr>
      <w:bookmarkStart w:id="4" w:name="_4t8iy4ixlp1c" w:colFirst="0" w:colLast="0"/>
      <w:bookmarkEnd w:id="4"/>
      <w:r>
        <w:rPr>
          <w:b/>
          <w:bCs/>
          <w:sz w:val="24"/>
          <w:szCs w:val="24"/>
        </w:rPr>
        <w:t>Study Area</w:t>
      </w:r>
    </w:p>
    <w:p w14:paraId="716BC5A9" w14:textId="77777777" w:rsidR="00FD08C3" w:rsidRDefault="00D135DF">
      <w:pPr>
        <w:spacing w:before="240" w:after="240"/>
        <w:jc w:val="both"/>
        <w:rPr>
          <w:b/>
          <w:bCs/>
          <w:sz w:val="24"/>
          <w:szCs w:val="24"/>
        </w:rPr>
      </w:pPr>
      <w:r>
        <w:rPr>
          <w:sz w:val="24"/>
          <w:szCs w:val="24"/>
        </w:rPr>
        <w:t>The study was carried out at the Rivers State University Teaching Hospital, Port Harcourt, Rivers State</w:t>
      </w:r>
      <w:r>
        <w:rPr>
          <w:sz w:val="24"/>
          <w:szCs w:val="24"/>
        </w:rPr>
        <w:t>, Nigeria. The hospital is a tertiary healthcare institution that provides specialized maternal and child health services and serves as a major referral center within the region.</w:t>
      </w:r>
    </w:p>
    <w:p w14:paraId="4E8AC67A" w14:textId="77777777" w:rsidR="00FD08C3" w:rsidRDefault="00D135DF">
      <w:pPr>
        <w:pStyle w:val="Heading2"/>
        <w:keepNext w:val="0"/>
        <w:keepLines w:val="0"/>
        <w:spacing w:after="80"/>
        <w:jc w:val="both"/>
        <w:rPr>
          <w:b/>
          <w:bCs/>
          <w:sz w:val="24"/>
          <w:szCs w:val="24"/>
        </w:rPr>
      </w:pPr>
      <w:bookmarkStart w:id="5" w:name="_dgrf1wusty1m" w:colFirst="0" w:colLast="0"/>
      <w:bookmarkEnd w:id="5"/>
      <w:r>
        <w:rPr>
          <w:b/>
          <w:bCs/>
          <w:sz w:val="24"/>
          <w:szCs w:val="24"/>
        </w:rPr>
        <w:t>Study Population</w:t>
      </w:r>
    </w:p>
    <w:p w14:paraId="3CED0751" w14:textId="77777777" w:rsidR="00FD08C3" w:rsidRDefault="00D135DF">
      <w:pPr>
        <w:spacing w:before="240" w:after="240"/>
        <w:jc w:val="both"/>
        <w:rPr>
          <w:b/>
          <w:bCs/>
          <w:sz w:val="24"/>
          <w:szCs w:val="24"/>
        </w:rPr>
      </w:pPr>
      <w:r>
        <w:rPr>
          <w:sz w:val="24"/>
          <w:szCs w:val="24"/>
        </w:rPr>
        <w:t xml:space="preserve">The study included a total of 150 women, comprising 90 </w:t>
      </w:r>
      <w:r>
        <w:rPr>
          <w:sz w:val="24"/>
          <w:szCs w:val="24"/>
        </w:rPr>
        <w:t>pregnant women and 60 non-pregnant controls. The pregnant participants were grouped according to gestational age into first, second, and third trimesters, with 30 participants in each group. Participants were recruited from antenatal clinics and outpatient</w:t>
      </w:r>
      <w:r>
        <w:rPr>
          <w:sz w:val="24"/>
          <w:szCs w:val="24"/>
        </w:rPr>
        <w:t xml:space="preserve"> departments of the hospital.</w:t>
      </w:r>
    </w:p>
    <w:p w14:paraId="6C3E95D3" w14:textId="77777777" w:rsidR="00FD08C3" w:rsidRDefault="00D135DF">
      <w:pPr>
        <w:pStyle w:val="Heading2"/>
        <w:keepNext w:val="0"/>
        <w:keepLines w:val="0"/>
        <w:spacing w:after="80"/>
        <w:jc w:val="both"/>
        <w:rPr>
          <w:b/>
          <w:bCs/>
          <w:sz w:val="24"/>
          <w:szCs w:val="24"/>
        </w:rPr>
      </w:pPr>
      <w:bookmarkStart w:id="6" w:name="_k7zec57zucyf" w:colFirst="0" w:colLast="0"/>
      <w:bookmarkEnd w:id="6"/>
      <w:r>
        <w:rPr>
          <w:b/>
          <w:bCs/>
          <w:sz w:val="24"/>
          <w:szCs w:val="24"/>
        </w:rPr>
        <w:t>Ethical Approval</w:t>
      </w:r>
    </w:p>
    <w:p w14:paraId="3806B2F8" w14:textId="77777777" w:rsidR="00FD08C3" w:rsidRDefault="00D135DF">
      <w:pPr>
        <w:spacing w:before="240" w:after="240"/>
        <w:jc w:val="both"/>
        <w:rPr>
          <w:sz w:val="24"/>
          <w:szCs w:val="24"/>
        </w:rPr>
      </w:pPr>
      <w:r>
        <w:rPr>
          <w:sz w:val="24"/>
          <w:szCs w:val="24"/>
        </w:rPr>
        <w:t>Ethical approval for the study was obtained from the Ethics Committee of the Rivers State University Teaching Hospital. All participants were informed about the purpose and procedures of the study, and written</w:t>
      </w:r>
      <w:r>
        <w:rPr>
          <w:sz w:val="24"/>
          <w:szCs w:val="24"/>
        </w:rPr>
        <w:t xml:space="preserve"> and verbal consent were obtained prior to sample collection. Confidentiality of all participant information was maintained throughout the study.</w:t>
      </w:r>
    </w:p>
    <w:p w14:paraId="740C9C8C" w14:textId="77777777" w:rsidR="00FD08C3" w:rsidRDefault="00FD08C3">
      <w:pPr>
        <w:spacing w:before="240" w:after="240"/>
        <w:jc w:val="both"/>
        <w:rPr>
          <w:b/>
          <w:bCs/>
          <w:sz w:val="24"/>
          <w:szCs w:val="24"/>
        </w:rPr>
      </w:pPr>
    </w:p>
    <w:p w14:paraId="22DE9980" w14:textId="77777777" w:rsidR="00FD08C3" w:rsidRDefault="00FD08C3">
      <w:pPr>
        <w:spacing w:before="240" w:after="240"/>
        <w:jc w:val="both"/>
        <w:rPr>
          <w:b/>
          <w:bCs/>
          <w:sz w:val="24"/>
          <w:szCs w:val="24"/>
        </w:rPr>
      </w:pPr>
    </w:p>
    <w:p w14:paraId="50B39A0B" w14:textId="77777777" w:rsidR="00FD08C3" w:rsidRDefault="00D135DF">
      <w:pPr>
        <w:pStyle w:val="Heading2"/>
        <w:keepNext w:val="0"/>
        <w:keepLines w:val="0"/>
        <w:spacing w:after="80"/>
        <w:jc w:val="both"/>
        <w:rPr>
          <w:b/>
          <w:bCs/>
          <w:sz w:val="24"/>
          <w:szCs w:val="24"/>
        </w:rPr>
      </w:pPr>
      <w:bookmarkStart w:id="7" w:name="_v6aevgl2bf3i" w:colFirst="0" w:colLast="0"/>
      <w:bookmarkEnd w:id="7"/>
      <w:r>
        <w:rPr>
          <w:b/>
          <w:bCs/>
          <w:sz w:val="24"/>
          <w:szCs w:val="24"/>
        </w:rPr>
        <w:lastRenderedPageBreak/>
        <w:t>Eligibility Criteria</w:t>
      </w:r>
    </w:p>
    <w:p w14:paraId="152969F8" w14:textId="77777777" w:rsidR="00FD08C3" w:rsidRDefault="00D135DF">
      <w:pPr>
        <w:spacing w:before="240" w:after="240"/>
        <w:jc w:val="both"/>
        <w:rPr>
          <w:b/>
          <w:bCs/>
          <w:sz w:val="24"/>
          <w:szCs w:val="24"/>
        </w:rPr>
      </w:pPr>
      <w:r>
        <w:rPr>
          <w:sz w:val="24"/>
          <w:szCs w:val="24"/>
        </w:rPr>
        <w:t xml:space="preserve">Participants were selected based on defined inclusion and exclusion criteria. Pregnant </w:t>
      </w:r>
      <w:r>
        <w:rPr>
          <w:sz w:val="24"/>
          <w:szCs w:val="24"/>
        </w:rPr>
        <w:t>women attending antenatal clinics and apparently healthy non-pregnant women who consented to participate were included. Individuals with known renal disease, metabolic disorders, or endocrine abnormalities were excluded. Women with pregnancy-related compli</w:t>
      </w:r>
      <w:r>
        <w:rPr>
          <w:sz w:val="24"/>
          <w:szCs w:val="24"/>
        </w:rPr>
        <w:t>cations such as preeclampsia or gestational diabetes were also excluded. Participants taking medications that could influence uric acid or renal function were not included in the study.</w:t>
      </w:r>
    </w:p>
    <w:p w14:paraId="70D31DFE" w14:textId="77777777" w:rsidR="00FD08C3" w:rsidRDefault="00D135DF">
      <w:pPr>
        <w:pStyle w:val="Heading2"/>
        <w:keepNext w:val="0"/>
        <w:keepLines w:val="0"/>
        <w:spacing w:after="80"/>
        <w:jc w:val="both"/>
        <w:rPr>
          <w:b/>
          <w:bCs/>
          <w:sz w:val="24"/>
          <w:szCs w:val="24"/>
        </w:rPr>
      </w:pPr>
      <w:bookmarkStart w:id="8" w:name="_qezgp9kr9pf8" w:colFirst="0" w:colLast="0"/>
      <w:bookmarkEnd w:id="8"/>
      <w:r>
        <w:rPr>
          <w:b/>
          <w:bCs/>
          <w:sz w:val="24"/>
          <w:szCs w:val="24"/>
        </w:rPr>
        <w:t>Sample Size and Sampling Technique</w:t>
      </w:r>
    </w:p>
    <w:p w14:paraId="6E327D60" w14:textId="77777777" w:rsidR="00FD08C3" w:rsidRDefault="00D135DF">
      <w:pPr>
        <w:spacing w:before="240" w:after="240"/>
        <w:jc w:val="both"/>
        <w:rPr>
          <w:b/>
          <w:bCs/>
          <w:sz w:val="24"/>
          <w:szCs w:val="24"/>
        </w:rPr>
      </w:pPr>
      <w:r>
        <w:rPr>
          <w:sz w:val="24"/>
          <w:szCs w:val="24"/>
        </w:rPr>
        <w:t>A total of 150 participants were re</w:t>
      </w:r>
      <w:r>
        <w:rPr>
          <w:sz w:val="24"/>
          <w:szCs w:val="24"/>
        </w:rPr>
        <w:t>cruited using a convenience sampling technique. The sample size was considered adequate for comparative analysis between groups and across different trimesters of pregnancy.</w:t>
      </w:r>
    </w:p>
    <w:p w14:paraId="2200BF7E" w14:textId="77777777" w:rsidR="00FD08C3" w:rsidRDefault="00D135DF">
      <w:pPr>
        <w:pStyle w:val="Heading2"/>
        <w:keepNext w:val="0"/>
        <w:keepLines w:val="0"/>
        <w:spacing w:after="80"/>
        <w:jc w:val="both"/>
        <w:rPr>
          <w:b/>
          <w:bCs/>
          <w:sz w:val="24"/>
          <w:szCs w:val="24"/>
        </w:rPr>
      </w:pPr>
      <w:bookmarkStart w:id="9" w:name="_egsflgtur3vk" w:colFirst="0" w:colLast="0"/>
      <w:bookmarkEnd w:id="9"/>
      <w:r>
        <w:rPr>
          <w:b/>
          <w:bCs/>
          <w:sz w:val="24"/>
          <w:szCs w:val="24"/>
        </w:rPr>
        <w:t>Sample Collection and Processing</w:t>
      </w:r>
    </w:p>
    <w:p w14:paraId="11BF02BE" w14:textId="77777777" w:rsidR="00FD08C3" w:rsidRDefault="00D135DF">
      <w:pPr>
        <w:spacing w:before="240" w:after="240"/>
        <w:jc w:val="both"/>
        <w:rPr>
          <w:b/>
          <w:bCs/>
          <w:sz w:val="24"/>
          <w:szCs w:val="24"/>
        </w:rPr>
      </w:pPr>
      <w:r>
        <w:rPr>
          <w:sz w:val="24"/>
          <w:szCs w:val="24"/>
        </w:rPr>
        <w:t xml:space="preserve">Approximately 2 </w:t>
      </w:r>
      <w:proofErr w:type="spellStart"/>
      <w:r>
        <w:rPr>
          <w:sz w:val="24"/>
          <w:szCs w:val="24"/>
        </w:rPr>
        <w:t>millilitres</w:t>
      </w:r>
      <w:proofErr w:type="spellEnd"/>
      <w:r>
        <w:rPr>
          <w:sz w:val="24"/>
          <w:szCs w:val="24"/>
        </w:rPr>
        <w:t xml:space="preserve"> of venous blood was c</w:t>
      </w:r>
      <w:r>
        <w:rPr>
          <w:sz w:val="24"/>
          <w:szCs w:val="24"/>
        </w:rPr>
        <w:t>ollected aseptically from the antecubital vein using sterile syringes. The samples were transferred into plain containers and allowed to clot at room temperature. Serum was separated by centrifugation at 2400 revolutions per minute for 5 minutes and stored</w:t>
      </w:r>
      <w:r>
        <w:rPr>
          <w:sz w:val="24"/>
          <w:szCs w:val="24"/>
        </w:rPr>
        <w:t xml:space="preserve"> under appropriate conditions until analysis.</w:t>
      </w:r>
    </w:p>
    <w:p w14:paraId="67D8EED0" w14:textId="77777777" w:rsidR="00FD08C3" w:rsidRDefault="00D135DF">
      <w:pPr>
        <w:pStyle w:val="Heading2"/>
        <w:keepNext w:val="0"/>
        <w:keepLines w:val="0"/>
        <w:spacing w:after="80"/>
        <w:jc w:val="both"/>
        <w:rPr>
          <w:b/>
          <w:bCs/>
          <w:sz w:val="24"/>
          <w:szCs w:val="24"/>
        </w:rPr>
      </w:pPr>
      <w:bookmarkStart w:id="10" w:name="_17kdi579avf4" w:colFirst="0" w:colLast="0"/>
      <w:bookmarkEnd w:id="10"/>
      <w:r>
        <w:rPr>
          <w:b/>
          <w:bCs/>
          <w:sz w:val="24"/>
          <w:szCs w:val="24"/>
        </w:rPr>
        <w:t>Biochemical Analysis</w:t>
      </w:r>
    </w:p>
    <w:p w14:paraId="084E9FD2" w14:textId="77777777" w:rsidR="00FD08C3" w:rsidRDefault="00D135DF">
      <w:pPr>
        <w:spacing w:before="240" w:after="240"/>
        <w:jc w:val="both"/>
        <w:rPr>
          <w:sz w:val="24"/>
          <w:szCs w:val="24"/>
        </w:rPr>
      </w:pPr>
      <w:r>
        <w:rPr>
          <w:sz w:val="24"/>
          <w:szCs w:val="24"/>
        </w:rPr>
        <w:t>Serum uric acid and creatinine levels were determined using standard laboratory methods. Uric acid was measured using the uricase-peroxidase enzymatic method, which is based on the oxidatio</w:t>
      </w:r>
      <w:r>
        <w:rPr>
          <w:sz w:val="24"/>
          <w:szCs w:val="24"/>
        </w:rPr>
        <w:t xml:space="preserve">n of uric acid to produce hydrogen peroxide that reacts with a chromogenic substrate to form a colored compound measurable spectrophotometrically. Creatinine was determined using the Jaffe method, which involves the reaction of creatinine with picric acid </w:t>
      </w:r>
      <w:r>
        <w:rPr>
          <w:sz w:val="24"/>
          <w:szCs w:val="24"/>
        </w:rPr>
        <w:t>in an alkaline medium to form a colored complex measurable at a specific wavelength.</w:t>
      </w:r>
    </w:p>
    <w:p w14:paraId="4B55F13D" w14:textId="77777777" w:rsidR="00FD08C3" w:rsidRDefault="00D135DF">
      <w:pPr>
        <w:spacing w:before="240" w:after="240"/>
        <w:jc w:val="both"/>
        <w:rPr>
          <w:sz w:val="24"/>
          <w:szCs w:val="24"/>
        </w:rPr>
      </w:pPr>
      <w:r>
        <w:rPr>
          <w:sz w:val="24"/>
          <w:szCs w:val="24"/>
        </w:rPr>
        <w:t>All assays were performed in accordance with standard laboratory procedures. Calibration of equipment was carried out prior to analysis, and quality control samples were i</w:t>
      </w:r>
      <w:r>
        <w:rPr>
          <w:sz w:val="24"/>
          <w:szCs w:val="24"/>
        </w:rPr>
        <w:t>ncluded to ensure accuracy and reliability of results.</w:t>
      </w:r>
    </w:p>
    <w:p w14:paraId="3B14829C" w14:textId="77777777" w:rsidR="00FD08C3" w:rsidRDefault="00FD08C3">
      <w:pPr>
        <w:spacing w:before="240" w:after="240"/>
        <w:jc w:val="both"/>
        <w:rPr>
          <w:b/>
          <w:bCs/>
          <w:sz w:val="24"/>
          <w:szCs w:val="24"/>
        </w:rPr>
      </w:pPr>
    </w:p>
    <w:p w14:paraId="1CE35F29" w14:textId="77777777" w:rsidR="00FD08C3" w:rsidRDefault="00D135DF">
      <w:pPr>
        <w:pStyle w:val="Heading2"/>
        <w:keepNext w:val="0"/>
        <w:keepLines w:val="0"/>
        <w:spacing w:after="80"/>
        <w:jc w:val="both"/>
        <w:rPr>
          <w:b/>
          <w:bCs/>
          <w:sz w:val="24"/>
          <w:szCs w:val="24"/>
        </w:rPr>
      </w:pPr>
      <w:bookmarkStart w:id="11" w:name="_4fy3hi6sbsz" w:colFirst="0" w:colLast="0"/>
      <w:bookmarkEnd w:id="11"/>
      <w:r>
        <w:rPr>
          <w:b/>
          <w:bCs/>
          <w:sz w:val="24"/>
          <w:szCs w:val="24"/>
        </w:rPr>
        <w:t>Calculation of Uric Acid–Creatinine Ratio</w:t>
      </w:r>
    </w:p>
    <w:p w14:paraId="59C65C1E" w14:textId="77777777" w:rsidR="00FD08C3" w:rsidRDefault="00D135DF">
      <w:pPr>
        <w:spacing w:before="240" w:after="240"/>
        <w:jc w:val="both"/>
        <w:rPr>
          <w:b/>
          <w:bCs/>
          <w:sz w:val="24"/>
          <w:szCs w:val="24"/>
        </w:rPr>
      </w:pPr>
      <w:r>
        <w:rPr>
          <w:sz w:val="24"/>
          <w:szCs w:val="24"/>
        </w:rPr>
        <w:lastRenderedPageBreak/>
        <w:t>The uric acid–creatinine ratio was calculated by dividing serum uric acid concentration by serum creatinine concentration for each participant. This ratio was</w:t>
      </w:r>
      <w:r>
        <w:rPr>
          <w:sz w:val="24"/>
          <w:szCs w:val="24"/>
        </w:rPr>
        <w:t xml:space="preserve"> used to provide additional insight into renal handling of uric acid and to enhance interpretation of the results.</w:t>
      </w:r>
    </w:p>
    <w:p w14:paraId="29C8DBE4" w14:textId="77777777" w:rsidR="00FD08C3" w:rsidRDefault="00D135DF">
      <w:pPr>
        <w:pStyle w:val="Heading2"/>
        <w:keepNext w:val="0"/>
        <w:keepLines w:val="0"/>
        <w:spacing w:after="80"/>
        <w:jc w:val="both"/>
        <w:rPr>
          <w:b/>
          <w:bCs/>
          <w:sz w:val="24"/>
          <w:szCs w:val="24"/>
        </w:rPr>
      </w:pPr>
      <w:bookmarkStart w:id="12" w:name="_d5uvw9evgqz3" w:colFirst="0" w:colLast="0"/>
      <w:bookmarkEnd w:id="12"/>
      <w:r>
        <w:rPr>
          <w:b/>
          <w:bCs/>
          <w:sz w:val="24"/>
          <w:szCs w:val="24"/>
        </w:rPr>
        <w:t>Statistical Analysis</w:t>
      </w:r>
    </w:p>
    <w:p w14:paraId="19A8905F" w14:textId="77777777" w:rsidR="00FD08C3" w:rsidRDefault="00D135DF">
      <w:pPr>
        <w:spacing w:before="240" w:after="240"/>
        <w:jc w:val="both"/>
        <w:rPr>
          <w:sz w:val="24"/>
          <w:szCs w:val="24"/>
        </w:rPr>
      </w:pPr>
      <w:r>
        <w:rPr>
          <w:sz w:val="24"/>
          <w:szCs w:val="24"/>
        </w:rPr>
        <w:t>Data obtained from the study were analyzed using the Statistical Package for Social Sciences version 24. Results were ex</w:t>
      </w:r>
      <w:r>
        <w:rPr>
          <w:sz w:val="24"/>
          <w:szCs w:val="24"/>
        </w:rPr>
        <w:t>pressed as mean and standard deviation. Comparisons between pregnant and non-pregnant groups were performed using Student’s independent t-test, while differences across trimesters were assessed using one-way analysis of variance. A p-value less than 0.05 w</w:t>
      </w:r>
      <w:r>
        <w:rPr>
          <w:sz w:val="24"/>
          <w:szCs w:val="24"/>
        </w:rPr>
        <w:t>as considered statistically significant.</w:t>
      </w:r>
    </w:p>
    <w:p w14:paraId="72B75E7B" w14:textId="77777777" w:rsidR="00FD08C3" w:rsidRDefault="00FD08C3">
      <w:pPr>
        <w:spacing w:before="240" w:after="240"/>
        <w:jc w:val="both"/>
        <w:rPr>
          <w:b/>
          <w:bCs/>
          <w:sz w:val="24"/>
          <w:szCs w:val="24"/>
          <w:highlight w:val="magenta"/>
        </w:rPr>
      </w:pPr>
    </w:p>
    <w:p w14:paraId="7FB089F1" w14:textId="77777777" w:rsidR="00FD08C3" w:rsidRDefault="00D135DF">
      <w:pPr>
        <w:pStyle w:val="Heading1"/>
        <w:keepNext w:val="0"/>
        <w:keepLines w:val="0"/>
        <w:spacing w:before="480"/>
        <w:jc w:val="both"/>
        <w:rPr>
          <w:b/>
          <w:bCs/>
          <w:sz w:val="24"/>
          <w:szCs w:val="24"/>
        </w:rPr>
      </w:pPr>
      <w:bookmarkStart w:id="13" w:name="_r05jpqhjzlwr" w:colFirst="0" w:colLast="0"/>
      <w:bookmarkEnd w:id="13"/>
      <w:r>
        <w:rPr>
          <w:b/>
          <w:bCs/>
          <w:sz w:val="24"/>
          <w:szCs w:val="24"/>
        </w:rPr>
        <w:t>RESULTS</w:t>
      </w:r>
    </w:p>
    <w:p w14:paraId="32A8ED18" w14:textId="77777777" w:rsidR="00FD08C3" w:rsidRDefault="00D135DF">
      <w:pPr>
        <w:pStyle w:val="Heading2"/>
        <w:keepNext w:val="0"/>
        <w:keepLines w:val="0"/>
        <w:spacing w:after="80"/>
        <w:jc w:val="both"/>
        <w:rPr>
          <w:b/>
          <w:bCs/>
          <w:sz w:val="24"/>
          <w:szCs w:val="24"/>
        </w:rPr>
      </w:pPr>
      <w:bookmarkStart w:id="14" w:name="_1bsv6bl8bbr4" w:colFirst="0" w:colLast="0"/>
      <w:bookmarkEnd w:id="14"/>
      <w:r>
        <w:rPr>
          <w:b/>
          <w:bCs/>
          <w:sz w:val="24"/>
          <w:szCs w:val="24"/>
        </w:rPr>
        <w:t>Demographic Characteristics of the Study Population</w:t>
      </w:r>
    </w:p>
    <w:p w14:paraId="159C8604" w14:textId="77777777" w:rsidR="00FD08C3" w:rsidRDefault="00D135DF">
      <w:pPr>
        <w:spacing w:before="240" w:after="240"/>
        <w:jc w:val="both"/>
        <w:rPr>
          <w:sz w:val="24"/>
          <w:szCs w:val="24"/>
        </w:rPr>
      </w:pPr>
      <w:r>
        <w:rPr>
          <w:sz w:val="24"/>
          <w:szCs w:val="24"/>
        </w:rPr>
        <w:t>A total of 150 women participated in this study, comprising 90 pregnant and 60 non-pregnant women. The majority of participants were married (55.3%), with</w:t>
      </w:r>
      <w:r>
        <w:rPr>
          <w:sz w:val="24"/>
          <w:szCs w:val="24"/>
        </w:rPr>
        <w:t xml:space="preserve"> a higher proportion observed among pregnant women (64.4%), whereas non-pregnant women were predominantly single (58.3%</w:t>
      </w:r>
      <w:proofErr w:type="gramStart"/>
      <w:r>
        <w:rPr>
          <w:sz w:val="24"/>
          <w:szCs w:val="24"/>
        </w:rPr>
        <w:t>) .</w:t>
      </w:r>
      <w:proofErr w:type="gramEnd"/>
    </w:p>
    <w:p w14:paraId="30CE0831" w14:textId="77777777" w:rsidR="00FD08C3" w:rsidRDefault="00D135DF">
      <w:pPr>
        <w:spacing w:before="240" w:after="240"/>
        <w:jc w:val="both"/>
        <w:rPr>
          <w:sz w:val="24"/>
          <w:szCs w:val="24"/>
        </w:rPr>
      </w:pPr>
      <w:r>
        <w:rPr>
          <w:sz w:val="24"/>
          <w:szCs w:val="24"/>
        </w:rPr>
        <w:t>Most participants had attained tertiary education (53.3%), followed by secondary education (43.3%). This relatively high level of edu</w:t>
      </w:r>
      <w:r>
        <w:rPr>
          <w:sz w:val="24"/>
          <w:szCs w:val="24"/>
        </w:rPr>
        <w:t>cation may positively influence health-seeking behavior and antenatal care utilization, which are known determinants of maternal health outcomes (Bolarinwa et al., 2024).</w:t>
      </w:r>
    </w:p>
    <w:p w14:paraId="6B1D173D" w14:textId="77777777" w:rsidR="00FD08C3" w:rsidRDefault="00D135DF">
      <w:pPr>
        <w:spacing w:before="240" w:after="240"/>
        <w:jc w:val="both"/>
        <w:rPr>
          <w:sz w:val="24"/>
          <w:szCs w:val="24"/>
        </w:rPr>
      </w:pPr>
      <w:r>
        <w:rPr>
          <w:sz w:val="24"/>
          <w:szCs w:val="24"/>
        </w:rPr>
        <w:t>Pregnant women were evenly distributed across the three trimesters, ensuring balanced</w:t>
      </w:r>
      <w:r>
        <w:rPr>
          <w:sz w:val="24"/>
          <w:szCs w:val="24"/>
        </w:rPr>
        <w:t xml:space="preserve"> comparison of gestational changes. Nearly half (48.9%) were primigravidae, while 51.1% were </w:t>
      </w:r>
      <w:proofErr w:type="spellStart"/>
      <w:r>
        <w:rPr>
          <w:sz w:val="24"/>
          <w:szCs w:val="24"/>
        </w:rPr>
        <w:t>multigravidae</w:t>
      </w:r>
      <w:proofErr w:type="spellEnd"/>
      <w:r>
        <w:rPr>
          <w:sz w:val="24"/>
          <w:szCs w:val="24"/>
        </w:rPr>
        <w:t>, reflecting variability in physiological adaptation during pregnancy.</w:t>
      </w:r>
    </w:p>
    <w:p w14:paraId="56117E63" w14:textId="77777777" w:rsidR="00FD08C3" w:rsidRDefault="00D135DF">
      <w:pPr>
        <w:pStyle w:val="Heading2"/>
        <w:keepNext w:val="0"/>
        <w:keepLines w:val="0"/>
        <w:spacing w:after="80"/>
        <w:jc w:val="both"/>
        <w:rPr>
          <w:b/>
          <w:bCs/>
          <w:sz w:val="24"/>
          <w:szCs w:val="24"/>
        </w:rPr>
      </w:pPr>
      <w:bookmarkStart w:id="15" w:name="_asa4du21p280" w:colFirst="0" w:colLast="0"/>
      <w:bookmarkEnd w:id="15"/>
      <w:r>
        <w:rPr>
          <w:b/>
          <w:bCs/>
          <w:sz w:val="24"/>
          <w:szCs w:val="24"/>
        </w:rPr>
        <w:t>Comparison of Renal and Electrolyte Parameters Between Pregnant and Non-Pregnan</w:t>
      </w:r>
      <w:r>
        <w:rPr>
          <w:b/>
          <w:bCs/>
          <w:sz w:val="24"/>
          <w:szCs w:val="24"/>
        </w:rPr>
        <w:t>t Women</w:t>
      </w:r>
    </w:p>
    <w:p w14:paraId="782A8649" w14:textId="77777777" w:rsidR="00FD08C3" w:rsidRDefault="00D135DF">
      <w:pPr>
        <w:spacing w:before="240" w:after="240"/>
        <w:jc w:val="both"/>
        <w:rPr>
          <w:sz w:val="24"/>
          <w:szCs w:val="24"/>
        </w:rPr>
      </w:pPr>
      <w:r>
        <w:rPr>
          <w:sz w:val="24"/>
          <w:szCs w:val="24"/>
        </w:rPr>
        <w:t xml:space="preserve">Significant differences were observed in several renal and electrolyte parameters between pregnant and non-pregnant women. Pregnant women had significantly higher </w:t>
      </w:r>
      <w:r>
        <w:rPr>
          <w:sz w:val="24"/>
          <w:szCs w:val="24"/>
        </w:rPr>
        <w:t xml:space="preserve">levels of creatinine, urea, potassium, chloride, bicarbonate, uric acid, and uric acid–creatinine ratio (p &lt; 0.05), while sodium levels showed no significant </w:t>
      </w:r>
      <w:proofErr w:type="gramStart"/>
      <w:r>
        <w:rPr>
          <w:sz w:val="24"/>
          <w:szCs w:val="24"/>
        </w:rPr>
        <w:t>difference .</w:t>
      </w:r>
      <w:proofErr w:type="gramEnd"/>
    </w:p>
    <w:p w14:paraId="126E950F" w14:textId="77777777" w:rsidR="00FD08C3" w:rsidRDefault="00D135DF">
      <w:pPr>
        <w:spacing w:before="240" w:after="240"/>
        <w:jc w:val="both"/>
        <w:rPr>
          <w:sz w:val="24"/>
          <w:szCs w:val="24"/>
        </w:rPr>
      </w:pPr>
      <w:r>
        <w:rPr>
          <w:sz w:val="24"/>
          <w:szCs w:val="24"/>
        </w:rPr>
        <w:lastRenderedPageBreak/>
        <w:t>The elevated creatinine levels observed among pregnant women may reflect altered rena</w:t>
      </w:r>
      <w:r>
        <w:rPr>
          <w:sz w:val="24"/>
          <w:szCs w:val="24"/>
        </w:rPr>
        <w:t>l hemodynamics and increased metabolic demand. Although pregnancy is typically associated with increased glomerular filtration rate (GFR), variations in creatinine levels may occur depending on gestational stage and individual physiological responses (Cheu</w:t>
      </w:r>
      <w:r>
        <w:rPr>
          <w:sz w:val="24"/>
          <w:szCs w:val="24"/>
        </w:rPr>
        <w:t xml:space="preserve">ng &amp; Lafayette, 2019; </w:t>
      </w:r>
      <w:proofErr w:type="spellStart"/>
      <w:r>
        <w:rPr>
          <w:sz w:val="24"/>
          <w:szCs w:val="24"/>
        </w:rPr>
        <w:t>Agampodi</w:t>
      </w:r>
      <w:proofErr w:type="spellEnd"/>
      <w:r>
        <w:rPr>
          <w:sz w:val="24"/>
          <w:szCs w:val="24"/>
        </w:rPr>
        <w:t xml:space="preserve"> et al., 2023).</w:t>
      </w:r>
    </w:p>
    <w:p w14:paraId="375921B6" w14:textId="77777777" w:rsidR="00FD08C3" w:rsidRDefault="00D135DF">
      <w:pPr>
        <w:spacing w:before="240" w:after="240"/>
        <w:jc w:val="both"/>
        <w:rPr>
          <w:sz w:val="24"/>
          <w:szCs w:val="24"/>
        </w:rPr>
      </w:pPr>
      <w:r>
        <w:rPr>
          <w:sz w:val="24"/>
          <w:szCs w:val="24"/>
        </w:rPr>
        <w:t xml:space="preserve">Similarly, the significant increase in serum urea may be attributed to changes in protein metabolism and renal function during pregnancy, as urea levels are influenced by nitrogen balance and renal clearance </w:t>
      </w:r>
      <w:r>
        <w:rPr>
          <w:sz w:val="24"/>
          <w:szCs w:val="24"/>
        </w:rPr>
        <w:t>(Hosten, 1990; Higgins, 2025).</w:t>
      </w:r>
    </w:p>
    <w:p w14:paraId="716F24F9" w14:textId="77777777" w:rsidR="00FD08C3" w:rsidRDefault="00D135DF">
      <w:pPr>
        <w:spacing w:before="240" w:after="240"/>
        <w:jc w:val="both"/>
        <w:rPr>
          <w:sz w:val="24"/>
          <w:szCs w:val="24"/>
        </w:rPr>
      </w:pPr>
      <w:r>
        <w:rPr>
          <w:sz w:val="24"/>
          <w:szCs w:val="24"/>
        </w:rPr>
        <w:t>Electrolyte analysis revealed significantly elevated potassium, chloride, and bicarbonate levels in pregnant women. These findings may reflect hormonal influences, particularly the activation of the renin–angiotensin–aldoster</w:t>
      </w:r>
      <w:r>
        <w:rPr>
          <w:sz w:val="24"/>
          <w:szCs w:val="24"/>
        </w:rPr>
        <w:t>one system, which plays a key role in maintaining electrolyte balance during pregnancy (Guyton &amp; Hall, 2021; Hering-Smith &amp; Hamm, 2020).</w:t>
      </w:r>
    </w:p>
    <w:p w14:paraId="4FEA46D6" w14:textId="77777777" w:rsidR="00FD08C3" w:rsidRDefault="00D135DF">
      <w:pPr>
        <w:spacing w:before="240" w:after="240"/>
        <w:jc w:val="both"/>
        <w:rPr>
          <w:sz w:val="24"/>
          <w:szCs w:val="24"/>
        </w:rPr>
      </w:pPr>
      <w:r>
        <w:rPr>
          <w:sz w:val="24"/>
          <w:szCs w:val="24"/>
        </w:rPr>
        <w:t>Serum uric acid levels were significantly higher in pregnant women compared to controls. This finding is consistent wit</w:t>
      </w:r>
      <w:r>
        <w:rPr>
          <w:sz w:val="24"/>
          <w:szCs w:val="24"/>
        </w:rPr>
        <w:t>h evidence that uric acid increases in later pregnancy due to reduced renal clearance and increased oxidative stress (</w:t>
      </w:r>
      <w:proofErr w:type="spellStart"/>
      <w:r>
        <w:rPr>
          <w:sz w:val="24"/>
          <w:szCs w:val="24"/>
        </w:rPr>
        <w:t>Buhimschi</w:t>
      </w:r>
      <w:proofErr w:type="spellEnd"/>
      <w:r>
        <w:rPr>
          <w:sz w:val="24"/>
          <w:szCs w:val="24"/>
        </w:rPr>
        <w:t xml:space="preserve"> &amp; </w:t>
      </w:r>
      <w:proofErr w:type="spellStart"/>
      <w:r>
        <w:rPr>
          <w:sz w:val="24"/>
          <w:szCs w:val="24"/>
        </w:rPr>
        <w:t>Saade</w:t>
      </w:r>
      <w:proofErr w:type="spellEnd"/>
      <w:r>
        <w:rPr>
          <w:sz w:val="24"/>
          <w:szCs w:val="24"/>
        </w:rPr>
        <w:t>, 2020; Corominas et al., 2022). Elevated uric acid is also associated with endothelial dysfunction and may indicate earl</w:t>
      </w:r>
      <w:r>
        <w:rPr>
          <w:sz w:val="24"/>
          <w:szCs w:val="24"/>
        </w:rPr>
        <w:t>y pathological changes (Perales et al., 2021).</w:t>
      </w:r>
    </w:p>
    <w:p w14:paraId="69AC6C9C" w14:textId="77777777" w:rsidR="00FD08C3" w:rsidRDefault="00D135DF">
      <w:pPr>
        <w:spacing w:before="240" w:after="240"/>
        <w:jc w:val="both"/>
        <w:rPr>
          <w:sz w:val="24"/>
          <w:szCs w:val="24"/>
        </w:rPr>
      </w:pPr>
      <w:r>
        <w:rPr>
          <w:sz w:val="24"/>
          <w:szCs w:val="24"/>
        </w:rPr>
        <w:t>Furthermore, the uric acid–creatinine ratio was significantly elevated in pregnant women, suggesting altered renal handling of uric acid. This supports previous findings that biomarker ratios may provide impro</w:t>
      </w:r>
      <w:r>
        <w:rPr>
          <w:sz w:val="24"/>
          <w:szCs w:val="24"/>
        </w:rPr>
        <w:t>ved insight into renal function by accounting for variations in glomerular filtration (Wang et al., 2023; Brookes, 2022).</w:t>
      </w:r>
    </w:p>
    <w:p w14:paraId="16CF99F4" w14:textId="77777777" w:rsidR="00FD08C3" w:rsidRDefault="00D135DF">
      <w:pPr>
        <w:pStyle w:val="Heading2"/>
        <w:keepNext w:val="0"/>
        <w:keepLines w:val="0"/>
        <w:spacing w:after="80"/>
        <w:jc w:val="both"/>
        <w:rPr>
          <w:b/>
          <w:bCs/>
          <w:sz w:val="24"/>
          <w:szCs w:val="24"/>
        </w:rPr>
      </w:pPr>
      <w:bookmarkStart w:id="16" w:name="_v76buemgjza4" w:colFirst="0" w:colLast="0"/>
      <w:bookmarkEnd w:id="16"/>
      <w:r>
        <w:rPr>
          <w:b/>
          <w:bCs/>
          <w:sz w:val="24"/>
          <w:szCs w:val="24"/>
        </w:rPr>
        <w:t>Comparison of Renal and Electrolyte Parameters Across Trimesters</w:t>
      </w:r>
    </w:p>
    <w:p w14:paraId="3551F417" w14:textId="77777777" w:rsidR="00FD08C3" w:rsidRDefault="00D135DF">
      <w:pPr>
        <w:spacing w:before="240" w:after="240"/>
        <w:jc w:val="both"/>
        <w:rPr>
          <w:sz w:val="24"/>
          <w:szCs w:val="24"/>
        </w:rPr>
      </w:pPr>
      <w:r>
        <w:rPr>
          <w:sz w:val="24"/>
          <w:szCs w:val="24"/>
        </w:rPr>
        <w:t>Analysis across trimesters revealed a significant increase in creatin</w:t>
      </w:r>
      <w:r>
        <w:rPr>
          <w:sz w:val="24"/>
          <w:szCs w:val="24"/>
        </w:rPr>
        <w:t>ine levels, with the highest values observed in the third trimester (p = 0.026</w:t>
      </w:r>
      <w:proofErr w:type="gramStart"/>
      <w:r>
        <w:rPr>
          <w:sz w:val="24"/>
          <w:szCs w:val="24"/>
        </w:rPr>
        <w:t>) .</w:t>
      </w:r>
      <w:proofErr w:type="gramEnd"/>
      <w:r>
        <w:rPr>
          <w:sz w:val="24"/>
          <w:szCs w:val="24"/>
        </w:rPr>
        <w:t xml:space="preserve"> This trend reflects progressive physiological adaptations in renal function as pregnancy advances, including changes in renal blood flow and filtration dynamics (Conrad et al</w:t>
      </w:r>
      <w:r>
        <w:rPr>
          <w:sz w:val="24"/>
          <w:szCs w:val="24"/>
        </w:rPr>
        <w:t xml:space="preserve">., 2017; </w:t>
      </w:r>
      <w:proofErr w:type="spellStart"/>
      <w:r>
        <w:rPr>
          <w:sz w:val="24"/>
          <w:szCs w:val="24"/>
        </w:rPr>
        <w:t>Odutayo</w:t>
      </w:r>
      <w:proofErr w:type="spellEnd"/>
      <w:r>
        <w:rPr>
          <w:sz w:val="24"/>
          <w:szCs w:val="24"/>
        </w:rPr>
        <w:t xml:space="preserve"> &amp; </w:t>
      </w:r>
      <w:proofErr w:type="spellStart"/>
      <w:r>
        <w:rPr>
          <w:sz w:val="24"/>
          <w:szCs w:val="24"/>
        </w:rPr>
        <w:t>Hladunewich</w:t>
      </w:r>
      <w:proofErr w:type="spellEnd"/>
      <w:r>
        <w:rPr>
          <w:sz w:val="24"/>
          <w:szCs w:val="24"/>
        </w:rPr>
        <w:t>, 2017).</w:t>
      </w:r>
    </w:p>
    <w:p w14:paraId="240DF704" w14:textId="77777777" w:rsidR="00FD08C3" w:rsidRDefault="00D135DF">
      <w:pPr>
        <w:spacing w:before="240" w:after="240"/>
        <w:jc w:val="both"/>
        <w:rPr>
          <w:sz w:val="24"/>
          <w:szCs w:val="24"/>
        </w:rPr>
      </w:pPr>
      <w:r>
        <w:rPr>
          <w:sz w:val="24"/>
          <w:szCs w:val="24"/>
        </w:rPr>
        <w:t xml:space="preserve">Chloride levels also showed significant variation, with a reduction observed in the third trimester (p = 0.043). This may be attributed to hemodilution and fluid redistribution associated with plasma volume expansion </w:t>
      </w:r>
      <w:r>
        <w:rPr>
          <w:sz w:val="24"/>
          <w:szCs w:val="24"/>
        </w:rPr>
        <w:t>during pregnancy (Soma-Pillay et al., 2016).</w:t>
      </w:r>
    </w:p>
    <w:p w14:paraId="46CA1411" w14:textId="77777777" w:rsidR="00FD08C3" w:rsidRDefault="00D135DF">
      <w:pPr>
        <w:spacing w:before="240" w:after="240"/>
        <w:jc w:val="both"/>
        <w:rPr>
          <w:sz w:val="24"/>
          <w:szCs w:val="24"/>
        </w:rPr>
      </w:pPr>
      <w:r>
        <w:rPr>
          <w:sz w:val="24"/>
          <w:szCs w:val="24"/>
        </w:rPr>
        <w:t xml:space="preserve">In contrast, urea, sodium, potassium, bicarbonate, uric acid, and renal ratios did not differ significantly across trimesters. The stability of sodium levels supports the concept of tight </w:t>
      </w:r>
      <w:r>
        <w:rPr>
          <w:sz w:val="24"/>
          <w:szCs w:val="24"/>
        </w:rPr>
        <w:lastRenderedPageBreak/>
        <w:t>physiological regulatio</w:t>
      </w:r>
      <w:r>
        <w:rPr>
          <w:sz w:val="24"/>
          <w:szCs w:val="24"/>
        </w:rPr>
        <w:t xml:space="preserve">n of sodium balance despite increased plasma volume (Boron &amp; </w:t>
      </w:r>
      <w:proofErr w:type="spellStart"/>
      <w:r>
        <w:rPr>
          <w:sz w:val="24"/>
          <w:szCs w:val="24"/>
        </w:rPr>
        <w:t>Boulpaep</w:t>
      </w:r>
      <w:proofErr w:type="spellEnd"/>
      <w:r>
        <w:rPr>
          <w:sz w:val="24"/>
          <w:szCs w:val="24"/>
        </w:rPr>
        <w:t>, 2022).</w:t>
      </w:r>
    </w:p>
    <w:p w14:paraId="5170B22E" w14:textId="77777777" w:rsidR="00FD08C3" w:rsidRDefault="00D135DF">
      <w:pPr>
        <w:spacing w:before="240" w:after="240"/>
        <w:jc w:val="both"/>
        <w:rPr>
          <w:sz w:val="24"/>
          <w:szCs w:val="24"/>
        </w:rPr>
      </w:pPr>
      <w:r>
        <w:rPr>
          <w:sz w:val="24"/>
          <w:szCs w:val="24"/>
        </w:rPr>
        <w:t>Interestingly, uric acid levels remained relatively stable across trimesters. Although previous studies have reported progressive increases, some evidence suggests that uric acid</w:t>
      </w:r>
      <w:r>
        <w:rPr>
          <w:sz w:val="24"/>
          <w:szCs w:val="24"/>
        </w:rPr>
        <w:t xml:space="preserve"> dynamics may vary depending on population-specific factors and renal adaptation mechanisms (Johnson et al., 2018; </w:t>
      </w:r>
      <w:proofErr w:type="spellStart"/>
      <w:r>
        <w:rPr>
          <w:sz w:val="24"/>
          <w:szCs w:val="24"/>
        </w:rPr>
        <w:t>Bobulescu</w:t>
      </w:r>
      <w:proofErr w:type="spellEnd"/>
      <w:r>
        <w:rPr>
          <w:sz w:val="24"/>
          <w:szCs w:val="24"/>
        </w:rPr>
        <w:t xml:space="preserve"> &amp; Moe, 2020).</w:t>
      </w:r>
    </w:p>
    <w:p w14:paraId="6B707F07" w14:textId="77777777" w:rsidR="00FD08C3" w:rsidRDefault="00D135DF">
      <w:pPr>
        <w:pStyle w:val="Heading2"/>
        <w:keepNext w:val="0"/>
        <w:keepLines w:val="0"/>
        <w:spacing w:after="80"/>
        <w:jc w:val="both"/>
        <w:rPr>
          <w:b/>
          <w:bCs/>
          <w:sz w:val="24"/>
          <w:szCs w:val="24"/>
        </w:rPr>
      </w:pPr>
      <w:bookmarkStart w:id="17" w:name="_u1efztrz7vge" w:colFirst="0" w:colLast="0"/>
      <w:bookmarkEnd w:id="17"/>
      <w:r>
        <w:rPr>
          <w:b/>
          <w:bCs/>
          <w:sz w:val="24"/>
          <w:szCs w:val="24"/>
        </w:rPr>
        <w:t>Comparison Across Age Groups of Pregnant Women</w:t>
      </w:r>
    </w:p>
    <w:p w14:paraId="55C61419" w14:textId="77777777" w:rsidR="00FD08C3" w:rsidRDefault="00D135DF">
      <w:pPr>
        <w:spacing w:before="240" w:after="240"/>
        <w:jc w:val="both"/>
        <w:rPr>
          <w:sz w:val="24"/>
          <w:szCs w:val="24"/>
        </w:rPr>
      </w:pPr>
      <w:r>
        <w:rPr>
          <w:sz w:val="24"/>
          <w:szCs w:val="24"/>
        </w:rPr>
        <w:t>Most renal and electrolyte parameters did not show significant differe</w:t>
      </w:r>
      <w:r>
        <w:rPr>
          <w:sz w:val="24"/>
          <w:szCs w:val="24"/>
        </w:rPr>
        <w:t>nces across age groups, suggesting that maternal age may not substantially influence renal adaptation during pregnancy.</w:t>
      </w:r>
    </w:p>
    <w:p w14:paraId="2AFDD3EE" w14:textId="77777777" w:rsidR="00FD08C3" w:rsidRDefault="00D135DF">
      <w:pPr>
        <w:spacing w:before="240" w:after="240"/>
        <w:jc w:val="both"/>
        <w:rPr>
          <w:sz w:val="24"/>
          <w:szCs w:val="24"/>
        </w:rPr>
      </w:pPr>
      <w:r>
        <w:rPr>
          <w:sz w:val="24"/>
          <w:szCs w:val="24"/>
        </w:rPr>
        <w:t>However, potassium levels showed a significant decrease with increasing age (p = 0.032</w:t>
      </w:r>
      <w:proofErr w:type="gramStart"/>
      <w:r>
        <w:rPr>
          <w:sz w:val="24"/>
          <w:szCs w:val="24"/>
        </w:rPr>
        <w:t>) .</w:t>
      </w:r>
      <w:proofErr w:type="gramEnd"/>
      <w:r>
        <w:rPr>
          <w:sz w:val="24"/>
          <w:szCs w:val="24"/>
        </w:rPr>
        <w:t xml:space="preserve"> This may reflect age-related differences in re</w:t>
      </w:r>
      <w:r>
        <w:rPr>
          <w:sz w:val="24"/>
          <w:szCs w:val="24"/>
        </w:rPr>
        <w:t>nal handling of potassium and hormonal regulation, as potassium homeostasis is influenced by renal excretion and endocrine factors (Gumz et al., 2015).</w:t>
      </w:r>
    </w:p>
    <w:p w14:paraId="66B82AEC" w14:textId="77777777" w:rsidR="00FD08C3" w:rsidRDefault="00D135DF">
      <w:pPr>
        <w:spacing w:before="240" w:after="240"/>
        <w:jc w:val="both"/>
        <w:rPr>
          <w:sz w:val="24"/>
          <w:szCs w:val="24"/>
        </w:rPr>
      </w:pPr>
      <w:r>
        <w:rPr>
          <w:sz w:val="24"/>
          <w:szCs w:val="24"/>
        </w:rPr>
        <w:t>Uric acid levels and uric acid–creatinine ratio remained consistent across age groups, indicating that t</w:t>
      </w:r>
      <w:r>
        <w:rPr>
          <w:sz w:val="24"/>
          <w:szCs w:val="24"/>
        </w:rPr>
        <w:t>hese biomarkers are relatively independent of maternal age and may serve as stable indicators of renal function during pregnancy.</w:t>
      </w:r>
    </w:p>
    <w:p w14:paraId="42539B4B" w14:textId="77777777" w:rsidR="00FD08C3" w:rsidRDefault="00D135DF">
      <w:pPr>
        <w:pStyle w:val="Heading1"/>
        <w:keepNext w:val="0"/>
        <w:keepLines w:val="0"/>
        <w:spacing w:before="480"/>
        <w:jc w:val="both"/>
        <w:rPr>
          <w:b/>
          <w:bCs/>
          <w:sz w:val="24"/>
          <w:szCs w:val="24"/>
        </w:rPr>
      </w:pPr>
      <w:bookmarkStart w:id="18" w:name="_1ls4ufqq3sni" w:colFirst="0" w:colLast="0"/>
      <w:bookmarkEnd w:id="18"/>
      <w:r>
        <w:rPr>
          <w:b/>
          <w:bCs/>
          <w:sz w:val="24"/>
          <w:szCs w:val="24"/>
        </w:rPr>
        <w:t>DISCUSSION</w:t>
      </w:r>
    </w:p>
    <w:p w14:paraId="1C7953E1" w14:textId="77777777" w:rsidR="00FD08C3" w:rsidRDefault="00D135DF">
      <w:pPr>
        <w:spacing w:before="240" w:after="240"/>
        <w:jc w:val="both"/>
        <w:rPr>
          <w:sz w:val="24"/>
          <w:szCs w:val="24"/>
        </w:rPr>
      </w:pPr>
      <w:r>
        <w:rPr>
          <w:sz w:val="24"/>
          <w:szCs w:val="24"/>
        </w:rPr>
        <w:t>This study evaluated renal and electrolyte parameters in pregnancy and demonstrated significant alterations in seve</w:t>
      </w:r>
      <w:r>
        <w:rPr>
          <w:sz w:val="24"/>
          <w:szCs w:val="24"/>
        </w:rPr>
        <w:t>ral biomarkers, highlighting the impact of pregnancy on renal physiology.</w:t>
      </w:r>
    </w:p>
    <w:p w14:paraId="7593AB16" w14:textId="77777777" w:rsidR="00FD08C3" w:rsidRDefault="00D135DF">
      <w:pPr>
        <w:spacing w:before="240" w:after="240"/>
        <w:jc w:val="both"/>
        <w:rPr>
          <w:sz w:val="24"/>
          <w:szCs w:val="24"/>
        </w:rPr>
      </w:pPr>
      <w:r>
        <w:rPr>
          <w:sz w:val="24"/>
          <w:szCs w:val="24"/>
        </w:rPr>
        <w:t xml:space="preserve">The significantly higher creatinine levels observed in pregnant women suggest altered renal function. Although pregnancy is typically associated with increased GFR and reduced serum </w:t>
      </w:r>
      <w:r>
        <w:rPr>
          <w:sz w:val="24"/>
          <w:szCs w:val="24"/>
        </w:rPr>
        <w:t>creatinine, variations may occur depending on gestational stage and individual physiological responses (</w:t>
      </w:r>
      <w:proofErr w:type="spellStart"/>
      <w:r>
        <w:rPr>
          <w:sz w:val="24"/>
          <w:szCs w:val="24"/>
        </w:rPr>
        <w:t>Agampodi</w:t>
      </w:r>
      <w:proofErr w:type="spellEnd"/>
      <w:r>
        <w:rPr>
          <w:sz w:val="24"/>
          <w:szCs w:val="24"/>
        </w:rPr>
        <w:t xml:space="preserve"> et al., 2023; Cheung &amp; Lafayette, 2019). The progressive increase observed across trimesters further supports the dynamic nature of renal adapt</w:t>
      </w:r>
      <w:r>
        <w:rPr>
          <w:sz w:val="24"/>
          <w:szCs w:val="24"/>
        </w:rPr>
        <w:t>ation during pregnancy.</w:t>
      </w:r>
    </w:p>
    <w:p w14:paraId="3D176EB7" w14:textId="77777777" w:rsidR="00FD08C3" w:rsidRDefault="00D135DF">
      <w:pPr>
        <w:spacing w:before="240" w:after="240"/>
        <w:jc w:val="both"/>
        <w:rPr>
          <w:sz w:val="24"/>
          <w:szCs w:val="24"/>
        </w:rPr>
      </w:pPr>
      <w:r>
        <w:rPr>
          <w:sz w:val="24"/>
          <w:szCs w:val="24"/>
        </w:rPr>
        <w:t>Similarly, the elevation in urea levels among pregnant women may reflect increased protein metabolism and changes in renal clearance. Urea concentration is influenced by nitrogen metabolism and renal perfusion, both of which undergo</w:t>
      </w:r>
      <w:r>
        <w:rPr>
          <w:sz w:val="24"/>
          <w:szCs w:val="24"/>
        </w:rPr>
        <w:t xml:space="preserve"> significant changes during pregnancy (Hosten, 1990; Higgins, 2025).</w:t>
      </w:r>
    </w:p>
    <w:p w14:paraId="46FF48E8" w14:textId="77777777" w:rsidR="00FD08C3" w:rsidRDefault="00D135DF">
      <w:pPr>
        <w:spacing w:before="240" w:after="240"/>
        <w:jc w:val="both"/>
        <w:rPr>
          <w:sz w:val="24"/>
          <w:szCs w:val="24"/>
        </w:rPr>
      </w:pPr>
      <w:r>
        <w:rPr>
          <w:sz w:val="24"/>
          <w:szCs w:val="24"/>
        </w:rPr>
        <w:lastRenderedPageBreak/>
        <w:t>Electrolyte changes observed in this study, particularly the significant increases in potassium, chloride, and bicarbonate, may be attributed to hormonal regulation and renal tubular adap</w:t>
      </w:r>
      <w:r>
        <w:rPr>
          <w:sz w:val="24"/>
          <w:szCs w:val="24"/>
        </w:rPr>
        <w:t>tations. The renin–angiotensin–aldosterone system plays a critical role in maintaining fluid and electrolyte balance during pregnancy (Guyton &amp; Hall, 2021; Hering-Smith &amp; Hamm, 2020).</w:t>
      </w:r>
    </w:p>
    <w:p w14:paraId="4A9CD1BC" w14:textId="77777777" w:rsidR="00FD08C3" w:rsidRDefault="00D135DF">
      <w:pPr>
        <w:spacing w:before="240" w:after="240"/>
        <w:jc w:val="both"/>
        <w:rPr>
          <w:sz w:val="24"/>
          <w:szCs w:val="24"/>
        </w:rPr>
      </w:pPr>
      <w:r>
        <w:rPr>
          <w:sz w:val="24"/>
          <w:szCs w:val="24"/>
        </w:rPr>
        <w:t>The significantly elevated serum uric acid levels observed in pregnant w</w:t>
      </w:r>
      <w:r>
        <w:rPr>
          <w:sz w:val="24"/>
          <w:szCs w:val="24"/>
        </w:rPr>
        <w:t>omen are consistent with previous reports linking hyperuricemia to reduced renal clearance and increased oxidative stress during pregnancy (</w:t>
      </w:r>
      <w:proofErr w:type="spellStart"/>
      <w:r>
        <w:rPr>
          <w:sz w:val="24"/>
          <w:szCs w:val="24"/>
        </w:rPr>
        <w:t>Buhimschi</w:t>
      </w:r>
      <w:proofErr w:type="spellEnd"/>
      <w:r>
        <w:rPr>
          <w:sz w:val="24"/>
          <w:szCs w:val="24"/>
        </w:rPr>
        <w:t xml:space="preserve"> &amp; </w:t>
      </w:r>
      <w:proofErr w:type="spellStart"/>
      <w:r>
        <w:rPr>
          <w:sz w:val="24"/>
          <w:szCs w:val="24"/>
        </w:rPr>
        <w:t>Saade</w:t>
      </w:r>
      <w:proofErr w:type="spellEnd"/>
      <w:r>
        <w:rPr>
          <w:sz w:val="24"/>
          <w:szCs w:val="24"/>
        </w:rPr>
        <w:t xml:space="preserve">, 2020; Corominas et al., 2022). Uric acid has also been implicated in endothelial dysfunction and </w:t>
      </w:r>
      <w:r>
        <w:rPr>
          <w:sz w:val="24"/>
          <w:szCs w:val="24"/>
        </w:rPr>
        <w:t xml:space="preserve">may serve as an early indicator of hypertensive disorders such as preeclampsia (Perales et al., 2021; </w:t>
      </w:r>
      <w:proofErr w:type="spellStart"/>
      <w:r>
        <w:rPr>
          <w:sz w:val="24"/>
          <w:szCs w:val="24"/>
        </w:rPr>
        <w:t>Ngeri</w:t>
      </w:r>
      <w:proofErr w:type="spellEnd"/>
      <w:r>
        <w:rPr>
          <w:sz w:val="24"/>
          <w:szCs w:val="24"/>
        </w:rPr>
        <w:t xml:space="preserve"> et al., 2022).</w:t>
      </w:r>
    </w:p>
    <w:p w14:paraId="7D26F0E2" w14:textId="77777777" w:rsidR="00FD08C3" w:rsidRDefault="00D135DF">
      <w:pPr>
        <w:spacing w:before="240" w:after="240"/>
        <w:jc w:val="both"/>
        <w:rPr>
          <w:sz w:val="24"/>
          <w:szCs w:val="24"/>
        </w:rPr>
      </w:pPr>
      <w:r>
        <w:rPr>
          <w:sz w:val="24"/>
          <w:szCs w:val="24"/>
        </w:rPr>
        <w:t>The uric acid–creatinine ratio was significantly elevated in pregnant women, supporting its potential utility as a more sensitive mar</w:t>
      </w:r>
      <w:r>
        <w:rPr>
          <w:sz w:val="24"/>
          <w:szCs w:val="24"/>
        </w:rPr>
        <w:t>ker of renal function. By accounting for variations in creatinine, this ratio provides a more reliable assessment of uric acid handling and renal adaptation (Wang et al., 2023; Brookes, 2022).</w:t>
      </w:r>
    </w:p>
    <w:p w14:paraId="59F41B44" w14:textId="77777777" w:rsidR="00FD08C3" w:rsidRDefault="00D135DF">
      <w:pPr>
        <w:spacing w:before="240" w:after="240"/>
        <w:jc w:val="both"/>
        <w:rPr>
          <w:sz w:val="24"/>
          <w:szCs w:val="24"/>
        </w:rPr>
      </w:pPr>
      <w:r>
        <w:rPr>
          <w:sz w:val="24"/>
          <w:szCs w:val="24"/>
        </w:rPr>
        <w:t>Across trimesters, the significant increase in creatinine and r</w:t>
      </w:r>
      <w:r>
        <w:rPr>
          <w:sz w:val="24"/>
          <w:szCs w:val="24"/>
        </w:rPr>
        <w:t>eduction in chloride levels reflect progressive physiological changes, including altered renal hemodynamics and plasma volume expansion (Conrad et al., 2017; Soma-Pillay et al., 2016). The stability of other parameters suggests effective homeostatic mechan</w:t>
      </w:r>
      <w:r>
        <w:rPr>
          <w:sz w:val="24"/>
          <w:szCs w:val="24"/>
        </w:rPr>
        <w:t>isms that maintain electrolyte balance despite these changes.</w:t>
      </w:r>
    </w:p>
    <w:p w14:paraId="04C6E1A3" w14:textId="77777777" w:rsidR="00FD08C3" w:rsidRDefault="00D135DF">
      <w:pPr>
        <w:spacing w:before="240" w:after="240"/>
        <w:jc w:val="both"/>
        <w:rPr>
          <w:sz w:val="24"/>
          <w:szCs w:val="24"/>
        </w:rPr>
      </w:pPr>
      <w:r>
        <w:rPr>
          <w:sz w:val="24"/>
          <w:szCs w:val="24"/>
        </w:rPr>
        <w:t>The lack of significant variation in most parameters across age groups indicates that maternal age may not play a major role in renal adaptation during pregnancy. However, the observed differenc</w:t>
      </w:r>
      <w:r>
        <w:rPr>
          <w:sz w:val="24"/>
          <w:szCs w:val="24"/>
        </w:rPr>
        <w:t>es in potassium levels suggest that age-related physiological factors may influence electrolyte regulation (Gumz et al., 2015).</w:t>
      </w:r>
    </w:p>
    <w:p w14:paraId="5CCAED33" w14:textId="77777777" w:rsidR="00FD08C3" w:rsidRDefault="00D135DF">
      <w:pPr>
        <w:spacing w:before="240" w:after="240"/>
        <w:jc w:val="both"/>
        <w:rPr>
          <w:sz w:val="24"/>
          <w:szCs w:val="24"/>
        </w:rPr>
      </w:pPr>
      <w:r>
        <w:rPr>
          <w:sz w:val="24"/>
          <w:szCs w:val="24"/>
        </w:rPr>
        <w:t>Overall, the findings of this study are consistent with existing literature and further support the role of renal biomarkers, pa</w:t>
      </w:r>
      <w:r>
        <w:rPr>
          <w:sz w:val="24"/>
          <w:szCs w:val="24"/>
        </w:rPr>
        <w:t>rticularly uric acid and its derived ratios, as important indicators of physiological adaptation and potential early markers of pregnancy-related complications.</w:t>
      </w:r>
    </w:p>
    <w:p w14:paraId="6FFAA633" w14:textId="77777777" w:rsidR="00FD08C3" w:rsidRDefault="00FD08C3">
      <w:pPr>
        <w:spacing w:before="240" w:after="240"/>
        <w:jc w:val="both"/>
        <w:rPr>
          <w:sz w:val="24"/>
          <w:szCs w:val="24"/>
        </w:rPr>
      </w:pPr>
    </w:p>
    <w:p w14:paraId="7DC6E936" w14:textId="77777777" w:rsidR="00FD08C3" w:rsidRDefault="00FD08C3">
      <w:pPr>
        <w:spacing w:before="240" w:after="240"/>
        <w:jc w:val="both"/>
        <w:rPr>
          <w:sz w:val="24"/>
          <w:szCs w:val="24"/>
        </w:rPr>
      </w:pPr>
    </w:p>
    <w:p w14:paraId="52EDB207" w14:textId="77777777" w:rsidR="00FD08C3" w:rsidRDefault="00FD08C3">
      <w:pPr>
        <w:spacing w:before="240" w:after="240"/>
        <w:jc w:val="both"/>
        <w:rPr>
          <w:sz w:val="24"/>
          <w:szCs w:val="24"/>
        </w:rPr>
      </w:pPr>
    </w:p>
    <w:p w14:paraId="03D3A8AA" w14:textId="77777777" w:rsidR="00FD08C3" w:rsidRDefault="00FD08C3">
      <w:pPr>
        <w:pStyle w:val="Heading1"/>
        <w:keepNext w:val="0"/>
        <w:keepLines w:val="0"/>
        <w:spacing w:before="480"/>
        <w:jc w:val="both"/>
        <w:rPr>
          <w:b/>
          <w:bCs/>
          <w:sz w:val="24"/>
          <w:szCs w:val="24"/>
        </w:rPr>
      </w:pPr>
      <w:bookmarkStart w:id="19" w:name="_e17qh3plg7zb" w:colFirst="0" w:colLast="0"/>
      <w:bookmarkEnd w:id="19"/>
    </w:p>
    <w:p w14:paraId="69FA275F" w14:textId="77777777" w:rsidR="00FD08C3" w:rsidRDefault="00D135DF">
      <w:pPr>
        <w:pStyle w:val="Heading1"/>
        <w:keepNext w:val="0"/>
        <w:keepLines w:val="0"/>
        <w:spacing w:before="480"/>
        <w:jc w:val="both"/>
        <w:rPr>
          <w:b/>
          <w:bCs/>
          <w:sz w:val="24"/>
          <w:szCs w:val="24"/>
        </w:rPr>
      </w:pPr>
      <w:bookmarkStart w:id="20" w:name="_dpy8tfkh1gpx" w:colFirst="0" w:colLast="0"/>
      <w:bookmarkEnd w:id="20"/>
      <w:r>
        <w:rPr>
          <w:b/>
          <w:bCs/>
          <w:sz w:val="24"/>
          <w:szCs w:val="24"/>
        </w:rPr>
        <w:lastRenderedPageBreak/>
        <w:t>CONCLUSION</w:t>
      </w:r>
    </w:p>
    <w:p w14:paraId="3CC54865" w14:textId="77777777" w:rsidR="00FD08C3" w:rsidRDefault="00D135DF">
      <w:pPr>
        <w:spacing w:before="240" w:after="240"/>
        <w:jc w:val="both"/>
        <w:rPr>
          <w:sz w:val="24"/>
          <w:szCs w:val="24"/>
        </w:rPr>
      </w:pPr>
      <w:r>
        <w:rPr>
          <w:sz w:val="24"/>
          <w:szCs w:val="24"/>
        </w:rPr>
        <w:t xml:space="preserve">This study demonstrates that pregnancy is associated with significant </w:t>
      </w:r>
      <w:r>
        <w:rPr>
          <w:sz w:val="24"/>
          <w:szCs w:val="24"/>
        </w:rPr>
        <w:t xml:space="preserve">alterations in renal and electrolyte parameters. Pregnant women exhibited higher levels of creatinine, urea, potassium, chloride, bicarbonate, serum uric acid, and uric acid–creatinine ratio compared to non-pregnant controls, indicating notable changes in </w:t>
      </w:r>
      <w:r>
        <w:rPr>
          <w:sz w:val="24"/>
          <w:szCs w:val="24"/>
        </w:rPr>
        <w:t>renal function and metabolic activity.</w:t>
      </w:r>
    </w:p>
    <w:p w14:paraId="77771F35" w14:textId="77777777" w:rsidR="00FD08C3" w:rsidRDefault="00D135DF">
      <w:pPr>
        <w:spacing w:before="240" w:after="240"/>
        <w:jc w:val="both"/>
        <w:rPr>
          <w:sz w:val="24"/>
          <w:szCs w:val="24"/>
        </w:rPr>
      </w:pPr>
      <w:r>
        <w:rPr>
          <w:sz w:val="24"/>
          <w:szCs w:val="24"/>
        </w:rPr>
        <w:t>The significant increase in creatinine across trimesters and the reduction in chloride levels in late pregnancy highlight the dynamic nature of renal adaptation during gestation. Although serum uric acid and its deriv</w:t>
      </w:r>
      <w:r>
        <w:rPr>
          <w:sz w:val="24"/>
          <w:szCs w:val="24"/>
        </w:rPr>
        <w:t>ed ratio did not show significant variation across trimesters, their elevated levels in pregnancy suggest altered renal handling and potential clinical relevance.</w:t>
      </w:r>
    </w:p>
    <w:p w14:paraId="2FF53043" w14:textId="77777777" w:rsidR="00FD08C3" w:rsidRDefault="00D135DF">
      <w:pPr>
        <w:spacing w:before="240" w:after="240"/>
        <w:jc w:val="both"/>
        <w:rPr>
          <w:sz w:val="24"/>
          <w:szCs w:val="24"/>
        </w:rPr>
      </w:pPr>
      <w:r>
        <w:rPr>
          <w:sz w:val="24"/>
          <w:szCs w:val="24"/>
        </w:rPr>
        <w:t>Overall, serum uric acid and the uric acid–creatinine ratio may serve as useful, accessible b</w:t>
      </w:r>
      <w:r>
        <w:rPr>
          <w:sz w:val="24"/>
          <w:szCs w:val="24"/>
        </w:rPr>
        <w:t>iomarkers for assessing renal adaptation during pregnancy. Their potential role in early detection of pregnancy-related complications, particularly hypertensive disorders such as preeclampsia, warrants further investigation.</w:t>
      </w:r>
    </w:p>
    <w:p w14:paraId="6C49457E" w14:textId="77777777" w:rsidR="00FD08C3" w:rsidRDefault="00D135DF">
      <w:pPr>
        <w:pStyle w:val="Heading1"/>
        <w:keepNext w:val="0"/>
        <w:keepLines w:val="0"/>
        <w:spacing w:before="480"/>
        <w:jc w:val="both"/>
        <w:rPr>
          <w:b/>
          <w:bCs/>
          <w:sz w:val="24"/>
          <w:szCs w:val="24"/>
        </w:rPr>
      </w:pPr>
      <w:bookmarkStart w:id="21" w:name="_xspbp06xgl94" w:colFirst="0" w:colLast="0"/>
      <w:bookmarkEnd w:id="21"/>
      <w:r>
        <w:rPr>
          <w:b/>
          <w:bCs/>
          <w:sz w:val="24"/>
          <w:szCs w:val="24"/>
        </w:rPr>
        <w:t>RECOMMENDATIONS</w:t>
      </w:r>
    </w:p>
    <w:p w14:paraId="51FBD3BB" w14:textId="77777777" w:rsidR="00FD08C3" w:rsidRDefault="00D135DF">
      <w:pPr>
        <w:spacing w:before="240" w:after="240"/>
        <w:jc w:val="both"/>
        <w:rPr>
          <w:sz w:val="24"/>
          <w:szCs w:val="24"/>
        </w:rPr>
      </w:pPr>
      <w:r>
        <w:rPr>
          <w:sz w:val="24"/>
          <w:szCs w:val="24"/>
        </w:rPr>
        <w:t>Routine assessm</w:t>
      </w:r>
      <w:r>
        <w:rPr>
          <w:sz w:val="24"/>
          <w:szCs w:val="24"/>
        </w:rPr>
        <w:t>ent of serum uric acid and renal function parameters should be incorporated into antenatal care to enhance early detection of renal dysfunction and pregnancy-related complications. In addition, the uric acid–creatinine ratio should be considered as an adju</w:t>
      </w:r>
      <w:r>
        <w:rPr>
          <w:sz w:val="24"/>
          <w:szCs w:val="24"/>
        </w:rPr>
        <w:t>nct biomarker for evaluating renal adaptation during pregnancy, particularly in resource-limited settings where simple and cost-effective tools are essential. The development of pregnancy-specific reference ranges for renal biomarkers is also recommended t</w:t>
      </w:r>
      <w:r>
        <w:rPr>
          <w:sz w:val="24"/>
          <w:szCs w:val="24"/>
        </w:rPr>
        <w:t xml:space="preserve">o improve clinical interpretation and support informed decision-making. Furthermore, large-scale, multicenter, and longitudinal studies are needed to validate the predictive value of serum uric acid and its derived indices in identifying pregnancy-related </w:t>
      </w:r>
      <w:r>
        <w:rPr>
          <w:sz w:val="24"/>
          <w:szCs w:val="24"/>
        </w:rPr>
        <w:t>complications such as preeclampsia.</w:t>
      </w:r>
    </w:p>
    <w:p w14:paraId="44F68892" w14:textId="77777777" w:rsidR="00FD08C3" w:rsidRDefault="00D135DF">
      <w:pPr>
        <w:pStyle w:val="Heading1"/>
        <w:keepNext w:val="0"/>
        <w:keepLines w:val="0"/>
        <w:spacing w:before="480"/>
        <w:jc w:val="both"/>
        <w:rPr>
          <w:b/>
          <w:bCs/>
          <w:sz w:val="24"/>
          <w:szCs w:val="24"/>
        </w:rPr>
      </w:pPr>
      <w:bookmarkStart w:id="22" w:name="_68f6qy7y8gbf" w:colFirst="0" w:colLast="0"/>
      <w:bookmarkEnd w:id="22"/>
      <w:r>
        <w:rPr>
          <w:b/>
          <w:bCs/>
          <w:sz w:val="24"/>
          <w:szCs w:val="24"/>
        </w:rPr>
        <w:t>LIMITATIONS</w:t>
      </w:r>
    </w:p>
    <w:p w14:paraId="40E2287F" w14:textId="77777777" w:rsidR="00FD08C3" w:rsidRDefault="00D135DF">
      <w:pPr>
        <w:spacing w:before="240" w:after="240"/>
        <w:jc w:val="both"/>
        <w:rPr>
          <w:sz w:val="24"/>
          <w:szCs w:val="24"/>
        </w:rPr>
      </w:pPr>
      <w:r>
        <w:rPr>
          <w:sz w:val="24"/>
          <w:szCs w:val="24"/>
        </w:rPr>
        <w:t>This study has several limitations. The cross-sectional design limits the ability to assess temporal changes and establish causal relationships in renal function during pregnancy. The study was conducted in a</w:t>
      </w:r>
      <w:r>
        <w:rPr>
          <w:sz w:val="24"/>
          <w:szCs w:val="24"/>
        </w:rPr>
        <w:t xml:space="preserve"> single center, which may limit the generalizability of the findings to other populations.</w:t>
      </w:r>
    </w:p>
    <w:p w14:paraId="3F3879B6" w14:textId="77777777" w:rsidR="00FD08C3" w:rsidRDefault="00D135DF">
      <w:pPr>
        <w:spacing w:before="240" w:after="240"/>
        <w:jc w:val="both"/>
        <w:rPr>
          <w:sz w:val="24"/>
          <w:szCs w:val="24"/>
        </w:rPr>
      </w:pPr>
      <w:r>
        <w:rPr>
          <w:sz w:val="24"/>
          <w:szCs w:val="24"/>
        </w:rPr>
        <w:t>Additionally, potential confounding factors such as dietary habits, hydration status, body mass index, and socioeconomic factors were not fully controlled and may ha</w:t>
      </w:r>
      <w:r>
        <w:rPr>
          <w:sz w:val="24"/>
          <w:szCs w:val="24"/>
        </w:rPr>
        <w:t xml:space="preserve">ve influenced </w:t>
      </w:r>
      <w:r>
        <w:rPr>
          <w:sz w:val="24"/>
          <w:szCs w:val="24"/>
        </w:rPr>
        <w:lastRenderedPageBreak/>
        <w:t>the observed results. Despite these limitations, the study provides valuable insights into renal adaptation and highlights the potential utility of uric acid-based biomarkers in pregnancy.</w:t>
      </w:r>
    </w:p>
    <w:p w14:paraId="74A21255" w14:textId="77777777" w:rsidR="00FD08C3" w:rsidRDefault="00FD08C3">
      <w:pPr>
        <w:spacing w:before="240" w:after="240"/>
        <w:jc w:val="both"/>
        <w:rPr>
          <w:sz w:val="24"/>
          <w:szCs w:val="24"/>
        </w:rPr>
      </w:pPr>
    </w:p>
    <w:p w14:paraId="08A63135" w14:textId="77777777" w:rsidR="00FD08C3" w:rsidRDefault="00D135DF">
      <w:pPr>
        <w:pStyle w:val="Heading1"/>
        <w:keepNext w:val="0"/>
        <w:keepLines w:val="0"/>
        <w:spacing w:before="480"/>
        <w:jc w:val="both"/>
        <w:rPr>
          <w:b/>
          <w:bCs/>
          <w:sz w:val="24"/>
          <w:szCs w:val="24"/>
        </w:rPr>
      </w:pPr>
      <w:bookmarkStart w:id="23" w:name="_y91qffe00rvv" w:colFirst="0" w:colLast="0"/>
      <w:bookmarkEnd w:id="23"/>
      <w:r>
        <w:rPr>
          <w:b/>
          <w:bCs/>
          <w:sz w:val="24"/>
          <w:szCs w:val="24"/>
        </w:rPr>
        <w:t xml:space="preserve">REFERENCES </w:t>
      </w:r>
    </w:p>
    <w:p w14:paraId="6ABA6823" w14:textId="77777777" w:rsidR="00FD08C3" w:rsidRDefault="00D135DF">
      <w:pPr>
        <w:spacing w:before="240" w:after="240"/>
        <w:ind w:left="840" w:hanging="420"/>
        <w:jc w:val="both"/>
      </w:pPr>
      <w:r>
        <w:t>1. Adeyemi, O. M., Umeh, E. U., &amp; Ibe, A</w:t>
      </w:r>
      <w:r>
        <w:t xml:space="preserve">. C. (2021). Evaluation of renal function biomarkers among pregnant women in Enugu, Nigeria. </w:t>
      </w:r>
      <w:r>
        <w:rPr>
          <w:i/>
          <w:iCs/>
        </w:rPr>
        <w:t>African Journal of Biomedical Research, 24</w:t>
      </w:r>
      <w:r>
        <w:t>(3), 347–355.</w:t>
      </w:r>
    </w:p>
    <w:p w14:paraId="0C39F52A" w14:textId="77777777" w:rsidR="00FD08C3" w:rsidRDefault="00D135DF">
      <w:pPr>
        <w:spacing w:before="240" w:after="240"/>
        <w:ind w:left="840" w:hanging="420"/>
        <w:jc w:val="both"/>
      </w:pPr>
      <w:r>
        <w:t xml:space="preserve">2. </w:t>
      </w:r>
      <w:proofErr w:type="spellStart"/>
      <w:r>
        <w:t>Agampodi</w:t>
      </w:r>
      <w:proofErr w:type="spellEnd"/>
      <w:r>
        <w:t xml:space="preserve">, S. B., </w:t>
      </w:r>
      <w:proofErr w:type="spellStart"/>
      <w:r>
        <w:t>Goonawardane</w:t>
      </w:r>
      <w:proofErr w:type="spellEnd"/>
      <w:r>
        <w:t xml:space="preserve">, N., Amarasinghe, I. T., Jayathilaka, A. M., &amp; Jayawardane, A. T. (2023). </w:t>
      </w:r>
      <w:r>
        <w:t xml:space="preserve">Serum creatinine and estimated glomerular filtration rate in pregnancy: Thresholds and changes across gestation. </w:t>
      </w:r>
      <w:r>
        <w:rPr>
          <w:i/>
          <w:iCs/>
        </w:rPr>
        <w:t>Frontiers in Medicine, 10</w:t>
      </w:r>
      <w:r>
        <w:t>, 112–133.</w:t>
      </w:r>
    </w:p>
    <w:p w14:paraId="267EF5B2" w14:textId="77777777" w:rsidR="00FD08C3" w:rsidRDefault="00D135DF">
      <w:pPr>
        <w:spacing w:before="240" w:after="240"/>
        <w:ind w:left="840" w:hanging="420"/>
        <w:jc w:val="both"/>
      </w:pPr>
      <w:r>
        <w:t>3. Bobulescu, I. A., &amp; Moe, O. W. (2020). Renal transport of uric acid: Evolving concepts and uncertainties</w:t>
      </w:r>
      <w:r>
        <w:t xml:space="preserve">. </w:t>
      </w:r>
      <w:r>
        <w:rPr>
          <w:i/>
          <w:iCs/>
        </w:rPr>
        <w:t>Nature Reviews Nephrology, 16</w:t>
      </w:r>
      <w:r>
        <w:t>(12), 784–798.</w:t>
      </w:r>
    </w:p>
    <w:p w14:paraId="6FA4724C" w14:textId="77777777" w:rsidR="00FD08C3" w:rsidRDefault="00D135DF">
      <w:pPr>
        <w:spacing w:before="240" w:after="240"/>
        <w:ind w:left="840" w:hanging="420"/>
        <w:jc w:val="both"/>
      </w:pPr>
      <w:r>
        <w:t xml:space="preserve">4. Bolarinwa, O. A., Nwosu, I., &amp; </w:t>
      </w:r>
      <w:proofErr w:type="spellStart"/>
      <w:r>
        <w:t>Ezenwafor</w:t>
      </w:r>
      <w:proofErr w:type="spellEnd"/>
      <w:r>
        <w:t xml:space="preserve">, C. E. (2024). Assessment of renal biomarkers in pregnancy: Implications for maternal health. </w:t>
      </w:r>
      <w:r>
        <w:rPr>
          <w:i/>
          <w:iCs/>
        </w:rPr>
        <w:t>African Journal of Clinical Biochemistry, 14</w:t>
      </w:r>
      <w:r>
        <w:t>(1), 32–41.</w:t>
      </w:r>
    </w:p>
    <w:p w14:paraId="12C1B623" w14:textId="77777777" w:rsidR="00FD08C3" w:rsidRDefault="00D135DF">
      <w:pPr>
        <w:spacing w:before="240" w:after="240"/>
        <w:ind w:left="840" w:hanging="420"/>
        <w:jc w:val="both"/>
      </w:pPr>
      <w:r>
        <w:t>5. Boron, W. F.,</w:t>
      </w:r>
      <w:r>
        <w:t xml:space="preserve"> &amp; </w:t>
      </w:r>
      <w:proofErr w:type="spellStart"/>
      <w:r>
        <w:t>Boulpaep</w:t>
      </w:r>
      <w:proofErr w:type="spellEnd"/>
      <w:r>
        <w:t xml:space="preserve">, E. L. (2022). </w:t>
      </w:r>
      <w:r>
        <w:rPr>
          <w:i/>
          <w:iCs/>
        </w:rPr>
        <w:t>Medical physiology</w:t>
      </w:r>
      <w:r>
        <w:t xml:space="preserve"> (4th ed.). Elsevier Health Sciences.</w:t>
      </w:r>
    </w:p>
    <w:p w14:paraId="2C751F2E" w14:textId="77777777" w:rsidR="00FD08C3" w:rsidRDefault="00D135DF">
      <w:pPr>
        <w:spacing w:before="240" w:after="240"/>
        <w:ind w:left="840" w:hanging="420"/>
        <w:jc w:val="both"/>
      </w:pPr>
      <w:r>
        <w:t xml:space="preserve">6. Brookes, E. M. (2022). Elevated serum urea-to-creatinine ratio is associated with greater rates of inpatient mortality, hospital readmission within 30 days and longer hospital length-of-stay. </w:t>
      </w:r>
      <w:r>
        <w:rPr>
          <w:i/>
          <w:iCs/>
        </w:rPr>
        <w:t>Scientific Reports, 12</w:t>
      </w:r>
      <w:r>
        <w:t>, 252–254.</w:t>
      </w:r>
    </w:p>
    <w:p w14:paraId="2439DF9C" w14:textId="77777777" w:rsidR="00FD08C3" w:rsidRDefault="00D135DF">
      <w:pPr>
        <w:spacing w:before="240" w:after="240"/>
        <w:ind w:left="840" w:hanging="420"/>
        <w:jc w:val="both"/>
      </w:pPr>
      <w:r>
        <w:t xml:space="preserve">7. </w:t>
      </w:r>
      <w:proofErr w:type="spellStart"/>
      <w:r>
        <w:t>Buhimschi</w:t>
      </w:r>
      <w:proofErr w:type="spellEnd"/>
      <w:r>
        <w:t>, I. A., &amp; Saade</w:t>
      </w:r>
      <w:r>
        <w:t xml:space="preserve">, G. R. (2020). Uric acid as a biomarker of oxidative stress in pregnancy. </w:t>
      </w:r>
      <w:r>
        <w:rPr>
          <w:i/>
          <w:iCs/>
        </w:rPr>
        <w:t>American Journal of Obstetrics and Gynecology, 222</w:t>
      </w:r>
      <w:r>
        <w:t>(6), 620–628.</w:t>
      </w:r>
    </w:p>
    <w:p w14:paraId="5B442A7A" w14:textId="77777777" w:rsidR="00FD08C3" w:rsidRDefault="00D135DF">
      <w:pPr>
        <w:spacing w:before="240" w:after="240"/>
        <w:ind w:left="840" w:hanging="420"/>
        <w:jc w:val="both"/>
      </w:pPr>
      <w:r>
        <w:t xml:space="preserve">8. Cheung, K. L., &amp; Lafayette, R. A. (2019). Renal physiology of pregnancy. </w:t>
      </w:r>
      <w:r>
        <w:rPr>
          <w:i/>
          <w:iCs/>
        </w:rPr>
        <w:t>Advances in Chronic Kidney Disease, 26</w:t>
      </w:r>
      <w:r>
        <w:t>(4)</w:t>
      </w:r>
      <w:r>
        <w:t>, 256–263.</w:t>
      </w:r>
    </w:p>
    <w:p w14:paraId="611E7D1C" w14:textId="77777777" w:rsidR="00FD08C3" w:rsidRDefault="00D135DF">
      <w:pPr>
        <w:spacing w:before="240" w:after="240"/>
        <w:ind w:left="840" w:hanging="420"/>
        <w:jc w:val="both"/>
      </w:pPr>
      <w:r>
        <w:t xml:space="preserve">9. Conrad, K. P., Davison, J. M., &amp; </w:t>
      </w:r>
      <w:proofErr w:type="spellStart"/>
      <w:r>
        <w:t>Hladunewich</w:t>
      </w:r>
      <w:proofErr w:type="spellEnd"/>
      <w:r>
        <w:t xml:space="preserve">, M. (2017). Renal physiology and hemodynamics during pregnancy. </w:t>
      </w:r>
      <w:r>
        <w:rPr>
          <w:i/>
          <w:iCs/>
        </w:rPr>
        <w:t>Comprehensive Physiology, 7</w:t>
      </w:r>
      <w:r>
        <w:t>(2), 871–889.</w:t>
      </w:r>
    </w:p>
    <w:p w14:paraId="69B27F80" w14:textId="77777777" w:rsidR="00FD08C3" w:rsidRDefault="00D135DF">
      <w:pPr>
        <w:spacing w:before="240" w:after="240"/>
        <w:ind w:left="840" w:hanging="420"/>
        <w:jc w:val="both"/>
      </w:pPr>
      <w:r>
        <w:t xml:space="preserve">10. Corominas, A. I., </w:t>
      </w:r>
      <w:proofErr w:type="spellStart"/>
      <w:r>
        <w:t>Giachini</w:t>
      </w:r>
      <w:proofErr w:type="spellEnd"/>
      <w:r>
        <w:t xml:space="preserve">, F. R., Iacobelli, S., &amp; </w:t>
      </w:r>
      <w:proofErr w:type="spellStart"/>
      <w:r>
        <w:t>Llinás</w:t>
      </w:r>
      <w:proofErr w:type="spellEnd"/>
      <w:r>
        <w:t xml:space="preserve">, M. T. (2022). Assessing the </w:t>
      </w:r>
      <w:r>
        <w:t xml:space="preserve">role of uric acid as a predictor of preeclampsia and adverse perinatal outcomes. </w:t>
      </w:r>
      <w:r>
        <w:rPr>
          <w:i/>
          <w:iCs/>
        </w:rPr>
        <w:t>Frontiers in Physiology, 12</w:t>
      </w:r>
      <w:r>
        <w:t>, 729–736.</w:t>
      </w:r>
    </w:p>
    <w:p w14:paraId="7FD233A7" w14:textId="77777777" w:rsidR="00FD08C3" w:rsidRDefault="00FD08C3">
      <w:pPr>
        <w:spacing w:before="240" w:after="240"/>
        <w:ind w:left="420"/>
        <w:jc w:val="both"/>
      </w:pPr>
    </w:p>
    <w:p w14:paraId="3E148BEC" w14:textId="77777777" w:rsidR="00FD08C3" w:rsidRDefault="00D135DF">
      <w:pPr>
        <w:spacing w:before="240" w:after="240"/>
        <w:ind w:left="840" w:hanging="420"/>
        <w:jc w:val="both"/>
      </w:pPr>
      <w:r>
        <w:lastRenderedPageBreak/>
        <w:t xml:space="preserve">11. El Ridi, R., &amp; </w:t>
      </w:r>
      <w:proofErr w:type="spellStart"/>
      <w:r>
        <w:t>Tallima</w:t>
      </w:r>
      <w:proofErr w:type="spellEnd"/>
      <w:r>
        <w:t xml:space="preserve">, H. (2017). Physiological functions and pathogenic potential of uric acid: A review. </w:t>
      </w:r>
      <w:r>
        <w:rPr>
          <w:i/>
          <w:iCs/>
        </w:rPr>
        <w:t xml:space="preserve">Journal of Advanced </w:t>
      </w:r>
      <w:r>
        <w:rPr>
          <w:i/>
          <w:iCs/>
        </w:rPr>
        <w:t>Research, 8</w:t>
      </w:r>
      <w:r>
        <w:t>(5), 487–493.</w:t>
      </w:r>
    </w:p>
    <w:p w14:paraId="3548B91F" w14:textId="77777777" w:rsidR="00FD08C3" w:rsidRDefault="00D135DF">
      <w:pPr>
        <w:spacing w:before="240" w:after="240"/>
        <w:ind w:left="840" w:hanging="420"/>
        <w:jc w:val="both"/>
      </w:pPr>
      <w:r>
        <w:t xml:space="preserve">12. Furuhashi, M. (2020). New insights into purine metabolism in metabolic diseases. </w:t>
      </w:r>
      <w:r>
        <w:rPr>
          <w:i/>
          <w:iCs/>
        </w:rPr>
        <w:t>American Journal of Physiology – Endocrinology and Metabolism, 319</w:t>
      </w:r>
      <w:r>
        <w:t>(5), E933–E946.</w:t>
      </w:r>
    </w:p>
    <w:p w14:paraId="41F2B2AD" w14:textId="77777777" w:rsidR="00FD08C3" w:rsidRDefault="00D135DF">
      <w:pPr>
        <w:spacing w:before="240" w:after="240"/>
        <w:ind w:left="840" w:hanging="420"/>
        <w:jc w:val="both"/>
      </w:pPr>
      <w:r>
        <w:t>13. Gumz, M. L., Rabinowitz, L., &amp; Wingo, C. S. (2015). An integ</w:t>
      </w:r>
      <w:r>
        <w:t xml:space="preserve">rated view of potassium homeostasis. </w:t>
      </w:r>
      <w:r>
        <w:rPr>
          <w:i/>
          <w:iCs/>
        </w:rPr>
        <w:t>Physiological Reviews, 95</w:t>
      </w:r>
      <w:r>
        <w:t>(3), 1025–1071.</w:t>
      </w:r>
    </w:p>
    <w:p w14:paraId="16BD7D94" w14:textId="77777777" w:rsidR="00FD08C3" w:rsidRDefault="00D135DF">
      <w:pPr>
        <w:spacing w:before="240" w:after="240"/>
        <w:ind w:left="840" w:hanging="420"/>
        <w:jc w:val="both"/>
      </w:pPr>
      <w:r>
        <w:t xml:space="preserve">14. Guyton, A. C., &amp; Hall, J. E. (2021). </w:t>
      </w:r>
      <w:r>
        <w:rPr>
          <w:i/>
          <w:iCs/>
        </w:rPr>
        <w:t>Textbook of medical physiology</w:t>
      </w:r>
      <w:r>
        <w:t xml:space="preserve"> (15th ed.). Elsevier Saunders.</w:t>
      </w:r>
    </w:p>
    <w:p w14:paraId="7E874B5D" w14:textId="77777777" w:rsidR="00FD08C3" w:rsidRDefault="00D135DF">
      <w:pPr>
        <w:spacing w:before="240" w:after="240"/>
        <w:ind w:left="840" w:hanging="420"/>
        <w:jc w:val="both"/>
      </w:pPr>
      <w:r>
        <w:t xml:space="preserve">15. Hering-Smith, K. S., &amp; Hamm, L. L. (2020). Regulation of renal sodium, </w:t>
      </w:r>
      <w:r>
        <w:t xml:space="preserve">potassium, and acid–base balance. </w:t>
      </w:r>
      <w:r>
        <w:rPr>
          <w:i/>
          <w:iCs/>
        </w:rPr>
        <w:t>Clinical Journal of the American Society of Nephrology, 15</w:t>
      </w:r>
      <w:r>
        <w:t>(10), 1529–1542.</w:t>
      </w:r>
    </w:p>
    <w:p w14:paraId="27631C42" w14:textId="77777777" w:rsidR="00FD08C3" w:rsidRDefault="00D135DF">
      <w:pPr>
        <w:spacing w:before="240" w:after="240"/>
        <w:ind w:left="840" w:hanging="420"/>
        <w:jc w:val="both"/>
      </w:pPr>
      <w:r>
        <w:t xml:space="preserve">16. Higgins, C. (2025). Urea and the clinical value of measuring blood urea concentration. </w:t>
      </w:r>
      <w:r>
        <w:rPr>
          <w:i/>
          <w:iCs/>
        </w:rPr>
        <w:t>Acute Care Testing</w:t>
      </w:r>
      <w:r>
        <w:t>.</w:t>
      </w:r>
    </w:p>
    <w:p w14:paraId="203FD1FE" w14:textId="77777777" w:rsidR="00FD08C3" w:rsidRDefault="00D135DF">
      <w:pPr>
        <w:spacing w:before="240" w:after="240"/>
        <w:ind w:left="840" w:hanging="420"/>
        <w:jc w:val="both"/>
      </w:pPr>
      <w:r>
        <w:t>17. Hosten, A. O. (1990). BUN and cr</w:t>
      </w:r>
      <w:r>
        <w:t xml:space="preserve">eatinine. In </w:t>
      </w:r>
      <w:r>
        <w:rPr>
          <w:i/>
          <w:iCs/>
        </w:rPr>
        <w:t>Clinical methods: The history, physical, and laboratory examinations</w:t>
      </w:r>
      <w:r>
        <w:t xml:space="preserve"> (3rd ed.).</w:t>
      </w:r>
    </w:p>
    <w:p w14:paraId="4B67B1B9" w14:textId="77777777" w:rsidR="00FD08C3" w:rsidRDefault="00D135DF">
      <w:pPr>
        <w:spacing w:before="240" w:after="240"/>
        <w:ind w:left="840" w:hanging="420"/>
        <w:jc w:val="both"/>
      </w:pPr>
      <w:r>
        <w:t xml:space="preserve">18. Johnson, R. J., et al. (2018). Uric acid: More to learn, more to do. </w:t>
      </w:r>
      <w:r>
        <w:rPr>
          <w:i/>
          <w:iCs/>
        </w:rPr>
        <w:t>Kidney International</w:t>
      </w:r>
      <w:r>
        <w:t>.</w:t>
      </w:r>
    </w:p>
    <w:p w14:paraId="6419E5BD" w14:textId="77777777" w:rsidR="00FD08C3" w:rsidRDefault="00D135DF">
      <w:pPr>
        <w:spacing w:before="240" w:after="240"/>
        <w:ind w:left="840" w:hanging="420"/>
        <w:jc w:val="both"/>
      </w:pPr>
      <w:r>
        <w:t xml:space="preserve">19. Kokori, E., et al. (2024). Prevalence and </w:t>
      </w:r>
      <w:proofErr w:type="spellStart"/>
      <w:r>
        <w:t>materno</w:t>
      </w:r>
      <w:proofErr w:type="spellEnd"/>
      <w:r>
        <w:t>-fetal outcomes</w:t>
      </w:r>
      <w:r>
        <w:t xml:space="preserve"> of preeclampsia/eclampsia among pregnant women in Nigeria: A systematic review and meta-analysis. </w:t>
      </w:r>
      <w:r>
        <w:rPr>
          <w:i/>
          <w:iCs/>
        </w:rPr>
        <w:t>European Journal of Medical Research, 29</w:t>
      </w:r>
      <w:r>
        <w:t>(1), 482–489.</w:t>
      </w:r>
    </w:p>
    <w:p w14:paraId="508F7434" w14:textId="77777777" w:rsidR="00FD08C3" w:rsidRDefault="00D135DF">
      <w:pPr>
        <w:spacing w:before="240" w:after="240"/>
        <w:ind w:left="840" w:hanging="420"/>
        <w:jc w:val="both"/>
      </w:pPr>
      <w:r>
        <w:t>20. Lu, J., Sun, Y., Dong, Y., &amp; Yu, J. (2020). Uric acid and oxidative stress in preeclampsia: Correla</w:t>
      </w:r>
      <w:r>
        <w:t xml:space="preserve">tion and clinical significance. </w:t>
      </w:r>
      <w:r>
        <w:rPr>
          <w:i/>
          <w:iCs/>
        </w:rPr>
        <w:t>Clinical and Experimental Hypertension, 42</w:t>
      </w:r>
      <w:r>
        <w:t>(3), 235–241.</w:t>
      </w:r>
    </w:p>
    <w:p w14:paraId="2A69C1FD" w14:textId="77777777" w:rsidR="00FD08C3" w:rsidRDefault="00D135DF">
      <w:pPr>
        <w:spacing w:before="240" w:after="240"/>
        <w:ind w:left="840" w:hanging="420"/>
        <w:jc w:val="both"/>
      </w:pPr>
      <w:r>
        <w:t xml:space="preserve">21. Ngeri, B., </w:t>
      </w:r>
      <w:proofErr w:type="spellStart"/>
      <w:r>
        <w:t>Awoyesuku</w:t>
      </w:r>
      <w:proofErr w:type="spellEnd"/>
      <w:r>
        <w:t xml:space="preserve">, P. A., </w:t>
      </w:r>
      <w:proofErr w:type="spellStart"/>
      <w:r>
        <w:t>Ohaka</w:t>
      </w:r>
      <w:proofErr w:type="spellEnd"/>
      <w:r>
        <w:t xml:space="preserve">, C., Jumbo, A. I., </w:t>
      </w:r>
      <w:proofErr w:type="spellStart"/>
      <w:r>
        <w:t>Altraide</w:t>
      </w:r>
      <w:proofErr w:type="spellEnd"/>
      <w:r>
        <w:t xml:space="preserve">, O. B., Amadi, S. C., &amp; </w:t>
      </w:r>
      <w:proofErr w:type="spellStart"/>
      <w:r>
        <w:t>Ikhobo</w:t>
      </w:r>
      <w:proofErr w:type="spellEnd"/>
      <w:r>
        <w:t>, E. (2022). Serum uric acid as a prognostic marker for preeclampsia at</w:t>
      </w:r>
      <w:r>
        <w:t xml:space="preserve"> a tertiary hospital in Port Harcourt, Nigeria. </w:t>
      </w:r>
      <w:r>
        <w:rPr>
          <w:i/>
          <w:iCs/>
        </w:rPr>
        <w:t>International Journal of Reproduction, Contraception, Obstetrics and Gynecology, 11</w:t>
      </w:r>
      <w:r>
        <w:t>(7), 1861–1871.</w:t>
      </w:r>
    </w:p>
    <w:p w14:paraId="3643CB3F" w14:textId="77777777" w:rsidR="00FD08C3" w:rsidRDefault="00D135DF">
      <w:pPr>
        <w:spacing w:before="240" w:after="240"/>
        <w:ind w:left="840" w:hanging="420"/>
        <w:jc w:val="both"/>
      </w:pPr>
      <w:r>
        <w:t xml:space="preserve">22. </w:t>
      </w:r>
      <w:proofErr w:type="spellStart"/>
      <w:r>
        <w:t>Odutayo</w:t>
      </w:r>
      <w:proofErr w:type="spellEnd"/>
      <w:r>
        <w:t xml:space="preserve">, A., &amp; </w:t>
      </w:r>
      <w:proofErr w:type="spellStart"/>
      <w:r>
        <w:t>Hladunewich</w:t>
      </w:r>
      <w:proofErr w:type="spellEnd"/>
      <w:r>
        <w:t xml:space="preserve">, M. A. (2017). Renal physiology and disease in pregnancy. </w:t>
      </w:r>
      <w:r>
        <w:rPr>
          <w:i/>
          <w:iCs/>
        </w:rPr>
        <w:t>Nature Reviews Nephr</w:t>
      </w:r>
      <w:r>
        <w:rPr>
          <w:i/>
          <w:iCs/>
        </w:rPr>
        <w:t>ology, 13</w:t>
      </w:r>
      <w:r>
        <w:t>(3), 133–143.</w:t>
      </w:r>
    </w:p>
    <w:p w14:paraId="61D8FC89" w14:textId="77777777" w:rsidR="00FD08C3" w:rsidRDefault="00D135DF">
      <w:pPr>
        <w:spacing w:before="240" w:after="240"/>
        <w:ind w:left="840" w:hanging="420"/>
        <w:jc w:val="both"/>
      </w:pPr>
      <w:r>
        <w:t xml:space="preserve">23. Perales, A., Feliu, A., &amp; Sanz, J. (2021). Serum uric acid and preeclampsia: Current insights and predictive value. </w:t>
      </w:r>
      <w:r>
        <w:rPr>
          <w:i/>
          <w:iCs/>
        </w:rPr>
        <w:t>Hypertension in Pregnancy, 40</w:t>
      </w:r>
      <w:r>
        <w:t>(2), 85–92.</w:t>
      </w:r>
    </w:p>
    <w:p w14:paraId="5C5D0D01" w14:textId="77777777" w:rsidR="00FD08C3" w:rsidRDefault="00D135DF">
      <w:pPr>
        <w:spacing w:before="240" w:after="240"/>
        <w:ind w:left="840" w:hanging="420"/>
        <w:jc w:val="both"/>
      </w:pPr>
      <w:r>
        <w:t xml:space="preserve">24. Soma-Pillay, P., Nelson-Piercy, C., Tolppanen, H., &amp; </w:t>
      </w:r>
      <w:proofErr w:type="spellStart"/>
      <w:r>
        <w:t>Mebazaa</w:t>
      </w:r>
      <w:proofErr w:type="spellEnd"/>
      <w:r>
        <w:t>, A. (20</w:t>
      </w:r>
      <w:r>
        <w:t xml:space="preserve">16). Physiological changes in pregnancy. </w:t>
      </w:r>
      <w:r>
        <w:rPr>
          <w:i/>
          <w:iCs/>
        </w:rPr>
        <w:t>Cardiovascular Journal of Africa, 27</w:t>
      </w:r>
      <w:r>
        <w:t>(2), 89–94.</w:t>
      </w:r>
    </w:p>
    <w:p w14:paraId="78C8B527" w14:textId="77777777" w:rsidR="00FD08C3" w:rsidRDefault="00D135DF">
      <w:pPr>
        <w:spacing w:before="240" w:after="240"/>
        <w:ind w:left="840" w:hanging="420"/>
        <w:jc w:val="both"/>
      </w:pPr>
      <w:r>
        <w:lastRenderedPageBreak/>
        <w:t xml:space="preserve">25. Wang, W., Xie, X., Yuan, T., et al. (2021). Epidemiological trends of maternal hypertensive disorders of pregnancy. </w:t>
      </w:r>
      <w:r>
        <w:rPr>
          <w:i/>
          <w:iCs/>
        </w:rPr>
        <w:t>BMC Pregnancy and Childbirth, 21</w:t>
      </w:r>
      <w:r>
        <w:t>(1), 364–371.</w:t>
      </w:r>
    </w:p>
    <w:p w14:paraId="46DA988C" w14:textId="77777777" w:rsidR="00FD08C3" w:rsidRDefault="00D135DF">
      <w:pPr>
        <w:spacing w:before="240" w:after="240"/>
        <w:ind w:left="840" w:hanging="420"/>
        <w:jc w:val="both"/>
      </w:pPr>
      <w:r>
        <w:t>2</w:t>
      </w:r>
      <w:r>
        <w:t xml:space="preserve">6. Wang, Y., et al. (2023). Blood urea nitrogen-to-creatinine ratio and long-term survival in patients with chronic heart failure. </w:t>
      </w:r>
      <w:r>
        <w:rPr>
          <w:i/>
          <w:iCs/>
        </w:rPr>
        <w:t>European Journal of Medical Research, 28</w:t>
      </w:r>
      <w:r>
        <w:t xml:space="preserve">(1), 74–82. </w:t>
      </w:r>
    </w:p>
    <w:p w14:paraId="4B1B049B" w14:textId="77777777" w:rsidR="00FD08C3" w:rsidRDefault="00D135DF">
      <w:pPr>
        <w:spacing w:before="240" w:after="240"/>
        <w:ind w:left="840" w:hanging="420"/>
        <w:jc w:val="both"/>
      </w:pPr>
      <w:r>
        <w:t>27. Wang, Y., et al. (2023). Blood urea nitrogen-to-creatinine ratio and</w:t>
      </w:r>
      <w:r>
        <w:t xml:space="preserve"> long-term survival. </w:t>
      </w:r>
      <w:r>
        <w:rPr>
          <w:i/>
          <w:iCs/>
        </w:rPr>
        <w:t>European Journal of Medical Research, 28</w:t>
      </w:r>
      <w:r>
        <w:t xml:space="preserve">(1), 74–82. </w:t>
      </w:r>
    </w:p>
    <w:p w14:paraId="668C8EAA" w14:textId="77777777" w:rsidR="00FD08C3" w:rsidRDefault="00FD08C3">
      <w:pPr>
        <w:jc w:val="both"/>
      </w:pPr>
    </w:p>
    <w:p w14:paraId="394A003A" w14:textId="77777777" w:rsidR="00FD08C3" w:rsidRDefault="00FD08C3">
      <w:pPr>
        <w:jc w:val="both"/>
      </w:pPr>
    </w:p>
    <w:p w14:paraId="66F77D32" w14:textId="77777777" w:rsidR="00FD08C3" w:rsidRDefault="00FD08C3">
      <w:pPr>
        <w:jc w:val="both"/>
      </w:pPr>
    </w:p>
    <w:p w14:paraId="3F8AD5FC" w14:textId="77777777" w:rsidR="00FD08C3" w:rsidRDefault="00FD08C3">
      <w:pPr>
        <w:jc w:val="both"/>
      </w:pPr>
    </w:p>
    <w:p w14:paraId="4C3FF0D3" w14:textId="77777777" w:rsidR="00FD08C3" w:rsidRDefault="00FD08C3">
      <w:pPr>
        <w:jc w:val="both"/>
      </w:pPr>
    </w:p>
    <w:p w14:paraId="4C06A50B" w14:textId="77777777" w:rsidR="00FD08C3" w:rsidRDefault="00FD08C3">
      <w:pPr>
        <w:jc w:val="both"/>
      </w:pPr>
    </w:p>
    <w:p w14:paraId="35F68165" w14:textId="77777777" w:rsidR="00FD08C3" w:rsidRDefault="00FD08C3">
      <w:pPr>
        <w:jc w:val="both"/>
      </w:pPr>
    </w:p>
    <w:p w14:paraId="4CCED6D5" w14:textId="77777777" w:rsidR="00FD08C3" w:rsidRDefault="00D135DF">
      <w:pPr>
        <w:spacing w:before="240" w:after="240"/>
        <w:jc w:val="both"/>
      </w:pPr>
      <w:r>
        <w:t>.</w:t>
      </w:r>
    </w:p>
    <w:p w14:paraId="36148CBC" w14:textId="77777777" w:rsidR="00FD08C3" w:rsidRDefault="00FD08C3">
      <w:pPr>
        <w:jc w:val="both"/>
      </w:pPr>
    </w:p>
    <w:p w14:paraId="4D67DC97" w14:textId="77777777" w:rsidR="00FD08C3" w:rsidRDefault="00FD08C3">
      <w:pPr>
        <w:pStyle w:val="Heading1"/>
        <w:keepNext w:val="0"/>
        <w:keepLines w:val="0"/>
        <w:spacing w:before="480"/>
        <w:jc w:val="both"/>
        <w:rPr>
          <w:b/>
          <w:bCs/>
          <w:sz w:val="24"/>
          <w:szCs w:val="24"/>
        </w:rPr>
        <w:sectPr w:rsidR="00FD08C3">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bookmarkStart w:id="24" w:name="_kr877otjowk6" w:colFirst="0" w:colLast="0"/>
      <w:bookmarkEnd w:id="24"/>
    </w:p>
    <w:p w14:paraId="248673F5" w14:textId="77777777" w:rsidR="00FD08C3" w:rsidRDefault="00D135DF">
      <w:pPr>
        <w:pStyle w:val="Heading1"/>
        <w:keepNext w:val="0"/>
        <w:keepLines w:val="0"/>
        <w:spacing w:before="480" w:line="240" w:lineRule="auto"/>
        <w:jc w:val="both"/>
        <w:rPr>
          <w:b/>
          <w:bCs/>
          <w:sz w:val="24"/>
          <w:szCs w:val="24"/>
        </w:rPr>
      </w:pPr>
      <w:bookmarkStart w:id="25" w:name="_xbppvbqf9c0z" w:colFirst="0" w:colLast="0"/>
      <w:bookmarkEnd w:id="25"/>
      <w:r>
        <w:rPr>
          <w:b/>
          <w:bCs/>
          <w:sz w:val="24"/>
          <w:szCs w:val="24"/>
        </w:rPr>
        <w:lastRenderedPageBreak/>
        <w:t xml:space="preserve"> Table 1: Demographic Characteristics of the Study Population</w:t>
      </w:r>
    </w:p>
    <w:tbl>
      <w:tblPr>
        <w:tblStyle w:val="a"/>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1820"/>
        <w:gridCol w:w="1880"/>
        <w:gridCol w:w="2400"/>
        <w:gridCol w:w="1480"/>
        <w:gridCol w:w="1060"/>
      </w:tblGrid>
      <w:tr w:rsidR="00FD08C3" w14:paraId="1380F758" w14:textId="77777777">
        <w:trPr>
          <w:trHeight w:val="510"/>
        </w:trPr>
        <w:tc>
          <w:tcPr>
            <w:tcW w:w="2160" w:type="dxa"/>
            <w:tcBorders>
              <w:top w:val="nil"/>
              <w:left w:val="nil"/>
              <w:bottom w:val="nil"/>
              <w:right w:val="nil"/>
            </w:tcBorders>
            <w:tcMar>
              <w:top w:w="100" w:type="dxa"/>
              <w:left w:w="100" w:type="dxa"/>
              <w:bottom w:w="100" w:type="dxa"/>
              <w:right w:w="100" w:type="dxa"/>
            </w:tcMar>
          </w:tcPr>
          <w:p w14:paraId="551B5572" w14:textId="77777777" w:rsidR="00FD08C3" w:rsidRDefault="00D135DF">
            <w:pPr>
              <w:spacing w:line="240" w:lineRule="auto"/>
              <w:rPr>
                <w:sz w:val="24"/>
                <w:szCs w:val="24"/>
              </w:rPr>
            </w:pPr>
            <w:r>
              <w:rPr>
                <w:b/>
                <w:bCs/>
                <w:sz w:val="24"/>
                <w:szCs w:val="24"/>
              </w:rPr>
              <w:t>Variable</w:t>
            </w:r>
          </w:p>
        </w:tc>
        <w:tc>
          <w:tcPr>
            <w:tcW w:w="1820" w:type="dxa"/>
            <w:tcBorders>
              <w:top w:val="nil"/>
              <w:left w:val="nil"/>
              <w:bottom w:val="nil"/>
              <w:right w:val="nil"/>
            </w:tcBorders>
            <w:tcMar>
              <w:top w:w="100" w:type="dxa"/>
              <w:left w:w="100" w:type="dxa"/>
              <w:bottom w:w="100" w:type="dxa"/>
              <w:right w:w="100" w:type="dxa"/>
            </w:tcMar>
          </w:tcPr>
          <w:p w14:paraId="14A9CF48" w14:textId="77777777" w:rsidR="00FD08C3" w:rsidRDefault="00D135DF">
            <w:pPr>
              <w:spacing w:line="240" w:lineRule="auto"/>
              <w:rPr>
                <w:sz w:val="24"/>
                <w:szCs w:val="24"/>
              </w:rPr>
            </w:pPr>
            <w:r>
              <w:rPr>
                <w:b/>
                <w:bCs/>
                <w:sz w:val="24"/>
                <w:szCs w:val="24"/>
              </w:rPr>
              <w:t>Category</w:t>
            </w:r>
          </w:p>
        </w:tc>
        <w:tc>
          <w:tcPr>
            <w:tcW w:w="1880" w:type="dxa"/>
            <w:tcBorders>
              <w:top w:val="nil"/>
              <w:left w:val="nil"/>
              <w:bottom w:val="nil"/>
              <w:right w:val="nil"/>
            </w:tcBorders>
            <w:tcMar>
              <w:top w:w="100" w:type="dxa"/>
              <w:left w:w="100" w:type="dxa"/>
              <w:bottom w:w="100" w:type="dxa"/>
              <w:right w:w="100" w:type="dxa"/>
            </w:tcMar>
          </w:tcPr>
          <w:p w14:paraId="5181C0F7" w14:textId="77777777" w:rsidR="00FD08C3" w:rsidRDefault="00D135DF">
            <w:pPr>
              <w:spacing w:line="240" w:lineRule="auto"/>
              <w:rPr>
                <w:sz w:val="24"/>
                <w:szCs w:val="24"/>
              </w:rPr>
            </w:pPr>
            <w:r>
              <w:rPr>
                <w:b/>
                <w:bCs/>
                <w:sz w:val="24"/>
                <w:szCs w:val="24"/>
              </w:rPr>
              <w:t>Pregnant (n = 90)</w:t>
            </w:r>
          </w:p>
        </w:tc>
        <w:tc>
          <w:tcPr>
            <w:tcW w:w="2400" w:type="dxa"/>
            <w:tcBorders>
              <w:top w:val="nil"/>
              <w:left w:val="nil"/>
              <w:bottom w:val="nil"/>
              <w:right w:val="nil"/>
            </w:tcBorders>
            <w:tcMar>
              <w:top w:w="100" w:type="dxa"/>
              <w:left w:w="100" w:type="dxa"/>
              <w:bottom w:w="100" w:type="dxa"/>
              <w:right w:w="100" w:type="dxa"/>
            </w:tcMar>
          </w:tcPr>
          <w:p w14:paraId="79D4AC54" w14:textId="77777777" w:rsidR="00FD08C3" w:rsidRDefault="00D135DF">
            <w:pPr>
              <w:spacing w:line="240" w:lineRule="auto"/>
              <w:rPr>
                <w:sz w:val="24"/>
                <w:szCs w:val="24"/>
              </w:rPr>
            </w:pPr>
            <w:r>
              <w:rPr>
                <w:b/>
                <w:bCs/>
                <w:sz w:val="24"/>
                <w:szCs w:val="24"/>
              </w:rPr>
              <w:t>Non-pregnant (n = 60)</w:t>
            </w:r>
          </w:p>
        </w:tc>
        <w:tc>
          <w:tcPr>
            <w:tcW w:w="1480" w:type="dxa"/>
            <w:tcBorders>
              <w:top w:val="nil"/>
              <w:left w:val="nil"/>
              <w:bottom w:val="nil"/>
              <w:right w:val="nil"/>
            </w:tcBorders>
            <w:tcMar>
              <w:top w:w="100" w:type="dxa"/>
              <w:left w:w="100" w:type="dxa"/>
              <w:bottom w:w="100" w:type="dxa"/>
              <w:right w:w="100" w:type="dxa"/>
            </w:tcMar>
          </w:tcPr>
          <w:p w14:paraId="6EE4023B" w14:textId="77777777" w:rsidR="00FD08C3" w:rsidRDefault="00D135DF">
            <w:pPr>
              <w:spacing w:line="240" w:lineRule="auto"/>
              <w:jc w:val="center"/>
              <w:rPr>
                <w:sz w:val="24"/>
                <w:szCs w:val="24"/>
              </w:rPr>
            </w:pPr>
            <w:r>
              <w:rPr>
                <w:b/>
                <w:bCs/>
                <w:sz w:val="24"/>
                <w:szCs w:val="24"/>
              </w:rPr>
              <w:t>Total (n = 150)</w:t>
            </w:r>
          </w:p>
        </w:tc>
        <w:tc>
          <w:tcPr>
            <w:tcW w:w="1060" w:type="dxa"/>
            <w:tcBorders>
              <w:top w:val="nil"/>
              <w:left w:val="nil"/>
              <w:bottom w:val="nil"/>
              <w:right w:val="nil"/>
            </w:tcBorders>
            <w:tcMar>
              <w:top w:w="100" w:type="dxa"/>
              <w:left w:w="100" w:type="dxa"/>
              <w:bottom w:w="100" w:type="dxa"/>
              <w:right w:w="100" w:type="dxa"/>
            </w:tcMar>
          </w:tcPr>
          <w:p w14:paraId="3C368B0B" w14:textId="77777777" w:rsidR="00FD08C3" w:rsidRDefault="00D135DF">
            <w:pPr>
              <w:spacing w:line="240" w:lineRule="auto"/>
              <w:jc w:val="center"/>
              <w:rPr>
                <w:sz w:val="24"/>
                <w:szCs w:val="24"/>
              </w:rPr>
            </w:pPr>
            <w:r>
              <w:rPr>
                <w:b/>
                <w:bCs/>
                <w:sz w:val="24"/>
                <w:szCs w:val="24"/>
              </w:rPr>
              <w:t>%</w:t>
            </w:r>
          </w:p>
        </w:tc>
      </w:tr>
      <w:tr w:rsidR="00FD08C3" w14:paraId="210992A7" w14:textId="77777777">
        <w:trPr>
          <w:trHeight w:val="515"/>
        </w:trPr>
        <w:tc>
          <w:tcPr>
            <w:tcW w:w="2160" w:type="dxa"/>
            <w:tcBorders>
              <w:top w:val="nil"/>
              <w:left w:val="nil"/>
              <w:bottom w:val="nil"/>
              <w:right w:val="nil"/>
            </w:tcBorders>
            <w:tcMar>
              <w:top w:w="100" w:type="dxa"/>
              <w:left w:w="100" w:type="dxa"/>
              <w:bottom w:w="100" w:type="dxa"/>
              <w:right w:w="100" w:type="dxa"/>
            </w:tcMar>
          </w:tcPr>
          <w:p w14:paraId="559DB658" w14:textId="77777777" w:rsidR="00FD08C3" w:rsidRDefault="00D135DF">
            <w:pPr>
              <w:spacing w:line="240" w:lineRule="auto"/>
              <w:jc w:val="both"/>
              <w:rPr>
                <w:sz w:val="24"/>
                <w:szCs w:val="24"/>
              </w:rPr>
            </w:pPr>
            <w:r>
              <w:rPr>
                <w:b/>
                <w:bCs/>
                <w:sz w:val="24"/>
                <w:szCs w:val="24"/>
              </w:rPr>
              <w:t>Marital Status</w:t>
            </w:r>
          </w:p>
        </w:tc>
        <w:tc>
          <w:tcPr>
            <w:tcW w:w="1820" w:type="dxa"/>
            <w:tcBorders>
              <w:top w:val="nil"/>
              <w:left w:val="nil"/>
              <w:bottom w:val="nil"/>
              <w:right w:val="nil"/>
            </w:tcBorders>
            <w:tcMar>
              <w:top w:w="100" w:type="dxa"/>
              <w:left w:w="100" w:type="dxa"/>
              <w:bottom w:w="100" w:type="dxa"/>
              <w:right w:w="100" w:type="dxa"/>
            </w:tcMar>
          </w:tcPr>
          <w:p w14:paraId="1E6943D5" w14:textId="77777777" w:rsidR="00FD08C3" w:rsidRDefault="00D135DF">
            <w:pPr>
              <w:spacing w:line="240" w:lineRule="auto"/>
              <w:jc w:val="both"/>
              <w:rPr>
                <w:sz w:val="24"/>
                <w:szCs w:val="24"/>
              </w:rPr>
            </w:pPr>
            <w:r>
              <w:rPr>
                <w:sz w:val="24"/>
                <w:szCs w:val="24"/>
              </w:rPr>
              <w:t>Single</w:t>
            </w:r>
          </w:p>
        </w:tc>
        <w:tc>
          <w:tcPr>
            <w:tcW w:w="1880" w:type="dxa"/>
            <w:tcBorders>
              <w:top w:val="nil"/>
              <w:left w:val="nil"/>
              <w:bottom w:val="nil"/>
              <w:right w:val="nil"/>
            </w:tcBorders>
            <w:tcMar>
              <w:top w:w="100" w:type="dxa"/>
              <w:left w:w="100" w:type="dxa"/>
              <w:bottom w:w="100" w:type="dxa"/>
              <w:right w:w="100" w:type="dxa"/>
            </w:tcMar>
          </w:tcPr>
          <w:p w14:paraId="475C1181" w14:textId="77777777" w:rsidR="00FD08C3" w:rsidRDefault="00D135DF">
            <w:pPr>
              <w:spacing w:line="240" w:lineRule="auto"/>
              <w:jc w:val="both"/>
              <w:rPr>
                <w:sz w:val="24"/>
                <w:szCs w:val="24"/>
              </w:rPr>
            </w:pPr>
            <w:r>
              <w:rPr>
                <w:sz w:val="24"/>
                <w:szCs w:val="24"/>
              </w:rPr>
              <w:t>32</w:t>
            </w:r>
            <w:r>
              <w:rPr>
                <w:sz w:val="24"/>
                <w:szCs w:val="24"/>
              </w:rPr>
              <w:t xml:space="preserve"> (35.6%)</w:t>
            </w:r>
          </w:p>
        </w:tc>
        <w:tc>
          <w:tcPr>
            <w:tcW w:w="2400" w:type="dxa"/>
            <w:tcBorders>
              <w:top w:val="nil"/>
              <w:left w:val="nil"/>
              <w:bottom w:val="nil"/>
              <w:right w:val="nil"/>
            </w:tcBorders>
            <w:tcMar>
              <w:top w:w="100" w:type="dxa"/>
              <w:left w:w="100" w:type="dxa"/>
              <w:bottom w:w="100" w:type="dxa"/>
              <w:right w:w="100" w:type="dxa"/>
            </w:tcMar>
          </w:tcPr>
          <w:p w14:paraId="32185483" w14:textId="77777777" w:rsidR="00FD08C3" w:rsidRDefault="00D135DF">
            <w:pPr>
              <w:spacing w:line="240" w:lineRule="auto"/>
              <w:jc w:val="both"/>
              <w:rPr>
                <w:sz w:val="24"/>
                <w:szCs w:val="24"/>
              </w:rPr>
            </w:pPr>
            <w:r>
              <w:rPr>
                <w:sz w:val="24"/>
                <w:szCs w:val="24"/>
              </w:rPr>
              <w:t>35 (58.3%)</w:t>
            </w:r>
          </w:p>
        </w:tc>
        <w:tc>
          <w:tcPr>
            <w:tcW w:w="1480" w:type="dxa"/>
            <w:tcBorders>
              <w:top w:val="nil"/>
              <w:left w:val="nil"/>
              <w:bottom w:val="nil"/>
              <w:right w:val="nil"/>
            </w:tcBorders>
            <w:tcMar>
              <w:top w:w="100" w:type="dxa"/>
              <w:left w:w="100" w:type="dxa"/>
              <w:bottom w:w="100" w:type="dxa"/>
              <w:right w:w="100" w:type="dxa"/>
            </w:tcMar>
          </w:tcPr>
          <w:p w14:paraId="6A6EE67A" w14:textId="77777777" w:rsidR="00FD08C3" w:rsidRDefault="00D135DF">
            <w:pPr>
              <w:spacing w:line="240" w:lineRule="auto"/>
              <w:jc w:val="both"/>
              <w:rPr>
                <w:sz w:val="24"/>
                <w:szCs w:val="24"/>
              </w:rPr>
            </w:pPr>
            <w:r>
              <w:rPr>
                <w:sz w:val="24"/>
                <w:szCs w:val="24"/>
              </w:rPr>
              <w:t>67</w:t>
            </w:r>
          </w:p>
        </w:tc>
        <w:tc>
          <w:tcPr>
            <w:tcW w:w="1060" w:type="dxa"/>
            <w:tcBorders>
              <w:top w:val="nil"/>
              <w:left w:val="nil"/>
              <w:bottom w:val="nil"/>
              <w:right w:val="nil"/>
            </w:tcBorders>
            <w:tcMar>
              <w:top w:w="100" w:type="dxa"/>
              <w:left w:w="100" w:type="dxa"/>
              <w:bottom w:w="100" w:type="dxa"/>
              <w:right w:w="100" w:type="dxa"/>
            </w:tcMar>
          </w:tcPr>
          <w:p w14:paraId="3B8CBBB3" w14:textId="77777777" w:rsidR="00FD08C3" w:rsidRDefault="00D135DF">
            <w:pPr>
              <w:spacing w:line="240" w:lineRule="auto"/>
              <w:jc w:val="both"/>
              <w:rPr>
                <w:sz w:val="24"/>
                <w:szCs w:val="24"/>
              </w:rPr>
            </w:pPr>
            <w:r>
              <w:rPr>
                <w:sz w:val="24"/>
                <w:szCs w:val="24"/>
              </w:rPr>
              <w:t>44.7</w:t>
            </w:r>
          </w:p>
        </w:tc>
      </w:tr>
      <w:tr w:rsidR="00FD08C3" w14:paraId="31BC7681" w14:textId="77777777">
        <w:trPr>
          <w:trHeight w:val="515"/>
        </w:trPr>
        <w:tc>
          <w:tcPr>
            <w:tcW w:w="2160" w:type="dxa"/>
            <w:tcBorders>
              <w:top w:val="nil"/>
              <w:left w:val="nil"/>
              <w:bottom w:val="nil"/>
              <w:right w:val="nil"/>
            </w:tcBorders>
            <w:tcMar>
              <w:top w:w="100" w:type="dxa"/>
              <w:left w:w="100" w:type="dxa"/>
              <w:bottom w:w="100" w:type="dxa"/>
              <w:right w:w="100" w:type="dxa"/>
            </w:tcMar>
          </w:tcPr>
          <w:p w14:paraId="074BD53B"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033FF3A2" w14:textId="77777777" w:rsidR="00FD08C3" w:rsidRDefault="00D135DF">
            <w:pPr>
              <w:spacing w:line="240" w:lineRule="auto"/>
              <w:jc w:val="both"/>
              <w:rPr>
                <w:sz w:val="24"/>
                <w:szCs w:val="24"/>
              </w:rPr>
            </w:pPr>
            <w:r>
              <w:rPr>
                <w:sz w:val="24"/>
                <w:szCs w:val="24"/>
              </w:rPr>
              <w:t>Married</w:t>
            </w:r>
          </w:p>
        </w:tc>
        <w:tc>
          <w:tcPr>
            <w:tcW w:w="1880" w:type="dxa"/>
            <w:tcBorders>
              <w:top w:val="nil"/>
              <w:left w:val="nil"/>
              <w:bottom w:val="nil"/>
              <w:right w:val="nil"/>
            </w:tcBorders>
            <w:tcMar>
              <w:top w:w="100" w:type="dxa"/>
              <w:left w:w="100" w:type="dxa"/>
              <w:bottom w:w="100" w:type="dxa"/>
              <w:right w:w="100" w:type="dxa"/>
            </w:tcMar>
          </w:tcPr>
          <w:p w14:paraId="47722DFF" w14:textId="77777777" w:rsidR="00FD08C3" w:rsidRDefault="00D135DF">
            <w:pPr>
              <w:spacing w:line="240" w:lineRule="auto"/>
              <w:jc w:val="both"/>
              <w:rPr>
                <w:sz w:val="24"/>
                <w:szCs w:val="24"/>
              </w:rPr>
            </w:pPr>
            <w:r>
              <w:rPr>
                <w:sz w:val="24"/>
                <w:szCs w:val="24"/>
              </w:rPr>
              <w:t>58 (64.4%)</w:t>
            </w:r>
          </w:p>
        </w:tc>
        <w:tc>
          <w:tcPr>
            <w:tcW w:w="2400" w:type="dxa"/>
            <w:tcBorders>
              <w:top w:val="nil"/>
              <w:left w:val="nil"/>
              <w:bottom w:val="nil"/>
              <w:right w:val="nil"/>
            </w:tcBorders>
            <w:tcMar>
              <w:top w:w="100" w:type="dxa"/>
              <w:left w:w="100" w:type="dxa"/>
              <w:bottom w:w="100" w:type="dxa"/>
              <w:right w:w="100" w:type="dxa"/>
            </w:tcMar>
          </w:tcPr>
          <w:p w14:paraId="025B668F" w14:textId="77777777" w:rsidR="00FD08C3" w:rsidRDefault="00D135DF">
            <w:pPr>
              <w:spacing w:line="240" w:lineRule="auto"/>
              <w:jc w:val="both"/>
              <w:rPr>
                <w:sz w:val="24"/>
                <w:szCs w:val="24"/>
              </w:rPr>
            </w:pPr>
            <w:r>
              <w:rPr>
                <w:sz w:val="24"/>
                <w:szCs w:val="24"/>
              </w:rPr>
              <w:t>25 (41.7%)</w:t>
            </w:r>
          </w:p>
        </w:tc>
        <w:tc>
          <w:tcPr>
            <w:tcW w:w="1480" w:type="dxa"/>
            <w:tcBorders>
              <w:top w:val="nil"/>
              <w:left w:val="nil"/>
              <w:bottom w:val="nil"/>
              <w:right w:val="nil"/>
            </w:tcBorders>
            <w:tcMar>
              <w:top w:w="100" w:type="dxa"/>
              <w:left w:w="100" w:type="dxa"/>
              <w:bottom w:w="100" w:type="dxa"/>
              <w:right w:w="100" w:type="dxa"/>
            </w:tcMar>
          </w:tcPr>
          <w:p w14:paraId="077A3B0B" w14:textId="77777777" w:rsidR="00FD08C3" w:rsidRDefault="00D135DF">
            <w:pPr>
              <w:spacing w:line="240" w:lineRule="auto"/>
              <w:jc w:val="both"/>
              <w:rPr>
                <w:sz w:val="24"/>
                <w:szCs w:val="24"/>
              </w:rPr>
            </w:pPr>
            <w:r>
              <w:rPr>
                <w:sz w:val="24"/>
                <w:szCs w:val="24"/>
              </w:rPr>
              <w:t>83</w:t>
            </w:r>
          </w:p>
        </w:tc>
        <w:tc>
          <w:tcPr>
            <w:tcW w:w="1060" w:type="dxa"/>
            <w:tcBorders>
              <w:top w:val="nil"/>
              <w:left w:val="nil"/>
              <w:bottom w:val="nil"/>
              <w:right w:val="nil"/>
            </w:tcBorders>
            <w:tcMar>
              <w:top w:w="100" w:type="dxa"/>
              <w:left w:w="100" w:type="dxa"/>
              <w:bottom w:w="100" w:type="dxa"/>
              <w:right w:w="100" w:type="dxa"/>
            </w:tcMar>
          </w:tcPr>
          <w:p w14:paraId="7737C639" w14:textId="77777777" w:rsidR="00FD08C3" w:rsidRDefault="00D135DF">
            <w:pPr>
              <w:spacing w:line="240" w:lineRule="auto"/>
              <w:jc w:val="both"/>
              <w:rPr>
                <w:sz w:val="24"/>
                <w:szCs w:val="24"/>
              </w:rPr>
            </w:pPr>
            <w:r>
              <w:rPr>
                <w:sz w:val="24"/>
                <w:szCs w:val="24"/>
              </w:rPr>
              <w:t>55.3</w:t>
            </w:r>
          </w:p>
        </w:tc>
      </w:tr>
      <w:tr w:rsidR="00FD08C3" w14:paraId="1217B4AB" w14:textId="77777777">
        <w:trPr>
          <w:trHeight w:val="495"/>
        </w:trPr>
        <w:tc>
          <w:tcPr>
            <w:tcW w:w="2160" w:type="dxa"/>
            <w:tcBorders>
              <w:top w:val="nil"/>
              <w:left w:val="nil"/>
              <w:bottom w:val="nil"/>
              <w:right w:val="nil"/>
            </w:tcBorders>
            <w:tcMar>
              <w:top w:w="100" w:type="dxa"/>
              <w:left w:w="100" w:type="dxa"/>
              <w:bottom w:w="100" w:type="dxa"/>
              <w:right w:w="100" w:type="dxa"/>
            </w:tcMar>
          </w:tcPr>
          <w:p w14:paraId="261AFC85" w14:textId="77777777" w:rsidR="00FD08C3" w:rsidRDefault="00D135DF">
            <w:pPr>
              <w:spacing w:line="240" w:lineRule="auto"/>
              <w:jc w:val="both"/>
              <w:rPr>
                <w:sz w:val="24"/>
                <w:szCs w:val="24"/>
              </w:rPr>
            </w:pPr>
            <w:r>
              <w:rPr>
                <w:b/>
                <w:bCs/>
                <w:sz w:val="24"/>
                <w:szCs w:val="24"/>
              </w:rPr>
              <w:t>Education Level</w:t>
            </w:r>
          </w:p>
        </w:tc>
        <w:tc>
          <w:tcPr>
            <w:tcW w:w="1820" w:type="dxa"/>
            <w:tcBorders>
              <w:top w:val="nil"/>
              <w:left w:val="nil"/>
              <w:bottom w:val="nil"/>
              <w:right w:val="nil"/>
            </w:tcBorders>
            <w:tcMar>
              <w:top w:w="100" w:type="dxa"/>
              <w:left w:w="100" w:type="dxa"/>
              <w:bottom w:w="100" w:type="dxa"/>
              <w:right w:w="100" w:type="dxa"/>
            </w:tcMar>
          </w:tcPr>
          <w:p w14:paraId="745642FE" w14:textId="77777777" w:rsidR="00FD08C3" w:rsidRDefault="00D135DF">
            <w:pPr>
              <w:spacing w:line="240" w:lineRule="auto"/>
              <w:jc w:val="both"/>
              <w:rPr>
                <w:sz w:val="24"/>
                <w:szCs w:val="24"/>
              </w:rPr>
            </w:pPr>
            <w:r>
              <w:rPr>
                <w:sz w:val="24"/>
                <w:szCs w:val="24"/>
              </w:rPr>
              <w:t>Primary</w:t>
            </w:r>
          </w:p>
        </w:tc>
        <w:tc>
          <w:tcPr>
            <w:tcW w:w="1880" w:type="dxa"/>
            <w:tcBorders>
              <w:top w:val="nil"/>
              <w:left w:val="nil"/>
              <w:bottom w:val="nil"/>
              <w:right w:val="nil"/>
            </w:tcBorders>
            <w:tcMar>
              <w:top w:w="100" w:type="dxa"/>
              <w:left w:w="100" w:type="dxa"/>
              <w:bottom w:w="100" w:type="dxa"/>
              <w:right w:w="100" w:type="dxa"/>
            </w:tcMar>
          </w:tcPr>
          <w:p w14:paraId="2C5511D2" w14:textId="77777777" w:rsidR="00FD08C3" w:rsidRDefault="00D135DF">
            <w:pPr>
              <w:spacing w:line="240" w:lineRule="auto"/>
              <w:jc w:val="both"/>
              <w:rPr>
                <w:sz w:val="24"/>
                <w:szCs w:val="24"/>
              </w:rPr>
            </w:pPr>
            <w:r>
              <w:rPr>
                <w:sz w:val="24"/>
                <w:szCs w:val="24"/>
              </w:rPr>
              <w:t>0 (0.0%)</w:t>
            </w:r>
          </w:p>
        </w:tc>
        <w:tc>
          <w:tcPr>
            <w:tcW w:w="2400" w:type="dxa"/>
            <w:tcBorders>
              <w:top w:val="nil"/>
              <w:left w:val="nil"/>
              <w:bottom w:val="nil"/>
              <w:right w:val="nil"/>
            </w:tcBorders>
            <w:tcMar>
              <w:top w:w="100" w:type="dxa"/>
              <w:left w:w="100" w:type="dxa"/>
              <w:bottom w:w="100" w:type="dxa"/>
              <w:right w:w="100" w:type="dxa"/>
            </w:tcMar>
          </w:tcPr>
          <w:p w14:paraId="56996F64" w14:textId="77777777" w:rsidR="00FD08C3" w:rsidRDefault="00D135DF">
            <w:pPr>
              <w:spacing w:line="240" w:lineRule="auto"/>
              <w:jc w:val="both"/>
              <w:rPr>
                <w:sz w:val="24"/>
                <w:szCs w:val="24"/>
              </w:rPr>
            </w:pPr>
            <w:r>
              <w:rPr>
                <w:sz w:val="24"/>
                <w:szCs w:val="24"/>
              </w:rPr>
              <w:t>5 (8.3%)</w:t>
            </w:r>
          </w:p>
        </w:tc>
        <w:tc>
          <w:tcPr>
            <w:tcW w:w="1480" w:type="dxa"/>
            <w:tcBorders>
              <w:top w:val="nil"/>
              <w:left w:val="nil"/>
              <w:bottom w:val="nil"/>
              <w:right w:val="nil"/>
            </w:tcBorders>
            <w:tcMar>
              <w:top w:w="100" w:type="dxa"/>
              <w:left w:w="100" w:type="dxa"/>
              <w:bottom w:w="100" w:type="dxa"/>
              <w:right w:w="100" w:type="dxa"/>
            </w:tcMar>
          </w:tcPr>
          <w:p w14:paraId="575341D1" w14:textId="77777777" w:rsidR="00FD08C3" w:rsidRDefault="00D135DF">
            <w:pPr>
              <w:spacing w:line="240" w:lineRule="auto"/>
              <w:jc w:val="both"/>
              <w:rPr>
                <w:sz w:val="24"/>
                <w:szCs w:val="24"/>
              </w:rPr>
            </w:pPr>
            <w:r>
              <w:rPr>
                <w:sz w:val="24"/>
                <w:szCs w:val="24"/>
              </w:rPr>
              <w:t>5</w:t>
            </w:r>
          </w:p>
        </w:tc>
        <w:tc>
          <w:tcPr>
            <w:tcW w:w="1060" w:type="dxa"/>
            <w:tcBorders>
              <w:top w:val="nil"/>
              <w:left w:val="nil"/>
              <w:bottom w:val="nil"/>
              <w:right w:val="nil"/>
            </w:tcBorders>
            <w:tcMar>
              <w:top w:w="100" w:type="dxa"/>
              <w:left w:w="100" w:type="dxa"/>
              <w:bottom w:w="100" w:type="dxa"/>
              <w:right w:w="100" w:type="dxa"/>
            </w:tcMar>
          </w:tcPr>
          <w:p w14:paraId="3010DDBF" w14:textId="77777777" w:rsidR="00FD08C3" w:rsidRDefault="00D135DF">
            <w:pPr>
              <w:spacing w:line="240" w:lineRule="auto"/>
              <w:jc w:val="both"/>
              <w:rPr>
                <w:sz w:val="24"/>
                <w:szCs w:val="24"/>
              </w:rPr>
            </w:pPr>
            <w:r>
              <w:rPr>
                <w:sz w:val="24"/>
                <w:szCs w:val="24"/>
              </w:rPr>
              <w:t>3.3</w:t>
            </w:r>
          </w:p>
        </w:tc>
      </w:tr>
      <w:tr w:rsidR="00FD08C3" w14:paraId="7FBDBF14" w14:textId="77777777">
        <w:trPr>
          <w:trHeight w:val="515"/>
        </w:trPr>
        <w:tc>
          <w:tcPr>
            <w:tcW w:w="2160" w:type="dxa"/>
            <w:tcBorders>
              <w:top w:val="nil"/>
              <w:left w:val="nil"/>
              <w:bottom w:val="nil"/>
              <w:right w:val="nil"/>
            </w:tcBorders>
            <w:tcMar>
              <w:top w:w="100" w:type="dxa"/>
              <w:left w:w="100" w:type="dxa"/>
              <w:bottom w:w="100" w:type="dxa"/>
              <w:right w:w="100" w:type="dxa"/>
            </w:tcMar>
          </w:tcPr>
          <w:p w14:paraId="327AB427"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285E0034" w14:textId="77777777" w:rsidR="00FD08C3" w:rsidRDefault="00D135DF">
            <w:pPr>
              <w:spacing w:line="240" w:lineRule="auto"/>
              <w:jc w:val="both"/>
              <w:rPr>
                <w:sz w:val="24"/>
                <w:szCs w:val="24"/>
              </w:rPr>
            </w:pPr>
            <w:r>
              <w:rPr>
                <w:sz w:val="24"/>
                <w:szCs w:val="24"/>
              </w:rPr>
              <w:t>Secondary</w:t>
            </w:r>
          </w:p>
        </w:tc>
        <w:tc>
          <w:tcPr>
            <w:tcW w:w="1880" w:type="dxa"/>
            <w:tcBorders>
              <w:top w:val="nil"/>
              <w:left w:val="nil"/>
              <w:bottom w:val="nil"/>
              <w:right w:val="nil"/>
            </w:tcBorders>
            <w:tcMar>
              <w:top w:w="100" w:type="dxa"/>
              <w:left w:w="100" w:type="dxa"/>
              <w:bottom w:w="100" w:type="dxa"/>
              <w:right w:w="100" w:type="dxa"/>
            </w:tcMar>
          </w:tcPr>
          <w:p w14:paraId="393AA208" w14:textId="77777777" w:rsidR="00FD08C3" w:rsidRDefault="00D135DF">
            <w:pPr>
              <w:spacing w:line="240" w:lineRule="auto"/>
              <w:jc w:val="both"/>
              <w:rPr>
                <w:sz w:val="24"/>
                <w:szCs w:val="24"/>
              </w:rPr>
            </w:pPr>
            <w:r>
              <w:rPr>
                <w:sz w:val="24"/>
                <w:szCs w:val="24"/>
              </w:rPr>
              <w:t>41 (45.6%)</w:t>
            </w:r>
          </w:p>
        </w:tc>
        <w:tc>
          <w:tcPr>
            <w:tcW w:w="2400" w:type="dxa"/>
            <w:tcBorders>
              <w:top w:val="nil"/>
              <w:left w:val="nil"/>
              <w:bottom w:val="nil"/>
              <w:right w:val="nil"/>
            </w:tcBorders>
            <w:tcMar>
              <w:top w:w="100" w:type="dxa"/>
              <w:left w:w="100" w:type="dxa"/>
              <w:bottom w:w="100" w:type="dxa"/>
              <w:right w:w="100" w:type="dxa"/>
            </w:tcMar>
          </w:tcPr>
          <w:p w14:paraId="1966F044" w14:textId="77777777" w:rsidR="00FD08C3" w:rsidRDefault="00D135DF">
            <w:pPr>
              <w:spacing w:line="240" w:lineRule="auto"/>
              <w:jc w:val="both"/>
              <w:rPr>
                <w:sz w:val="24"/>
                <w:szCs w:val="24"/>
              </w:rPr>
            </w:pPr>
            <w:r>
              <w:rPr>
                <w:sz w:val="24"/>
                <w:szCs w:val="24"/>
              </w:rPr>
              <w:t>24 (40.0%)</w:t>
            </w:r>
          </w:p>
        </w:tc>
        <w:tc>
          <w:tcPr>
            <w:tcW w:w="1480" w:type="dxa"/>
            <w:tcBorders>
              <w:top w:val="nil"/>
              <w:left w:val="nil"/>
              <w:bottom w:val="nil"/>
              <w:right w:val="nil"/>
            </w:tcBorders>
            <w:tcMar>
              <w:top w:w="100" w:type="dxa"/>
              <w:left w:w="100" w:type="dxa"/>
              <w:bottom w:w="100" w:type="dxa"/>
              <w:right w:w="100" w:type="dxa"/>
            </w:tcMar>
          </w:tcPr>
          <w:p w14:paraId="1D1C0EA3" w14:textId="77777777" w:rsidR="00FD08C3" w:rsidRDefault="00D135DF">
            <w:pPr>
              <w:spacing w:line="240" w:lineRule="auto"/>
              <w:jc w:val="both"/>
              <w:rPr>
                <w:sz w:val="24"/>
                <w:szCs w:val="24"/>
              </w:rPr>
            </w:pPr>
            <w:r>
              <w:rPr>
                <w:sz w:val="24"/>
                <w:szCs w:val="24"/>
              </w:rPr>
              <w:t>65</w:t>
            </w:r>
          </w:p>
        </w:tc>
        <w:tc>
          <w:tcPr>
            <w:tcW w:w="1060" w:type="dxa"/>
            <w:tcBorders>
              <w:top w:val="nil"/>
              <w:left w:val="nil"/>
              <w:bottom w:val="nil"/>
              <w:right w:val="nil"/>
            </w:tcBorders>
            <w:tcMar>
              <w:top w:w="100" w:type="dxa"/>
              <w:left w:w="100" w:type="dxa"/>
              <w:bottom w:w="100" w:type="dxa"/>
              <w:right w:w="100" w:type="dxa"/>
            </w:tcMar>
          </w:tcPr>
          <w:p w14:paraId="586A43F4" w14:textId="77777777" w:rsidR="00FD08C3" w:rsidRDefault="00D135DF">
            <w:pPr>
              <w:spacing w:line="240" w:lineRule="auto"/>
              <w:jc w:val="both"/>
              <w:rPr>
                <w:sz w:val="24"/>
                <w:szCs w:val="24"/>
              </w:rPr>
            </w:pPr>
            <w:r>
              <w:rPr>
                <w:sz w:val="24"/>
                <w:szCs w:val="24"/>
              </w:rPr>
              <w:t>43.3</w:t>
            </w:r>
          </w:p>
        </w:tc>
      </w:tr>
      <w:tr w:rsidR="00FD08C3" w14:paraId="028CE9C6" w14:textId="77777777">
        <w:trPr>
          <w:trHeight w:val="515"/>
        </w:trPr>
        <w:tc>
          <w:tcPr>
            <w:tcW w:w="2160" w:type="dxa"/>
            <w:tcBorders>
              <w:top w:val="nil"/>
              <w:left w:val="nil"/>
              <w:bottom w:val="nil"/>
              <w:right w:val="nil"/>
            </w:tcBorders>
            <w:tcMar>
              <w:top w:w="100" w:type="dxa"/>
              <w:left w:w="100" w:type="dxa"/>
              <w:bottom w:w="100" w:type="dxa"/>
              <w:right w:w="100" w:type="dxa"/>
            </w:tcMar>
          </w:tcPr>
          <w:p w14:paraId="2D58617F"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32A10919" w14:textId="77777777" w:rsidR="00FD08C3" w:rsidRDefault="00D135DF">
            <w:pPr>
              <w:spacing w:line="240" w:lineRule="auto"/>
              <w:jc w:val="both"/>
              <w:rPr>
                <w:sz w:val="24"/>
                <w:szCs w:val="24"/>
              </w:rPr>
            </w:pPr>
            <w:r>
              <w:rPr>
                <w:sz w:val="24"/>
                <w:szCs w:val="24"/>
              </w:rPr>
              <w:t>Tertiary</w:t>
            </w:r>
          </w:p>
        </w:tc>
        <w:tc>
          <w:tcPr>
            <w:tcW w:w="1880" w:type="dxa"/>
            <w:tcBorders>
              <w:top w:val="nil"/>
              <w:left w:val="nil"/>
              <w:bottom w:val="nil"/>
              <w:right w:val="nil"/>
            </w:tcBorders>
            <w:tcMar>
              <w:top w:w="100" w:type="dxa"/>
              <w:left w:w="100" w:type="dxa"/>
              <w:bottom w:w="100" w:type="dxa"/>
              <w:right w:w="100" w:type="dxa"/>
            </w:tcMar>
          </w:tcPr>
          <w:p w14:paraId="66E6D441" w14:textId="77777777" w:rsidR="00FD08C3" w:rsidRDefault="00D135DF">
            <w:pPr>
              <w:spacing w:line="240" w:lineRule="auto"/>
              <w:jc w:val="both"/>
              <w:rPr>
                <w:sz w:val="24"/>
                <w:szCs w:val="24"/>
              </w:rPr>
            </w:pPr>
            <w:r>
              <w:rPr>
                <w:sz w:val="24"/>
                <w:szCs w:val="24"/>
              </w:rPr>
              <w:t>49 (54.4%)</w:t>
            </w:r>
          </w:p>
        </w:tc>
        <w:tc>
          <w:tcPr>
            <w:tcW w:w="2400" w:type="dxa"/>
            <w:tcBorders>
              <w:top w:val="nil"/>
              <w:left w:val="nil"/>
              <w:bottom w:val="nil"/>
              <w:right w:val="nil"/>
            </w:tcBorders>
            <w:tcMar>
              <w:top w:w="100" w:type="dxa"/>
              <w:left w:w="100" w:type="dxa"/>
              <w:bottom w:w="100" w:type="dxa"/>
              <w:right w:w="100" w:type="dxa"/>
            </w:tcMar>
          </w:tcPr>
          <w:p w14:paraId="4069A917" w14:textId="77777777" w:rsidR="00FD08C3" w:rsidRDefault="00D135DF">
            <w:pPr>
              <w:spacing w:line="240" w:lineRule="auto"/>
              <w:jc w:val="both"/>
              <w:rPr>
                <w:sz w:val="24"/>
                <w:szCs w:val="24"/>
              </w:rPr>
            </w:pPr>
            <w:r>
              <w:rPr>
                <w:sz w:val="24"/>
                <w:szCs w:val="24"/>
              </w:rPr>
              <w:t>31 (51.7%)</w:t>
            </w:r>
          </w:p>
        </w:tc>
        <w:tc>
          <w:tcPr>
            <w:tcW w:w="1480" w:type="dxa"/>
            <w:tcBorders>
              <w:top w:val="nil"/>
              <w:left w:val="nil"/>
              <w:bottom w:val="nil"/>
              <w:right w:val="nil"/>
            </w:tcBorders>
            <w:tcMar>
              <w:top w:w="100" w:type="dxa"/>
              <w:left w:w="100" w:type="dxa"/>
              <w:bottom w:w="100" w:type="dxa"/>
              <w:right w:w="100" w:type="dxa"/>
            </w:tcMar>
          </w:tcPr>
          <w:p w14:paraId="3088AB47" w14:textId="77777777" w:rsidR="00FD08C3" w:rsidRDefault="00D135DF">
            <w:pPr>
              <w:spacing w:line="240" w:lineRule="auto"/>
              <w:jc w:val="both"/>
              <w:rPr>
                <w:sz w:val="24"/>
                <w:szCs w:val="24"/>
              </w:rPr>
            </w:pPr>
            <w:r>
              <w:rPr>
                <w:sz w:val="24"/>
                <w:szCs w:val="24"/>
              </w:rPr>
              <w:t>80</w:t>
            </w:r>
          </w:p>
        </w:tc>
        <w:tc>
          <w:tcPr>
            <w:tcW w:w="1060" w:type="dxa"/>
            <w:tcBorders>
              <w:top w:val="nil"/>
              <w:left w:val="nil"/>
              <w:bottom w:val="nil"/>
              <w:right w:val="nil"/>
            </w:tcBorders>
            <w:tcMar>
              <w:top w:w="100" w:type="dxa"/>
              <w:left w:w="100" w:type="dxa"/>
              <w:bottom w:w="100" w:type="dxa"/>
              <w:right w:w="100" w:type="dxa"/>
            </w:tcMar>
          </w:tcPr>
          <w:p w14:paraId="061F870E" w14:textId="77777777" w:rsidR="00FD08C3" w:rsidRDefault="00D135DF">
            <w:pPr>
              <w:spacing w:line="240" w:lineRule="auto"/>
              <w:jc w:val="both"/>
              <w:rPr>
                <w:sz w:val="24"/>
                <w:szCs w:val="24"/>
              </w:rPr>
            </w:pPr>
            <w:r>
              <w:rPr>
                <w:sz w:val="24"/>
                <w:szCs w:val="24"/>
              </w:rPr>
              <w:t>53.3</w:t>
            </w:r>
          </w:p>
        </w:tc>
      </w:tr>
      <w:tr w:rsidR="00FD08C3" w14:paraId="73F461F6" w14:textId="77777777">
        <w:trPr>
          <w:trHeight w:val="515"/>
        </w:trPr>
        <w:tc>
          <w:tcPr>
            <w:tcW w:w="2160" w:type="dxa"/>
            <w:tcBorders>
              <w:top w:val="nil"/>
              <w:left w:val="nil"/>
              <w:bottom w:val="nil"/>
              <w:right w:val="nil"/>
            </w:tcBorders>
            <w:tcMar>
              <w:top w:w="100" w:type="dxa"/>
              <w:left w:w="100" w:type="dxa"/>
              <w:bottom w:w="100" w:type="dxa"/>
              <w:right w:w="100" w:type="dxa"/>
            </w:tcMar>
          </w:tcPr>
          <w:p w14:paraId="72F1018E" w14:textId="77777777" w:rsidR="00FD08C3" w:rsidRDefault="00D135DF">
            <w:pPr>
              <w:spacing w:line="240" w:lineRule="auto"/>
              <w:jc w:val="both"/>
              <w:rPr>
                <w:sz w:val="24"/>
                <w:szCs w:val="24"/>
              </w:rPr>
            </w:pPr>
            <w:r>
              <w:rPr>
                <w:b/>
                <w:bCs/>
                <w:sz w:val="24"/>
                <w:szCs w:val="24"/>
              </w:rPr>
              <w:t>Trimester</w:t>
            </w:r>
          </w:p>
        </w:tc>
        <w:tc>
          <w:tcPr>
            <w:tcW w:w="1820" w:type="dxa"/>
            <w:tcBorders>
              <w:top w:val="nil"/>
              <w:left w:val="nil"/>
              <w:bottom w:val="nil"/>
              <w:right w:val="nil"/>
            </w:tcBorders>
            <w:tcMar>
              <w:top w:w="100" w:type="dxa"/>
              <w:left w:w="100" w:type="dxa"/>
              <w:bottom w:w="100" w:type="dxa"/>
              <w:right w:w="100" w:type="dxa"/>
            </w:tcMar>
          </w:tcPr>
          <w:p w14:paraId="22D5A05F" w14:textId="77777777" w:rsidR="00FD08C3" w:rsidRDefault="00D135DF">
            <w:pPr>
              <w:spacing w:line="240" w:lineRule="auto"/>
              <w:jc w:val="both"/>
              <w:rPr>
                <w:sz w:val="24"/>
                <w:szCs w:val="24"/>
              </w:rPr>
            </w:pPr>
            <w:r>
              <w:rPr>
                <w:sz w:val="24"/>
                <w:szCs w:val="24"/>
              </w:rPr>
              <w:t>First</w:t>
            </w:r>
          </w:p>
        </w:tc>
        <w:tc>
          <w:tcPr>
            <w:tcW w:w="1880" w:type="dxa"/>
            <w:tcBorders>
              <w:top w:val="nil"/>
              <w:left w:val="nil"/>
              <w:bottom w:val="nil"/>
              <w:right w:val="nil"/>
            </w:tcBorders>
            <w:tcMar>
              <w:top w:w="100" w:type="dxa"/>
              <w:left w:w="100" w:type="dxa"/>
              <w:bottom w:w="100" w:type="dxa"/>
              <w:right w:w="100" w:type="dxa"/>
            </w:tcMar>
          </w:tcPr>
          <w:p w14:paraId="787629C2" w14:textId="77777777" w:rsidR="00FD08C3" w:rsidRDefault="00D135DF">
            <w:pPr>
              <w:spacing w:line="240" w:lineRule="auto"/>
              <w:jc w:val="both"/>
              <w:rPr>
                <w:sz w:val="24"/>
                <w:szCs w:val="24"/>
              </w:rPr>
            </w:pPr>
            <w:r>
              <w:rPr>
                <w:sz w:val="24"/>
                <w:szCs w:val="24"/>
              </w:rPr>
              <w:t>30 (33.3%)</w:t>
            </w:r>
          </w:p>
        </w:tc>
        <w:tc>
          <w:tcPr>
            <w:tcW w:w="2400" w:type="dxa"/>
            <w:tcBorders>
              <w:top w:val="nil"/>
              <w:left w:val="nil"/>
              <w:bottom w:val="nil"/>
              <w:right w:val="nil"/>
            </w:tcBorders>
            <w:tcMar>
              <w:top w:w="100" w:type="dxa"/>
              <w:left w:w="100" w:type="dxa"/>
              <w:bottom w:w="100" w:type="dxa"/>
              <w:right w:w="100" w:type="dxa"/>
            </w:tcMar>
          </w:tcPr>
          <w:p w14:paraId="682D0217" w14:textId="77777777" w:rsidR="00FD08C3" w:rsidRDefault="00D135DF">
            <w:pPr>
              <w:spacing w:line="240" w:lineRule="auto"/>
              <w:jc w:val="both"/>
              <w:rPr>
                <w:sz w:val="24"/>
                <w:szCs w:val="24"/>
              </w:rPr>
            </w:pPr>
            <w:r>
              <w:rPr>
                <w:sz w:val="24"/>
                <w:szCs w:val="24"/>
              </w:rPr>
              <w:t>–</w:t>
            </w:r>
          </w:p>
        </w:tc>
        <w:tc>
          <w:tcPr>
            <w:tcW w:w="1480" w:type="dxa"/>
            <w:tcBorders>
              <w:top w:val="nil"/>
              <w:left w:val="nil"/>
              <w:bottom w:val="nil"/>
              <w:right w:val="nil"/>
            </w:tcBorders>
            <w:tcMar>
              <w:top w:w="100" w:type="dxa"/>
              <w:left w:w="100" w:type="dxa"/>
              <w:bottom w:w="100" w:type="dxa"/>
              <w:right w:w="100" w:type="dxa"/>
            </w:tcMar>
          </w:tcPr>
          <w:p w14:paraId="21B62E0F" w14:textId="77777777" w:rsidR="00FD08C3" w:rsidRDefault="00D135DF">
            <w:pPr>
              <w:spacing w:line="240" w:lineRule="auto"/>
              <w:jc w:val="both"/>
              <w:rPr>
                <w:sz w:val="24"/>
                <w:szCs w:val="24"/>
              </w:rPr>
            </w:pPr>
            <w:r>
              <w:rPr>
                <w:sz w:val="24"/>
                <w:szCs w:val="24"/>
              </w:rPr>
              <w:t>30</w:t>
            </w:r>
          </w:p>
        </w:tc>
        <w:tc>
          <w:tcPr>
            <w:tcW w:w="1060" w:type="dxa"/>
            <w:tcBorders>
              <w:top w:val="nil"/>
              <w:left w:val="nil"/>
              <w:bottom w:val="nil"/>
              <w:right w:val="nil"/>
            </w:tcBorders>
            <w:tcMar>
              <w:top w:w="100" w:type="dxa"/>
              <w:left w:w="100" w:type="dxa"/>
              <w:bottom w:w="100" w:type="dxa"/>
              <w:right w:w="100" w:type="dxa"/>
            </w:tcMar>
          </w:tcPr>
          <w:p w14:paraId="6511B908" w14:textId="77777777" w:rsidR="00FD08C3" w:rsidRDefault="00D135DF">
            <w:pPr>
              <w:spacing w:line="240" w:lineRule="auto"/>
              <w:jc w:val="both"/>
              <w:rPr>
                <w:sz w:val="24"/>
                <w:szCs w:val="24"/>
              </w:rPr>
            </w:pPr>
            <w:r>
              <w:rPr>
                <w:sz w:val="24"/>
                <w:szCs w:val="24"/>
              </w:rPr>
              <w:t>20.0</w:t>
            </w:r>
          </w:p>
        </w:tc>
      </w:tr>
      <w:tr w:rsidR="00FD08C3" w14:paraId="40B3E708" w14:textId="77777777">
        <w:trPr>
          <w:trHeight w:val="515"/>
        </w:trPr>
        <w:tc>
          <w:tcPr>
            <w:tcW w:w="2160" w:type="dxa"/>
            <w:tcBorders>
              <w:top w:val="nil"/>
              <w:left w:val="nil"/>
              <w:bottom w:val="nil"/>
              <w:right w:val="nil"/>
            </w:tcBorders>
            <w:tcMar>
              <w:top w:w="100" w:type="dxa"/>
              <w:left w:w="100" w:type="dxa"/>
              <w:bottom w:w="100" w:type="dxa"/>
              <w:right w:w="100" w:type="dxa"/>
            </w:tcMar>
          </w:tcPr>
          <w:p w14:paraId="015F1674"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37ED0BD3" w14:textId="77777777" w:rsidR="00FD08C3" w:rsidRDefault="00D135DF">
            <w:pPr>
              <w:spacing w:line="240" w:lineRule="auto"/>
              <w:jc w:val="both"/>
              <w:rPr>
                <w:sz w:val="24"/>
                <w:szCs w:val="24"/>
              </w:rPr>
            </w:pPr>
            <w:r>
              <w:rPr>
                <w:sz w:val="24"/>
                <w:szCs w:val="24"/>
              </w:rPr>
              <w:t>Second</w:t>
            </w:r>
          </w:p>
        </w:tc>
        <w:tc>
          <w:tcPr>
            <w:tcW w:w="1880" w:type="dxa"/>
            <w:tcBorders>
              <w:top w:val="nil"/>
              <w:left w:val="nil"/>
              <w:bottom w:val="nil"/>
              <w:right w:val="nil"/>
            </w:tcBorders>
            <w:tcMar>
              <w:top w:w="100" w:type="dxa"/>
              <w:left w:w="100" w:type="dxa"/>
              <w:bottom w:w="100" w:type="dxa"/>
              <w:right w:w="100" w:type="dxa"/>
            </w:tcMar>
          </w:tcPr>
          <w:p w14:paraId="1BEB7386" w14:textId="77777777" w:rsidR="00FD08C3" w:rsidRDefault="00D135DF">
            <w:pPr>
              <w:spacing w:line="240" w:lineRule="auto"/>
              <w:jc w:val="both"/>
              <w:rPr>
                <w:sz w:val="24"/>
                <w:szCs w:val="24"/>
              </w:rPr>
            </w:pPr>
            <w:r>
              <w:rPr>
                <w:sz w:val="24"/>
                <w:szCs w:val="24"/>
              </w:rPr>
              <w:t xml:space="preserve">30 </w:t>
            </w:r>
            <w:r>
              <w:rPr>
                <w:sz w:val="24"/>
                <w:szCs w:val="24"/>
              </w:rPr>
              <w:t>(33.3%)</w:t>
            </w:r>
          </w:p>
        </w:tc>
        <w:tc>
          <w:tcPr>
            <w:tcW w:w="2400" w:type="dxa"/>
            <w:tcBorders>
              <w:top w:val="nil"/>
              <w:left w:val="nil"/>
              <w:bottom w:val="nil"/>
              <w:right w:val="nil"/>
            </w:tcBorders>
            <w:tcMar>
              <w:top w:w="100" w:type="dxa"/>
              <w:left w:w="100" w:type="dxa"/>
              <w:bottom w:w="100" w:type="dxa"/>
              <w:right w:w="100" w:type="dxa"/>
            </w:tcMar>
          </w:tcPr>
          <w:p w14:paraId="32BBA0C4" w14:textId="77777777" w:rsidR="00FD08C3" w:rsidRDefault="00D135DF">
            <w:pPr>
              <w:spacing w:line="240" w:lineRule="auto"/>
              <w:jc w:val="both"/>
              <w:rPr>
                <w:sz w:val="24"/>
                <w:szCs w:val="24"/>
              </w:rPr>
            </w:pPr>
            <w:r>
              <w:rPr>
                <w:sz w:val="24"/>
                <w:szCs w:val="24"/>
              </w:rPr>
              <w:t>–</w:t>
            </w:r>
          </w:p>
        </w:tc>
        <w:tc>
          <w:tcPr>
            <w:tcW w:w="1480" w:type="dxa"/>
            <w:tcBorders>
              <w:top w:val="nil"/>
              <w:left w:val="nil"/>
              <w:bottom w:val="nil"/>
              <w:right w:val="nil"/>
            </w:tcBorders>
            <w:tcMar>
              <w:top w:w="100" w:type="dxa"/>
              <w:left w:w="100" w:type="dxa"/>
              <w:bottom w:w="100" w:type="dxa"/>
              <w:right w:w="100" w:type="dxa"/>
            </w:tcMar>
          </w:tcPr>
          <w:p w14:paraId="631344CF" w14:textId="77777777" w:rsidR="00FD08C3" w:rsidRDefault="00D135DF">
            <w:pPr>
              <w:spacing w:line="240" w:lineRule="auto"/>
              <w:jc w:val="both"/>
              <w:rPr>
                <w:sz w:val="24"/>
                <w:szCs w:val="24"/>
              </w:rPr>
            </w:pPr>
            <w:r>
              <w:rPr>
                <w:sz w:val="24"/>
                <w:szCs w:val="24"/>
              </w:rPr>
              <w:t>30</w:t>
            </w:r>
          </w:p>
        </w:tc>
        <w:tc>
          <w:tcPr>
            <w:tcW w:w="1060" w:type="dxa"/>
            <w:tcBorders>
              <w:top w:val="nil"/>
              <w:left w:val="nil"/>
              <w:bottom w:val="nil"/>
              <w:right w:val="nil"/>
            </w:tcBorders>
            <w:tcMar>
              <w:top w:w="100" w:type="dxa"/>
              <w:left w:w="100" w:type="dxa"/>
              <w:bottom w:w="100" w:type="dxa"/>
              <w:right w:w="100" w:type="dxa"/>
            </w:tcMar>
          </w:tcPr>
          <w:p w14:paraId="7543AF95" w14:textId="77777777" w:rsidR="00FD08C3" w:rsidRDefault="00D135DF">
            <w:pPr>
              <w:spacing w:line="240" w:lineRule="auto"/>
              <w:jc w:val="both"/>
              <w:rPr>
                <w:sz w:val="24"/>
                <w:szCs w:val="24"/>
              </w:rPr>
            </w:pPr>
            <w:r>
              <w:rPr>
                <w:sz w:val="24"/>
                <w:szCs w:val="24"/>
              </w:rPr>
              <w:t>20.0</w:t>
            </w:r>
          </w:p>
        </w:tc>
      </w:tr>
      <w:tr w:rsidR="00FD08C3" w14:paraId="46B7BF0B" w14:textId="77777777">
        <w:trPr>
          <w:trHeight w:val="515"/>
        </w:trPr>
        <w:tc>
          <w:tcPr>
            <w:tcW w:w="2160" w:type="dxa"/>
            <w:tcBorders>
              <w:top w:val="nil"/>
              <w:left w:val="nil"/>
              <w:bottom w:val="nil"/>
              <w:right w:val="nil"/>
            </w:tcBorders>
            <w:tcMar>
              <w:top w:w="100" w:type="dxa"/>
              <w:left w:w="100" w:type="dxa"/>
              <w:bottom w:w="100" w:type="dxa"/>
              <w:right w:w="100" w:type="dxa"/>
            </w:tcMar>
          </w:tcPr>
          <w:p w14:paraId="50B2FA24"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7D3327EB" w14:textId="77777777" w:rsidR="00FD08C3" w:rsidRDefault="00D135DF">
            <w:pPr>
              <w:spacing w:line="240" w:lineRule="auto"/>
              <w:jc w:val="both"/>
              <w:rPr>
                <w:sz w:val="24"/>
                <w:szCs w:val="24"/>
              </w:rPr>
            </w:pPr>
            <w:r>
              <w:rPr>
                <w:sz w:val="24"/>
                <w:szCs w:val="24"/>
              </w:rPr>
              <w:t>Third</w:t>
            </w:r>
          </w:p>
        </w:tc>
        <w:tc>
          <w:tcPr>
            <w:tcW w:w="1880" w:type="dxa"/>
            <w:tcBorders>
              <w:top w:val="nil"/>
              <w:left w:val="nil"/>
              <w:bottom w:val="nil"/>
              <w:right w:val="nil"/>
            </w:tcBorders>
            <w:tcMar>
              <w:top w:w="100" w:type="dxa"/>
              <w:left w:w="100" w:type="dxa"/>
              <w:bottom w:w="100" w:type="dxa"/>
              <w:right w:w="100" w:type="dxa"/>
            </w:tcMar>
          </w:tcPr>
          <w:p w14:paraId="2E8F5157" w14:textId="77777777" w:rsidR="00FD08C3" w:rsidRDefault="00D135DF">
            <w:pPr>
              <w:spacing w:line="240" w:lineRule="auto"/>
              <w:jc w:val="both"/>
              <w:rPr>
                <w:sz w:val="24"/>
                <w:szCs w:val="24"/>
              </w:rPr>
            </w:pPr>
            <w:r>
              <w:rPr>
                <w:sz w:val="24"/>
                <w:szCs w:val="24"/>
              </w:rPr>
              <w:t>30 (33.3%)</w:t>
            </w:r>
          </w:p>
        </w:tc>
        <w:tc>
          <w:tcPr>
            <w:tcW w:w="2400" w:type="dxa"/>
            <w:tcBorders>
              <w:top w:val="nil"/>
              <w:left w:val="nil"/>
              <w:bottom w:val="nil"/>
              <w:right w:val="nil"/>
            </w:tcBorders>
            <w:tcMar>
              <w:top w:w="100" w:type="dxa"/>
              <w:left w:w="100" w:type="dxa"/>
              <w:bottom w:w="100" w:type="dxa"/>
              <w:right w:w="100" w:type="dxa"/>
            </w:tcMar>
          </w:tcPr>
          <w:p w14:paraId="4B3050E5" w14:textId="77777777" w:rsidR="00FD08C3" w:rsidRDefault="00D135DF">
            <w:pPr>
              <w:spacing w:line="240" w:lineRule="auto"/>
              <w:jc w:val="both"/>
              <w:rPr>
                <w:sz w:val="24"/>
                <w:szCs w:val="24"/>
              </w:rPr>
            </w:pPr>
            <w:r>
              <w:rPr>
                <w:sz w:val="24"/>
                <w:szCs w:val="24"/>
              </w:rPr>
              <w:t>–</w:t>
            </w:r>
          </w:p>
        </w:tc>
        <w:tc>
          <w:tcPr>
            <w:tcW w:w="1480" w:type="dxa"/>
            <w:tcBorders>
              <w:top w:val="nil"/>
              <w:left w:val="nil"/>
              <w:bottom w:val="nil"/>
              <w:right w:val="nil"/>
            </w:tcBorders>
            <w:tcMar>
              <w:top w:w="100" w:type="dxa"/>
              <w:left w:w="100" w:type="dxa"/>
              <w:bottom w:w="100" w:type="dxa"/>
              <w:right w:w="100" w:type="dxa"/>
            </w:tcMar>
          </w:tcPr>
          <w:p w14:paraId="179C3650" w14:textId="77777777" w:rsidR="00FD08C3" w:rsidRDefault="00D135DF">
            <w:pPr>
              <w:spacing w:line="240" w:lineRule="auto"/>
              <w:jc w:val="both"/>
              <w:rPr>
                <w:sz w:val="24"/>
                <w:szCs w:val="24"/>
              </w:rPr>
            </w:pPr>
            <w:r>
              <w:rPr>
                <w:sz w:val="24"/>
                <w:szCs w:val="24"/>
              </w:rPr>
              <w:t>30</w:t>
            </w:r>
          </w:p>
        </w:tc>
        <w:tc>
          <w:tcPr>
            <w:tcW w:w="1060" w:type="dxa"/>
            <w:tcBorders>
              <w:top w:val="nil"/>
              <w:left w:val="nil"/>
              <w:bottom w:val="nil"/>
              <w:right w:val="nil"/>
            </w:tcBorders>
            <w:tcMar>
              <w:top w:w="100" w:type="dxa"/>
              <w:left w:w="100" w:type="dxa"/>
              <w:bottom w:w="100" w:type="dxa"/>
              <w:right w:w="100" w:type="dxa"/>
            </w:tcMar>
          </w:tcPr>
          <w:p w14:paraId="5EDC5BB9" w14:textId="77777777" w:rsidR="00FD08C3" w:rsidRDefault="00D135DF">
            <w:pPr>
              <w:spacing w:line="240" w:lineRule="auto"/>
              <w:jc w:val="both"/>
              <w:rPr>
                <w:sz w:val="24"/>
                <w:szCs w:val="24"/>
              </w:rPr>
            </w:pPr>
            <w:r>
              <w:rPr>
                <w:sz w:val="24"/>
                <w:szCs w:val="24"/>
              </w:rPr>
              <w:t>20.0</w:t>
            </w:r>
          </w:p>
        </w:tc>
      </w:tr>
      <w:tr w:rsidR="00FD08C3" w14:paraId="3CB495A2" w14:textId="77777777">
        <w:trPr>
          <w:trHeight w:val="515"/>
        </w:trPr>
        <w:tc>
          <w:tcPr>
            <w:tcW w:w="2160" w:type="dxa"/>
            <w:tcBorders>
              <w:top w:val="nil"/>
              <w:left w:val="nil"/>
              <w:bottom w:val="nil"/>
              <w:right w:val="nil"/>
            </w:tcBorders>
            <w:tcMar>
              <w:top w:w="100" w:type="dxa"/>
              <w:left w:w="100" w:type="dxa"/>
              <w:bottom w:w="100" w:type="dxa"/>
              <w:right w:w="100" w:type="dxa"/>
            </w:tcMar>
          </w:tcPr>
          <w:p w14:paraId="1228E5FC" w14:textId="77777777" w:rsidR="00FD08C3" w:rsidRDefault="00D135DF">
            <w:pPr>
              <w:spacing w:line="240" w:lineRule="auto"/>
              <w:jc w:val="both"/>
              <w:rPr>
                <w:sz w:val="24"/>
                <w:szCs w:val="24"/>
              </w:rPr>
            </w:pPr>
            <w:r>
              <w:rPr>
                <w:b/>
                <w:bCs/>
                <w:sz w:val="24"/>
                <w:szCs w:val="24"/>
              </w:rPr>
              <w:t>Parity</w:t>
            </w:r>
          </w:p>
        </w:tc>
        <w:tc>
          <w:tcPr>
            <w:tcW w:w="1820" w:type="dxa"/>
            <w:tcBorders>
              <w:top w:val="nil"/>
              <w:left w:val="nil"/>
              <w:bottom w:val="nil"/>
              <w:right w:val="nil"/>
            </w:tcBorders>
            <w:tcMar>
              <w:top w:w="100" w:type="dxa"/>
              <w:left w:w="100" w:type="dxa"/>
              <w:bottom w:w="100" w:type="dxa"/>
              <w:right w:w="100" w:type="dxa"/>
            </w:tcMar>
          </w:tcPr>
          <w:p w14:paraId="460BB7FB" w14:textId="77777777" w:rsidR="00FD08C3" w:rsidRDefault="00D135DF">
            <w:pPr>
              <w:spacing w:line="240" w:lineRule="auto"/>
              <w:jc w:val="both"/>
              <w:rPr>
                <w:sz w:val="24"/>
                <w:szCs w:val="24"/>
              </w:rPr>
            </w:pPr>
            <w:r>
              <w:rPr>
                <w:sz w:val="24"/>
                <w:szCs w:val="24"/>
              </w:rPr>
              <w:t>Primigravida</w:t>
            </w:r>
          </w:p>
        </w:tc>
        <w:tc>
          <w:tcPr>
            <w:tcW w:w="1880" w:type="dxa"/>
            <w:tcBorders>
              <w:top w:val="nil"/>
              <w:left w:val="nil"/>
              <w:bottom w:val="nil"/>
              <w:right w:val="nil"/>
            </w:tcBorders>
            <w:tcMar>
              <w:top w:w="100" w:type="dxa"/>
              <w:left w:w="100" w:type="dxa"/>
              <w:bottom w:w="100" w:type="dxa"/>
              <w:right w:w="100" w:type="dxa"/>
            </w:tcMar>
          </w:tcPr>
          <w:p w14:paraId="4A9E044E" w14:textId="77777777" w:rsidR="00FD08C3" w:rsidRDefault="00D135DF">
            <w:pPr>
              <w:spacing w:line="240" w:lineRule="auto"/>
              <w:jc w:val="both"/>
              <w:rPr>
                <w:sz w:val="24"/>
                <w:szCs w:val="24"/>
              </w:rPr>
            </w:pPr>
            <w:r>
              <w:rPr>
                <w:sz w:val="24"/>
                <w:szCs w:val="24"/>
              </w:rPr>
              <w:t>44 (48.9%)</w:t>
            </w:r>
          </w:p>
        </w:tc>
        <w:tc>
          <w:tcPr>
            <w:tcW w:w="2400" w:type="dxa"/>
            <w:tcBorders>
              <w:top w:val="nil"/>
              <w:left w:val="nil"/>
              <w:bottom w:val="nil"/>
              <w:right w:val="nil"/>
            </w:tcBorders>
            <w:tcMar>
              <w:top w:w="100" w:type="dxa"/>
              <w:left w:w="100" w:type="dxa"/>
              <w:bottom w:w="100" w:type="dxa"/>
              <w:right w:w="100" w:type="dxa"/>
            </w:tcMar>
          </w:tcPr>
          <w:p w14:paraId="2B18024C" w14:textId="77777777" w:rsidR="00FD08C3" w:rsidRDefault="00D135DF">
            <w:pPr>
              <w:spacing w:line="240" w:lineRule="auto"/>
              <w:jc w:val="both"/>
              <w:rPr>
                <w:sz w:val="24"/>
                <w:szCs w:val="24"/>
              </w:rPr>
            </w:pPr>
            <w:r>
              <w:rPr>
                <w:sz w:val="24"/>
                <w:szCs w:val="24"/>
              </w:rPr>
              <w:t>–</w:t>
            </w:r>
          </w:p>
        </w:tc>
        <w:tc>
          <w:tcPr>
            <w:tcW w:w="1480" w:type="dxa"/>
            <w:tcBorders>
              <w:top w:val="nil"/>
              <w:left w:val="nil"/>
              <w:bottom w:val="nil"/>
              <w:right w:val="nil"/>
            </w:tcBorders>
            <w:tcMar>
              <w:top w:w="100" w:type="dxa"/>
              <w:left w:w="100" w:type="dxa"/>
              <w:bottom w:w="100" w:type="dxa"/>
              <w:right w:w="100" w:type="dxa"/>
            </w:tcMar>
          </w:tcPr>
          <w:p w14:paraId="531CEEE8" w14:textId="77777777" w:rsidR="00FD08C3" w:rsidRDefault="00D135DF">
            <w:pPr>
              <w:spacing w:line="240" w:lineRule="auto"/>
              <w:jc w:val="both"/>
              <w:rPr>
                <w:sz w:val="24"/>
                <w:szCs w:val="24"/>
              </w:rPr>
            </w:pPr>
            <w:r>
              <w:rPr>
                <w:sz w:val="24"/>
                <w:szCs w:val="24"/>
              </w:rPr>
              <w:t>44</w:t>
            </w:r>
          </w:p>
        </w:tc>
        <w:tc>
          <w:tcPr>
            <w:tcW w:w="1060" w:type="dxa"/>
            <w:tcBorders>
              <w:top w:val="nil"/>
              <w:left w:val="nil"/>
              <w:bottom w:val="nil"/>
              <w:right w:val="nil"/>
            </w:tcBorders>
            <w:tcMar>
              <w:top w:w="100" w:type="dxa"/>
              <w:left w:w="100" w:type="dxa"/>
              <w:bottom w:w="100" w:type="dxa"/>
              <w:right w:w="100" w:type="dxa"/>
            </w:tcMar>
          </w:tcPr>
          <w:p w14:paraId="18061732" w14:textId="77777777" w:rsidR="00FD08C3" w:rsidRDefault="00D135DF">
            <w:pPr>
              <w:spacing w:line="240" w:lineRule="auto"/>
              <w:jc w:val="both"/>
              <w:rPr>
                <w:sz w:val="24"/>
                <w:szCs w:val="24"/>
              </w:rPr>
            </w:pPr>
            <w:r>
              <w:rPr>
                <w:sz w:val="24"/>
                <w:szCs w:val="24"/>
              </w:rPr>
              <w:t>29.3</w:t>
            </w:r>
          </w:p>
        </w:tc>
      </w:tr>
      <w:tr w:rsidR="00FD08C3" w14:paraId="58203900" w14:textId="77777777">
        <w:trPr>
          <w:trHeight w:val="515"/>
        </w:trPr>
        <w:tc>
          <w:tcPr>
            <w:tcW w:w="2160" w:type="dxa"/>
            <w:tcBorders>
              <w:top w:val="nil"/>
              <w:left w:val="nil"/>
              <w:bottom w:val="nil"/>
              <w:right w:val="nil"/>
            </w:tcBorders>
            <w:tcMar>
              <w:top w:w="100" w:type="dxa"/>
              <w:left w:w="100" w:type="dxa"/>
              <w:bottom w:w="100" w:type="dxa"/>
              <w:right w:w="100" w:type="dxa"/>
            </w:tcMar>
          </w:tcPr>
          <w:p w14:paraId="76DD31BA" w14:textId="77777777" w:rsidR="00FD08C3" w:rsidRDefault="00FD08C3">
            <w:pPr>
              <w:spacing w:line="240" w:lineRule="auto"/>
              <w:jc w:val="both"/>
              <w:rPr>
                <w:sz w:val="24"/>
                <w:szCs w:val="24"/>
              </w:rPr>
            </w:pPr>
          </w:p>
        </w:tc>
        <w:tc>
          <w:tcPr>
            <w:tcW w:w="1820" w:type="dxa"/>
            <w:tcBorders>
              <w:top w:val="nil"/>
              <w:left w:val="nil"/>
              <w:bottom w:val="nil"/>
              <w:right w:val="nil"/>
            </w:tcBorders>
            <w:tcMar>
              <w:top w:w="100" w:type="dxa"/>
              <w:left w:w="100" w:type="dxa"/>
              <w:bottom w:w="100" w:type="dxa"/>
              <w:right w:w="100" w:type="dxa"/>
            </w:tcMar>
          </w:tcPr>
          <w:p w14:paraId="1EC9B085" w14:textId="77777777" w:rsidR="00FD08C3" w:rsidRDefault="00D135DF">
            <w:pPr>
              <w:spacing w:line="240" w:lineRule="auto"/>
              <w:jc w:val="both"/>
              <w:rPr>
                <w:sz w:val="24"/>
                <w:szCs w:val="24"/>
              </w:rPr>
            </w:pPr>
            <w:r>
              <w:rPr>
                <w:sz w:val="24"/>
                <w:szCs w:val="24"/>
              </w:rPr>
              <w:t>Multigravida</w:t>
            </w:r>
          </w:p>
        </w:tc>
        <w:tc>
          <w:tcPr>
            <w:tcW w:w="1880" w:type="dxa"/>
            <w:tcBorders>
              <w:top w:val="nil"/>
              <w:left w:val="nil"/>
              <w:bottom w:val="nil"/>
              <w:right w:val="nil"/>
            </w:tcBorders>
            <w:tcMar>
              <w:top w:w="100" w:type="dxa"/>
              <w:left w:w="100" w:type="dxa"/>
              <w:bottom w:w="100" w:type="dxa"/>
              <w:right w:w="100" w:type="dxa"/>
            </w:tcMar>
          </w:tcPr>
          <w:p w14:paraId="3A85B336" w14:textId="77777777" w:rsidR="00FD08C3" w:rsidRDefault="00D135DF">
            <w:pPr>
              <w:spacing w:line="240" w:lineRule="auto"/>
              <w:jc w:val="both"/>
              <w:rPr>
                <w:sz w:val="24"/>
                <w:szCs w:val="24"/>
              </w:rPr>
            </w:pPr>
            <w:r>
              <w:rPr>
                <w:sz w:val="24"/>
                <w:szCs w:val="24"/>
              </w:rPr>
              <w:t>46 (51.1%)</w:t>
            </w:r>
          </w:p>
        </w:tc>
        <w:tc>
          <w:tcPr>
            <w:tcW w:w="2400" w:type="dxa"/>
            <w:tcBorders>
              <w:top w:val="nil"/>
              <w:left w:val="nil"/>
              <w:bottom w:val="nil"/>
              <w:right w:val="nil"/>
            </w:tcBorders>
            <w:tcMar>
              <w:top w:w="100" w:type="dxa"/>
              <w:left w:w="100" w:type="dxa"/>
              <w:bottom w:w="100" w:type="dxa"/>
              <w:right w:w="100" w:type="dxa"/>
            </w:tcMar>
          </w:tcPr>
          <w:p w14:paraId="3638F0BD" w14:textId="77777777" w:rsidR="00FD08C3" w:rsidRDefault="00D135DF">
            <w:pPr>
              <w:spacing w:line="240" w:lineRule="auto"/>
              <w:jc w:val="both"/>
              <w:rPr>
                <w:sz w:val="24"/>
                <w:szCs w:val="24"/>
              </w:rPr>
            </w:pPr>
            <w:r>
              <w:rPr>
                <w:sz w:val="24"/>
                <w:szCs w:val="24"/>
              </w:rPr>
              <w:t>–</w:t>
            </w:r>
          </w:p>
        </w:tc>
        <w:tc>
          <w:tcPr>
            <w:tcW w:w="1480" w:type="dxa"/>
            <w:tcBorders>
              <w:top w:val="nil"/>
              <w:left w:val="nil"/>
              <w:bottom w:val="nil"/>
              <w:right w:val="nil"/>
            </w:tcBorders>
            <w:tcMar>
              <w:top w:w="100" w:type="dxa"/>
              <w:left w:w="100" w:type="dxa"/>
              <w:bottom w:w="100" w:type="dxa"/>
              <w:right w:w="100" w:type="dxa"/>
            </w:tcMar>
          </w:tcPr>
          <w:p w14:paraId="41785F7F" w14:textId="77777777" w:rsidR="00FD08C3" w:rsidRDefault="00D135DF">
            <w:pPr>
              <w:spacing w:line="240" w:lineRule="auto"/>
              <w:jc w:val="both"/>
              <w:rPr>
                <w:sz w:val="24"/>
                <w:szCs w:val="24"/>
              </w:rPr>
            </w:pPr>
            <w:r>
              <w:rPr>
                <w:sz w:val="24"/>
                <w:szCs w:val="24"/>
              </w:rPr>
              <w:t>46</w:t>
            </w:r>
          </w:p>
        </w:tc>
        <w:tc>
          <w:tcPr>
            <w:tcW w:w="1060" w:type="dxa"/>
            <w:tcBorders>
              <w:top w:val="nil"/>
              <w:left w:val="nil"/>
              <w:bottom w:val="nil"/>
              <w:right w:val="nil"/>
            </w:tcBorders>
            <w:tcMar>
              <w:top w:w="100" w:type="dxa"/>
              <w:left w:w="100" w:type="dxa"/>
              <w:bottom w:w="100" w:type="dxa"/>
              <w:right w:w="100" w:type="dxa"/>
            </w:tcMar>
          </w:tcPr>
          <w:p w14:paraId="41F46700" w14:textId="77777777" w:rsidR="00FD08C3" w:rsidRDefault="00D135DF">
            <w:pPr>
              <w:spacing w:line="240" w:lineRule="auto"/>
              <w:jc w:val="both"/>
              <w:rPr>
                <w:sz w:val="24"/>
                <w:szCs w:val="24"/>
              </w:rPr>
            </w:pPr>
            <w:r>
              <w:rPr>
                <w:sz w:val="24"/>
                <w:szCs w:val="24"/>
              </w:rPr>
              <w:t>30.7</w:t>
            </w:r>
          </w:p>
        </w:tc>
      </w:tr>
    </w:tbl>
    <w:p w14:paraId="67379235" w14:textId="77777777" w:rsidR="00FD08C3" w:rsidRDefault="00FD08C3">
      <w:pPr>
        <w:jc w:val="both"/>
        <w:rPr>
          <w:sz w:val="24"/>
          <w:szCs w:val="24"/>
        </w:rPr>
      </w:pPr>
    </w:p>
    <w:p w14:paraId="59F0F9F5" w14:textId="77777777" w:rsidR="00FD08C3" w:rsidRDefault="00FD08C3">
      <w:pPr>
        <w:jc w:val="both"/>
        <w:rPr>
          <w:sz w:val="24"/>
          <w:szCs w:val="24"/>
        </w:rPr>
      </w:pPr>
    </w:p>
    <w:p w14:paraId="0CB20BC4" w14:textId="77777777" w:rsidR="00FD08C3" w:rsidRDefault="00FD08C3">
      <w:pPr>
        <w:jc w:val="both"/>
        <w:rPr>
          <w:sz w:val="24"/>
          <w:szCs w:val="24"/>
        </w:rPr>
      </w:pPr>
    </w:p>
    <w:p w14:paraId="257A16ED" w14:textId="77777777" w:rsidR="00FD08C3" w:rsidRDefault="00FD08C3">
      <w:pPr>
        <w:jc w:val="both"/>
        <w:rPr>
          <w:sz w:val="24"/>
          <w:szCs w:val="24"/>
        </w:rPr>
      </w:pPr>
    </w:p>
    <w:p w14:paraId="57CE48D4" w14:textId="77777777" w:rsidR="00FD08C3" w:rsidRDefault="00FD08C3">
      <w:pPr>
        <w:jc w:val="both"/>
        <w:rPr>
          <w:sz w:val="24"/>
          <w:szCs w:val="24"/>
        </w:rPr>
      </w:pPr>
    </w:p>
    <w:p w14:paraId="1FCCD8D7" w14:textId="77777777" w:rsidR="00FD08C3" w:rsidRDefault="00FD08C3">
      <w:pPr>
        <w:jc w:val="both"/>
        <w:rPr>
          <w:sz w:val="24"/>
          <w:szCs w:val="24"/>
        </w:rPr>
      </w:pPr>
    </w:p>
    <w:p w14:paraId="10A77232" w14:textId="77777777" w:rsidR="00FD08C3" w:rsidRDefault="00FD08C3">
      <w:pPr>
        <w:jc w:val="both"/>
        <w:rPr>
          <w:sz w:val="24"/>
          <w:szCs w:val="24"/>
        </w:rPr>
      </w:pPr>
    </w:p>
    <w:p w14:paraId="02D4A396" w14:textId="77777777" w:rsidR="00FD08C3" w:rsidRDefault="00FD08C3">
      <w:pPr>
        <w:jc w:val="both"/>
        <w:rPr>
          <w:sz w:val="24"/>
          <w:szCs w:val="24"/>
        </w:rPr>
      </w:pPr>
    </w:p>
    <w:p w14:paraId="3294668B" w14:textId="77777777" w:rsidR="00FD08C3" w:rsidRDefault="00D135DF">
      <w:pPr>
        <w:pStyle w:val="Heading1"/>
        <w:keepNext w:val="0"/>
        <w:keepLines w:val="0"/>
        <w:spacing w:before="480"/>
        <w:jc w:val="both"/>
        <w:rPr>
          <w:b/>
          <w:bCs/>
          <w:sz w:val="24"/>
          <w:szCs w:val="24"/>
        </w:rPr>
      </w:pPr>
      <w:bookmarkStart w:id="26" w:name="_ctop382bm71k" w:colFirst="0" w:colLast="0"/>
      <w:bookmarkEnd w:id="26"/>
      <w:r>
        <w:rPr>
          <w:b/>
          <w:bCs/>
          <w:sz w:val="24"/>
          <w:szCs w:val="24"/>
        </w:rPr>
        <w:t>Table 2: Comparison of Renal and Electrolyte Parameters Between Pregnant and Non-Pregnant Women</w:t>
      </w:r>
    </w:p>
    <w:tbl>
      <w:tblPr>
        <w:tblStyle w:val="a0"/>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20"/>
        <w:gridCol w:w="1940"/>
        <w:gridCol w:w="1600"/>
        <w:gridCol w:w="1560"/>
        <w:gridCol w:w="1500"/>
        <w:gridCol w:w="1480"/>
      </w:tblGrid>
      <w:tr w:rsidR="00FD08C3" w14:paraId="6EB497A9" w14:textId="77777777">
        <w:trPr>
          <w:trHeight w:val="800"/>
        </w:trPr>
        <w:tc>
          <w:tcPr>
            <w:tcW w:w="2720" w:type="dxa"/>
            <w:tcBorders>
              <w:top w:val="nil"/>
              <w:left w:val="nil"/>
              <w:bottom w:val="nil"/>
              <w:right w:val="nil"/>
            </w:tcBorders>
            <w:tcMar>
              <w:top w:w="100" w:type="dxa"/>
              <w:left w:w="100" w:type="dxa"/>
              <w:bottom w:w="100" w:type="dxa"/>
              <w:right w:w="100" w:type="dxa"/>
            </w:tcMar>
          </w:tcPr>
          <w:p w14:paraId="022EAD0E" w14:textId="77777777" w:rsidR="00FD08C3" w:rsidRDefault="00D135DF">
            <w:pPr>
              <w:spacing w:line="240" w:lineRule="auto"/>
              <w:rPr>
                <w:sz w:val="24"/>
                <w:szCs w:val="24"/>
              </w:rPr>
            </w:pPr>
            <w:r>
              <w:rPr>
                <w:b/>
                <w:bCs/>
                <w:sz w:val="24"/>
                <w:szCs w:val="24"/>
              </w:rPr>
              <w:t>Parameter</w:t>
            </w:r>
          </w:p>
        </w:tc>
        <w:tc>
          <w:tcPr>
            <w:tcW w:w="1940" w:type="dxa"/>
            <w:tcBorders>
              <w:top w:val="nil"/>
              <w:left w:val="nil"/>
              <w:bottom w:val="nil"/>
              <w:right w:val="nil"/>
            </w:tcBorders>
            <w:tcMar>
              <w:top w:w="100" w:type="dxa"/>
              <w:left w:w="100" w:type="dxa"/>
              <w:bottom w:w="100" w:type="dxa"/>
              <w:right w:w="100" w:type="dxa"/>
            </w:tcMar>
          </w:tcPr>
          <w:p w14:paraId="53B1B24C" w14:textId="77777777" w:rsidR="00FD08C3" w:rsidRDefault="00D135DF">
            <w:pPr>
              <w:spacing w:line="240" w:lineRule="auto"/>
              <w:rPr>
                <w:sz w:val="24"/>
                <w:szCs w:val="24"/>
              </w:rPr>
            </w:pPr>
            <w:r>
              <w:rPr>
                <w:b/>
                <w:bCs/>
                <w:sz w:val="24"/>
                <w:szCs w:val="24"/>
              </w:rPr>
              <w:t xml:space="preserve">Pregnant (n = </w:t>
            </w:r>
            <w:r>
              <w:rPr>
                <w:b/>
                <w:bCs/>
                <w:sz w:val="24"/>
                <w:szCs w:val="24"/>
              </w:rPr>
              <w:t>90)</w:t>
            </w:r>
          </w:p>
        </w:tc>
        <w:tc>
          <w:tcPr>
            <w:tcW w:w="1600" w:type="dxa"/>
            <w:tcBorders>
              <w:top w:val="nil"/>
              <w:left w:val="nil"/>
              <w:bottom w:val="nil"/>
              <w:right w:val="nil"/>
            </w:tcBorders>
            <w:tcMar>
              <w:top w:w="100" w:type="dxa"/>
              <w:left w:w="100" w:type="dxa"/>
              <w:bottom w:w="100" w:type="dxa"/>
              <w:right w:w="100" w:type="dxa"/>
            </w:tcMar>
          </w:tcPr>
          <w:p w14:paraId="63120100" w14:textId="77777777" w:rsidR="00FD08C3" w:rsidRDefault="00D135DF">
            <w:pPr>
              <w:spacing w:line="240" w:lineRule="auto"/>
              <w:jc w:val="center"/>
              <w:rPr>
                <w:sz w:val="24"/>
                <w:szCs w:val="24"/>
              </w:rPr>
            </w:pPr>
            <w:r>
              <w:rPr>
                <w:b/>
                <w:bCs/>
                <w:sz w:val="24"/>
                <w:szCs w:val="24"/>
              </w:rPr>
              <w:t>Non-pregnant (n = 60)</w:t>
            </w:r>
          </w:p>
        </w:tc>
        <w:tc>
          <w:tcPr>
            <w:tcW w:w="1560" w:type="dxa"/>
            <w:tcBorders>
              <w:top w:val="nil"/>
              <w:left w:val="nil"/>
              <w:bottom w:val="nil"/>
              <w:right w:val="nil"/>
            </w:tcBorders>
            <w:tcMar>
              <w:top w:w="100" w:type="dxa"/>
              <w:left w:w="100" w:type="dxa"/>
              <w:bottom w:w="100" w:type="dxa"/>
              <w:right w:w="100" w:type="dxa"/>
            </w:tcMar>
          </w:tcPr>
          <w:p w14:paraId="44BD435A" w14:textId="77777777" w:rsidR="00FD08C3" w:rsidRDefault="00D135DF">
            <w:pPr>
              <w:spacing w:line="240" w:lineRule="auto"/>
              <w:rPr>
                <w:sz w:val="24"/>
                <w:szCs w:val="24"/>
              </w:rPr>
            </w:pPr>
            <w:r>
              <w:rPr>
                <w:b/>
                <w:bCs/>
                <w:sz w:val="24"/>
                <w:szCs w:val="24"/>
              </w:rPr>
              <w:t>t-value</w:t>
            </w:r>
          </w:p>
        </w:tc>
        <w:tc>
          <w:tcPr>
            <w:tcW w:w="1500" w:type="dxa"/>
            <w:tcBorders>
              <w:top w:val="nil"/>
              <w:left w:val="nil"/>
              <w:bottom w:val="nil"/>
              <w:right w:val="nil"/>
            </w:tcBorders>
            <w:tcMar>
              <w:top w:w="100" w:type="dxa"/>
              <w:left w:w="100" w:type="dxa"/>
              <w:bottom w:w="100" w:type="dxa"/>
              <w:right w:w="100" w:type="dxa"/>
            </w:tcMar>
          </w:tcPr>
          <w:p w14:paraId="2BCDB22E" w14:textId="77777777" w:rsidR="00FD08C3" w:rsidRDefault="00D135DF">
            <w:pPr>
              <w:spacing w:line="240" w:lineRule="auto"/>
              <w:rPr>
                <w:sz w:val="24"/>
                <w:szCs w:val="24"/>
              </w:rPr>
            </w:pPr>
            <w:r>
              <w:rPr>
                <w:b/>
                <w:bCs/>
                <w:sz w:val="24"/>
                <w:szCs w:val="24"/>
              </w:rPr>
              <w:t>p-value</w:t>
            </w:r>
          </w:p>
        </w:tc>
        <w:tc>
          <w:tcPr>
            <w:tcW w:w="1480" w:type="dxa"/>
            <w:tcBorders>
              <w:top w:val="nil"/>
              <w:left w:val="nil"/>
              <w:bottom w:val="nil"/>
              <w:right w:val="nil"/>
            </w:tcBorders>
            <w:tcMar>
              <w:top w:w="100" w:type="dxa"/>
              <w:left w:w="100" w:type="dxa"/>
              <w:bottom w:w="100" w:type="dxa"/>
              <w:right w:w="100" w:type="dxa"/>
            </w:tcMar>
          </w:tcPr>
          <w:p w14:paraId="0D396A6D" w14:textId="77777777" w:rsidR="00FD08C3" w:rsidRDefault="00D135DF">
            <w:pPr>
              <w:spacing w:line="240" w:lineRule="auto"/>
              <w:rPr>
                <w:sz w:val="24"/>
                <w:szCs w:val="24"/>
              </w:rPr>
            </w:pPr>
            <w:r>
              <w:rPr>
                <w:b/>
                <w:bCs/>
                <w:sz w:val="24"/>
                <w:szCs w:val="24"/>
              </w:rPr>
              <w:t>Remark</w:t>
            </w:r>
          </w:p>
        </w:tc>
      </w:tr>
      <w:tr w:rsidR="00FD08C3" w14:paraId="0D4073DD" w14:textId="77777777">
        <w:trPr>
          <w:trHeight w:val="515"/>
        </w:trPr>
        <w:tc>
          <w:tcPr>
            <w:tcW w:w="2720" w:type="dxa"/>
            <w:tcBorders>
              <w:top w:val="nil"/>
              <w:left w:val="nil"/>
              <w:bottom w:val="nil"/>
              <w:right w:val="nil"/>
            </w:tcBorders>
            <w:tcMar>
              <w:top w:w="100" w:type="dxa"/>
              <w:left w:w="100" w:type="dxa"/>
              <w:bottom w:w="100" w:type="dxa"/>
              <w:right w:w="100" w:type="dxa"/>
            </w:tcMar>
          </w:tcPr>
          <w:p w14:paraId="212B13DA" w14:textId="77777777" w:rsidR="00FD08C3" w:rsidRDefault="00D135DF">
            <w:pPr>
              <w:spacing w:line="240" w:lineRule="auto"/>
              <w:jc w:val="both"/>
              <w:rPr>
                <w:sz w:val="24"/>
                <w:szCs w:val="24"/>
              </w:rPr>
            </w:pPr>
            <w:r>
              <w:rPr>
                <w:sz w:val="24"/>
                <w:szCs w:val="24"/>
              </w:rPr>
              <w:t>Creatinine (µmol/L)</w:t>
            </w:r>
          </w:p>
        </w:tc>
        <w:tc>
          <w:tcPr>
            <w:tcW w:w="1940" w:type="dxa"/>
            <w:tcBorders>
              <w:top w:val="nil"/>
              <w:left w:val="nil"/>
              <w:bottom w:val="nil"/>
              <w:right w:val="nil"/>
            </w:tcBorders>
            <w:tcMar>
              <w:top w:w="100" w:type="dxa"/>
              <w:left w:w="100" w:type="dxa"/>
              <w:bottom w:w="100" w:type="dxa"/>
              <w:right w:w="100" w:type="dxa"/>
            </w:tcMar>
          </w:tcPr>
          <w:p w14:paraId="0CA54394" w14:textId="77777777" w:rsidR="00FD08C3" w:rsidRDefault="00D135DF">
            <w:pPr>
              <w:spacing w:line="240" w:lineRule="auto"/>
              <w:jc w:val="both"/>
              <w:rPr>
                <w:sz w:val="24"/>
                <w:szCs w:val="24"/>
              </w:rPr>
            </w:pPr>
            <w:r>
              <w:rPr>
                <w:sz w:val="24"/>
                <w:szCs w:val="24"/>
              </w:rPr>
              <w:t>75.86 ± 12.05</w:t>
            </w:r>
          </w:p>
        </w:tc>
        <w:tc>
          <w:tcPr>
            <w:tcW w:w="1600" w:type="dxa"/>
            <w:tcBorders>
              <w:top w:val="nil"/>
              <w:left w:val="nil"/>
              <w:bottom w:val="nil"/>
              <w:right w:val="nil"/>
            </w:tcBorders>
            <w:tcMar>
              <w:top w:w="100" w:type="dxa"/>
              <w:left w:w="100" w:type="dxa"/>
              <w:bottom w:w="100" w:type="dxa"/>
              <w:right w:w="100" w:type="dxa"/>
            </w:tcMar>
          </w:tcPr>
          <w:p w14:paraId="3B1E2CC7" w14:textId="77777777" w:rsidR="00FD08C3" w:rsidRDefault="00D135DF">
            <w:pPr>
              <w:spacing w:line="240" w:lineRule="auto"/>
              <w:jc w:val="both"/>
              <w:rPr>
                <w:sz w:val="24"/>
                <w:szCs w:val="24"/>
              </w:rPr>
            </w:pPr>
            <w:r>
              <w:rPr>
                <w:sz w:val="24"/>
                <w:szCs w:val="24"/>
              </w:rPr>
              <w:t>65.62 ± 8.01</w:t>
            </w:r>
          </w:p>
        </w:tc>
        <w:tc>
          <w:tcPr>
            <w:tcW w:w="1560" w:type="dxa"/>
            <w:tcBorders>
              <w:top w:val="nil"/>
              <w:left w:val="nil"/>
              <w:bottom w:val="nil"/>
              <w:right w:val="nil"/>
            </w:tcBorders>
            <w:tcMar>
              <w:top w:w="100" w:type="dxa"/>
              <w:left w:w="100" w:type="dxa"/>
              <w:bottom w:w="100" w:type="dxa"/>
              <w:right w:w="100" w:type="dxa"/>
            </w:tcMar>
          </w:tcPr>
          <w:p w14:paraId="0FA8A7FC" w14:textId="77777777" w:rsidR="00FD08C3" w:rsidRDefault="00D135DF">
            <w:pPr>
              <w:spacing w:line="240" w:lineRule="auto"/>
              <w:jc w:val="both"/>
              <w:rPr>
                <w:sz w:val="24"/>
                <w:szCs w:val="24"/>
              </w:rPr>
            </w:pPr>
            <w:r>
              <w:rPr>
                <w:sz w:val="24"/>
                <w:szCs w:val="24"/>
              </w:rPr>
              <w:t>5.78</w:t>
            </w:r>
          </w:p>
        </w:tc>
        <w:tc>
          <w:tcPr>
            <w:tcW w:w="1500" w:type="dxa"/>
            <w:tcBorders>
              <w:top w:val="nil"/>
              <w:left w:val="nil"/>
              <w:bottom w:val="nil"/>
              <w:right w:val="nil"/>
            </w:tcBorders>
            <w:tcMar>
              <w:top w:w="100" w:type="dxa"/>
              <w:left w:w="100" w:type="dxa"/>
              <w:bottom w:w="100" w:type="dxa"/>
              <w:right w:w="100" w:type="dxa"/>
            </w:tcMar>
          </w:tcPr>
          <w:p w14:paraId="54413248" w14:textId="77777777" w:rsidR="00FD08C3" w:rsidRDefault="00D135DF">
            <w:pPr>
              <w:spacing w:line="240" w:lineRule="auto"/>
              <w:jc w:val="both"/>
              <w:rPr>
                <w:sz w:val="24"/>
                <w:szCs w:val="24"/>
              </w:rPr>
            </w:pPr>
            <w:r>
              <w:rPr>
                <w:sz w:val="24"/>
                <w:szCs w:val="24"/>
              </w:rPr>
              <w:t>&lt;0.001</w:t>
            </w:r>
          </w:p>
        </w:tc>
        <w:tc>
          <w:tcPr>
            <w:tcW w:w="1480" w:type="dxa"/>
            <w:tcBorders>
              <w:top w:val="nil"/>
              <w:left w:val="nil"/>
              <w:bottom w:val="nil"/>
              <w:right w:val="nil"/>
            </w:tcBorders>
            <w:tcMar>
              <w:top w:w="100" w:type="dxa"/>
              <w:left w:w="100" w:type="dxa"/>
              <w:bottom w:w="100" w:type="dxa"/>
              <w:right w:w="100" w:type="dxa"/>
            </w:tcMar>
          </w:tcPr>
          <w:p w14:paraId="6432D5C9" w14:textId="77777777" w:rsidR="00FD08C3" w:rsidRDefault="00D135DF">
            <w:pPr>
              <w:spacing w:line="240" w:lineRule="auto"/>
              <w:jc w:val="both"/>
              <w:rPr>
                <w:sz w:val="24"/>
                <w:szCs w:val="24"/>
              </w:rPr>
            </w:pPr>
            <w:r>
              <w:rPr>
                <w:sz w:val="24"/>
                <w:szCs w:val="24"/>
              </w:rPr>
              <w:t>SS</w:t>
            </w:r>
          </w:p>
        </w:tc>
      </w:tr>
      <w:tr w:rsidR="00FD08C3" w14:paraId="3431D4C5" w14:textId="77777777">
        <w:trPr>
          <w:trHeight w:val="515"/>
        </w:trPr>
        <w:tc>
          <w:tcPr>
            <w:tcW w:w="2720" w:type="dxa"/>
            <w:tcBorders>
              <w:top w:val="nil"/>
              <w:left w:val="nil"/>
              <w:bottom w:val="nil"/>
              <w:right w:val="nil"/>
            </w:tcBorders>
            <w:tcMar>
              <w:top w:w="100" w:type="dxa"/>
              <w:left w:w="100" w:type="dxa"/>
              <w:bottom w:w="100" w:type="dxa"/>
              <w:right w:w="100" w:type="dxa"/>
            </w:tcMar>
          </w:tcPr>
          <w:p w14:paraId="7CA991B7" w14:textId="77777777" w:rsidR="00FD08C3" w:rsidRDefault="00D135DF">
            <w:pPr>
              <w:spacing w:line="240" w:lineRule="auto"/>
              <w:jc w:val="both"/>
              <w:rPr>
                <w:sz w:val="24"/>
                <w:szCs w:val="24"/>
              </w:rPr>
            </w:pPr>
            <w:r>
              <w:rPr>
                <w:sz w:val="24"/>
                <w:szCs w:val="24"/>
              </w:rPr>
              <w:t>Urea (mmol/L)</w:t>
            </w:r>
          </w:p>
        </w:tc>
        <w:tc>
          <w:tcPr>
            <w:tcW w:w="1940" w:type="dxa"/>
            <w:tcBorders>
              <w:top w:val="nil"/>
              <w:left w:val="nil"/>
              <w:bottom w:val="nil"/>
              <w:right w:val="nil"/>
            </w:tcBorders>
            <w:tcMar>
              <w:top w:w="100" w:type="dxa"/>
              <w:left w:w="100" w:type="dxa"/>
              <w:bottom w:w="100" w:type="dxa"/>
              <w:right w:w="100" w:type="dxa"/>
            </w:tcMar>
          </w:tcPr>
          <w:p w14:paraId="10480EAC" w14:textId="77777777" w:rsidR="00FD08C3" w:rsidRDefault="00D135DF">
            <w:pPr>
              <w:spacing w:line="240" w:lineRule="auto"/>
              <w:jc w:val="both"/>
              <w:rPr>
                <w:sz w:val="24"/>
                <w:szCs w:val="24"/>
              </w:rPr>
            </w:pPr>
            <w:r>
              <w:rPr>
                <w:sz w:val="24"/>
                <w:szCs w:val="24"/>
              </w:rPr>
              <w:t>5.54 ± 0.87</w:t>
            </w:r>
          </w:p>
        </w:tc>
        <w:tc>
          <w:tcPr>
            <w:tcW w:w="1600" w:type="dxa"/>
            <w:tcBorders>
              <w:top w:val="nil"/>
              <w:left w:val="nil"/>
              <w:bottom w:val="nil"/>
              <w:right w:val="nil"/>
            </w:tcBorders>
            <w:tcMar>
              <w:top w:w="100" w:type="dxa"/>
              <w:left w:w="100" w:type="dxa"/>
              <w:bottom w:w="100" w:type="dxa"/>
              <w:right w:w="100" w:type="dxa"/>
            </w:tcMar>
          </w:tcPr>
          <w:p w14:paraId="37679342" w14:textId="77777777" w:rsidR="00FD08C3" w:rsidRDefault="00D135DF">
            <w:pPr>
              <w:spacing w:line="240" w:lineRule="auto"/>
              <w:jc w:val="both"/>
              <w:rPr>
                <w:sz w:val="24"/>
                <w:szCs w:val="24"/>
              </w:rPr>
            </w:pPr>
            <w:r>
              <w:rPr>
                <w:sz w:val="24"/>
                <w:szCs w:val="24"/>
              </w:rPr>
              <w:t>5.25 ± 0.61</w:t>
            </w:r>
          </w:p>
        </w:tc>
        <w:tc>
          <w:tcPr>
            <w:tcW w:w="1560" w:type="dxa"/>
            <w:tcBorders>
              <w:top w:val="nil"/>
              <w:left w:val="nil"/>
              <w:bottom w:val="nil"/>
              <w:right w:val="nil"/>
            </w:tcBorders>
            <w:tcMar>
              <w:top w:w="100" w:type="dxa"/>
              <w:left w:w="100" w:type="dxa"/>
              <w:bottom w:w="100" w:type="dxa"/>
              <w:right w:w="100" w:type="dxa"/>
            </w:tcMar>
          </w:tcPr>
          <w:p w14:paraId="1B891C5A" w14:textId="77777777" w:rsidR="00FD08C3" w:rsidRDefault="00D135DF">
            <w:pPr>
              <w:spacing w:line="240" w:lineRule="auto"/>
              <w:jc w:val="both"/>
              <w:rPr>
                <w:sz w:val="24"/>
                <w:szCs w:val="24"/>
              </w:rPr>
            </w:pPr>
            <w:r>
              <w:rPr>
                <w:sz w:val="24"/>
                <w:szCs w:val="24"/>
              </w:rPr>
              <w:t>2.31</w:t>
            </w:r>
          </w:p>
        </w:tc>
        <w:tc>
          <w:tcPr>
            <w:tcW w:w="1500" w:type="dxa"/>
            <w:tcBorders>
              <w:top w:val="nil"/>
              <w:left w:val="nil"/>
              <w:bottom w:val="nil"/>
              <w:right w:val="nil"/>
            </w:tcBorders>
            <w:tcMar>
              <w:top w:w="100" w:type="dxa"/>
              <w:left w:w="100" w:type="dxa"/>
              <w:bottom w:w="100" w:type="dxa"/>
              <w:right w:w="100" w:type="dxa"/>
            </w:tcMar>
          </w:tcPr>
          <w:p w14:paraId="76116635" w14:textId="77777777" w:rsidR="00FD08C3" w:rsidRDefault="00D135DF">
            <w:pPr>
              <w:spacing w:line="240" w:lineRule="auto"/>
              <w:jc w:val="both"/>
              <w:rPr>
                <w:sz w:val="24"/>
                <w:szCs w:val="24"/>
              </w:rPr>
            </w:pPr>
            <w:r>
              <w:rPr>
                <w:sz w:val="24"/>
                <w:szCs w:val="24"/>
              </w:rPr>
              <w:t>0.022</w:t>
            </w:r>
          </w:p>
        </w:tc>
        <w:tc>
          <w:tcPr>
            <w:tcW w:w="1480" w:type="dxa"/>
            <w:tcBorders>
              <w:top w:val="nil"/>
              <w:left w:val="nil"/>
              <w:bottom w:val="nil"/>
              <w:right w:val="nil"/>
            </w:tcBorders>
            <w:tcMar>
              <w:top w:w="100" w:type="dxa"/>
              <w:left w:w="100" w:type="dxa"/>
              <w:bottom w:w="100" w:type="dxa"/>
              <w:right w:w="100" w:type="dxa"/>
            </w:tcMar>
          </w:tcPr>
          <w:p w14:paraId="148B0454" w14:textId="77777777" w:rsidR="00FD08C3" w:rsidRDefault="00D135DF">
            <w:pPr>
              <w:spacing w:line="240" w:lineRule="auto"/>
              <w:jc w:val="both"/>
              <w:rPr>
                <w:sz w:val="24"/>
                <w:szCs w:val="24"/>
              </w:rPr>
            </w:pPr>
            <w:r>
              <w:rPr>
                <w:sz w:val="24"/>
                <w:szCs w:val="24"/>
              </w:rPr>
              <w:t>SS</w:t>
            </w:r>
          </w:p>
        </w:tc>
      </w:tr>
      <w:tr w:rsidR="00FD08C3" w14:paraId="51E4553C" w14:textId="77777777">
        <w:trPr>
          <w:trHeight w:val="515"/>
        </w:trPr>
        <w:tc>
          <w:tcPr>
            <w:tcW w:w="2720" w:type="dxa"/>
            <w:tcBorders>
              <w:top w:val="nil"/>
              <w:left w:val="nil"/>
              <w:bottom w:val="nil"/>
              <w:right w:val="nil"/>
            </w:tcBorders>
            <w:tcMar>
              <w:top w:w="100" w:type="dxa"/>
              <w:left w:w="100" w:type="dxa"/>
              <w:bottom w:w="100" w:type="dxa"/>
              <w:right w:w="100" w:type="dxa"/>
            </w:tcMar>
          </w:tcPr>
          <w:p w14:paraId="76BC63A1" w14:textId="77777777" w:rsidR="00FD08C3" w:rsidRDefault="00D135DF">
            <w:pPr>
              <w:spacing w:line="240" w:lineRule="auto"/>
              <w:jc w:val="both"/>
              <w:rPr>
                <w:sz w:val="24"/>
                <w:szCs w:val="24"/>
              </w:rPr>
            </w:pPr>
            <w:r>
              <w:rPr>
                <w:sz w:val="24"/>
                <w:szCs w:val="24"/>
              </w:rPr>
              <w:t>Sodium (mmol/L)</w:t>
            </w:r>
          </w:p>
        </w:tc>
        <w:tc>
          <w:tcPr>
            <w:tcW w:w="1940" w:type="dxa"/>
            <w:tcBorders>
              <w:top w:val="nil"/>
              <w:left w:val="nil"/>
              <w:bottom w:val="nil"/>
              <w:right w:val="nil"/>
            </w:tcBorders>
            <w:tcMar>
              <w:top w:w="100" w:type="dxa"/>
              <w:left w:w="100" w:type="dxa"/>
              <w:bottom w:w="100" w:type="dxa"/>
              <w:right w:w="100" w:type="dxa"/>
            </w:tcMar>
          </w:tcPr>
          <w:p w14:paraId="3446FE11" w14:textId="77777777" w:rsidR="00FD08C3" w:rsidRDefault="00D135DF">
            <w:pPr>
              <w:spacing w:line="240" w:lineRule="auto"/>
              <w:jc w:val="both"/>
              <w:rPr>
                <w:sz w:val="24"/>
                <w:szCs w:val="24"/>
              </w:rPr>
            </w:pPr>
            <w:r>
              <w:rPr>
                <w:sz w:val="24"/>
                <w:szCs w:val="24"/>
              </w:rPr>
              <w:t>135.85 ± 5.05</w:t>
            </w:r>
          </w:p>
        </w:tc>
        <w:tc>
          <w:tcPr>
            <w:tcW w:w="1600" w:type="dxa"/>
            <w:tcBorders>
              <w:top w:val="nil"/>
              <w:left w:val="nil"/>
              <w:bottom w:val="nil"/>
              <w:right w:val="nil"/>
            </w:tcBorders>
            <w:tcMar>
              <w:top w:w="100" w:type="dxa"/>
              <w:left w:w="100" w:type="dxa"/>
              <w:bottom w:w="100" w:type="dxa"/>
              <w:right w:w="100" w:type="dxa"/>
            </w:tcMar>
          </w:tcPr>
          <w:p w14:paraId="228D9F47" w14:textId="77777777" w:rsidR="00FD08C3" w:rsidRDefault="00D135DF">
            <w:pPr>
              <w:spacing w:line="240" w:lineRule="auto"/>
              <w:jc w:val="both"/>
              <w:rPr>
                <w:sz w:val="24"/>
                <w:szCs w:val="24"/>
              </w:rPr>
            </w:pPr>
            <w:r>
              <w:rPr>
                <w:sz w:val="24"/>
                <w:szCs w:val="24"/>
              </w:rPr>
              <w:t>136.54 ± 3.51</w:t>
            </w:r>
          </w:p>
        </w:tc>
        <w:tc>
          <w:tcPr>
            <w:tcW w:w="1560" w:type="dxa"/>
            <w:tcBorders>
              <w:top w:val="nil"/>
              <w:left w:val="nil"/>
              <w:bottom w:val="nil"/>
              <w:right w:val="nil"/>
            </w:tcBorders>
            <w:tcMar>
              <w:top w:w="100" w:type="dxa"/>
              <w:left w:w="100" w:type="dxa"/>
              <w:bottom w:w="100" w:type="dxa"/>
              <w:right w:w="100" w:type="dxa"/>
            </w:tcMar>
          </w:tcPr>
          <w:p w14:paraId="2E243D1D" w14:textId="77777777" w:rsidR="00FD08C3" w:rsidRDefault="00D135DF">
            <w:pPr>
              <w:spacing w:line="240" w:lineRule="auto"/>
              <w:jc w:val="both"/>
              <w:rPr>
                <w:sz w:val="24"/>
                <w:szCs w:val="24"/>
              </w:rPr>
            </w:pPr>
            <w:r>
              <w:rPr>
                <w:sz w:val="24"/>
                <w:szCs w:val="24"/>
              </w:rPr>
              <w:t>-0.91</w:t>
            </w:r>
          </w:p>
        </w:tc>
        <w:tc>
          <w:tcPr>
            <w:tcW w:w="1500" w:type="dxa"/>
            <w:tcBorders>
              <w:top w:val="nil"/>
              <w:left w:val="nil"/>
              <w:bottom w:val="nil"/>
              <w:right w:val="nil"/>
            </w:tcBorders>
            <w:tcMar>
              <w:top w:w="100" w:type="dxa"/>
              <w:left w:w="100" w:type="dxa"/>
              <w:bottom w:w="100" w:type="dxa"/>
              <w:right w:w="100" w:type="dxa"/>
            </w:tcMar>
          </w:tcPr>
          <w:p w14:paraId="3F493E9A" w14:textId="77777777" w:rsidR="00FD08C3" w:rsidRDefault="00D135DF">
            <w:pPr>
              <w:spacing w:line="240" w:lineRule="auto"/>
              <w:jc w:val="both"/>
              <w:rPr>
                <w:sz w:val="24"/>
                <w:szCs w:val="24"/>
              </w:rPr>
            </w:pPr>
            <w:r>
              <w:rPr>
                <w:sz w:val="24"/>
                <w:szCs w:val="24"/>
              </w:rPr>
              <w:t>0.364</w:t>
            </w:r>
          </w:p>
        </w:tc>
        <w:tc>
          <w:tcPr>
            <w:tcW w:w="1480" w:type="dxa"/>
            <w:tcBorders>
              <w:top w:val="nil"/>
              <w:left w:val="nil"/>
              <w:bottom w:val="nil"/>
              <w:right w:val="nil"/>
            </w:tcBorders>
            <w:tcMar>
              <w:top w:w="100" w:type="dxa"/>
              <w:left w:w="100" w:type="dxa"/>
              <w:bottom w:w="100" w:type="dxa"/>
              <w:right w:w="100" w:type="dxa"/>
            </w:tcMar>
          </w:tcPr>
          <w:p w14:paraId="77F37534" w14:textId="77777777" w:rsidR="00FD08C3" w:rsidRDefault="00D135DF">
            <w:pPr>
              <w:spacing w:line="240" w:lineRule="auto"/>
              <w:jc w:val="both"/>
              <w:rPr>
                <w:sz w:val="24"/>
                <w:szCs w:val="24"/>
              </w:rPr>
            </w:pPr>
            <w:r>
              <w:rPr>
                <w:sz w:val="24"/>
                <w:szCs w:val="24"/>
              </w:rPr>
              <w:t>NS</w:t>
            </w:r>
          </w:p>
        </w:tc>
      </w:tr>
      <w:tr w:rsidR="00FD08C3" w14:paraId="2CFF4C5A" w14:textId="77777777">
        <w:trPr>
          <w:trHeight w:val="515"/>
        </w:trPr>
        <w:tc>
          <w:tcPr>
            <w:tcW w:w="2720" w:type="dxa"/>
            <w:tcBorders>
              <w:top w:val="nil"/>
              <w:left w:val="nil"/>
              <w:bottom w:val="nil"/>
              <w:right w:val="nil"/>
            </w:tcBorders>
            <w:tcMar>
              <w:top w:w="100" w:type="dxa"/>
              <w:left w:w="100" w:type="dxa"/>
              <w:bottom w:w="100" w:type="dxa"/>
              <w:right w:w="100" w:type="dxa"/>
            </w:tcMar>
          </w:tcPr>
          <w:p w14:paraId="3FA6B6B0" w14:textId="77777777" w:rsidR="00FD08C3" w:rsidRDefault="00D135DF">
            <w:pPr>
              <w:spacing w:line="240" w:lineRule="auto"/>
              <w:jc w:val="both"/>
              <w:rPr>
                <w:sz w:val="24"/>
                <w:szCs w:val="24"/>
              </w:rPr>
            </w:pPr>
            <w:r>
              <w:rPr>
                <w:sz w:val="24"/>
                <w:szCs w:val="24"/>
              </w:rPr>
              <w:t>Potassium (mmol/L)</w:t>
            </w:r>
          </w:p>
        </w:tc>
        <w:tc>
          <w:tcPr>
            <w:tcW w:w="1940" w:type="dxa"/>
            <w:tcBorders>
              <w:top w:val="nil"/>
              <w:left w:val="nil"/>
              <w:bottom w:val="nil"/>
              <w:right w:val="nil"/>
            </w:tcBorders>
            <w:tcMar>
              <w:top w:w="100" w:type="dxa"/>
              <w:left w:w="100" w:type="dxa"/>
              <w:bottom w:w="100" w:type="dxa"/>
              <w:right w:w="100" w:type="dxa"/>
            </w:tcMar>
          </w:tcPr>
          <w:p w14:paraId="79BB5A3F" w14:textId="77777777" w:rsidR="00FD08C3" w:rsidRDefault="00D135DF">
            <w:pPr>
              <w:spacing w:line="240" w:lineRule="auto"/>
              <w:jc w:val="both"/>
              <w:rPr>
                <w:sz w:val="24"/>
                <w:szCs w:val="24"/>
              </w:rPr>
            </w:pPr>
            <w:r>
              <w:rPr>
                <w:sz w:val="24"/>
                <w:szCs w:val="24"/>
              </w:rPr>
              <w:t>5.39 ± 0.98</w:t>
            </w:r>
          </w:p>
        </w:tc>
        <w:tc>
          <w:tcPr>
            <w:tcW w:w="1600" w:type="dxa"/>
            <w:tcBorders>
              <w:top w:val="nil"/>
              <w:left w:val="nil"/>
              <w:bottom w:val="nil"/>
              <w:right w:val="nil"/>
            </w:tcBorders>
            <w:tcMar>
              <w:top w:w="100" w:type="dxa"/>
              <w:left w:w="100" w:type="dxa"/>
              <w:bottom w:w="100" w:type="dxa"/>
              <w:right w:w="100" w:type="dxa"/>
            </w:tcMar>
          </w:tcPr>
          <w:p w14:paraId="23821AB3" w14:textId="77777777" w:rsidR="00FD08C3" w:rsidRDefault="00D135DF">
            <w:pPr>
              <w:spacing w:line="240" w:lineRule="auto"/>
              <w:jc w:val="both"/>
              <w:rPr>
                <w:sz w:val="24"/>
                <w:szCs w:val="24"/>
              </w:rPr>
            </w:pPr>
            <w:r>
              <w:rPr>
                <w:sz w:val="24"/>
                <w:szCs w:val="24"/>
              </w:rPr>
              <w:t>4.24 ± 0.37</w:t>
            </w:r>
          </w:p>
        </w:tc>
        <w:tc>
          <w:tcPr>
            <w:tcW w:w="1560" w:type="dxa"/>
            <w:tcBorders>
              <w:top w:val="nil"/>
              <w:left w:val="nil"/>
              <w:bottom w:val="nil"/>
              <w:right w:val="nil"/>
            </w:tcBorders>
            <w:tcMar>
              <w:top w:w="100" w:type="dxa"/>
              <w:left w:w="100" w:type="dxa"/>
              <w:bottom w:w="100" w:type="dxa"/>
              <w:right w:w="100" w:type="dxa"/>
            </w:tcMar>
          </w:tcPr>
          <w:p w14:paraId="51470996" w14:textId="77777777" w:rsidR="00FD08C3" w:rsidRDefault="00D135DF">
            <w:pPr>
              <w:spacing w:line="240" w:lineRule="auto"/>
              <w:jc w:val="both"/>
              <w:rPr>
                <w:sz w:val="24"/>
                <w:szCs w:val="24"/>
              </w:rPr>
            </w:pPr>
            <w:r>
              <w:rPr>
                <w:sz w:val="24"/>
                <w:szCs w:val="24"/>
              </w:rPr>
              <w:t>8.60</w:t>
            </w:r>
          </w:p>
        </w:tc>
        <w:tc>
          <w:tcPr>
            <w:tcW w:w="1500" w:type="dxa"/>
            <w:tcBorders>
              <w:top w:val="nil"/>
              <w:left w:val="nil"/>
              <w:bottom w:val="nil"/>
              <w:right w:val="nil"/>
            </w:tcBorders>
            <w:tcMar>
              <w:top w:w="100" w:type="dxa"/>
              <w:left w:w="100" w:type="dxa"/>
              <w:bottom w:w="100" w:type="dxa"/>
              <w:right w:w="100" w:type="dxa"/>
            </w:tcMar>
          </w:tcPr>
          <w:p w14:paraId="2D47A10D" w14:textId="77777777" w:rsidR="00FD08C3" w:rsidRDefault="00D135DF">
            <w:pPr>
              <w:spacing w:line="240" w:lineRule="auto"/>
              <w:jc w:val="both"/>
              <w:rPr>
                <w:sz w:val="24"/>
                <w:szCs w:val="24"/>
              </w:rPr>
            </w:pPr>
            <w:r>
              <w:rPr>
                <w:sz w:val="24"/>
                <w:szCs w:val="24"/>
              </w:rPr>
              <w:t>&lt;0.001</w:t>
            </w:r>
          </w:p>
        </w:tc>
        <w:tc>
          <w:tcPr>
            <w:tcW w:w="1480" w:type="dxa"/>
            <w:tcBorders>
              <w:top w:val="nil"/>
              <w:left w:val="nil"/>
              <w:bottom w:val="nil"/>
              <w:right w:val="nil"/>
            </w:tcBorders>
            <w:tcMar>
              <w:top w:w="100" w:type="dxa"/>
              <w:left w:w="100" w:type="dxa"/>
              <w:bottom w:w="100" w:type="dxa"/>
              <w:right w:w="100" w:type="dxa"/>
            </w:tcMar>
          </w:tcPr>
          <w:p w14:paraId="2FFA363B" w14:textId="77777777" w:rsidR="00FD08C3" w:rsidRDefault="00D135DF">
            <w:pPr>
              <w:spacing w:line="240" w:lineRule="auto"/>
              <w:jc w:val="both"/>
              <w:rPr>
                <w:sz w:val="24"/>
                <w:szCs w:val="24"/>
              </w:rPr>
            </w:pPr>
            <w:r>
              <w:rPr>
                <w:sz w:val="24"/>
                <w:szCs w:val="24"/>
              </w:rPr>
              <w:t>SS</w:t>
            </w:r>
          </w:p>
        </w:tc>
      </w:tr>
      <w:tr w:rsidR="00FD08C3" w14:paraId="3DF4F026" w14:textId="77777777">
        <w:trPr>
          <w:trHeight w:val="515"/>
        </w:trPr>
        <w:tc>
          <w:tcPr>
            <w:tcW w:w="2720" w:type="dxa"/>
            <w:tcBorders>
              <w:top w:val="nil"/>
              <w:left w:val="nil"/>
              <w:bottom w:val="nil"/>
              <w:right w:val="nil"/>
            </w:tcBorders>
            <w:tcMar>
              <w:top w:w="100" w:type="dxa"/>
              <w:left w:w="100" w:type="dxa"/>
              <w:bottom w:w="100" w:type="dxa"/>
              <w:right w:w="100" w:type="dxa"/>
            </w:tcMar>
          </w:tcPr>
          <w:p w14:paraId="5920E725" w14:textId="77777777" w:rsidR="00FD08C3" w:rsidRDefault="00D135DF">
            <w:pPr>
              <w:spacing w:line="240" w:lineRule="auto"/>
              <w:jc w:val="both"/>
              <w:rPr>
                <w:sz w:val="24"/>
                <w:szCs w:val="24"/>
              </w:rPr>
            </w:pPr>
            <w:r>
              <w:rPr>
                <w:sz w:val="24"/>
                <w:szCs w:val="24"/>
              </w:rPr>
              <w:t>Chloride (mmol/L)</w:t>
            </w:r>
          </w:p>
        </w:tc>
        <w:tc>
          <w:tcPr>
            <w:tcW w:w="1940" w:type="dxa"/>
            <w:tcBorders>
              <w:top w:val="nil"/>
              <w:left w:val="nil"/>
              <w:bottom w:val="nil"/>
              <w:right w:val="nil"/>
            </w:tcBorders>
            <w:tcMar>
              <w:top w:w="100" w:type="dxa"/>
              <w:left w:w="100" w:type="dxa"/>
              <w:bottom w:w="100" w:type="dxa"/>
              <w:right w:w="100" w:type="dxa"/>
            </w:tcMar>
          </w:tcPr>
          <w:p w14:paraId="5E505719" w14:textId="77777777" w:rsidR="00FD08C3" w:rsidRDefault="00D135DF">
            <w:pPr>
              <w:spacing w:line="240" w:lineRule="auto"/>
              <w:jc w:val="both"/>
              <w:rPr>
                <w:sz w:val="24"/>
                <w:szCs w:val="24"/>
              </w:rPr>
            </w:pPr>
            <w:r>
              <w:rPr>
                <w:sz w:val="24"/>
                <w:szCs w:val="24"/>
              </w:rPr>
              <w:t>103.81 ± 5.39</w:t>
            </w:r>
          </w:p>
        </w:tc>
        <w:tc>
          <w:tcPr>
            <w:tcW w:w="1600" w:type="dxa"/>
            <w:tcBorders>
              <w:top w:val="nil"/>
              <w:left w:val="nil"/>
              <w:bottom w:val="nil"/>
              <w:right w:val="nil"/>
            </w:tcBorders>
            <w:tcMar>
              <w:top w:w="100" w:type="dxa"/>
              <w:left w:w="100" w:type="dxa"/>
              <w:bottom w:w="100" w:type="dxa"/>
              <w:right w:w="100" w:type="dxa"/>
            </w:tcMar>
          </w:tcPr>
          <w:p w14:paraId="4B2A400F" w14:textId="77777777" w:rsidR="00FD08C3" w:rsidRDefault="00D135DF">
            <w:pPr>
              <w:spacing w:line="240" w:lineRule="auto"/>
              <w:jc w:val="both"/>
              <w:rPr>
                <w:sz w:val="24"/>
                <w:szCs w:val="24"/>
              </w:rPr>
            </w:pPr>
            <w:r>
              <w:rPr>
                <w:sz w:val="24"/>
                <w:szCs w:val="24"/>
              </w:rPr>
              <w:t>98.56 ± 2.87</w:t>
            </w:r>
          </w:p>
        </w:tc>
        <w:tc>
          <w:tcPr>
            <w:tcW w:w="1560" w:type="dxa"/>
            <w:tcBorders>
              <w:top w:val="nil"/>
              <w:left w:val="nil"/>
              <w:bottom w:val="nil"/>
              <w:right w:val="nil"/>
            </w:tcBorders>
            <w:tcMar>
              <w:top w:w="100" w:type="dxa"/>
              <w:left w:w="100" w:type="dxa"/>
              <w:bottom w:w="100" w:type="dxa"/>
              <w:right w:w="100" w:type="dxa"/>
            </w:tcMar>
          </w:tcPr>
          <w:p w14:paraId="2EE86175" w14:textId="77777777" w:rsidR="00FD08C3" w:rsidRDefault="00D135DF">
            <w:pPr>
              <w:spacing w:line="240" w:lineRule="auto"/>
              <w:jc w:val="both"/>
              <w:rPr>
                <w:sz w:val="24"/>
                <w:szCs w:val="24"/>
              </w:rPr>
            </w:pPr>
            <w:r>
              <w:rPr>
                <w:sz w:val="24"/>
                <w:szCs w:val="24"/>
              </w:rPr>
              <w:t>6.92</w:t>
            </w:r>
          </w:p>
        </w:tc>
        <w:tc>
          <w:tcPr>
            <w:tcW w:w="1500" w:type="dxa"/>
            <w:tcBorders>
              <w:top w:val="nil"/>
              <w:left w:val="nil"/>
              <w:bottom w:val="nil"/>
              <w:right w:val="nil"/>
            </w:tcBorders>
            <w:tcMar>
              <w:top w:w="100" w:type="dxa"/>
              <w:left w:w="100" w:type="dxa"/>
              <w:bottom w:w="100" w:type="dxa"/>
              <w:right w:w="100" w:type="dxa"/>
            </w:tcMar>
          </w:tcPr>
          <w:p w14:paraId="23EF8F76" w14:textId="77777777" w:rsidR="00FD08C3" w:rsidRDefault="00D135DF">
            <w:pPr>
              <w:spacing w:line="240" w:lineRule="auto"/>
              <w:jc w:val="both"/>
              <w:rPr>
                <w:sz w:val="24"/>
                <w:szCs w:val="24"/>
              </w:rPr>
            </w:pPr>
            <w:r>
              <w:rPr>
                <w:sz w:val="24"/>
                <w:szCs w:val="24"/>
              </w:rPr>
              <w:t>&lt;0.001</w:t>
            </w:r>
          </w:p>
        </w:tc>
        <w:tc>
          <w:tcPr>
            <w:tcW w:w="1480" w:type="dxa"/>
            <w:tcBorders>
              <w:top w:val="nil"/>
              <w:left w:val="nil"/>
              <w:bottom w:val="nil"/>
              <w:right w:val="nil"/>
            </w:tcBorders>
            <w:tcMar>
              <w:top w:w="100" w:type="dxa"/>
              <w:left w:w="100" w:type="dxa"/>
              <w:bottom w:w="100" w:type="dxa"/>
              <w:right w:w="100" w:type="dxa"/>
            </w:tcMar>
          </w:tcPr>
          <w:p w14:paraId="385F600F" w14:textId="77777777" w:rsidR="00FD08C3" w:rsidRDefault="00D135DF">
            <w:pPr>
              <w:spacing w:line="240" w:lineRule="auto"/>
              <w:jc w:val="both"/>
              <w:rPr>
                <w:sz w:val="24"/>
                <w:szCs w:val="24"/>
              </w:rPr>
            </w:pPr>
            <w:r>
              <w:rPr>
                <w:sz w:val="24"/>
                <w:szCs w:val="24"/>
              </w:rPr>
              <w:t>SS</w:t>
            </w:r>
          </w:p>
        </w:tc>
      </w:tr>
      <w:tr w:rsidR="00FD08C3" w14:paraId="481EE53A" w14:textId="77777777">
        <w:trPr>
          <w:trHeight w:val="515"/>
        </w:trPr>
        <w:tc>
          <w:tcPr>
            <w:tcW w:w="2720" w:type="dxa"/>
            <w:tcBorders>
              <w:top w:val="nil"/>
              <w:left w:val="nil"/>
              <w:bottom w:val="nil"/>
              <w:right w:val="nil"/>
            </w:tcBorders>
            <w:tcMar>
              <w:top w:w="100" w:type="dxa"/>
              <w:left w:w="100" w:type="dxa"/>
              <w:bottom w:w="100" w:type="dxa"/>
              <w:right w:w="100" w:type="dxa"/>
            </w:tcMar>
          </w:tcPr>
          <w:p w14:paraId="78ADAD54" w14:textId="77777777" w:rsidR="00FD08C3" w:rsidRDefault="00D135DF">
            <w:pPr>
              <w:spacing w:line="240" w:lineRule="auto"/>
              <w:jc w:val="both"/>
              <w:rPr>
                <w:sz w:val="24"/>
                <w:szCs w:val="24"/>
              </w:rPr>
            </w:pPr>
            <w:r>
              <w:rPr>
                <w:sz w:val="24"/>
                <w:szCs w:val="24"/>
              </w:rPr>
              <w:t>Bicarbonate (mmol/L)</w:t>
            </w:r>
          </w:p>
        </w:tc>
        <w:tc>
          <w:tcPr>
            <w:tcW w:w="1940" w:type="dxa"/>
            <w:tcBorders>
              <w:top w:val="nil"/>
              <w:left w:val="nil"/>
              <w:bottom w:val="nil"/>
              <w:right w:val="nil"/>
            </w:tcBorders>
            <w:tcMar>
              <w:top w:w="100" w:type="dxa"/>
              <w:left w:w="100" w:type="dxa"/>
              <w:bottom w:w="100" w:type="dxa"/>
              <w:right w:w="100" w:type="dxa"/>
            </w:tcMar>
          </w:tcPr>
          <w:p w14:paraId="39DF7351" w14:textId="77777777" w:rsidR="00FD08C3" w:rsidRDefault="00D135DF">
            <w:pPr>
              <w:spacing w:line="240" w:lineRule="auto"/>
              <w:jc w:val="both"/>
              <w:rPr>
                <w:sz w:val="24"/>
                <w:szCs w:val="24"/>
              </w:rPr>
            </w:pPr>
            <w:r>
              <w:rPr>
                <w:sz w:val="24"/>
                <w:szCs w:val="24"/>
              </w:rPr>
              <w:t>24.17 ± 1.68</w:t>
            </w:r>
          </w:p>
        </w:tc>
        <w:tc>
          <w:tcPr>
            <w:tcW w:w="1600" w:type="dxa"/>
            <w:tcBorders>
              <w:top w:val="nil"/>
              <w:left w:val="nil"/>
              <w:bottom w:val="nil"/>
              <w:right w:val="nil"/>
            </w:tcBorders>
            <w:tcMar>
              <w:top w:w="100" w:type="dxa"/>
              <w:left w:w="100" w:type="dxa"/>
              <w:bottom w:w="100" w:type="dxa"/>
              <w:right w:w="100" w:type="dxa"/>
            </w:tcMar>
          </w:tcPr>
          <w:p w14:paraId="4C57B162" w14:textId="77777777" w:rsidR="00FD08C3" w:rsidRDefault="00D135DF">
            <w:pPr>
              <w:spacing w:line="240" w:lineRule="auto"/>
              <w:jc w:val="both"/>
              <w:rPr>
                <w:sz w:val="24"/>
                <w:szCs w:val="24"/>
              </w:rPr>
            </w:pPr>
            <w:r>
              <w:rPr>
                <w:sz w:val="24"/>
                <w:szCs w:val="24"/>
              </w:rPr>
              <w:t>23.51 ± 1.28</w:t>
            </w:r>
          </w:p>
        </w:tc>
        <w:tc>
          <w:tcPr>
            <w:tcW w:w="1560" w:type="dxa"/>
            <w:tcBorders>
              <w:top w:val="nil"/>
              <w:left w:val="nil"/>
              <w:bottom w:val="nil"/>
              <w:right w:val="nil"/>
            </w:tcBorders>
            <w:tcMar>
              <w:top w:w="100" w:type="dxa"/>
              <w:left w:w="100" w:type="dxa"/>
              <w:bottom w:w="100" w:type="dxa"/>
              <w:right w:w="100" w:type="dxa"/>
            </w:tcMar>
          </w:tcPr>
          <w:p w14:paraId="5B3CD6F7" w14:textId="77777777" w:rsidR="00FD08C3" w:rsidRDefault="00D135DF">
            <w:pPr>
              <w:spacing w:line="240" w:lineRule="auto"/>
              <w:jc w:val="both"/>
              <w:rPr>
                <w:sz w:val="24"/>
                <w:szCs w:val="24"/>
              </w:rPr>
            </w:pPr>
            <w:r>
              <w:rPr>
                <w:sz w:val="24"/>
                <w:szCs w:val="24"/>
              </w:rPr>
              <w:t>2.60</w:t>
            </w:r>
          </w:p>
        </w:tc>
        <w:tc>
          <w:tcPr>
            <w:tcW w:w="1500" w:type="dxa"/>
            <w:tcBorders>
              <w:top w:val="nil"/>
              <w:left w:val="nil"/>
              <w:bottom w:val="nil"/>
              <w:right w:val="nil"/>
            </w:tcBorders>
            <w:tcMar>
              <w:top w:w="100" w:type="dxa"/>
              <w:left w:w="100" w:type="dxa"/>
              <w:bottom w:w="100" w:type="dxa"/>
              <w:right w:w="100" w:type="dxa"/>
            </w:tcMar>
          </w:tcPr>
          <w:p w14:paraId="480F9DD1" w14:textId="77777777" w:rsidR="00FD08C3" w:rsidRDefault="00D135DF">
            <w:pPr>
              <w:spacing w:line="240" w:lineRule="auto"/>
              <w:jc w:val="both"/>
              <w:rPr>
                <w:sz w:val="24"/>
                <w:szCs w:val="24"/>
              </w:rPr>
            </w:pPr>
            <w:r>
              <w:rPr>
                <w:sz w:val="24"/>
                <w:szCs w:val="24"/>
              </w:rPr>
              <w:t>0.010</w:t>
            </w:r>
          </w:p>
        </w:tc>
        <w:tc>
          <w:tcPr>
            <w:tcW w:w="1480" w:type="dxa"/>
            <w:tcBorders>
              <w:top w:val="nil"/>
              <w:left w:val="nil"/>
              <w:bottom w:val="nil"/>
              <w:right w:val="nil"/>
            </w:tcBorders>
            <w:tcMar>
              <w:top w:w="100" w:type="dxa"/>
              <w:left w:w="100" w:type="dxa"/>
              <w:bottom w:w="100" w:type="dxa"/>
              <w:right w:w="100" w:type="dxa"/>
            </w:tcMar>
          </w:tcPr>
          <w:p w14:paraId="1A263DD5" w14:textId="77777777" w:rsidR="00FD08C3" w:rsidRDefault="00D135DF">
            <w:pPr>
              <w:spacing w:line="240" w:lineRule="auto"/>
              <w:jc w:val="both"/>
              <w:rPr>
                <w:sz w:val="24"/>
                <w:szCs w:val="24"/>
              </w:rPr>
            </w:pPr>
            <w:r>
              <w:rPr>
                <w:sz w:val="24"/>
                <w:szCs w:val="24"/>
              </w:rPr>
              <w:t>SS</w:t>
            </w:r>
          </w:p>
        </w:tc>
      </w:tr>
      <w:tr w:rsidR="00FD08C3" w14:paraId="34A9B0F8" w14:textId="77777777">
        <w:trPr>
          <w:trHeight w:val="515"/>
        </w:trPr>
        <w:tc>
          <w:tcPr>
            <w:tcW w:w="2720" w:type="dxa"/>
            <w:tcBorders>
              <w:top w:val="nil"/>
              <w:left w:val="nil"/>
              <w:bottom w:val="nil"/>
              <w:right w:val="nil"/>
            </w:tcBorders>
            <w:tcMar>
              <w:top w:w="100" w:type="dxa"/>
              <w:left w:w="100" w:type="dxa"/>
              <w:bottom w:w="100" w:type="dxa"/>
              <w:right w:w="100" w:type="dxa"/>
            </w:tcMar>
          </w:tcPr>
          <w:p w14:paraId="644CBB88" w14:textId="77777777" w:rsidR="00FD08C3" w:rsidRDefault="00D135DF">
            <w:pPr>
              <w:spacing w:line="240" w:lineRule="auto"/>
              <w:jc w:val="both"/>
              <w:rPr>
                <w:sz w:val="24"/>
                <w:szCs w:val="24"/>
              </w:rPr>
            </w:pPr>
            <w:r>
              <w:rPr>
                <w:sz w:val="24"/>
                <w:szCs w:val="24"/>
              </w:rPr>
              <w:t>Uric Acid (mmol/L)</w:t>
            </w:r>
          </w:p>
        </w:tc>
        <w:tc>
          <w:tcPr>
            <w:tcW w:w="1940" w:type="dxa"/>
            <w:tcBorders>
              <w:top w:val="nil"/>
              <w:left w:val="nil"/>
              <w:bottom w:val="nil"/>
              <w:right w:val="nil"/>
            </w:tcBorders>
            <w:tcMar>
              <w:top w:w="100" w:type="dxa"/>
              <w:left w:w="100" w:type="dxa"/>
              <w:bottom w:w="100" w:type="dxa"/>
              <w:right w:w="100" w:type="dxa"/>
            </w:tcMar>
          </w:tcPr>
          <w:p w14:paraId="6EC34BF6" w14:textId="77777777" w:rsidR="00FD08C3" w:rsidRDefault="00D135DF">
            <w:pPr>
              <w:spacing w:line="240" w:lineRule="auto"/>
              <w:jc w:val="both"/>
              <w:rPr>
                <w:sz w:val="24"/>
                <w:szCs w:val="24"/>
              </w:rPr>
            </w:pPr>
            <w:r>
              <w:rPr>
                <w:sz w:val="24"/>
                <w:szCs w:val="24"/>
              </w:rPr>
              <w:t>7.32 ± 0.40</w:t>
            </w:r>
          </w:p>
        </w:tc>
        <w:tc>
          <w:tcPr>
            <w:tcW w:w="1600" w:type="dxa"/>
            <w:tcBorders>
              <w:top w:val="nil"/>
              <w:left w:val="nil"/>
              <w:bottom w:val="nil"/>
              <w:right w:val="nil"/>
            </w:tcBorders>
            <w:tcMar>
              <w:top w:w="100" w:type="dxa"/>
              <w:left w:w="100" w:type="dxa"/>
              <w:bottom w:w="100" w:type="dxa"/>
              <w:right w:w="100" w:type="dxa"/>
            </w:tcMar>
          </w:tcPr>
          <w:p w14:paraId="55460A5C" w14:textId="77777777" w:rsidR="00FD08C3" w:rsidRDefault="00D135DF">
            <w:pPr>
              <w:spacing w:line="240" w:lineRule="auto"/>
              <w:jc w:val="both"/>
              <w:rPr>
                <w:sz w:val="24"/>
                <w:szCs w:val="24"/>
              </w:rPr>
            </w:pPr>
            <w:r>
              <w:rPr>
                <w:sz w:val="24"/>
                <w:szCs w:val="24"/>
              </w:rPr>
              <w:t>5.27 ± 0.85</w:t>
            </w:r>
          </w:p>
        </w:tc>
        <w:tc>
          <w:tcPr>
            <w:tcW w:w="1560" w:type="dxa"/>
            <w:tcBorders>
              <w:top w:val="nil"/>
              <w:left w:val="nil"/>
              <w:bottom w:val="nil"/>
              <w:right w:val="nil"/>
            </w:tcBorders>
            <w:tcMar>
              <w:top w:w="100" w:type="dxa"/>
              <w:left w:w="100" w:type="dxa"/>
              <w:bottom w:w="100" w:type="dxa"/>
              <w:right w:w="100" w:type="dxa"/>
            </w:tcMar>
          </w:tcPr>
          <w:p w14:paraId="7B085E22" w14:textId="77777777" w:rsidR="00FD08C3" w:rsidRDefault="00D135DF">
            <w:pPr>
              <w:spacing w:line="240" w:lineRule="auto"/>
              <w:jc w:val="both"/>
              <w:rPr>
                <w:sz w:val="24"/>
                <w:szCs w:val="24"/>
              </w:rPr>
            </w:pPr>
            <w:r>
              <w:rPr>
                <w:sz w:val="24"/>
                <w:szCs w:val="24"/>
              </w:rPr>
              <w:t>19.90</w:t>
            </w:r>
          </w:p>
        </w:tc>
        <w:tc>
          <w:tcPr>
            <w:tcW w:w="1500" w:type="dxa"/>
            <w:tcBorders>
              <w:top w:val="nil"/>
              <w:left w:val="nil"/>
              <w:bottom w:val="nil"/>
              <w:right w:val="nil"/>
            </w:tcBorders>
            <w:tcMar>
              <w:top w:w="100" w:type="dxa"/>
              <w:left w:w="100" w:type="dxa"/>
              <w:bottom w:w="100" w:type="dxa"/>
              <w:right w:w="100" w:type="dxa"/>
            </w:tcMar>
          </w:tcPr>
          <w:p w14:paraId="0B104214" w14:textId="77777777" w:rsidR="00FD08C3" w:rsidRDefault="00D135DF">
            <w:pPr>
              <w:spacing w:line="240" w:lineRule="auto"/>
              <w:jc w:val="both"/>
              <w:rPr>
                <w:sz w:val="24"/>
                <w:szCs w:val="24"/>
              </w:rPr>
            </w:pPr>
            <w:r>
              <w:rPr>
                <w:sz w:val="24"/>
                <w:szCs w:val="24"/>
              </w:rPr>
              <w:t>&lt;0.001</w:t>
            </w:r>
          </w:p>
        </w:tc>
        <w:tc>
          <w:tcPr>
            <w:tcW w:w="1480" w:type="dxa"/>
            <w:tcBorders>
              <w:top w:val="nil"/>
              <w:left w:val="nil"/>
              <w:bottom w:val="nil"/>
              <w:right w:val="nil"/>
            </w:tcBorders>
            <w:tcMar>
              <w:top w:w="100" w:type="dxa"/>
              <w:left w:w="100" w:type="dxa"/>
              <w:bottom w:w="100" w:type="dxa"/>
              <w:right w:w="100" w:type="dxa"/>
            </w:tcMar>
          </w:tcPr>
          <w:p w14:paraId="09C3B955" w14:textId="77777777" w:rsidR="00FD08C3" w:rsidRDefault="00D135DF">
            <w:pPr>
              <w:spacing w:line="240" w:lineRule="auto"/>
              <w:jc w:val="both"/>
              <w:rPr>
                <w:sz w:val="24"/>
                <w:szCs w:val="24"/>
              </w:rPr>
            </w:pPr>
            <w:r>
              <w:rPr>
                <w:sz w:val="24"/>
                <w:szCs w:val="24"/>
              </w:rPr>
              <w:t>SS</w:t>
            </w:r>
          </w:p>
        </w:tc>
      </w:tr>
      <w:tr w:rsidR="00FD08C3" w14:paraId="156C59BC" w14:textId="77777777">
        <w:trPr>
          <w:trHeight w:val="495"/>
        </w:trPr>
        <w:tc>
          <w:tcPr>
            <w:tcW w:w="2720" w:type="dxa"/>
            <w:tcBorders>
              <w:top w:val="nil"/>
              <w:left w:val="nil"/>
              <w:bottom w:val="nil"/>
              <w:right w:val="nil"/>
            </w:tcBorders>
            <w:tcMar>
              <w:top w:w="100" w:type="dxa"/>
              <w:left w:w="100" w:type="dxa"/>
              <w:bottom w:w="100" w:type="dxa"/>
              <w:right w:w="100" w:type="dxa"/>
            </w:tcMar>
          </w:tcPr>
          <w:p w14:paraId="6CF6F1AF" w14:textId="77777777" w:rsidR="00FD08C3" w:rsidRDefault="00D135DF">
            <w:pPr>
              <w:spacing w:line="240" w:lineRule="auto"/>
              <w:jc w:val="both"/>
              <w:rPr>
                <w:sz w:val="24"/>
                <w:szCs w:val="24"/>
              </w:rPr>
            </w:pPr>
            <w:r>
              <w:rPr>
                <w:sz w:val="24"/>
                <w:szCs w:val="24"/>
              </w:rPr>
              <w:lastRenderedPageBreak/>
              <w:t>Uric Acid/Creatinine Ratio</w:t>
            </w:r>
          </w:p>
        </w:tc>
        <w:tc>
          <w:tcPr>
            <w:tcW w:w="1940" w:type="dxa"/>
            <w:tcBorders>
              <w:top w:val="nil"/>
              <w:left w:val="nil"/>
              <w:bottom w:val="nil"/>
              <w:right w:val="nil"/>
            </w:tcBorders>
            <w:tcMar>
              <w:top w:w="100" w:type="dxa"/>
              <w:left w:w="100" w:type="dxa"/>
              <w:bottom w:w="100" w:type="dxa"/>
              <w:right w:w="100" w:type="dxa"/>
            </w:tcMar>
          </w:tcPr>
          <w:p w14:paraId="58A2AD60" w14:textId="77777777" w:rsidR="00FD08C3" w:rsidRDefault="00D135DF">
            <w:pPr>
              <w:spacing w:line="240" w:lineRule="auto"/>
              <w:jc w:val="both"/>
              <w:rPr>
                <w:sz w:val="24"/>
                <w:szCs w:val="24"/>
              </w:rPr>
            </w:pPr>
            <w:r>
              <w:rPr>
                <w:sz w:val="24"/>
                <w:szCs w:val="24"/>
              </w:rPr>
              <w:t>98.99 ± 17.03</w:t>
            </w:r>
          </w:p>
        </w:tc>
        <w:tc>
          <w:tcPr>
            <w:tcW w:w="1600" w:type="dxa"/>
            <w:tcBorders>
              <w:top w:val="nil"/>
              <w:left w:val="nil"/>
              <w:bottom w:val="nil"/>
              <w:right w:val="nil"/>
            </w:tcBorders>
            <w:tcMar>
              <w:top w:w="100" w:type="dxa"/>
              <w:left w:w="100" w:type="dxa"/>
              <w:bottom w:w="100" w:type="dxa"/>
              <w:right w:w="100" w:type="dxa"/>
            </w:tcMar>
          </w:tcPr>
          <w:p w14:paraId="73E21DCE" w14:textId="77777777" w:rsidR="00FD08C3" w:rsidRDefault="00D135DF">
            <w:pPr>
              <w:spacing w:line="240" w:lineRule="auto"/>
              <w:jc w:val="both"/>
              <w:rPr>
                <w:sz w:val="24"/>
                <w:szCs w:val="24"/>
              </w:rPr>
            </w:pPr>
            <w:r>
              <w:rPr>
                <w:sz w:val="24"/>
                <w:szCs w:val="24"/>
              </w:rPr>
              <w:t>81.88 ± 18.38</w:t>
            </w:r>
          </w:p>
        </w:tc>
        <w:tc>
          <w:tcPr>
            <w:tcW w:w="1560" w:type="dxa"/>
            <w:tcBorders>
              <w:top w:val="nil"/>
              <w:left w:val="nil"/>
              <w:bottom w:val="nil"/>
              <w:right w:val="nil"/>
            </w:tcBorders>
            <w:tcMar>
              <w:top w:w="100" w:type="dxa"/>
              <w:left w:w="100" w:type="dxa"/>
              <w:bottom w:w="100" w:type="dxa"/>
              <w:right w:w="100" w:type="dxa"/>
            </w:tcMar>
          </w:tcPr>
          <w:p w14:paraId="449E512F" w14:textId="77777777" w:rsidR="00FD08C3" w:rsidRDefault="00D135DF">
            <w:pPr>
              <w:spacing w:line="240" w:lineRule="auto"/>
              <w:jc w:val="both"/>
              <w:rPr>
                <w:sz w:val="24"/>
                <w:szCs w:val="24"/>
              </w:rPr>
            </w:pPr>
            <w:r>
              <w:rPr>
                <w:sz w:val="24"/>
                <w:szCs w:val="24"/>
              </w:rPr>
              <w:t>5.84</w:t>
            </w:r>
          </w:p>
        </w:tc>
        <w:tc>
          <w:tcPr>
            <w:tcW w:w="1500" w:type="dxa"/>
            <w:tcBorders>
              <w:top w:val="nil"/>
              <w:left w:val="nil"/>
              <w:bottom w:val="nil"/>
              <w:right w:val="nil"/>
            </w:tcBorders>
            <w:tcMar>
              <w:top w:w="100" w:type="dxa"/>
              <w:left w:w="100" w:type="dxa"/>
              <w:bottom w:w="100" w:type="dxa"/>
              <w:right w:w="100" w:type="dxa"/>
            </w:tcMar>
          </w:tcPr>
          <w:p w14:paraId="089D60E7" w14:textId="77777777" w:rsidR="00FD08C3" w:rsidRDefault="00D135DF">
            <w:pPr>
              <w:spacing w:line="240" w:lineRule="auto"/>
              <w:jc w:val="both"/>
              <w:rPr>
                <w:sz w:val="24"/>
                <w:szCs w:val="24"/>
              </w:rPr>
            </w:pPr>
            <w:r>
              <w:rPr>
                <w:sz w:val="24"/>
                <w:szCs w:val="24"/>
              </w:rPr>
              <w:t>&lt;0.001</w:t>
            </w:r>
          </w:p>
        </w:tc>
        <w:tc>
          <w:tcPr>
            <w:tcW w:w="1480" w:type="dxa"/>
            <w:tcBorders>
              <w:top w:val="nil"/>
              <w:left w:val="nil"/>
              <w:bottom w:val="nil"/>
              <w:right w:val="nil"/>
            </w:tcBorders>
            <w:tcMar>
              <w:top w:w="100" w:type="dxa"/>
              <w:left w:w="100" w:type="dxa"/>
              <w:bottom w:w="100" w:type="dxa"/>
              <w:right w:w="100" w:type="dxa"/>
            </w:tcMar>
          </w:tcPr>
          <w:p w14:paraId="189B35D1" w14:textId="77777777" w:rsidR="00FD08C3" w:rsidRDefault="00D135DF">
            <w:pPr>
              <w:spacing w:line="240" w:lineRule="auto"/>
              <w:jc w:val="both"/>
              <w:rPr>
                <w:sz w:val="24"/>
                <w:szCs w:val="24"/>
              </w:rPr>
            </w:pPr>
            <w:r>
              <w:rPr>
                <w:sz w:val="24"/>
                <w:szCs w:val="24"/>
              </w:rPr>
              <w:t>SS</w:t>
            </w:r>
          </w:p>
        </w:tc>
      </w:tr>
      <w:tr w:rsidR="00FD08C3" w14:paraId="6478DA62" w14:textId="77777777">
        <w:trPr>
          <w:trHeight w:val="515"/>
        </w:trPr>
        <w:tc>
          <w:tcPr>
            <w:tcW w:w="2720" w:type="dxa"/>
            <w:tcBorders>
              <w:top w:val="nil"/>
              <w:left w:val="nil"/>
              <w:bottom w:val="nil"/>
              <w:right w:val="nil"/>
            </w:tcBorders>
            <w:tcMar>
              <w:top w:w="100" w:type="dxa"/>
              <w:left w:w="100" w:type="dxa"/>
              <w:bottom w:w="100" w:type="dxa"/>
              <w:right w:w="100" w:type="dxa"/>
            </w:tcMar>
          </w:tcPr>
          <w:p w14:paraId="78BB4DB8" w14:textId="77777777" w:rsidR="00FD08C3" w:rsidRDefault="00D135DF">
            <w:pPr>
              <w:spacing w:line="240" w:lineRule="auto"/>
              <w:jc w:val="both"/>
              <w:rPr>
                <w:sz w:val="24"/>
                <w:szCs w:val="24"/>
              </w:rPr>
            </w:pPr>
            <w:r>
              <w:rPr>
                <w:sz w:val="24"/>
                <w:szCs w:val="24"/>
              </w:rPr>
              <w:t>Urea/Creatinine Ratio</w:t>
            </w:r>
          </w:p>
        </w:tc>
        <w:tc>
          <w:tcPr>
            <w:tcW w:w="1940" w:type="dxa"/>
            <w:tcBorders>
              <w:top w:val="nil"/>
              <w:left w:val="nil"/>
              <w:bottom w:val="nil"/>
              <w:right w:val="nil"/>
            </w:tcBorders>
            <w:tcMar>
              <w:top w:w="100" w:type="dxa"/>
              <w:left w:w="100" w:type="dxa"/>
              <w:bottom w:w="100" w:type="dxa"/>
              <w:right w:w="100" w:type="dxa"/>
            </w:tcMar>
          </w:tcPr>
          <w:p w14:paraId="44A19689" w14:textId="77777777" w:rsidR="00FD08C3" w:rsidRDefault="00D135DF">
            <w:pPr>
              <w:spacing w:line="240" w:lineRule="auto"/>
              <w:jc w:val="both"/>
              <w:rPr>
                <w:sz w:val="24"/>
                <w:szCs w:val="24"/>
              </w:rPr>
            </w:pPr>
            <w:r>
              <w:rPr>
                <w:sz w:val="24"/>
                <w:szCs w:val="24"/>
              </w:rPr>
              <w:t>75.29 ± 18.30</w:t>
            </w:r>
          </w:p>
        </w:tc>
        <w:tc>
          <w:tcPr>
            <w:tcW w:w="1600" w:type="dxa"/>
            <w:tcBorders>
              <w:top w:val="nil"/>
              <w:left w:val="nil"/>
              <w:bottom w:val="nil"/>
              <w:right w:val="nil"/>
            </w:tcBorders>
            <w:tcMar>
              <w:top w:w="100" w:type="dxa"/>
              <w:left w:w="100" w:type="dxa"/>
              <w:bottom w:w="100" w:type="dxa"/>
              <w:right w:w="100" w:type="dxa"/>
            </w:tcMar>
          </w:tcPr>
          <w:p w14:paraId="0618E801" w14:textId="77777777" w:rsidR="00FD08C3" w:rsidRDefault="00D135DF">
            <w:pPr>
              <w:spacing w:line="240" w:lineRule="auto"/>
              <w:jc w:val="both"/>
              <w:rPr>
                <w:sz w:val="24"/>
                <w:szCs w:val="24"/>
              </w:rPr>
            </w:pPr>
            <w:r>
              <w:rPr>
                <w:sz w:val="24"/>
                <w:szCs w:val="24"/>
              </w:rPr>
              <w:t>80.55 ± 9.31</w:t>
            </w:r>
          </w:p>
        </w:tc>
        <w:tc>
          <w:tcPr>
            <w:tcW w:w="1560" w:type="dxa"/>
            <w:tcBorders>
              <w:top w:val="nil"/>
              <w:left w:val="nil"/>
              <w:bottom w:val="nil"/>
              <w:right w:val="nil"/>
            </w:tcBorders>
            <w:tcMar>
              <w:top w:w="100" w:type="dxa"/>
              <w:left w:w="100" w:type="dxa"/>
              <w:bottom w:w="100" w:type="dxa"/>
              <w:right w:w="100" w:type="dxa"/>
            </w:tcMar>
          </w:tcPr>
          <w:p w14:paraId="048926DD" w14:textId="77777777" w:rsidR="00FD08C3" w:rsidRDefault="00D135DF">
            <w:pPr>
              <w:spacing w:line="240" w:lineRule="auto"/>
              <w:jc w:val="both"/>
              <w:rPr>
                <w:sz w:val="24"/>
                <w:szCs w:val="24"/>
              </w:rPr>
            </w:pPr>
            <w:r>
              <w:rPr>
                <w:sz w:val="24"/>
                <w:szCs w:val="24"/>
              </w:rPr>
              <w:t>-2.06</w:t>
            </w:r>
          </w:p>
        </w:tc>
        <w:tc>
          <w:tcPr>
            <w:tcW w:w="1500" w:type="dxa"/>
            <w:tcBorders>
              <w:top w:val="nil"/>
              <w:left w:val="nil"/>
              <w:bottom w:val="nil"/>
              <w:right w:val="nil"/>
            </w:tcBorders>
            <w:tcMar>
              <w:top w:w="100" w:type="dxa"/>
              <w:left w:w="100" w:type="dxa"/>
              <w:bottom w:w="100" w:type="dxa"/>
              <w:right w:w="100" w:type="dxa"/>
            </w:tcMar>
          </w:tcPr>
          <w:p w14:paraId="1CA49E1D" w14:textId="77777777" w:rsidR="00FD08C3" w:rsidRDefault="00D135DF">
            <w:pPr>
              <w:spacing w:line="240" w:lineRule="auto"/>
              <w:jc w:val="both"/>
              <w:rPr>
                <w:sz w:val="24"/>
                <w:szCs w:val="24"/>
              </w:rPr>
            </w:pPr>
            <w:r>
              <w:rPr>
                <w:sz w:val="24"/>
                <w:szCs w:val="24"/>
              </w:rPr>
              <w:t>0.042</w:t>
            </w:r>
          </w:p>
        </w:tc>
        <w:tc>
          <w:tcPr>
            <w:tcW w:w="1480" w:type="dxa"/>
            <w:tcBorders>
              <w:top w:val="nil"/>
              <w:left w:val="nil"/>
              <w:bottom w:val="nil"/>
              <w:right w:val="nil"/>
            </w:tcBorders>
            <w:tcMar>
              <w:top w:w="100" w:type="dxa"/>
              <w:left w:w="100" w:type="dxa"/>
              <w:bottom w:w="100" w:type="dxa"/>
              <w:right w:w="100" w:type="dxa"/>
            </w:tcMar>
          </w:tcPr>
          <w:p w14:paraId="7252905B" w14:textId="77777777" w:rsidR="00FD08C3" w:rsidRDefault="00D135DF">
            <w:pPr>
              <w:spacing w:line="240" w:lineRule="auto"/>
              <w:jc w:val="both"/>
              <w:rPr>
                <w:sz w:val="24"/>
                <w:szCs w:val="24"/>
              </w:rPr>
            </w:pPr>
            <w:r>
              <w:rPr>
                <w:sz w:val="24"/>
                <w:szCs w:val="24"/>
              </w:rPr>
              <w:t>SS</w:t>
            </w:r>
          </w:p>
        </w:tc>
      </w:tr>
    </w:tbl>
    <w:p w14:paraId="0B5ECE07" w14:textId="77777777" w:rsidR="00FD08C3" w:rsidRDefault="00D135DF">
      <w:pPr>
        <w:spacing w:before="240" w:after="240" w:line="240" w:lineRule="auto"/>
        <w:jc w:val="both"/>
        <w:rPr>
          <w:sz w:val="24"/>
          <w:szCs w:val="24"/>
        </w:rPr>
      </w:pPr>
      <w:r>
        <w:rPr>
          <w:b/>
          <w:bCs/>
          <w:sz w:val="24"/>
          <w:szCs w:val="24"/>
        </w:rPr>
        <w:t>Key:</w:t>
      </w:r>
      <w:r>
        <w:rPr>
          <w:sz w:val="24"/>
          <w:szCs w:val="24"/>
        </w:rPr>
        <w:t xml:space="preserve"> SS = Statistically Significant (p &lt; 0.05); NS = Not Significant (p &gt; 0.05)</w:t>
      </w:r>
    </w:p>
    <w:p w14:paraId="4F128FA6" w14:textId="77777777" w:rsidR="00FD08C3" w:rsidRDefault="00FD08C3">
      <w:pPr>
        <w:jc w:val="both"/>
        <w:rPr>
          <w:sz w:val="24"/>
          <w:szCs w:val="24"/>
        </w:rPr>
      </w:pPr>
    </w:p>
    <w:p w14:paraId="161DBA7C" w14:textId="77777777" w:rsidR="00FD08C3" w:rsidRDefault="00FD08C3">
      <w:pPr>
        <w:pStyle w:val="Heading1"/>
        <w:keepNext w:val="0"/>
        <w:keepLines w:val="0"/>
        <w:spacing w:before="480"/>
        <w:jc w:val="both"/>
        <w:rPr>
          <w:b/>
          <w:bCs/>
          <w:sz w:val="24"/>
          <w:szCs w:val="24"/>
        </w:rPr>
      </w:pPr>
      <w:bookmarkStart w:id="27" w:name="_w63g7x5vq72" w:colFirst="0" w:colLast="0"/>
      <w:bookmarkEnd w:id="27"/>
    </w:p>
    <w:p w14:paraId="0D87DF19" w14:textId="77777777" w:rsidR="00FD08C3" w:rsidRDefault="00FD08C3">
      <w:pPr>
        <w:pStyle w:val="Heading1"/>
        <w:keepNext w:val="0"/>
        <w:keepLines w:val="0"/>
        <w:spacing w:before="480"/>
        <w:jc w:val="both"/>
        <w:rPr>
          <w:b/>
          <w:bCs/>
          <w:sz w:val="24"/>
          <w:szCs w:val="24"/>
        </w:rPr>
      </w:pPr>
      <w:bookmarkStart w:id="28" w:name="_8fl8i33ds00n" w:colFirst="0" w:colLast="0"/>
      <w:bookmarkEnd w:id="28"/>
    </w:p>
    <w:p w14:paraId="30867077" w14:textId="77777777" w:rsidR="00FD08C3" w:rsidRDefault="00FD08C3">
      <w:pPr>
        <w:pStyle w:val="Heading1"/>
        <w:keepNext w:val="0"/>
        <w:keepLines w:val="0"/>
        <w:spacing w:before="480"/>
        <w:jc w:val="both"/>
        <w:rPr>
          <w:b/>
          <w:bCs/>
          <w:sz w:val="24"/>
          <w:szCs w:val="24"/>
        </w:rPr>
      </w:pPr>
      <w:bookmarkStart w:id="29" w:name="_mzn2xjq1xsab" w:colFirst="0" w:colLast="0"/>
      <w:bookmarkEnd w:id="29"/>
    </w:p>
    <w:p w14:paraId="3095496B" w14:textId="77777777" w:rsidR="00FD08C3" w:rsidRDefault="00D135DF">
      <w:pPr>
        <w:pStyle w:val="Heading1"/>
        <w:keepNext w:val="0"/>
        <w:keepLines w:val="0"/>
        <w:spacing w:before="480"/>
        <w:jc w:val="both"/>
        <w:rPr>
          <w:b/>
          <w:bCs/>
          <w:sz w:val="24"/>
          <w:szCs w:val="24"/>
        </w:rPr>
      </w:pPr>
      <w:bookmarkStart w:id="30" w:name="_a95s61rjs0y3" w:colFirst="0" w:colLast="0"/>
      <w:bookmarkEnd w:id="30"/>
      <w:r>
        <w:rPr>
          <w:b/>
          <w:bCs/>
          <w:sz w:val="24"/>
          <w:szCs w:val="24"/>
        </w:rPr>
        <w:t>Table 3: Comparison of Renal and Electrolyte Parameters Across Trimesters</w:t>
      </w:r>
    </w:p>
    <w:tbl>
      <w:tblPr>
        <w:tblStyle w:val="a1"/>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0"/>
        <w:gridCol w:w="1900"/>
        <w:gridCol w:w="1800"/>
        <w:gridCol w:w="1680"/>
        <w:gridCol w:w="1020"/>
        <w:gridCol w:w="1420"/>
        <w:gridCol w:w="960"/>
      </w:tblGrid>
      <w:tr w:rsidR="00FD08C3" w14:paraId="48A34BBF" w14:textId="77777777">
        <w:trPr>
          <w:trHeight w:val="800"/>
        </w:trPr>
        <w:tc>
          <w:tcPr>
            <w:tcW w:w="2020" w:type="dxa"/>
            <w:tcBorders>
              <w:top w:val="nil"/>
              <w:left w:val="nil"/>
              <w:bottom w:val="nil"/>
              <w:right w:val="nil"/>
            </w:tcBorders>
            <w:tcMar>
              <w:top w:w="100" w:type="dxa"/>
              <w:left w:w="100" w:type="dxa"/>
              <w:bottom w:w="100" w:type="dxa"/>
              <w:right w:w="100" w:type="dxa"/>
            </w:tcMar>
          </w:tcPr>
          <w:p w14:paraId="6A2E4C95" w14:textId="77777777" w:rsidR="00FD08C3" w:rsidRDefault="00D135DF">
            <w:pPr>
              <w:rPr>
                <w:sz w:val="24"/>
                <w:szCs w:val="24"/>
              </w:rPr>
            </w:pPr>
            <w:r>
              <w:rPr>
                <w:b/>
                <w:bCs/>
                <w:sz w:val="24"/>
                <w:szCs w:val="24"/>
              </w:rPr>
              <w:t>Parameter</w:t>
            </w:r>
          </w:p>
        </w:tc>
        <w:tc>
          <w:tcPr>
            <w:tcW w:w="1900" w:type="dxa"/>
            <w:tcBorders>
              <w:top w:val="nil"/>
              <w:left w:val="nil"/>
              <w:bottom w:val="nil"/>
              <w:right w:val="nil"/>
            </w:tcBorders>
            <w:tcMar>
              <w:top w:w="100" w:type="dxa"/>
              <w:left w:w="100" w:type="dxa"/>
              <w:bottom w:w="100" w:type="dxa"/>
              <w:right w:w="100" w:type="dxa"/>
            </w:tcMar>
          </w:tcPr>
          <w:p w14:paraId="0D3CF19C" w14:textId="77777777" w:rsidR="00FD08C3" w:rsidRDefault="00D135DF">
            <w:pPr>
              <w:rPr>
                <w:sz w:val="24"/>
                <w:szCs w:val="24"/>
              </w:rPr>
            </w:pPr>
            <w:r>
              <w:rPr>
                <w:b/>
                <w:bCs/>
                <w:sz w:val="24"/>
                <w:szCs w:val="24"/>
              </w:rPr>
              <w:t>1st Trimester (n=30)</w:t>
            </w:r>
          </w:p>
        </w:tc>
        <w:tc>
          <w:tcPr>
            <w:tcW w:w="1800" w:type="dxa"/>
            <w:tcBorders>
              <w:top w:val="nil"/>
              <w:left w:val="nil"/>
              <w:bottom w:val="nil"/>
              <w:right w:val="nil"/>
            </w:tcBorders>
            <w:tcMar>
              <w:top w:w="100" w:type="dxa"/>
              <w:left w:w="100" w:type="dxa"/>
              <w:bottom w:w="100" w:type="dxa"/>
              <w:right w:w="100" w:type="dxa"/>
            </w:tcMar>
          </w:tcPr>
          <w:p w14:paraId="760D9C59" w14:textId="77777777" w:rsidR="00FD08C3" w:rsidRDefault="00D135DF">
            <w:pPr>
              <w:rPr>
                <w:sz w:val="24"/>
                <w:szCs w:val="24"/>
              </w:rPr>
            </w:pPr>
            <w:r>
              <w:rPr>
                <w:b/>
                <w:bCs/>
                <w:sz w:val="24"/>
                <w:szCs w:val="24"/>
              </w:rPr>
              <w:t>2nd Trimester (n=30)</w:t>
            </w:r>
          </w:p>
        </w:tc>
        <w:tc>
          <w:tcPr>
            <w:tcW w:w="1680" w:type="dxa"/>
            <w:tcBorders>
              <w:top w:val="nil"/>
              <w:left w:val="nil"/>
              <w:bottom w:val="nil"/>
              <w:right w:val="nil"/>
            </w:tcBorders>
            <w:tcMar>
              <w:top w:w="100" w:type="dxa"/>
              <w:left w:w="100" w:type="dxa"/>
              <w:bottom w:w="100" w:type="dxa"/>
              <w:right w:w="100" w:type="dxa"/>
            </w:tcMar>
          </w:tcPr>
          <w:p w14:paraId="033408C2" w14:textId="77777777" w:rsidR="00FD08C3" w:rsidRDefault="00D135DF">
            <w:pPr>
              <w:rPr>
                <w:sz w:val="24"/>
                <w:szCs w:val="24"/>
              </w:rPr>
            </w:pPr>
            <w:r>
              <w:rPr>
                <w:b/>
                <w:bCs/>
                <w:sz w:val="24"/>
                <w:szCs w:val="24"/>
              </w:rPr>
              <w:t>3rd Trimester (n=30)</w:t>
            </w:r>
          </w:p>
        </w:tc>
        <w:tc>
          <w:tcPr>
            <w:tcW w:w="1020" w:type="dxa"/>
            <w:tcBorders>
              <w:top w:val="nil"/>
              <w:left w:val="nil"/>
              <w:bottom w:val="nil"/>
              <w:right w:val="nil"/>
            </w:tcBorders>
            <w:tcMar>
              <w:top w:w="100" w:type="dxa"/>
              <w:left w:w="100" w:type="dxa"/>
              <w:bottom w:w="100" w:type="dxa"/>
              <w:right w:w="100" w:type="dxa"/>
            </w:tcMar>
          </w:tcPr>
          <w:p w14:paraId="7E40A8DB" w14:textId="77777777" w:rsidR="00FD08C3" w:rsidRDefault="00D135DF">
            <w:pPr>
              <w:rPr>
                <w:sz w:val="24"/>
                <w:szCs w:val="24"/>
              </w:rPr>
            </w:pPr>
            <w:r>
              <w:rPr>
                <w:b/>
                <w:bCs/>
                <w:sz w:val="24"/>
                <w:szCs w:val="24"/>
              </w:rPr>
              <w:t>F-value</w:t>
            </w:r>
          </w:p>
        </w:tc>
        <w:tc>
          <w:tcPr>
            <w:tcW w:w="1420" w:type="dxa"/>
            <w:tcBorders>
              <w:top w:val="nil"/>
              <w:left w:val="nil"/>
              <w:bottom w:val="nil"/>
              <w:right w:val="nil"/>
            </w:tcBorders>
            <w:tcMar>
              <w:top w:w="100" w:type="dxa"/>
              <w:left w:w="100" w:type="dxa"/>
              <w:bottom w:w="100" w:type="dxa"/>
              <w:right w:w="100" w:type="dxa"/>
            </w:tcMar>
          </w:tcPr>
          <w:p w14:paraId="119AC41D" w14:textId="77777777" w:rsidR="00FD08C3" w:rsidRDefault="00D135DF">
            <w:pPr>
              <w:jc w:val="both"/>
              <w:rPr>
                <w:sz w:val="24"/>
                <w:szCs w:val="24"/>
              </w:rPr>
            </w:pPr>
            <w:r>
              <w:rPr>
                <w:b/>
                <w:bCs/>
                <w:sz w:val="24"/>
                <w:szCs w:val="24"/>
              </w:rPr>
              <w:t>p-value</w:t>
            </w:r>
          </w:p>
        </w:tc>
        <w:tc>
          <w:tcPr>
            <w:tcW w:w="960" w:type="dxa"/>
            <w:tcBorders>
              <w:top w:val="nil"/>
              <w:left w:val="nil"/>
              <w:bottom w:val="nil"/>
              <w:right w:val="nil"/>
            </w:tcBorders>
            <w:tcMar>
              <w:top w:w="100" w:type="dxa"/>
              <w:left w:w="100" w:type="dxa"/>
              <w:bottom w:w="100" w:type="dxa"/>
              <w:right w:w="100" w:type="dxa"/>
            </w:tcMar>
          </w:tcPr>
          <w:p w14:paraId="79623BF6" w14:textId="77777777" w:rsidR="00FD08C3" w:rsidRDefault="00D135DF">
            <w:pPr>
              <w:jc w:val="both"/>
              <w:rPr>
                <w:sz w:val="24"/>
                <w:szCs w:val="24"/>
              </w:rPr>
            </w:pPr>
            <w:r>
              <w:rPr>
                <w:b/>
                <w:bCs/>
                <w:sz w:val="24"/>
                <w:szCs w:val="24"/>
              </w:rPr>
              <w:t xml:space="preserve">                                         Remark</w:t>
            </w:r>
          </w:p>
        </w:tc>
      </w:tr>
      <w:tr w:rsidR="00FD08C3" w14:paraId="261D3C78" w14:textId="77777777">
        <w:trPr>
          <w:trHeight w:val="515"/>
        </w:trPr>
        <w:tc>
          <w:tcPr>
            <w:tcW w:w="2020" w:type="dxa"/>
            <w:tcBorders>
              <w:top w:val="nil"/>
              <w:left w:val="nil"/>
              <w:bottom w:val="nil"/>
              <w:right w:val="nil"/>
            </w:tcBorders>
            <w:tcMar>
              <w:top w:w="100" w:type="dxa"/>
              <w:left w:w="100" w:type="dxa"/>
              <w:bottom w:w="100" w:type="dxa"/>
              <w:right w:w="100" w:type="dxa"/>
            </w:tcMar>
          </w:tcPr>
          <w:p w14:paraId="3B9DB022" w14:textId="77777777" w:rsidR="00FD08C3" w:rsidRDefault="00D135DF">
            <w:pPr>
              <w:jc w:val="both"/>
              <w:rPr>
                <w:sz w:val="24"/>
                <w:szCs w:val="24"/>
              </w:rPr>
            </w:pPr>
            <w:r>
              <w:rPr>
                <w:sz w:val="24"/>
                <w:szCs w:val="24"/>
              </w:rPr>
              <w:t>Creatinine (µmol/L)</w:t>
            </w:r>
          </w:p>
        </w:tc>
        <w:tc>
          <w:tcPr>
            <w:tcW w:w="1900" w:type="dxa"/>
            <w:tcBorders>
              <w:top w:val="nil"/>
              <w:left w:val="nil"/>
              <w:bottom w:val="nil"/>
              <w:right w:val="nil"/>
            </w:tcBorders>
            <w:tcMar>
              <w:top w:w="100" w:type="dxa"/>
              <w:left w:w="100" w:type="dxa"/>
              <w:bottom w:w="100" w:type="dxa"/>
              <w:right w:w="100" w:type="dxa"/>
            </w:tcMar>
          </w:tcPr>
          <w:p w14:paraId="2B7AE8B6" w14:textId="77777777" w:rsidR="00FD08C3" w:rsidRDefault="00D135DF">
            <w:pPr>
              <w:jc w:val="both"/>
              <w:rPr>
                <w:sz w:val="24"/>
                <w:szCs w:val="24"/>
              </w:rPr>
            </w:pPr>
            <w:r>
              <w:rPr>
                <w:sz w:val="24"/>
                <w:szCs w:val="24"/>
              </w:rPr>
              <w:t>74.41 ± 12.27</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253E5839" w14:textId="77777777" w:rsidR="00FD08C3" w:rsidRDefault="00D135DF">
            <w:pPr>
              <w:jc w:val="both"/>
              <w:rPr>
                <w:sz w:val="24"/>
                <w:szCs w:val="24"/>
              </w:rPr>
            </w:pPr>
            <w:r>
              <w:rPr>
                <w:sz w:val="24"/>
                <w:szCs w:val="24"/>
              </w:rPr>
              <w:t>72.63 ± 9.06</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63CB4ED5" w14:textId="77777777" w:rsidR="00FD08C3" w:rsidRDefault="00D135DF">
            <w:pPr>
              <w:jc w:val="both"/>
              <w:rPr>
                <w:sz w:val="24"/>
                <w:szCs w:val="24"/>
              </w:rPr>
            </w:pPr>
            <w:r>
              <w:rPr>
                <w:sz w:val="24"/>
                <w:szCs w:val="24"/>
              </w:rPr>
              <w:t>80.55 ± 13.33</w:t>
            </w:r>
            <w:r>
              <w:rPr>
                <w:sz w:val="24"/>
                <w:szCs w:val="24"/>
              </w:rPr>
              <w:t>ᵇ</w:t>
            </w:r>
          </w:p>
        </w:tc>
        <w:tc>
          <w:tcPr>
            <w:tcW w:w="1020" w:type="dxa"/>
            <w:tcBorders>
              <w:top w:val="nil"/>
              <w:left w:val="nil"/>
              <w:bottom w:val="nil"/>
              <w:right w:val="nil"/>
            </w:tcBorders>
            <w:tcMar>
              <w:top w:w="100" w:type="dxa"/>
              <w:left w:w="100" w:type="dxa"/>
              <w:bottom w:w="100" w:type="dxa"/>
              <w:right w:w="100" w:type="dxa"/>
            </w:tcMar>
          </w:tcPr>
          <w:p w14:paraId="099C3034" w14:textId="77777777" w:rsidR="00FD08C3" w:rsidRDefault="00D135DF">
            <w:pPr>
              <w:jc w:val="both"/>
              <w:rPr>
                <w:sz w:val="24"/>
                <w:szCs w:val="24"/>
              </w:rPr>
            </w:pPr>
            <w:r>
              <w:rPr>
                <w:sz w:val="24"/>
                <w:szCs w:val="24"/>
              </w:rPr>
              <w:t>3.79</w:t>
            </w:r>
          </w:p>
        </w:tc>
        <w:tc>
          <w:tcPr>
            <w:tcW w:w="1420" w:type="dxa"/>
            <w:tcBorders>
              <w:top w:val="nil"/>
              <w:left w:val="nil"/>
              <w:bottom w:val="nil"/>
              <w:right w:val="nil"/>
            </w:tcBorders>
            <w:tcMar>
              <w:top w:w="100" w:type="dxa"/>
              <w:left w:w="100" w:type="dxa"/>
              <w:bottom w:w="100" w:type="dxa"/>
              <w:right w:w="100" w:type="dxa"/>
            </w:tcMar>
          </w:tcPr>
          <w:p w14:paraId="47F1E0CE" w14:textId="77777777" w:rsidR="00FD08C3" w:rsidRDefault="00D135DF">
            <w:pPr>
              <w:jc w:val="both"/>
              <w:rPr>
                <w:sz w:val="24"/>
                <w:szCs w:val="24"/>
              </w:rPr>
            </w:pPr>
            <w:r>
              <w:rPr>
                <w:sz w:val="24"/>
                <w:szCs w:val="24"/>
              </w:rPr>
              <w:t>0.026</w:t>
            </w:r>
          </w:p>
        </w:tc>
        <w:tc>
          <w:tcPr>
            <w:tcW w:w="960" w:type="dxa"/>
            <w:tcBorders>
              <w:top w:val="nil"/>
              <w:left w:val="nil"/>
              <w:bottom w:val="nil"/>
              <w:right w:val="nil"/>
            </w:tcBorders>
            <w:tcMar>
              <w:top w:w="100" w:type="dxa"/>
              <w:left w:w="100" w:type="dxa"/>
              <w:bottom w:w="100" w:type="dxa"/>
              <w:right w:w="100" w:type="dxa"/>
            </w:tcMar>
          </w:tcPr>
          <w:p w14:paraId="254A153B" w14:textId="77777777" w:rsidR="00FD08C3" w:rsidRDefault="00D135DF">
            <w:pPr>
              <w:jc w:val="both"/>
              <w:rPr>
                <w:sz w:val="24"/>
                <w:szCs w:val="24"/>
              </w:rPr>
            </w:pPr>
            <w:r>
              <w:rPr>
                <w:sz w:val="24"/>
                <w:szCs w:val="24"/>
              </w:rPr>
              <w:t>SS</w:t>
            </w:r>
          </w:p>
        </w:tc>
      </w:tr>
      <w:tr w:rsidR="00FD08C3" w14:paraId="74E9C52B" w14:textId="77777777">
        <w:trPr>
          <w:trHeight w:val="515"/>
        </w:trPr>
        <w:tc>
          <w:tcPr>
            <w:tcW w:w="2020" w:type="dxa"/>
            <w:tcBorders>
              <w:top w:val="nil"/>
              <w:left w:val="nil"/>
              <w:bottom w:val="nil"/>
              <w:right w:val="nil"/>
            </w:tcBorders>
            <w:tcMar>
              <w:top w:w="100" w:type="dxa"/>
              <w:left w:w="100" w:type="dxa"/>
              <w:bottom w:w="100" w:type="dxa"/>
              <w:right w:w="100" w:type="dxa"/>
            </w:tcMar>
          </w:tcPr>
          <w:p w14:paraId="4AA59EBC" w14:textId="77777777" w:rsidR="00FD08C3" w:rsidRDefault="00D135DF">
            <w:pPr>
              <w:jc w:val="both"/>
              <w:rPr>
                <w:sz w:val="24"/>
                <w:szCs w:val="24"/>
              </w:rPr>
            </w:pPr>
            <w:r>
              <w:rPr>
                <w:sz w:val="24"/>
                <w:szCs w:val="24"/>
              </w:rPr>
              <w:t>Urea (mmol/L)</w:t>
            </w:r>
          </w:p>
        </w:tc>
        <w:tc>
          <w:tcPr>
            <w:tcW w:w="1900" w:type="dxa"/>
            <w:tcBorders>
              <w:top w:val="nil"/>
              <w:left w:val="nil"/>
              <w:bottom w:val="nil"/>
              <w:right w:val="nil"/>
            </w:tcBorders>
            <w:tcMar>
              <w:top w:w="100" w:type="dxa"/>
              <w:left w:w="100" w:type="dxa"/>
              <w:bottom w:w="100" w:type="dxa"/>
              <w:right w:w="100" w:type="dxa"/>
            </w:tcMar>
          </w:tcPr>
          <w:p w14:paraId="4EC775A7" w14:textId="77777777" w:rsidR="00FD08C3" w:rsidRDefault="00D135DF">
            <w:pPr>
              <w:jc w:val="both"/>
              <w:rPr>
                <w:sz w:val="24"/>
                <w:szCs w:val="24"/>
              </w:rPr>
            </w:pPr>
            <w:r>
              <w:rPr>
                <w:sz w:val="24"/>
                <w:szCs w:val="24"/>
              </w:rPr>
              <w:t>5.55 ± 0.97</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54F95BF6" w14:textId="77777777" w:rsidR="00FD08C3" w:rsidRDefault="00D135DF">
            <w:pPr>
              <w:jc w:val="both"/>
              <w:rPr>
                <w:sz w:val="24"/>
                <w:szCs w:val="24"/>
              </w:rPr>
            </w:pPr>
            <w:r>
              <w:rPr>
                <w:sz w:val="24"/>
                <w:szCs w:val="24"/>
              </w:rPr>
              <w:t>5.52 ± 0.89</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7D49D377" w14:textId="77777777" w:rsidR="00FD08C3" w:rsidRDefault="00D135DF">
            <w:pPr>
              <w:jc w:val="both"/>
              <w:rPr>
                <w:sz w:val="24"/>
                <w:szCs w:val="24"/>
              </w:rPr>
            </w:pPr>
            <w:r>
              <w:rPr>
                <w:sz w:val="24"/>
                <w:szCs w:val="24"/>
              </w:rPr>
              <w:t>5.57 ± 0.75</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14427A0A" w14:textId="77777777" w:rsidR="00FD08C3" w:rsidRDefault="00D135DF">
            <w:pPr>
              <w:jc w:val="both"/>
              <w:rPr>
                <w:sz w:val="24"/>
                <w:szCs w:val="24"/>
              </w:rPr>
            </w:pPr>
            <w:r>
              <w:rPr>
                <w:sz w:val="24"/>
                <w:szCs w:val="24"/>
              </w:rPr>
              <w:t>0.03</w:t>
            </w:r>
          </w:p>
        </w:tc>
        <w:tc>
          <w:tcPr>
            <w:tcW w:w="1420" w:type="dxa"/>
            <w:tcBorders>
              <w:top w:val="nil"/>
              <w:left w:val="nil"/>
              <w:bottom w:val="nil"/>
              <w:right w:val="nil"/>
            </w:tcBorders>
            <w:tcMar>
              <w:top w:w="100" w:type="dxa"/>
              <w:left w:w="100" w:type="dxa"/>
              <w:bottom w:w="100" w:type="dxa"/>
              <w:right w:w="100" w:type="dxa"/>
            </w:tcMar>
          </w:tcPr>
          <w:p w14:paraId="55508435" w14:textId="77777777" w:rsidR="00FD08C3" w:rsidRDefault="00D135DF">
            <w:pPr>
              <w:jc w:val="both"/>
              <w:rPr>
                <w:sz w:val="24"/>
                <w:szCs w:val="24"/>
              </w:rPr>
            </w:pPr>
            <w:r>
              <w:rPr>
                <w:sz w:val="24"/>
                <w:szCs w:val="24"/>
              </w:rPr>
              <w:t>0.974</w:t>
            </w:r>
          </w:p>
        </w:tc>
        <w:tc>
          <w:tcPr>
            <w:tcW w:w="960" w:type="dxa"/>
            <w:tcBorders>
              <w:top w:val="nil"/>
              <w:left w:val="nil"/>
              <w:bottom w:val="nil"/>
              <w:right w:val="nil"/>
            </w:tcBorders>
            <w:tcMar>
              <w:top w:w="100" w:type="dxa"/>
              <w:left w:w="100" w:type="dxa"/>
              <w:bottom w:w="100" w:type="dxa"/>
              <w:right w:w="100" w:type="dxa"/>
            </w:tcMar>
          </w:tcPr>
          <w:p w14:paraId="0CECD666" w14:textId="77777777" w:rsidR="00FD08C3" w:rsidRDefault="00D135DF">
            <w:pPr>
              <w:jc w:val="both"/>
              <w:rPr>
                <w:sz w:val="24"/>
                <w:szCs w:val="24"/>
              </w:rPr>
            </w:pPr>
            <w:r>
              <w:rPr>
                <w:sz w:val="24"/>
                <w:szCs w:val="24"/>
              </w:rPr>
              <w:t>NS</w:t>
            </w:r>
          </w:p>
        </w:tc>
      </w:tr>
      <w:tr w:rsidR="00FD08C3" w14:paraId="7F3B4B3E" w14:textId="77777777">
        <w:trPr>
          <w:trHeight w:val="515"/>
        </w:trPr>
        <w:tc>
          <w:tcPr>
            <w:tcW w:w="2020" w:type="dxa"/>
            <w:tcBorders>
              <w:top w:val="nil"/>
              <w:left w:val="nil"/>
              <w:bottom w:val="nil"/>
              <w:right w:val="nil"/>
            </w:tcBorders>
            <w:tcMar>
              <w:top w:w="100" w:type="dxa"/>
              <w:left w:w="100" w:type="dxa"/>
              <w:bottom w:w="100" w:type="dxa"/>
              <w:right w:w="100" w:type="dxa"/>
            </w:tcMar>
          </w:tcPr>
          <w:p w14:paraId="473DF2B7" w14:textId="77777777" w:rsidR="00FD08C3" w:rsidRDefault="00D135DF">
            <w:pPr>
              <w:jc w:val="both"/>
              <w:rPr>
                <w:sz w:val="24"/>
                <w:szCs w:val="24"/>
              </w:rPr>
            </w:pPr>
            <w:r>
              <w:rPr>
                <w:sz w:val="24"/>
                <w:szCs w:val="24"/>
              </w:rPr>
              <w:lastRenderedPageBreak/>
              <w:t>Sodium (mmol/L)</w:t>
            </w:r>
          </w:p>
        </w:tc>
        <w:tc>
          <w:tcPr>
            <w:tcW w:w="1900" w:type="dxa"/>
            <w:tcBorders>
              <w:top w:val="nil"/>
              <w:left w:val="nil"/>
              <w:bottom w:val="nil"/>
              <w:right w:val="nil"/>
            </w:tcBorders>
            <w:tcMar>
              <w:top w:w="100" w:type="dxa"/>
              <w:left w:w="100" w:type="dxa"/>
              <w:bottom w:w="100" w:type="dxa"/>
              <w:right w:w="100" w:type="dxa"/>
            </w:tcMar>
          </w:tcPr>
          <w:p w14:paraId="2E952621" w14:textId="77777777" w:rsidR="00FD08C3" w:rsidRDefault="00D135DF">
            <w:pPr>
              <w:jc w:val="both"/>
              <w:rPr>
                <w:sz w:val="24"/>
                <w:szCs w:val="24"/>
              </w:rPr>
            </w:pPr>
            <w:r>
              <w:rPr>
                <w:sz w:val="24"/>
                <w:szCs w:val="24"/>
              </w:rPr>
              <w:t>135.65 ± 4.87</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2AE49D0D" w14:textId="77777777" w:rsidR="00FD08C3" w:rsidRDefault="00D135DF">
            <w:pPr>
              <w:jc w:val="both"/>
              <w:rPr>
                <w:sz w:val="24"/>
                <w:szCs w:val="24"/>
              </w:rPr>
            </w:pPr>
            <w:r>
              <w:rPr>
                <w:sz w:val="24"/>
                <w:szCs w:val="24"/>
              </w:rPr>
              <w:t>135.38 ± 4.31</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1F69C621" w14:textId="77777777" w:rsidR="00FD08C3" w:rsidRDefault="00D135DF">
            <w:pPr>
              <w:jc w:val="both"/>
              <w:rPr>
                <w:sz w:val="24"/>
                <w:szCs w:val="24"/>
              </w:rPr>
            </w:pPr>
            <w:r>
              <w:rPr>
                <w:sz w:val="24"/>
                <w:szCs w:val="24"/>
              </w:rPr>
              <w:t>136.53 ± 5.93</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37E2A1A0" w14:textId="77777777" w:rsidR="00FD08C3" w:rsidRDefault="00D135DF">
            <w:pPr>
              <w:jc w:val="both"/>
              <w:rPr>
                <w:sz w:val="24"/>
                <w:szCs w:val="24"/>
              </w:rPr>
            </w:pPr>
            <w:r>
              <w:rPr>
                <w:sz w:val="24"/>
                <w:szCs w:val="24"/>
              </w:rPr>
              <w:t>0.42</w:t>
            </w:r>
          </w:p>
        </w:tc>
        <w:tc>
          <w:tcPr>
            <w:tcW w:w="1420" w:type="dxa"/>
            <w:tcBorders>
              <w:top w:val="nil"/>
              <w:left w:val="nil"/>
              <w:bottom w:val="nil"/>
              <w:right w:val="nil"/>
            </w:tcBorders>
            <w:tcMar>
              <w:top w:w="100" w:type="dxa"/>
              <w:left w:w="100" w:type="dxa"/>
              <w:bottom w:w="100" w:type="dxa"/>
              <w:right w:w="100" w:type="dxa"/>
            </w:tcMar>
          </w:tcPr>
          <w:p w14:paraId="0C5F5577" w14:textId="77777777" w:rsidR="00FD08C3" w:rsidRDefault="00D135DF">
            <w:pPr>
              <w:jc w:val="both"/>
              <w:rPr>
                <w:sz w:val="24"/>
                <w:szCs w:val="24"/>
              </w:rPr>
            </w:pPr>
            <w:r>
              <w:rPr>
                <w:sz w:val="24"/>
                <w:szCs w:val="24"/>
              </w:rPr>
              <w:t>0.656</w:t>
            </w:r>
          </w:p>
        </w:tc>
        <w:tc>
          <w:tcPr>
            <w:tcW w:w="960" w:type="dxa"/>
            <w:tcBorders>
              <w:top w:val="nil"/>
              <w:left w:val="nil"/>
              <w:bottom w:val="nil"/>
              <w:right w:val="nil"/>
            </w:tcBorders>
            <w:tcMar>
              <w:top w:w="100" w:type="dxa"/>
              <w:left w:w="100" w:type="dxa"/>
              <w:bottom w:w="100" w:type="dxa"/>
              <w:right w:w="100" w:type="dxa"/>
            </w:tcMar>
          </w:tcPr>
          <w:p w14:paraId="405E5DA5" w14:textId="77777777" w:rsidR="00FD08C3" w:rsidRDefault="00D135DF">
            <w:pPr>
              <w:jc w:val="both"/>
              <w:rPr>
                <w:sz w:val="24"/>
                <w:szCs w:val="24"/>
              </w:rPr>
            </w:pPr>
            <w:r>
              <w:rPr>
                <w:sz w:val="24"/>
                <w:szCs w:val="24"/>
              </w:rPr>
              <w:t>NS</w:t>
            </w:r>
          </w:p>
        </w:tc>
      </w:tr>
      <w:tr w:rsidR="00FD08C3" w14:paraId="3D46D184" w14:textId="77777777">
        <w:trPr>
          <w:trHeight w:val="615"/>
        </w:trPr>
        <w:tc>
          <w:tcPr>
            <w:tcW w:w="2020" w:type="dxa"/>
            <w:tcBorders>
              <w:top w:val="nil"/>
              <w:left w:val="nil"/>
              <w:bottom w:val="nil"/>
              <w:right w:val="nil"/>
            </w:tcBorders>
            <w:tcMar>
              <w:top w:w="100" w:type="dxa"/>
              <w:left w:w="100" w:type="dxa"/>
              <w:bottom w:w="100" w:type="dxa"/>
              <w:right w:w="100" w:type="dxa"/>
            </w:tcMar>
          </w:tcPr>
          <w:p w14:paraId="20C29498" w14:textId="77777777" w:rsidR="00FD08C3" w:rsidRDefault="00D135DF">
            <w:pPr>
              <w:jc w:val="both"/>
              <w:rPr>
                <w:sz w:val="24"/>
                <w:szCs w:val="24"/>
              </w:rPr>
            </w:pPr>
            <w:r>
              <w:rPr>
                <w:sz w:val="24"/>
                <w:szCs w:val="24"/>
              </w:rPr>
              <w:t>Potassium (mmol/L)</w:t>
            </w:r>
          </w:p>
        </w:tc>
        <w:tc>
          <w:tcPr>
            <w:tcW w:w="1900" w:type="dxa"/>
            <w:tcBorders>
              <w:top w:val="nil"/>
              <w:left w:val="nil"/>
              <w:bottom w:val="nil"/>
              <w:right w:val="nil"/>
            </w:tcBorders>
            <w:tcMar>
              <w:top w:w="100" w:type="dxa"/>
              <w:left w:w="100" w:type="dxa"/>
              <w:bottom w:w="100" w:type="dxa"/>
              <w:right w:w="100" w:type="dxa"/>
            </w:tcMar>
          </w:tcPr>
          <w:p w14:paraId="63CB437D" w14:textId="77777777" w:rsidR="00FD08C3" w:rsidRDefault="00D135DF">
            <w:pPr>
              <w:jc w:val="both"/>
              <w:rPr>
                <w:sz w:val="24"/>
                <w:szCs w:val="24"/>
              </w:rPr>
            </w:pPr>
            <w:r>
              <w:rPr>
                <w:sz w:val="24"/>
                <w:szCs w:val="24"/>
              </w:rPr>
              <w:t>5.38 ± 0.99</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07E8FC10" w14:textId="77777777" w:rsidR="00FD08C3" w:rsidRDefault="00D135DF">
            <w:pPr>
              <w:jc w:val="both"/>
              <w:rPr>
                <w:sz w:val="24"/>
                <w:szCs w:val="24"/>
              </w:rPr>
            </w:pPr>
            <w:r>
              <w:rPr>
                <w:sz w:val="24"/>
                <w:szCs w:val="24"/>
              </w:rPr>
              <w:t>5.15 ± 0.94</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101AA9A3" w14:textId="77777777" w:rsidR="00FD08C3" w:rsidRDefault="00D135DF">
            <w:pPr>
              <w:jc w:val="both"/>
              <w:rPr>
                <w:sz w:val="24"/>
                <w:szCs w:val="24"/>
              </w:rPr>
            </w:pPr>
            <w:r>
              <w:rPr>
                <w:sz w:val="24"/>
                <w:szCs w:val="24"/>
              </w:rPr>
              <w:t>5.66 ± 0.98</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69EA920D" w14:textId="77777777" w:rsidR="00FD08C3" w:rsidRDefault="00D135DF">
            <w:pPr>
              <w:jc w:val="both"/>
              <w:rPr>
                <w:sz w:val="24"/>
                <w:szCs w:val="24"/>
              </w:rPr>
            </w:pPr>
            <w:r>
              <w:rPr>
                <w:sz w:val="24"/>
                <w:szCs w:val="24"/>
              </w:rPr>
              <w:t>2.07</w:t>
            </w:r>
          </w:p>
        </w:tc>
        <w:tc>
          <w:tcPr>
            <w:tcW w:w="1420" w:type="dxa"/>
            <w:tcBorders>
              <w:top w:val="nil"/>
              <w:left w:val="nil"/>
              <w:bottom w:val="nil"/>
              <w:right w:val="nil"/>
            </w:tcBorders>
            <w:tcMar>
              <w:top w:w="100" w:type="dxa"/>
              <w:left w:w="100" w:type="dxa"/>
              <w:bottom w:w="100" w:type="dxa"/>
              <w:right w:w="100" w:type="dxa"/>
            </w:tcMar>
          </w:tcPr>
          <w:p w14:paraId="66F1F3A2" w14:textId="77777777" w:rsidR="00FD08C3" w:rsidRDefault="00D135DF">
            <w:pPr>
              <w:jc w:val="both"/>
              <w:rPr>
                <w:sz w:val="24"/>
                <w:szCs w:val="24"/>
              </w:rPr>
            </w:pPr>
            <w:r>
              <w:rPr>
                <w:sz w:val="24"/>
                <w:szCs w:val="24"/>
              </w:rPr>
              <w:t>0.132</w:t>
            </w:r>
          </w:p>
        </w:tc>
        <w:tc>
          <w:tcPr>
            <w:tcW w:w="960" w:type="dxa"/>
            <w:tcBorders>
              <w:top w:val="nil"/>
              <w:left w:val="nil"/>
              <w:bottom w:val="nil"/>
              <w:right w:val="nil"/>
            </w:tcBorders>
            <w:tcMar>
              <w:top w:w="100" w:type="dxa"/>
              <w:left w:w="100" w:type="dxa"/>
              <w:bottom w:w="100" w:type="dxa"/>
              <w:right w:w="100" w:type="dxa"/>
            </w:tcMar>
          </w:tcPr>
          <w:p w14:paraId="6B1C71CE" w14:textId="77777777" w:rsidR="00FD08C3" w:rsidRDefault="00D135DF">
            <w:pPr>
              <w:jc w:val="both"/>
              <w:rPr>
                <w:sz w:val="24"/>
                <w:szCs w:val="24"/>
              </w:rPr>
            </w:pPr>
            <w:r>
              <w:rPr>
                <w:sz w:val="24"/>
                <w:szCs w:val="24"/>
              </w:rPr>
              <w:t>NS</w:t>
            </w:r>
          </w:p>
        </w:tc>
      </w:tr>
      <w:tr w:rsidR="00FD08C3" w14:paraId="1D27F919" w14:textId="77777777">
        <w:trPr>
          <w:trHeight w:val="515"/>
        </w:trPr>
        <w:tc>
          <w:tcPr>
            <w:tcW w:w="2020" w:type="dxa"/>
            <w:tcBorders>
              <w:top w:val="nil"/>
              <w:left w:val="nil"/>
              <w:bottom w:val="nil"/>
              <w:right w:val="nil"/>
            </w:tcBorders>
            <w:tcMar>
              <w:top w:w="100" w:type="dxa"/>
              <w:left w:w="100" w:type="dxa"/>
              <w:bottom w:w="100" w:type="dxa"/>
              <w:right w:w="100" w:type="dxa"/>
            </w:tcMar>
          </w:tcPr>
          <w:p w14:paraId="60E07B29" w14:textId="77777777" w:rsidR="00FD08C3" w:rsidRDefault="00D135DF">
            <w:pPr>
              <w:jc w:val="both"/>
              <w:rPr>
                <w:sz w:val="24"/>
                <w:szCs w:val="24"/>
              </w:rPr>
            </w:pPr>
            <w:r>
              <w:rPr>
                <w:sz w:val="24"/>
                <w:szCs w:val="24"/>
              </w:rPr>
              <w:t>Chloride (mmol/L)</w:t>
            </w:r>
          </w:p>
        </w:tc>
        <w:tc>
          <w:tcPr>
            <w:tcW w:w="1900" w:type="dxa"/>
            <w:tcBorders>
              <w:top w:val="nil"/>
              <w:left w:val="nil"/>
              <w:bottom w:val="nil"/>
              <w:right w:val="nil"/>
            </w:tcBorders>
            <w:tcMar>
              <w:top w:w="100" w:type="dxa"/>
              <w:left w:w="100" w:type="dxa"/>
              <w:bottom w:w="100" w:type="dxa"/>
              <w:right w:w="100" w:type="dxa"/>
            </w:tcMar>
          </w:tcPr>
          <w:p w14:paraId="1EE1B54E" w14:textId="77777777" w:rsidR="00FD08C3" w:rsidRDefault="00D135DF">
            <w:pPr>
              <w:jc w:val="both"/>
              <w:rPr>
                <w:sz w:val="24"/>
                <w:szCs w:val="24"/>
              </w:rPr>
            </w:pPr>
            <w:r>
              <w:rPr>
                <w:sz w:val="24"/>
                <w:szCs w:val="24"/>
              </w:rPr>
              <w:t>104.12 ± 4.72</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53F529E8" w14:textId="77777777" w:rsidR="00FD08C3" w:rsidRDefault="00D135DF">
            <w:pPr>
              <w:jc w:val="both"/>
              <w:rPr>
                <w:sz w:val="24"/>
                <w:szCs w:val="24"/>
              </w:rPr>
            </w:pPr>
            <w:r>
              <w:rPr>
                <w:sz w:val="24"/>
                <w:szCs w:val="24"/>
              </w:rPr>
              <w:t>105.38 ± 5.20</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7F558870" w14:textId="77777777" w:rsidR="00FD08C3" w:rsidRDefault="00D135DF">
            <w:pPr>
              <w:jc w:val="both"/>
              <w:rPr>
                <w:sz w:val="24"/>
                <w:szCs w:val="24"/>
              </w:rPr>
            </w:pPr>
            <w:r>
              <w:rPr>
                <w:sz w:val="24"/>
                <w:szCs w:val="24"/>
              </w:rPr>
              <w:t>101.94 ± 5.80</w:t>
            </w:r>
            <w:r>
              <w:rPr>
                <w:sz w:val="24"/>
                <w:szCs w:val="24"/>
              </w:rPr>
              <w:t>ᵇ</w:t>
            </w:r>
          </w:p>
        </w:tc>
        <w:tc>
          <w:tcPr>
            <w:tcW w:w="1020" w:type="dxa"/>
            <w:tcBorders>
              <w:top w:val="nil"/>
              <w:left w:val="nil"/>
              <w:bottom w:val="nil"/>
              <w:right w:val="nil"/>
            </w:tcBorders>
            <w:tcMar>
              <w:top w:w="100" w:type="dxa"/>
              <w:left w:w="100" w:type="dxa"/>
              <w:bottom w:w="100" w:type="dxa"/>
              <w:right w:w="100" w:type="dxa"/>
            </w:tcMar>
          </w:tcPr>
          <w:p w14:paraId="0F6024C1" w14:textId="77777777" w:rsidR="00FD08C3" w:rsidRDefault="00D135DF">
            <w:pPr>
              <w:jc w:val="both"/>
              <w:rPr>
                <w:sz w:val="24"/>
                <w:szCs w:val="24"/>
              </w:rPr>
            </w:pPr>
            <w:r>
              <w:rPr>
                <w:sz w:val="24"/>
                <w:szCs w:val="24"/>
              </w:rPr>
              <w:t>3.28</w:t>
            </w:r>
          </w:p>
        </w:tc>
        <w:tc>
          <w:tcPr>
            <w:tcW w:w="1420" w:type="dxa"/>
            <w:tcBorders>
              <w:top w:val="nil"/>
              <w:left w:val="nil"/>
              <w:bottom w:val="nil"/>
              <w:right w:val="nil"/>
            </w:tcBorders>
            <w:tcMar>
              <w:top w:w="100" w:type="dxa"/>
              <w:left w:w="100" w:type="dxa"/>
              <w:bottom w:w="100" w:type="dxa"/>
              <w:right w:w="100" w:type="dxa"/>
            </w:tcMar>
          </w:tcPr>
          <w:p w14:paraId="766EC186" w14:textId="77777777" w:rsidR="00FD08C3" w:rsidRDefault="00D135DF">
            <w:pPr>
              <w:jc w:val="both"/>
              <w:rPr>
                <w:sz w:val="24"/>
                <w:szCs w:val="24"/>
              </w:rPr>
            </w:pPr>
            <w:r>
              <w:rPr>
                <w:sz w:val="24"/>
                <w:szCs w:val="24"/>
              </w:rPr>
              <w:t>0.043</w:t>
            </w:r>
          </w:p>
        </w:tc>
        <w:tc>
          <w:tcPr>
            <w:tcW w:w="960" w:type="dxa"/>
            <w:tcBorders>
              <w:top w:val="nil"/>
              <w:left w:val="nil"/>
              <w:bottom w:val="nil"/>
              <w:right w:val="nil"/>
            </w:tcBorders>
            <w:tcMar>
              <w:top w:w="100" w:type="dxa"/>
              <w:left w:w="100" w:type="dxa"/>
              <w:bottom w:w="100" w:type="dxa"/>
              <w:right w:w="100" w:type="dxa"/>
            </w:tcMar>
          </w:tcPr>
          <w:p w14:paraId="1203217A" w14:textId="77777777" w:rsidR="00FD08C3" w:rsidRDefault="00D135DF">
            <w:pPr>
              <w:jc w:val="both"/>
              <w:rPr>
                <w:sz w:val="24"/>
                <w:szCs w:val="24"/>
              </w:rPr>
            </w:pPr>
            <w:r>
              <w:rPr>
                <w:sz w:val="24"/>
                <w:szCs w:val="24"/>
              </w:rPr>
              <w:t>SS</w:t>
            </w:r>
          </w:p>
        </w:tc>
      </w:tr>
      <w:tr w:rsidR="00FD08C3" w14:paraId="1279F3EA" w14:textId="77777777">
        <w:trPr>
          <w:trHeight w:val="604"/>
        </w:trPr>
        <w:tc>
          <w:tcPr>
            <w:tcW w:w="2020" w:type="dxa"/>
            <w:tcBorders>
              <w:top w:val="nil"/>
              <w:left w:val="nil"/>
              <w:bottom w:val="nil"/>
              <w:right w:val="nil"/>
            </w:tcBorders>
            <w:tcMar>
              <w:top w:w="100" w:type="dxa"/>
              <w:left w:w="100" w:type="dxa"/>
              <w:bottom w:w="100" w:type="dxa"/>
              <w:right w:w="100" w:type="dxa"/>
            </w:tcMar>
          </w:tcPr>
          <w:p w14:paraId="218BFB44" w14:textId="77777777" w:rsidR="00FD08C3" w:rsidRDefault="00D135DF">
            <w:pPr>
              <w:jc w:val="both"/>
              <w:rPr>
                <w:sz w:val="24"/>
                <w:szCs w:val="24"/>
              </w:rPr>
            </w:pPr>
            <w:r>
              <w:rPr>
                <w:sz w:val="24"/>
                <w:szCs w:val="24"/>
              </w:rPr>
              <w:t>Bicarbonate (mmol/L)</w:t>
            </w:r>
          </w:p>
        </w:tc>
        <w:tc>
          <w:tcPr>
            <w:tcW w:w="1900" w:type="dxa"/>
            <w:tcBorders>
              <w:top w:val="nil"/>
              <w:left w:val="nil"/>
              <w:bottom w:val="nil"/>
              <w:right w:val="nil"/>
            </w:tcBorders>
            <w:tcMar>
              <w:top w:w="100" w:type="dxa"/>
              <w:left w:w="100" w:type="dxa"/>
              <w:bottom w:w="100" w:type="dxa"/>
              <w:right w:w="100" w:type="dxa"/>
            </w:tcMar>
          </w:tcPr>
          <w:p w14:paraId="1233289D" w14:textId="77777777" w:rsidR="00FD08C3" w:rsidRDefault="00D135DF">
            <w:pPr>
              <w:jc w:val="both"/>
              <w:rPr>
                <w:sz w:val="24"/>
                <w:szCs w:val="24"/>
              </w:rPr>
            </w:pPr>
            <w:r>
              <w:rPr>
                <w:sz w:val="24"/>
                <w:szCs w:val="24"/>
              </w:rPr>
              <w:t>24.16 ± 1.71</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4FA9B865" w14:textId="77777777" w:rsidR="00FD08C3" w:rsidRDefault="00D135DF">
            <w:pPr>
              <w:jc w:val="both"/>
              <w:rPr>
                <w:sz w:val="24"/>
                <w:szCs w:val="24"/>
              </w:rPr>
            </w:pPr>
            <w:r>
              <w:rPr>
                <w:sz w:val="24"/>
                <w:szCs w:val="24"/>
              </w:rPr>
              <w:t>24.11 ± 1.70</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3D13DEB9" w14:textId="77777777" w:rsidR="00FD08C3" w:rsidRDefault="00D135DF">
            <w:pPr>
              <w:jc w:val="both"/>
              <w:rPr>
                <w:sz w:val="24"/>
                <w:szCs w:val="24"/>
              </w:rPr>
            </w:pPr>
            <w:r>
              <w:rPr>
                <w:sz w:val="24"/>
                <w:szCs w:val="24"/>
              </w:rPr>
              <w:t>24.25 ± 1.68</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3E54257D" w14:textId="77777777" w:rsidR="00FD08C3" w:rsidRDefault="00D135DF">
            <w:pPr>
              <w:jc w:val="both"/>
              <w:rPr>
                <w:sz w:val="24"/>
                <w:szCs w:val="24"/>
              </w:rPr>
            </w:pPr>
            <w:r>
              <w:rPr>
                <w:sz w:val="24"/>
                <w:szCs w:val="24"/>
              </w:rPr>
              <w:t>0.05</w:t>
            </w:r>
          </w:p>
        </w:tc>
        <w:tc>
          <w:tcPr>
            <w:tcW w:w="1420" w:type="dxa"/>
            <w:tcBorders>
              <w:top w:val="nil"/>
              <w:left w:val="nil"/>
              <w:bottom w:val="nil"/>
              <w:right w:val="nil"/>
            </w:tcBorders>
            <w:tcMar>
              <w:top w:w="100" w:type="dxa"/>
              <w:left w:w="100" w:type="dxa"/>
              <w:bottom w:w="100" w:type="dxa"/>
              <w:right w:w="100" w:type="dxa"/>
            </w:tcMar>
          </w:tcPr>
          <w:p w14:paraId="3D2F14C9" w14:textId="77777777" w:rsidR="00FD08C3" w:rsidRDefault="00D135DF">
            <w:pPr>
              <w:jc w:val="both"/>
              <w:rPr>
                <w:sz w:val="24"/>
                <w:szCs w:val="24"/>
              </w:rPr>
            </w:pPr>
            <w:r>
              <w:rPr>
                <w:sz w:val="24"/>
                <w:szCs w:val="24"/>
              </w:rPr>
              <w:t>0.951</w:t>
            </w:r>
          </w:p>
        </w:tc>
        <w:tc>
          <w:tcPr>
            <w:tcW w:w="960" w:type="dxa"/>
            <w:tcBorders>
              <w:top w:val="nil"/>
              <w:left w:val="nil"/>
              <w:bottom w:val="nil"/>
              <w:right w:val="nil"/>
            </w:tcBorders>
            <w:tcMar>
              <w:top w:w="100" w:type="dxa"/>
              <w:left w:w="100" w:type="dxa"/>
              <w:bottom w:w="100" w:type="dxa"/>
              <w:right w:w="100" w:type="dxa"/>
            </w:tcMar>
          </w:tcPr>
          <w:p w14:paraId="523D3DD5" w14:textId="77777777" w:rsidR="00FD08C3" w:rsidRDefault="00D135DF">
            <w:pPr>
              <w:jc w:val="both"/>
              <w:rPr>
                <w:sz w:val="24"/>
                <w:szCs w:val="24"/>
              </w:rPr>
            </w:pPr>
            <w:r>
              <w:rPr>
                <w:sz w:val="24"/>
                <w:szCs w:val="24"/>
              </w:rPr>
              <w:t>NS</w:t>
            </w:r>
          </w:p>
        </w:tc>
      </w:tr>
      <w:tr w:rsidR="00FD08C3" w14:paraId="11CC288E" w14:textId="77777777">
        <w:trPr>
          <w:trHeight w:val="515"/>
        </w:trPr>
        <w:tc>
          <w:tcPr>
            <w:tcW w:w="2020" w:type="dxa"/>
            <w:tcBorders>
              <w:top w:val="nil"/>
              <w:left w:val="nil"/>
              <w:bottom w:val="nil"/>
              <w:right w:val="nil"/>
            </w:tcBorders>
            <w:tcMar>
              <w:top w:w="100" w:type="dxa"/>
              <w:left w:w="100" w:type="dxa"/>
              <w:bottom w:w="100" w:type="dxa"/>
              <w:right w:w="100" w:type="dxa"/>
            </w:tcMar>
          </w:tcPr>
          <w:p w14:paraId="6B8F222F" w14:textId="77777777" w:rsidR="00FD08C3" w:rsidRDefault="00D135DF">
            <w:pPr>
              <w:jc w:val="both"/>
              <w:rPr>
                <w:sz w:val="24"/>
                <w:szCs w:val="24"/>
              </w:rPr>
            </w:pPr>
            <w:r>
              <w:rPr>
                <w:sz w:val="24"/>
                <w:szCs w:val="24"/>
              </w:rPr>
              <w:t>Uric Acid (mmol/L)</w:t>
            </w:r>
          </w:p>
        </w:tc>
        <w:tc>
          <w:tcPr>
            <w:tcW w:w="1900" w:type="dxa"/>
            <w:tcBorders>
              <w:top w:val="nil"/>
              <w:left w:val="nil"/>
              <w:bottom w:val="nil"/>
              <w:right w:val="nil"/>
            </w:tcBorders>
            <w:tcMar>
              <w:top w:w="100" w:type="dxa"/>
              <w:left w:w="100" w:type="dxa"/>
              <w:bottom w:w="100" w:type="dxa"/>
              <w:right w:w="100" w:type="dxa"/>
            </w:tcMar>
          </w:tcPr>
          <w:p w14:paraId="6D1F5E88" w14:textId="77777777" w:rsidR="00FD08C3" w:rsidRDefault="00D135DF">
            <w:pPr>
              <w:jc w:val="both"/>
              <w:rPr>
                <w:sz w:val="24"/>
                <w:szCs w:val="24"/>
              </w:rPr>
            </w:pPr>
            <w:r>
              <w:rPr>
                <w:sz w:val="24"/>
                <w:szCs w:val="24"/>
              </w:rPr>
              <w:t>7.33 ± 0.36</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677A722D" w14:textId="77777777" w:rsidR="00FD08C3" w:rsidRDefault="00D135DF">
            <w:pPr>
              <w:jc w:val="both"/>
              <w:rPr>
                <w:sz w:val="24"/>
                <w:szCs w:val="24"/>
              </w:rPr>
            </w:pPr>
            <w:r>
              <w:rPr>
                <w:sz w:val="24"/>
                <w:szCs w:val="24"/>
              </w:rPr>
              <w:t>7.34 ± 0.42</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5F7B2267" w14:textId="77777777" w:rsidR="00FD08C3" w:rsidRDefault="00D135DF">
            <w:pPr>
              <w:jc w:val="both"/>
              <w:rPr>
                <w:sz w:val="24"/>
                <w:szCs w:val="24"/>
              </w:rPr>
            </w:pPr>
            <w:r>
              <w:rPr>
                <w:sz w:val="24"/>
                <w:szCs w:val="24"/>
              </w:rPr>
              <w:t>7.29 ± 0.42</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11E3C581" w14:textId="77777777" w:rsidR="00FD08C3" w:rsidRDefault="00D135DF">
            <w:pPr>
              <w:jc w:val="both"/>
              <w:rPr>
                <w:sz w:val="24"/>
                <w:szCs w:val="24"/>
              </w:rPr>
            </w:pPr>
            <w:r>
              <w:rPr>
                <w:sz w:val="24"/>
                <w:szCs w:val="24"/>
              </w:rPr>
              <w:t>0.16</w:t>
            </w:r>
          </w:p>
        </w:tc>
        <w:tc>
          <w:tcPr>
            <w:tcW w:w="1420" w:type="dxa"/>
            <w:tcBorders>
              <w:top w:val="nil"/>
              <w:left w:val="nil"/>
              <w:bottom w:val="nil"/>
              <w:right w:val="nil"/>
            </w:tcBorders>
            <w:tcMar>
              <w:top w:w="100" w:type="dxa"/>
              <w:left w:w="100" w:type="dxa"/>
              <w:bottom w:w="100" w:type="dxa"/>
              <w:right w:w="100" w:type="dxa"/>
            </w:tcMar>
          </w:tcPr>
          <w:p w14:paraId="6A1C918B" w14:textId="77777777" w:rsidR="00FD08C3" w:rsidRDefault="00D135DF">
            <w:pPr>
              <w:jc w:val="both"/>
              <w:rPr>
                <w:sz w:val="24"/>
                <w:szCs w:val="24"/>
              </w:rPr>
            </w:pPr>
            <w:r>
              <w:rPr>
                <w:sz w:val="24"/>
                <w:szCs w:val="24"/>
              </w:rPr>
              <w:t>0.853</w:t>
            </w:r>
          </w:p>
        </w:tc>
        <w:tc>
          <w:tcPr>
            <w:tcW w:w="960" w:type="dxa"/>
            <w:tcBorders>
              <w:top w:val="nil"/>
              <w:left w:val="nil"/>
              <w:bottom w:val="nil"/>
              <w:right w:val="nil"/>
            </w:tcBorders>
            <w:tcMar>
              <w:top w:w="100" w:type="dxa"/>
              <w:left w:w="100" w:type="dxa"/>
              <w:bottom w:w="100" w:type="dxa"/>
              <w:right w:w="100" w:type="dxa"/>
            </w:tcMar>
          </w:tcPr>
          <w:p w14:paraId="65087DBA" w14:textId="77777777" w:rsidR="00FD08C3" w:rsidRDefault="00D135DF">
            <w:pPr>
              <w:jc w:val="both"/>
              <w:rPr>
                <w:sz w:val="24"/>
                <w:szCs w:val="24"/>
              </w:rPr>
            </w:pPr>
            <w:r>
              <w:rPr>
                <w:sz w:val="24"/>
                <w:szCs w:val="24"/>
              </w:rPr>
              <w:t>NS</w:t>
            </w:r>
          </w:p>
        </w:tc>
      </w:tr>
      <w:tr w:rsidR="00FD08C3" w14:paraId="3FCCE527" w14:textId="77777777">
        <w:trPr>
          <w:trHeight w:val="664"/>
        </w:trPr>
        <w:tc>
          <w:tcPr>
            <w:tcW w:w="2020" w:type="dxa"/>
            <w:tcBorders>
              <w:top w:val="nil"/>
              <w:left w:val="nil"/>
              <w:bottom w:val="nil"/>
              <w:right w:val="nil"/>
            </w:tcBorders>
            <w:tcMar>
              <w:top w:w="100" w:type="dxa"/>
              <w:left w:w="100" w:type="dxa"/>
              <w:bottom w:w="100" w:type="dxa"/>
              <w:right w:w="100" w:type="dxa"/>
            </w:tcMar>
          </w:tcPr>
          <w:p w14:paraId="603C9D36" w14:textId="77777777" w:rsidR="00FD08C3" w:rsidRDefault="00D135DF">
            <w:pPr>
              <w:jc w:val="both"/>
              <w:rPr>
                <w:sz w:val="24"/>
                <w:szCs w:val="24"/>
              </w:rPr>
            </w:pPr>
            <w:r>
              <w:rPr>
                <w:sz w:val="24"/>
                <w:szCs w:val="24"/>
              </w:rPr>
              <w:t>Uric Acid/Creatinine Ratio</w:t>
            </w:r>
          </w:p>
        </w:tc>
        <w:tc>
          <w:tcPr>
            <w:tcW w:w="1900" w:type="dxa"/>
            <w:tcBorders>
              <w:top w:val="nil"/>
              <w:left w:val="nil"/>
              <w:bottom w:val="nil"/>
              <w:right w:val="nil"/>
            </w:tcBorders>
            <w:tcMar>
              <w:top w:w="100" w:type="dxa"/>
              <w:left w:w="100" w:type="dxa"/>
              <w:bottom w:w="100" w:type="dxa"/>
              <w:right w:w="100" w:type="dxa"/>
            </w:tcMar>
          </w:tcPr>
          <w:p w14:paraId="1068015A" w14:textId="77777777" w:rsidR="00FD08C3" w:rsidRDefault="00D135DF">
            <w:pPr>
              <w:jc w:val="both"/>
              <w:rPr>
                <w:sz w:val="24"/>
                <w:szCs w:val="24"/>
              </w:rPr>
            </w:pPr>
            <w:r>
              <w:rPr>
                <w:sz w:val="24"/>
                <w:szCs w:val="24"/>
              </w:rPr>
              <w:t>101.03 ± 16.47</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0108A048" w14:textId="77777777" w:rsidR="00FD08C3" w:rsidRDefault="00D135DF">
            <w:pPr>
              <w:jc w:val="both"/>
              <w:rPr>
                <w:sz w:val="24"/>
                <w:szCs w:val="24"/>
              </w:rPr>
            </w:pPr>
            <w:r>
              <w:rPr>
                <w:sz w:val="24"/>
                <w:szCs w:val="24"/>
              </w:rPr>
              <w:t>102.74 ± 15.28</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42F9A1AE" w14:textId="77777777" w:rsidR="00FD08C3" w:rsidRDefault="00D135DF">
            <w:pPr>
              <w:jc w:val="both"/>
              <w:rPr>
                <w:sz w:val="24"/>
                <w:szCs w:val="24"/>
              </w:rPr>
            </w:pPr>
            <w:r>
              <w:rPr>
                <w:sz w:val="24"/>
                <w:szCs w:val="24"/>
              </w:rPr>
              <w:t>93.22 ± 18.24</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7DBC5A8A" w14:textId="77777777" w:rsidR="00FD08C3" w:rsidRDefault="00D135DF">
            <w:pPr>
              <w:jc w:val="both"/>
              <w:rPr>
                <w:sz w:val="24"/>
                <w:szCs w:val="24"/>
              </w:rPr>
            </w:pPr>
            <w:r>
              <w:rPr>
                <w:sz w:val="24"/>
                <w:szCs w:val="24"/>
              </w:rPr>
              <w:t>2.77</w:t>
            </w:r>
          </w:p>
        </w:tc>
        <w:tc>
          <w:tcPr>
            <w:tcW w:w="1420" w:type="dxa"/>
            <w:tcBorders>
              <w:top w:val="nil"/>
              <w:left w:val="nil"/>
              <w:bottom w:val="nil"/>
              <w:right w:val="nil"/>
            </w:tcBorders>
            <w:tcMar>
              <w:top w:w="100" w:type="dxa"/>
              <w:left w:w="100" w:type="dxa"/>
              <w:bottom w:w="100" w:type="dxa"/>
              <w:right w:w="100" w:type="dxa"/>
            </w:tcMar>
          </w:tcPr>
          <w:p w14:paraId="3DEA4CA1" w14:textId="77777777" w:rsidR="00FD08C3" w:rsidRDefault="00D135DF">
            <w:pPr>
              <w:jc w:val="both"/>
              <w:rPr>
                <w:sz w:val="24"/>
                <w:szCs w:val="24"/>
              </w:rPr>
            </w:pPr>
            <w:r>
              <w:rPr>
                <w:sz w:val="24"/>
                <w:szCs w:val="24"/>
              </w:rPr>
              <w:t>0.068</w:t>
            </w:r>
          </w:p>
        </w:tc>
        <w:tc>
          <w:tcPr>
            <w:tcW w:w="960" w:type="dxa"/>
            <w:tcBorders>
              <w:top w:val="nil"/>
              <w:left w:val="nil"/>
              <w:bottom w:val="nil"/>
              <w:right w:val="nil"/>
            </w:tcBorders>
            <w:tcMar>
              <w:top w:w="100" w:type="dxa"/>
              <w:left w:w="100" w:type="dxa"/>
              <w:bottom w:w="100" w:type="dxa"/>
              <w:right w:w="100" w:type="dxa"/>
            </w:tcMar>
          </w:tcPr>
          <w:p w14:paraId="608A96ED" w14:textId="77777777" w:rsidR="00FD08C3" w:rsidRDefault="00D135DF">
            <w:pPr>
              <w:jc w:val="both"/>
              <w:rPr>
                <w:sz w:val="24"/>
                <w:szCs w:val="24"/>
              </w:rPr>
            </w:pPr>
            <w:r>
              <w:rPr>
                <w:sz w:val="24"/>
                <w:szCs w:val="24"/>
              </w:rPr>
              <w:t>NS</w:t>
            </w:r>
          </w:p>
        </w:tc>
      </w:tr>
      <w:tr w:rsidR="00FD08C3" w14:paraId="2926D6DE" w14:textId="77777777">
        <w:trPr>
          <w:trHeight w:val="800"/>
        </w:trPr>
        <w:tc>
          <w:tcPr>
            <w:tcW w:w="2020" w:type="dxa"/>
            <w:tcBorders>
              <w:top w:val="nil"/>
              <w:left w:val="nil"/>
              <w:bottom w:val="nil"/>
              <w:right w:val="nil"/>
            </w:tcBorders>
            <w:tcMar>
              <w:top w:w="100" w:type="dxa"/>
              <w:left w:w="100" w:type="dxa"/>
              <w:bottom w:w="100" w:type="dxa"/>
              <w:right w:w="100" w:type="dxa"/>
            </w:tcMar>
          </w:tcPr>
          <w:p w14:paraId="327FE7F4" w14:textId="77777777" w:rsidR="00FD08C3" w:rsidRDefault="00D135DF">
            <w:pPr>
              <w:jc w:val="both"/>
              <w:rPr>
                <w:sz w:val="24"/>
                <w:szCs w:val="24"/>
              </w:rPr>
            </w:pPr>
            <w:r>
              <w:rPr>
                <w:sz w:val="24"/>
                <w:szCs w:val="24"/>
              </w:rPr>
              <w:t xml:space="preserve">Urea/Creatinine </w:t>
            </w:r>
            <w:r>
              <w:rPr>
                <w:sz w:val="24"/>
                <w:szCs w:val="24"/>
              </w:rPr>
              <w:t>Ratio</w:t>
            </w:r>
          </w:p>
        </w:tc>
        <w:tc>
          <w:tcPr>
            <w:tcW w:w="1900" w:type="dxa"/>
            <w:tcBorders>
              <w:top w:val="nil"/>
              <w:left w:val="nil"/>
              <w:bottom w:val="nil"/>
              <w:right w:val="nil"/>
            </w:tcBorders>
            <w:tcMar>
              <w:top w:w="100" w:type="dxa"/>
              <w:left w:w="100" w:type="dxa"/>
              <w:bottom w:w="100" w:type="dxa"/>
              <w:right w:w="100" w:type="dxa"/>
            </w:tcMar>
          </w:tcPr>
          <w:p w14:paraId="6FF24CDC" w14:textId="77777777" w:rsidR="00FD08C3" w:rsidRDefault="00D135DF">
            <w:pPr>
              <w:jc w:val="both"/>
              <w:rPr>
                <w:sz w:val="24"/>
                <w:szCs w:val="24"/>
              </w:rPr>
            </w:pPr>
            <w:r>
              <w:rPr>
                <w:sz w:val="24"/>
                <w:szCs w:val="24"/>
              </w:rPr>
              <w:t>76.70 ± 18.94</w:t>
            </w:r>
            <w:r>
              <w:rPr>
                <w:sz w:val="24"/>
                <w:szCs w:val="24"/>
              </w:rPr>
              <w:t>ᵃ</w:t>
            </w:r>
          </w:p>
        </w:tc>
        <w:tc>
          <w:tcPr>
            <w:tcW w:w="1800" w:type="dxa"/>
            <w:tcBorders>
              <w:top w:val="nil"/>
              <w:left w:val="nil"/>
              <w:bottom w:val="nil"/>
              <w:right w:val="nil"/>
            </w:tcBorders>
            <w:tcMar>
              <w:top w:w="100" w:type="dxa"/>
              <w:left w:w="100" w:type="dxa"/>
              <w:bottom w:w="100" w:type="dxa"/>
              <w:right w:w="100" w:type="dxa"/>
            </w:tcMar>
          </w:tcPr>
          <w:p w14:paraId="3D7B903A" w14:textId="77777777" w:rsidR="00FD08C3" w:rsidRDefault="00D135DF">
            <w:pPr>
              <w:jc w:val="both"/>
              <w:rPr>
                <w:sz w:val="24"/>
                <w:szCs w:val="24"/>
              </w:rPr>
            </w:pPr>
            <w:r>
              <w:rPr>
                <w:sz w:val="24"/>
                <w:szCs w:val="24"/>
              </w:rPr>
              <w:t>77.57 ± 18.12</w:t>
            </w:r>
            <w:r>
              <w:rPr>
                <w:sz w:val="24"/>
                <w:szCs w:val="24"/>
              </w:rPr>
              <w:t>ᵃ</w:t>
            </w:r>
          </w:p>
        </w:tc>
        <w:tc>
          <w:tcPr>
            <w:tcW w:w="1680" w:type="dxa"/>
            <w:tcBorders>
              <w:top w:val="nil"/>
              <w:left w:val="nil"/>
              <w:bottom w:val="nil"/>
              <w:right w:val="nil"/>
            </w:tcBorders>
            <w:tcMar>
              <w:top w:w="100" w:type="dxa"/>
              <w:left w:w="100" w:type="dxa"/>
              <w:bottom w:w="100" w:type="dxa"/>
              <w:right w:w="100" w:type="dxa"/>
            </w:tcMar>
          </w:tcPr>
          <w:p w14:paraId="4858E819" w14:textId="77777777" w:rsidR="00FD08C3" w:rsidRDefault="00D135DF">
            <w:pPr>
              <w:jc w:val="both"/>
              <w:rPr>
                <w:sz w:val="24"/>
                <w:szCs w:val="24"/>
              </w:rPr>
            </w:pPr>
            <w:r>
              <w:rPr>
                <w:sz w:val="24"/>
                <w:szCs w:val="24"/>
              </w:rPr>
              <w:t>71.59 ± 17.88</w:t>
            </w:r>
            <w:r>
              <w:rPr>
                <w:sz w:val="24"/>
                <w:szCs w:val="24"/>
              </w:rPr>
              <w:t>ᵃ</w:t>
            </w:r>
          </w:p>
        </w:tc>
        <w:tc>
          <w:tcPr>
            <w:tcW w:w="1020" w:type="dxa"/>
            <w:tcBorders>
              <w:top w:val="nil"/>
              <w:left w:val="nil"/>
              <w:bottom w:val="nil"/>
              <w:right w:val="nil"/>
            </w:tcBorders>
            <w:tcMar>
              <w:top w:w="100" w:type="dxa"/>
              <w:left w:w="100" w:type="dxa"/>
              <w:bottom w:w="100" w:type="dxa"/>
              <w:right w:w="100" w:type="dxa"/>
            </w:tcMar>
          </w:tcPr>
          <w:p w14:paraId="15CCD78F" w14:textId="77777777" w:rsidR="00FD08C3" w:rsidRDefault="00D135DF">
            <w:pPr>
              <w:jc w:val="both"/>
              <w:rPr>
                <w:sz w:val="24"/>
                <w:szCs w:val="24"/>
              </w:rPr>
            </w:pPr>
            <w:r>
              <w:rPr>
                <w:sz w:val="24"/>
                <w:szCs w:val="24"/>
              </w:rPr>
              <w:t>0.93</w:t>
            </w:r>
          </w:p>
        </w:tc>
        <w:tc>
          <w:tcPr>
            <w:tcW w:w="1420" w:type="dxa"/>
            <w:tcBorders>
              <w:top w:val="nil"/>
              <w:left w:val="nil"/>
              <w:bottom w:val="nil"/>
              <w:right w:val="nil"/>
            </w:tcBorders>
            <w:tcMar>
              <w:top w:w="100" w:type="dxa"/>
              <w:left w:w="100" w:type="dxa"/>
              <w:bottom w:w="100" w:type="dxa"/>
              <w:right w:w="100" w:type="dxa"/>
            </w:tcMar>
          </w:tcPr>
          <w:p w14:paraId="6E763F92" w14:textId="77777777" w:rsidR="00FD08C3" w:rsidRDefault="00D135DF">
            <w:pPr>
              <w:jc w:val="both"/>
              <w:rPr>
                <w:sz w:val="24"/>
                <w:szCs w:val="24"/>
              </w:rPr>
            </w:pPr>
            <w:r>
              <w:rPr>
                <w:sz w:val="24"/>
                <w:szCs w:val="24"/>
              </w:rPr>
              <w:t>0.397</w:t>
            </w:r>
          </w:p>
        </w:tc>
        <w:tc>
          <w:tcPr>
            <w:tcW w:w="960" w:type="dxa"/>
            <w:tcBorders>
              <w:top w:val="nil"/>
              <w:left w:val="nil"/>
              <w:bottom w:val="nil"/>
              <w:right w:val="nil"/>
            </w:tcBorders>
            <w:tcMar>
              <w:top w:w="100" w:type="dxa"/>
              <w:left w:w="100" w:type="dxa"/>
              <w:bottom w:w="100" w:type="dxa"/>
              <w:right w:w="100" w:type="dxa"/>
            </w:tcMar>
          </w:tcPr>
          <w:p w14:paraId="4971ADD6" w14:textId="77777777" w:rsidR="00FD08C3" w:rsidRDefault="00D135DF">
            <w:pPr>
              <w:jc w:val="both"/>
              <w:rPr>
                <w:sz w:val="24"/>
                <w:szCs w:val="24"/>
              </w:rPr>
            </w:pPr>
            <w:r>
              <w:rPr>
                <w:sz w:val="24"/>
                <w:szCs w:val="24"/>
              </w:rPr>
              <w:t>NS</w:t>
            </w:r>
          </w:p>
        </w:tc>
      </w:tr>
    </w:tbl>
    <w:p w14:paraId="520DBA3F" w14:textId="77777777" w:rsidR="00FD08C3" w:rsidRDefault="00D135DF">
      <w:pPr>
        <w:spacing w:before="240" w:after="240"/>
        <w:jc w:val="both"/>
        <w:rPr>
          <w:sz w:val="24"/>
          <w:szCs w:val="24"/>
        </w:rPr>
      </w:pPr>
      <w:r>
        <w:rPr>
          <w:b/>
          <w:bCs/>
          <w:sz w:val="24"/>
          <w:szCs w:val="24"/>
        </w:rPr>
        <w:t>Note:</w:t>
      </w:r>
      <w:r>
        <w:rPr>
          <w:sz w:val="24"/>
          <w:szCs w:val="24"/>
        </w:rPr>
        <w:t xml:space="preserve"> Means with different superscripts (a, b) differ significantly (p &lt; 0.05)</w:t>
      </w:r>
    </w:p>
    <w:p w14:paraId="73AED42E" w14:textId="77777777" w:rsidR="00FD08C3" w:rsidRDefault="00FD08C3">
      <w:pPr>
        <w:jc w:val="both"/>
        <w:rPr>
          <w:sz w:val="24"/>
          <w:szCs w:val="24"/>
        </w:rPr>
      </w:pPr>
    </w:p>
    <w:p w14:paraId="150EEBFD" w14:textId="77777777" w:rsidR="00FD08C3" w:rsidRDefault="00FD08C3">
      <w:pPr>
        <w:pStyle w:val="Heading1"/>
        <w:keepNext w:val="0"/>
        <w:keepLines w:val="0"/>
        <w:spacing w:before="480"/>
        <w:jc w:val="both"/>
        <w:rPr>
          <w:b/>
          <w:bCs/>
          <w:sz w:val="24"/>
          <w:szCs w:val="24"/>
        </w:rPr>
      </w:pPr>
      <w:bookmarkStart w:id="31" w:name="_z7iy99xbm8vu" w:colFirst="0" w:colLast="0"/>
      <w:bookmarkEnd w:id="31"/>
    </w:p>
    <w:p w14:paraId="78800560" w14:textId="77777777" w:rsidR="00FD08C3" w:rsidRDefault="00D135DF">
      <w:pPr>
        <w:pStyle w:val="Heading1"/>
        <w:keepNext w:val="0"/>
        <w:keepLines w:val="0"/>
        <w:spacing w:before="480"/>
        <w:jc w:val="both"/>
        <w:rPr>
          <w:b/>
          <w:bCs/>
          <w:sz w:val="24"/>
          <w:szCs w:val="24"/>
        </w:rPr>
      </w:pPr>
      <w:bookmarkStart w:id="32" w:name="_egcpxyploz89" w:colFirst="0" w:colLast="0"/>
      <w:bookmarkEnd w:id="32"/>
      <w:r>
        <w:rPr>
          <w:b/>
          <w:bCs/>
          <w:sz w:val="24"/>
          <w:szCs w:val="24"/>
        </w:rPr>
        <w:t>Table 4: Comparison of Parameters Across Age Groups of Pregnant Women</w:t>
      </w:r>
    </w:p>
    <w:tbl>
      <w:tblPr>
        <w:tblStyle w:val="a2"/>
        <w:tblW w:w="10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1760"/>
        <w:gridCol w:w="1960"/>
        <w:gridCol w:w="1720"/>
        <w:gridCol w:w="1060"/>
        <w:gridCol w:w="940"/>
        <w:gridCol w:w="940"/>
      </w:tblGrid>
      <w:tr w:rsidR="00FD08C3" w14:paraId="509C3EBC" w14:textId="77777777">
        <w:trPr>
          <w:trHeight w:val="694"/>
        </w:trPr>
        <w:tc>
          <w:tcPr>
            <w:tcW w:w="2400" w:type="dxa"/>
            <w:tcBorders>
              <w:top w:val="nil"/>
              <w:left w:val="nil"/>
              <w:bottom w:val="nil"/>
              <w:right w:val="nil"/>
            </w:tcBorders>
            <w:tcMar>
              <w:top w:w="100" w:type="dxa"/>
              <w:left w:w="100" w:type="dxa"/>
              <w:bottom w:w="100" w:type="dxa"/>
              <w:right w:w="100" w:type="dxa"/>
            </w:tcMar>
          </w:tcPr>
          <w:p w14:paraId="625B241E" w14:textId="77777777" w:rsidR="00FD08C3" w:rsidRDefault="00D135DF">
            <w:pPr>
              <w:rPr>
                <w:sz w:val="24"/>
                <w:szCs w:val="24"/>
              </w:rPr>
            </w:pPr>
            <w:r>
              <w:rPr>
                <w:b/>
                <w:bCs/>
                <w:sz w:val="24"/>
                <w:szCs w:val="24"/>
              </w:rPr>
              <w:lastRenderedPageBreak/>
              <w:t>Parameter</w:t>
            </w:r>
          </w:p>
        </w:tc>
        <w:tc>
          <w:tcPr>
            <w:tcW w:w="1760" w:type="dxa"/>
            <w:tcBorders>
              <w:top w:val="nil"/>
              <w:left w:val="nil"/>
              <w:bottom w:val="nil"/>
              <w:right w:val="nil"/>
            </w:tcBorders>
            <w:tcMar>
              <w:top w:w="100" w:type="dxa"/>
              <w:left w:w="100" w:type="dxa"/>
              <w:bottom w:w="100" w:type="dxa"/>
              <w:right w:w="100" w:type="dxa"/>
            </w:tcMar>
          </w:tcPr>
          <w:p w14:paraId="5D8570A2" w14:textId="77777777" w:rsidR="00FD08C3" w:rsidRDefault="00D135DF">
            <w:pPr>
              <w:jc w:val="center"/>
              <w:rPr>
                <w:sz w:val="24"/>
                <w:szCs w:val="24"/>
              </w:rPr>
            </w:pPr>
            <w:r>
              <w:rPr>
                <w:b/>
                <w:bCs/>
                <w:sz w:val="24"/>
                <w:szCs w:val="24"/>
              </w:rPr>
              <w:t>18–27 yrs (n=19)</w:t>
            </w:r>
          </w:p>
        </w:tc>
        <w:tc>
          <w:tcPr>
            <w:tcW w:w="1960" w:type="dxa"/>
            <w:tcBorders>
              <w:top w:val="nil"/>
              <w:left w:val="nil"/>
              <w:bottom w:val="nil"/>
              <w:right w:val="nil"/>
            </w:tcBorders>
            <w:tcMar>
              <w:top w:w="100" w:type="dxa"/>
              <w:left w:w="100" w:type="dxa"/>
              <w:bottom w:w="100" w:type="dxa"/>
              <w:right w:w="100" w:type="dxa"/>
            </w:tcMar>
          </w:tcPr>
          <w:p w14:paraId="633ED99B" w14:textId="77777777" w:rsidR="00FD08C3" w:rsidRDefault="00D135DF">
            <w:pPr>
              <w:jc w:val="center"/>
              <w:rPr>
                <w:sz w:val="24"/>
                <w:szCs w:val="24"/>
              </w:rPr>
            </w:pPr>
            <w:r>
              <w:rPr>
                <w:b/>
                <w:bCs/>
                <w:sz w:val="24"/>
                <w:szCs w:val="24"/>
              </w:rPr>
              <w:t xml:space="preserve">28–37 yrs </w:t>
            </w:r>
            <w:r>
              <w:rPr>
                <w:b/>
                <w:bCs/>
                <w:sz w:val="24"/>
                <w:szCs w:val="24"/>
              </w:rPr>
              <w:t>(n=43)</w:t>
            </w:r>
          </w:p>
        </w:tc>
        <w:tc>
          <w:tcPr>
            <w:tcW w:w="1720" w:type="dxa"/>
            <w:tcBorders>
              <w:top w:val="nil"/>
              <w:left w:val="nil"/>
              <w:bottom w:val="nil"/>
              <w:right w:val="nil"/>
            </w:tcBorders>
            <w:tcMar>
              <w:top w:w="100" w:type="dxa"/>
              <w:left w:w="100" w:type="dxa"/>
              <w:bottom w:w="100" w:type="dxa"/>
              <w:right w:w="100" w:type="dxa"/>
            </w:tcMar>
          </w:tcPr>
          <w:p w14:paraId="7D2EF894" w14:textId="77777777" w:rsidR="00FD08C3" w:rsidRDefault="00D135DF">
            <w:pPr>
              <w:jc w:val="center"/>
              <w:rPr>
                <w:sz w:val="24"/>
                <w:szCs w:val="24"/>
              </w:rPr>
            </w:pPr>
            <w:r>
              <w:rPr>
                <w:b/>
                <w:bCs/>
                <w:sz w:val="24"/>
                <w:szCs w:val="24"/>
              </w:rPr>
              <w:t>38–47 yrs (n=28)</w:t>
            </w:r>
          </w:p>
        </w:tc>
        <w:tc>
          <w:tcPr>
            <w:tcW w:w="1060" w:type="dxa"/>
            <w:tcBorders>
              <w:top w:val="nil"/>
              <w:left w:val="nil"/>
              <w:bottom w:val="nil"/>
              <w:right w:val="nil"/>
            </w:tcBorders>
            <w:tcMar>
              <w:top w:w="100" w:type="dxa"/>
              <w:left w:w="100" w:type="dxa"/>
              <w:bottom w:w="100" w:type="dxa"/>
              <w:right w:w="100" w:type="dxa"/>
            </w:tcMar>
          </w:tcPr>
          <w:p w14:paraId="0E034DD7" w14:textId="77777777" w:rsidR="00FD08C3" w:rsidRDefault="00D135DF">
            <w:pPr>
              <w:jc w:val="center"/>
              <w:rPr>
                <w:sz w:val="24"/>
                <w:szCs w:val="24"/>
              </w:rPr>
            </w:pPr>
            <w:r>
              <w:rPr>
                <w:b/>
                <w:bCs/>
                <w:sz w:val="24"/>
                <w:szCs w:val="24"/>
              </w:rPr>
              <w:t>F-value</w:t>
            </w:r>
          </w:p>
        </w:tc>
        <w:tc>
          <w:tcPr>
            <w:tcW w:w="940" w:type="dxa"/>
            <w:tcBorders>
              <w:top w:val="nil"/>
              <w:left w:val="nil"/>
              <w:bottom w:val="nil"/>
              <w:right w:val="nil"/>
            </w:tcBorders>
            <w:tcMar>
              <w:top w:w="100" w:type="dxa"/>
              <w:left w:w="100" w:type="dxa"/>
              <w:bottom w:w="100" w:type="dxa"/>
              <w:right w:w="100" w:type="dxa"/>
            </w:tcMar>
          </w:tcPr>
          <w:p w14:paraId="2FCDDF30" w14:textId="77777777" w:rsidR="00FD08C3" w:rsidRDefault="00D135DF">
            <w:pPr>
              <w:jc w:val="center"/>
              <w:rPr>
                <w:sz w:val="24"/>
                <w:szCs w:val="24"/>
              </w:rPr>
            </w:pPr>
            <w:r>
              <w:rPr>
                <w:b/>
                <w:bCs/>
                <w:sz w:val="24"/>
                <w:szCs w:val="24"/>
              </w:rPr>
              <w:t>p-value</w:t>
            </w:r>
          </w:p>
        </w:tc>
        <w:tc>
          <w:tcPr>
            <w:tcW w:w="940" w:type="dxa"/>
            <w:tcBorders>
              <w:top w:val="nil"/>
              <w:left w:val="nil"/>
              <w:bottom w:val="nil"/>
              <w:right w:val="nil"/>
            </w:tcBorders>
            <w:tcMar>
              <w:top w:w="100" w:type="dxa"/>
              <w:left w:w="100" w:type="dxa"/>
              <w:bottom w:w="100" w:type="dxa"/>
              <w:right w:w="100" w:type="dxa"/>
            </w:tcMar>
          </w:tcPr>
          <w:p w14:paraId="07F8031E" w14:textId="77777777" w:rsidR="00FD08C3" w:rsidRDefault="00D135DF">
            <w:pPr>
              <w:jc w:val="center"/>
              <w:rPr>
                <w:sz w:val="24"/>
                <w:szCs w:val="24"/>
              </w:rPr>
            </w:pPr>
            <w:r>
              <w:rPr>
                <w:b/>
                <w:bCs/>
                <w:sz w:val="24"/>
                <w:szCs w:val="24"/>
              </w:rPr>
              <w:t>Remark</w:t>
            </w:r>
          </w:p>
        </w:tc>
      </w:tr>
      <w:tr w:rsidR="00FD08C3" w14:paraId="2C80086B" w14:textId="77777777">
        <w:trPr>
          <w:trHeight w:val="450"/>
        </w:trPr>
        <w:tc>
          <w:tcPr>
            <w:tcW w:w="2400" w:type="dxa"/>
            <w:tcBorders>
              <w:top w:val="nil"/>
              <w:left w:val="nil"/>
              <w:bottom w:val="nil"/>
              <w:right w:val="nil"/>
            </w:tcBorders>
            <w:tcMar>
              <w:top w:w="100" w:type="dxa"/>
              <w:left w:w="100" w:type="dxa"/>
              <w:bottom w:w="100" w:type="dxa"/>
              <w:right w:w="100" w:type="dxa"/>
            </w:tcMar>
          </w:tcPr>
          <w:p w14:paraId="151F8BEA" w14:textId="77777777" w:rsidR="00FD08C3" w:rsidRDefault="00D135DF">
            <w:pPr>
              <w:jc w:val="both"/>
              <w:rPr>
                <w:sz w:val="24"/>
                <w:szCs w:val="24"/>
              </w:rPr>
            </w:pPr>
            <w:r>
              <w:rPr>
                <w:sz w:val="24"/>
                <w:szCs w:val="24"/>
              </w:rPr>
              <w:t>Creatinine (µmol/L)</w:t>
            </w:r>
          </w:p>
        </w:tc>
        <w:tc>
          <w:tcPr>
            <w:tcW w:w="1760" w:type="dxa"/>
            <w:tcBorders>
              <w:top w:val="nil"/>
              <w:left w:val="nil"/>
              <w:bottom w:val="nil"/>
              <w:right w:val="nil"/>
            </w:tcBorders>
            <w:tcMar>
              <w:top w:w="100" w:type="dxa"/>
              <w:left w:w="100" w:type="dxa"/>
              <w:bottom w:w="100" w:type="dxa"/>
              <w:right w:w="100" w:type="dxa"/>
            </w:tcMar>
          </w:tcPr>
          <w:p w14:paraId="76474CC6" w14:textId="77777777" w:rsidR="00FD08C3" w:rsidRDefault="00D135DF">
            <w:pPr>
              <w:jc w:val="both"/>
              <w:rPr>
                <w:sz w:val="24"/>
                <w:szCs w:val="24"/>
              </w:rPr>
            </w:pPr>
            <w:r>
              <w:rPr>
                <w:sz w:val="24"/>
                <w:szCs w:val="24"/>
              </w:rPr>
              <w:t>80.47 ± 10.09</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28592DAF" w14:textId="77777777" w:rsidR="00FD08C3" w:rsidRDefault="00D135DF">
            <w:pPr>
              <w:jc w:val="both"/>
              <w:rPr>
                <w:sz w:val="24"/>
                <w:szCs w:val="24"/>
              </w:rPr>
            </w:pPr>
            <w:r>
              <w:rPr>
                <w:sz w:val="24"/>
                <w:szCs w:val="24"/>
              </w:rPr>
              <w:t>73.68 ± 10.52</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003A5FD4" w14:textId="77777777" w:rsidR="00FD08C3" w:rsidRDefault="00D135DF">
            <w:pPr>
              <w:jc w:val="both"/>
              <w:rPr>
                <w:sz w:val="24"/>
                <w:szCs w:val="24"/>
              </w:rPr>
            </w:pPr>
            <w:r>
              <w:rPr>
                <w:sz w:val="24"/>
                <w:szCs w:val="24"/>
              </w:rPr>
              <w:t>76.08 ± 14.71</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5A7B05E8" w14:textId="77777777" w:rsidR="00FD08C3" w:rsidRDefault="00D135DF">
            <w:pPr>
              <w:jc w:val="both"/>
              <w:rPr>
                <w:sz w:val="24"/>
                <w:szCs w:val="24"/>
              </w:rPr>
            </w:pPr>
            <w:r>
              <w:rPr>
                <w:sz w:val="24"/>
                <w:szCs w:val="24"/>
              </w:rPr>
              <w:t>2.15</w:t>
            </w:r>
          </w:p>
        </w:tc>
        <w:tc>
          <w:tcPr>
            <w:tcW w:w="940" w:type="dxa"/>
            <w:tcBorders>
              <w:top w:val="nil"/>
              <w:left w:val="nil"/>
              <w:bottom w:val="nil"/>
              <w:right w:val="nil"/>
            </w:tcBorders>
            <w:tcMar>
              <w:top w:w="100" w:type="dxa"/>
              <w:left w:w="100" w:type="dxa"/>
              <w:bottom w:w="100" w:type="dxa"/>
              <w:right w:w="100" w:type="dxa"/>
            </w:tcMar>
          </w:tcPr>
          <w:p w14:paraId="3C9E7079" w14:textId="77777777" w:rsidR="00FD08C3" w:rsidRDefault="00D135DF">
            <w:pPr>
              <w:jc w:val="both"/>
              <w:rPr>
                <w:sz w:val="24"/>
                <w:szCs w:val="24"/>
              </w:rPr>
            </w:pPr>
            <w:r>
              <w:rPr>
                <w:sz w:val="24"/>
                <w:szCs w:val="24"/>
              </w:rPr>
              <w:t>0.122</w:t>
            </w:r>
          </w:p>
        </w:tc>
        <w:tc>
          <w:tcPr>
            <w:tcW w:w="940" w:type="dxa"/>
            <w:tcBorders>
              <w:top w:val="nil"/>
              <w:left w:val="nil"/>
              <w:bottom w:val="nil"/>
              <w:right w:val="nil"/>
            </w:tcBorders>
            <w:tcMar>
              <w:top w:w="100" w:type="dxa"/>
              <w:left w:w="100" w:type="dxa"/>
              <w:bottom w:w="100" w:type="dxa"/>
              <w:right w:w="100" w:type="dxa"/>
            </w:tcMar>
          </w:tcPr>
          <w:p w14:paraId="254D95FE" w14:textId="77777777" w:rsidR="00FD08C3" w:rsidRDefault="00D135DF">
            <w:pPr>
              <w:jc w:val="both"/>
              <w:rPr>
                <w:sz w:val="24"/>
                <w:szCs w:val="24"/>
              </w:rPr>
            </w:pPr>
            <w:r>
              <w:rPr>
                <w:sz w:val="24"/>
                <w:szCs w:val="24"/>
              </w:rPr>
              <w:t>NS</w:t>
            </w:r>
          </w:p>
        </w:tc>
      </w:tr>
      <w:tr w:rsidR="00FD08C3" w14:paraId="66F6E8F0" w14:textId="77777777">
        <w:trPr>
          <w:trHeight w:val="515"/>
        </w:trPr>
        <w:tc>
          <w:tcPr>
            <w:tcW w:w="2400" w:type="dxa"/>
            <w:tcBorders>
              <w:top w:val="nil"/>
              <w:left w:val="nil"/>
              <w:bottom w:val="nil"/>
              <w:right w:val="nil"/>
            </w:tcBorders>
            <w:tcMar>
              <w:top w:w="100" w:type="dxa"/>
              <w:left w:w="100" w:type="dxa"/>
              <w:bottom w:w="100" w:type="dxa"/>
              <w:right w:w="100" w:type="dxa"/>
            </w:tcMar>
          </w:tcPr>
          <w:p w14:paraId="46CFADDD" w14:textId="77777777" w:rsidR="00FD08C3" w:rsidRDefault="00D135DF">
            <w:pPr>
              <w:jc w:val="both"/>
              <w:rPr>
                <w:sz w:val="24"/>
                <w:szCs w:val="24"/>
              </w:rPr>
            </w:pPr>
            <w:r>
              <w:rPr>
                <w:sz w:val="24"/>
                <w:szCs w:val="24"/>
              </w:rPr>
              <w:t>Urea (mmol/L)</w:t>
            </w:r>
          </w:p>
        </w:tc>
        <w:tc>
          <w:tcPr>
            <w:tcW w:w="1760" w:type="dxa"/>
            <w:tcBorders>
              <w:top w:val="nil"/>
              <w:left w:val="nil"/>
              <w:bottom w:val="nil"/>
              <w:right w:val="nil"/>
            </w:tcBorders>
            <w:tcMar>
              <w:top w:w="100" w:type="dxa"/>
              <w:left w:w="100" w:type="dxa"/>
              <w:bottom w:w="100" w:type="dxa"/>
              <w:right w:w="100" w:type="dxa"/>
            </w:tcMar>
          </w:tcPr>
          <w:p w14:paraId="284DCB95" w14:textId="77777777" w:rsidR="00FD08C3" w:rsidRDefault="00D135DF">
            <w:pPr>
              <w:jc w:val="both"/>
              <w:rPr>
                <w:sz w:val="24"/>
                <w:szCs w:val="24"/>
              </w:rPr>
            </w:pPr>
            <w:r>
              <w:rPr>
                <w:sz w:val="24"/>
                <w:szCs w:val="24"/>
              </w:rPr>
              <w:t>5.45 ± 0.95</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4B87D3DE" w14:textId="77777777" w:rsidR="00FD08C3" w:rsidRDefault="00D135DF">
            <w:pPr>
              <w:jc w:val="both"/>
              <w:rPr>
                <w:sz w:val="24"/>
                <w:szCs w:val="24"/>
              </w:rPr>
            </w:pPr>
            <w:r>
              <w:rPr>
                <w:sz w:val="24"/>
                <w:szCs w:val="24"/>
              </w:rPr>
              <w:t>5.54 ± 0.88</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34D7C317" w14:textId="77777777" w:rsidR="00FD08C3" w:rsidRDefault="00D135DF">
            <w:pPr>
              <w:jc w:val="both"/>
              <w:rPr>
                <w:sz w:val="24"/>
                <w:szCs w:val="24"/>
              </w:rPr>
            </w:pPr>
            <w:r>
              <w:rPr>
                <w:sz w:val="24"/>
                <w:szCs w:val="24"/>
              </w:rPr>
              <w:t>5.61 ± 0.80</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54642238" w14:textId="77777777" w:rsidR="00FD08C3" w:rsidRDefault="00D135DF">
            <w:pPr>
              <w:jc w:val="both"/>
              <w:rPr>
                <w:sz w:val="24"/>
                <w:szCs w:val="24"/>
              </w:rPr>
            </w:pPr>
            <w:r>
              <w:rPr>
                <w:sz w:val="24"/>
                <w:szCs w:val="24"/>
              </w:rPr>
              <w:t>0.17</w:t>
            </w:r>
          </w:p>
        </w:tc>
        <w:tc>
          <w:tcPr>
            <w:tcW w:w="940" w:type="dxa"/>
            <w:tcBorders>
              <w:top w:val="nil"/>
              <w:left w:val="nil"/>
              <w:bottom w:val="nil"/>
              <w:right w:val="nil"/>
            </w:tcBorders>
            <w:tcMar>
              <w:top w:w="100" w:type="dxa"/>
              <w:left w:w="100" w:type="dxa"/>
              <w:bottom w:w="100" w:type="dxa"/>
              <w:right w:w="100" w:type="dxa"/>
            </w:tcMar>
          </w:tcPr>
          <w:p w14:paraId="2081A885" w14:textId="77777777" w:rsidR="00FD08C3" w:rsidRDefault="00D135DF">
            <w:pPr>
              <w:jc w:val="both"/>
              <w:rPr>
                <w:sz w:val="24"/>
                <w:szCs w:val="24"/>
              </w:rPr>
            </w:pPr>
            <w:r>
              <w:rPr>
                <w:sz w:val="24"/>
                <w:szCs w:val="24"/>
              </w:rPr>
              <w:t>0.845</w:t>
            </w:r>
          </w:p>
        </w:tc>
        <w:tc>
          <w:tcPr>
            <w:tcW w:w="940" w:type="dxa"/>
            <w:tcBorders>
              <w:top w:val="nil"/>
              <w:left w:val="nil"/>
              <w:bottom w:val="nil"/>
              <w:right w:val="nil"/>
            </w:tcBorders>
            <w:tcMar>
              <w:top w:w="100" w:type="dxa"/>
              <w:left w:w="100" w:type="dxa"/>
              <w:bottom w:w="100" w:type="dxa"/>
              <w:right w:w="100" w:type="dxa"/>
            </w:tcMar>
          </w:tcPr>
          <w:p w14:paraId="292AB88E" w14:textId="77777777" w:rsidR="00FD08C3" w:rsidRDefault="00D135DF">
            <w:pPr>
              <w:jc w:val="both"/>
              <w:rPr>
                <w:sz w:val="24"/>
                <w:szCs w:val="24"/>
              </w:rPr>
            </w:pPr>
            <w:r>
              <w:rPr>
                <w:sz w:val="24"/>
                <w:szCs w:val="24"/>
              </w:rPr>
              <w:t>NS</w:t>
            </w:r>
          </w:p>
        </w:tc>
      </w:tr>
      <w:tr w:rsidR="00FD08C3" w14:paraId="686DF23B" w14:textId="77777777">
        <w:trPr>
          <w:trHeight w:val="525"/>
        </w:trPr>
        <w:tc>
          <w:tcPr>
            <w:tcW w:w="2400" w:type="dxa"/>
            <w:tcBorders>
              <w:top w:val="nil"/>
              <w:left w:val="nil"/>
              <w:bottom w:val="nil"/>
              <w:right w:val="nil"/>
            </w:tcBorders>
            <w:tcMar>
              <w:top w:w="100" w:type="dxa"/>
              <w:left w:w="100" w:type="dxa"/>
              <w:bottom w:w="100" w:type="dxa"/>
              <w:right w:w="100" w:type="dxa"/>
            </w:tcMar>
          </w:tcPr>
          <w:p w14:paraId="295338B9" w14:textId="77777777" w:rsidR="00FD08C3" w:rsidRDefault="00D135DF">
            <w:pPr>
              <w:jc w:val="both"/>
              <w:rPr>
                <w:sz w:val="24"/>
                <w:szCs w:val="24"/>
              </w:rPr>
            </w:pPr>
            <w:r>
              <w:rPr>
                <w:sz w:val="24"/>
                <w:szCs w:val="24"/>
              </w:rPr>
              <w:t>Sodium (mmol/L)</w:t>
            </w:r>
          </w:p>
        </w:tc>
        <w:tc>
          <w:tcPr>
            <w:tcW w:w="1760" w:type="dxa"/>
            <w:tcBorders>
              <w:top w:val="nil"/>
              <w:left w:val="nil"/>
              <w:bottom w:val="nil"/>
              <w:right w:val="nil"/>
            </w:tcBorders>
            <w:tcMar>
              <w:top w:w="100" w:type="dxa"/>
              <w:left w:w="100" w:type="dxa"/>
              <w:bottom w:w="100" w:type="dxa"/>
              <w:right w:w="100" w:type="dxa"/>
            </w:tcMar>
          </w:tcPr>
          <w:p w14:paraId="78B3DC82" w14:textId="77777777" w:rsidR="00FD08C3" w:rsidRDefault="00D135DF">
            <w:pPr>
              <w:jc w:val="both"/>
              <w:rPr>
                <w:sz w:val="24"/>
                <w:szCs w:val="24"/>
              </w:rPr>
            </w:pPr>
            <w:r>
              <w:rPr>
                <w:sz w:val="24"/>
                <w:szCs w:val="24"/>
              </w:rPr>
              <w:t>135.77 ± 5.09</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271F561F" w14:textId="77777777" w:rsidR="00FD08C3" w:rsidRDefault="00D135DF">
            <w:pPr>
              <w:jc w:val="both"/>
              <w:rPr>
                <w:sz w:val="24"/>
                <w:szCs w:val="24"/>
              </w:rPr>
            </w:pPr>
            <w:r>
              <w:rPr>
                <w:sz w:val="24"/>
                <w:szCs w:val="24"/>
              </w:rPr>
              <w:t>136.01 ± 4.89</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7837B681" w14:textId="77777777" w:rsidR="00FD08C3" w:rsidRDefault="00D135DF">
            <w:pPr>
              <w:jc w:val="both"/>
              <w:rPr>
                <w:sz w:val="24"/>
                <w:szCs w:val="24"/>
              </w:rPr>
            </w:pPr>
            <w:r>
              <w:rPr>
                <w:sz w:val="24"/>
                <w:szCs w:val="24"/>
              </w:rPr>
              <w:t>135.68 ± 5.42</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0C616B80" w14:textId="77777777" w:rsidR="00FD08C3" w:rsidRDefault="00D135DF">
            <w:pPr>
              <w:jc w:val="both"/>
              <w:rPr>
                <w:sz w:val="24"/>
                <w:szCs w:val="24"/>
              </w:rPr>
            </w:pPr>
            <w:r>
              <w:rPr>
                <w:sz w:val="24"/>
                <w:szCs w:val="24"/>
              </w:rPr>
              <w:t>0.04</w:t>
            </w:r>
          </w:p>
        </w:tc>
        <w:tc>
          <w:tcPr>
            <w:tcW w:w="940" w:type="dxa"/>
            <w:tcBorders>
              <w:top w:val="nil"/>
              <w:left w:val="nil"/>
              <w:bottom w:val="nil"/>
              <w:right w:val="nil"/>
            </w:tcBorders>
            <w:tcMar>
              <w:top w:w="100" w:type="dxa"/>
              <w:left w:w="100" w:type="dxa"/>
              <w:bottom w:w="100" w:type="dxa"/>
              <w:right w:w="100" w:type="dxa"/>
            </w:tcMar>
          </w:tcPr>
          <w:p w14:paraId="1065D210" w14:textId="77777777" w:rsidR="00FD08C3" w:rsidRDefault="00D135DF">
            <w:pPr>
              <w:jc w:val="both"/>
              <w:rPr>
                <w:sz w:val="24"/>
                <w:szCs w:val="24"/>
              </w:rPr>
            </w:pPr>
            <w:r>
              <w:rPr>
                <w:sz w:val="24"/>
                <w:szCs w:val="24"/>
              </w:rPr>
              <w:t>0.962</w:t>
            </w:r>
          </w:p>
        </w:tc>
        <w:tc>
          <w:tcPr>
            <w:tcW w:w="940" w:type="dxa"/>
            <w:tcBorders>
              <w:top w:val="nil"/>
              <w:left w:val="nil"/>
              <w:bottom w:val="nil"/>
              <w:right w:val="nil"/>
            </w:tcBorders>
            <w:tcMar>
              <w:top w:w="100" w:type="dxa"/>
              <w:left w:w="100" w:type="dxa"/>
              <w:bottom w:w="100" w:type="dxa"/>
              <w:right w:w="100" w:type="dxa"/>
            </w:tcMar>
          </w:tcPr>
          <w:p w14:paraId="2D386B02" w14:textId="77777777" w:rsidR="00FD08C3" w:rsidRDefault="00D135DF">
            <w:pPr>
              <w:jc w:val="both"/>
              <w:rPr>
                <w:sz w:val="24"/>
                <w:szCs w:val="24"/>
              </w:rPr>
            </w:pPr>
            <w:r>
              <w:rPr>
                <w:sz w:val="24"/>
                <w:szCs w:val="24"/>
              </w:rPr>
              <w:t>NS</w:t>
            </w:r>
          </w:p>
        </w:tc>
      </w:tr>
      <w:tr w:rsidR="00FD08C3" w14:paraId="60BAE4A5" w14:textId="77777777">
        <w:trPr>
          <w:trHeight w:val="515"/>
        </w:trPr>
        <w:tc>
          <w:tcPr>
            <w:tcW w:w="2400" w:type="dxa"/>
            <w:tcBorders>
              <w:top w:val="nil"/>
              <w:left w:val="nil"/>
              <w:bottom w:val="nil"/>
              <w:right w:val="nil"/>
            </w:tcBorders>
            <w:tcMar>
              <w:top w:w="100" w:type="dxa"/>
              <w:left w:w="100" w:type="dxa"/>
              <w:bottom w:w="100" w:type="dxa"/>
              <w:right w:w="100" w:type="dxa"/>
            </w:tcMar>
          </w:tcPr>
          <w:p w14:paraId="5CF2BEB6" w14:textId="77777777" w:rsidR="00FD08C3" w:rsidRDefault="00D135DF">
            <w:pPr>
              <w:jc w:val="both"/>
              <w:rPr>
                <w:sz w:val="24"/>
                <w:szCs w:val="24"/>
              </w:rPr>
            </w:pPr>
            <w:r>
              <w:rPr>
                <w:sz w:val="24"/>
                <w:szCs w:val="24"/>
              </w:rPr>
              <w:t>Potassium (mmol/L)</w:t>
            </w:r>
          </w:p>
        </w:tc>
        <w:tc>
          <w:tcPr>
            <w:tcW w:w="1760" w:type="dxa"/>
            <w:tcBorders>
              <w:top w:val="nil"/>
              <w:left w:val="nil"/>
              <w:bottom w:val="nil"/>
              <w:right w:val="nil"/>
            </w:tcBorders>
            <w:tcMar>
              <w:top w:w="100" w:type="dxa"/>
              <w:left w:w="100" w:type="dxa"/>
              <w:bottom w:w="100" w:type="dxa"/>
              <w:right w:w="100" w:type="dxa"/>
            </w:tcMar>
          </w:tcPr>
          <w:p w14:paraId="678B40EE" w14:textId="77777777" w:rsidR="00FD08C3" w:rsidRDefault="00D135DF">
            <w:pPr>
              <w:jc w:val="both"/>
              <w:rPr>
                <w:sz w:val="24"/>
                <w:szCs w:val="24"/>
              </w:rPr>
            </w:pPr>
            <w:r>
              <w:rPr>
                <w:sz w:val="24"/>
                <w:szCs w:val="24"/>
              </w:rPr>
              <w:t>5.88 ± 1.05</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6446CB1E" w14:textId="77777777" w:rsidR="00FD08C3" w:rsidRDefault="00D135DF">
            <w:pPr>
              <w:jc w:val="both"/>
              <w:rPr>
                <w:sz w:val="24"/>
                <w:szCs w:val="24"/>
              </w:rPr>
            </w:pPr>
            <w:r>
              <w:rPr>
                <w:sz w:val="24"/>
                <w:szCs w:val="24"/>
              </w:rPr>
              <w:t>5.34 ± 0.91</w:t>
            </w:r>
            <w:r>
              <w:rPr>
                <w:sz w:val="24"/>
                <w:szCs w:val="24"/>
              </w:rPr>
              <w:t>ᵃᵇ</w:t>
            </w:r>
          </w:p>
        </w:tc>
        <w:tc>
          <w:tcPr>
            <w:tcW w:w="1720" w:type="dxa"/>
            <w:tcBorders>
              <w:top w:val="nil"/>
              <w:left w:val="nil"/>
              <w:bottom w:val="nil"/>
              <w:right w:val="nil"/>
            </w:tcBorders>
            <w:tcMar>
              <w:top w:w="100" w:type="dxa"/>
              <w:left w:w="100" w:type="dxa"/>
              <w:bottom w:w="100" w:type="dxa"/>
              <w:right w:w="100" w:type="dxa"/>
            </w:tcMar>
          </w:tcPr>
          <w:p w14:paraId="0AEB23E1" w14:textId="77777777" w:rsidR="00FD08C3" w:rsidRDefault="00D135DF">
            <w:pPr>
              <w:jc w:val="both"/>
              <w:rPr>
                <w:sz w:val="24"/>
                <w:szCs w:val="24"/>
              </w:rPr>
            </w:pPr>
            <w:r>
              <w:rPr>
                <w:sz w:val="24"/>
                <w:szCs w:val="24"/>
              </w:rPr>
              <w:t>5.14 ± 0.97</w:t>
            </w:r>
            <w:r>
              <w:rPr>
                <w:sz w:val="24"/>
                <w:szCs w:val="24"/>
              </w:rPr>
              <w:t>ᵇ</w:t>
            </w:r>
          </w:p>
        </w:tc>
        <w:tc>
          <w:tcPr>
            <w:tcW w:w="1060" w:type="dxa"/>
            <w:tcBorders>
              <w:top w:val="nil"/>
              <w:left w:val="nil"/>
              <w:bottom w:val="nil"/>
              <w:right w:val="nil"/>
            </w:tcBorders>
            <w:tcMar>
              <w:top w:w="100" w:type="dxa"/>
              <w:left w:w="100" w:type="dxa"/>
              <w:bottom w:w="100" w:type="dxa"/>
              <w:right w:w="100" w:type="dxa"/>
            </w:tcMar>
          </w:tcPr>
          <w:p w14:paraId="79CC2A61" w14:textId="77777777" w:rsidR="00FD08C3" w:rsidRDefault="00D135DF">
            <w:pPr>
              <w:jc w:val="both"/>
              <w:rPr>
                <w:sz w:val="24"/>
                <w:szCs w:val="24"/>
              </w:rPr>
            </w:pPr>
            <w:r>
              <w:rPr>
                <w:sz w:val="24"/>
                <w:szCs w:val="24"/>
              </w:rPr>
              <w:t>3.58</w:t>
            </w:r>
          </w:p>
        </w:tc>
        <w:tc>
          <w:tcPr>
            <w:tcW w:w="940" w:type="dxa"/>
            <w:tcBorders>
              <w:top w:val="nil"/>
              <w:left w:val="nil"/>
              <w:bottom w:val="nil"/>
              <w:right w:val="nil"/>
            </w:tcBorders>
            <w:tcMar>
              <w:top w:w="100" w:type="dxa"/>
              <w:left w:w="100" w:type="dxa"/>
              <w:bottom w:w="100" w:type="dxa"/>
              <w:right w:w="100" w:type="dxa"/>
            </w:tcMar>
          </w:tcPr>
          <w:p w14:paraId="2882BB8F" w14:textId="77777777" w:rsidR="00FD08C3" w:rsidRDefault="00D135DF">
            <w:pPr>
              <w:jc w:val="both"/>
              <w:rPr>
                <w:sz w:val="24"/>
                <w:szCs w:val="24"/>
              </w:rPr>
            </w:pPr>
            <w:r>
              <w:rPr>
                <w:sz w:val="24"/>
                <w:szCs w:val="24"/>
              </w:rPr>
              <w:t>0.032</w:t>
            </w:r>
          </w:p>
        </w:tc>
        <w:tc>
          <w:tcPr>
            <w:tcW w:w="940" w:type="dxa"/>
            <w:tcBorders>
              <w:top w:val="nil"/>
              <w:left w:val="nil"/>
              <w:bottom w:val="nil"/>
              <w:right w:val="nil"/>
            </w:tcBorders>
            <w:tcMar>
              <w:top w:w="100" w:type="dxa"/>
              <w:left w:w="100" w:type="dxa"/>
              <w:bottom w:w="100" w:type="dxa"/>
              <w:right w:w="100" w:type="dxa"/>
            </w:tcMar>
          </w:tcPr>
          <w:p w14:paraId="3A621B37" w14:textId="77777777" w:rsidR="00FD08C3" w:rsidRDefault="00D135DF">
            <w:pPr>
              <w:jc w:val="both"/>
              <w:rPr>
                <w:sz w:val="24"/>
                <w:szCs w:val="24"/>
              </w:rPr>
            </w:pPr>
            <w:r>
              <w:rPr>
                <w:sz w:val="24"/>
                <w:szCs w:val="24"/>
              </w:rPr>
              <w:t>SS</w:t>
            </w:r>
          </w:p>
        </w:tc>
      </w:tr>
      <w:tr w:rsidR="00FD08C3" w14:paraId="55B220A7" w14:textId="77777777">
        <w:trPr>
          <w:trHeight w:val="540"/>
        </w:trPr>
        <w:tc>
          <w:tcPr>
            <w:tcW w:w="2400" w:type="dxa"/>
            <w:tcBorders>
              <w:top w:val="nil"/>
              <w:left w:val="nil"/>
              <w:bottom w:val="nil"/>
              <w:right w:val="nil"/>
            </w:tcBorders>
            <w:tcMar>
              <w:top w:w="100" w:type="dxa"/>
              <w:left w:w="100" w:type="dxa"/>
              <w:bottom w:w="100" w:type="dxa"/>
              <w:right w:w="100" w:type="dxa"/>
            </w:tcMar>
          </w:tcPr>
          <w:p w14:paraId="7CE27BB5" w14:textId="77777777" w:rsidR="00FD08C3" w:rsidRDefault="00D135DF">
            <w:pPr>
              <w:jc w:val="both"/>
              <w:rPr>
                <w:sz w:val="24"/>
                <w:szCs w:val="24"/>
              </w:rPr>
            </w:pPr>
            <w:r>
              <w:rPr>
                <w:sz w:val="24"/>
                <w:szCs w:val="24"/>
              </w:rPr>
              <w:t>Chloride (mmol/L)</w:t>
            </w:r>
          </w:p>
        </w:tc>
        <w:tc>
          <w:tcPr>
            <w:tcW w:w="1760" w:type="dxa"/>
            <w:tcBorders>
              <w:top w:val="nil"/>
              <w:left w:val="nil"/>
              <w:bottom w:val="nil"/>
              <w:right w:val="nil"/>
            </w:tcBorders>
            <w:tcMar>
              <w:top w:w="100" w:type="dxa"/>
              <w:left w:w="100" w:type="dxa"/>
              <w:bottom w:w="100" w:type="dxa"/>
              <w:right w:w="100" w:type="dxa"/>
            </w:tcMar>
          </w:tcPr>
          <w:p w14:paraId="17B0D2EE" w14:textId="77777777" w:rsidR="00FD08C3" w:rsidRDefault="00D135DF">
            <w:pPr>
              <w:jc w:val="both"/>
              <w:rPr>
                <w:sz w:val="24"/>
                <w:szCs w:val="24"/>
              </w:rPr>
            </w:pPr>
            <w:r>
              <w:rPr>
                <w:sz w:val="24"/>
                <w:szCs w:val="24"/>
              </w:rPr>
              <w:t>102.84 ± 5.85</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7598B7D2" w14:textId="77777777" w:rsidR="00FD08C3" w:rsidRDefault="00D135DF">
            <w:pPr>
              <w:jc w:val="both"/>
              <w:rPr>
                <w:sz w:val="24"/>
                <w:szCs w:val="24"/>
              </w:rPr>
            </w:pPr>
            <w:r>
              <w:rPr>
                <w:sz w:val="24"/>
                <w:szCs w:val="24"/>
              </w:rPr>
              <w:t>104.31 ± 4.80</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7ED0D870" w14:textId="77777777" w:rsidR="00FD08C3" w:rsidRDefault="00D135DF">
            <w:pPr>
              <w:jc w:val="both"/>
              <w:rPr>
                <w:sz w:val="24"/>
                <w:szCs w:val="24"/>
              </w:rPr>
            </w:pPr>
            <w:r>
              <w:rPr>
                <w:sz w:val="24"/>
                <w:szCs w:val="24"/>
              </w:rPr>
              <w:t>103.71 ± 6.00</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2D0C4949" w14:textId="77777777" w:rsidR="00FD08C3" w:rsidRDefault="00D135DF">
            <w:pPr>
              <w:jc w:val="both"/>
              <w:rPr>
                <w:sz w:val="24"/>
                <w:szCs w:val="24"/>
              </w:rPr>
            </w:pPr>
            <w:r>
              <w:rPr>
                <w:sz w:val="24"/>
                <w:szCs w:val="24"/>
              </w:rPr>
              <w:t>0.49</w:t>
            </w:r>
          </w:p>
        </w:tc>
        <w:tc>
          <w:tcPr>
            <w:tcW w:w="940" w:type="dxa"/>
            <w:tcBorders>
              <w:top w:val="nil"/>
              <w:left w:val="nil"/>
              <w:bottom w:val="nil"/>
              <w:right w:val="nil"/>
            </w:tcBorders>
            <w:tcMar>
              <w:top w:w="100" w:type="dxa"/>
              <w:left w:w="100" w:type="dxa"/>
              <w:bottom w:w="100" w:type="dxa"/>
              <w:right w:w="100" w:type="dxa"/>
            </w:tcMar>
          </w:tcPr>
          <w:p w14:paraId="4B642E17" w14:textId="77777777" w:rsidR="00FD08C3" w:rsidRDefault="00D135DF">
            <w:pPr>
              <w:jc w:val="both"/>
              <w:rPr>
                <w:sz w:val="24"/>
                <w:szCs w:val="24"/>
              </w:rPr>
            </w:pPr>
            <w:r>
              <w:rPr>
                <w:sz w:val="24"/>
                <w:szCs w:val="24"/>
              </w:rPr>
              <w:t>0.614</w:t>
            </w:r>
          </w:p>
        </w:tc>
        <w:tc>
          <w:tcPr>
            <w:tcW w:w="940" w:type="dxa"/>
            <w:tcBorders>
              <w:top w:val="nil"/>
              <w:left w:val="nil"/>
              <w:bottom w:val="nil"/>
              <w:right w:val="nil"/>
            </w:tcBorders>
            <w:tcMar>
              <w:top w:w="100" w:type="dxa"/>
              <w:left w:w="100" w:type="dxa"/>
              <w:bottom w:w="100" w:type="dxa"/>
              <w:right w:w="100" w:type="dxa"/>
            </w:tcMar>
          </w:tcPr>
          <w:p w14:paraId="5D490783" w14:textId="77777777" w:rsidR="00FD08C3" w:rsidRDefault="00D135DF">
            <w:pPr>
              <w:jc w:val="both"/>
              <w:rPr>
                <w:sz w:val="24"/>
                <w:szCs w:val="24"/>
              </w:rPr>
            </w:pPr>
            <w:r>
              <w:rPr>
                <w:sz w:val="24"/>
                <w:szCs w:val="24"/>
              </w:rPr>
              <w:t>NS</w:t>
            </w:r>
          </w:p>
        </w:tc>
      </w:tr>
      <w:tr w:rsidR="00FD08C3" w14:paraId="65ADCCFE" w14:textId="77777777">
        <w:trPr>
          <w:trHeight w:val="515"/>
        </w:trPr>
        <w:tc>
          <w:tcPr>
            <w:tcW w:w="2400" w:type="dxa"/>
            <w:tcBorders>
              <w:top w:val="nil"/>
              <w:left w:val="nil"/>
              <w:bottom w:val="nil"/>
              <w:right w:val="nil"/>
            </w:tcBorders>
            <w:tcMar>
              <w:top w:w="100" w:type="dxa"/>
              <w:left w:w="100" w:type="dxa"/>
              <w:bottom w:w="100" w:type="dxa"/>
              <w:right w:w="100" w:type="dxa"/>
            </w:tcMar>
          </w:tcPr>
          <w:p w14:paraId="2D9B8E5F" w14:textId="77777777" w:rsidR="00FD08C3" w:rsidRDefault="00D135DF">
            <w:pPr>
              <w:jc w:val="both"/>
              <w:rPr>
                <w:sz w:val="24"/>
                <w:szCs w:val="24"/>
              </w:rPr>
            </w:pPr>
            <w:r>
              <w:rPr>
                <w:sz w:val="24"/>
                <w:szCs w:val="24"/>
              </w:rPr>
              <w:t>Bicarbonate (mmol/L)</w:t>
            </w:r>
          </w:p>
        </w:tc>
        <w:tc>
          <w:tcPr>
            <w:tcW w:w="1760" w:type="dxa"/>
            <w:tcBorders>
              <w:top w:val="nil"/>
              <w:left w:val="nil"/>
              <w:bottom w:val="nil"/>
              <w:right w:val="nil"/>
            </w:tcBorders>
            <w:tcMar>
              <w:top w:w="100" w:type="dxa"/>
              <w:left w:w="100" w:type="dxa"/>
              <w:bottom w:w="100" w:type="dxa"/>
              <w:right w:w="100" w:type="dxa"/>
            </w:tcMar>
          </w:tcPr>
          <w:p w14:paraId="43B194F9" w14:textId="77777777" w:rsidR="00FD08C3" w:rsidRDefault="00D135DF">
            <w:pPr>
              <w:jc w:val="both"/>
              <w:rPr>
                <w:sz w:val="24"/>
                <w:szCs w:val="24"/>
              </w:rPr>
            </w:pPr>
            <w:r>
              <w:rPr>
                <w:sz w:val="24"/>
                <w:szCs w:val="24"/>
              </w:rPr>
              <w:t>23.74 ± 1.64</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0EACF2B8" w14:textId="77777777" w:rsidR="00FD08C3" w:rsidRDefault="00D135DF">
            <w:pPr>
              <w:jc w:val="both"/>
              <w:rPr>
                <w:sz w:val="24"/>
                <w:szCs w:val="24"/>
              </w:rPr>
            </w:pPr>
            <w:r>
              <w:rPr>
                <w:sz w:val="24"/>
                <w:szCs w:val="24"/>
              </w:rPr>
              <w:t>24.23 ± 1.69</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1BE843A7" w14:textId="77777777" w:rsidR="00FD08C3" w:rsidRDefault="00D135DF">
            <w:pPr>
              <w:jc w:val="both"/>
              <w:rPr>
                <w:sz w:val="24"/>
                <w:szCs w:val="24"/>
              </w:rPr>
            </w:pPr>
            <w:r>
              <w:rPr>
                <w:sz w:val="24"/>
                <w:szCs w:val="24"/>
              </w:rPr>
              <w:t>24.38 ± 1.70</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38782A18" w14:textId="77777777" w:rsidR="00FD08C3" w:rsidRDefault="00D135DF">
            <w:pPr>
              <w:jc w:val="both"/>
              <w:rPr>
                <w:sz w:val="24"/>
                <w:szCs w:val="24"/>
              </w:rPr>
            </w:pPr>
            <w:r>
              <w:rPr>
                <w:sz w:val="24"/>
                <w:szCs w:val="24"/>
              </w:rPr>
              <w:t>0.88</w:t>
            </w:r>
          </w:p>
        </w:tc>
        <w:tc>
          <w:tcPr>
            <w:tcW w:w="940" w:type="dxa"/>
            <w:tcBorders>
              <w:top w:val="nil"/>
              <w:left w:val="nil"/>
              <w:bottom w:val="nil"/>
              <w:right w:val="nil"/>
            </w:tcBorders>
            <w:tcMar>
              <w:top w:w="100" w:type="dxa"/>
              <w:left w:w="100" w:type="dxa"/>
              <w:bottom w:w="100" w:type="dxa"/>
              <w:right w:w="100" w:type="dxa"/>
            </w:tcMar>
          </w:tcPr>
          <w:p w14:paraId="74F3BF0B" w14:textId="77777777" w:rsidR="00FD08C3" w:rsidRDefault="00D135DF">
            <w:pPr>
              <w:jc w:val="both"/>
              <w:rPr>
                <w:sz w:val="24"/>
                <w:szCs w:val="24"/>
              </w:rPr>
            </w:pPr>
            <w:r>
              <w:rPr>
                <w:sz w:val="24"/>
                <w:szCs w:val="24"/>
              </w:rPr>
              <w:t>0.418</w:t>
            </w:r>
          </w:p>
        </w:tc>
        <w:tc>
          <w:tcPr>
            <w:tcW w:w="940" w:type="dxa"/>
            <w:tcBorders>
              <w:top w:val="nil"/>
              <w:left w:val="nil"/>
              <w:bottom w:val="nil"/>
              <w:right w:val="nil"/>
            </w:tcBorders>
            <w:tcMar>
              <w:top w:w="100" w:type="dxa"/>
              <w:left w:w="100" w:type="dxa"/>
              <w:bottom w:w="100" w:type="dxa"/>
              <w:right w:w="100" w:type="dxa"/>
            </w:tcMar>
          </w:tcPr>
          <w:p w14:paraId="45F51184" w14:textId="77777777" w:rsidR="00FD08C3" w:rsidRDefault="00D135DF">
            <w:pPr>
              <w:jc w:val="both"/>
              <w:rPr>
                <w:sz w:val="24"/>
                <w:szCs w:val="24"/>
              </w:rPr>
            </w:pPr>
            <w:r>
              <w:rPr>
                <w:sz w:val="24"/>
                <w:szCs w:val="24"/>
              </w:rPr>
              <w:t>NS</w:t>
            </w:r>
          </w:p>
        </w:tc>
      </w:tr>
      <w:tr w:rsidR="00FD08C3" w14:paraId="37B56EE4" w14:textId="77777777">
        <w:trPr>
          <w:trHeight w:val="515"/>
        </w:trPr>
        <w:tc>
          <w:tcPr>
            <w:tcW w:w="2400" w:type="dxa"/>
            <w:tcBorders>
              <w:top w:val="nil"/>
              <w:left w:val="nil"/>
              <w:bottom w:val="nil"/>
              <w:right w:val="nil"/>
            </w:tcBorders>
            <w:tcMar>
              <w:top w:w="100" w:type="dxa"/>
              <w:left w:w="100" w:type="dxa"/>
              <w:bottom w:w="100" w:type="dxa"/>
              <w:right w:w="100" w:type="dxa"/>
            </w:tcMar>
          </w:tcPr>
          <w:p w14:paraId="579E1685" w14:textId="77777777" w:rsidR="00FD08C3" w:rsidRDefault="00D135DF">
            <w:pPr>
              <w:jc w:val="both"/>
              <w:rPr>
                <w:sz w:val="24"/>
                <w:szCs w:val="24"/>
              </w:rPr>
            </w:pPr>
            <w:r>
              <w:rPr>
                <w:sz w:val="24"/>
                <w:szCs w:val="24"/>
              </w:rPr>
              <w:t xml:space="preserve">Uric Acid </w:t>
            </w:r>
            <w:r>
              <w:rPr>
                <w:sz w:val="24"/>
                <w:szCs w:val="24"/>
              </w:rPr>
              <w:t>(mmol/L)</w:t>
            </w:r>
          </w:p>
        </w:tc>
        <w:tc>
          <w:tcPr>
            <w:tcW w:w="1760" w:type="dxa"/>
            <w:tcBorders>
              <w:top w:val="nil"/>
              <w:left w:val="nil"/>
              <w:bottom w:val="nil"/>
              <w:right w:val="nil"/>
            </w:tcBorders>
            <w:tcMar>
              <w:top w:w="100" w:type="dxa"/>
              <w:left w:w="100" w:type="dxa"/>
              <w:bottom w:w="100" w:type="dxa"/>
              <w:right w:w="100" w:type="dxa"/>
            </w:tcMar>
          </w:tcPr>
          <w:p w14:paraId="66D2DBE2" w14:textId="77777777" w:rsidR="00FD08C3" w:rsidRDefault="00D135DF">
            <w:pPr>
              <w:jc w:val="both"/>
              <w:rPr>
                <w:sz w:val="24"/>
                <w:szCs w:val="24"/>
              </w:rPr>
            </w:pPr>
            <w:r>
              <w:rPr>
                <w:sz w:val="24"/>
                <w:szCs w:val="24"/>
              </w:rPr>
              <w:t>7.36 ± 0.41</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424A58B3" w14:textId="77777777" w:rsidR="00FD08C3" w:rsidRDefault="00D135DF">
            <w:pPr>
              <w:jc w:val="both"/>
              <w:rPr>
                <w:sz w:val="24"/>
                <w:szCs w:val="24"/>
              </w:rPr>
            </w:pPr>
            <w:r>
              <w:rPr>
                <w:sz w:val="24"/>
                <w:szCs w:val="24"/>
              </w:rPr>
              <w:t>7.31 ± 0.40</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39399E93" w14:textId="77777777" w:rsidR="00FD08C3" w:rsidRDefault="00D135DF">
            <w:pPr>
              <w:jc w:val="both"/>
              <w:rPr>
                <w:sz w:val="24"/>
                <w:szCs w:val="24"/>
              </w:rPr>
            </w:pPr>
            <w:r>
              <w:rPr>
                <w:sz w:val="24"/>
                <w:szCs w:val="24"/>
              </w:rPr>
              <w:t>7.30 ± 0.39</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7285352E" w14:textId="77777777" w:rsidR="00FD08C3" w:rsidRDefault="00D135DF">
            <w:pPr>
              <w:jc w:val="both"/>
              <w:rPr>
                <w:sz w:val="24"/>
                <w:szCs w:val="24"/>
              </w:rPr>
            </w:pPr>
            <w:r>
              <w:rPr>
                <w:sz w:val="24"/>
                <w:szCs w:val="24"/>
              </w:rPr>
              <w:t>0.14</w:t>
            </w:r>
          </w:p>
        </w:tc>
        <w:tc>
          <w:tcPr>
            <w:tcW w:w="940" w:type="dxa"/>
            <w:tcBorders>
              <w:top w:val="nil"/>
              <w:left w:val="nil"/>
              <w:bottom w:val="nil"/>
              <w:right w:val="nil"/>
            </w:tcBorders>
            <w:tcMar>
              <w:top w:w="100" w:type="dxa"/>
              <w:left w:w="100" w:type="dxa"/>
              <w:bottom w:w="100" w:type="dxa"/>
              <w:right w:w="100" w:type="dxa"/>
            </w:tcMar>
          </w:tcPr>
          <w:p w14:paraId="7B56265C" w14:textId="77777777" w:rsidR="00FD08C3" w:rsidRDefault="00D135DF">
            <w:pPr>
              <w:jc w:val="both"/>
              <w:rPr>
                <w:sz w:val="24"/>
                <w:szCs w:val="24"/>
              </w:rPr>
            </w:pPr>
            <w:r>
              <w:rPr>
                <w:sz w:val="24"/>
                <w:szCs w:val="24"/>
              </w:rPr>
              <w:t>0.866</w:t>
            </w:r>
          </w:p>
        </w:tc>
        <w:tc>
          <w:tcPr>
            <w:tcW w:w="940" w:type="dxa"/>
            <w:tcBorders>
              <w:top w:val="nil"/>
              <w:left w:val="nil"/>
              <w:bottom w:val="nil"/>
              <w:right w:val="nil"/>
            </w:tcBorders>
            <w:tcMar>
              <w:top w:w="100" w:type="dxa"/>
              <w:left w:w="100" w:type="dxa"/>
              <w:bottom w:w="100" w:type="dxa"/>
              <w:right w:w="100" w:type="dxa"/>
            </w:tcMar>
          </w:tcPr>
          <w:p w14:paraId="330A92FB" w14:textId="77777777" w:rsidR="00FD08C3" w:rsidRDefault="00D135DF">
            <w:pPr>
              <w:jc w:val="both"/>
              <w:rPr>
                <w:sz w:val="24"/>
                <w:szCs w:val="24"/>
              </w:rPr>
            </w:pPr>
            <w:r>
              <w:rPr>
                <w:sz w:val="24"/>
                <w:szCs w:val="24"/>
              </w:rPr>
              <w:t>NS</w:t>
            </w:r>
          </w:p>
        </w:tc>
      </w:tr>
      <w:tr w:rsidR="00FD08C3" w14:paraId="2952D51E" w14:textId="77777777">
        <w:trPr>
          <w:trHeight w:val="679"/>
        </w:trPr>
        <w:tc>
          <w:tcPr>
            <w:tcW w:w="2400" w:type="dxa"/>
            <w:tcBorders>
              <w:top w:val="nil"/>
              <w:left w:val="nil"/>
              <w:bottom w:val="nil"/>
              <w:right w:val="nil"/>
            </w:tcBorders>
            <w:tcMar>
              <w:top w:w="100" w:type="dxa"/>
              <w:left w:w="100" w:type="dxa"/>
              <w:bottom w:w="100" w:type="dxa"/>
              <w:right w:w="100" w:type="dxa"/>
            </w:tcMar>
          </w:tcPr>
          <w:p w14:paraId="466BF426" w14:textId="77777777" w:rsidR="00FD08C3" w:rsidRDefault="00D135DF">
            <w:pPr>
              <w:rPr>
                <w:sz w:val="24"/>
                <w:szCs w:val="24"/>
              </w:rPr>
            </w:pPr>
            <w:r>
              <w:rPr>
                <w:sz w:val="24"/>
                <w:szCs w:val="24"/>
              </w:rPr>
              <w:t>Uric Acid/Creatinine Ratio</w:t>
            </w:r>
          </w:p>
        </w:tc>
        <w:tc>
          <w:tcPr>
            <w:tcW w:w="1760" w:type="dxa"/>
            <w:tcBorders>
              <w:top w:val="nil"/>
              <w:left w:val="nil"/>
              <w:bottom w:val="nil"/>
              <w:right w:val="nil"/>
            </w:tcBorders>
            <w:tcMar>
              <w:top w:w="100" w:type="dxa"/>
              <w:left w:w="100" w:type="dxa"/>
              <w:bottom w:w="100" w:type="dxa"/>
              <w:right w:w="100" w:type="dxa"/>
            </w:tcMar>
          </w:tcPr>
          <w:p w14:paraId="36822F0C" w14:textId="77777777" w:rsidR="00FD08C3" w:rsidRDefault="00D135DF">
            <w:pPr>
              <w:jc w:val="both"/>
              <w:rPr>
                <w:sz w:val="24"/>
                <w:szCs w:val="24"/>
              </w:rPr>
            </w:pPr>
            <w:r>
              <w:rPr>
                <w:sz w:val="24"/>
                <w:szCs w:val="24"/>
              </w:rPr>
              <w:t>93.04 ± 14.23</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3B539FA6" w14:textId="77777777" w:rsidR="00FD08C3" w:rsidRDefault="00D135DF">
            <w:pPr>
              <w:jc w:val="both"/>
              <w:rPr>
                <w:sz w:val="24"/>
                <w:szCs w:val="24"/>
              </w:rPr>
            </w:pPr>
            <w:r>
              <w:rPr>
                <w:sz w:val="24"/>
                <w:szCs w:val="24"/>
              </w:rPr>
              <w:t>101.28 ± 15.87</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1220774D" w14:textId="77777777" w:rsidR="00FD08C3" w:rsidRDefault="00D135DF">
            <w:pPr>
              <w:jc w:val="both"/>
              <w:rPr>
                <w:sz w:val="24"/>
                <w:szCs w:val="24"/>
              </w:rPr>
            </w:pPr>
            <w:r>
              <w:rPr>
                <w:sz w:val="24"/>
                <w:szCs w:val="24"/>
              </w:rPr>
              <w:t>99.53 ± 19.90</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028D9034" w14:textId="77777777" w:rsidR="00FD08C3" w:rsidRDefault="00D135DF">
            <w:pPr>
              <w:jc w:val="both"/>
              <w:rPr>
                <w:sz w:val="24"/>
                <w:szCs w:val="24"/>
              </w:rPr>
            </w:pPr>
            <w:r>
              <w:rPr>
                <w:sz w:val="24"/>
                <w:szCs w:val="24"/>
              </w:rPr>
              <w:t>1.58</w:t>
            </w:r>
          </w:p>
        </w:tc>
        <w:tc>
          <w:tcPr>
            <w:tcW w:w="940" w:type="dxa"/>
            <w:tcBorders>
              <w:top w:val="nil"/>
              <w:left w:val="nil"/>
              <w:bottom w:val="nil"/>
              <w:right w:val="nil"/>
            </w:tcBorders>
            <w:tcMar>
              <w:top w:w="100" w:type="dxa"/>
              <w:left w:w="100" w:type="dxa"/>
              <w:bottom w:w="100" w:type="dxa"/>
              <w:right w:w="100" w:type="dxa"/>
            </w:tcMar>
          </w:tcPr>
          <w:p w14:paraId="0BE1DC75" w14:textId="77777777" w:rsidR="00FD08C3" w:rsidRDefault="00D135DF">
            <w:pPr>
              <w:jc w:val="both"/>
              <w:rPr>
                <w:sz w:val="24"/>
                <w:szCs w:val="24"/>
              </w:rPr>
            </w:pPr>
            <w:r>
              <w:rPr>
                <w:sz w:val="24"/>
                <w:szCs w:val="24"/>
              </w:rPr>
              <w:t>0.212</w:t>
            </w:r>
          </w:p>
        </w:tc>
        <w:tc>
          <w:tcPr>
            <w:tcW w:w="940" w:type="dxa"/>
            <w:tcBorders>
              <w:top w:val="nil"/>
              <w:left w:val="nil"/>
              <w:bottom w:val="nil"/>
              <w:right w:val="nil"/>
            </w:tcBorders>
            <w:tcMar>
              <w:top w:w="100" w:type="dxa"/>
              <w:left w:w="100" w:type="dxa"/>
              <w:bottom w:w="100" w:type="dxa"/>
              <w:right w:w="100" w:type="dxa"/>
            </w:tcMar>
          </w:tcPr>
          <w:p w14:paraId="72D32582" w14:textId="77777777" w:rsidR="00FD08C3" w:rsidRDefault="00D135DF">
            <w:pPr>
              <w:jc w:val="both"/>
              <w:rPr>
                <w:sz w:val="24"/>
                <w:szCs w:val="24"/>
              </w:rPr>
            </w:pPr>
            <w:r>
              <w:rPr>
                <w:sz w:val="24"/>
                <w:szCs w:val="24"/>
              </w:rPr>
              <w:t>NS</w:t>
            </w:r>
          </w:p>
        </w:tc>
      </w:tr>
      <w:tr w:rsidR="00FD08C3" w14:paraId="43484084" w14:textId="77777777">
        <w:trPr>
          <w:trHeight w:val="800"/>
        </w:trPr>
        <w:tc>
          <w:tcPr>
            <w:tcW w:w="2400" w:type="dxa"/>
            <w:tcBorders>
              <w:top w:val="nil"/>
              <w:left w:val="nil"/>
              <w:bottom w:val="nil"/>
              <w:right w:val="nil"/>
            </w:tcBorders>
            <w:tcMar>
              <w:top w:w="100" w:type="dxa"/>
              <w:left w:w="100" w:type="dxa"/>
              <w:bottom w:w="100" w:type="dxa"/>
              <w:right w:w="100" w:type="dxa"/>
            </w:tcMar>
          </w:tcPr>
          <w:p w14:paraId="69C6B5FD" w14:textId="77777777" w:rsidR="00FD08C3" w:rsidRDefault="00D135DF">
            <w:pPr>
              <w:jc w:val="both"/>
              <w:rPr>
                <w:sz w:val="24"/>
                <w:szCs w:val="24"/>
              </w:rPr>
            </w:pPr>
            <w:r>
              <w:rPr>
                <w:sz w:val="24"/>
                <w:szCs w:val="24"/>
              </w:rPr>
              <w:t>Urea/Creatinine Ratio</w:t>
            </w:r>
          </w:p>
        </w:tc>
        <w:tc>
          <w:tcPr>
            <w:tcW w:w="1760" w:type="dxa"/>
            <w:tcBorders>
              <w:top w:val="nil"/>
              <w:left w:val="nil"/>
              <w:bottom w:val="nil"/>
              <w:right w:val="nil"/>
            </w:tcBorders>
            <w:tcMar>
              <w:top w:w="100" w:type="dxa"/>
              <w:left w:w="100" w:type="dxa"/>
              <w:bottom w:w="100" w:type="dxa"/>
              <w:right w:w="100" w:type="dxa"/>
            </w:tcMar>
          </w:tcPr>
          <w:p w14:paraId="07409FCD" w14:textId="77777777" w:rsidR="00FD08C3" w:rsidRDefault="00D135DF">
            <w:pPr>
              <w:jc w:val="both"/>
              <w:rPr>
                <w:sz w:val="24"/>
                <w:szCs w:val="24"/>
              </w:rPr>
            </w:pPr>
            <w:r>
              <w:rPr>
                <w:sz w:val="24"/>
                <w:szCs w:val="24"/>
              </w:rPr>
              <w:t>69.52 ± 18.55</w:t>
            </w:r>
            <w:r>
              <w:rPr>
                <w:sz w:val="24"/>
                <w:szCs w:val="24"/>
              </w:rPr>
              <w:t>ᵃ</w:t>
            </w:r>
          </w:p>
        </w:tc>
        <w:tc>
          <w:tcPr>
            <w:tcW w:w="1960" w:type="dxa"/>
            <w:tcBorders>
              <w:top w:val="nil"/>
              <w:left w:val="nil"/>
              <w:bottom w:val="nil"/>
              <w:right w:val="nil"/>
            </w:tcBorders>
            <w:tcMar>
              <w:top w:w="100" w:type="dxa"/>
              <w:left w:w="100" w:type="dxa"/>
              <w:bottom w:w="100" w:type="dxa"/>
              <w:right w:w="100" w:type="dxa"/>
            </w:tcMar>
          </w:tcPr>
          <w:p w14:paraId="553F3CBC" w14:textId="77777777" w:rsidR="00FD08C3" w:rsidRDefault="00D135DF">
            <w:pPr>
              <w:jc w:val="both"/>
              <w:rPr>
                <w:sz w:val="24"/>
                <w:szCs w:val="24"/>
              </w:rPr>
            </w:pPr>
            <w:r>
              <w:rPr>
                <w:sz w:val="24"/>
                <w:szCs w:val="24"/>
              </w:rPr>
              <w:t>76.78 ± 16.39</w:t>
            </w:r>
            <w:r>
              <w:rPr>
                <w:sz w:val="24"/>
                <w:szCs w:val="24"/>
              </w:rPr>
              <w:t>ᵃ</w:t>
            </w:r>
          </w:p>
        </w:tc>
        <w:tc>
          <w:tcPr>
            <w:tcW w:w="1720" w:type="dxa"/>
            <w:tcBorders>
              <w:top w:val="nil"/>
              <w:left w:val="nil"/>
              <w:bottom w:val="nil"/>
              <w:right w:val="nil"/>
            </w:tcBorders>
            <w:tcMar>
              <w:top w:w="100" w:type="dxa"/>
              <w:left w:w="100" w:type="dxa"/>
              <w:bottom w:w="100" w:type="dxa"/>
              <w:right w:w="100" w:type="dxa"/>
            </w:tcMar>
          </w:tcPr>
          <w:p w14:paraId="7609DA26" w14:textId="77777777" w:rsidR="00FD08C3" w:rsidRDefault="00D135DF">
            <w:pPr>
              <w:jc w:val="both"/>
              <w:rPr>
                <w:sz w:val="24"/>
                <w:szCs w:val="24"/>
              </w:rPr>
            </w:pPr>
            <w:r>
              <w:rPr>
                <w:sz w:val="24"/>
                <w:szCs w:val="24"/>
              </w:rPr>
              <w:t>76.90 ± 20.68</w:t>
            </w:r>
            <w:r>
              <w:rPr>
                <w:sz w:val="24"/>
                <w:szCs w:val="24"/>
              </w:rPr>
              <w:t>ᵃ</w:t>
            </w:r>
          </w:p>
        </w:tc>
        <w:tc>
          <w:tcPr>
            <w:tcW w:w="1060" w:type="dxa"/>
            <w:tcBorders>
              <w:top w:val="nil"/>
              <w:left w:val="nil"/>
              <w:bottom w:val="nil"/>
              <w:right w:val="nil"/>
            </w:tcBorders>
            <w:tcMar>
              <w:top w:w="100" w:type="dxa"/>
              <w:left w:w="100" w:type="dxa"/>
              <w:bottom w:w="100" w:type="dxa"/>
              <w:right w:w="100" w:type="dxa"/>
            </w:tcMar>
          </w:tcPr>
          <w:p w14:paraId="7302EC8C" w14:textId="77777777" w:rsidR="00FD08C3" w:rsidRDefault="00D135DF">
            <w:pPr>
              <w:jc w:val="both"/>
              <w:rPr>
                <w:sz w:val="24"/>
                <w:szCs w:val="24"/>
              </w:rPr>
            </w:pPr>
            <w:r>
              <w:rPr>
                <w:sz w:val="24"/>
                <w:szCs w:val="24"/>
              </w:rPr>
              <w:t>1.20</w:t>
            </w:r>
          </w:p>
        </w:tc>
        <w:tc>
          <w:tcPr>
            <w:tcW w:w="940" w:type="dxa"/>
            <w:tcBorders>
              <w:top w:val="nil"/>
              <w:left w:val="nil"/>
              <w:bottom w:val="nil"/>
              <w:right w:val="nil"/>
            </w:tcBorders>
            <w:tcMar>
              <w:top w:w="100" w:type="dxa"/>
              <w:left w:w="100" w:type="dxa"/>
              <w:bottom w:w="100" w:type="dxa"/>
              <w:right w:w="100" w:type="dxa"/>
            </w:tcMar>
          </w:tcPr>
          <w:p w14:paraId="5239A3BB" w14:textId="77777777" w:rsidR="00FD08C3" w:rsidRDefault="00D135DF">
            <w:pPr>
              <w:jc w:val="both"/>
              <w:rPr>
                <w:sz w:val="24"/>
                <w:szCs w:val="24"/>
              </w:rPr>
            </w:pPr>
            <w:r>
              <w:rPr>
                <w:sz w:val="24"/>
                <w:szCs w:val="24"/>
              </w:rPr>
              <w:t>0.306</w:t>
            </w:r>
          </w:p>
        </w:tc>
        <w:tc>
          <w:tcPr>
            <w:tcW w:w="940" w:type="dxa"/>
            <w:tcBorders>
              <w:top w:val="nil"/>
              <w:left w:val="nil"/>
              <w:bottom w:val="nil"/>
              <w:right w:val="nil"/>
            </w:tcBorders>
            <w:tcMar>
              <w:top w:w="100" w:type="dxa"/>
              <w:left w:w="100" w:type="dxa"/>
              <w:bottom w:w="100" w:type="dxa"/>
              <w:right w:w="100" w:type="dxa"/>
            </w:tcMar>
          </w:tcPr>
          <w:p w14:paraId="084B13EE" w14:textId="77777777" w:rsidR="00FD08C3" w:rsidRDefault="00D135DF">
            <w:pPr>
              <w:jc w:val="both"/>
              <w:rPr>
                <w:sz w:val="24"/>
                <w:szCs w:val="24"/>
              </w:rPr>
            </w:pPr>
            <w:r>
              <w:rPr>
                <w:sz w:val="24"/>
                <w:szCs w:val="24"/>
              </w:rPr>
              <w:t>NS</w:t>
            </w:r>
          </w:p>
        </w:tc>
      </w:tr>
    </w:tbl>
    <w:p w14:paraId="45DFE47D" w14:textId="77777777" w:rsidR="00FD08C3" w:rsidRDefault="00FD08C3">
      <w:pPr>
        <w:jc w:val="both"/>
        <w:rPr>
          <w:sz w:val="24"/>
          <w:szCs w:val="24"/>
        </w:rPr>
      </w:pPr>
    </w:p>
    <w:p w14:paraId="394D75C3" w14:textId="77777777" w:rsidR="00FD08C3" w:rsidRDefault="00FD08C3"/>
    <w:sectPr w:rsidR="00FD08C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EE049" w14:textId="77777777" w:rsidR="00D135DF" w:rsidRDefault="00D135DF" w:rsidP="005B198D">
      <w:pPr>
        <w:spacing w:line="240" w:lineRule="auto"/>
      </w:pPr>
      <w:r>
        <w:separator/>
      </w:r>
    </w:p>
  </w:endnote>
  <w:endnote w:type="continuationSeparator" w:id="0">
    <w:p w14:paraId="3C5DBF09" w14:textId="77777777" w:rsidR="00D135DF" w:rsidRDefault="00D135DF" w:rsidP="005B19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9465D2-DFE0-4F69-8ECA-FDC37F245D02}"/>
  </w:font>
  <w:font w:name="Cambria">
    <w:panose1 w:val="02040503050406030204"/>
    <w:charset w:val="00"/>
    <w:family w:val="roman"/>
    <w:pitch w:val="variable"/>
    <w:sig w:usb0="E00006FF" w:usb1="420024FF" w:usb2="02000000" w:usb3="00000000" w:csb0="0000019F" w:csb1="00000000"/>
    <w:embedRegular r:id="rId2" w:fontKey="{411F30A3-2C0D-42F9-8A62-E75A69F1B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9E5C7" w14:textId="77777777" w:rsidR="005B198D" w:rsidRDefault="005B1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AB45" w14:textId="77777777" w:rsidR="005B198D" w:rsidRDefault="005B19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53DE" w14:textId="77777777" w:rsidR="005B198D" w:rsidRDefault="005B1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E6DAA" w14:textId="77777777" w:rsidR="00D135DF" w:rsidRDefault="00D135DF" w:rsidP="005B198D">
      <w:pPr>
        <w:spacing w:line="240" w:lineRule="auto"/>
      </w:pPr>
      <w:r>
        <w:separator/>
      </w:r>
    </w:p>
  </w:footnote>
  <w:footnote w:type="continuationSeparator" w:id="0">
    <w:p w14:paraId="0751954B" w14:textId="77777777" w:rsidR="00D135DF" w:rsidRDefault="00D135DF" w:rsidP="005B19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C7B8" w14:textId="4568D93C" w:rsidR="005B198D" w:rsidRDefault="005B198D">
    <w:pPr>
      <w:pStyle w:val="Header"/>
    </w:pPr>
    <w:r>
      <w:rPr>
        <w:noProof/>
      </w:rPr>
      <w:pict w14:anchorId="22417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668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DC77B" w14:textId="475584FE" w:rsidR="005B198D" w:rsidRDefault="005B198D">
    <w:pPr>
      <w:pStyle w:val="Header"/>
    </w:pPr>
    <w:r>
      <w:rPr>
        <w:noProof/>
      </w:rPr>
      <w:pict w14:anchorId="0231B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668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E96E" w14:textId="0F5DE77C" w:rsidR="005B198D" w:rsidRDefault="005B198D">
    <w:pPr>
      <w:pStyle w:val="Header"/>
    </w:pPr>
    <w:r>
      <w:rPr>
        <w:noProof/>
      </w:rPr>
      <w:pict w14:anchorId="0B2B1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668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8C3"/>
    <w:rsid w:val="00541286"/>
    <w:rsid w:val="005B198D"/>
    <w:rsid w:val="005C6EB4"/>
    <w:rsid w:val="006C4CA4"/>
    <w:rsid w:val="008153CC"/>
    <w:rsid w:val="009D2F69"/>
    <w:rsid w:val="00D135DF"/>
    <w:rsid w:val="00E074C8"/>
    <w:rsid w:val="00FD0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C7A92"/>
  <w15:docId w15:val="{F1724921-7469-40A5-94EE-353447EA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E074C8"/>
    <w:rPr>
      <w:color w:val="0000FF" w:themeColor="hyperlink"/>
      <w:u w:val="single"/>
    </w:rPr>
  </w:style>
  <w:style w:type="character" w:styleId="UnresolvedMention">
    <w:name w:val="Unresolved Mention"/>
    <w:basedOn w:val="DefaultParagraphFont"/>
    <w:uiPriority w:val="99"/>
    <w:semiHidden/>
    <w:unhideWhenUsed/>
    <w:rsid w:val="00E074C8"/>
    <w:rPr>
      <w:color w:val="605E5C"/>
      <w:shd w:val="clear" w:color="auto" w:fill="E1DFDD"/>
    </w:rPr>
  </w:style>
  <w:style w:type="paragraph" w:styleId="Header">
    <w:name w:val="header"/>
    <w:basedOn w:val="Normal"/>
    <w:link w:val="HeaderChar"/>
    <w:uiPriority w:val="99"/>
    <w:unhideWhenUsed/>
    <w:rsid w:val="005B198D"/>
    <w:pPr>
      <w:tabs>
        <w:tab w:val="center" w:pos="4680"/>
        <w:tab w:val="right" w:pos="9360"/>
      </w:tabs>
      <w:spacing w:line="240" w:lineRule="auto"/>
    </w:pPr>
  </w:style>
  <w:style w:type="character" w:customStyle="1" w:styleId="HeaderChar">
    <w:name w:val="Header Char"/>
    <w:basedOn w:val="DefaultParagraphFont"/>
    <w:link w:val="Header"/>
    <w:uiPriority w:val="99"/>
    <w:rsid w:val="005B198D"/>
  </w:style>
  <w:style w:type="paragraph" w:styleId="Footer">
    <w:name w:val="footer"/>
    <w:basedOn w:val="Normal"/>
    <w:link w:val="FooterChar"/>
    <w:uiPriority w:val="99"/>
    <w:unhideWhenUsed/>
    <w:rsid w:val="005B198D"/>
    <w:pPr>
      <w:tabs>
        <w:tab w:val="center" w:pos="4680"/>
        <w:tab w:val="right" w:pos="9360"/>
      </w:tabs>
      <w:spacing w:line="240" w:lineRule="auto"/>
    </w:pPr>
  </w:style>
  <w:style w:type="character" w:customStyle="1" w:styleId="FooterChar">
    <w:name w:val="Footer Char"/>
    <w:basedOn w:val="DefaultParagraphFont"/>
    <w:link w:val="Footer"/>
    <w:uiPriority w:val="99"/>
    <w:rsid w:val="005B1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4161</Words>
  <Characters>23724</Characters>
  <Application>Microsoft Office Word</Application>
  <DocSecurity>0</DocSecurity>
  <Lines>197</Lines>
  <Paragraphs>55</Paragraphs>
  <ScaleCrop>false</ScaleCrop>
  <Company/>
  <LinksUpToDate>false</LinksUpToDate>
  <CharactersWithSpaces>27830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2026-04-20T12:49:00Z</dcterms:created>
  <dcterms:modified xsi:type="dcterms:W3CDTF">2026-04-21T11:05:00Z</dcterms:modified>
</cp:coreProperties>
</file>