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6615EF" w14:textId="19810959" w:rsidR="007E558D" w:rsidRDefault="007E558D"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Breaking down the Global HIV Inequality: Hierarchical Beta Mixed-Effects Analysis of Young Male Populations.</w:t>
      </w:r>
    </w:p>
    <w:p w14:paraId="06504BAA" w14:textId="5173724D" w:rsidR="00E21E4F" w:rsidRDefault="00E21E4F" w:rsidP="00150EF8">
      <w:pPr>
        <w:spacing w:after="0"/>
        <w:jc w:val="both"/>
        <w:rPr>
          <w:rFonts w:ascii="Times New Roman" w:hAnsi="Times New Roman" w:cs="Times New Roman"/>
          <w:sz w:val="24"/>
          <w:szCs w:val="24"/>
        </w:rPr>
      </w:pPr>
    </w:p>
    <w:p w14:paraId="788C13C9" w14:textId="77777777" w:rsidR="00E21E4F" w:rsidRDefault="00E21E4F" w:rsidP="00E21E4F">
      <w:pPr>
        <w:jc w:val="both"/>
        <w:rPr>
          <w:rFonts w:ascii="Times New Roman" w:hAnsi="Times New Roman" w:cs="Times New Roman"/>
          <w:sz w:val="24"/>
          <w:szCs w:val="24"/>
        </w:rPr>
      </w:pPr>
    </w:p>
    <w:p w14:paraId="54F4E0FE" w14:textId="77777777" w:rsidR="00E21E4F" w:rsidRPr="00073875" w:rsidRDefault="00E21E4F" w:rsidP="00150EF8">
      <w:pPr>
        <w:spacing w:after="0"/>
        <w:jc w:val="both"/>
        <w:rPr>
          <w:rFonts w:ascii="Times New Roman" w:hAnsi="Times New Roman" w:cs="Times New Roman"/>
          <w:sz w:val="24"/>
          <w:szCs w:val="24"/>
        </w:rPr>
      </w:pPr>
    </w:p>
    <w:p w14:paraId="79E85E8E" w14:textId="77777777" w:rsidR="002B2BFF" w:rsidRDefault="002B2BFF" w:rsidP="00150EF8">
      <w:pPr>
        <w:spacing w:after="0"/>
        <w:jc w:val="both"/>
        <w:rPr>
          <w:rFonts w:ascii="Times New Roman" w:hAnsi="Times New Roman" w:cs="Times New Roman"/>
          <w:b/>
          <w:bCs/>
          <w:sz w:val="24"/>
          <w:szCs w:val="24"/>
        </w:rPr>
      </w:pPr>
    </w:p>
    <w:p w14:paraId="23646C42" w14:textId="523943BC" w:rsidR="007E558D" w:rsidRPr="00073875" w:rsidRDefault="007E558D" w:rsidP="00150EF8">
      <w:pPr>
        <w:spacing w:after="0"/>
        <w:jc w:val="both"/>
        <w:rPr>
          <w:rFonts w:ascii="Times New Roman" w:hAnsi="Times New Roman" w:cs="Times New Roman"/>
          <w:b/>
          <w:bCs/>
          <w:sz w:val="24"/>
          <w:szCs w:val="24"/>
        </w:rPr>
      </w:pPr>
      <w:r w:rsidRPr="00073875">
        <w:rPr>
          <w:rFonts w:ascii="Times New Roman" w:hAnsi="Times New Roman" w:cs="Times New Roman"/>
          <w:b/>
          <w:bCs/>
          <w:sz w:val="24"/>
          <w:szCs w:val="24"/>
        </w:rPr>
        <w:t>Abstract</w:t>
      </w:r>
    </w:p>
    <w:p w14:paraId="5E99F252" w14:textId="2F05BE7F" w:rsidR="007E558D" w:rsidRPr="00073875" w:rsidRDefault="007E558D" w:rsidP="00150EF8">
      <w:pPr>
        <w:spacing w:after="0"/>
        <w:jc w:val="both"/>
        <w:rPr>
          <w:rFonts w:ascii="Times New Roman" w:hAnsi="Times New Roman" w:cs="Times New Roman"/>
          <w:sz w:val="24"/>
          <w:szCs w:val="24"/>
        </w:rPr>
      </w:pPr>
      <w:r w:rsidRPr="00073875">
        <w:rPr>
          <w:rFonts w:ascii="Times New Roman" w:hAnsi="Times New Roman" w:cs="Times New Roman"/>
          <w:b/>
          <w:bCs/>
          <w:sz w:val="24"/>
          <w:szCs w:val="24"/>
        </w:rPr>
        <w:t>Background:</w:t>
      </w:r>
      <w:r w:rsidRPr="00073875">
        <w:rPr>
          <w:rFonts w:ascii="Times New Roman" w:hAnsi="Times New Roman" w:cs="Times New Roman"/>
          <w:sz w:val="24"/>
          <w:szCs w:val="24"/>
        </w:rPr>
        <w:t xml:space="preserve"> HIV infection amongst men aged 15</w:t>
      </w:r>
      <w:r w:rsidR="00595665">
        <w:rPr>
          <w:rFonts w:ascii="Times New Roman" w:hAnsi="Times New Roman" w:cs="Times New Roman"/>
          <w:sz w:val="24"/>
          <w:szCs w:val="24"/>
        </w:rPr>
        <w:t>-</w:t>
      </w:r>
      <w:r w:rsidRPr="00073875">
        <w:rPr>
          <w:rFonts w:ascii="Times New Roman" w:hAnsi="Times New Roman" w:cs="Times New Roman"/>
          <w:sz w:val="24"/>
          <w:szCs w:val="24"/>
        </w:rPr>
        <w:t xml:space="preserve">24 is an important health issue that is of global concern and has significant differences across regions. The current literature is typically based on </w:t>
      </w:r>
      <w:r w:rsidR="00C032E4">
        <w:rPr>
          <w:rFonts w:ascii="Times New Roman" w:hAnsi="Times New Roman" w:cs="Times New Roman"/>
          <w:sz w:val="24"/>
          <w:szCs w:val="24"/>
        </w:rPr>
        <w:t>linear or pooled models that do not adequately account for</w:t>
      </w:r>
      <w:r w:rsidRPr="00073875">
        <w:rPr>
          <w:rFonts w:ascii="Times New Roman" w:hAnsi="Times New Roman" w:cs="Times New Roman"/>
          <w:sz w:val="24"/>
          <w:szCs w:val="24"/>
        </w:rPr>
        <w:t xml:space="preserve"> bounded and heterogeneous </w:t>
      </w:r>
      <w:r w:rsidR="00595665">
        <w:rPr>
          <w:rFonts w:ascii="Times New Roman" w:hAnsi="Times New Roman" w:cs="Times New Roman"/>
          <w:sz w:val="24"/>
          <w:szCs w:val="24"/>
        </w:rPr>
        <w:t>information. The</w:t>
      </w:r>
      <w:r w:rsidR="00595665" w:rsidRPr="00073875">
        <w:rPr>
          <w:rFonts w:ascii="Times New Roman" w:hAnsi="Times New Roman" w:cs="Times New Roman"/>
          <w:sz w:val="24"/>
          <w:szCs w:val="24"/>
        </w:rPr>
        <w:t xml:space="preserve"> </w:t>
      </w:r>
      <w:r w:rsidR="009B2AE5">
        <w:rPr>
          <w:rFonts w:ascii="Times New Roman" w:hAnsi="Times New Roman" w:cs="Times New Roman"/>
          <w:sz w:val="24"/>
          <w:szCs w:val="24"/>
        </w:rPr>
        <w:t>aims</w:t>
      </w:r>
      <w:r w:rsidR="00595665" w:rsidRPr="00073875">
        <w:rPr>
          <w:rFonts w:ascii="Times New Roman" w:hAnsi="Times New Roman" w:cs="Times New Roman"/>
          <w:sz w:val="24"/>
          <w:szCs w:val="24"/>
        </w:rPr>
        <w:t xml:space="preserve"> to approximate country-specific and global time-varying patterns without incurring the cost of excessively </w:t>
      </w:r>
      <w:r w:rsidR="00595665">
        <w:rPr>
          <w:rFonts w:ascii="Times New Roman" w:hAnsi="Times New Roman" w:cs="Times New Roman"/>
          <w:sz w:val="24"/>
          <w:szCs w:val="24"/>
        </w:rPr>
        <w:t>modelling</w:t>
      </w:r>
      <w:r w:rsidR="00595665" w:rsidRPr="00073875">
        <w:rPr>
          <w:rFonts w:ascii="Times New Roman" w:hAnsi="Times New Roman" w:cs="Times New Roman"/>
          <w:sz w:val="24"/>
          <w:szCs w:val="24"/>
        </w:rPr>
        <w:t xml:space="preserve"> the limited fractional nature of the result and breaking down the heterogeneity between countries. </w:t>
      </w:r>
    </w:p>
    <w:p w14:paraId="755F6059" w14:textId="77777777" w:rsidR="002B2BFF" w:rsidRDefault="002B2BFF" w:rsidP="00150EF8">
      <w:pPr>
        <w:spacing w:after="0"/>
        <w:jc w:val="both"/>
        <w:rPr>
          <w:rFonts w:ascii="Times New Roman" w:hAnsi="Times New Roman" w:cs="Times New Roman"/>
          <w:b/>
          <w:bCs/>
          <w:sz w:val="24"/>
          <w:szCs w:val="24"/>
        </w:rPr>
      </w:pPr>
    </w:p>
    <w:p w14:paraId="52F22588" w14:textId="27561A3F" w:rsidR="007E558D" w:rsidRPr="00073875" w:rsidRDefault="007E558D" w:rsidP="00150EF8">
      <w:pPr>
        <w:spacing w:after="0"/>
        <w:jc w:val="both"/>
        <w:rPr>
          <w:rFonts w:ascii="Times New Roman" w:hAnsi="Times New Roman" w:cs="Times New Roman"/>
          <w:sz w:val="24"/>
          <w:szCs w:val="24"/>
        </w:rPr>
      </w:pPr>
      <w:r w:rsidRPr="00073875">
        <w:rPr>
          <w:rFonts w:ascii="Times New Roman" w:hAnsi="Times New Roman" w:cs="Times New Roman"/>
          <w:b/>
          <w:bCs/>
          <w:sz w:val="24"/>
          <w:szCs w:val="24"/>
        </w:rPr>
        <w:t>Methods:</w:t>
      </w:r>
      <w:r w:rsidRPr="00073875">
        <w:rPr>
          <w:rFonts w:ascii="Times New Roman" w:hAnsi="Times New Roman" w:cs="Times New Roman"/>
          <w:sz w:val="24"/>
          <w:szCs w:val="24"/>
        </w:rPr>
        <w:t xml:space="preserve"> </w:t>
      </w:r>
      <w:r w:rsidR="00C032E4">
        <w:rPr>
          <w:rFonts w:ascii="Times New Roman" w:hAnsi="Times New Roman" w:cs="Times New Roman"/>
          <w:sz w:val="24"/>
          <w:szCs w:val="24"/>
        </w:rPr>
        <w:t>The World Bank World Development Indicators longitudinal</w:t>
      </w:r>
      <w:r w:rsidR="00595665">
        <w:rPr>
          <w:rFonts w:ascii="Times New Roman" w:hAnsi="Times New Roman" w:cs="Times New Roman"/>
          <w:sz w:val="24"/>
          <w:szCs w:val="24"/>
        </w:rPr>
        <w:t>, unbalanced panel (1990</w:t>
      </w:r>
      <w:r w:rsidR="00EE0E6F">
        <w:rPr>
          <w:rFonts w:ascii="Times New Roman" w:hAnsi="Times New Roman" w:cs="Times New Roman"/>
          <w:sz w:val="24"/>
          <w:szCs w:val="24"/>
        </w:rPr>
        <w:t>-</w:t>
      </w:r>
      <w:r w:rsidR="00595665">
        <w:rPr>
          <w:rFonts w:ascii="Times New Roman" w:hAnsi="Times New Roman" w:cs="Times New Roman"/>
          <w:sz w:val="24"/>
          <w:szCs w:val="24"/>
        </w:rPr>
        <w:t>2024) was analysed using a multilevel beta-mixed-effects</w:t>
      </w:r>
      <w:r w:rsidRPr="00073875">
        <w:rPr>
          <w:rFonts w:ascii="Times New Roman" w:hAnsi="Times New Roman" w:cs="Times New Roman"/>
          <w:sz w:val="24"/>
          <w:szCs w:val="24"/>
        </w:rPr>
        <w:t xml:space="preserve"> model. The prevalence (%) of HIV was converted into a fractional response that was modelled with random intercepts and slope to account </w:t>
      </w:r>
      <w:r w:rsidR="00224F8B" w:rsidRPr="00073875">
        <w:rPr>
          <w:rFonts w:ascii="Times New Roman" w:hAnsi="Times New Roman" w:cs="Times New Roman"/>
          <w:sz w:val="24"/>
          <w:szCs w:val="24"/>
        </w:rPr>
        <w:t>for country-level</w:t>
      </w:r>
      <w:r w:rsidRPr="00073875">
        <w:rPr>
          <w:rFonts w:ascii="Times New Roman" w:hAnsi="Times New Roman" w:cs="Times New Roman"/>
          <w:sz w:val="24"/>
          <w:szCs w:val="24"/>
        </w:rPr>
        <w:t xml:space="preserve"> heterogeneity. AIC/BIC was used to select the model</w:t>
      </w:r>
      <w:r w:rsidR="00224F8B" w:rsidRPr="00073875">
        <w:rPr>
          <w:rFonts w:ascii="Times New Roman" w:hAnsi="Times New Roman" w:cs="Times New Roman"/>
          <w:sz w:val="24"/>
          <w:szCs w:val="24"/>
        </w:rPr>
        <w:t>,</w:t>
      </w:r>
      <w:r w:rsidRPr="00073875">
        <w:rPr>
          <w:rFonts w:ascii="Times New Roman" w:hAnsi="Times New Roman" w:cs="Times New Roman"/>
          <w:sz w:val="24"/>
          <w:szCs w:val="24"/>
        </w:rPr>
        <w:t xml:space="preserve"> and the results were reported as odds ratios (ORs) accompanied with 95% confidence intervals.</w:t>
      </w:r>
    </w:p>
    <w:p w14:paraId="0E97D32D" w14:textId="77777777" w:rsidR="002B2BFF" w:rsidRDefault="002B2BFF" w:rsidP="00150EF8">
      <w:pPr>
        <w:spacing w:after="0"/>
        <w:jc w:val="both"/>
        <w:rPr>
          <w:rFonts w:ascii="Times New Roman" w:hAnsi="Times New Roman" w:cs="Times New Roman"/>
          <w:b/>
          <w:bCs/>
          <w:sz w:val="24"/>
          <w:szCs w:val="24"/>
        </w:rPr>
      </w:pPr>
    </w:p>
    <w:p w14:paraId="2E96A1E8" w14:textId="17892598" w:rsidR="007E558D" w:rsidRPr="00073875" w:rsidRDefault="007E558D" w:rsidP="00150EF8">
      <w:pPr>
        <w:spacing w:after="0"/>
        <w:jc w:val="both"/>
        <w:rPr>
          <w:rFonts w:ascii="Times New Roman" w:hAnsi="Times New Roman" w:cs="Times New Roman"/>
          <w:sz w:val="24"/>
          <w:szCs w:val="24"/>
        </w:rPr>
      </w:pPr>
      <w:r w:rsidRPr="00073875">
        <w:rPr>
          <w:rFonts w:ascii="Times New Roman" w:hAnsi="Times New Roman" w:cs="Times New Roman"/>
          <w:b/>
          <w:bCs/>
          <w:sz w:val="24"/>
          <w:szCs w:val="24"/>
        </w:rPr>
        <w:t>Findings:</w:t>
      </w:r>
      <w:r w:rsidRPr="00073875">
        <w:rPr>
          <w:rFonts w:ascii="Times New Roman" w:hAnsi="Times New Roman" w:cs="Times New Roman"/>
          <w:sz w:val="24"/>
          <w:szCs w:val="24"/>
        </w:rPr>
        <w:t xml:space="preserve"> The median global prevalence of HIV was 0.53% (0.10), and there was great regional variation. The highest prevalence (1.276% and 0.576% predicted) and predicted prevalence were in sub-Saharan Africa (1.276% and 0.576%). The region-adjusted random-slope beta model (AIC = -64,477.14) was the </w:t>
      </w:r>
      <w:r w:rsidR="00224F8B" w:rsidRPr="00073875">
        <w:rPr>
          <w:rFonts w:ascii="Times New Roman" w:hAnsi="Times New Roman" w:cs="Times New Roman"/>
          <w:sz w:val="24"/>
          <w:szCs w:val="24"/>
        </w:rPr>
        <w:t>best-fitting</w:t>
      </w:r>
      <w:r w:rsidRPr="00073875">
        <w:rPr>
          <w:rFonts w:ascii="Times New Roman" w:hAnsi="Times New Roman" w:cs="Times New Roman"/>
          <w:sz w:val="24"/>
          <w:szCs w:val="24"/>
        </w:rPr>
        <w:t xml:space="preserve"> model. HIV prevalence declined over time (OR = 0.952, p = .002). Sub-Saharan Africa had significantly higher odds of prevalence (OR = 3.131; 95% CI: 2.075</w:t>
      </w:r>
      <w:r w:rsidR="00EE0E6F">
        <w:rPr>
          <w:rFonts w:ascii="Times New Roman" w:hAnsi="Times New Roman" w:cs="Times New Roman"/>
          <w:sz w:val="24"/>
          <w:szCs w:val="24"/>
        </w:rPr>
        <w:t>-</w:t>
      </w:r>
      <w:r w:rsidRPr="00073875">
        <w:rPr>
          <w:rFonts w:ascii="Times New Roman" w:hAnsi="Times New Roman" w:cs="Times New Roman"/>
          <w:sz w:val="24"/>
          <w:szCs w:val="24"/>
        </w:rPr>
        <w:t xml:space="preserve">4.726), followed by Latin America &amp; Caribbean (OR = 1.566; 95% CI: 1.013–2.421). Large heterogeneity at </w:t>
      </w:r>
      <w:r w:rsidR="00224F8B" w:rsidRPr="00073875">
        <w:rPr>
          <w:rFonts w:ascii="Times New Roman" w:hAnsi="Times New Roman" w:cs="Times New Roman"/>
          <w:sz w:val="24"/>
          <w:szCs w:val="24"/>
        </w:rPr>
        <w:t xml:space="preserve">the </w:t>
      </w:r>
      <w:r w:rsidRPr="00073875">
        <w:rPr>
          <w:rFonts w:ascii="Times New Roman" w:hAnsi="Times New Roman" w:cs="Times New Roman"/>
          <w:sz w:val="24"/>
          <w:szCs w:val="24"/>
        </w:rPr>
        <w:t>country level was noted</w:t>
      </w:r>
      <w:r w:rsidR="00224F8B" w:rsidRPr="00073875">
        <w:rPr>
          <w:rFonts w:ascii="Times New Roman" w:hAnsi="Times New Roman" w:cs="Times New Roman"/>
          <w:sz w:val="24"/>
          <w:szCs w:val="24"/>
        </w:rPr>
        <w:t>,</w:t>
      </w:r>
      <w:r w:rsidRPr="00073875">
        <w:rPr>
          <w:rFonts w:ascii="Times New Roman" w:hAnsi="Times New Roman" w:cs="Times New Roman"/>
          <w:sz w:val="24"/>
          <w:szCs w:val="24"/>
        </w:rPr>
        <w:t xml:space="preserve"> with the high-burden countries being Eswatini (6.77%) and Zimbabwe (6.07%).</w:t>
      </w:r>
    </w:p>
    <w:p w14:paraId="4F8AAAF7" w14:textId="77777777" w:rsidR="002B2BFF" w:rsidRDefault="002B2BFF" w:rsidP="00150EF8">
      <w:pPr>
        <w:spacing w:after="0"/>
        <w:jc w:val="both"/>
        <w:rPr>
          <w:rFonts w:ascii="Times New Roman" w:hAnsi="Times New Roman" w:cs="Times New Roman"/>
          <w:b/>
          <w:bCs/>
          <w:sz w:val="24"/>
          <w:szCs w:val="24"/>
        </w:rPr>
      </w:pPr>
    </w:p>
    <w:p w14:paraId="63CE1067" w14:textId="718D29D4" w:rsidR="007E558D" w:rsidRPr="00073875" w:rsidRDefault="007E558D" w:rsidP="00150EF8">
      <w:pPr>
        <w:spacing w:after="0"/>
        <w:jc w:val="both"/>
        <w:rPr>
          <w:rFonts w:ascii="Times New Roman" w:hAnsi="Times New Roman" w:cs="Times New Roman"/>
          <w:sz w:val="24"/>
          <w:szCs w:val="24"/>
        </w:rPr>
      </w:pPr>
      <w:r w:rsidRPr="00073875">
        <w:rPr>
          <w:rFonts w:ascii="Times New Roman" w:hAnsi="Times New Roman" w:cs="Times New Roman"/>
          <w:b/>
          <w:bCs/>
          <w:sz w:val="24"/>
          <w:szCs w:val="24"/>
        </w:rPr>
        <w:t>Conclusion:</w:t>
      </w:r>
      <w:r w:rsidRPr="00073875">
        <w:rPr>
          <w:rFonts w:ascii="Times New Roman" w:hAnsi="Times New Roman" w:cs="Times New Roman"/>
          <w:sz w:val="24"/>
          <w:szCs w:val="24"/>
        </w:rPr>
        <w:t xml:space="preserve"> The prevalence of HIV among young males is decreasing all over the world</w:t>
      </w:r>
      <w:r w:rsidR="00224F8B" w:rsidRPr="00073875">
        <w:rPr>
          <w:rFonts w:ascii="Times New Roman" w:hAnsi="Times New Roman" w:cs="Times New Roman"/>
          <w:sz w:val="24"/>
          <w:szCs w:val="24"/>
        </w:rPr>
        <w:t>,</w:t>
      </w:r>
      <w:r w:rsidRPr="00073875">
        <w:rPr>
          <w:rFonts w:ascii="Times New Roman" w:hAnsi="Times New Roman" w:cs="Times New Roman"/>
          <w:sz w:val="24"/>
          <w:szCs w:val="24"/>
        </w:rPr>
        <w:t xml:space="preserve"> but is very uneven. Multilevel beta modelling offers a more precise and policy-relevant </w:t>
      </w:r>
      <w:r w:rsidR="00224F8B" w:rsidRPr="00073875">
        <w:rPr>
          <w:rFonts w:ascii="Times New Roman" w:hAnsi="Times New Roman" w:cs="Times New Roman"/>
          <w:sz w:val="24"/>
          <w:szCs w:val="24"/>
        </w:rPr>
        <w:t>estimation</w:t>
      </w:r>
      <w:r w:rsidRPr="00073875">
        <w:rPr>
          <w:rFonts w:ascii="Times New Roman" w:hAnsi="Times New Roman" w:cs="Times New Roman"/>
          <w:sz w:val="24"/>
          <w:szCs w:val="24"/>
        </w:rPr>
        <w:t xml:space="preserve"> and an intervention based on the targeted interventions to reach SDG 3.3. To begin with, governments and international health </w:t>
      </w:r>
      <w:r w:rsidR="00224F8B" w:rsidRPr="00073875">
        <w:rPr>
          <w:rFonts w:ascii="Times New Roman" w:hAnsi="Times New Roman" w:cs="Times New Roman"/>
          <w:sz w:val="24"/>
          <w:szCs w:val="24"/>
        </w:rPr>
        <w:t>organisations</w:t>
      </w:r>
      <w:r w:rsidRPr="00073875">
        <w:rPr>
          <w:rFonts w:ascii="Times New Roman" w:hAnsi="Times New Roman" w:cs="Times New Roman"/>
          <w:sz w:val="24"/>
          <w:szCs w:val="24"/>
        </w:rPr>
        <w:t xml:space="preserve"> need to consider focused, data-driven HIV response among young men in high-burden locations and governments and scholars ought to </w:t>
      </w:r>
      <w:r w:rsidR="00224F8B" w:rsidRPr="00073875">
        <w:rPr>
          <w:rFonts w:ascii="Times New Roman" w:hAnsi="Times New Roman" w:cs="Times New Roman"/>
          <w:sz w:val="24"/>
          <w:szCs w:val="24"/>
        </w:rPr>
        <w:t>institutionalise</w:t>
      </w:r>
      <w:r w:rsidRPr="00073875">
        <w:rPr>
          <w:rFonts w:ascii="Times New Roman" w:hAnsi="Times New Roman" w:cs="Times New Roman"/>
          <w:sz w:val="24"/>
          <w:szCs w:val="24"/>
        </w:rPr>
        <w:t xml:space="preserve"> sophisticated statistical modelling (e.g. multilevel beta mixed-effects models) in HIV monitoring and surveillance. </w:t>
      </w:r>
    </w:p>
    <w:p w14:paraId="0FEA8DA0" w14:textId="77777777" w:rsidR="002B2BFF" w:rsidRDefault="002B2BFF" w:rsidP="00150EF8">
      <w:pPr>
        <w:spacing w:after="0"/>
        <w:jc w:val="both"/>
        <w:rPr>
          <w:rFonts w:ascii="Times New Roman" w:hAnsi="Times New Roman" w:cs="Times New Roman"/>
          <w:b/>
          <w:bCs/>
          <w:sz w:val="24"/>
          <w:szCs w:val="24"/>
        </w:rPr>
      </w:pPr>
    </w:p>
    <w:p w14:paraId="439A884F" w14:textId="05E49788" w:rsidR="002B2BFF" w:rsidRDefault="007E558D" w:rsidP="00150EF8">
      <w:pPr>
        <w:spacing w:after="0"/>
        <w:jc w:val="both"/>
        <w:rPr>
          <w:rFonts w:ascii="Times New Roman" w:hAnsi="Times New Roman" w:cs="Times New Roman"/>
          <w:b/>
          <w:bCs/>
          <w:sz w:val="24"/>
          <w:szCs w:val="24"/>
        </w:rPr>
      </w:pPr>
      <w:r w:rsidRPr="00073875">
        <w:rPr>
          <w:rFonts w:ascii="Times New Roman" w:hAnsi="Times New Roman" w:cs="Times New Roman"/>
          <w:b/>
          <w:bCs/>
          <w:sz w:val="24"/>
          <w:szCs w:val="24"/>
        </w:rPr>
        <w:t xml:space="preserve">Keywords: </w:t>
      </w:r>
      <w:r w:rsidR="00CF0809" w:rsidRPr="00073875">
        <w:rPr>
          <w:rFonts w:ascii="Times New Roman" w:hAnsi="Times New Roman" w:cs="Times New Roman"/>
          <w:sz w:val="24"/>
          <w:szCs w:val="24"/>
        </w:rPr>
        <w:t xml:space="preserve">Multilevel Beta Regression, Fractional Response Modelling, Longitudinal Panel Data, Country Level Heterogeneity, Random Effects Modelling, Regional Disparities, </w:t>
      </w:r>
    </w:p>
    <w:p w14:paraId="0158A06F" w14:textId="77777777" w:rsidR="00CF0809" w:rsidRDefault="00CF0809" w:rsidP="00150EF8">
      <w:pPr>
        <w:spacing w:after="0"/>
        <w:jc w:val="both"/>
        <w:rPr>
          <w:rFonts w:ascii="Times New Roman" w:hAnsi="Times New Roman" w:cs="Times New Roman"/>
          <w:b/>
          <w:bCs/>
          <w:sz w:val="24"/>
          <w:szCs w:val="24"/>
        </w:rPr>
      </w:pPr>
    </w:p>
    <w:p w14:paraId="1A7994DA" w14:textId="5D542D3F" w:rsidR="007E558D" w:rsidRPr="00073875" w:rsidRDefault="007E558D" w:rsidP="00150EF8">
      <w:pPr>
        <w:spacing w:after="0"/>
        <w:jc w:val="both"/>
        <w:rPr>
          <w:rFonts w:ascii="Times New Roman" w:hAnsi="Times New Roman" w:cs="Times New Roman"/>
          <w:b/>
          <w:bCs/>
          <w:sz w:val="24"/>
          <w:szCs w:val="24"/>
        </w:rPr>
      </w:pPr>
      <w:r w:rsidRPr="00073875">
        <w:rPr>
          <w:rFonts w:ascii="Times New Roman" w:hAnsi="Times New Roman" w:cs="Times New Roman"/>
          <w:b/>
          <w:bCs/>
          <w:sz w:val="24"/>
          <w:szCs w:val="24"/>
        </w:rPr>
        <w:t>Introduction</w:t>
      </w:r>
    </w:p>
    <w:p w14:paraId="67E11953" w14:textId="77777777" w:rsidR="00F17B13" w:rsidRPr="00F17B13" w:rsidRDefault="007E558D" w:rsidP="00F17B13">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HIV is a significant issue in the health of adolescents and young adults, especially since infections during this age group can predetermine the morbidity, mortality, and reproductive health outcomes, as well as future patterns of transmission (Zhang et al., 2022; Zuma et al., 2022; </w:t>
      </w:r>
      <w:proofErr w:type="spellStart"/>
      <w:r w:rsidRPr="00073875">
        <w:rPr>
          <w:rFonts w:ascii="Times New Roman" w:hAnsi="Times New Roman" w:cs="Times New Roman"/>
          <w:sz w:val="24"/>
          <w:szCs w:val="24"/>
        </w:rPr>
        <w:t>Nwachinemere</w:t>
      </w:r>
      <w:proofErr w:type="spellEnd"/>
      <w:r w:rsidRPr="00073875">
        <w:rPr>
          <w:rFonts w:ascii="Times New Roman" w:hAnsi="Times New Roman" w:cs="Times New Roman"/>
          <w:sz w:val="24"/>
          <w:szCs w:val="24"/>
        </w:rPr>
        <w:t xml:space="preserve"> et al., 2025; Wang et al., 20</w:t>
      </w:r>
      <w:r w:rsidR="000A7830">
        <w:rPr>
          <w:rFonts w:ascii="Times New Roman" w:hAnsi="Times New Roman" w:cs="Times New Roman"/>
          <w:sz w:val="24"/>
          <w:szCs w:val="24"/>
        </w:rPr>
        <w:t>25).</w:t>
      </w:r>
      <w:r w:rsidRPr="00073875">
        <w:rPr>
          <w:rFonts w:ascii="Times New Roman" w:hAnsi="Times New Roman" w:cs="Times New Roman"/>
          <w:sz w:val="24"/>
          <w:szCs w:val="24"/>
        </w:rPr>
        <w:t xml:space="preserve"> </w:t>
      </w:r>
      <w:r w:rsidR="00F17B13" w:rsidRPr="00F17B13">
        <w:rPr>
          <w:rFonts w:ascii="Times New Roman" w:hAnsi="Times New Roman" w:cs="Times New Roman"/>
          <w:sz w:val="24"/>
          <w:szCs w:val="24"/>
        </w:rPr>
        <w:t>This age group of 15-24 is a significant but under-</w:t>
      </w:r>
      <w:r w:rsidR="00F17B13" w:rsidRPr="00F17B13">
        <w:rPr>
          <w:rFonts w:ascii="Times New Roman" w:hAnsi="Times New Roman" w:cs="Times New Roman"/>
          <w:sz w:val="24"/>
          <w:szCs w:val="24"/>
        </w:rPr>
        <w:lastRenderedPageBreak/>
        <w:t xml:space="preserve">investigated subset of the HIV surveillance since their risk behaviours are defined by their behavioural changes, mobility, social norms, availability of prevention methods, uptake of tests, and overall socioeconomic factors. Although the world has made significant progress in terms of reducing new infections by preventing HIV, it has been quite disparate among countries and states (Mody et al., 2024; </w:t>
      </w:r>
      <w:proofErr w:type="spellStart"/>
      <w:r w:rsidR="00F17B13" w:rsidRPr="00F17B13">
        <w:rPr>
          <w:rFonts w:ascii="Times New Roman" w:hAnsi="Times New Roman" w:cs="Times New Roman"/>
          <w:sz w:val="24"/>
          <w:szCs w:val="24"/>
        </w:rPr>
        <w:t>Landovitz</w:t>
      </w:r>
      <w:proofErr w:type="spellEnd"/>
      <w:r w:rsidR="00F17B13" w:rsidRPr="00F17B13">
        <w:rPr>
          <w:rFonts w:ascii="Times New Roman" w:hAnsi="Times New Roman" w:cs="Times New Roman"/>
          <w:sz w:val="24"/>
          <w:szCs w:val="24"/>
        </w:rPr>
        <w:t xml:space="preserve"> et al., 2023; Bekker et al., 2023; Kumah et al., 2023). Such an imbalance means that it is necessary to go beyond descriptive comparisons and the application of statistical models, which allows capturing the overall trends over time of the situation and the variation of countries in HIV prevalence.</w:t>
      </w:r>
    </w:p>
    <w:p w14:paraId="41957984" w14:textId="77777777" w:rsidR="00F17B13" w:rsidRPr="00F17B13" w:rsidRDefault="00F17B13" w:rsidP="00F17B13">
      <w:pPr>
        <w:spacing w:after="0"/>
        <w:jc w:val="both"/>
        <w:rPr>
          <w:rFonts w:ascii="Times New Roman" w:hAnsi="Times New Roman" w:cs="Times New Roman"/>
          <w:sz w:val="24"/>
          <w:szCs w:val="24"/>
        </w:rPr>
      </w:pPr>
    </w:p>
    <w:p w14:paraId="268957EE" w14:textId="77777777" w:rsidR="00F17B13" w:rsidRPr="00F17B13" w:rsidRDefault="00F17B13" w:rsidP="00F17B13">
      <w:pPr>
        <w:spacing w:after="0"/>
        <w:jc w:val="both"/>
        <w:rPr>
          <w:rFonts w:ascii="Times New Roman" w:hAnsi="Times New Roman" w:cs="Times New Roman"/>
          <w:sz w:val="24"/>
          <w:szCs w:val="24"/>
        </w:rPr>
      </w:pPr>
      <w:r w:rsidRPr="00F17B13">
        <w:rPr>
          <w:rFonts w:ascii="Times New Roman" w:hAnsi="Times New Roman" w:cs="Times New Roman"/>
          <w:sz w:val="24"/>
          <w:szCs w:val="24"/>
        </w:rPr>
        <w:t>The present study is informed by the composition of the present-day statistics of HIV prevalence, which are typically longitudinal and uneven and limited due to their expression of prevalence as a percentage or a proportion (</w:t>
      </w:r>
      <w:proofErr w:type="spellStart"/>
      <w:r w:rsidRPr="00F17B13">
        <w:rPr>
          <w:rFonts w:ascii="Times New Roman" w:hAnsi="Times New Roman" w:cs="Times New Roman"/>
          <w:sz w:val="24"/>
          <w:szCs w:val="24"/>
        </w:rPr>
        <w:t>Mobaderi</w:t>
      </w:r>
      <w:proofErr w:type="spellEnd"/>
      <w:r w:rsidRPr="00F17B13">
        <w:rPr>
          <w:rFonts w:ascii="Times New Roman" w:hAnsi="Times New Roman" w:cs="Times New Roman"/>
          <w:sz w:val="24"/>
          <w:szCs w:val="24"/>
        </w:rPr>
        <w:t xml:space="preserve"> et al., 2025; Gupta et al., 2022; Monod et al., 2024; Wang et al., 2026).</w:t>
      </w:r>
      <w:r>
        <w:rPr>
          <w:rFonts w:ascii="Times New Roman" w:hAnsi="Times New Roman" w:cs="Times New Roman"/>
          <w:sz w:val="24"/>
          <w:szCs w:val="24"/>
        </w:rPr>
        <w:t xml:space="preserve"> </w:t>
      </w:r>
      <w:r w:rsidR="00CC48EB" w:rsidRPr="00073875">
        <w:rPr>
          <w:rFonts w:ascii="Times New Roman" w:hAnsi="Times New Roman" w:cs="Times New Roman"/>
          <w:sz w:val="24"/>
          <w:szCs w:val="24"/>
        </w:rPr>
        <w:t xml:space="preserve">These properties are very problematic in terms of methodology. The classical linear forms may fail to work as they do not consider the limitedness of prevalence results and may provide inefficient or inaccurate estimates when variability is connected to the mean. </w:t>
      </w:r>
      <w:r w:rsidRPr="00F17B13">
        <w:rPr>
          <w:rFonts w:ascii="Times New Roman" w:hAnsi="Times New Roman" w:cs="Times New Roman"/>
          <w:sz w:val="24"/>
          <w:szCs w:val="24"/>
        </w:rPr>
        <w:t>Moreover, the gap in history of epidemics, capacity of health systems, test coverage, prevention programs, and completeness of the data are big (Orlando et al., 2025; Kiplagat et al., 2022; Gaumer et al., 2023; Lima et al., 2025; Hensen et al., 2023). It can be successfully used with a multilevel beta mixed-effects model because HIV prevalence is considered a fractional response, the repeated country-years of observation, unbalanced panels and cross-country heterogeneity is also put into consideration.</w:t>
      </w:r>
    </w:p>
    <w:p w14:paraId="7DFF03CC" w14:textId="77777777" w:rsidR="00F17B13" w:rsidRPr="00F17B13" w:rsidRDefault="00F17B13" w:rsidP="00F17B13">
      <w:pPr>
        <w:spacing w:after="0"/>
        <w:jc w:val="both"/>
        <w:rPr>
          <w:rFonts w:ascii="Times New Roman" w:hAnsi="Times New Roman" w:cs="Times New Roman"/>
          <w:sz w:val="24"/>
          <w:szCs w:val="24"/>
        </w:rPr>
      </w:pPr>
    </w:p>
    <w:p w14:paraId="3B41AE1C" w14:textId="77777777" w:rsidR="00F17B13" w:rsidRPr="00F17B13" w:rsidRDefault="00F17B13" w:rsidP="00F17B13">
      <w:pPr>
        <w:spacing w:after="0"/>
        <w:jc w:val="both"/>
        <w:rPr>
          <w:rFonts w:ascii="Times New Roman" w:hAnsi="Times New Roman" w:cs="Times New Roman"/>
          <w:sz w:val="24"/>
          <w:szCs w:val="24"/>
        </w:rPr>
      </w:pPr>
      <w:r w:rsidRPr="00F17B13">
        <w:rPr>
          <w:rFonts w:ascii="Times New Roman" w:hAnsi="Times New Roman" w:cs="Times New Roman"/>
          <w:sz w:val="24"/>
          <w:szCs w:val="24"/>
        </w:rPr>
        <w:t>The existing body of literature on the topic of HIV has been significant in terms of outlining the prevalence trends, high-burden population, and determining the inequalities in HIV outcomes in different regions (Rosenberg et al., 2023; Zuma et al., 2022; Wang et al., 2022; Tian et al., 2024). Much of this literature suggests that geographic area, income brackets and demographic subgroups are significant variables in incidence and prevalence of HIV. Providing studies that focus on youth tend to emphasize the risk of behaviour, condom use, access to testing, coverage of antiretroviral therapy, education, and gender patterns of vulnerability (Duarte-Anselmi et al., 2026; Kanyemba et al., 2023; Zeleke et al., 2024; Phillips et al., 2023; Zapata et al., 2025). Most of the global or multi-country analyses, however, are founded on descriptive trend summaries, the application of ordinary least squares regression, the use of log-linear models, or the use of pooled models that assume that the time effects are the same across countries (</w:t>
      </w:r>
      <w:proofErr w:type="spellStart"/>
      <w:r w:rsidRPr="00F17B13">
        <w:rPr>
          <w:rFonts w:ascii="Times New Roman" w:hAnsi="Times New Roman" w:cs="Times New Roman"/>
          <w:sz w:val="24"/>
          <w:szCs w:val="24"/>
        </w:rPr>
        <w:t>Költringer</w:t>
      </w:r>
      <w:proofErr w:type="spellEnd"/>
      <w:r w:rsidRPr="00F17B13">
        <w:rPr>
          <w:rFonts w:ascii="Times New Roman" w:hAnsi="Times New Roman" w:cs="Times New Roman"/>
          <w:sz w:val="24"/>
          <w:szCs w:val="24"/>
        </w:rPr>
        <w:t xml:space="preserve"> et al., 2023; Soogun et al., 2022; Akinrefon et al., 2023; Jaya et al., 2023). Though these are suitable when the surveillance is conducted over a wide area, they may not be able to point out the correct statistical composition of the HIV prevalence details.</w:t>
      </w:r>
    </w:p>
    <w:p w14:paraId="61C12B88" w14:textId="77777777" w:rsidR="00F17B13" w:rsidRPr="00F17B13" w:rsidRDefault="00F17B13" w:rsidP="00F17B13">
      <w:pPr>
        <w:spacing w:after="0"/>
        <w:jc w:val="both"/>
        <w:rPr>
          <w:rFonts w:ascii="Times New Roman" w:hAnsi="Times New Roman" w:cs="Times New Roman"/>
          <w:sz w:val="24"/>
          <w:szCs w:val="24"/>
        </w:rPr>
      </w:pPr>
    </w:p>
    <w:p w14:paraId="2B491B8A" w14:textId="760E0572" w:rsidR="00C26574" w:rsidRPr="00073875" w:rsidRDefault="00F17B13" w:rsidP="00150EF8">
      <w:pPr>
        <w:spacing w:after="0"/>
        <w:jc w:val="both"/>
        <w:rPr>
          <w:rFonts w:ascii="Times New Roman" w:hAnsi="Times New Roman" w:cs="Times New Roman"/>
          <w:sz w:val="24"/>
          <w:szCs w:val="24"/>
        </w:rPr>
      </w:pPr>
      <w:r w:rsidRPr="00F17B13">
        <w:rPr>
          <w:rFonts w:ascii="Times New Roman" w:hAnsi="Times New Roman" w:cs="Times New Roman"/>
          <w:sz w:val="24"/>
          <w:szCs w:val="24"/>
        </w:rPr>
        <w:t>One of the main weaknesses of the literature is that HIV prevalence is often studied as a continuous outcome that is not limited, even though it is inherently constrained to a value of 0 to 1 on a scale (Ford et al., 2023; Kim et al., 2024; Briceño-Patiño et al., 2025). This could be a breakage of model assumptions especially when the prevalence values are highly skewed, concentrated around zero, or distributed unevenly across countries.</w:t>
      </w:r>
      <w:r>
        <w:rPr>
          <w:rFonts w:ascii="Times New Roman" w:hAnsi="Times New Roman" w:cs="Times New Roman"/>
          <w:sz w:val="24"/>
          <w:szCs w:val="24"/>
        </w:rPr>
        <w:t xml:space="preserve"> </w:t>
      </w:r>
      <w:r w:rsidR="007E558D" w:rsidRPr="00073875">
        <w:rPr>
          <w:rFonts w:ascii="Times New Roman" w:hAnsi="Times New Roman" w:cs="Times New Roman"/>
          <w:sz w:val="24"/>
          <w:szCs w:val="24"/>
        </w:rPr>
        <w:t xml:space="preserve">The other limitation is the lack of modelling of country-level heterogeneity. Nations can have an international trend but have varying prevalence rates and trends in the change. Not paying attention to this hierarchical system may hide significant disparities in the epidemic patterns and undermine the effectiveness of the results to be used in </w:t>
      </w:r>
      <w:r w:rsidR="007E558D" w:rsidRPr="00073875">
        <w:rPr>
          <w:rFonts w:ascii="Times New Roman" w:hAnsi="Times New Roman" w:cs="Times New Roman"/>
          <w:sz w:val="24"/>
          <w:szCs w:val="24"/>
        </w:rPr>
        <w:lastRenderedPageBreak/>
        <w:t>policy targeting. Moreover, a common issue is that numerous studies do not optimally use longitudinal data based on incomplete global panels, where some countries are either dropped or models are used not explicitly designed to support unbalanced data.</w:t>
      </w:r>
    </w:p>
    <w:p w14:paraId="6FCB1290" w14:textId="77777777" w:rsidR="004068D3" w:rsidRDefault="004068D3" w:rsidP="00150EF8">
      <w:pPr>
        <w:spacing w:after="0"/>
        <w:jc w:val="both"/>
        <w:rPr>
          <w:rFonts w:ascii="Times New Roman" w:hAnsi="Times New Roman" w:cs="Times New Roman"/>
          <w:sz w:val="24"/>
          <w:szCs w:val="24"/>
        </w:rPr>
      </w:pPr>
    </w:p>
    <w:p w14:paraId="19668105" w14:textId="160D9BDB"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In this study, the researcher fills these gaps by using a multilevel beta mixed-effects model on the prevalence of HIV in males aged 15</w:t>
      </w:r>
      <w:r w:rsidR="00595665">
        <w:rPr>
          <w:rFonts w:ascii="Times New Roman" w:hAnsi="Times New Roman" w:cs="Times New Roman"/>
          <w:sz w:val="24"/>
          <w:szCs w:val="24"/>
        </w:rPr>
        <w:t>-</w:t>
      </w:r>
      <w:r w:rsidRPr="00073875">
        <w:rPr>
          <w:rFonts w:ascii="Times New Roman" w:hAnsi="Times New Roman" w:cs="Times New Roman"/>
          <w:sz w:val="24"/>
          <w:szCs w:val="24"/>
        </w:rPr>
        <w:t xml:space="preserve">24. The aim is to approximate country-specific and global time-varying patterns without incurring the cost of excessively </w:t>
      </w:r>
      <w:r w:rsidR="004068D3">
        <w:rPr>
          <w:rFonts w:ascii="Times New Roman" w:hAnsi="Times New Roman" w:cs="Times New Roman"/>
          <w:sz w:val="24"/>
          <w:szCs w:val="24"/>
        </w:rPr>
        <w:t>modelling</w:t>
      </w:r>
      <w:r w:rsidRPr="00073875">
        <w:rPr>
          <w:rFonts w:ascii="Times New Roman" w:hAnsi="Times New Roman" w:cs="Times New Roman"/>
          <w:sz w:val="24"/>
          <w:szCs w:val="24"/>
        </w:rPr>
        <w:t xml:space="preserve"> the limited fractional nature of the result and breaking down the heterogeneity between countries. The need to have a more statistically appropriate and </w:t>
      </w:r>
      <w:r w:rsidR="004068D3">
        <w:rPr>
          <w:rFonts w:ascii="Times New Roman" w:hAnsi="Times New Roman" w:cs="Times New Roman"/>
          <w:sz w:val="24"/>
          <w:szCs w:val="24"/>
        </w:rPr>
        <w:t>policy-relevant</w:t>
      </w:r>
      <w:r w:rsidRPr="00073875">
        <w:rPr>
          <w:rFonts w:ascii="Times New Roman" w:hAnsi="Times New Roman" w:cs="Times New Roman"/>
          <w:sz w:val="24"/>
          <w:szCs w:val="24"/>
        </w:rPr>
        <w:t xml:space="preserve"> modelling framework that can be used to enhance on the current linear or pooled modelling approaches justifies the study. This study adds a methodological novelty with random intercepts, random slopes, model diagnostics and APA-style presentation of assumptions, leading to a more powerful evidence base to understand heterogeneous country-specific HIV prevalence dynamics.</w:t>
      </w:r>
    </w:p>
    <w:p w14:paraId="26B0BC73" w14:textId="77777777" w:rsidR="004068D3" w:rsidRDefault="004068D3" w:rsidP="00150EF8">
      <w:pPr>
        <w:keepNext/>
        <w:keepLines/>
        <w:spacing w:before="160" w:after="0" w:line="240" w:lineRule="auto"/>
        <w:outlineLvl w:val="1"/>
        <w:rPr>
          <w:rFonts w:ascii="Times New Roman" w:eastAsia="Times New Roman" w:hAnsi="Times New Roman" w:cs="Times New Roman"/>
          <w:b/>
          <w:bCs/>
          <w:sz w:val="24"/>
          <w:szCs w:val="24"/>
          <w:lang w:val="en"/>
        </w:rPr>
      </w:pPr>
    </w:p>
    <w:p w14:paraId="1527F825" w14:textId="2B52E891" w:rsidR="008412D9" w:rsidRPr="008412D9" w:rsidRDefault="008412D9" w:rsidP="00150EF8">
      <w:pPr>
        <w:keepNext/>
        <w:keepLines/>
        <w:spacing w:before="160" w:after="0" w:line="240" w:lineRule="auto"/>
        <w:outlineLvl w:val="1"/>
        <w:rPr>
          <w:rFonts w:ascii="Times New Roman" w:eastAsia="Times New Roman" w:hAnsi="Times New Roman" w:cs="Times New Roman"/>
          <w:b/>
          <w:bCs/>
          <w:sz w:val="24"/>
          <w:szCs w:val="24"/>
          <w:lang w:val="en"/>
        </w:rPr>
      </w:pPr>
      <w:r w:rsidRPr="008412D9">
        <w:rPr>
          <w:rFonts w:ascii="Times New Roman" w:eastAsia="Times New Roman" w:hAnsi="Times New Roman" w:cs="Times New Roman"/>
          <w:b/>
          <w:bCs/>
          <w:sz w:val="24"/>
          <w:szCs w:val="24"/>
          <w:lang w:val="en"/>
        </w:rPr>
        <w:t>Materials and Methods</w:t>
      </w:r>
    </w:p>
    <w:p w14:paraId="39675D70" w14:textId="77777777" w:rsidR="008412D9" w:rsidRPr="008412D9" w:rsidRDefault="008412D9" w:rsidP="00150EF8">
      <w:pPr>
        <w:keepNext/>
        <w:keepLines/>
        <w:spacing w:before="160" w:after="0" w:line="240" w:lineRule="auto"/>
        <w:outlineLvl w:val="2"/>
        <w:rPr>
          <w:rFonts w:ascii="Times New Roman" w:eastAsia="Times New Roman" w:hAnsi="Times New Roman" w:cs="Times New Roman"/>
          <w:b/>
          <w:bCs/>
          <w:sz w:val="24"/>
          <w:szCs w:val="24"/>
          <w:lang w:val="en"/>
        </w:rPr>
      </w:pPr>
      <w:r w:rsidRPr="008412D9">
        <w:rPr>
          <w:rFonts w:ascii="Times New Roman" w:eastAsia="Times New Roman" w:hAnsi="Times New Roman" w:cs="Times New Roman"/>
          <w:b/>
          <w:bCs/>
          <w:sz w:val="24"/>
          <w:szCs w:val="24"/>
          <w:lang w:val="en"/>
        </w:rPr>
        <w:t>Data Source and Repository</w:t>
      </w:r>
    </w:p>
    <w:p w14:paraId="4D785BCB"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This study used secondary longitudinal data on HIV prevalence among males aged 15–24 years obtained from the World Bank World Development Indicators (WDI) database. The dataset is publicly accessible via the World Bank Open Data platform: </w:t>
      </w:r>
      <w:hyperlink r:id="rId7">
        <w:r w:rsidRPr="008412D9">
          <w:rPr>
            <w:rFonts w:ascii="Times New Roman" w:eastAsia="Aptos" w:hAnsi="Times New Roman" w:cs="Times New Roman"/>
            <w:sz w:val="24"/>
            <w:szCs w:val="24"/>
            <w:lang w:val="en"/>
          </w:rPr>
          <w:t>https://databank.worldbank.org/source/world-development-indicators</w:t>
        </w:r>
      </w:hyperlink>
      <w:r w:rsidRPr="008412D9">
        <w:rPr>
          <w:rFonts w:ascii="Times New Roman" w:eastAsia="Aptos" w:hAnsi="Times New Roman" w:cs="Times New Roman"/>
          <w:sz w:val="24"/>
          <w:szCs w:val="24"/>
          <w:lang w:val="en"/>
        </w:rPr>
        <w:t>. The specific indicator corresponds to HIV prevalence (% of population ages 15–24, male), reported annually at the country level. The dataset spans multiple countries and years (1990–2024), forming a global panel of repeated country–year observations. The use of this repository ensures transparency, reproducibility, and comparability with prior global HIV studies.</w:t>
      </w:r>
    </w:p>
    <w:p w14:paraId="1D6646E0" w14:textId="77777777" w:rsidR="008412D9" w:rsidRPr="008412D9" w:rsidRDefault="008412D9" w:rsidP="00150EF8">
      <w:pPr>
        <w:keepNext/>
        <w:keepLines/>
        <w:spacing w:before="160" w:after="0" w:line="240" w:lineRule="auto"/>
        <w:outlineLvl w:val="2"/>
        <w:rPr>
          <w:rFonts w:ascii="Times New Roman" w:eastAsia="Times New Roman" w:hAnsi="Times New Roman" w:cs="Times New Roman"/>
          <w:b/>
          <w:bCs/>
          <w:sz w:val="24"/>
          <w:szCs w:val="24"/>
          <w:lang w:val="en"/>
        </w:rPr>
      </w:pPr>
      <w:r w:rsidRPr="008412D9">
        <w:rPr>
          <w:rFonts w:ascii="Times New Roman" w:eastAsia="Times New Roman" w:hAnsi="Times New Roman" w:cs="Times New Roman"/>
          <w:b/>
          <w:bCs/>
          <w:sz w:val="24"/>
          <w:szCs w:val="24"/>
          <w:lang w:val="en"/>
        </w:rPr>
        <w:t>Data Structure and Variable Characteristics</w:t>
      </w:r>
    </w:p>
    <w:p w14:paraId="77B9C7D4"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The dataset has a longitudinal (panel) structure defined by country </w:t>
      </w:r>
      <m:oMath>
        <m:r>
          <w:rPr>
            <w:rFonts w:ascii="Cambria Math" w:eastAsia="Aptos" w:hAnsi="Cambria Math" w:cs="Times New Roman"/>
            <w:sz w:val="24"/>
            <w:szCs w:val="24"/>
            <w:lang w:val="en"/>
          </w:rPr>
          <m:t>i</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N</m:t>
        </m:r>
      </m:oMath>
      <w:r w:rsidRPr="008412D9">
        <w:rPr>
          <w:rFonts w:ascii="Times New Roman" w:eastAsia="Aptos" w:hAnsi="Times New Roman" w:cs="Times New Roman"/>
          <w:sz w:val="24"/>
          <w:szCs w:val="24"/>
          <w:lang w:val="en"/>
        </w:rPr>
        <w:t xml:space="preserve"> and year </w:t>
      </w:r>
      <m:oMath>
        <m:r>
          <w:rPr>
            <w:rFonts w:ascii="Cambria Math" w:eastAsia="Aptos" w:hAnsi="Cambria Math" w:cs="Times New Roman"/>
            <w:sz w:val="24"/>
            <w:szCs w:val="24"/>
            <w:lang w:val="en"/>
          </w:rPr>
          <m:t>t</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m:t>
        </m:r>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T</m:t>
            </m:r>
          </m:e>
          <m:sub>
            <m:r>
              <w:rPr>
                <w:rFonts w:ascii="Cambria Math" w:eastAsia="Aptos" w:hAnsi="Cambria Math" w:cs="Times New Roman"/>
                <w:sz w:val="24"/>
                <w:szCs w:val="24"/>
                <w:lang w:val="en"/>
              </w:rPr>
              <m:t>i</m:t>
            </m:r>
          </m:sub>
        </m:sSub>
      </m:oMath>
      <w:r w:rsidRPr="008412D9">
        <w:rPr>
          <w:rFonts w:ascii="Times New Roman" w:eastAsia="Aptos" w:hAnsi="Times New Roman" w:cs="Times New Roman"/>
          <w:sz w:val="24"/>
          <w:szCs w:val="24"/>
          <w:lang w:val="en"/>
        </w:rPr>
        <w:t xml:space="preserve">, where </w:t>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T</m:t>
            </m:r>
          </m:e>
          <m:sub>
            <m:r>
              <w:rPr>
                <w:rFonts w:ascii="Cambria Math" w:eastAsia="Aptos" w:hAnsi="Cambria Math" w:cs="Times New Roman"/>
                <w:sz w:val="24"/>
                <w:szCs w:val="24"/>
                <w:lang w:val="en"/>
              </w:rPr>
              <m:t>i</m:t>
            </m:r>
          </m:sub>
        </m:sSub>
      </m:oMath>
      <w:r w:rsidRPr="008412D9">
        <w:rPr>
          <w:rFonts w:ascii="Times New Roman" w:eastAsia="Aptos" w:hAnsi="Times New Roman" w:cs="Times New Roman"/>
          <w:sz w:val="24"/>
          <w:szCs w:val="24"/>
          <w:lang w:val="en"/>
        </w:rPr>
        <w:t xml:space="preserve"> varies across countries, resulting in an unbalanced panel. The outcome variable is HIV prevalence expressed as a percentage, which was transformed into a proportion:</w:t>
      </w:r>
    </w:p>
    <w:p w14:paraId="3F56BD93" w14:textId="47DC8FE3" w:rsidR="008412D9" w:rsidRPr="008412D9" w:rsidRDefault="006E27DC" w:rsidP="00150EF8">
      <w:pPr>
        <w:spacing w:before="180" w:after="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r>
              <m:rPr>
                <m:nor/>
              </m:rPr>
              <w:rPr>
                <w:rFonts w:ascii="Times New Roman" w:eastAsia="Aptos" w:hAnsi="Times New Roman" w:cs="Times New Roman"/>
                <w:sz w:val="24"/>
                <w:szCs w:val="24"/>
                <w:lang w:val="en"/>
              </w:rPr>
              <m:t>HIV prevalence (%)</m:t>
            </m:r>
          </m:num>
          <m:den>
            <m:r>
              <w:rPr>
                <w:rFonts w:ascii="Cambria Math" w:eastAsia="Aptos" w:hAnsi="Cambria Math" w:cs="Times New Roman"/>
                <w:sz w:val="24"/>
                <w:szCs w:val="24"/>
                <w:lang w:val="en"/>
              </w:rPr>
              <m:t>100</m:t>
            </m:r>
          </m:den>
        </m:f>
      </m:oMath>
      <w:r w:rsidR="00803498">
        <w:rPr>
          <w:rFonts w:ascii="Times New Roman" w:eastAsia="Aptos" w:hAnsi="Times New Roman" w:cs="Times New Roman"/>
          <w:sz w:val="24"/>
          <w:szCs w:val="24"/>
          <w:lang w:val="en"/>
        </w:rPr>
        <w:t xml:space="preserve"> </w:t>
      </w:r>
      <w:r w:rsidR="008412D9" w:rsidRPr="008412D9">
        <w:rPr>
          <w:rFonts w:ascii="Times New Roman" w:eastAsia="Aptos" w:hAnsi="Times New Roman" w:cs="Times New Roman"/>
          <w:sz w:val="24"/>
          <w:szCs w:val="24"/>
          <w:lang w:val="en"/>
        </w:rPr>
        <w:t xml:space="preserve">so that </w:t>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d>
          <m:dPr>
            <m:begChr m:val="["/>
            <m:endChr m:val="]"/>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0</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m:t>
            </m:r>
          </m:e>
        </m:d>
      </m:oMath>
      <w:r w:rsidR="008412D9" w:rsidRPr="008412D9">
        <w:rPr>
          <w:rFonts w:ascii="Times New Roman" w:eastAsia="Aptos" w:hAnsi="Times New Roman" w:cs="Times New Roman"/>
          <w:sz w:val="24"/>
          <w:szCs w:val="24"/>
          <w:lang w:val="en"/>
        </w:rPr>
        <w:t xml:space="preserve">. Because beta regression requires values strictly within the open interval </w:t>
      </w:r>
      <m:oMath>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0</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m:t>
            </m:r>
          </m:e>
        </m:d>
      </m:oMath>
      <w:r w:rsidR="008412D9" w:rsidRPr="008412D9">
        <w:rPr>
          <w:rFonts w:ascii="Times New Roman" w:eastAsia="Aptos" w:hAnsi="Times New Roman" w:cs="Times New Roman"/>
          <w:sz w:val="24"/>
          <w:szCs w:val="24"/>
          <w:lang w:val="en"/>
        </w:rPr>
        <w:t>, boundary observations (0 or 1) were adjusted using a standard continuity correction:</w:t>
      </w:r>
    </w:p>
    <w:p w14:paraId="7DB3825F" w14:textId="58749B39" w:rsidR="008412D9" w:rsidRPr="008412D9" w:rsidRDefault="006E27DC" w:rsidP="00150EF8">
      <w:pPr>
        <w:spacing w:before="180" w:after="0" w:line="240" w:lineRule="auto"/>
        <w:rPr>
          <w:rFonts w:ascii="Times New Roman" w:eastAsia="Aptos" w:hAnsi="Times New Roman" w:cs="Times New Roman"/>
          <w:sz w:val="24"/>
          <w:szCs w:val="24"/>
          <w:lang w:val="en"/>
        </w:rPr>
      </w:pPr>
      <m:oMath>
        <m:sSubSup>
          <m:sSubSupPr>
            <m:ctrlPr>
              <w:rPr>
                <w:rFonts w:ascii="Cambria Math" w:eastAsia="Aptos" w:hAnsi="Cambria Math" w:cs="Times New Roman"/>
                <w:sz w:val="24"/>
                <w:szCs w:val="24"/>
                <w:lang w:val="en"/>
              </w:rPr>
            </m:ctrlPr>
          </m:sSubSup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up>
            <m:r>
              <m:rPr>
                <m:sty m:val="p"/>
              </m:rPr>
              <w:rPr>
                <w:rFonts w:ascii="Cambria Math" w:eastAsia="Aptos" w:hAnsi="Cambria Math" w:cs="Times New Roman"/>
                <w:sz w:val="24"/>
                <w:szCs w:val="24"/>
                <w:lang w:val="en"/>
              </w:rPr>
              <m:t>*</m:t>
            </m:r>
          </m:sup>
        </m:sSubSup>
        <m:r>
          <m:rPr>
            <m:sty m:val="p"/>
          </m:rPr>
          <w:rPr>
            <w:rFonts w:ascii="Cambria Math" w:eastAsia="Aptos" w:hAnsi="Cambria Math" w:cs="Times New Roman"/>
            <w:sz w:val="24"/>
            <w:szCs w:val="24"/>
            <w:lang w:val="en"/>
          </w:rPr>
          <m:t>=</m:t>
        </m:r>
        <m:d>
          <m:dPr>
            <m:begChr m:val="{"/>
            <m:endChr m:val=""/>
            <m:ctrlPr>
              <w:rPr>
                <w:rFonts w:ascii="Cambria Math" w:eastAsia="Aptos" w:hAnsi="Cambria Math" w:cs="Times New Roman"/>
                <w:sz w:val="24"/>
                <w:szCs w:val="24"/>
                <w:lang w:val="en"/>
              </w:rPr>
            </m:ctrlPr>
          </m:dPr>
          <m:e>
            <m:m>
              <m:mPr>
                <m:plcHide m:val="1"/>
                <m:mcs>
                  <m:mc>
                    <m:mcPr>
                      <m:count m:val="2"/>
                      <m:mcJc m:val="left"/>
                    </m:mcPr>
                  </m:mc>
                </m:mcs>
                <m:ctrlPr>
                  <w:rPr>
                    <w:rFonts w:ascii="Cambria Math" w:eastAsia="Aptos" w:hAnsi="Cambria Math" w:cs="Times New Roman"/>
                    <w:sz w:val="24"/>
                    <w:szCs w:val="24"/>
                    <w:lang w:val="en"/>
                  </w:rPr>
                </m:ctrlPr>
              </m:mPr>
              <m:mr>
                <m:e>
                  <m:f>
                    <m:fPr>
                      <m:ctrlPr>
                        <w:rPr>
                          <w:rFonts w:ascii="Cambria Math" w:eastAsia="Aptos" w:hAnsi="Cambria Math" w:cs="Times New Roman"/>
                          <w:sz w:val="24"/>
                          <w:szCs w:val="24"/>
                          <w:lang w:val="en"/>
                        </w:rPr>
                      </m:ctrlPr>
                    </m:fPr>
                    <m:num>
                      <m:r>
                        <w:rPr>
                          <w:rFonts w:ascii="Cambria Math" w:eastAsia="Aptos" w:hAnsi="Cambria Math" w:cs="Times New Roman"/>
                          <w:sz w:val="24"/>
                          <w:szCs w:val="24"/>
                          <w:lang w:val="en"/>
                        </w:rPr>
                        <m:t>0.5</m:t>
                      </m:r>
                    </m:num>
                    <m:den>
                      <m:r>
                        <w:rPr>
                          <w:rFonts w:ascii="Cambria Math" w:eastAsia="Aptos" w:hAnsi="Cambria Math" w:cs="Times New Roman"/>
                          <w:sz w:val="24"/>
                          <w:szCs w:val="24"/>
                          <w:lang w:val="en"/>
                        </w:rPr>
                        <m:t>n</m:t>
                      </m:r>
                    </m:den>
                  </m:f>
                  <m:r>
                    <m:rPr>
                      <m:sty m:val="p"/>
                    </m:rPr>
                    <w:rPr>
                      <w:rFonts w:ascii="Cambria Math" w:eastAsia="Aptos" w:hAnsi="Cambria Math" w:cs="Times New Roman"/>
                      <w:sz w:val="24"/>
                      <w:szCs w:val="24"/>
                      <w:lang w:val="en"/>
                    </w:rPr>
                    <m:t>,</m:t>
                  </m:r>
                </m:e>
                <m:e>
                  <m:r>
                    <m:rPr>
                      <m:nor/>
                    </m:rPr>
                    <w:rPr>
                      <w:rFonts w:ascii="Times New Roman" w:eastAsia="Aptos" w:hAnsi="Times New Roman" w:cs="Times New Roman"/>
                      <w:sz w:val="24"/>
                      <w:szCs w:val="24"/>
                      <w:lang w:val="en"/>
                    </w:rPr>
                    <m:t xml:space="preserve">if </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0</m:t>
                  </m:r>
                </m:e>
              </m:mr>
              <m:mr>
                <m:e>
                  <m:f>
                    <m:fPr>
                      <m:ctrlPr>
                        <w:rPr>
                          <w:rFonts w:ascii="Cambria Math" w:eastAsia="Aptos" w:hAnsi="Cambria Math" w:cs="Times New Roman"/>
                          <w:sz w:val="24"/>
                          <w:szCs w:val="24"/>
                          <w:lang w:val="en"/>
                        </w:rPr>
                      </m:ctrlPr>
                    </m:fPr>
                    <m:num>
                      <m:r>
                        <w:rPr>
                          <w:rFonts w:ascii="Cambria Math" w:eastAsia="Aptos" w:hAnsi="Cambria Math" w:cs="Times New Roman"/>
                          <w:sz w:val="24"/>
                          <w:szCs w:val="24"/>
                          <w:lang w:val="en"/>
                        </w:rPr>
                        <m:t>n</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0.5</m:t>
                      </m:r>
                    </m:num>
                    <m:den>
                      <m:r>
                        <w:rPr>
                          <w:rFonts w:ascii="Cambria Math" w:eastAsia="Aptos" w:hAnsi="Cambria Math" w:cs="Times New Roman"/>
                          <w:sz w:val="24"/>
                          <w:szCs w:val="24"/>
                          <w:lang w:val="en"/>
                        </w:rPr>
                        <m:t>n</m:t>
                      </m:r>
                    </m:den>
                  </m:f>
                  <m:r>
                    <m:rPr>
                      <m:sty m:val="p"/>
                    </m:rPr>
                    <w:rPr>
                      <w:rFonts w:ascii="Cambria Math" w:eastAsia="Aptos" w:hAnsi="Cambria Math" w:cs="Times New Roman"/>
                      <w:sz w:val="24"/>
                      <w:szCs w:val="24"/>
                      <w:lang w:val="en"/>
                    </w:rPr>
                    <m:t>,</m:t>
                  </m:r>
                </m:e>
                <m:e>
                  <m:r>
                    <m:rPr>
                      <m:nor/>
                    </m:rPr>
                    <w:rPr>
                      <w:rFonts w:ascii="Times New Roman" w:eastAsia="Aptos" w:hAnsi="Times New Roman" w:cs="Times New Roman"/>
                      <w:sz w:val="24"/>
                      <w:szCs w:val="24"/>
                      <w:lang w:val="en"/>
                    </w:rPr>
                    <m:t xml:space="preserve">if </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m:t>
                  </m:r>
                </m:e>
              </m:mr>
              <m:m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e>
                <m:e>
                  <m:r>
                    <m:rPr>
                      <m:nor/>
                    </m:rPr>
                    <w:rPr>
                      <w:rFonts w:ascii="Times New Roman" w:eastAsia="Aptos" w:hAnsi="Times New Roman" w:cs="Times New Roman"/>
                      <w:sz w:val="24"/>
                      <w:szCs w:val="24"/>
                      <w:lang w:val="en"/>
                    </w:rPr>
                    <m:t>otherwise</m:t>
                  </m:r>
                </m:e>
              </m:mr>
            </m:m>
          </m:e>
        </m:d>
      </m:oMath>
      <w:r w:rsidR="007110AD">
        <w:rPr>
          <w:rFonts w:ascii="Times New Roman" w:eastAsia="Aptos" w:hAnsi="Times New Roman" w:cs="Times New Roman"/>
          <w:sz w:val="24"/>
          <w:szCs w:val="24"/>
          <w:lang w:val="en"/>
        </w:rPr>
        <w:t>………………………………. (1)</w:t>
      </w:r>
    </w:p>
    <w:p w14:paraId="6A9D6BC6"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where </w:t>
      </w:r>
      <m:oMath>
        <m:r>
          <w:rPr>
            <w:rFonts w:ascii="Cambria Math" w:eastAsia="Aptos" w:hAnsi="Cambria Math" w:cs="Times New Roman"/>
            <w:sz w:val="24"/>
            <w:szCs w:val="24"/>
            <w:lang w:val="en"/>
          </w:rPr>
          <m:t>n</m:t>
        </m:r>
      </m:oMath>
      <w:r w:rsidRPr="008412D9">
        <w:rPr>
          <w:rFonts w:ascii="Times New Roman" w:eastAsia="Aptos" w:hAnsi="Times New Roman" w:cs="Times New Roman"/>
          <w:sz w:val="24"/>
          <w:szCs w:val="24"/>
          <w:lang w:val="en"/>
        </w:rPr>
        <w:t xml:space="preserve"> is the total number of observations.</w:t>
      </w:r>
    </w:p>
    <w:p w14:paraId="343C6F1C"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The main explanatory variable is time (year), which was </w:t>
      </w:r>
      <w:proofErr w:type="spellStart"/>
      <w:r w:rsidRPr="008412D9">
        <w:rPr>
          <w:rFonts w:ascii="Times New Roman" w:eastAsia="Aptos" w:hAnsi="Times New Roman" w:cs="Times New Roman"/>
          <w:sz w:val="24"/>
          <w:szCs w:val="24"/>
          <w:lang w:val="en"/>
        </w:rPr>
        <w:t>centred</w:t>
      </w:r>
      <w:proofErr w:type="spellEnd"/>
      <w:r w:rsidRPr="008412D9">
        <w:rPr>
          <w:rFonts w:ascii="Times New Roman" w:eastAsia="Aptos" w:hAnsi="Times New Roman" w:cs="Times New Roman"/>
          <w:sz w:val="24"/>
          <w:szCs w:val="24"/>
          <w:lang w:val="en"/>
        </w:rPr>
        <w:t xml:space="preserve"> and scaled:</w:t>
      </w:r>
    </w:p>
    <w:p w14:paraId="6629DBB1" w14:textId="2BCF9C3C" w:rsidR="007110AD" w:rsidRPr="008412D9" w:rsidRDefault="006E27DC" w:rsidP="007110AD">
      <w:pPr>
        <w:spacing w:before="180" w:after="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m:rPr>
                <m:nor/>
              </m:rPr>
              <w:rPr>
                <w:rFonts w:ascii="Times New Roman" w:eastAsia="Aptos" w:hAnsi="Times New Roman" w:cs="Times New Roman"/>
                <w:sz w:val="24"/>
                <w:szCs w:val="24"/>
                <w:lang w:val="en"/>
              </w:rPr>
              <m:t>year_scaled</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sSub>
              <m:sSubPr>
                <m:ctrlPr>
                  <w:rPr>
                    <w:rFonts w:ascii="Cambria Math" w:eastAsia="Aptos" w:hAnsi="Cambria Math" w:cs="Times New Roman"/>
                    <w:sz w:val="24"/>
                    <w:szCs w:val="24"/>
                    <w:lang w:val="en"/>
                  </w:rPr>
                </m:ctrlPr>
              </m:sSubPr>
              <m:e>
                <m:r>
                  <m:rPr>
                    <m:nor/>
                  </m:rPr>
                  <w:rPr>
                    <w:rFonts w:ascii="Times New Roman" w:eastAsia="Aptos" w:hAnsi="Times New Roman" w:cs="Times New Roman"/>
                    <w:sz w:val="24"/>
                    <w:szCs w:val="24"/>
                    <w:lang w:val="en"/>
                  </w:rPr>
                  <m:t>year</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acc>
              <m:accPr>
                <m:chr m:val="‾"/>
                <m:ctrlPr>
                  <w:rPr>
                    <w:rFonts w:ascii="Cambria Math" w:eastAsia="Aptos" w:hAnsi="Cambria Math" w:cs="Times New Roman"/>
                    <w:sz w:val="24"/>
                    <w:szCs w:val="24"/>
                    <w:lang w:val="en"/>
                  </w:rPr>
                </m:ctrlPr>
              </m:accPr>
              <m:e>
                <m:r>
                  <m:rPr>
                    <m:nor/>
                  </m:rPr>
                  <w:rPr>
                    <w:rFonts w:ascii="Times New Roman" w:eastAsia="Aptos" w:hAnsi="Times New Roman" w:cs="Times New Roman"/>
                    <w:sz w:val="24"/>
                    <w:szCs w:val="24"/>
                    <w:lang w:val="en"/>
                  </w:rPr>
                  <m:t>year</m:t>
                </m:r>
              </m:e>
            </m:acc>
          </m:num>
          <m:den>
            <m:r>
              <m:rPr>
                <m:nor/>
              </m:rPr>
              <w:rPr>
                <w:rFonts w:ascii="Times New Roman" w:eastAsia="Aptos" w:hAnsi="Times New Roman" w:cs="Times New Roman"/>
                <w:sz w:val="24"/>
                <w:szCs w:val="24"/>
                <w:lang w:val="en"/>
              </w:rPr>
              <m:t>SD</m:t>
            </m:r>
            <m:d>
              <m:dPr>
                <m:ctrlPr>
                  <w:rPr>
                    <w:rFonts w:ascii="Cambria Math" w:eastAsia="Aptos" w:hAnsi="Cambria Math" w:cs="Times New Roman"/>
                    <w:sz w:val="24"/>
                    <w:szCs w:val="24"/>
                    <w:lang w:val="en"/>
                  </w:rPr>
                </m:ctrlPr>
              </m:dPr>
              <m:e>
                <m:r>
                  <m:rPr>
                    <m:nor/>
                  </m:rPr>
                  <w:rPr>
                    <w:rFonts w:ascii="Times New Roman" w:eastAsia="Aptos" w:hAnsi="Times New Roman" w:cs="Times New Roman"/>
                    <w:sz w:val="24"/>
                    <w:szCs w:val="24"/>
                    <w:lang w:val="en"/>
                  </w:rPr>
                  <m:t>year</m:t>
                </m:r>
              </m:e>
            </m:d>
          </m:den>
        </m:f>
      </m:oMath>
      <w:r w:rsidR="007110AD">
        <w:rPr>
          <w:rFonts w:ascii="Times New Roman" w:eastAsia="Aptos" w:hAnsi="Times New Roman" w:cs="Times New Roman"/>
          <w:sz w:val="24"/>
          <w:szCs w:val="24"/>
          <w:lang w:val="en"/>
        </w:rPr>
        <w:t xml:space="preserve"> ………………………………. (2)</w:t>
      </w:r>
    </w:p>
    <w:p w14:paraId="69953175"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lastRenderedPageBreak/>
        <w:t>to improve numerical stability and interpretability. Additional categorical variables were derived, including region, continent, and income group, based on country classification systems. These variables capture structural heterogeneity across countries.</w:t>
      </w:r>
    </w:p>
    <w:p w14:paraId="1B97576F" w14:textId="77777777" w:rsidR="008412D9" w:rsidRPr="008412D9" w:rsidRDefault="008412D9" w:rsidP="00150EF8">
      <w:pPr>
        <w:keepNext/>
        <w:keepLines/>
        <w:spacing w:before="160" w:after="0" w:line="240" w:lineRule="auto"/>
        <w:outlineLvl w:val="2"/>
        <w:rPr>
          <w:rFonts w:ascii="Times New Roman" w:eastAsia="Times New Roman" w:hAnsi="Times New Roman" w:cs="Times New Roman"/>
          <w:b/>
          <w:bCs/>
          <w:sz w:val="24"/>
          <w:szCs w:val="24"/>
          <w:lang w:val="en"/>
        </w:rPr>
      </w:pPr>
      <w:r w:rsidRPr="008412D9">
        <w:rPr>
          <w:rFonts w:ascii="Times New Roman" w:eastAsia="Times New Roman" w:hAnsi="Times New Roman" w:cs="Times New Roman"/>
          <w:b/>
          <w:bCs/>
          <w:sz w:val="24"/>
          <w:szCs w:val="24"/>
          <w:lang w:val="en"/>
        </w:rPr>
        <w:t>Statistical Modelling Framework</w:t>
      </w:r>
    </w:p>
    <w:p w14:paraId="1801EF74"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Given that the outcome is continuous, bounded, and heteroskedastic, a multilevel beta mixed-effects model was employed. The response variable </w:t>
      </w:r>
      <m:oMath>
        <m:sSubSup>
          <m:sSubSupPr>
            <m:ctrlPr>
              <w:rPr>
                <w:rFonts w:ascii="Cambria Math" w:eastAsia="Aptos" w:hAnsi="Cambria Math" w:cs="Times New Roman"/>
                <w:sz w:val="24"/>
                <w:szCs w:val="24"/>
                <w:lang w:val="en"/>
              </w:rPr>
            </m:ctrlPr>
          </m:sSubSup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up>
            <m:r>
              <m:rPr>
                <m:sty m:val="p"/>
              </m:rPr>
              <w:rPr>
                <w:rFonts w:ascii="Cambria Math" w:eastAsia="Aptos" w:hAnsi="Cambria Math" w:cs="Times New Roman"/>
                <w:sz w:val="24"/>
                <w:szCs w:val="24"/>
                <w:lang w:val="en"/>
              </w:rPr>
              <m:t>*</m:t>
            </m:r>
          </m:sup>
        </m:sSubSup>
      </m:oMath>
      <w:r w:rsidRPr="008412D9">
        <w:rPr>
          <w:rFonts w:ascii="Times New Roman" w:eastAsia="Aptos" w:hAnsi="Times New Roman" w:cs="Times New Roman"/>
          <w:sz w:val="24"/>
          <w:szCs w:val="24"/>
          <w:lang w:val="en"/>
        </w:rPr>
        <w:t xml:space="preserve"> is assumed to follow a beta distribution:</w:t>
      </w:r>
    </w:p>
    <w:p w14:paraId="072184CD" w14:textId="637366A8" w:rsidR="008412D9" w:rsidRPr="008412D9" w:rsidRDefault="006E27DC" w:rsidP="00150EF8">
      <w:pPr>
        <w:spacing w:before="180" w:after="0" w:line="240" w:lineRule="auto"/>
        <w:rPr>
          <w:rFonts w:ascii="Times New Roman" w:eastAsia="Aptos" w:hAnsi="Times New Roman" w:cs="Times New Roman"/>
          <w:sz w:val="24"/>
          <w:szCs w:val="24"/>
          <w:lang w:val="en"/>
        </w:rPr>
      </w:pPr>
      <m:oMath>
        <m:sSubSup>
          <m:sSubSupPr>
            <m:ctrlPr>
              <w:rPr>
                <w:rFonts w:ascii="Cambria Math" w:eastAsia="Aptos" w:hAnsi="Cambria Math" w:cs="Times New Roman"/>
                <w:sz w:val="24"/>
                <w:szCs w:val="24"/>
                <w:lang w:val="en"/>
              </w:rPr>
            </m:ctrlPr>
          </m:sSubSup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up>
            <m:r>
              <m:rPr>
                <m:sty m:val="p"/>
              </m:rPr>
              <w:rPr>
                <w:rFonts w:ascii="Cambria Math" w:eastAsia="Aptos" w:hAnsi="Cambria Math" w:cs="Times New Roman"/>
                <w:sz w:val="24"/>
                <w:szCs w:val="24"/>
                <w:lang w:val="en"/>
              </w:rPr>
              <m:t>*</m:t>
            </m:r>
          </m:sup>
        </m:sSubSup>
        <m:r>
          <m:rPr>
            <m:sty m:val="p"/>
          </m:rPr>
          <w:rPr>
            <w:rFonts w:ascii="Cambria Math" w:eastAsia="Aptos" w:hAnsi="Cambria Math" w:cs="Times New Roman"/>
            <w:sz w:val="24"/>
            <w:szCs w:val="24"/>
            <w:lang w:val="en"/>
          </w:rPr>
          <m:t>∼</m:t>
        </m:r>
        <m:r>
          <m:rPr>
            <m:nor/>
          </m:rPr>
          <w:rPr>
            <w:rFonts w:ascii="Times New Roman" w:eastAsia="Aptos" w:hAnsi="Times New Roman" w:cs="Times New Roman"/>
            <w:sz w:val="24"/>
            <w:szCs w:val="24"/>
            <w:lang w:val="en"/>
          </w:rPr>
          <m:t>Beta</m:t>
        </m:r>
        <m:d>
          <m:dPr>
            <m:ctrlPr>
              <w:rPr>
                <w:rFonts w:ascii="Cambria Math" w:eastAsia="Aptos" w:hAnsi="Cambria Math" w:cs="Times New Roman"/>
                <w:sz w:val="24"/>
                <w:szCs w:val="24"/>
                <w:lang w:val="en"/>
              </w:rPr>
            </m:ctrlPr>
          </m:dP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ϕ</m:t>
            </m:r>
          </m:e>
        </m:d>
      </m:oMath>
      <w:r w:rsidR="002D1F21">
        <w:rPr>
          <w:rFonts w:ascii="Times New Roman" w:eastAsia="Aptos" w:hAnsi="Times New Roman" w:cs="Times New Roman"/>
          <w:sz w:val="24"/>
          <w:szCs w:val="24"/>
          <w:lang w:val="en"/>
        </w:rPr>
        <w:t xml:space="preserve">, </w:t>
      </w:r>
      <w:r w:rsidR="008412D9" w:rsidRPr="008412D9">
        <w:rPr>
          <w:rFonts w:ascii="Times New Roman" w:eastAsia="Aptos" w:hAnsi="Times New Roman" w:cs="Times New Roman"/>
          <w:sz w:val="24"/>
          <w:szCs w:val="24"/>
          <w:lang w:val="en"/>
        </w:rPr>
        <w:t xml:space="preserve">where </w:t>
      </w: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it</m:t>
            </m:r>
          </m:sub>
        </m:sSub>
      </m:oMath>
      <w:r w:rsidR="008412D9" w:rsidRPr="008412D9">
        <w:rPr>
          <w:rFonts w:ascii="Times New Roman" w:eastAsia="Aptos" w:hAnsi="Times New Roman" w:cs="Times New Roman"/>
          <w:sz w:val="24"/>
          <w:szCs w:val="24"/>
          <w:lang w:val="en"/>
        </w:rPr>
        <w:t xml:space="preserve"> is the conditional mean and </w:t>
      </w:r>
      <m:oMath>
        <m:r>
          <w:rPr>
            <w:rFonts w:ascii="Cambria Math" w:eastAsia="Aptos" w:hAnsi="Cambria Math" w:cs="Times New Roman"/>
            <w:sz w:val="24"/>
            <w:szCs w:val="24"/>
            <w:lang w:val="en"/>
          </w:rPr>
          <m:t>ϕ</m:t>
        </m:r>
      </m:oMath>
      <w:r w:rsidR="008412D9" w:rsidRPr="008412D9">
        <w:rPr>
          <w:rFonts w:ascii="Times New Roman" w:eastAsia="Aptos" w:hAnsi="Times New Roman" w:cs="Times New Roman"/>
          <w:sz w:val="24"/>
          <w:szCs w:val="24"/>
          <w:lang w:val="en"/>
        </w:rPr>
        <w:t xml:space="preserve"> is the precision parameter controlling dispersion. The beta distribution allows the variance to depend on the mean:</w:t>
      </w:r>
    </w:p>
    <w:p w14:paraId="2BF073F5" w14:textId="117C3FDD" w:rsidR="008412D9" w:rsidRPr="002D1F21" w:rsidRDefault="008412D9" w:rsidP="00150EF8">
      <w:pPr>
        <w:spacing w:before="180" w:after="0" w:line="240" w:lineRule="auto"/>
        <w:rPr>
          <w:rFonts w:ascii="Times New Roman" w:eastAsia="Aptos" w:hAnsi="Times New Roman" w:cs="Times New Roman"/>
          <w:sz w:val="24"/>
          <w:szCs w:val="24"/>
          <w:lang w:val="en"/>
        </w:rPr>
      </w:pPr>
      <m:oMath>
        <m:r>
          <m:rPr>
            <m:nor/>
          </m:rPr>
          <w:rPr>
            <w:rFonts w:ascii="Times New Roman" w:eastAsia="Aptos" w:hAnsi="Times New Roman" w:cs="Times New Roman"/>
            <w:sz w:val="24"/>
            <w:szCs w:val="24"/>
            <w:lang w:val="en"/>
          </w:rPr>
          <m:t>Var</m:t>
        </m:r>
        <m:d>
          <m:dPr>
            <m:ctrlPr>
              <w:rPr>
                <w:rFonts w:ascii="Cambria Math" w:eastAsia="Aptos" w:hAnsi="Cambria Math" w:cs="Times New Roman"/>
                <w:sz w:val="24"/>
                <w:szCs w:val="24"/>
                <w:lang w:val="en"/>
              </w:rPr>
            </m:ctrlPr>
          </m:dPr>
          <m:e>
            <m:sSubSup>
              <m:sSubSupPr>
                <m:ctrlPr>
                  <w:rPr>
                    <w:rFonts w:ascii="Cambria Math" w:eastAsia="Aptos" w:hAnsi="Cambria Math" w:cs="Times New Roman"/>
                    <w:sz w:val="24"/>
                    <w:szCs w:val="24"/>
                    <w:lang w:val="en"/>
                  </w:rPr>
                </m:ctrlPr>
              </m:sSubSupPr>
              <m:e>
                <m:r>
                  <w:rPr>
                    <w:rFonts w:ascii="Cambria Math" w:eastAsia="Aptos" w:hAnsi="Cambria Math" w:cs="Times New Roman"/>
                    <w:sz w:val="24"/>
                    <w:szCs w:val="24"/>
                    <w:lang w:val="en"/>
                  </w:rPr>
                  <m:t>y</m:t>
                </m:r>
              </m:e>
              <m:sub>
                <m:r>
                  <w:rPr>
                    <w:rFonts w:ascii="Cambria Math" w:eastAsia="Aptos" w:hAnsi="Cambria Math" w:cs="Times New Roman"/>
                    <w:sz w:val="24"/>
                    <w:szCs w:val="24"/>
                    <w:lang w:val="en"/>
                  </w:rPr>
                  <m:t>it</m:t>
                </m:r>
              </m:sub>
              <m:sup>
                <m:r>
                  <m:rPr>
                    <m:sty m:val="p"/>
                  </m:rPr>
                  <w:rPr>
                    <w:rFonts w:ascii="Cambria Math" w:eastAsia="Aptos" w:hAnsi="Cambria Math" w:cs="Times New Roman"/>
                    <w:sz w:val="24"/>
                    <w:szCs w:val="24"/>
                    <w:lang w:val="en"/>
                  </w:rPr>
                  <m:t>*</m:t>
                </m:r>
              </m:sup>
            </m:sSubSup>
          </m:e>
        </m:d>
        <m:r>
          <m:rPr>
            <m:sty m:val="p"/>
          </m:rPr>
          <w:rPr>
            <w:rFonts w:ascii="Cambria Math" w:eastAsia="Aptos" w:hAnsi="Cambria Math" w:cs="Times New Roman"/>
            <w:sz w:val="24"/>
            <w:szCs w:val="24"/>
            <w:lang w:val="en"/>
          </w:rPr>
          <m:t>=</m:t>
        </m:r>
        <m:f>
          <m:fPr>
            <m:ctrlPr>
              <w:rPr>
                <w:rFonts w:ascii="Cambria Math" w:eastAsia="Aptos" w:hAnsi="Cambria Math" w:cs="Times New Roman"/>
                <w:sz w:val="24"/>
                <w:szCs w:val="24"/>
                <w:lang w:val="en"/>
              </w:rPr>
            </m:ctrlPr>
          </m:fPr>
          <m:num>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it</m:t>
                </m:r>
              </m:sub>
            </m:sSub>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1</m:t>
                </m:r>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it</m:t>
                    </m:r>
                  </m:sub>
                </m:sSub>
              </m:e>
            </m:d>
          </m:num>
          <m:den>
            <m:r>
              <w:rPr>
                <w:rFonts w:ascii="Cambria Math" w:eastAsia="Aptos" w:hAnsi="Cambria Math" w:cs="Times New Roman"/>
                <w:sz w:val="24"/>
                <w:szCs w:val="24"/>
                <w:lang w:val="en"/>
              </w:rPr>
              <m:t>1</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ϕ</m:t>
            </m:r>
          </m:den>
        </m:f>
      </m:oMath>
      <w:r w:rsidR="002D1F21">
        <w:rPr>
          <w:rFonts w:ascii="Times New Roman" w:eastAsia="Aptos" w:hAnsi="Times New Roman" w:cs="Times New Roman"/>
          <w:sz w:val="24"/>
          <w:szCs w:val="24"/>
          <w:lang w:val="en"/>
        </w:rPr>
        <w:t xml:space="preserve"> ………………………………. (3)</w:t>
      </w:r>
    </w:p>
    <w:p w14:paraId="429D3C6B"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which is appropriate for skewed proportional data.</w:t>
      </w:r>
    </w:p>
    <w:p w14:paraId="2523BA7A"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A logit link function was used to relate the mean to predictors:</w:t>
      </w:r>
    </w:p>
    <w:p w14:paraId="66B5997C" w14:textId="036215C5" w:rsidR="008412D9" w:rsidRPr="002D1F21" w:rsidRDefault="008412D9" w:rsidP="00150EF8">
      <w:pPr>
        <w:spacing w:before="180" w:after="0" w:line="240" w:lineRule="auto"/>
        <w:rPr>
          <w:rFonts w:ascii="Times New Roman" w:eastAsia="Aptos" w:hAnsi="Times New Roman" w:cs="Times New Roman"/>
          <w:sz w:val="24"/>
          <w:szCs w:val="24"/>
          <w:lang w:val="en"/>
        </w:rPr>
      </w:pPr>
      <m:oMath>
        <m:r>
          <m:rPr>
            <m:nor/>
          </m:rPr>
          <w:rPr>
            <w:rFonts w:ascii="Times New Roman" w:eastAsia="Aptos" w:hAnsi="Times New Roman" w:cs="Times New Roman"/>
            <w:sz w:val="24"/>
            <w:szCs w:val="24"/>
            <w:lang w:val="en"/>
          </w:rPr>
          <m:t>logit</m:t>
        </m:r>
        <m:d>
          <m:dPr>
            <m:ctrlPr>
              <w:rPr>
                <w:rFonts w:ascii="Cambria Math" w:eastAsia="Aptos" w:hAnsi="Cambria Math" w:cs="Times New Roman"/>
                <w:sz w:val="24"/>
                <w:szCs w:val="24"/>
                <w:lang w:val="en"/>
              </w:rPr>
            </m:ctrlPr>
          </m:dP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it</m:t>
                </m:r>
              </m:sub>
            </m:sSub>
          </m:e>
        </m:d>
        <m:r>
          <m:rPr>
            <m:sty m:val="p"/>
          </m:rPr>
          <w:rPr>
            <w:rFonts w:ascii="Cambria Math" w:eastAsia="Aptos" w:hAnsi="Cambria Math" w:cs="Times New Roman"/>
            <w:sz w:val="24"/>
            <w:szCs w:val="24"/>
            <w:lang w:val="en"/>
          </w:rPr>
          <m:t>=log</m:t>
        </m:r>
        <m:d>
          <m:dPr>
            <m:ctrlPr>
              <w:rPr>
                <w:rFonts w:ascii="Cambria Math" w:eastAsia="Aptos" w:hAnsi="Cambria Math" w:cs="Times New Roman"/>
                <w:sz w:val="24"/>
                <w:szCs w:val="24"/>
                <w:lang w:val="en"/>
              </w:rPr>
            </m:ctrlPr>
          </m:dPr>
          <m:e>
            <m:f>
              <m:fPr>
                <m:ctrlPr>
                  <w:rPr>
                    <w:rFonts w:ascii="Cambria Math" w:eastAsia="Aptos" w:hAnsi="Cambria Math" w:cs="Times New Roman"/>
                    <w:sz w:val="24"/>
                    <w:szCs w:val="24"/>
                    <w:lang w:val="en"/>
                  </w:rPr>
                </m:ctrlPr>
              </m:fPr>
              <m:num>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it</m:t>
                    </m:r>
                  </m:sub>
                </m:sSub>
              </m:num>
              <m:den>
                <m:r>
                  <w:rPr>
                    <w:rFonts w:ascii="Cambria Math" w:eastAsia="Aptos" w:hAnsi="Cambria Math" w:cs="Times New Roman"/>
                    <w:sz w:val="24"/>
                    <w:szCs w:val="24"/>
                    <w:lang w:val="en"/>
                  </w:rPr>
                  <m:t>1</m:t>
                </m:r>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it</m:t>
                    </m:r>
                  </m:sub>
                </m:sSub>
              </m:den>
            </m:f>
          </m:e>
        </m:d>
      </m:oMath>
      <w:r w:rsidR="002D1F21">
        <w:rPr>
          <w:rFonts w:ascii="Times New Roman" w:eastAsia="Aptos" w:hAnsi="Times New Roman" w:cs="Times New Roman"/>
          <w:sz w:val="24"/>
          <w:szCs w:val="24"/>
          <w:lang w:val="en"/>
        </w:rPr>
        <w:t xml:space="preserve"> ………………………………. (4)</w:t>
      </w:r>
    </w:p>
    <w:p w14:paraId="5FCE089B" w14:textId="77777777" w:rsidR="008412D9" w:rsidRPr="008412D9" w:rsidRDefault="008412D9" w:rsidP="00150EF8">
      <w:pPr>
        <w:keepNext/>
        <w:keepLines/>
        <w:spacing w:before="160" w:after="0" w:line="240" w:lineRule="auto"/>
        <w:outlineLvl w:val="2"/>
        <w:rPr>
          <w:rFonts w:ascii="Times New Roman" w:eastAsia="Times New Roman" w:hAnsi="Times New Roman" w:cs="Times New Roman"/>
          <w:b/>
          <w:bCs/>
          <w:color w:val="0F4761"/>
          <w:sz w:val="24"/>
          <w:szCs w:val="24"/>
          <w:lang w:val="en"/>
        </w:rPr>
      </w:pPr>
      <w:r w:rsidRPr="008412D9">
        <w:rPr>
          <w:rFonts w:ascii="Times New Roman" w:eastAsia="Times New Roman" w:hAnsi="Times New Roman" w:cs="Times New Roman"/>
          <w:b/>
          <w:bCs/>
          <w:sz w:val="24"/>
          <w:szCs w:val="24"/>
          <w:lang w:val="en"/>
        </w:rPr>
        <w:t>Multilevel Model Specification</w:t>
      </w:r>
    </w:p>
    <w:p w14:paraId="7E2D04FC"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To account for repeated observations within countries and cross-country heterogeneity, a hierarchical model was specified. The final model (region-adjusted random-slope beta mixed model) is:</w:t>
      </w:r>
    </w:p>
    <w:p w14:paraId="20254038" w14:textId="13FF7F36" w:rsidR="008412D9" w:rsidRPr="002D1F21" w:rsidRDefault="008412D9" w:rsidP="00150EF8">
      <w:pPr>
        <w:spacing w:before="180" w:after="0" w:line="240" w:lineRule="auto"/>
        <w:rPr>
          <w:rFonts w:ascii="Times New Roman" w:eastAsia="Aptos" w:hAnsi="Times New Roman" w:cs="Times New Roman"/>
          <w:sz w:val="24"/>
          <w:szCs w:val="24"/>
          <w:lang w:val="en"/>
        </w:rPr>
      </w:pPr>
      <m:oMath>
        <m:r>
          <m:rPr>
            <m:nor/>
          </m:rPr>
          <w:rPr>
            <w:rFonts w:ascii="Times New Roman" w:eastAsia="Aptos" w:hAnsi="Times New Roman" w:cs="Times New Roman"/>
            <w:sz w:val="24"/>
            <w:szCs w:val="24"/>
            <w:lang w:val="en"/>
          </w:rPr>
          <m:t>logit</m:t>
        </m:r>
        <m:d>
          <m:dPr>
            <m:ctrlPr>
              <w:rPr>
                <w:rFonts w:ascii="Cambria Math" w:eastAsia="Aptos" w:hAnsi="Cambria Math" w:cs="Times New Roman"/>
                <w:sz w:val="24"/>
                <w:szCs w:val="24"/>
                <w:lang w:val="en"/>
              </w:rPr>
            </m:ctrlPr>
          </m:dP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μ</m:t>
                </m:r>
              </m:e>
              <m:sub>
                <m:r>
                  <w:rPr>
                    <w:rFonts w:ascii="Cambria Math" w:eastAsia="Aptos" w:hAnsi="Cambria Math" w:cs="Times New Roman"/>
                    <w:sz w:val="24"/>
                    <w:szCs w:val="24"/>
                    <w:lang w:val="en"/>
                  </w:rPr>
                  <m:t>it</m:t>
                </m:r>
              </m:sub>
            </m:sSub>
          </m:e>
        </m:d>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0</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1</m:t>
            </m:r>
          </m:sub>
        </m:sSub>
        <m:sSub>
          <m:sSubPr>
            <m:ctrlPr>
              <w:rPr>
                <w:rFonts w:ascii="Cambria Math" w:eastAsia="Aptos" w:hAnsi="Cambria Math" w:cs="Times New Roman"/>
                <w:sz w:val="24"/>
                <w:szCs w:val="24"/>
                <w:lang w:val="en"/>
              </w:rPr>
            </m:ctrlPr>
          </m:sSubPr>
          <m:e>
            <m:r>
              <m:rPr>
                <m:nor/>
              </m:rPr>
              <w:rPr>
                <w:rFonts w:ascii="Times New Roman" w:eastAsia="Aptos" w:hAnsi="Times New Roman" w:cs="Times New Roman"/>
                <w:sz w:val="24"/>
                <w:szCs w:val="24"/>
                <w:lang w:val="en"/>
              </w:rPr>
              <m:t>year</m:t>
            </m:r>
          </m:e>
          <m:sub>
            <m:r>
              <w:rPr>
                <w:rFonts w:ascii="Cambria Math" w:eastAsia="Aptos" w:hAnsi="Cambria Math" w:cs="Times New Roman"/>
                <w:sz w:val="24"/>
                <w:szCs w:val="24"/>
                <w:lang w:val="en"/>
              </w:rPr>
              <m:t>it</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m:rPr>
                <m:sty m:val="p"/>
              </m:rPr>
              <w:rPr>
                <w:rFonts w:ascii="Cambria Math" w:eastAsia="Aptos" w:hAnsi="Cambria Math" w:cs="Times New Roman"/>
                <w:sz w:val="24"/>
                <w:szCs w:val="24"/>
                <w:lang w:val="en"/>
              </w:rPr>
              <m:t>β</m:t>
            </m:r>
          </m:e>
          <m:sub>
            <m:r>
              <m:rPr>
                <m:sty m:val="p"/>
              </m:rPr>
              <w:rPr>
                <w:rFonts w:ascii="Cambria Math" w:eastAsia="Aptos" w:hAnsi="Cambria Math" w:cs="Times New Roman"/>
                <w:sz w:val="24"/>
                <w:szCs w:val="24"/>
                <w:lang w:val="en"/>
              </w:rPr>
              <m:t>2</m:t>
            </m:r>
          </m:sub>
        </m:sSub>
        <m:sSub>
          <m:sSubPr>
            <m:ctrlPr>
              <w:rPr>
                <w:rFonts w:ascii="Cambria Math" w:eastAsia="Aptos" w:hAnsi="Cambria Math" w:cs="Times New Roman"/>
                <w:sz w:val="24"/>
                <w:szCs w:val="24"/>
                <w:lang w:val="en"/>
              </w:rPr>
            </m:ctrlPr>
          </m:sSubPr>
          <m:e>
            <m:r>
              <m:rPr>
                <m:sty m:val="p"/>
              </m:rPr>
              <w:rPr>
                <w:rFonts w:ascii="Cambria Math" w:eastAsia="Aptos" w:hAnsi="Cambria Math" w:cs="Times New Roman"/>
                <w:sz w:val="24"/>
                <w:szCs w:val="24"/>
                <w:lang w:val="en"/>
              </w:rPr>
              <m:t>Region</m:t>
            </m:r>
          </m:e>
          <m:sub>
            <m:r>
              <w:rPr>
                <w:rFonts w:ascii="Cambria Math" w:eastAsia="Aptos" w:hAnsi="Cambria Math" w:cs="Times New Roman"/>
                <w:sz w:val="24"/>
                <w:szCs w:val="24"/>
                <w:lang w:val="en"/>
              </w:rPr>
              <m:t>i</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0i</m:t>
            </m:r>
          </m:sub>
        </m:sSub>
        <m:r>
          <m:rPr>
            <m:sty m:val="p"/>
          </m:rPr>
          <w:rPr>
            <w:rFonts w:ascii="Cambria Math" w:eastAsia="Aptos" w:hAnsi="Cambria Math" w:cs="Times New Roman"/>
            <w:sz w:val="24"/>
            <w:szCs w:val="24"/>
            <w:lang w:val="en"/>
          </w:rPr>
          <m:t>+</m:t>
        </m:r>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1i</m:t>
            </m:r>
          </m:sub>
        </m:sSub>
        <m:sSub>
          <m:sSubPr>
            <m:ctrlPr>
              <w:rPr>
                <w:rFonts w:ascii="Cambria Math" w:eastAsia="Aptos" w:hAnsi="Cambria Math" w:cs="Times New Roman"/>
                <w:sz w:val="24"/>
                <w:szCs w:val="24"/>
                <w:lang w:val="en"/>
              </w:rPr>
            </m:ctrlPr>
          </m:sSubPr>
          <m:e>
            <m:r>
              <m:rPr>
                <m:nor/>
              </m:rPr>
              <w:rPr>
                <w:rFonts w:ascii="Times New Roman" w:eastAsia="Aptos" w:hAnsi="Times New Roman" w:cs="Times New Roman"/>
                <w:sz w:val="24"/>
                <w:szCs w:val="24"/>
                <w:lang w:val="en"/>
              </w:rPr>
              <m:t>year</m:t>
            </m:r>
          </m:e>
          <m:sub>
            <m:r>
              <w:rPr>
                <w:rFonts w:ascii="Cambria Math" w:eastAsia="Aptos" w:hAnsi="Cambria Math" w:cs="Times New Roman"/>
                <w:sz w:val="24"/>
                <w:szCs w:val="24"/>
                <w:lang w:val="en"/>
              </w:rPr>
              <m:t>it</m:t>
            </m:r>
          </m:sub>
        </m:sSub>
      </m:oMath>
      <w:r w:rsidR="002D1F21">
        <w:rPr>
          <w:rFonts w:ascii="Times New Roman" w:eastAsia="Aptos" w:hAnsi="Times New Roman" w:cs="Times New Roman"/>
          <w:sz w:val="24"/>
          <w:szCs w:val="24"/>
          <w:lang w:val="en"/>
        </w:rPr>
        <w:t xml:space="preserve"> ………………………………. (5)</w:t>
      </w:r>
    </w:p>
    <w:p w14:paraId="501D63CF"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where:</w:t>
      </w:r>
    </w:p>
    <w:p w14:paraId="128AD046" w14:textId="77777777" w:rsidR="008412D9" w:rsidRPr="008412D9" w:rsidRDefault="006E27DC" w:rsidP="00150EF8">
      <w:pPr>
        <w:numPr>
          <w:ilvl w:val="0"/>
          <w:numId w:val="1"/>
        </w:numPr>
        <w:spacing w:after="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0</m:t>
            </m:r>
          </m:sub>
        </m:sSub>
      </m:oMath>
      <w:r w:rsidR="008412D9" w:rsidRPr="008412D9">
        <w:rPr>
          <w:rFonts w:ascii="Times New Roman" w:eastAsia="Aptos" w:hAnsi="Times New Roman" w:cs="Times New Roman"/>
          <w:sz w:val="24"/>
          <w:szCs w:val="24"/>
          <w:lang w:val="en"/>
        </w:rPr>
        <w:t xml:space="preserve"> is the fixed intercept (global baseline prevalence),</w:t>
      </w:r>
    </w:p>
    <w:p w14:paraId="7264B943" w14:textId="77777777" w:rsidR="008412D9" w:rsidRPr="008412D9" w:rsidRDefault="006E27DC" w:rsidP="00150EF8">
      <w:pPr>
        <w:numPr>
          <w:ilvl w:val="0"/>
          <w:numId w:val="1"/>
        </w:numPr>
        <w:spacing w:after="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β</m:t>
            </m:r>
          </m:e>
          <m:sub>
            <m:r>
              <w:rPr>
                <w:rFonts w:ascii="Cambria Math" w:eastAsia="Aptos" w:hAnsi="Cambria Math" w:cs="Times New Roman"/>
                <w:sz w:val="24"/>
                <w:szCs w:val="24"/>
                <w:lang w:val="en"/>
              </w:rPr>
              <m:t>1</m:t>
            </m:r>
          </m:sub>
        </m:sSub>
      </m:oMath>
      <w:r w:rsidR="008412D9" w:rsidRPr="008412D9">
        <w:rPr>
          <w:rFonts w:ascii="Times New Roman" w:eastAsia="Aptos" w:hAnsi="Times New Roman" w:cs="Times New Roman"/>
          <w:sz w:val="24"/>
          <w:szCs w:val="24"/>
          <w:lang w:val="en"/>
        </w:rPr>
        <w:t xml:space="preserve"> represents the global temporal trend,</w:t>
      </w:r>
    </w:p>
    <w:p w14:paraId="1D242326" w14:textId="5D5C983B" w:rsidR="008412D9" w:rsidRPr="008412D9" w:rsidRDefault="006E27DC" w:rsidP="00150EF8">
      <w:pPr>
        <w:numPr>
          <w:ilvl w:val="0"/>
          <w:numId w:val="1"/>
        </w:numPr>
        <w:spacing w:after="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m:rPr>
                <m:sty m:val="p"/>
              </m:rPr>
              <w:rPr>
                <w:rFonts w:ascii="Cambria Math" w:eastAsia="Aptos" w:hAnsi="Cambria Math" w:cs="Times New Roman"/>
                <w:sz w:val="24"/>
                <w:szCs w:val="24"/>
                <w:lang w:val="en"/>
              </w:rPr>
              <m:t>β</m:t>
            </m:r>
          </m:e>
          <m:sub>
            <m:r>
              <m:rPr>
                <m:sty m:val="p"/>
              </m:rPr>
              <w:rPr>
                <w:rFonts w:ascii="Cambria Math" w:eastAsia="Aptos" w:hAnsi="Cambria Math" w:cs="Times New Roman"/>
                <w:sz w:val="24"/>
                <w:szCs w:val="24"/>
                <w:lang w:val="en"/>
              </w:rPr>
              <m:t>2</m:t>
            </m:r>
          </m:sub>
        </m:sSub>
      </m:oMath>
      <w:r w:rsidR="008412D9" w:rsidRPr="008412D9">
        <w:rPr>
          <w:rFonts w:ascii="Times New Roman" w:eastAsia="Aptos" w:hAnsi="Times New Roman" w:cs="Times New Roman"/>
          <w:sz w:val="24"/>
          <w:szCs w:val="24"/>
          <w:lang w:val="en"/>
        </w:rPr>
        <w:t xml:space="preserve"> are fixed effects for regional categories,</w:t>
      </w:r>
    </w:p>
    <w:p w14:paraId="0E651A30" w14:textId="77777777" w:rsidR="008412D9" w:rsidRPr="008412D9" w:rsidRDefault="006E27DC" w:rsidP="00150EF8">
      <w:pPr>
        <w:numPr>
          <w:ilvl w:val="0"/>
          <w:numId w:val="1"/>
        </w:numPr>
        <w:spacing w:after="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0</m:t>
            </m:r>
            <m:r>
              <w:rPr>
                <w:rFonts w:ascii="Cambria Math" w:eastAsia="Aptos" w:hAnsi="Cambria Math" w:cs="Times New Roman"/>
                <w:sz w:val="24"/>
                <w:szCs w:val="24"/>
                <w:lang w:val="en"/>
              </w:rPr>
              <m:t>i</m:t>
            </m:r>
          </m:sub>
        </m:sSub>
      </m:oMath>
      <w:r w:rsidR="008412D9" w:rsidRPr="008412D9">
        <w:rPr>
          <w:rFonts w:ascii="Times New Roman" w:eastAsia="Aptos" w:hAnsi="Times New Roman" w:cs="Times New Roman"/>
          <w:sz w:val="24"/>
          <w:szCs w:val="24"/>
          <w:lang w:val="en"/>
        </w:rPr>
        <w:t xml:space="preserve"> is the country-specific random intercept,</w:t>
      </w:r>
    </w:p>
    <w:p w14:paraId="57AA4B73" w14:textId="77777777" w:rsidR="008412D9" w:rsidRPr="008412D9" w:rsidRDefault="006E27DC" w:rsidP="00150EF8">
      <w:pPr>
        <w:numPr>
          <w:ilvl w:val="0"/>
          <w:numId w:val="1"/>
        </w:numPr>
        <w:spacing w:after="0" w:line="240" w:lineRule="auto"/>
        <w:rPr>
          <w:rFonts w:ascii="Times New Roman" w:eastAsia="Aptos" w:hAnsi="Times New Roman" w:cs="Times New Roman"/>
          <w:sz w:val="24"/>
          <w:szCs w:val="24"/>
          <w:lang w:val="en"/>
        </w:rPr>
      </w:pPr>
      <m:oMath>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1</m:t>
            </m:r>
            <m:r>
              <w:rPr>
                <w:rFonts w:ascii="Cambria Math" w:eastAsia="Aptos" w:hAnsi="Cambria Math" w:cs="Times New Roman"/>
                <w:sz w:val="24"/>
                <w:szCs w:val="24"/>
                <w:lang w:val="en"/>
              </w:rPr>
              <m:t>i</m:t>
            </m:r>
          </m:sub>
        </m:sSub>
      </m:oMath>
      <w:r w:rsidR="008412D9" w:rsidRPr="008412D9">
        <w:rPr>
          <w:rFonts w:ascii="Times New Roman" w:eastAsia="Aptos" w:hAnsi="Times New Roman" w:cs="Times New Roman"/>
          <w:sz w:val="24"/>
          <w:szCs w:val="24"/>
          <w:lang w:val="en"/>
        </w:rPr>
        <w:t xml:space="preserve"> is the country-specific random slope for time.</w:t>
      </w:r>
    </w:p>
    <w:p w14:paraId="3B1D5478"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The random effects are assumed to follow a multivariate normal distribution:</w:t>
      </w:r>
    </w:p>
    <w:p w14:paraId="0CA55955" w14:textId="6DBEE069" w:rsidR="00732A30" w:rsidRPr="002D1F21" w:rsidRDefault="006E27DC" w:rsidP="00732A30">
      <w:pPr>
        <w:spacing w:before="180" w:after="0" w:line="240" w:lineRule="auto"/>
        <w:rPr>
          <w:rFonts w:ascii="Times New Roman" w:eastAsia="Aptos" w:hAnsi="Times New Roman" w:cs="Times New Roman"/>
          <w:sz w:val="24"/>
          <w:szCs w:val="24"/>
          <w:lang w:val="en"/>
        </w:rPr>
      </w:pPr>
      <m:oMath>
        <m:d>
          <m:dPr>
            <m:ctrlPr>
              <w:rPr>
                <w:rFonts w:ascii="Cambria Math" w:eastAsia="Aptos" w:hAnsi="Cambria Math" w:cs="Times New Roman"/>
                <w:sz w:val="24"/>
                <w:szCs w:val="24"/>
                <w:lang w:val="en"/>
              </w:rPr>
            </m:ctrlPr>
          </m:dPr>
          <m:e>
            <m:m>
              <m:mPr>
                <m:plcHide m:val="1"/>
                <m:mcs>
                  <m:mc>
                    <m:mcPr>
                      <m:count m:val="1"/>
                      <m:mcJc m:val="center"/>
                    </m:mcPr>
                  </m:mc>
                </m:mcs>
                <m:ctrlPr>
                  <w:rPr>
                    <w:rFonts w:ascii="Cambria Math" w:eastAsia="Aptos" w:hAnsi="Cambria Math" w:cs="Times New Roman"/>
                    <w:sz w:val="24"/>
                    <w:szCs w:val="24"/>
                    <w:lang w:val="en"/>
                  </w:rPr>
                </m:ctrlPr>
              </m:mPr>
              <m:m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0</m:t>
                      </m:r>
                      <m:r>
                        <w:rPr>
                          <w:rFonts w:ascii="Cambria Math" w:eastAsia="Aptos" w:hAnsi="Cambria Math" w:cs="Times New Roman"/>
                          <w:sz w:val="24"/>
                          <w:szCs w:val="24"/>
                          <w:lang w:val="en"/>
                        </w:rPr>
                        <m:t>i</m:t>
                      </m:r>
                    </m:sub>
                  </m:sSub>
                </m:e>
              </m:mr>
              <m:m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u</m:t>
                      </m:r>
                    </m:e>
                    <m:sub>
                      <m:r>
                        <w:rPr>
                          <w:rFonts w:ascii="Cambria Math" w:eastAsia="Aptos" w:hAnsi="Cambria Math" w:cs="Times New Roman"/>
                          <w:sz w:val="24"/>
                          <w:szCs w:val="24"/>
                          <w:lang w:val="en"/>
                        </w:rPr>
                        <m:t>1</m:t>
                      </m:r>
                      <m:r>
                        <w:rPr>
                          <w:rFonts w:ascii="Cambria Math" w:eastAsia="Aptos" w:hAnsi="Cambria Math" w:cs="Times New Roman"/>
                          <w:sz w:val="24"/>
                          <w:szCs w:val="24"/>
                          <w:lang w:val="en"/>
                        </w:rPr>
                        <m:t>i</m:t>
                      </m:r>
                    </m:sub>
                  </m:sSub>
                </m:e>
              </m:mr>
            </m:m>
          </m:e>
        </m:d>
        <m:r>
          <m:rPr>
            <m:sty m:val="p"/>
          </m:rPr>
          <w:rPr>
            <w:rFonts w:ascii="Cambria Math" w:eastAsia="Aptos" w:hAnsi="Cambria Math" w:cs="Times New Roman"/>
            <w:sz w:val="24"/>
            <w:szCs w:val="24"/>
            <w:lang w:val="en"/>
          </w:rPr>
          <m:t>∼</m:t>
        </m:r>
        <m:r>
          <m:rPr>
            <m:scr m:val="script"/>
            <m:sty m:val="p"/>
          </m:rPr>
          <w:rPr>
            <w:rFonts w:ascii="Cambria Math" w:eastAsia="Aptos" w:hAnsi="Cambria Math" w:cs="Times New Roman"/>
            <w:sz w:val="24"/>
            <w:szCs w:val="24"/>
            <w:lang w:val="en"/>
          </w:rPr>
          <m:t>N</m:t>
        </m:r>
        <m:d>
          <m:dPr>
            <m:ctrlPr>
              <w:rPr>
                <w:rFonts w:ascii="Cambria Math" w:eastAsia="Aptos" w:hAnsi="Cambria Math" w:cs="Times New Roman"/>
                <w:sz w:val="24"/>
                <w:szCs w:val="24"/>
                <w:lang w:val="en"/>
              </w:rPr>
            </m:ctrlPr>
          </m:dPr>
          <m:e>
            <m:d>
              <m:dPr>
                <m:ctrlPr>
                  <w:rPr>
                    <w:rFonts w:ascii="Cambria Math" w:eastAsia="Aptos" w:hAnsi="Cambria Math" w:cs="Times New Roman"/>
                    <w:sz w:val="24"/>
                    <w:szCs w:val="24"/>
                    <w:lang w:val="en"/>
                  </w:rPr>
                </m:ctrlPr>
              </m:dPr>
              <m:e>
                <m:m>
                  <m:mPr>
                    <m:plcHide m:val="1"/>
                    <m:mcs>
                      <m:mc>
                        <m:mcPr>
                          <m:count m:val="1"/>
                          <m:mcJc m:val="center"/>
                        </m:mcPr>
                      </m:mc>
                    </m:mcs>
                    <m:ctrlPr>
                      <w:rPr>
                        <w:rFonts w:ascii="Cambria Math" w:eastAsia="Aptos" w:hAnsi="Cambria Math" w:cs="Times New Roman"/>
                        <w:sz w:val="24"/>
                        <w:szCs w:val="24"/>
                        <w:lang w:val="en"/>
                      </w:rPr>
                    </m:ctrlPr>
                  </m:mPr>
                  <m:mr>
                    <m:e>
                      <m:r>
                        <w:rPr>
                          <w:rFonts w:ascii="Cambria Math" w:eastAsia="Aptos" w:hAnsi="Cambria Math" w:cs="Times New Roman"/>
                          <w:sz w:val="24"/>
                          <w:szCs w:val="24"/>
                          <w:lang w:val="en"/>
                        </w:rPr>
                        <m:t>0</m:t>
                      </m:r>
                    </m:e>
                  </m:mr>
                  <m:mr>
                    <m:e>
                      <m:r>
                        <w:rPr>
                          <w:rFonts w:ascii="Cambria Math" w:eastAsia="Aptos" w:hAnsi="Cambria Math" w:cs="Times New Roman"/>
                          <w:sz w:val="24"/>
                          <w:szCs w:val="24"/>
                          <w:lang w:val="en"/>
                        </w:rPr>
                        <m:t>0</m:t>
                      </m:r>
                    </m:e>
                  </m:mr>
                </m:m>
              </m:e>
            </m:d>
            <m:r>
              <m:rPr>
                <m:sty m:val="p"/>
              </m:rPr>
              <w:rPr>
                <w:rFonts w:ascii="Cambria Math" w:eastAsia="Aptos" w:hAnsi="Cambria Math" w:cs="Times New Roman"/>
                <w:sz w:val="24"/>
                <w:szCs w:val="24"/>
                <w:lang w:val="en"/>
              </w:rPr>
              <m:t>,</m:t>
            </m:r>
            <m:d>
              <m:dPr>
                <m:ctrlPr>
                  <w:rPr>
                    <w:rFonts w:ascii="Cambria Math" w:eastAsia="Aptos" w:hAnsi="Cambria Math" w:cs="Times New Roman"/>
                    <w:sz w:val="24"/>
                    <w:szCs w:val="24"/>
                    <w:lang w:val="en"/>
                  </w:rPr>
                </m:ctrlPr>
              </m:dPr>
              <m:e>
                <m:m>
                  <m:mPr>
                    <m:plcHide m:val="1"/>
                    <m:mcs>
                      <m:mc>
                        <m:mcPr>
                          <m:count m:val="2"/>
                          <m:mcJc m:val="center"/>
                        </m:mcPr>
                      </m:mc>
                    </m:mcs>
                    <m:ctrlPr>
                      <w:rPr>
                        <w:rFonts w:ascii="Cambria Math" w:eastAsia="Aptos" w:hAnsi="Cambria Math" w:cs="Times New Roman"/>
                        <w:sz w:val="24"/>
                        <w:szCs w:val="24"/>
                        <w:lang w:val="en"/>
                      </w:rPr>
                    </m:ctrlPr>
                  </m:mPr>
                  <m:mr>
                    <m:e>
                      <m:sSubSup>
                        <m:sSubSupPr>
                          <m:ctrlPr>
                            <w:rPr>
                              <w:rFonts w:ascii="Cambria Math" w:eastAsia="Aptos" w:hAnsi="Cambria Math" w:cs="Times New Roman"/>
                              <w:sz w:val="24"/>
                              <w:szCs w:val="24"/>
                              <w:lang w:val="en"/>
                            </w:rPr>
                          </m:ctrlPr>
                        </m:sSubSupPr>
                        <m:e>
                          <m:r>
                            <w:rPr>
                              <w:rFonts w:ascii="Cambria Math" w:eastAsia="Aptos" w:hAnsi="Cambria Math" w:cs="Times New Roman"/>
                              <w:sz w:val="24"/>
                              <w:szCs w:val="24"/>
                              <w:lang w:val="en"/>
                            </w:rPr>
                            <m:t>σ</m:t>
                          </m:r>
                        </m:e>
                        <m:sub>
                          <m:r>
                            <w:rPr>
                              <w:rFonts w:ascii="Cambria Math" w:eastAsia="Aptos" w:hAnsi="Cambria Math" w:cs="Times New Roman"/>
                              <w:sz w:val="24"/>
                              <w:szCs w:val="24"/>
                              <w:lang w:val="en"/>
                            </w:rPr>
                            <m:t>u</m:t>
                          </m:r>
                          <m:r>
                            <w:rPr>
                              <w:rFonts w:ascii="Cambria Math" w:eastAsia="Aptos" w:hAnsi="Cambria Math" w:cs="Times New Roman"/>
                              <w:sz w:val="24"/>
                              <w:szCs w:val="24"/>
                              <w:lang w:val="en"/>
                            </w:rPr>
                            <m:t>0</m:t>
                          </m:r>
                        </m:sub>
                        <m:sup>
                          <m:r>
                            <w:rPr>
                              <w:rFonts w:ascii="Cambria Math" w:eastAsia="Aptos" w:hAnsi="Cambria Math" w:cs="Times New Roman"/>
                              <w:sz w:val="24"/>
                              <w:szCs w:val="24"/>
                              <w:lang w:val="en"/>
                            </w:rPr>
                            <m:t>2</m:t>
                          </m:r>
                        </m:sup>
                      </m:sSubSup>
                    </m:e>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σ</m:t>
                          </m:r>
                        </m:e>
                        <m:sub>
                          <m:r>
                            <w:rPr>
                              <w:rFonts w:ascii="Cambria Math" w:eastAsia="Aptos" w:hAnsi="Cambria Math" w:cs="Times New Roman"/>
                              <w:sz w:val="24"/>
                              <w:szCs w:val="24"/>
                              <w:lang w:val="en"/>
                            </w:rPr>
                            <m:t>u</m:t>
                          </m:r>
                          <m:r>
                            <w:rPr>
                              <w:rFonts w:ascii="Cambria Math" w:eastAsia="Aptos" w:hAnsi="Cambria Math" w:cs="Times New Roman"/>
                              <w:sz w:val="24"/>
                              <w:szCs w:val="24"/>
                              <w:lang w:val="en"/>
                            </w:rPr>
                            <m:t>01</m:t>
                          </m:r>
                        </m:sub>
                      </m:sSub>
                    </m:e>
                  </m:mr>
                  <m:mr>
                    <m:e>
                      <m:sSub>
                        <m:sSubPr>
                          <m:ctrlPr>
                            <w:rPr>
                              <w:rFonts w:ascii="Cambria Math" w:eastAsia="Aptos" w:hAnsi="Cambria Math" w:cs="Times New Roman"/>
                              <w:sz w:val="24"/>
                              <w:szCs w:val="24"/>
                              <w:lang w:val="en"/>
                            </w:rPr>
                          </m:ctrlPr>
                        </m:sSubPr>
                        <m:e>
                          <m:r>
                            <w:rPr>
                              <w:rFonts w:ascii="Cambria Math" w:eastAsia="Aptos" w:hAnsi="Cambria Math" w:cs="Times New Roman"/>
                              <w:sz w:val="24"/>
                              <w:szCs w:val="24"/>
                              <w:lang w:val="en"/>
                            </w:rPr>
                            <m:t>σ</m:t>
                          </m:r>
                        </m:e>
                        <m:sub>
                          <m:r>
                            <w:rPr>
                              <w:rFonts w:ascii="Cambria Math" w:eastAsia="Aptos" w:hAnsi="Cambria Math" w:cs="Times New Roman"/>
                              <w:sz w:val="24"/>
                              <w:szCs w:val="24"/>
                              <w:lang w:val="en"/>
                            </w:rPr>
                            <m:t>u</m:t>
                          </m:r>
                          <m:r>
                            <w:rPr>
                              <w:rFonts w:ascii="Cambria Math" w:eastAsia="Aptos" w:hAnsi="Cambria Math" w:cs="Times New Roman"/>
                              <w:sz w:val="24"/>
                              <w:szCs w:val="24"/>
                              <w:lang w:val="en"/>
                            </w:rPr>
                            <m:t>01</m:t>
                          </m:r>
                        </m:sub>
                      </m:sSub>
                    </m:e>
                    <m:e>
                      <m:sSubSup>
                        <m:sSubSupPr>
                          <m:ctrlPr>
                            <w:rPr>
                              <w:rFonts w:ascii="Cambria Math" w:eastAsia="Aptos" w:hAnsi="Cambria Math" w:cs="Times New Roman"/>
                              <w:sz w:val="24"/>
                              <w:szCs w:val="24"/>
                              <w:lang w:val="en"/>
                            </w:rPr>
                          </m:ctrlPr>
                        </m:sSubSupPr>
                        <m:e>
                          <m:r>
                            <w:rPr>
                              <w:rFonts w:ascii="Cambria Math" w:eastAsia="Aptos" w:hAnsi="Cambria Math" w:cs="Times New Roman"/>
                              <w:sz w:val="24"/>
                              <w:szCs w:val="24"/>
                              <w:lang w:val="en"/>
                            </w:rPr>
                            <m:t>σ</m:t>
                          </m:r>
                        </m:e>
                        <m:sub>
                          <m:r>
                            <w:rPr>
                              <w:rFonts w:ascii="Cambria Math" w:eastAsia="Aptos" w:hAnsi="Cambria Math" w:cs="Times New Roman"/>
                              <w:sz w:val="24"/>
                              <w:szCs w:val="24"/>
                              <w:lang w:val="en"/>
                            </w:rPr>
                            <m:t>u</m:t>
                          </m:r>
                          <m:r>
                            <w:rPr>
                              <w:rFonts w:ascii="Cambria Math" w:eastAsia="Aptos" w:hAnsi="Cambria Math" w:cs="Times New Roman"/>
                              <w:sz w:val="24"/>
                              <w:szCs w:val="24"/>
                              <w:lang w:val="en"/>
                            </w:rPr>
                            <m:t>1</m:t>
                          </m:r>
                        </m:sub>
                        <m:sup>
                          <m:r>
                            <w:rPr>
                              <w:rFonts w:ascii="Cambria Math" w:eastAsia="Aptos" w:hAnsi="Cambria Math" w:cs="Times New Roman"/>
                              <w:sz w:val="24"/>
                              <w:szCs w:val="24"/>
                              <w:lang w:val="en"/>
                            </w:rPr>
                            <m:t>2</m:t>
                          </m:r>
                        </m:sup>
                      </m:sSubSup>
                    </m:e>
                  </m:mr>
                </m:m>
              </m:e>
            </m:d>
          </m:e>
        </m:d>
      </m:oMath>
      <w:r w:rsidR="00732A30">
        <w:rPr>
          <w:rFonts w:ascii="Times New Roman" w:eastAsia="Aptos" w:hAnsi="Times New Roman" w:cs="Times New Roman"/>
          <w:sz w:val="24"/>
          <w:szCs w:val="24"/>
          <w:lang w:val="en"/>
        </w:rPr>
        <w:t xml:space="preserve"> ………………………………. (6)</w:t>
      </w:r>
    </w:p>
    <w:p w14:paraId="6F3E4354" w14:textId="3E60BEC3" w:rsidR="008412D9" w:rsidRPr="008412D9" w:rsidRDefault="008412D9" w:rsidP="00150EF8">
      <w:pPr>
        <w:spacing w:before="180" w:after="0" w:line="240" w:lineRule="auto"/>
        <w:rPr>
          <w:rFonts w:ascii="Times New Roman" w:eastAsia="Aptos" w:hAnsi="Times New Roman" w:cs="Times New Roman"/>
          <w:sz w:val="24"/>
          <w:szCs w:val="24"/>
          <w:lang w:val="en"/>
        </w:rPr>
      </w:pPr>
    </w:p>
    <w:p w14:paraId="42A9CF26"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This structure allows each country to have its own baseline prevalence and its own rate of change over time, thereby capturing heterogeneous epidemic trajectories.</w:t>
      </w:r>
    </w:p>
    <w:p w14:paraId="077CB25C" w14:textId="77777777" w:rsidR="008412D9" w:rsidRPr="008412D9" w:rsidRDefault="008412D9" w:rsidP="00150EF8">
      <w:pPr>
        <w:keepNext/>
        <w:keepLines/>
        <w:spacing w:before="160" w:after="0" w:line="240" w:lineRule="auto"/>
        <w:outlineLvl w:val="2"/>
        <w:rPr>
          <w:rFonts w:ascii="Times New Roman" w:eastAsia="Times New Roman" w:hAnsi="Times New Roman" w:cs="Times New Roman"/>
          <w:b/>
          <w:bCs/>
          <w:sz w:val="24"/>
          <w:szCs w:val="24"/>
          <w:lang w:val="en"/>
        </w:rPr>
      </w:pPr>
      <w:r w:rsidRPr="008412D9">
        <w:rPr>
          <w:rFonts w:ascii="Times New Roman" w:eastAsia="Times New Roman" w:hAnsi="Times New Roman" w:cs="Times New Roman"/>
          <w:b/>
          <w:bCs/>
          <w:sz w:val="24"/>
          <w:szCs w:val="24"/>
          <w:lang w:val="en"/>
        </w:rPr>
        <w:t>Model Estimation and Selection</w:t>
      </w:r>
    </w:p>
    <w:p w14:paraId="55D326D2" w14:textId="5C9643E8"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Models were estimated using maximum likelihood via adaptive numerical </w:t>
      </w:r>
      <w:proofErr w:type="spellStart"/>
      <w:r w:rsidR="00150EF8">
        <w:rPr>
          <w:rFonts w:ascii="Times New Roman" w:eastAsia="Aptos" w:hAnsi="Times New Roman" w:cs="Times New Roman"/>
          <w:sz w:val="24"/>
          <w:szCs w:val="24"/>
          <w:lang w:val="en"/>
        </w:rPr>
        <w:t>optimisation</w:t>
      </w:r>
      <w:proofErr w:type="spellEnd"/>
      <w:r w:rsidRPr="008412D9">
        <w:rPr>
          <w:rFonts w:ascii="Times New Roman" w:eastAsia="Aptos" w:hAnsi="Times New Roman" w:cs="Times New Roman"/>
          <w:sz w:val="24"/>
          <w:szCs w:val="24"/>
          <w:lang w:val="en"/>
        </w:rPr>
        <w:t>. Four nested models were compared:</w:t>
      </w:r>
      <w:r w:rsidRPr="008412D9">
        <w:rPr>
          <w:rFonts w:ascii="Times New Roman" w:eastAsia="Aptos" w:hAnsi="Times New Roman" w:cs="Times New Roman"/>
          <w:sz w:val="24"/>
          <w:szCs w:val="24"/>
          <w:lang w:val="en"/>
        </w:rPr>
        <w:br/>
        <w:t>(</w:t>
      </w:r>
      <w:proofErr w:type="spellStart"/>
      <w:r w:rsidRPr="008412D9">
        <w:rPr>
          <w:rFonts w:ascii="Times New Roman" w:eastAsia="Aptos" w:hAnsi="Times New Roman" w:cs="Times New Roman"/>
          <w:sz w:val="24"/>
          <w:szCs w:val="24"/>
          <w:lang w:val="en"/>
        </w:rPr>
        <w:t>i</w:t>
      </w:r>
      <w:proofErr w:type="spellEnd"/>
      <w:r w:rsidRPr="008412D9">
        <w:rPr>
          <w:rFonts w:ascii="Times New Roman" w:eastAsia="Aptos" w:hAnsi="Times New Roman" w:cs="Times New Roman"/>
          <w:sz w:val="24"/>
          <w:szCs w:val="24"/>
          <w:lang w:val="en"/>
        </w:rPr>
        <w:t>) null model (random intercept only),</w:t>
      </w:r>
      <w:r w:rsidRPr="008412D9">
        <w:rPr>
          <w:rFonts w:ascii="Times New Roman" w:eastAsia="Aptos" w:hAnsi="Times New Roman" w:cs="Times New Roman"/>
          <w:sz w:val="24"/>
          <w:szCs w:val="24"/>
          <w:lang w:val="en"/>
        </w:rPr>
        <w:br/>
        <w:t>(ii) random-intercept model with time,</w:t>
      </w:r>
      <w:r w:rsidRPr="008412D9">
        <w:rPr>
          <w:rFonts w:ascii="Times New Roman" w:eastAsia="Aptos" w:hAnsi="Times New Roman" w:cs="Times New Roman"/>
          <w:sz w:val="24"/>
          <w:szCs w:val="24"/>
          <w:lang w:val="en"/>
        </w:rPr>
        <w:br/>
      </w:r>
      <w:r w:rsidRPr="008412D9">
        <w:rPr>
          <w:rFonts w:ascii="Times New Roman" w:eastAsia="Aptos" w:hAnsi="Times New Roman" w:cs="Times New Roman"/>
          <w:sz w:val="24"/>
          <w:szCs w:val="24"/>
          <w:lang w:val="en"/>
        </w:rPr>
        <w:lastRenderedPageBreak/>
        <w:t>(iii) random-slope model, and</w:t>
      </w:r>
      <w:r w:rsidRPr="008412D9">
        <w:rPr>
          <w:rFonts w:ascii="Times New Roman" w:eastAsia="Aptos" w:hAnsi="Times New Roman" w:cs="Times New Roman"/>
          <w:sz w:val="24"/>
          <w:szCs w:val="24"/>
          <w:lang w:val="en"/>
        </w:rPr>
        <w:br/>
        <w:t>(iv) region-adjusted random-slope model.</w:t>
      </w:r>
    </w:p>
    <w:p w14:paraId="2085375C"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Model selection was based on information criteria:</w:t>
      </w:r>
    </w:p>
    <w:p w14:paraId="31A97B92" w14:textId="35B620F7" w:rsidR="008412D9" w:rsidRPr="00732A30" w:rsidRDefault="008412D9" w:rsidP="00150EF8">
      <w:pPr>
        <w:spacing w:before="180" w:after="0" w:line="240" w:lineRule="auto"/>
        <w:rPr>
          <w:rFonts w:ascii="Times New Roman" w:eastAsia="Aptos" w:hAnsi="Times New Roman" w:cs="Times New Roman"/>
          <w:sz w:val="24"/>
          <w:szCs w:val="24"/>
          <w:lang w:val="en"/>
        </w:rPr>
      </w:pPr>
      <m:oMath>
        <m:r>
          <m:rPr>
            <m:nor/>
          </m:rPr>
          <w:rPr>
            <w:rFonts w:ascii="Times New Roman" w:eastAsia="Aptos" w:hAnsi="Times New Roman" w:cs="Times New Roman"/>
            <w:sz w:val="24"/>
            <w:szCs w:val="24"/>
            <w:lang w:val="en"/>
          </w:rPr>
          <m:t>AIC</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2</m:t>
        </m:r>
        <m:r>
          <m:rPr>
            <m:sty m:val="p"/>
          </m:rPr>
          <w:rPr>
            <w:rFonts w:ascii="Cambria Math" w:eastAsia="Aptos" w:hAnsi="Cambria Math" w:cs="Times New Roman"/>
            <w:sz w:val="24"/>
            <w:szCs w:val="24"/>
            <w:lang w:val="en"/>
          </w:rPr>
          <m:t>log</m:t>
        </m:r>
        <m:r>
          <w:rPr>
            <w:rFonts w:ascii="Cambria Math" w:eastAsia="Aptos" w:hAnsi="Cambria Math" w:cs="Times New Roman"/>
            <w:sz w:val="24"/>
            <w:szCs w:val="24"/>
            <w:lang w:val="en"/>
          </w:rPr>
          <m:t>L</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2k</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 </m:t>
        </m:r>
        <m:r>
          <m:rPr>
            <m:nor/>
          </m:rPr>
          <w:rPr>
            <w:rFonts w:ascii="Times New Roman" w:eastAsia="Aptos" w:hAnsi="Times New Roman" w:cs="Times New Roman"/>
            <w:sz w:val="24"/>
            <w:szCs w:val="24"/>
            <w:lang w:val="en"/>
          </w:rPr>
          <m:t>BIC</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2</m:t>
        </m:r>
        <m:r>
          <m:rPr>
            <m:sty m:val="p"/>
          </m:rPr>
          <w:rPr>
            <w:rFonts w:ascii="Cambria Math" w:eastAsia="Aptos" w:hAnsi="Cambria Math" w:cs="Times New Roman"/>
            <w:sz w:val="24"/>
            <w:szCs w:val="24"/>
            <w:lang w:val="en"/>
          </w:rPr>
          <m:t>log</m:t>
        </m:r>
        <m:r>
          <w:rPr>
            <w:rFonts w:ascii="Cambria Math" w:eastAsia="Aptos" w:hAnsi="Cambria Math" w:cs="Times New Roman"/>
            <w:sz w:val="24"/>
            <w:szCs w:val="24"/>
            <w:lang w:val="en"/>
          </w:rPr>
          <m:t>L</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k</m:t>
        </m:r>
        <m:r>
          <m:rPr>
            <m:sty m:val="p"/>
          </m:rPr>
          <w:rPr>
            <w:rFonts w:ascii="Cambria Math" w:eastAsia="Aptos" w:hAnsi="Cambria Math" w:cs="Times New Roman"/>
            <w:sz w:val="24"/>
            <w:szCs w:val="24"/>
            <w:lang w:val="en"/>
          </w:rPr>
          <m:t>log</m:t>
        </m:r>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n</m:t>
            </m:r>
          </m:e>
        </m:d>
      </m:oMath>
      <w:r w:rsidR="00732A30">
        <w:rPr>
          <w:rFonts w:ascii="Times New Roman" w:eastAsia="Aptos" w:hAnsi="Times New Roman" w:cs="Times New Roman"/>
          <w:sz w:val="24"/>
          <w:szCs w:val="24"/>
          <w:lang w:val="en"/>
        </w:rPr>
        <w:t xml:space="preserve"> ………………………………. (7)</w:t>
      </w:r>
    </w:p>
    <w:p w14:paraId="4DF65DE4"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where </w:t>
      </w:r>
      <m:oMath>
        <m:r>
          <w:rPr>
            <w:rFonts w:ascii="Cambria Math" w:eastAsia="Aptos" w:hAnsi="Cambria Math" w:cs="Times New Roman"/>
            <w:sz w:val="24"/>
            <w:szCs w:val="24"/>
            <w:lang w:val="en"/>
          </w:rPr>
          <m:t>L</m:t>
        </m:r>
      </m:oMath>
      <w:r w:rsidRPr="008412D9">
        <w:rPr>
          <w:rFonts w:ascii="Times New Roman" w:eastAsia="Aptos" w:hAnsi="Times New Roman" w:cs="Times New Roman"/>
          <w:sz w:val="24"/>
          <w:szCs w:val="24"/>
          <w:lang w:val="en"/>
        </w:rPr>
        <w:t xml:space="preserve"> is the likelihood and </w:t>
      </w:r>
      <m:oMath>
        <m:r>
          <w:rPr>
            <w:rFonts w:ascii="Cambria Math" w:eastAsia="Aptos" w:hAnsi="Cambria Math" w:cs="Times New Roman"/>
            <w:sz w:val="24"/>
            <w:szCs w:val="24"/>
            <w:lang w:val="en"/>
          </w:rPr>
          <m:t>k</m:t>
        </m:r>
      </m:oMath>
      <w:r w:rsidRPr="008412D9">
        <w:rPr>
          <w:rFonts w:ascii="Times New Roman" w:eastAsia="Aptos" w:hAnsi="Times New Roman" w:cs="Times New Roman"/>
          <w:sz w:val="24"/>
          <w:szCs w:val="24"/>
          <w:lang w:val="en"/>
        </w:rPr>
        <w:t xml:space="preserve"> is the number of parameters. The model with the lowest AIC and BIC was selected as the best-fitting model, indicating optimal balance between goodness-of-fit and model complexity.</w:t>
      </w:r>
    </w:p>
    <w:p w14:paraId="7F7CC319" w14:textId="77777777" w:rsidR="008412D9" w:rsidRPr="008412D9" w:rsidRDefault="008412D9" w:rsidP="00150EF8">
      <w:pPr>
        <w:keepNext/>
        <w:keepLines/>
        <w:spacing w:before="160" w:after="0" w:line="240" w:lineRule="auto"/>
        <w:outlineLvl w:val="2"/>
        <w:rPr>
          <w:rFonts w:ascii="Times New Roman" w:eastAsia="Times New Roman" w:hAnsi="Times New Roman" w:cs="Times New Roman"/>
          <w:b/>
          <w:bCs/>
          <w:sz w:val="24"/>
          <w:szCs w:val="24"/>
          <w:lang w:val="en"/>
        </w:rPr>
      </w:pPr>
      <w:r w:rsidRPr="008412D9">
        <w:rPr>
          <w:rFonts w:ascii="Times New Roman" w:eastAsia="Times New Roman" w:hAnsi="Times New Roman" w:cs="Times New Roman"/>
          <w:b/>
          <w:bCs/>
          <w:sz w:val="24"/>
          <w:szCs w:val="24"/>
          <w:lang w:val="en"/>
        </w:rPr>
        <w:t>Interpretation of Parameters</w:t>
      </w:r>
    </w:p>
    <w:p w14:paraId="70559D06"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Fixed effects were interpreted on the logit scale and transformed into odds ratios:</w:t>
      </w:r>
    </w:p>
    <w:p w14:paraId="1F75F4A1"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m:oMathPara>
        <m:oMathParaPr>
          <m:jc m:val="center"/>
        </m:oMathParaPr>
        <m:oMath>
          <m:r>
            <m:rPr>
              <m:nor/>
            </m:rPr>
            <w:rPr>
              <w:rFonts w:ascii="Times New Roman" w:eastAsia="Aptos" w:hAnsi="Times New Roman" w:cs="Times New Roman"/>
              <w:sz w:val="24"/>
              <w:szCs w:val="24"/>
              <w:lang w:val="en"/>
            </w:rPr>
            <m:t>OR</m:t>
          </m:r>
          <m:r>
            <m:rPr>
              <m:sty m:val="p"/>
            </m:rPr>
            <w:rPr>
              <w:rFonts w:ascii="Cambria Math" w:eastAsia="Aptos" w:hAnsi="Cambria Math" w:cs="Times New Roman"/>
              <w:sz w:val="24"/>
              <w:szCs w:val="24"/>
              <w:lang w:val="en"/>
            </w:rPr>
            <m:t>=</m:t>
          </m:r>
          <m:sSup>
            <m:sSupPr>
              <m:ctrlPr>
                <w:rPr>
                  <w:rFonts w:ascii="Cambria Math" w:eastAsia="Aptos" w:hAnsi="Cambria Math" w:cs="Times New Roman"/>
                  <w:sz w:val="24"/>
                  <w:szCs w:val="24"/>
                  <w:lang w:val="en"/>
                </w:rPr>
              </m:ctrlPr>
            </m:sSupPr>
            <m:e>
              <m:r>
                <w:rPr>
                  <w:rFonts w:ascii="Cambria Math" w:eastAsia="Aptos" w:hAnsi="Cambria Math" w:cs="Times New Roman"/>
                  <w:sz w:val="24"/>
                  <w:szCs w:val="24"/>
                  <w:lang w:val="en"/>
                </w:rPr>
                <m:t>e</m:t>
              </m:r>
            </m:e>
            <m:sup>
              <m:r>
                <w:rPr>
                  <w:rFonts w:ascii="Cambria Math" w:eastAsia="Aptos" w:hAnsi="Cambria Math" w:cs="Times New Roman"/>
                  <w:sz w:val="24"/>
                  <w:szCs w:val="24"/>
                  <w:lang w:val="en"/>
                </w:rPr>
                <m:t>β</m:t>
              </m:r>
            </m:sup>
          </m:sSup>
        </m:oMath>
      </m:oMathPara>
    </w:p>
    <w:p w14:paraId="0B368B4D"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which quantify multiplicative changes in the odds of HIV prevalence. Confidence intervals were computed as:</w:t>
      </w:r>
    </w:p>
    <w:p w14:paraId="468AAF09" w14:textId="77777777" w:rsidR="008412D9" w:rsidRPr="008412D9" w:rsidRDefault="006E27DC" w:rsidP="00150EF8">
      <w:pPr>
        <w:spacing w:before="180" w:after="0" w:line="240" w:lineRule="auto"/>
        <w:rPr>
          <w:rFonts w:ascii="Times New Roman" w:eastAsia="Aptos" w:hAnsi="Times New Roman" w:cs="Times New Roman"/>
          <w:sz w:val="24"/>
          <w:szCs w:val="24"/>
          <w:lang w:val="en"/>
        </w:rPr>
      </w:pPr>
      <m:oMathPara>
        <m:oMathParaPr>
          <m:jc m:val="center"/>
        </m:oMathParaPr>
        <m:oMath>
          <m:d>
            <m:dPr>
              <m:begChr m:val="["/>
              <m:endChr m:val="]"/>
              <m:ctrlPr>
                <w:rPr>
                  <w:rFonts w:ascii="Cambria Math" w:eastAsia="Aptos" w:hAnsi="Cambria Math" w:cs="Times New Roman"/>
                  <w:sz w:val="24"/>
                  <w:szCs w:val="24"/>
                  <w:lang w:val="en"/>
                </w:rPr>
              </m:ctrlPr>
            </m:dPr>
            <m:e>
              <m:sSup>
                <m:sSupPr>
                  <m:ctrlPr>
                    <w:rPr>
                      <w:rFonts w:ascii="Cambria Math" w:eastAsia="Aptos" w:hAnsi="Cambria Math" w:cs="Times New Roman"/>
                      <w:sz w:val="24"/>
                      <w:szCs w:val="24"/>
                      <w:lang w:val="en"/>
                    </w:rPr>
                  </m:ctrlPr>
                </m:sSupPr>
                <m:e>
                  <m:r>
                    <w:rPr>
                      <w:rFonts w:ascii="Cambria Math" w:eastAsia="Aptos" w:hAnsi="Cambria Math" w:cs="Times New Roman"/>
                      <w:sz w:val="24"/>
                      <w:szCs w:val="24"/>
                      <w:lang w:val="en"/>
                    </w:rPr>
                    <m:t>e</m:t>
                  </m:r>
                </m:e>
                <m:sup>
                  <m:r>
                    <w:rPr>
                      <w:rFonts w:ascii="Cambria Math" w:eastAsia="Aptos" w:hAnsi="Cambria Math" w:cs="Times New Roman"/>
                      <w:sz w:val="24"/>
                      <w:szCs w:val="24"/>
                      <w:lang w:val="en"/>
                    </w:rPr>
                    <m:t>β</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1.96</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SE</m:t>
                  </m:r>
                </m:sup>
              </m:sSup>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 </m:t>
              </m:r>
              <m:sSup>
                <m:sSupPr>
                  <m:ctrlPr>
                    <w:rPr>
                      <w:rFonts w:ascii="Cambria Math" w:eastAsia="Aptos" w:hAnsi="Cambria Math" w:cs="Times New Roman"/>
                      <w:sz w:val="24"/>
                      <w:szCs w:val="24"/>
                      <w:lang w:val="en"/>
                    </w:rPr>
                  </m:ctrlPr>
                </m:sSupPr>
                <m:e>
                  <m:r>
                    <w:rPr>
                      <w:rFonts w:ascii="Cambria Math" w:eastAsia="Aptos" w:hAnsi="Cambria Math" w:cs="Times New Roman"/>
                      <w:sz w:val="24"/>
                      <w:szCs w:val="24"/>
                      <w:lang w:val="en"/>
                    </w:rPr>
                    <m:t>e</m:t>
                  </m:r>
                </m:e>
                <m:sup>
                  <m:r>
                    <w:rPr>
                      <w:rFonts w:ascii="Cambria Math" w:eastAsia="Aptos" w:hAnsi="Cambria Math" w:cs="Times New Roman"/>
                      <w:sz w:val="24"/>
                      <w:szCs w:val="24"/>
                      <w:lang w:val="en"/>
                    </w:rPr>
                    <m:t>β</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1.96</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SE</m:t>
                  </m:r>
                </m:sup>
              </m:sSup>
            </m:e>
          </m:d>
        </m:oMath>
      </m:oMathPara>
    </w:p>
    <w:p w14:paraId="5169D099"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Random effects were interpreted as deviations from the global mean, where positive values indicate higher-than-average prevalence and negative values indicate lower-than-average prevalence after adjustment.</w:t>
      </w:r>
    </w:p>
    <w:p w14:paraId="63745FBC" w14:textId="77777777" w:rsidR="008412D9" w:rsidRPr="008412D9" w:rsidRDefault="008412D9" w:rsidP="00150EF8">
      <w:pPr>
        <w:keepNext/>
        <w:keepLines/>
        <w:spacing w:before="160" w:after="0" w:line="240" w:lineRule="auto"/>
        <w:outlineLvl w:val="2"/>
        <w:rPr>
          <w:rFonts w:ascii="Times New Roman" w:eastAsia="Times New Roman" w:hAnsi="Times New Roman" w:cs="Times New Roman"/>
          <w:b/>
          <w:bCs/>
          <w:sz w:val="24"/>
          <w:szCs w:val="24"/>
          <w:lang w:val="en"/>
        </w:rPr>
      </w:pPr>
      <w:r w:rsidRPr="008412D9">
        <w:rPr>
          <w:rFonts w:ascii="Times New Roman" w:eastAsia="Times New Roman" w:hAnsi="Times New Roman" w:cs="Times New Roman"/>
          <w:b/>
          <w:bCs/>
          <w:sz w:val="24"/>
          <w:szCs w:val="24"/>
          <w:lang w:val="en"/>
        </w:rPr>
        <w:t>Model Diagnostics and Assumptions</w:t>
      </w:r>
    </w:p>
    <w:p w14:paraId="0289AD8E" w14:textId="77777777" w:rsidR="008412D9" w:rsidRPr="008412D9"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Model adequacy was evaluated using simulation-based diagnostics. Residuals were assessed for dispersion, uniformity, outliers, and zero inflation. The key assumptions include:</w:t>
      </w:r>
    </w:p>
    <w:p w14:paraId="76D3D688" w14:textId="77777777" w:rsidR="008412D9" w:rsidRPr="008412D9" w:rsidRDefault="008412D9" w:rsidP="00150EF8">
      <w:pPr>
        <w:numPr>
          <w:ilvl w:val="0"/>
          <w:numId w:val="2"/>
        </w:numPr>
        <w:spacing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The response variable lies within </w:t>
      </w:r>
      <m:oMath>
        <m:d>
          <m:dPr>
            <m:ctrlPr>
              <w:rPr>
                <w:rFonts w:ascii="Cambria Math" w:eastAsia="Aptos" w:hAnsi="Cambria Math" w:cs="Times New Roman"/>
                <w:sz w:val="24"/>
                <w:szCs w:val="24"/>
                <w:lang w:val="en"/>
              </w:rPr>
            </m:ctrlPr>
          </m:dPr>
          <m:e>
            <m:r>
              <w:rPr>
                <w:rFonts w:ascii="Cambria Math" w:eastAsia="Aptos" w:hAnsi="Cambria Math" w:cs="Times New Roman"/>
                <w:sz w:val="24"/>
                <w:szCs w:val="24"/>
                <w:lang w:val="en"/>
              </w:rPr>
              <m:t>0</m:t>
            </m:r>
            <m:r>
              <m:rPr>
                <m:sty m:val="p"/>
              </m:rPr>
              <w:rPr>
                <w:rFonts w:ascii="Cambria Math" w:eastAsia="Aptos" w:hAnsi="Cambria Math" w:cs="Times New Roman"/>
                <w:sz w:val="24"/>
                <w:szCs w:val="24"/>
                <w:lang w:val="en"/>
              </w:rPr>
              <m:t>,</m:t>
            </m:r>
            <m:r>
              <w:rPr>
                <w:rFonts w:ascii="Cambria Math" w:eastAsia="Aptos" w:hAnsi="Cambria Math" w:cs="Times New Roman"/>
                <w:sz w:val="24"/>
                <w:szCs w:val="24"/>
                <w:lang w:val="en"/>
              </w:rPr>
              <m:t>1</m:t>
            </m:r>
          </m:e>
        </m:d>
      </m:oMath>
      <w:r w:rsidRPr="008412D9">
        <w:rPr>
          <w:rFonts w:ascii="Times New Roman" w:eastAsia="Aptos" w:hAnsi="Times New Roman" w:cs="Times New Roman"/>
          <w:sz w:val="24"/>
          <w:szCs w:val="24"/>
          <w:lang w:val="en"/>
        </w:rPr>
        <w:t>,</w:t>
      </w:r>
    </w:p>
    <w:p w14:paraId="37DA1738" w14:textId="77777777" w:rsidR="008412D9" w:rsidRPr="008412D9" w:rsidRDefault="008412D9" w:rsidP="00150EF8">
      <w:pPr>
        <w:numPr>
          <w:ilvl w:val="0"/>
          <w:numId w:val="2"/>
        </w:numPr>
        <w:spacing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Conditional independence given random effects,</w:t>
      </w:r>
    </w:p>
    <w:p w14:paraId="44B99AD5" w14:textId="77777777" w:rsidR="008412D9" w:rsidRPr="008412D9" w:rsidRDefault="008412D9" w:rsidP="00150EF8">
      <w:pPr>
        <w:numPr>
          <w:ilvl w:val="0"/>
          <w:numId w:val="2"/>
        </w:numPr>
        <w:spacing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Correct specification of the mean–variance relationship via the beta distribution,</w:t>
      </w:r>
    </w:p>
    <w:p w14:paraId="1F75AEE7" w14:textId="77777777" w:rsidR="008412D9" w:rsidRPr="008412D9" w:rsidRDefault="008412D9" w:rsidP="00150EF8">
      <w:pPr>
        <w:numPr>
          <w:ilvl w:val="0"/>
          <w:numId w:val="2"/>
        </w:numPr>
        <w:spacing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Normally distributed random effects,</w:t>
      </w:r>
    </w:p>
    <w:p w14:paraId="00C39F60" w14:textId="77777777" w:rsidR="008412D9" w:rsidRPr="008412D9" w:rsidRDefault="008412D9" w:rsidP="00150EF8">
      <w:pPr>
        <w:numPr>
          <w:ilvl w:val="0"/>
          <w:numId w:val="2"/>
        </w:numPr>
        <w:spacing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No systematic patterns in residuals.</w:t>
      </w:r>
    </w:p>
    <w:p w14:paraId="0C704C2D" w14:textId="1016A35F" w:rsidR="00096065" w:rsidRPr="00803498" w:rsidRDefault="008412D9" w:rsidP="00150EF8">
      <w:pPr>
        <w:spacing w:before="180" w:after="0" w:line="240" w:lineRule="auto"/>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These diagnostics address limitations in earlier studies that </w:t>
      </w:r>
      <w:proofErr w:type="gramStart"/>
      <w:r w:rsidRPr="008412D9">
        <w:rPr>
          <w:rFonts w:ascii="Times New Roman" w:eastAsia="Aptos" w:hAnsi="Times New Roman" w:cs="Times New Roman"/>
          <w:sz w:val="24"/>
          <w:szCs w:val="24"/>
          <w:lang w:val="en"/>
        </w:rPr>
        <w:t>often neglected</w:t>
      </w:r>
      <w:proofErr w:type="gramEnd"/>
      <w:r w:rsidRPr="008412D9">
        <w:rPr>
          <w:rFonts w:ascii="Times New Roman" w:eastAsia="Aptos" w:hAnsi="Times New Roman" w:cs="Times New Roman"/>
          <w:sz w:val="24"/>
          <w:szCs w:val="24"/>
          <w:lang w:val="en"/>
        </w:rPr>
        <w:t xml:space="preserve"> formal model validation.</w:t>
      </w:r>
    </w:p>
    <w:p w14:paraId="7E6A936D" w14:textId="77777777" w:rsidR="00B92566" w:rsidRDefault="00B92566" w:rsidP="00150EF8">
      <w:pPr>
        <w:spacing w:after="0"/>
        <w:jc w:val="both"/>
        <w:rPr>
          <w:rFonts w:ascii="Times New Roman" w:hAnsi="Times New Roman" w:cs="Times New Roman"/>
          <w:b/>
          <w:bCs/>
          <w:sz w:val="24"/>
          <w:szCs w:val="24"/>
        </w:rPr>
      </w:pPr>
    </w:p>
    <w:p w14:paraId="0121B88A" w14:textId="77777777" w:rsidR="00B03A46" w:rsidRDefault="00B03A46" w:rsidP="00150EF8">
      <w:pPr>
        <w:spacing w:after="0"/>
        <w:jc w:val="both"/>
        <w:rPr>
          <w:rFonts w:ascii="Times New Roman" w:hAnsi="Times New Roman" w:cs="Times New Roman"/>
          <w:b/>
          <w:bCs/>
          <w:sz w:val="24"/>
          <w:szCs w:val="24"/>
        </w:rPr>
      </w:pPr>
    </w:p>
    <w:p w14:paraId="7ADF28A3" w14:textId="77777777" w:rsidR="00B03A46" w:rsidRDefault="00B03A46" w:rsidP="00150EF8">
      <w:pPr>
        <w:spacing w:after="0"/>
        <w:jc w:val="both"/>
        <w:rPr>
          <w:rFonts w:ascii="Times New Roman" w:hAnsi="Times New Roman" w:cs="Times New Roman"/>
          <w:b/>
          <w:bCs/>
          <w:sz w:val="24"/>
          <w:szCs w:val="24"/>
        </w:rPr>
      </w:pPr>
    </w:p>
    <w:p w14:paraId="335BF39E" w14:textId="77777777" w:rsidR="00DF67F7" w:rsidRDefault="00DF67F7" w:rsidP="00150EF8">
      <w:pPr>
        <w:spacing w:after="0"/>
        <w:jc w:val="both"/>
        <w:rPr>
          <w:rFonts w:ascii="Times New Roman" w:hAnsi="Times New Roman" w:cs="Times New Roman"/>
          <w:b/>
          <w:bCs/>
          <w:sz w:val="24"/>
          <w:szCs w:val="24"/>
        </w:rPr>
      </w:pPr>
    </w:p>
    <w:p w14:paraId="669BE4B8" w14:textId="77777777" w:rsidR="00DF67F7" w:rsidRDefault="00DF67F7" w:rsidP="00150EF8">
      <w:pPr>
        <w:spacing w:after="0"/>
        <w:jc w:val="both"/>
        <w:rPr>
          <w:rFonts w:ascii="Times New Roman" w:hAnsi="Times New Roman" w:cs="Times New Roman"/>
          <w:b/>
          <w:bCs/>
          <w:sz w:val="24"/>
          <w:szCs w:val="24"/>
        </w:rPr>
      </w:pPr>
    </w:p>
    <w:p w14:paraId="3D0E25F2" w14:textId="77777777" w:rsidR="00DF67F7" w:rsidRDefault="00DF67F7" w:rsidP="00150EF8">
      <w:pPr>
        <w:spacing w:after="0"/>
        <w:jc w:val="both"/>
        <w:rPr>
          <w:rFonts w:ascii="Times New Roman" w:hAnsi="Times New Roman" w:cs="Times New Roman"/>
          <w:b/>
          <w:bCs/>
          <w:sz w:val="24"/>
          <w:szCs w:val="24"/>
        </w:rPr>
      </w:pPr>
    </w:p>
    <w:p w14:paraId="40570F55" w14:textId="77777777" w:rsidR="00DF67F7" w:rsidRDefault="00DF67F7" w:rsidP="00150EF8">
      <w:pPr>
        <w:spacing w:after="0"/>
        <w:jc w:val="both"/>
        <w:rPr>
          <w:rFonts w:ascii="Times New Roman" w:hAnsi="Times New Roman" w:cs="Times New Roman"/>
          <w:b/>
          <w:bCs/>
          <w:sz w:val="24"/>
          <w:szCs w:val="24"/>
        </w:rPr>
      </w:pPr>
    </w:p>
    <w:p w14:paraId="3A65122E" w14:textId="77777777" w:rsidR="00DF67F7" w:rsidRDefault="00DF67F7" w:rsidP="00150EF8">
      <w:pPr>
        <w:spacing w:after="0"/>
        <w:jc w:val="both"/>
        <w:rPr>
          <w:rFonts w:ascii="Times New Roman" w:hAnsi="Times New Roman" w:cs="Times New Roman"/>
          <w:b/>
          <w:bCs/>
          <w:sz w:val="24"/>
          <w:szCs w:val="24"/>
        </w:rPr>
      </w:pPr>
    </w:p>
    <w:p w14:paraId="46382E9C" w14:textId="77777777" w:rsidR="00DF67F7" w:rsidRDefault="00DF67F7" w:rsidP="00150EF8">
      <w:pPr>
        <w:spacing w:after="0"/>
        <w:jc w:val="both"/>
        <w:rPr>
          <w:rFonts w:ascii="Times New Roman" w:hAnsi="Times New Roman" w:cs="Times New Roman"/>
          <w:b/>
          <w:bCs/>
          <w:sz w:val="24"/>
          <w:szCs w:val="24"/>
        </w:rPr>
      </w:pPr>
    </w:p>
    <w:p w14:paraId="4B270608" w14:textId="3D7019B7" w:rsidR="00096065" w:rsidRPr="008412D9" w:rsidRDefault="008412D9" w:rsidP="00150EF8">
      <w:pPr>
        <w:spacing w:after="0"/>
        <w:jc w:val="both"/>
        <w:rPr>
          <w:rFonts w:ascii="Times New Roman" w:hAnsi="Times New Roman" w:cs="Times New Roman"/>
          <w:b/>
          <w:bCs/>
          <w:sz w:val="24"/>
          <w:szCs w:val="24"/>
        </w:rPr>
      </w:pPr>
      <w:r w:rsidRPr="008412D9">
        <w:rPr>
          <w:rFonts w:ascii="Times New Roman" w:hAnsi="Times New Roman" w:cs="Times New Roman"/>
          <w:b/>
          <w:bCs/>
          <w:sz w:val="24"/>
          <w:szCs w:val="24"/>
        </w:rPr>
        <w:t xml:space="preserve">Results </w:t>
      </w:r>
    </w:p>
    <w:p w14:paraId="08B84E21" w14:textId="77777777" w:rsidR="008412D9" w:rsidRDefault="008412D9" w:rsidP="00C032E4">
      <w:pPr>
        <w:pStyle w:val="TableCaption"/>
        <w:keepNext/>
        <w:spacing w:before="60"/>
        <w:ind w:left="60" w:right="60"/>
      </w:pPr>
      <w:r>
        <w:lastRenderedPageBreak/>
        <w:t>Table 1 Regional descriptive statistics</w:t>
      </w:r>
    </w:p>
    <w:tbl>
      <w:tblPr>
        <w:tblW w:w="8643" w:type="dxa"/>
        <w:tblInd w:w="542" w:type="dxa"/>
        <w:tblBorders>
          <w:top w:val="single" w:sz="4" w:space="0" w:color="auto"/>
          <w:bottom w:val="single" w:sz="4" w:space="0" w:color="auto"/>
        </w:tblBorders>
        <w:tblLayout w:type="fixed"/>
        <w:tblLook w:val="0420" w:firstRow="1" w:lastRow="0" w:firstColumn="0" w:lastColumn="0" w:noHBand="0" w:noVBand="1"/>
      </w:tblPr>
      <w:tblGrid>
        <w:gridCol w:w="1866"/>
        <w:gridCol w:w="675"/>
        <w:gridCol w:w="861"/>
        <w:gridCol w:w="1090"/>
        <w:gridCol w:w="1186"/>
        <w:gridCol w:w="937"/>
        <w:gridCol w:w="1002"/>
        <w:gridCol w:w="1026"/>
      </w:tblGrid>
      <w:tr w:rsidR="008412D9" w14:paraId="35EA1B6C" w14:textId="77777777" w:rsidTr="00A526BF">
        <w:trPr>
          <w:trHeight w:val="500"/>
          <w:tblHeader/>
        </w:trPr>
        <w:tc>
          <w:tcPr>
            <w:tcW w:w="1866"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199EF2E" w14:textId="77777777" w:rsidR="008412D9" w:rsidRPr="00DF67F7" w:rsidRDefault="008412D9" w:rsidP="00C032E4">
            <w:pPr>
              <w:spacing w:before="100" w:after="0"/>
              <w:ind w:left="100" w:right="100"/>
              <w:jc w:val="center"/>
              <w:rPr>
                <w:rFonts w:ascii="Arial" w:eastAsia="Arial" w:hAnsi="Arial" w:cs="Arial"/>
                <w:b/>
                <w:color w:val="000000" w:themeColor="text1"/>
                <w:sz w:val="18"/>
                <w:szCs w:val="18"/>
              </w:rPr>
            </w:pPr>
            <w:r w:rsidRPr="00DF67F7">
              <w:rPr>
                <w:rFonts w:ascii="Arial" w:eastAsia="Arial" w:hAnsi="Arial" w:cs="Arial"/>
                <w:b/>
                <w:color w:val="000000" w:themeColor="text1"/>
                <w:sz w:val="18"/>
                <w:szCs w:val="18"/>
              </w:rPr>
              <w:t>region</w:t>
            </w:r>
          </w:p>
        </w:tc>
        <w:tc>
          <w:tcPr>
            <w:tcW w:w="675"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9796B1D" w14:textId="77777777" w:rsidR="008412D9" w:rsidRPr="00DF67F7" w:rsidRDefault="008412D9" w:rsidP="00C032E4">
            <w:pPr>
              <w:spacing w:before="100" w:after="0"/>
              <w:ind w:left="100" w:right="100"/>
              <w:jc w:val="center"/>
              <w:rPr>
                <w:rFonts w:ascii="Arial" w:eastAsia="Arial" w:hAnsi="Arial" w:cs="Arial"/>
                <w:b/>
                <w:color w:val="000000" w:themeColor="text1"/>
                <w:sz w:val="18"/>
                <w:szCs w:val="18"/>
              </w:rPr>
            </w:pPr>
            <w:r w:rsidRPr="00DF67F7">
              <w:rPr>
                <w:rFonts w:ascii="Arial" w:eastAsia="Arial" w:hAnsi="Arial" w:cs="Arial"/>
                <w:b/>
                <w:color w:val="000000" w:themeColor="text1"/>
                <w:sz w:val="18"/>
                <w:szCs w:val="18"/>
              </w:rPr>
              <w:t>countries</w:t>
            </w:r>
          </w:p>
        </w:tc>
        <w:tc>
          <w:tcPr>
            <w:tcW w:w="861"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320F023D" w14:textId="77777777" w:rsidR="008412D9" w:rsidRPr="00DF67F7" w:rsidRDefault="008412D9" w:rsidP="00C032E4">
            <w:pPr>
              <w:spacing w:before="100" w:after="0"/>
              <w:ind w:left="100" w:right="100"/>
              <w:jc w:val="center"/>
              <w:rPr>
                <w:rFonts w:ascii="Arial" w:eastAsia="Arial" w:hAnsi="Arial" w:cs="Arial"/>
                <w:b/>
                <w:color w:val="000000" w:themeColor="text1"/>
                <w:sz w:val="18"/>
                <w:szCs w:val="18"/>
              </w:rPr>
            </w:pPr>
            <w:r w:rsidRPr="00DF67F7">
              <w:rPr>
                <w:rFonts w:ascii="Arial" w:eastAsia="Arial" w:hAnsi="Arial" w:cs="Arial"/>
                <w:b/>
                <w:color w:val="000000" w:themeColor="text1"/>
                <w:sz w:val="18"/>
                <w:szCs w:val="18"/>
              </w:rPr>
              <w:t>observations</w:t>
            </w:r>
          </w:p>
        </w:tc>
        <w:tc>
          <w:tcPr>
            <w:tcW w:w="1090"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04D5BBAD" w14:textId="77777777" w:rsidR="008412D9" w:rsidRPr="00DF67F7" w:rsidRDefault="008412D9" w:rsidP="00C032E4">
            <w:pPr>
              <w:spacing w:before="100" w:after="0"/>
              <w:ind w:left="100" w:right="100"/>
              <w:jc w:val="center"/>
              <w:rPr>
                <w:rFonts w:ascii="Arial" w:eastAsia="Arial" w:hAnsi="Arial" w:cs="Arial"/>
                <w:b/>
                <w:color w:val="000000" w:themeColor="text1"/>
                <w:sz w:val="18"/>
                <w:szCs w:val="18"/>
              </w:rPr>
            </w:pPr>
            <w:proofErr w:type="spellStart"/>
            <w:r w:rsidRPr="00DF67F7">
              <w:rPr>
                <w:rFonts w:ascii="Arial" w:eastAsia="Arial" w:hAnsi="Arial" w:cs="Arial"/>
                <w:b/>
                <w:color w:val="000000" w:themeColor="text1"/>
                <w:sz w:val="18"/>
                <w:szCs w:val="18"/>
              </w:rPr>
              <w:t>mean_prevalence</w:t>
            </w:r>
            <w:proofErr w:type="spellEnd"/>
          </w:p>
        </w:tc>
        <w:tc>
          <w:tcPr>
            <w:tcW w:w="1186"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168D8356" w14:textId="77777777" w:rsidR="008412D9" w:rsidRPr="00DF67F7" w:rsidRDefault="008412D9" w:rsidP="00C032E4">
            <w:pPr>
              <w:spacing w:before="100" w:after="0"/>
              <w:ind w:left="100" w:right="100"/>
              <w:jc w:val="center"/>
              <w:rPr>
                <w:rFonts w:ascii="Arial" w:eastAsia="Arial" w:hAnsi="Arial" w:cs="Arial"/>
                <w:b/>
                <w:color w:val="000000" w:themeColor="text1"/>
                <w:sz w:val="18"/>
                <w:szCs w:val="18"/>
              </w:rPr>
            </w:pPr>
            <w:proofErr w:type="spellStart"/>
            <w:r w:rsidRPr="00DF67F7">
              <w:rPr>
                <w:rFonts w:ascii="Arial" w:eastAsia="Arial" w:hAnsi="Arial" w:cs="Arial"/>
                <w:b/>
                <w:color w:val="000000" w:themeColor="text1"/>
                <w:sz w:val="18"/>
                <w:szCs w:val="18"/>
              </w:rPr>
              <w:t>median_prevalence</w:t>
            </w:r>
            <w:proofErr w:type="spellEnd"/>
          </w:p>
        </w:tc>
        <w:tc>
          <w:tcPr>
            <w:tcW w:w="937"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4DF44984" w14:textId="77777777" w:rsidR="008412D9" w:rsidRPr="00DF67F7" w:rsidRDefault="008412D9" w:rsidP="00C032E4">
            <w:pPr>
              <w:spacing w:before="100" w:after="0"/>
              <w:ind w:left="100" w:right="100"/>
              <w:jc w:val="center"/>
              <w:rPr>
                <w:rFonts w:ascii="Arial" w:eastAsia="Arial" w:hAnsi="Arial" w:cs="Arial"/>
                <w:b/>
                <w:color w:val="000000" w:themeColor="text1"/>
                <w:sz w:val="18"/>
                <w:szCs w:val="18"/>
              </w:rPr>
            </w:pPr>
            <w:proofErr w:type="spellStart"/>
            <w:r w:rsidRPr="00DF67F7">
              <w:rPr>
                <w:rFonts w:ascii="Arial" w:eastAsia="Arial" w:hAnsi="Arial" w:cs="Arial"/>
                <w:b/>
                <w:color w:val="000000" w:themeColor="text1"/>
                <w:sz w:val="18"/>
                <w:szCs w:val="18"/>
              </w:rPr>
              <w:t>sd_prevalence</w:t>
            </w:r>
            <w:proofErr w:type="spellEnd"/>
          </w:p>
        </w:tc>
        <w:tc>
          <w:tcPr>
            <w:tcW w:w="1002"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2FB52D89" w14:textId="77777777" w:rsidR="008412D9" w:rsidRPr="00DF67F7" w:rsidRDefault="008412D9" w:rsidP="00C032E4">
            <w:pPr>
              <w:spacing w:before="100" w:after="0"/>
              <w:ind w:left="100" w:right="100"/>
              <w:jc w:val="center"/>
              <w:rPr>
                <w:rFonts w:ascii="Arial" w:eastAsia="Arial" w:hAnsi="Arial" w:cs="Arial"/>
                <w:b/>
                <w:color w:val="000000" w:themeColor="text1"/>
                <w:sz w:val="18"/>
                <w:szCs w:val="18"/>
              </w:rPr>
            </w:pPr>
            <w:proofErr w:type="spellStart"/>
            <w:r w:rsidRPr="00DF67F7">
              <w:rPr>
                <w:rFonts w:ascii="Arial" w:eastAsia="Arial" w:hAnsi="Arial" w:cs="Arial"/>
                <w:b/>
                <w:color w:val="000000" w:themeColor="text1"/>
                <w:sz w:val="18"/>
                <w:szCs w:val="18"/>
              </w:rPr>
              <w:t>min_prevalence</w:t>
            </w:r>
            <w:proofErr w:type="spellEnd"/>
          </w:p>
        </w:tc>
        <w:tc>
          <w:tcPr>
            <w:tcW w:w="1026" w:type="dxa"/>
            <w:tcBorders>
              <w:top w:val="single" w:sz="4" w:space="0" w:color="auto"/>
              <w:bottom w:val="single" w:sz="4" w:space="0" w:color="auto"/>
            </w:tcBorders>
            <w:shd w:val="clear" w:color="auto" w:fill="FFFFFF" w:themeFill="background1"/>
            <w:tcMar>
              <w:top w:w="0" w:type="dxa"/>
              <w:left w:w="0" w:type="dxa"/>
              <w:bottom w:w="0" w:type="dxa"/>
              <w:right w:w="0" w:type="dxa"/>
            </w:tcMar>
            <w:vAlign w:val="center"/>
          </w:tcPr>
          <w:p w14:paraId="54A0BFC7" w14:textId="77777777" w:rsidR="008412D9" w:rsidRPr="00DF67F7" w:rsidRDefault="008412D9" w:rsidP="00C032E4">
            <w:pPr>
              <w:spacing w:before="100" w:after="0"/>
              <w:ind w:left="100" w:right="100"/>
              <w:jc w:val="center"/>
              <w:rPr>
                <w:rFonts w:ascii="Arial" w:eastAsia="Arial" w:hAnsi="Arial" w:cs="Arial"/>
                <w:b/>
                <w:color w:val="000000" w:themeColor="text1"/>
                <w:sz w:val="18"/>
                <w:szCs w:val="18"/>
              </w:rPr>
            </w:pPr>
            <w:proofErr w:type="spellStart"/>
            <w:r w:rsidRPr="00DF67F7">
              <w:rPr>
                <w:rFonts w:ascii="Arial" w:eastAsia="Arial" w:hAnsi="Arial" w:cs="Arial"/>
                <w:b/>
                <w:color w:val="000000" w:themeColor="text1"/>
                <w:sz w:val="18"/>
                <w:szCs w:val="18"/>
              </w:rPr>
              <w:t>max_prevalence</w:t>
            </w:r>
            <w:proofErr w:type="spellEnd"/>
          </w:p>
        </w:tc>
      </w:tr>
      <w:tr w:rsidR="008412D9" w14:paraId="00408646" w14:textId="77777777" w:rsidTr="00A526BF">
        <w:trPr>
          <w:trHeight w:val="500"/>
        </w:trPr>
        <w:tc>
          <w:tcPr>
            <w:tcW w:w="1866" w:type="dxa"/>
            <w:tcBorders>
              <w:top w:val="single" w:sz="4" w:space="0" w:color="auto"/>
            </w:tcBorders>
            <w:shd w:val="clear" w:color="auto" w:fill="FFFFFF"/>
            <w:tcMar>
              <w:top w:w="0" w:type="dxa"/>
              <w:left w:w="0" w:type="dxa"/>
              <w:bottom w:w="0" w:type="dxa"/>
              <w:right w:w="0" w:type="dxa"/>
            </w:tcMar>
            <w:vAlign w:val="center"/>
          </w:tcPr>
          <w:p w14:paraId="712AC7D0"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Sub-Saharan Africa</w:t>
            </w:r>
          </w:p>
        </w:tc>
        <w:tc>
          <w:tcPr>
            <w:tcW w:w="675" w:type="dxa"/>
            <w:tcBorders>
              <w:top w:val="single" w:sz="4" w:space="0" w:color="auto"/>
            </w:tcBorders>
            <w:shd w:val="clear" w:color="auto" w:fill="FFFFFF"/>
            <w:tcMar>
              <w:top w:w="0" w:type="dxa"/>
              <w:left w:w="0" w:type="dxa"/>
              <w:bottom w:w="0" w:type="dxa"/>
              <w:right w:w="0" w:type="dxa"/>
            </w:tcMar>
            <w:vAlign w:val="center"/>
          </w:tcPr>
          <w:p w14:paraId="11405EA4"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44</w:t>
            </w:r>
          </w:p>
        </w:tc>
        <w:tc>
          <w:tcPr>
            <w:tcW w:w="861" w:type="dxa"/>
            <w:tcBorders>
              <w:top w:val="single" w:sz="4" w:space="0" w:color="auto"/>
            </w:tcBorders>
            <w:shd w:val="clear" w:color="auto" w:fill="FFFFFF"/>
            <w:tcMar>
              <w:top w:w="0" w:type="dxa"/>
              <w:left w:w="0" w:type="dxa"/>
              <w:bottom w:w="0" w:type="dxa"/>
              <w:right w:w="0" w:type="dxa"/>
            </w:tcMar>
            <w:vAlign w:val="center"/>
          </w:tcPr>
          <w:p w14:paraId="6D7B7897"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1,540</w:t>
            </w:r>
          </w:p>
        </w:tc>
        <w:tc>
          <w:tcPr>
            <w:tcW w:w="1090" w:type="dxa"/>
            <w:tcBorders>
              <w:top w:val="single" w:sz="4" w:space="0" w:color="auto"/>
            </w:tcBorders>
            <w:shd w:val="clear" w:color="auto" w:fill="FFFFFF"/>
            <w:tcMar>
              <w:top w:w="0" w:type="dxa"/>
              <w:left w:w="0" w:type="dxa"/>
              <w:bottom w:w="0" w:type="dxa"/>
              <w:right w:w="0" w:type="dxa"/>
            </w:tcMar>
            <w:vAlign w:val="center"/>
          </w:tcPr>
          <w:p w14:paraId="34CE2FD8"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1.276</w:t>
            </w:r>
          </w:p>
        </w:tc>
        <w:tc>
          <w:tcPr>
            <w:tcW w:w="1186" w:type="dxa"/>
            <w:tcBorders>
              <w:top w:val="single" w:sz="4" w:space="0" w:color="auto"/>
            </w:tcBorders>
            <w:shd w:val="clear" w:color="auto" w:fill="FFFFFF"/>
            <w:tcMar>
              <w:top w:w="0" w:type="dxa"/>
              <w:left w:w="0" w:type="dxa"/>
              <w:bottom w:w="0" w:type="dxa"/>
              <w:right w:w="0" w:type="dxa"/>
            </w:tcMar>
            <w:vAlign w:val="center"/>
          </w:tcPr>
          <w:p w14:paraId="650E3607"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0.600</w:t>
            </w:r>
          </w:p>
        </w:tc>
        <w:tc>
          <w:tcPr>
            <w:tcW w:w="937" w:type="dxa"/>
            <w:tcBorders>
              <w:top w:val="single" w:sz="4" w:space="0" w:color="auto"/>
            </w:tcBorders>
            <w:shd w:val="clear" w:color="auto" w:fill="FFFFFF"/>
            <w:tcMar>
              <w:top w:w="0" w:type="dxa"/>
              <w:left w:w="0" w:type="dxa"/>
              <w:bottom w:w="0" w:type="dxa"/>
              <w:right w:w="0" w:type="dxa"/>
            </w:tcMar>
            <w:vAlign w:val="center"/>
          </w:tcPr>
          <w:p w14:paraId="6D3B8C19"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1.786</w:t>
            </w:r>
          </w:p>
        </w:tc>
        <w:tc>
          <w:tcPr>
            <w:tcW w:w="1002" w:type="dxa"/>
            <w:tcBorders>
              <w:top w:val="single" w:sz="4" w:space="0" w:color="auto"/>
            </w:tcBorders>
            <w:shd w:val="clear" w:color="auto" w:fill="FFFFFF"/>
            <w:tcMar>
              <w:top w:w="0" w:type="dxa"/>
              <w:left w:w="0" w:type="dxa"/>
              <w:bottom w:w="0" w:type="dxa"/>
              <w:right w:w="0" w:type="dxa"/>
            </w:tcMar>
            <w:vAlign w:val="center"/>
          </w:tcPr>
          <w:p w14:paraId="207A87F5"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w:t>
            </w:r>
          </w:p>
        </w:tc>
        <w:tc>
          <w:tcPr>
            <w:tcW w:w="1026" w:type="dxa"/>
            <w:tcBorders>
              <w:top w:val="single" w:sz="4" w:space="0" w:color="auto"/>
            </w:tcBorders>
            <w:shd w:val="clear" w:color="auto" w:fill="FFFFFF"/>
            <w:tcMar>
              <w:top w:w="0" w:type="dxa"/>
              <w:left w:w="0" w:type="dxa"/>
              <w:bottom w:w="0" w:type="dxa"/>
              <w:right w:w="0" w:type="dxa"/>
            </w:tcMar>
            <w:vAlign w:val="center"/>
          </w:tcPr>
          <w:p w14:paraId="17BE72A3"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12.100</w:t>
            </w:r>
          </w:p>
        </w:tc>
      </w:tr>
      <w:tr w:rsidR="008412D9" w14:paraId="0F3E22B6" w14:textId="77777777" w:rsidTr="00DF67F7">
        <w:trPr>
          <w:trHeight w:val="500"/>
        </w:trPr>
        <w:tc>
          <w:tcPr>
            <w:tcW w:w="1866" w:type="dxa"/>
            <w:shd w:val="clear" w:color="auto" w:fill="FFFFFF"/>
            <w:tcMar>
              <w:top w:w="0" w:type="dxa"/>
              <w:left w:w="0" w:type="dxa"/>
              <w:bottom w:w="0" w:type="dxa"/>
              <w:right w:w="0" w:type="dxa"/>
            </w:tcMar>
            <w:vAlign w:val="center"/>
          </w:tcPr>
          <w:p w14:paraId="466BE19A"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Unclassified or aggregate economy</w:t>
            </w:r>
          </w:p>
        </w:tc>
        <w:tc>
          <w:tcPr>
            <w:tcW w:w="675" w:type="dxa"/>
            <w:shd w:val="clear" w:color="auto" w:fill="FFFFFF"/>
            <w:tcMar>
              <w:top w:w="0" w:type="dxa"/>
              <w:left w:w="0" w:type="dxa"/>
              <w:bottom w:w="0" w:type="dxa"/>
              <w:right w:w="0" w:type="dxa"/>
            </w:tcMar>
            <w:vAlign w:val="center"/>
          </w:tcPr>
          <w:p w14:paraId="33BAB74D"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22</w:t>
            </w:r>
          </w:p>
        </w:tc>
        <w:tc>
          <w:tcPr>
            <w:tcW w:w="861" w:type="dxa"/>
            <w:shd w:val="clear" w:color="auto" w:fill="FFFFFF"/>
            <w:tcMar>
              <w:top w:w="0" w:type="dxa"/>
              <w:left w:w="0" w:type="dxa"/>
              <w:bottom w:w="0" w:type="dxa"/>
              <w:right w:w="0" w:type="dxa"/>
            </w:tcMar>
            <w:vAlign w:val="center"/>
          </w:tcPr>
          <w:p w14:paraId="1D16CB7C"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741</w:t>
            </w:r>
          </w:p>
        </w:tc>
        <w:tc>
          <w:tcPr>
            <w:tcW w:w="1090" w:type="dxa"/>
            <w:shd w:val="clear" w:color="auto" w:fill="FFFFFF"/>
            <w:tcMar>
              <w:top w:w="0" w:type="dxa"/>
              <w:left w:w="0" w:type="dxa"/>
              <w:bottom w:w="0" w:type="dxa"/>
              <w:right w:w="0" w:type="dxa"/>
            </w:tcMar>
            <w:vAlign w:val="center"/>
          </w:tcPr>
          <w:p w14:paraId="0E89049B"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0.628</w:t>
            </w:r>
          </w:p>
        </w:tc>
        <w:tc>
          <w:tcPr>
            <w:tcW w:w="1186" w:type="dxa"/>
            <w:shd w:val="clear" w:color="auto" w:fill="FFFFFF"/>
            <w:tcMar>
              <w:top w:w="0" w:type="dxa"/>
              <w:left w:w="0" w:type="dxa"/>
              <w:bottom w:w="0" w:type="dxa"/>
              <w:right w:w="0" w:type="dxa"/>
            </w:tcMar>
            <w:vAlign w:val="center"/>
          </w:tcPr>
          <w:p w14:paraId="39825665"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0.575</w:t>
            </w:r>
          </w:p>
        </w:tc>
        <w:tc>
          <w:tcPr>
            <w:tcW w:w="937" w:type="dxa"/>
            <w:shd w:val="clear" w:color="auto" w:fill="FFFFFF"/>
            <w:tcMar>
              <w:top w:w="0" w:type="dxa"/>
              <w:left w:w="0" w:type="dxa"/>
              <w:bottom w:w="0" w:type="dxa"/>
              <w:right w:w="0" w:type="dxa"/>
            </w:tcMar>
            <w:vAlign w:val="center"/>
          </w:tcPr>
          <w:p w14:paraId="58394159"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0.448</w:t>
            </w:r>
          </w:p>
        </w:tc>
        <w:tc>
          <w:tcPr>
            <w:tcW w:w="1002" w:type="dxa"/>
            <w:shd w:val="clear" w:color="auto" w:fill="FFFFFF"/>
            <w:tcMar>
              <w:top w:w="0" w:type="dxa"/>
              <w:left w:w="0" w:type="dxa"/>
              <w:bottom w:w="0" w:type="dxa"/>
              <w:right w:w="0" w:type="dxa"/>
            </w:tcMar>
            <w:vAlign w:val="center"/>
          </w:tcPr>
          <w:p w14:paraId="278CD950"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w:t>
            </w:r>
          </w:p>
        </w:tc>
        <w:tc>
          <w:tcPr>
            <w:tcW w:w="1026" w:type="dxa"/>
            <w:shd w:val="clear" w:color="auto" w:fill="FFFFFF"/>
            <w:tcMar>
              <w:top w:w="0" w:type="dxa"/>
              <w:left w:w="0" w:type="dxa"/>
              <w:bottom w:w="0" w:type="dxa"/>
              <w:right w:w="0" w:type="dxa"/>
            </w:tcMar>
            <w:vAlign w:val="center"/>
          </w:tcPr>
          <w:p w14:paraId="61798DB4"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2.035</w:t>
            </w:r>
          </w:p>
        </w:tc>
      </w:tr>
      <w:tr w:rsidR="008412D9" w14:paraId="58A29483" w14:textId="77777777" w:rsidTr="00DF67F7">
        <w:trPr>
          <w:trHeight w:val="481"/>
        </w:trPr>
        <w:tc>
          <w:tcPr>
            <w:tcW w:w="1866" w:type="dxa"/>
            <w:shd w:val="clear" w:color="auto" w:fill="FFFFFF"/>
            <w:tcMar>
              <w:top w:w="0" w:type="dxa"/>
              <w:left w:w="0" w:type="dxa"/>
              <w:bottom w:w="0" w:type="dxa"/>
              <w:right w:w="0" w:type="dxa"/>
            </w:tcMar>
            <w:vAlign w:val="center"/>
          </w:tcPr>
          <w:p w14:paraId="5DC65E4E"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Latin America &amp; Caribbean</w:t>
            </w:r>
          </w:p>
        </w:tc>
        <w:tc>
          <w:tcPr>
            <w:tcW w:w="675" w:type="dxa"/>
            <w:shd w:val="clear" w:color="auto" w:fill="FFFFFF"/>
            <w:tcMar>
              <w:top w:w="0" w:type="dxa"/>
              <w:left w:w="0" w:type="dxa"/>
              <w:bottom w:w="0" w:type="dxa"/>
              <w:right w:w="0" w:type="dxa"/>
            </w:tcMar>
            <w:vAlign w:val="center"/>
          </w:tcPr>
          <w:p w14:paraId="1E1CCD66"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28</w:t>
            </w:r>
          </w:p>
        </w:tc>
        <w:tc>
          <w:tcPr>
            <w:tcW w:w="861" w:type="dxa"/>
            <w:shd w:val="clear" w:color="auto" w:fill="FFFFFF"/>
            <w:tcMar>
              <w:top w:w="0" w:type="dxa"/>
              <w:left w:w="0" w:type="dxa"/>
              <w:bottom w:w="0" w:type="dxa"/>
              <w:right w:w="0" w:type="dxa"/>
            </w:tcMar>
            <w:vAlign w:val="center"/>
          </w:tcPr>
          <w:p w14:paraId="52008D95"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980</w:t>
            </w:r>
          </w:p>
        </w:tc>
        <w:tc>
          <w:tcPr>
            <w:tcW w:w="1090" w:type="dxa"/>
            <w:shd w:val="clear" w:color="auto" w:fill="FFFFFF"/>
            <w:tcMar>
              <w:top w:w="0" w:type="dxa"/>
              <w:left w:w="0" w:type="dxa"/>
              <w:bottom w:w="0" w:type="dxa"/>
              <w:right w:w="0" w:type="dxa"/>
            </w:tcMar>
            <w:vAlign w:val="center"/>
          </w:tcPr>
          <w:p w14:paraId="7A446A90"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0.317</w:t>
            </w:r>
          </w:p>
        </w:tc>
        <w:tc>
          <w:tcPr>
            <w:tcW w:w="1186" w:type="dxa"/>
            <w:shd w:val="clear" w:color="auto" w:fill="FFFFFF"/>
            <w:tcMar>
              <w:top w:w="0" w:type="dxa"/>
              <w:left w:w="0" w:type="dxa"/>
              <w:bottom w:w="0" w:type="dxa"/>
              <w:right w:w="0" w:type="dxa"/>
            </w:tcMar>
            <w:vAlign w:val="center"/>
          </w:tcPr>
          <w:p w14:paraId="2DB9038F"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0.200</w:t>
            </w:r>
          </w:p>
        </w:tc>
        <w:tc>
          <w:tcPr>
            <w:tcW w:w="937" w:type="dxa"/>
            <w:shd w:val="clear" w:color="auto" w:fill="FFFFFF"/>
            <w:tcMar>
              <w:top w:w="0" w:type="dxa"/>
              <w:left w:w="0" w:type="dxa"/>
              <w:bottom w:w="0" w:type="dxa"/>
              <w:right w:w="0" w:type="dxa"/>
            </w:tcMar>
            <w:vAlign w:val="center"/>
          </w:tcPr>
          <w:p w14:paraId="2DCA587F"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0.262</w:t>
            </w:r>
          </w:p>
        </w:tc>
        <w:tc>
          <w:tcPr>
            <w:tcW w:w="1002" w:type="dxa"/>
            <w:shd w:val="clear" w:color="auto" w:fill="FFFFFF"/>
            <w:tcMar>
              <w:top w:w="0" w:type="dxa"/>
              <w:left w:w="0" w:type="dxa"/>
              <w:bottom w:w="0" w:type="dxa"/>
              <w:right w:w="0" w:type="dxa"/>
            </w:tcMar>
            <w:vAlign w:val="center"/>
          </w:tcPr>
          <w:p w14:paraId="46B1C7EB"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w:t>
            </w:r>
          </w:p>
        </w:tc>
        <w:tc>
          <w:tcPr>
            <w:tcW w:w="1026" w:type="dxa"/>
            <w:shd w:val="clear" w:color="auto" w:fill="FFFFFF"/>
            <w:tcMar>
              <w:top w:w="0" w:type="dxa"/>
              <w:left w:w="0" w:type="dxa"/>
              <w:bottom w:w="0" w:type="dxa"/>
              <w:right w:w="0" w:type="dxa"/>
            </w:tcMar>
            <w:vAlign w:val="center"/>
          </w:tcPr>
          <w:p w14:paraId="2D4F5CA9"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1.800</w:t>
            </w:r>
          </w:p>
        </w:tc>
      </w:tr>
      <w:tr w:rsidR="008412D9" w14:paraId="0224F556" w14:textId="77777777" w:rsidTr="00DF67F7">
        <w:trPr>
          <w:trHeight w:val="500"/>
        </w:trPr>
        <w:tc>
          <w:tcPr>
            <w:tcW w:w="1866" w:type="dxa"/>
            <w:shd w:val="clear" w:color="auto" w:fill="FFFFFF"/>
            <w:tcMar>
              <w:top w:w="0" w:type="dxa"/>
              <w:left w:w="0" w:type="dxa"/>
              <w:bottom w:w="0" w:type="dxa"/>
              <w:right w:w="0" w:type="dxa"/>
            </w:tcMar>
            <w:vAlign w:val="center"/>
          </w:tcPr>
          <w:p w14:paraId="70284C9D"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East Asia &amp; Pacific</w:t>
            </w:r>
          </w:p>
        </w:tc>
        <w:tc>
          <w:tcPr>
            <w:tcW w:w="675" w:type="dxa"/>
            <w:shd w:val="clear" w:color="auto" w:fill="FFFFFF"/>
            <w:tcMar>
              <w:top w:w="0" w:type="dxa"/>
              <w:left w:w="0" w:type="dxa"/>
              <w:bottom w:w="0" w:type="dxa"/>
              <w:right w:w="0" w:type="dxa"/>
            </w:tcMar>
            <w:vAlign w:val="center"/>
          </w:tcPr>
          <w:p w14:paraId="551019DF"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18</w:t>
            </w:r>
          </w:p>
        </w:tc>
        <w:tc>
          <w:tcPr>
            <w:tcW w:w="861" w:type="dxa"/>
            <w:shd w:val="clear" w:color="auto" w:fill="FFFFFF"/>
            <w:tcMar>
              <w:top w:w="0" w:type="dxa"/>
              <w:left w:w="0" w:type="dxa"/>
              <w:bottom w:w="0" w:type="dxa"/>
              <w:right w:w="0" w:type="dxa"/>
            </w:tcMar>
            <w:vAlign w:val="center"/>
          </w:tcPr>
          <w:p w14:paraId="65BD5D25"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630</w:t>
            </w:r>
          </w:p>
        </w:tc>
        <w:tc>
          <w:tcPr>
            <w:tcW w:w="1090" w:type="dxa"/>
            <w:shd w:val="clear" w:color="auto" w:fill="FFFFFF"/>
            <w:tcMar>
              <w:top w:w="0" w:type="dxa"/>
              <w:left w:w="0" w:type="dxa"/>
              <w:bottom w:w="0" w:type="dxa"/>
              <w:right w:w="0" w:type="dxa"/>
            </w:tcMar>
            <w:vAlign w:val="center"/>
          </w:tcPr>
          <w:p w14:paraId="2CAB4C2E"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0.239</w:t>
            </w:r>
          </w:p>
        </w:tc>
        <w:tc>
          <w:tcPr>
            <w:tcW w:w="1186" w:type="dxa"/>
            <w:shd w:val="clear" w:color="auto" w:fill="FFFFFF"/>
            <w:tcMar>
              <w:top w:w="0" w:type="dxa"/>
              <w:left w:w="0" w:type="dxa"/>
              <w:bottom w:w="0" w:type="dxa"/>
              <w:right w:w="0" w:type="dxa"/>
            </w:tcMar>
            <w:vAlign w:val="center"/>
          </w:tcPr>
          <w:p w14:paraId="42963E3A"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c>
          <w:tcPr>
            <w:tcW w:w="937" w:type="dxa"/>
            <w:shd w:val="clear" w:color="auto" w:fill="FFFFFF"/>
            <w:tcMar>
              <w:top w:w="0" w:type="dxa"/>
              <w:left w:w="0" w:type="dxa"/>
              <w:bottom w:w="0" w:type="dxa"/>
              <w:right w:w="0" w:type="dxa"/>
            </w:tcMar>
            <w:vAlign w:val="center"/>
          </w:tcPr>
          <w:p w14:paraId="18DE15C8"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0.427</w:t>
            </w:r>
          </w:p>
        </w:tc>
        <w:tc>
          <w:tcPr>
            <w:tcW w:w="1002" w:type="dxa"/>
            <w:shd w:val="clear" w:color="auto" w:fill="FFFFFF"/>
            <w:tcMar>
              <w:top w:w="0" w:type="dxa"/>
              <w:left w:w="0" w:type="dxa"/>
              <w:bottom w:w="0" w:type="dxa"/>
              <w:right w:w="0" w:type="dxa"/>
            </w:tcMar>
            <w:vAlign w:val="center"/>
          </w:tcPr>
          <w:p w14:paraId="1AF663EA"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w:t>
            </w:r>
          </w:p>
        </w:tc>
        <w:tc>
          <w:tcPr>
            <w:tcW w:w="1026" w:type="dxa"/>
            <w:shd w:val="clear" w:color="auto" w:fill="FFFFFF"/>
            <w:tcMar>
              <w:top w:w="0" w:type="dxa"/>
              <w:left w:w="0" w:type="dxa"/>
              <w:bottom w:w="0" w:type="dxa"/>
              <w:right w:w="0" w:type="dxa"/>
            </w:tcMar>
            <w:vAlign w:val="center"/>
          </w:tcPr>
          <w:p w14:paraId="7963BBB5"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4.200</w:t>
            </w:r>
          </w:p>
        </w:tc>
      </w:tr>
      <w:tr w:rsidR="008412D9" w14:paraId="035313E8" w14:textId="77777777" w:rsidTr="00DF67F7">
        <w:trPr>
          <w:trHeight w:val="500"/>
        </w:trPr>
        <w:tc>
          <w:tcPr>
            <w:tcW w:w="1866" w:type="dxa"/>
            <w:shd w:val="clear" w:color="auto" w:fill="FFFFFF"/>
            <w:tcMar>
              <w:top w:w="0" w:type="dxa"/>
              <w:left w:w="0" w:type="dxa"/>
              <w:bottom w:w="0" w:type="dxa"/>
              <w:right w:w="0" w:type="dxa"/>
            </w:tcMar>
            <w:vAlign w:val="center"/>
          </w:tcPr>
          <w:p w14:paraId="5EE48AFB"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Middle East &amp; North Africa</w:t>
            </w:r>
          </w:p>
        </w:tc>
        <w:tc>
          <w:tcPr>
            <w:tcW w:w="675" w:type="dxa"/>
            <w:shd w:val="clear" w:color="auto" w:fill="FFFFFF"/>
            <w:tcMar>
              <w:top w:w="0" w:type="dxa"/>
              <w:left w:w="0" w:type="dxa"/>
              <w:bottom w:w="0" w:type="dxa"/>
              <w:right w:w="0" w:type="dxa"/>
            </w:tcMar>
            <w:vAlign w:val="center"/>
          </w:tcPr>
          <w:p w14:paraId="00B49582"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18</w:t>
            </w:r>
          </w:p>
        </w:tc>
        <w:tc>
          <w:tcPr>
            <w:tcW w:w="861" w:type="dxa"/>
            <w:shd w:val="clear" w:color="auto" w:fill="FFFFFF"/>
            <w:tcMar>
              <w:top w:w="0" w:type="dxa"/>
              <w:left w:w="0" w:type="dxa"/>
              <w:bottom w:w="0" w:type="dxa"/>
              <w:right w:w="0" w:type="dxa"/>
            </w:tcMar>
            <w:vAlign w:val="center"/>
          </w:tcPr>
          <w:p w14:paraId="2AD849EF"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630</w:t>
            </w:r>
          </w:p>
        </w:tc>
        <w:tc>
          <w:tcPr>
            <w:tcW w:w="1090" w:type="dxa"/>
            <w:shd w:val="clear" w:color="auto" w:fill="FFFFFF"/>
            <w:tcMar>
              <w:top w:w="0" w:type="dxa"/>
              <w:left w:w="0" w:type="dxa"/>
              <w:bottom w:w="0" w:type="dxa"/>
              <w:right w:w="0" w:type="dxa"/>
            </w:tcMar>
            <w:vAlign w:val="center"/>
          </w:tcPr>
          <w:p w14:paraId="46992806"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0.117</w:t>
            </w:r>
          </w:p>
        </w:tc>
        <w:tc>
          <w:tcPr>
            <w:tcW w:w="1186" w:type="dxa"/>
            <w:shd w:val="clear" w:color="auto" w:fill="FFFFFF"/>
            <w:tcMar>
              <w:top w:w="0" w:type="dxa"/>
              <w:left w:w="0" w:type="dxa"/>
              <w:bottom w:w="0" w:type="dxa"/>
              <w:right w:w="0" w:type="dxa"/>
            </w:tcMar>
            <w:vAlign w:val="center"/>
          </w:tcPr>
          <w:p w14:paraId="7CA1371E"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c>
          <w:tcPr>
            <w:tcW w:w="937" w:type="dxa"/>
            <w:shd w:val="clear" w:color="auto" w:fill="FFFFFF"/>
            <w:tcMar>
              <w:top w:w="0" w:type="dxa"/>
              <w:left w:w="0" w:type="dxa"/>
              <w:bottom w:w="0" w:type="dxa"/>
              <w:right w:w="0" w:type="dxa"/>
            </w:tcMar>
            <w:vAlign w:val="center"/>
          </w:tcPr>
          <w:p w14:paraId="4FCC869D"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0.069</w:t>
            </w:r>
          </w:p>
        </w:tc>
        <w:tc>
          <w:tcPr>
            <w:tcW w:w="1002" w:type="dxa"/>
            <w:shd w:val="clear" w:color="auto" w:fill="FFFFFF"/>
            <w:tcMar>
              <w:top w:w="0" w:type="dxa"/>
              <w:left w:w="0" w:type="dxa"/>
              <w:bottom w:w="0" w:type="dxa"/>
              <w:right w:w="0" w:type="dxa"/>
            </w:tcMar>
            <w:vAlign w:val="center"/>
          </w:tcPr>
          <w:p w14:paraId="745513AB"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w:t>
            </w:r>
          </w:p>
        </w:tc>
        <w:tc>
          <w:tcPr>
            <w:tcW w:w="1026" w:type="dxa"/>
            <w:shd w:val="clear" w:color="auto" w:fill="FFFFFF"/>
            <w:tcMar>
              <w:top w:w="0" w:type="dxa"/>
              <w:left w:w="0" w:type="dxa"/>
              <w:bottom w:w="0" w:type="dxa"/>
              <w:right w:w="0" w:type="dxa"/>
            </w:tcMar>
            <w:vAlign w:val="center"/>
          </w:tcPr>
          <w:p w14:paraId="7EE070C4"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0.600</w:t>
            </w:r>
          </w:p>
        </w:tc>
      </w:tr>
      <w:tr w:rsidR="008412D9" w14:paraId="180DDC33" w14:textId="77777777" w:rsidTr="00DF67F7">
        <w:trPr>
          <w:trHeight w:val="500"/>
        </w:trPr>
        <w:tc>
          <w:tcPr>
            <w:tcW w:w="1866" w:type="dxa"/>
            <w:shd w:val="clear" w:color="auto" w:fill="FFFFFF"/>
            <w:tcMar>
              <w:top w:w="0" w:type="dxa"/>
              <w:left w:w="0" w:type="dxa"/>
              <w:bottom w:w="0" w:type="dxa"/>
              <w:right w:w="0" w:type="dxa"/>
            </w:tcMar>
            <w:vAlign w:val="center"/>
          </w:tcPr>
          <w:p w14:paraId="252F52C5"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Europe &amp; Central Asia</w:t>
            </w:r>
          </w:p>
        </w:tc>
        <w:tc>
          <w:tcPr>
            <w:tcW w:w="675" w:type="dxa"/>
            <w:shd w:val="clear" w:color="auto" w:fill="FFFFFF"/>
            <w:tcMar>
              <w:top w:w="0" w:type="dxa"/>
              <w:left w:w="0" w:type="dxa"/>
              <w:bottom w:w="0" w:type="dxa"/>
              <w:right w:w="0" w:type="dxa"/>
            </w:tcMar>
            <w:vAlign w:val="center"/>
          </w:tcPr>
          <w:p w14:paraId="23871ED8"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30</w:t>
            </w:r>
          </w:p>
        </w:tc>
        <w:tc>
          <w:tcPr>
            <w:tcW w:w="861" w:type="dxa"/>
            <w:shd w:val="clear" w:color="auto" w:fill="FFFFFF"/>
            <w:tcMar>
              <w:top w:w="0" w:type="dxa"/>
              <w:left w:w="0" w:type="dxa"/>
              <w:bottom w:w="0" w:type="dxa"/>
              <w:right w:w="0" w:type="dxa"/>
            </w:tcMar>
            <w:vAlign w:val="center"/>
          </w:tcPr>
          <w:p w14:paraId="11B715B2"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1,049</w:t>
            </w:r>
          </w:p>
        </w:tc>
        <w:tc>
          <w:tcPr>
            <w:tcW w:w="1090" w:type="dxa"/>
            <w:shd w:val="clear" w:color="auto" w:fill="FFFFFF"/>
            <w:tcMar>
              <w:top w:w="0" w:type="dxa"/>
              <w:left w:w="0" w:type="dxa"/>
              <w:bottom w:w="0" w:type="dxa"/>
              <w:right w:w="0" w:type="dxa"/>
            </w:tcMar>
            <w:vAlign w:val="center"/>
          </w:tcPr>
          <w:p w14:paraId="37C7FD3F"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0.114</w:t>
            </w:r>
          </w:p>
        </w:tc>
        <w:tc>
          <w:tcPr>
            <w:tcW w:w="1186" w:type="dxa"/>
            <w:shd w:val="clear" w:color="auto" w:fill="FFFFFF"/>
            <w:tcMar>
              <w:top w:w="0" w:type="dxa"/>
              <w:left w:w="0" w:type="dxa"/>
              <w:bottom w:w="0" w:type="dxa"/>
              <w:right w:w="0" w:type="dxa"/>
            </w:tcMar>
            <w:vAlign w:val="center"/>
          </w:tcPr>
          <w:p w14:paraId="0E4B1A7A"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c>
          <w:tcPr>
            <w:tcW w:w="937" w:type="dxa"/>
            <w:shd w:val="clear" w:color="auto" w:fill="FFFFFF"/>
            <w:tcMar>
              <w:top w:w="0" w:type="dxa"/>
              <w:left w:w="0" w:type="dxa"/>
              <w:bottom w:w="0" w:type="dxa"/>
              <w:right w:w="0" w:type="dxa"/>
            </w:tcMar>
            <w:vAlign w:val="center"/>
          </w:tcPr>
          <w:p w14:paraId="724383D2"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0.056</w:t>
            </w:r>
          </w:p>
        </w:tc>
        <w:tc>
          <w:tcPr>
            <w:tcW w:w="1002" w:type="dxa"/>
            <w:shd w:val="clear" w:color="auto" w:fill="FFFFFF"/>
            <w:tcMar>
              <w:top w:w="0" w:type="dxa"/>
              <w:left w:w="0" w:type="dxa"/>
              <w:bottom w:w="0" w:type="dxa"/>
              <w:right w:w="0" w:type="dxa"/>
            </w:tcMar>
            <w:vAlign w:val="center"/>
          </w:tcPr>
          <w:p w14:paraId="232516C3"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w:t>
            </w:r>
          </w:p>
        </w:tc>
        <w:tc>
          <w:tcPr>
            <w:tcW w:w="1026" w:type="dxa"/>
            <w:shd w:val="clear" w:color="auto" w:fill="FFFFFF"/>
            <w:tcMar>
              <w:top w:w="0" w:type="dxa"/>
              <w:left w:w="0" w:type="dxa"/>
              <w:bottom w:w="0" w:type="dxa"/>
              <w:right w:w="0" w:type="dxa"/>
            </w:tcMar>
            <w:vAlign w:val="center"/>
          </w:tcPr>
          <w:p w14:paraId="60E6F9E6"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0.500</w:t>
            </w:r>
          </w:p>
        </w:tc>
      </w:tr>
      <w:tr w:rsidR="008412D9" w14:paraId="2C949A57" w14:textId="77777777" w:rsidTr="00DF67F7">
        <w:trPr>
          <w:trHeight w:val="500"/>
        </w:trPr>
        <w:tc>
          <w:tcPr>
            <w:tcW w:w="1866" w:type="dxa"/>
            <w:shd w:val="clear" w:color="auto" w:fill="FFFFFF"/>
            <w:tcMar>
              <w:top w:w="0" w:type="dxa"/>
              <w:left w:w="0" w:type="dxa"/>
              <w:bottom w:w="0" w:type="dxa"/>
              <w:right w:w="0" w:type="dxa"/>
            </w:tcMar>
            <w:vAlign w:val="center"/>
          </w:tcPr>
          <w:p w14:paraId="66C55CBA"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North America</w:t>
            </w:r>
          </w:p>
        </w:tc>
        <w:tc>
          <w:tcPr>
            <w:tcW w:w="675" w:type="dxa"/>
            <w:shd w:val="clear" w:color="auto" w:fill="FFFFFF"/>
            <w:tcMar>
              <w:top w:w="0" w:type="dxa"/>
              <w:left w:w="0" w:type="dxa"/>
              <w:bottom w:w="0" w:type="dxa"/>
              <w:right w:w="0" w:type="dxa"/>
            </w:tcMar>
            <w:vAlign w:val="center"/>
          </w:tcPr>
          <w:p w14:paraId="3C83415C"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w:t>
            </w:r>
          </w:p>
        </w:tc>
        <w:tc>
          <w:tcPr>
            <w:tcW w:w="861" w:type="dxa"/>
            <w:shd w:val="clear" w:color="auto" w:fill="FFFFFF"/>
            <w:tcMar>
              <w:top w:w="0" w:type="dxa"/>
              <w:left w:w="0" w:type="dxa"/>
              <w:bottom w:w="0" w:type="dxa"/>
              <w:right w:w="0" w:type="dxa"/>
            </w:tcMar>
            <w:vAlign w:val="center"/>
          </w:tcPr>
          <w:p w14:paraId="126F2E95"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33</w:t>
            </w:r>
          </w:p>
        </w:tc>
        <w:tc>
          <w:tcPr>
            <w:tcW w:w="1090" w:type="dxa"/>
            <w:shd w:val="clear" w:color="auto" w:fill="FFFFFF"/>
            <w:tcMar>
              <w:top w:w="0" w:type="dxa"/>
              <w:left w:w="0" w:type="dxa"/>
              <w:bottom w:w="0" w:type="dxa"/>
              <w:right w:w="0" w:type="dxa"/>
            </w:tcMar>
            <w:vAlign w:val="center"/>
          </w:tcPr>
          <w:p w14:paraId="4E5ABA88"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c>
          <w:tcPr>
            <w:tcW w:w="1186" w:type="dxa"/>
            <w:shd w:val="clear" w:color="auto" w:fill="FFFFFF"/>
            <w:tcMar>
              <w:top w:w="0" w:type="dxa"/>
              <w:left w:w="0" w:type="dxa"/>
              <w:bottom w:w="0" w:type="dxa"/>
              <w:right w:w="0" w:type="dxa"/>
            </w:tcMar>
            <w:vAlign w:val="center"/>
          </w:tcPr>
          <w:p w14:paraId="09B2DA49"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c>
          <w:tcPr>
            <w:tcW w:w="937" w:type="dxa"/>
            <w:shd w:val="clear" w:color="auto" w:fill="FFFFFF"/>
            <w:tcMar>
              <w:top w:w="0" w:type="dxa"/>
              <w:left w:w="0" w:type="dxa"/>
              <w:bottom w:w="0" w:type="dxa"/>
              <w:right w:w="0" w:type="dxa"/>
            </w:tcMar>
            <w:vAlign w:val="center"/>
          </w:tcPr>
          <w:p w14:paraId="2D6CE50F"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0.000</w:t>
            </w:r>
          </w:p>
        </w:tc>
        <w:tc>
          <w:tcPr>
            <w:tcW w:w="1002" w:type="dxa"/>
            <w:shd w:val="clear" w:color="auto" w:fill="FFFFFF"/>
            <w:tcMar>
              <w:top w:w="0" w:type="dxa"/>
              <w:left w:w="0" w:type="dxa"/>
              <w:bottom w:w="0" w:type="dxa"/>
              <w:right w:w="0" w:type="dxa"/>
            </w:tcMar>
            <w:vAlign w:val="center"/>
          </w:tcPr>
          <w:p w14:paraId="459C2F50"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w:t>
            </w:r>
          </w:p>
        </w:tc>
        <w:tc>
          <w:tcPr>
            <w:tcW w:w="1026" w:type="dxa"/>
            <w:shd w:val="clear" w:color="auto" w:fill="FFFFFF"/>
            <w:tcMar>
              <w:top w:w="0" w:type="dxa"/>
              <w:left w:w="0" w:type="dxa"/>
              <w:bottom w:w="0" w:type="dxa"/>
              <w:right w:w="0" w:type="dxa"/>
            </w:tcMar>
            <w:vAlign w:val="center"/>
          </w:tcPr>
          <w:p w14:paraId="13CFF91D"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r>
      <w:tr w:rsidR="008412D9" w14:paraId="6FD013E7" w14:textId="77777777" w:rsidTr="00DF67F7">
        <w:trPr>
          <w:trHeight w:val="500"/>
        </w:trPr>
        <w:tc>
          <w:tcPr>
            <w:tcW w:w="1866" w:type="dxa"/>
            <w:shd w:val="clear" w:color="auto" w:fill="FFFFFF"/>
            <w:tcMar>
              <w:top w:w="0" w:type="dxa"/>
              <w:left w:w="0" w:type="dxa"/>
              <w:bottom w:w="0" w:type="dxa"/>
              <w:right w:w="0" w:type="dxa"/>
            </w:tcMar>
            <w:vAlign w:val="center"/>
          </w:tcPr>
          <w:p w14:paraId="5BF1B60C"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South Asia</w:t>
            </w:r>
          </w:p>
        </w:tc>
        <w:tc>
          <w:tcPr>
            <w:tcW w:w="675" w:type="dxa"/>
            <w:shd w:val="clear" w:color="auto" w:fill="FFFFFF"/>
            <w:tcMar>
              <w:top w:w="0" w:type="dxa"/>
              <w:left w:w="0" w:type="dxa"/>
              <w:bottom w:w="0" w:type="dxa"/>
              <w:right w:w="0" w:type="dxa"/>
            </w:tcMar>
            <w:vAlign w:val="center"/>
          </w:tcPr>
          <w:p w14:paraId="62E1DE46"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7</w:t>
            </w:r>
          </w:p>
        </w:tc>
        <w:tc>
          <w:tcPr>
            <w:tcW w:w="861" w:type="dxa"/>
            <w:shd w:val="clear" w:color="auto" w:fill="FFFFFF"/>
            <w:tcMar>
              <w:top w:w="0" w:type="dxa"/>
              <w:left w:w="0" w:type="dxa"/>
              <w:bottom w:w="0" w:type="dxa"/>
              <w:right w:w="0" w:type="dxa"/>
            </w:tcMar>
            <w:vAlign w:val="center"/>
          </w:tcPr>
          <w:p w14:paraId="0E18FD32"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245</w:t>
            </w:r>
          </w:p>
        </w:tc>
        <w:tc>
          <w:tcPr>
            <w:tcW w:w="1090" w:type="dxa"/>
            <w:shd w:val="clear" w:color="auto" w:fill="FFFFFF"/>
            <w:tcMar>
              <w:top w:w="0" w:type="dxa"/>
              <w:left w:w="0" w:type="dxa"/>
              <w:bottom w:w="0" w:type="dxa"/>
              <w:right w:w="0" w:type="dxa"/>
            </w:tcMar>
            <w:vAlign w:val="center"/>
          </w:tcPr>
          <w:p w14:paraId="6FB631DD"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c>
          <w:tcPr>
            <w:tcW w:w="1186" w:type="dxa"/>
            <w:shd w:val="clear" w:color="auto" w:fill="FFFFFF"/>
            <w:tcMar>
              <w:top w:w="0" w:type="dxa"/>
              <w:left w:w="0" w:type="dxa"/>
              <w:bottom w:w="0" w:type="dxa"/>
              <w:right w:w="0" w:type="dxa"/>
            </w:tcMar>
            <w:vAlign w:val="center"/>
          </w:tcPr>
          <w:p w14:paraId="3BA3EF29"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c>
          <w:tcPr>
            <w:tcW w:w="937" w:type="dxa"/>
            <w:shd w:val="clear" w:color="auto" w:fill="FFFFFF"/>
            <w:tcMar>
              <w:top w:w="0" w:type="dxa"/>
              <w:left w:w="0" w:type="dxa"/>
              <w:bottom w:w="0" w:type="dxa"/>
              <w:right w:w="0" w:type="dxa"/>
            </w:tcMar>
            <w:vAlign w:val="center"/>
          </w:tcPr>
          <w:p w14:paraId="1B1AC5BF"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0.000</w:t>
            </w:r>
          </w:p>
        </w:tc>
        <w:tc>
          <w:tcPr>
            <w:tcW w:w="1002" w:type="dxa"/>
            <w:shd w:val="clear" w:color="auto" w:fill="FFFFFF"/>
            <w:tcMar>
              <w:top w:w="0" w:type="dxa"/>
              <w:left w:w="0" w:type="dxa"/>
              <w:bottom w:w="0" w:type="dxa"/>
              <w:right w:w="0" w:type="dxa"/>
            </w:tcMar>
            <w:vAlign w:val="center"/>
          </w:tcPr>
          <w:p w14:paraId="6D20FFA9"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w:t>
            </w:r>
          </w:p>
        </w:tc>
        <w:tc>
          <w:tcPr>
            <w:tcW w:w="1026" w:type="dxa"/>
            <w:shd w:val="clear" w:color="auto" w:fill="FFFFFF"/>
            <w:tcMar>
              <w:top w:w="0" w:type="dxa"/>
              <w:left w:w="0" w:type="dxa"/>
              <w:bottom w:w="0" w:type="dxa"/>
              <w:right w:w="0" w:type="dxa"/>
            </w:tcMar>
            <w:vAlign w:val="center"/>
          </w:tcPr>
          <w:p w14:paraId="25FCD6FB" w14:textId="77777777" w:rsidR="008412D9" w:rsidRDefault="008412D9" w:rsidP="00C032E4">
            <w:pP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0.100</w:t>
            </w:r>
          </w:p>
        </w:tc>
      </w:tr>
    </w:tbl>
    <w:p w14:paraId="41CEA3B4" w14:textId="77777777" w:rsidR="00803498" w:rsidRDefault="00803498" w:rsidP="00150EF8">
      <w:pPr>
        <w:spacing w:after="0"/>
        <w:jc w:val="both"/>
        <w:rPr>
          <w:rFonts w:ascii="Times New Roman" w:hAnsi="Times New Roman" w:cs="Times New Roman"/>
          <w:sz w:val="24"/>
          <w:szCs w:val="24"/>
        </w:rPr>
      </w:pPr>
    </w:p>
    <w:p w14:paraId="331F36C6" w14:textId="74F6F980"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Table 1 demonstrates that there is regional heterogeneity in the prevalence of HIV in males aged 15-24. The mean prevalence in sub-Saharan Africa was 1.276, among 44 countries and 1,540 observations, although this is outliers, being much higher than in all other regions, 12.1. The result is in line with previous data that the HIV burden in adolescents and young adults is still disproportionately high in sub-Saharan Africa, even with the global advances in the prevention and treatment (Zhang et al., 2022; Rosenberg et al., 2023; Zuma et al., 2022). The originality of the current research is that it is not just a description of this regional inequality; it literally implants it in a multilevel beta model that takes into consideration the limited scope of prevalence data and explains country-level clustering. Policy-wise, the result justifies more youth-based HIV prevention, testing, condom, </w:t>
      </w:r>
      <w:proofErr w:type="spellStart"/>
      <w:r w:rsidRPr="00073875">
        <w:rPr>
          <w:rFonts w:ascii="Times New Roman" w:hAnsi="Times New Roman" w:cs="Times New Roman"/>
          <w:sz w:val="24"/>
          <w:szCs w:val="24"/>
        </w:rPr>
        <w:t>PrEP</w:t>
      </w:r>
      <w:proofErr w:type="spellEnd"/>
      <w:r w:rsidRPr="00073875">
        <w:rPr>
          <w:rFonts w:ascii="Times New Roman" w:hAnsi="Times New Roman" w:cs="Times New Roman"/>
          <w:sz w:val="24"/>
          <w:szCs w:val="24"/>
        </w:rPr>
        <w:t xml:space="preserve"> access, and treatment-linkage initiatives in high-burden areas which is a direct nod to SDG 3.3 of ending AIDS as a health-related threat and SDG 10 of reducing health disparities.</w:t>
      </w:r>
    </w:p>
    <w:p w14:paraId="0570190C" w14:textId="77777777" w:rsidR="00150EF8" w:rsidRDefault="00150EF8" w:rsidP="00150EF8">
      <w:pPr>
        <w:pStyle w:val="TableCaption"/>
        <w:keepNext/>
        <w:pBdr>
          <w:top w:val="none" w:sz="0" w:space="0" w:color="000000"/>
          <w:left w:val="none" w:sz="0" w:space="0" w:color="000000"/>
          <w:bottom w:val="none" w:sz="0" w:space="0" w:color="000000"/>
          <w:right w:val="none" w:sz="0" w:space="0" w:color="000000"/>
        </w:pBdr>
        <w:spacing w:before="60"/>
        <w:ind w:left="60" w:right="60"/>
      </w:pPr>
    </w:p>
    <w:p w14:paraId="0A2B55C8" w14:textId="6B9670BE" w:rsidR="008412D9" w:rsidRDefault="008412D9" w:rsidP="00150EF8">
      <w:pPr>
        <w:pStyle w:val="TableCaption"/>
        <w:keepNext/>
        <w:pBdr>
          <w:top w:val="none" w:sz="0" w:space="0" w:color="000000"/>
          <w:left w:val="none" w:sz="0" w:space="0" w:color="000000"/>
          <w:bottom w:val="none" w:sz="0" w:space="0" w:color="000000"/>
          <w:right w:val="none" w:sz="0" w:space="0" w:color="000000"/>
        </w:pBdr>
        <w:spacing w:before="60"/>
        <w:ind w:left="60" w:right="60"/>
      </w:pPr>
      <w:r>
        <w:t>Table 2: Comparison of beta mixed-effects model specifications</w:t>
      </w:r>
    </w:p>
    <w:tbl>
      <w:tblPr>
        <w:tblW w:w="9360" w:type="dxa"/>
        <w:jc w:val="center"/>
        <w:tblBorders>
          <w:top w:val="single" w:sz="4" w:space="0" w:color="auto"/>
          <w:bottom w:val="single" w:sz="4" w:space="0" w:color="auto"/>
        </w:tblBorders>
        <w:tblLayout w:type="fixed"/>
        <w:tblLook w:val="0420" w:firstRow="1" w:lastRow="0" w:firstColumn="0" w:lastColumn="0" w:noHBand="0" w:noVBand="1"/>
      </w:tblPr>
      <w:tblGrid>
        <w:gridCol w:w="2970"/>
        <w:gridCol w:w="714"/>
        <w:gridCol w:w="1124"/>
        <w:gridCol w:w="1183"/>
        <w:gridCol w:w="1183"/>
        <w:gridCol w:w="1173"/>
        <w:gridCol w:w="1013"/>
      </w:tblGrid>
      <w:tr w:rsidR="008412D9" w14:paraId="56C5A731" w14:textId="77777777" w:rsidTr="00A526BF">
        <w:trPr>
          <w:trHeight w:val="299"/>
          <w:tblHeader/>
          <w:jc w:val="center"/>
        </w:trPr>
        <w:tc>
          <w:tcPr>
            <w:tcW w:w="2970" w:type="dxa"/>
            <w:tcBorders>
              <w:top w:val="single" w:sz="4" w:space="0" w:color="auto"/>
              <w:bottom w:val="single" w:sz="4" w:space="0" w:color="auto"/>
            </w:tcBorders>
            <w:tcMar>
              <w:top w:w="0" w:type="dxa"/>
              <w:left w:w="0" w:type="dxa"/>
              <w:bottom w:w="0" w:type="dxa"/>
              <w:right w:w="0" w:type="dxa"/>
            </w:tcMar>
            <w:vAlign w:val="center"/>
          </w:tcPr>
          <w:p w14:paraId="3B86826B" w14:textId="77777777" w:rsidR="008412D9" w:rsidRPr="00DF67F7" w:rsidRDefault="008412D9"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Arial" w:eastAsia="Arial" w:hAnsi="Arial" w:cs="Arial"/>
                <w:b/>
                <w:color w:val="000000" w:themeColor="text1"/>
                <w:sz w:val="18"/>
                <w:szCs w:val="18"/>
              </w:rPr>
            </w:pPr>
            <w:r w:rsidRPr="00DF67F7">
              <w:rPr>
                <w:rFonts w:ascii="Arial" w:eastAsia="Arial" w:hAnsi="Arial" w:cs="Arial"/>
                <w:b/>
                <w:color w:val="000000" w:themeColor="text1"/>
                <w:sz w:val="18"/>
                <w:szCs w:val="18"/>
              </w:rPr>
              <w:t>Model</w:t>
            </w:r>
          </w:p>
        </w:tc>
        <w:tc>
          <w:tcPr>
            <w:tcW w:w="714" w:type="dxa"/>
            <w:tcBorders>
              <w:top w:val="single" w:sz="4" w:space="0" w:color="auto"/>
              <w:bottom w:val="single" w:sz="4" w:space="0" w:color="auto"/>
            </w:tcBorders>
            <w:tcMar>
              <w:top w:w="0" w:type="dxa"/>
              <w:left w:w="0" w:type="dxa"/>
              <w:bottom w:w="0" w:type="dxa"/>
              <w:right w:w="0" w:type="dxa"/>
            </w:tcMar>
            <w:vAlign w:val="center"/>
          </w:tcPr>
          <w:p w14:paraId="32461585" w14:textId="77777777" w:rsidR="008412D9" w:rsidRPr="00DF67F7" w:rsidRDefault="008412D9"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Arial" w:eastAsia="Arial" w:hAnsi="Arial" w:cs="Arial"/>
                <w:b/>
                <w:color w:val="000000" w:themeColor="text1"/>
                <w:sz w:val="18"/>
                <w:szCs w:val="18"/>
              </w:rPr>
            </w:pPr>
            <w:r w:rsidRPr="00DF67F7">
              <w:rPr>
                <w:rFonts w:ascii="Arial" w:eastAsia="Arial" w:hAnsi="Arial" w:cs="Arial"/>
                <w:b/>
                <w:color w:val="000000" w:themeColor="text1"/>
                <w:sz w:val="18"/>
                <w:szCs w:val="18"/>
              </w:rPr>
              <w:t>df</w:t>
            </w:r>
          </w:p>
        </w:tc>
        <w:tc>
          <w:tcPr>
            <w:tcW w:w="1124" w:type="dxa"/>
            <w:tcBorders>
              <w:top w:val="single" w:sz="4" w:space="0" w:color="auto"/>
              <w:bottom w:val="single" w:sz="4" w:space="0" w:color="auto"/>
            </w:tcBorders>
            <w:tcMar>
              <w:top w:w="0" w:type="dxa"/>
              <w:left w:w="0" w:type="dxa"/>
              <w:bottom w:w="0" w:type="dxa"/>
              <w:right w:w="0" w:type="dxa"/>
            </w:tcMar>
            <w:vAlign w:val="center"/>
          </w:tcPr>
          <w:p w14:paraId="45B45034" w14:textId="77777777" w:rsidR="008412D9" w:rsidRPr="00DF67F7" w:rsidRDefault="008412D9"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Arial" w:eastAsia="Arial" w:hAnsi="Arial" w:cs="Arial"/>
                <w:b/>
                <w:color w:val="000000" w:themeColor="text1"/>
                <w:sz w:val="18"/>
                <w:szCs w:val="18"/>
              </w:rPr>
            </w:pPr>
            <w:proofErr w:type="spellStart"/>
            <w:r w:rsidRPr="00DF67F7">
              <w:rPr>
                <w:rFonts w:ascii="Arial" w:eastAsia="Arial" w:hAnsi="Arial" w:cs="Arial"/>
                <w:b/>
                <w:color w:val="000000" w:themeColor="text1"/>
                <w:sz w:val="18"/>
                <w:szCs w:val="18"/>
              </w:rPr>
              <w:t>logLik</w:t>
            </w:r>
            <w:proofErr w:type="spellEnd"/>
          </w:p>
        </w:tc>
        <w:tc>
          <w:tcPr>
            <w:tcW w:w="1183" w:type="dxa"/>
            <w:tcBorders>
              <w:top w:val="single" w:sz="4" w:space="0" w:color="auto"/>
              <w:bottom w:val="single" w:sz="4" w:space="0" w:color="auto"/>
            </w:tcBorders>
            <w:tcMar>
              <w:top w:w="0" w:type="dxa"/>
              <w:left w:w="0" w:type="dxa"/>
              <w:bottom w:w="0" w:type="dxa"/>
              <w:right w:w="0" w:type="dxa"/>
            </w:tcMar>
            <w:vAlign w:val="center"/>
          </w:tcPr>
          <w:p w14:paraId="3175C045" w14:textId="77777777" w:rsidR="008412D9" w:rsidRPr="00DF67F7" w:rsidRDefault="008412D9"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Arial" w:eastAsia="Arial" w:hAnsi="Arial" w:cs="Arial"/>
                <w:b/>
                <w:color w:val="000000" w:themeColor="text1"/>
                <w:sz w:val="18"/>
                <w:szCs w:val="18"/>
              </w:rPr>
            </w:pPr>
            <w:r w:rsidRPr="00DF67F7">
              <w:rPr>
                <w:rFonts w:ascii="Arial" w:eastAsia="Arial" w:hAnsi="Arial" w:cs="Arial"/>
                <w:b/>
                <w:color w:val="000000" w:themeColor="text1"/>
                <w:sz w:val="18"/>
                <w:szCs w:val="18"/>
              </w:rPr>
              <w:t>AIC</w:t>
            </w:r>
          </w:p>
        </w:tc>
        <w:tc>
          <w:tcPr>
            <w:tcW w:w="1183" w:type="dxa"/>
            <w:tcBorders>
              <w:top w:val="single" w:sz="4" w:space="0" w:color="auto"/>
              <w:bottom w:val="single" w:sz="4" w:space="0" w:color="auto"/>
            </w:tcBorders>
            <w:tcMar>
              <w:top w:w="0" w:type="dxa"/>
              <w:left w:w="0" w:type="dxa"/>
              <w:bottom w:w="0" w:type="dxa"/>
              <w:right w:w="0" w:type="dxa"/>
            </w:tcMar>
            <w:vAlign w:val="center"/>
          </w:tcPr>
          <w:p w14:paraId="0D5DE7B1" w14:textId="77777777" w:rsidR="008412D9" w:rsidRPr="00DF67F7" w:rsidRDefault="008412D9"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Arial" w:eastAsia="Arial" w:hAnsi="Arial" w:cs="Arial"/>
                <w:b/>
                <w:color w:val="000000" w:themeColor="text1"/>
                <w:sz w:val="18"/>
                <w:szCs w:val="18"/>
              </w:rPr>
            </w:pPr>
            <w:r w:rsidRPr="00DF67F7">
              <w:rPr>
                <w:rFonts w:ascii="Arial" w:eastAsia="Arial" w:hAnsi="Arial" w:cs="Arial"/>
                <w:b/>
                <w:color w:val="000000" w:themeColor="text1"/>
                <w:sz w:val="18"/>
                <w:szCs w:val="18"/>
              </w:rPr>
              <w:t>BIC</w:t>
            </w:r>
          </w:p>
        </w:tc>
        <w:tc>
          <w:tcPr>
            <w:tcW w:w="1173" w:type="dxa"/>
            <w:tcBorders>
              <w:top w:val="single" w:sz="4" w:space="0" w:color="auto"/>
              <w:bottom w:val="single" w:sz="4" w:space="0" w:color="auto"/>
            </w:tcBorders>
            <w:tcMar>
              <w:top w:w="0" w:type="dxa"/>
              <w:left w:w="0" w:type="dxa"/>
              <w:bottom w:w="0" w:type="dxa"/>
              <w:right w:w="0" w:type="dxa"/>
            </w:tcMar>
            <w:vAlign w:val="center"/>
          </w:tcPr>
          <w:p w14:paraId="668E35DC" w14:textId="77777777" w:rsidR="008412D9" w:rsidRPr="00DF67F7" w:rsidRDefault="008412D9"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Arial" w:eastAsia="Arial" w:hAnsi="Arial" w:cs="Arial"/>
                <w:b/>
                <w:color w:val="000000" w:themeColor="text1"/>
                <w:sz w:val="18"/>
                <w:szCs w:val="18"/>
              </w:rPr>
            </w:pPr>
            <w:proofErr w:type="spellStart"/>
            <w:r w:rsidRPr="00DF67F7">
              <w:rPr>
                <w:rFonts w:ascii="Arial" w:eastAsia="Arial" w:hAnsi="Arial" w:cs="Arial"/>
                <w:b/>
                <w:color w:val="000000" w:themeColor="text1"/>
                <w:sz w:val="18"/>
                <w:szCs w:val="18"/>
              </w:rPr>
              <w:t>Delta_AIC</w:t>
            </w:r>
            <w:proofErr w:type="spellEnd"/>
          </w:p>
        </w:tc>
        <w:tc>
          <w:tcPr>
            <w:tcW w:w="1013" w:type="dxa"/>
            <w:tcBorders>
              <w:top w:val="single" w:sz="4" w:space="0" w:color="auto"/>
              <w:bottom w:val="single" w:sz="4" w:space="0" w:color="auto"/>
            </w:tcBorders>
            <w:tcMar>
              <w:top w:w="0" w:type="dxa"/>
              <w:left w:w="0" w:type="dxa"/>
              <w:bottom w:w="0" w:type="dxa"/>
              <w:right w:w="0" w:type="dxa"/>
            </w:tcMar>
            <w:vAlign w:val="center"/>
          </w:tcPr>
          <w:p w14:paraId="78B51A7A" w14:textId="77777777" w:rsidR="008412D9" w:rsidRPr="00DF67F7" w:rsidRDefault="008412D9"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Arial" w:eastAsia="Arial" w:hAnsi="Arial" w:cs="Arial"/>
                <w:b/>
                <w:color w:val="000000" w:themeColor="text1"/>
                <w:sz w:val="18"/>
                <w:szCs w:val="18"/>
              </w:rPr>
            </w:pPr>
            <w:proofErr w:type="spellStart"/>
            <w:r w:rsidRPr="00DF67F7">
              <w:rPr>
                <w:rFonts w:ascii="Arial" w:eastAsia="Arial" w:hAnsi="Arial" w:cs="Arial"/>
                <w:b/>
                <w:color w:val="000000" w:themeColor="text1"/>
                <w:sz w:val="18"/>
                <w:szCs w:val="18"/>
              </w:rPr>
              <w:t>Evidence_Rank</w:t>
            </w:r>
            <w:proofErr w:type="spellEnd"/>
          </w:p>
        </w:tc>
      </w:tr>
      <w:tr w:rsidR="008412D9" w14:paraId="1412A1AD" w14:textId="77777777" w:rsidTr="00A526BF">
        <w:trPr>
          <w:trHeight w:val="299"/>
          <w:jc w:val="center"/>
        </w:trPr>
        <w:tc>
          <w:tcPr>
            <w:tcW w:w="2970" w:type="dxa"/>
            <w:tcBorders>
              <w:top w:val="single" w:sz="4" w:space="0" w:color="auto"/>
            </w:tcBorders>
            <w:shd w:val="clear" w:color="auto" w:fill="FFFFFF"/>
            <w:tcMar>
              <w:top w:w="0" w:type="dxa"/>
              <w:left w:w="0" w:type="dxa"/>
              <w:bottom w:w="0" w:type="dxa"/>
              <w:right w:w="0" w:type="dxa"/>
            </w:tcMar>
            <w:vAlign w:val="center"/>
          </w:tcPr>
          <w:p w14:paraId="77ABD9CA"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Region-adjusted random-slope beta mixed model</w:t>
            </w:r>
          </w:p>
        </w:tc>
        <w:tc>
          <w:tcPr>
            <w:tcW w:w="714" w:type="dxa"/>
            <w:tcBorders>
              <w:top w:val="single" w:sz="4" w:space="0" w:color="auto"/>
            </w:tcBorders>
            <w:shd w:val="clear" w:color="auto" w:fill="FFFFFF"/>
            <w:tcMar>
              <w:top w:w="0" w:type="dxa"/>
              <w:left w:w="0" w:type="dxa"/>
              <w:bottom w:w="0" w:type="dxa"/>
              <w:right w:w="0" w:type="dxa"/>
            </w:tcMar>
            <w:vAlign w:val="center"/>
          </w:tcPr>
          <w:p w14:paraId="16CF162B"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13</w:t>
            </w:r>
          </w:p>
        </w:tc>
        <w:tc>
          <w:tcPr>
            <w:tcW w:w="1124" w:type="dxa"/>
            <w:tcBorders>
              <w:top w:val="single" w:sz="4" w:space="0" w:color="auto"/>
            </w:tcBorders>
            <w:shd w:val="clear" w:color="auto" w:fill="FFFFFF"/>
            <w:tcMar>
              <w:top w:w="0" w:type="dxa"/>
              <w:left w:w="0" w:type="dxa"/>
              <w:bottom w:w="0" w:type="dxa"/>
              <w:right w:w="0" w:type="dxa"/>
            </w:tcMar>
            <w:vAlign w:val="center"/>
          </w:tcPr>
          <w:p w14:paraId="219225CC"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32,251.57</w:t>
            </w:r>
          </w:p>
        </w:tc>
        <w:tc>
          <w:tcPr>
            <w:tcW w:w="1183" w:type="dxa"/>
            <w:tcBorders>
              <w:top w:val="single" w:sz="4" w:space="0" w:color="auto"/>
            </w:tcBorders>
            <w:shd w:val="clear" w:color="auto" w:fill="FFFFFF"/>
            <w:tcMar>
              <w:top w:w="0" w:type="dxa"/>
              <w:left w:w="0" w:type="dxa"/>
              <w:bottom w:w="0" w:type="dxa"/>
              <w:right w:w="0" w:type="dxa"/>
            </w:tcMar>
            <w:vAlign w:val="center"/>
          </w:tcPr>
          <w:p w14:paraId="7EC0C318"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-64,477.14</w:t>
            </w:r>
          </w:p>
        </w:tc>
        <w:tc>
          <w:tcPr>
            <w:tcW w:w="1183" w:type="dxa"/>
            <w:tcBorders>
              <w:top w:val="single" w:sz="4" w:space="0" w:color="auto"/>
            </w:tcBorders>
            <w:shd w:val="clear" w:color="auto" w:fill="FFFFFF"/>
            <w:tcMar>
              <w:top w:w="0" w:type="dxa"/>
              <w:left w:w="0" w:type="dxa"/>
              <w:bottom w:w="0" w:type="dxa"/>
              <w:right w:w="0" w:type="dxa"/>
            </w:tcMar>
            <w:vAlign w:val="center"/>
          </w:tcPr>
          <w:p w14:paraId="44097491"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-64,390.38</w:t>
            </w:r>
          </w:p>
        </w:tc>
        <w:tc>
          <w:tcPr>
            <w:tcW w:w="1173" w:type="dxa"/>
            <w:tcBorders>
              <w:top w:val="single" w:sz="4" w:space="0" w:color="auto"/>
            </w:tcBorders>
            <w:shd w:val="clear" w:color="auto" w:fill="FFFFFF"/>
            <w:tcMar>
              <w:top w:w="0" w:type="dxa"/>
              <w:left w:w="0" w:type="dxa"/>
              <w:bottom w:w="0" w:type="dxa"/>
              <w:right w:w="0" w:type="dxa"/>
            </w:tcMar>
            <w:vAlign w:val="center"/>
          </w:tcPr>
          <w:p w14:paraId="39C9BA77"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0.000</w:t>
            </w:r>
          </w:p>
        </w:tc>
        <w:tc>
          <w:tcPr>
            <w:tcW w:w="1013" w:type="dxa"/>
            <w:tcBorders>
              <w:top w:val="single" w:sz="4" w:space="0" w:color="auto"/>
            </w:tcBorders>
            <w:shd w:val="clear" w:color="auto" w:fill="FFFFFF"/>
            <w:tcMar>
              <w:top w:w="0" w:type="dxa"/>
              <w:left w:w="0" w:type="dxa"/>
              <w:bottom w:w="0" w:type="dxa"/>
              <w:right w:w="0" w:type="dxa"/>
            </w:tcMar>
            <w:vAlign w:val="center"/>
          </w:tcPr>
          <w:p w14:paraId="0B032E44"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1</w:t>
            </w:r>
          </w:p>
        </w:tc>
      </w:tr>
      <w:tr w:rsidR="008412D9" w14:paraId="701C4F22" w14:textId="77777777" w:rsidTr="00A526BF">
        <w:trPr>
          <w:trHeight w:val="299"/>
          <w:jc w:val="center"/>
        </w:trPr>
        <w:tc>
          <w:tcPr>
            <w:tcW w:w="2970" w:type="dxa"/>
            <w:shd w:val="clear" w:color="auto" w:fill="FFFFFF"/>
            <w:tcMar>
              <w:top w:w="0" w:type="dxa"/>
              <w:left w:w="0" w:type="dxa"/>
              <w:bottom w:w="0" w:type="dxa"/>
              <w:right w:w="0" w:type="dxa"/>
            </w:tcMar>
            <w:vAlign w:val="center"/>
          </w:tcPr>
          <w:p w14:paraId="29D11B74"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Random-slope beta mixed model</w:t>
            </w:r>
          </w:p>
        </w:tc>
        <w:tc>
          <w:tcPr>
            <w:tcW w:w="714" w:type="dxa"/>
            <w:shd w:val="clear" w:color="auto" w:fill="FFFFFF"/>
            <w:tcMar>
              <w:top w:w="0" w:type="dxa"/>
              <w:left w:w="0" w:type="dxa"/>
              <w:bottom w:w="0" w:type="dxa"/>
              <w:right w:w="0" w:type="dxa"/>
            </w:tcMar>
            <w:vAlign w:val="center"/>
          </w:tcPr>
          <w:p w14:paraId="5616EE0E"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w:t>
            </w:r>
          </w:p>
        </w:tc>
        <w:tc>
          <w:tcPr>
            <w:tcW w:w="1124" w:type="dxa"/>
            <w:shd w:val="clear" w:color="auto" w:fill="FFFFFF"/>
            <w:tcMar>
              <w:top w:w="0" w:type="dxa"/>
              <w:left w:w="0" w:type="dxa"/>
              <w:bottom w:w="0" w:type="dxa"/>
              <w:right w:w="0" w:type="dxa"/>
            </w:tcMar>
            <w:vAlign w:val="center"/>
          </w:tcPr>
          <w:p w14:paraId="48B782C6"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32,208.31</w:t>
            </w:r>
          </w:p>
        </w:tc>
        <w:tc>
          <w:tcPr>
            <w:tcW w:w="1183" w:type="dxa"/>
            <w:shd w:val="clear" w:color="auto" w:fill="FFFFFF"/>
            <w:tcMar>
              <w:top w:w="0" w:type="dxa"/>
              <w:left w:w="0" w:type="dxa"/>
              <w:bottom w:w="0" w:type="dxa"/>
              <w:right w:w="0" w:type="dxa"/>
            </w:tcMar>
            <w:vAlign w:val="center"/>
          </w:tcPr>
          <w:p w14:paraId="4320D127"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-64,404.63</w:t>
            </w:r>
          </w:p>
        </w:tc>
        <w:tc>
          <w:tcPr>
            <w:tcW w:w="1183" w:type="dxa"/>
            <w:shd w:val="clear" w:color="auto" w:fill="FFFFFF"/>
            <w:tcMar>
              <w:top w:w="0" w:type="dxa"/>
              <w:left w:w="0" w:type="dxa"/>
              <w:bottom w:w="0" w:type="dxa"/>
              <w:right w:w="0" w:type="dxa"/>
            </w:tcMar>
            <w:vAlign w:val="center"/>
          </w:tcPr>
          <w:p w14:paraId="5D049C3C"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-64,364.58</w:t>
            </w:r>
          </w:p>
        </w:tc>
        <w:tc>
          <w:tcPr>
            <w:tcW w:w="1173" w:type="dxa"/>
            <w:shd w:val="clear" w:color="auto" w:fill="FFFFFF"/>
            <w:tcMar>
              <w:top w:w="0" w:type="dxa"/>
              <w:left w:w="0" w:type="dxa"/>
              <w:bottom w:w="0" w:type="dxa"/>
              <w:right w:w="0" w:type="dxa"/>
            </w:tcMar>
            <w:vAlign w:val="center"/>
          </w:tcPr>
          <w:p w14:paraId="14EA8630"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72.511</w:t>
            </w:r>
          </w:p>
        </w:tc>
        <w:tc>
          <w:tcPr>
            <w:tcW w:w="1013" w:type="dxa"/>
            <w:shd w:val="clear" w:color="auto" w:fill="FFFFFF"/>
            <w:tcMar>
              <w:top w:w="0" w:type="dxa"/>
              <w:left w:w="0" w:type="dxa"/>
              <w:bottom w:w="0" w:type="dxa"/>
              <w:right w:w="0" w:type="dxa"/>
            </w:tcMar>
            <w:vAlign w:val="center"/>
          </w:tcPr>
          <w:p w14:paraId="042A917E"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2</w:t>
            </w:r>
          </w:p>
        </w:tc>
      </w:tr>
      <w:tr w:rsidR="008412D9" w14:paraId="75185326" w14:textId="77777777" w:rsidTr="00A526BF">
        <w:trPr>
          <w:trHeight w:val="288"/>
          <w:jc w:val="center"/>
        </w:trPr>
        <w:tc>
          <w:tcPr>
            <w:tcW w:w="2970" w:type="dxa"/>
            <w:shd w:val="clear" w:color="auto" w:fill="FFFFFF"/>
            <w:tcMar>
              <w:top w:w="0" w:type="dxa"/>
              <w:left w:w="0" w:type="dxa"/>
              <w:bottom w:w="0" w:type="dxa"/>
              <w:right w:w="0" w:type="dxa"/>
            </w:tcMar>
            <w:vAlign w:val="center"/>
          </w:tcPr>
          <w:p w14:paraId="0914CCAE"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Random-intercept beta mixed model</w:t>
            </w:r>
          </w:p>
        </w:tc>
        <w:tc>
          <w:tcPr>
            <w:tcW w:w="714" w:type="dxa"/>
            <w:shd w:val="clear" w:color="auto" w:fill="FFFFFF"/>
            <w:tcMar>
              <w:top w:w="0" w:type="dxa"/>
              <w:left w:w="0" w:type="dxa"/>
              <w:bottom w:w="0" w:type="dxa"/>
              <w:right w:w="0" w:type="dxa"/>
            </w:tcMar>
            <w:vAlign w:val="center"/>
          </w:tcPr>
          <w:p w14:paraId="7DFCF677"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4</w:t>
            </w:r>
          </w:p>
        </w:tc>
        <w:tc>
          <w:tcPr>
            <w:tcW w:w="1124" w:type="dxa"/>
            <w:shd w:val="clear" w:color="auto" w:fill="FFFFFF"/>
            <w:tcMar>
              <w:top w:w="0" w:type="dxa"/>
              <w:left w:w="0" w:type="dxa"/>
              <w:bottom w:w="0" w:type="dxa"/>
              <w:right w:w="0" w:type="dxa"/>
            </w:tcMar>
            <w:vAlign w:val="center"/>
          </w:tcPr>
          <w:p w14:paraId="6C882977"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30,737.00</w:t>
            </w:r>
          </w:p>
        </w:tc>
        <w:tc>
          <w:tcPr>
            <w:tcW w:w="1183" w:type="dxa"/>
            <w:shd w:val="clear" w:color="auto" w:fill="FFFFFF"/>
            <w:tcMar>
              <w:top w:w="0" w:type="dxa"/>
              <w:left w:w="0" w:type="dxa"/>
              <w:bottom w:w="0" w:type="dxa"/>
              <w:right w:w="0" w:type="dxa"/>
            </w:tcMar>
            <w:vAlign w:val="center"/>
          </w:tcPr>
          <w:p w14:paraId="3EABAC59"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-61,466.01</w:t>
            </w:r>
          </w:p>
        </w:tc>
        <w:tc>
          <w:tcPr>
            <w:tcW w:w="1183" w:type="dxa"/>
            <w:shd w:val="clear" w:color="auto" w:fill="FFFFFF"/>
            <w:tcMar>
              <w:top w:w="0" w:type="dxa"/>
              <w:left w:w="0" w:type="dxa"/>
              <w:bottom w:w="0" w:type="dxa"/>
              <w:right w:w="0" w:type="dxa"/>
            </w:tcMar>
            <w:vAlign w:val="center"/>
          </w:tcPr>
          <w:p w14:paraId="5AFF9E62"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-61,439.31</w:t>
            </w:r>
          </w:p>
        </w:tc>
        <w:tc>
          <w:tcPr>
            <w:tcW w:w="1173" w:type="dxa"/>
            <w:shd w:val="clear" w:color="auto" w:fill="FFFFFF"/>
            <w:tcMar>
              <w:top w:w="0" w:type="dxa"/>
              <w:left w:w="0" w:type="dxa"/>
              <w:bottom w:w="0" w:type="dxa"/>
              <w:right w:w="0" w:type="dxa"/>
            </w:tcMar>
            <w:vAlign w:val="center"/>
          </w:tcPr>
          <w:p w14:paraId="1B6BFD74"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3,011.133</w:t>
            </w:r>
          </w:p>
        </w:tc>
        <w:tc>
          <w:tcPr>
            <w:tcW w:w="1013" w:type="dxa"/>
            <w:shd w:val="clear" w:color="auto" w:fill="FFFFFF"/>
            <w:tcMar>
              <w:top w:w="0" w:type="dxa"/>
              <w:left w:w="0" w:type="dxa"/>
              <w:bottom w:w="0" w:type="dxa"/>
              <w:right w:w="0" w:type="dxa"/>
            </w:tcMar>
            <w:vAlign w:val="center"/>
          </w:tcPr>
          <w:p w14:paraId="18E71B8B"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w:t>
            </w:r>
          </w:p>
        </w:tc>
      </w:tr>
      <w:tr w:rsidR="008412D9" w14:paraId="1FDF87A4" w14:textId="77777777" w:rsidTr="00A526BF">
        <w:trPr>
          <w:trHeight w:val="299"/>
          <w:jc w:val="center"/>
        </w:trPr>
        <w:tc>
          <w:tcPr>
            <w:tcW w:w="2970" w:type="dxa"/>
            <w:shd w:val="clear" w:color="auto" w:fill="FFFFFF"/>
            <w:tcMar>
              <w:top w:w="0" w:type="dxa"/>
              <w:left w:w="0" w:type="dxa"/>
              <w:bottom w:w="0" w:type="dxa"/>
              <w:right w:w="0" w:type="dxa"/>
            </w:tcMar>
            <w:vAlign w:val="center"/>
          </w:tcPr>
          <w:p w14:paraId="413AC6BA"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Null beta mixed model</w:t>
            </w:r>
          </w:p>
        </w:tc>
        <w:tc>
          <w:tcPr>
            <w:tcW w:w="714" w:type="dxa"/>
            <w:shd w:val="clear" w:color="auto" w:fill="FFFFFF"/>
            <w:tcMar>
              <w:top w:w="0" w:type="dxa"/>
              <w:left w:w="0" w:type="dxa"/>
              <w:bottom w:w="0" w:type="dxa"/>
              <w:right w:w="0" w:type="dxa"/>
            </w:tcMar>
            <w:vAlign w:val="center"/>
          </w:tcPr>
          <w:p w14:paraId="06E69308"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w:t>
            </w:r>
          </w:p>
        </w:tc>
        <w:tc>
          <w:tcPr>
            <w:tcW w:w="1124" w:type="dxa"/>
            <w:shd w:val="clear" w:color="auto" w:fill="FFFFFF"/>
            <w:tcMar>
              <w:top w:w="0" w:type="dxa"/>
              <w:left w:w="0" w:type="dxa"/>
              <w:bottom w:w="0" w:type="dxa"/>
              <w:right w:w="0" w:type="dxa"/>
            </w:tcMar>
            <w:vAlign w:val="center"/>
          </w:tcPr>
          <w:p w14:paraId="56A35BFE"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30,495.09</w:t>
            </w:r>
          </w:p>
        </w:tc>
        <w:tc>
          <w:tcPr>
            <w:tcW w:w="1183" w:type="dxa"/>
            <w:shd w:val="clear" w:color="auto" w:fill="FFFFFF"/>
            <w:tcMar>
              <w:top w:w="0" w:type="dxa"/>
              <w:left w:w="0" w:type="dxa"/>
              <w:bottom w:w="0" w:type="dxa"/>
              <w:right w:w="0" w:type="dxa"/>
            </w:tcMar>
            <w:vAlign w:val="center"/>
          </w:tcPr>
          <w:p w14:paraId="540D010E"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-60,984.19</w:t>
            </w:r>
          </w:p>
        </w:tc>
        <w:tc>
          <w:tcPr>
            <w:tcW w:w="1183" w:type="dxa"/>
            <w:shd w:val="clear" w:color="auto" w:fill="FFFFFF"/>
            <w:tcMar>
              <w:top w:w="0" w:type="dxa"/>
              <w:left w:w="0" w:type="dxa"/>
              <w:bottom w:w="0" w:type="dxa"/>
              <w:right w:w="0" w:type="dxa"/>
            </w:tcMar>
            <w:vAlign w:val="center"/>
          </w:tcPr>
          <w:p w14:paraId="11EE5180"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-60,964.17</w:t>
            </w:r>
          </w:p>
        </w:tc>
        <w:tc>
          <w:tcPr>
            <w:tcW w:w="1173" w:type="dxa"/>
            <w:shd w:val="clear" w:color="auto" w:fill="FFFFFF"/>
            <w:tcMar>
              <w:top w:w="0" w:type="dxa"/>
              <w:left w:w="0" w:type="dxa"/>
              <w:bottom w:w="0" w:type="dxa"/>
              <w:right w:w="0" w:type="dxa"/>
            </w:tcMar>
            <w:vAlign w:val="center"/>
          </w:tcPr>
          <w:p w14:paraId="7EB9660D"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3,492.950</w:t>
            </w:r>
          </w:p>
        </w:tc>
        <w:tc>
          <w:tcPr>
            <w:tcW w:w="1013" w:type="dxa"/>
            <w:shd w:val="clear" w:color="auto" w:fill="FFFFFF"/>
            <w:tcMar>
              <w:top w:w="0" w:type="dxa"/>
              <w:left w:w="0" w:type="dxa"/>
              <w:bottom w:w="0" w:type="dxa"/>
              <w:right w:w="0" w:type="dxa"/>
            </w:tcMar>
            <w:vAlign w:val="center"/>
          </w:tcPr>
          <w:p w14:paraId="298CF6A9" w14:textId="77777777" w:rsidR="008412D9" w:rsidRDefault="008412D9"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4</w:t>
            </w:r>
          </w:p>
        </w:tc>
      </w:tr>
    </w:tbl>
    <w:p w14:paraId="5D6354AD" w14:textId="77777777" w:rsidR="008412D9" w:rsidRDefault="008412D9" w:rsidP="00150EF8">
      <w:pPr>
        <w:spacing w:after="0"/>
      </w:pPr>
    </w:p>
    <w:p w14:paraId="0D31740A" w14:textId="3D5D670D" w:rsidR="007C189E" w:rsidRPr="00073875" w:rsidRDefault="00096065" w:rsidP="00150EF8">
      <w:pPr>
        <w:spacing w:after="0"/>
        <w:rPr>
          <w:rFonts w:ascii="Times New Roman" w:hAnsi="Times New Roman" w:cs="Times New Roman"/>
          <w:sz w:val="24"/>
          <w:szCs w:val="24"/>
        </w:rPr>
      </w:pPr>
      <w:r w:rsidRPr="00073875">
        <w:rPr>
          <w:rFonts w:ascii="Times New Roman" w:hAnsi="Times New Roman" w:cs="Times New Roman"/>
          <w:sz w:val="24"/>
          <w:szCs w:val="24"/>
        </w:rPr>
        <w:t xml:space="preserve">Table 2 shows that the region-adjusted random-slope beta mixed model (lowest AIC and BIC) was the best model fit as compared to the random-slope, random-intercept, and the null models. This finding proves </w:t>
      </w:r>
      <w:r w:rsidR="00150EF8">
        <w:rPr>
          <w:rFonts w:ascii="Times New Roman" w:hAnsi="Times New Roman" w:cs="Times New Roman"/>
          <w:sz w:val="24"/>
          <w:szCs w:val="24"/>
        </w:rPr>
        <w:t xml:space="preserve">that </w:t>
      </w:r>
      <w:r w:rsidRPr="00073875">
        <w:rPr>
          <w:rFonts w:ascii="Times New Roman" w:hAnsi="Times New Roman" w:cs="Times New Roman"/>
          <w:sz w:val="24"/>
          <w:szCs w:val="24"/>
        </w:rPr>
        <w:t xml:space="preserve">HIV rates among young males cannot be well </w:t>
      </w:r>
      <w:r w:rsidR="00150EF8">
        <w:rPr>
          <w:rFonts w:ascii="Times New Roman" w:hAnsi="Times New Roman" w:cs="Times New Roman"/>
          <w:sz w:val="24"/>
          <w:szCs w:val="24"/>
        </w:rPr>
        <w:t>modelled</w:t>
      </w:r>
      <w:r w:rsidRPr="00073875">
        <w:rPr>
          <w:rFonts w:ascii="Times New Roman" w:hAnsi="Times New Roman" w:cs="Times New Roman"/>
          <w:sz w:val="24"/>
          <w:szCs w:val="24"/>
        </w:rPr>
        <w:t xml:space="preserve"> using pooled or simple linear trend models. </w:t>
      </w:r>
      <w:r w:rsidR="007C189E" w:rsidRPr="00073875">
        <w:rPr>
          <w:rFonts w:ascii="Times New Roman" w:hAnsi="Times New Roman" w:cs="Times New Roman"/>
          <w:sz w:val="24"/>
          <w:szCs w:val="24"/>
        </w:rPr>
        <w:t xml:space="preserve">The previous studies were inclined to use descriptive, log-linear, or </w:t>
      </w:r>
      <w:r w:rsidR="007C189E" w:rsidRPr="00073875">
        <w:rPr>
          <w:rFonts w:ascii="Times New Roman" w:hAnsi="Times New Roman" w:cs="Times New Roman"/>
          <w:sz w:val="24"/>
          <w:szCs w:val="24"/>
        </w:rPr>
        <w:lastRenderedPageBreak/>
        <w:t xml:space="preserve">pooled regression models, which are effective, but they have limitations because of the homogeneity assumption and the potential neglect of </w:t>
      </w:r>
      <w:r w:rsidR="00150EF8">
        <w:rPr>
          <w:rFonts w:ascii="Times New Roman" w:hAnsi="Times New Roman" w:cs="Times New Roman"/>
          <w:sz w:val="24"/>
          <w:szCs w:val="24"/>
        </w:rPr>
        <w:t xml:space="preserve">the </w:t>
      </w:r>
      <w:r w:rsidR="007C189E" w:rsidRPr="00073875">
        <w:rPr>
          <w:rFonts w:ascii="Times New Roman" w:hAnsi="Times New Roman" w:cs="Times New Roman"/>
          <w:sz w:val="24"/>
          <w:szCs w:val="24"/>
        </w:rPr>
        <w:t xml:space="preserve">constrained nature of prevalence outcome (Akinrefon et al., 2023; </w:t>
      </w:r>
      <w:proofErr w:type="spellStart"/>
      <w:r w:rsidR="007C189E" w:rsidRPr="00073875">
        <w:rPr>
          <w:rFonts w:ascii="Times New Roman" w:hAnsi="Times New Roman" w:cs="Times New Roman"/>
          <w:sz w:val="24"/>
          <w:szCs w:val="24"/>
        </w:rPr>
        <w:t>Költringer</w:t>
      </w:r>
      <w:proofErr w:type="spellEnd"/>
      <w:r w:rsidR="007C189E" w:rsidRPr="00073875">
        <w:rPr>
          <w:rFonts w:ascii="Times New Roman" w:hAnsi="Times New Roman" w:cs="Times New Roman"/>
          <w:sz w:val="24"/>
          <w:szCs w:val="24"/>
        </w:rPr>
        <w:t xml:space="preserve"> et al., 2023; Lima et al., 2025). </w:t>
      </w:r>
    </w:p>
    <w:p w14:paraId="4F8529EA" w14:textId="59A6CACF" w:rsidR="0009606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The current research advances beyond these shortcomings by demonstrating empirically the need to have both regional and country-specific time slopes. This enhances the methodological input of the study and gives more credible evidence to the differentiated policy planning of HIV.</w:t>
      </w:r>
    </w:p>
    <w:p w14:paraId="6EBF5E1C" w14:textId="77777777" w:rsidR="00B92566" w:rsidRPr="00073875" w:rsidRDefault="00B92566" w:rsidP="00150EF8">
      <w:pPr>
        <w:spacing w:after="0"/>
        <w:jc w:val="both"/>
        <w:rPr>
          <w:rFonts w:ascii="Times New Roman" w:hAnsi="Times New Roman" w:cs="Times New Roman"/>
          <w:sz w:val="24"/>
          <w:szCs w:val="24"/>
        </w:rPr>
      </w:pPr>
    </w:p>
    <w:p w14:paraId="5AF467F0" w14:textId="77777777" w:rsidR="008412D9" w:rsidRDefault="008412D9" w:rsidP="00A526BF">
      <w:pPr>
        <w:pStyle w:val="TableCaption"/>
        <w:keepNext/>
        <w:spacing w:before="60"/>
        <w:ind w:left="60" w:right="60"/>
      </w:pPr>
      <w:r>
        <w:t>Table 3: Fixed effects with odds ratios and 95% confidence intervals</w:t>
      </w:r>
    </w:p>
    <w:tbl>
      <w:tblPr>
        <w:tblW w:w="10004" w:type="dxa"/>
        <w:jc w:val="center"/>
        <w:tblBorders>
          <w:top w:val="single" w:sz="4" w:space="0" w:color="auto"/>
          <w:bottom w:val="single" w:sz="4" w:space="0" w:color="auto"/>
        </w:tblBorders>
        <w:tblLayout w:type="fixed"/>
        <w:tblLook w:val="0420" w:firstRow="1" w:lastRow="0" w:firstColumn="0" w:lastColumn="0" w:noHBand="0" w:noVBand="1"/>
      </w:tblPr>
      <w:tblGrid>
        <w:gridCol w:w="3588"/>
        <w:gridCol w:w="1065"/>
        <w:gridCol w:w="771"/>
        <w:gridCol w:w="928"/>
        <w:gridCol w:w="923"/>
        <w:gridCol w:w="1320"/>
        <w:gridCol w:w="1409"/>
      </w:tblGrid>
      <w:tr w:rsidR="008412D9" w14:paraId="4E04E1B9" w14:textId="77777777" w:rsidTr="00A526BF">
        <w:trPr>
          <w:trHeight w:val="328"/>
          <w:tblHeader/>
          <w:jc w:val="center"/>
        </w:trPr>
        <w:tc>
          <w:tcPr>
            <w:tcW w:w="3588" w:type="dxa"/>
            <w:tcBorders>
              <w:top w:val="single" w:sz="4" w:space="0" w:color="auto"/>
              <w:bottom w:val="single" w:sz="4" w:space="0" w:color="auto"/>
            </w:tcBorders>
            <w:tcMar>
              <w:top w:w="0" w:type="dxa"/>
              <w:left w:w="0" w:type="dxa"/>
              <w:bottom w:w="0" w:type="dxa"/>
              <w:right w:w="0" w:type="dxa"/>
            </w:tcMar>
            <w:vAlign w:val="center"/>
          </w:tcPr>
          <w:p w14:paraId="6D4459EC" w14:textId="77777777" w:rsidR="008412D9" w:rsidRPr="00DF67F7" w:rsidRDefault="008412D9" w:rsidP="00A526BF">
            <w:pPr>
              <w:spacing w:before="100" w:after="0"/>
              <w:ind w:left="100" w:right="100"/>
              <w:jc w:val="center"/>
              <w:rPr>
                <w:rFonts w:ascii="Arial" w:eastAsia="Arial" w:hAnsi="Arial" w:cs="Arial"/>
                <w:b/>
                <w:color w:val="000000" w:themeColor="text1"/>
                <w:sz w:val="16"/>
                <w:szCs w:val="16"/>
              </w:rPr>
            </w:pPr>
            <w:r w:rsidRPr="00DF67F7">
              <w:rPr>
                <w:rFonts w:ascii="Arial" w:eastAsia="Arial" w:hAnsi="Arial" w:cs="Arial"/>
                <w:b/>
                <w:color w:val="000000" w:themeColor="text1"/>
                <w:sz w:val="16"/>
                <w:szCs w:val="16"/>
              </w:rPr>
              <w:t>Predictor</w:t>
            </w:r>
          </w:p>
        </w:tc>
        <w:tc>
          <w:tcPr>
            <w:tcW w:w="1065" w:type="dxa"/>
            <w:tcBorders>
              <w:top w:val="single" w:sz="4" w:space="0" w:color="auto"/>
              <w:bottom w:val="single" w:sz="4" w:space="0" w:color="auto"/>
            </w:tcBorders>
            <w:tcMar>
              <w:top w:w="0" w:type="dxa"/>
              <w:left w:w="0" w:type="dxa"/>
              <w:bottom w:w="0" w:type="dxa"/>
              <w:right w:w="0" w:type="dxa"/>
            </w:tcMar>
            <w:vAlign w:val="center"/>
          </w:tcPr>
          <w:p w14:paraId="723A969C" w14:textId="77777777" w:rsidR="008412D9" w:rsidRPr="00DF67F7" w:rsidRDefault="008412D9" w:rsidP="00A526BF">
            <w:pPr>
              <w:spacing w:before="100" w:after="0"/>
              <w:ind w:left="100" w:right="100"/>
              <w:jc w:val="center"/>
              <w:rPr>
                <w:rFonts w:ascii="Arial" w:eastAsia="Arial" w:hAnsi="Arial" w:cs="Arial"/>
                <w:b/>
                <w:color w:val="000000" w:themeColor="text1"/>
                <w:sz w:val="16"/>
                <w:szCs w:val="16"/>
              </w:rPr>
            </w:pPr>
            <w:r w:rsidRPr="00DF67F7">
              <w:rPr>
                <w:rFonts w:ascii="Arial" w:eastAsia="Arial" w:hAnsi="Arial" w:cs="Arial"/>
                <w:b/>
                <w:color w:val="000000" w:themeColor="text1"/>
                <w:sz w:val="16"/>
                <w:szCs w:val="16"/>
              </w:rPr>
              <w:t>Estimate</w:t>
            </w:r>
          </w:p>
        </w:tc>
        <w:tc>
          <w:tcPr>
            <w:tcW w:w="771" w:type="dxa"/>
            <w:tcBorders>
              <w:top w:val="single" w:sz="4" w:space="0" w:color="auto"/>
              <w:bottom w:val="single" w:sz="4" w:space="0" w:color="auto"/>
            </w:tcBorders>
            <w:tcMar>
              <w:top w:w="0" w:type="dxa"/>
              <w:left w:w="0" w:type="dxa"/>
              <w:bottom w:w="0" w:type="dxa"/>
              <w:right w:w="0" w:type="dxa"/>
            </w:tcMar>
            <w:vAlign w:val="center"/>
          </w:tcPr>
          <w:p w14:paraId="4CB0E3D2" w14:textId="77777777" w:rsidR="008412D9" w:rsidRPr="00DF67F7" w:rsidRDefault="008412D9" w:rsidP="00A526BF">
            <w:pPr>
              <w:spacing w:before="100" w:after="0"/>
              <w:ind w:left="100" w:right="100"/>
              <w:jc w:val="center"/>
              <w:rPr>
                <w:rFonts w:ascii="Arial" w:eastAsia="Arial" w:hAnsi="Arial" w:cs="Arial"/>
                <w:b/>
                <w:color w:val="000000" w:themeColor="text1"/>
                <w:sz w:val="16"/>
                <w:szCs w:val="16"/>
              </w:rPr>
            </w:pPr>
            <w:r w:rsidRPr="00DF67F7">
              <w:rPr>
                <w:rFonts w:ascii="Arial" w:eastAsia="Arial" w:hAnsi="Arial" w:cs="Arial"/>
                <w:b/>
                <w:color w:val="000000" w:themeColor="text1"/>
                <w:sz w:val="16"/>
                <w:szCs w:val="16"/>
              </w:rPr>
              <w:t>SE</w:t>
            </w:r>
          </w:p>
        </w:tc>
        <w:tc>
          <w:tcPr>
            <w:tcW w:w="928" w:type="dxa"/>
            <w:tcBorders>
              <w:top w:val="single" w:sz="4" w:space="0" w:color="auto"/>
              <w:bottom w:val="single" w:sz="4" w:space="0" w:color="auto"/>
            </w:tcBorders>
            <w:tcMar>
              <w:top w:w="0" w:type="dxa"/>
              <w:left w:w="0" w:type="dxa"/>
              <w:bottom w:w="0" w:type="dxa"/>
              <w:right w:w="0" w:type="dxa"/>
            </w:tcMar>
            <w:vAlign w:val="center"/>
          </w:tcPr>
          <w:p w14:paraId="3920C096" w14:textId="77777777" w:rsidR="008412D9" w:rsidRPr="00DF67F7" w:rsidRDefault="008412D9" w:rsidP="00A526BF">
            <w:pPr>
              <w:spacing w:before="100" w:after="0"/>
              <w:ind w:left="100" w:right="100"/>
              <w:jc w:val="center"/>
              <w:rPr>
                <w:rFonts w:ascii="Arial" w:eastAsia="Arial" w:hAnsi="Arial" w:cs="Arial"/>
                <w:b/>
                <w:color w:val="000000" w:themeColor="text1"/>
                <w:sz w:val="16"/>
                <w:szCs w:val="16"/>
              </w:rPr>
            </w:pPr>
            <w:r w:rsidRPr="00DF67F7">
              <w:rPr>
                <w:rFonts w:ascii="Arial" w:eastAsia="Arial" w:hAnsi="Arial" w:cs="Arial"/>
                <w:b/>
                <w:color w:val="000000" w:themeColor="text1"/>
                <w:sz w:val="16"/>
                <w:szCs w:val="16"/>
              </w:rPr>
              <w:t>z</w:t>
            </w:r>
          </w:p>
        </w:tc>
        <w:tc>
          <w:tcPr>
            <w:tcW w:w="923" w:type="dxa"/>
            <w:tcBorders>
              <w:top w:val="single" w:sz="4" w:space="0" w:color="auto"/>
              <w:bottom w:val="single" w:sz="4" w:space="0" w:color="auto"/>
            </w:tcBorders>
            <w:tcMar>
              <w:top w:w="0" w:type="dxa"/>
              <w:left w:w="0" w:type="dxa"/>
              <w:bottom w:w="0" w:type="dxa"/>
              <w:right w:w="0" w:type="dxa"/>
            </w:tcMar>
            <w:vAlign w:val="center"/>
          </w:tcPr>
          <w:p w14:paraId="38891767" w14:textId="77777777" w:rsidR="008412D9" w:rsidRPr="00DF67F7" w:rsidRDefault="008412D9" w:rsidP="00A526BF">
            <w:pPr>
              <w:spacing w:before="100" w:after="0"/>
              <w:ind w:left="100" w:right="100"/>
              <w:jc w:val="center"/>
              <w:rPr>
                <w:rFonts w:ascii="Arial" w:eastAsia="Arial" w:hAnsi="Arial" w:cs="Arial"/>
                <w:b/>
                <w:color w:val="000000" w:themeColor="text1"/>
                <w:sz w:val="16"/>
                <w:szCs w:val="16"/>
              </w:rPr>
            </w:pPr>
            <w:r w:rsidRPr="00DF67F7">
              <w:rPr>
                <w:rFonts w:ascii="Arial" w:eastAsia="Arial" w:hAnsi="Arial" w:cs="Arial"/>
                <w:b/>
                <w:color w:val="000000" w:themeColor="text1"/>
                <w:sz w:val="16"/>
                <w:szCs w:val="16"/>
              </w:rPr>
              <w:t>p</w:t>
            </w:r>
          </w:p>
        </w:tc>
        <w:tc>
          <w:tcPr>
            <w:tcW w:w="1320" w:type="dxa"/>
            <w:tcBorders>
              <w:top w:val="single" w:sz="4" w:space="0" w:color="auto"/>
              <w:bottom w:val="single" w:sz="4" w:space="0" w:color="auto"/>
            </w:tcBorders>
            <w:tcMar>
              <w:top w:w="0" w:type="dxa"/>
              <w:left w:w="0" w:type="dxa"/>
              <w:bottom w:w="0" w:type="dxa"/>
              <w:right w:w="0" w:type="dxa"/>
            </w:tcMar>
            <w:vAlign w:val="center"/>
          </w:tcPr>
          <w:p w14:paraId="7E53AD3F" w14:textId="77777777" w:rsidR="008412D9" w:rsidRPr="00DF67F7" w:rsidRDefault="008412D9" w:rsidP="00A526BF">
            <w:pPr>
              <w:spacing w:before="100" w:after="0"/>
              <w:ind w:left="100" w:right="100"/>
              <w:jc w:val="center"/>
              <w:rPr>
                <w:rFonts w:ascii="Arial" w:eastAsia="Arial" w:hAnsi="Arial" w:cs="Arial"/>
                <w:b/>
                <w:color w:val="000000" w:themeColor="text1"/>
                <w:sz w:val="16"/>
                <w:szCs w:val="16"/>
              </w:rPr>
            </w:pPr>
            <w:proofErr w:type="spellStart"/>
            <w:r w:rsidRPr="00DF67F7">
              <w:rPr>
                <w:rFonts w:ascii="Arial" w:eastAsia="Arial" w:hAnsi="Arial" w:cs="Arial"/>
                <w:b/>
                <w:color w:val="000000" w:themeColor="text1"/>
                <w:sz w:val="16"/>
                <w:szCs w:val="16"/>
              </w:rPr>
              <w:t>Odds_Ratio</w:t>
            </w:r>
            <w:proofErr w:type="spellEnd"/>
          </w:p>
        </w:tc>
        <w:tc>
          <w:tcPr>
            <w:tcW w:w="1409" w:type="dxa"/>
            <w:tcBorders>
              <w:top w:val="single" w:sz="4" w:space="0" w:color="auto"/>
              <w:bottom w:val="single" w:sz="4" w:space="0" w:color="auto"/>
            </w:tcBorders>
            <w:tcMar>
              <w:top w:w="0" w:type="dxa"/>
              <w:left w:w="0" w:type="dxa"/>
              <w:bottom w:w="0" w:type="dxa"/>
              <w:right w:w="0" w:type="dxa"/>
            </w:tcMar>
            <w:vAlign w:val="center"/>
          </w:tcPr>
          <w:p w14:paraId="6B2A3A21" w14:textId="77777777" w:rsidR="008412D9" w:rsidRPr="00DF67F7" w:rsidRDefault="008412D9" w:rsidP="00A526BF">
            <w:pPr>
              <w:spacing w:before="100" w:after="0"/>
              <w:ind w:left="100" w:right="100"/>
              <w:jc w:val="center"/>
              <w:rPr>
                <w:rFonts w:ascii="Arial" w:eastAsia="Arial" w:hAnsi="Arial" w:cs="Arial"/>
                <w:b/>
                <w:color w:val="000000" w:themeColor="text1"/>
                <w:sz w:val="16"/>
                <w:szCs w:val="16"/>
              </w:rPr>
            </w:pPr>
            <w:r w:rsidRPr="00DF67F7">
              <w:rPr>
                <w:rFonts w:ascii="Arial" w:eastAsia="Arial" w:hAnsi="Arial" w:cs="Arial"/>
                <w:b/>
                <w:color w:val="000000" w:themeColor="text1"/>
                <w:sz w:val="16"/>
                <w:szCs w:val="16"/>
              </w:rPr>
              <w:t>OR_95_CI</w:t>
            </w:r>
          </w:p>
        </w:tc>
      </w:tr>
      <w:tr w:rsidR="008412D9" w14:paraId="22E78F8D" w14:textId="77777777" w:rsidTr="00A526BF">
        <w:trPr>
          <w:trHeight w:val="342"/>
          <w:jc w:val="center"/>
        </w:trPr>
        <w:tc>
          <w:tcPr>
            <w:tcW w:w="3588" w:type="dxa"/>
            <w:tcBorders>
              <w:top w:val="single" w:sz="4" w:space="0" w:color="auto"/>
            </w:tcBorders>
            <w:shd w:val="clear" w:color="auto" w:fill="FFFFFF"/>
            <w:tcMar>
              <w:top w:w="0" w:type="dxa"/>
              <w:left w:w="0" w:type="dxa"/>
              <w:bottom w:w="0" w:type="dxa"/>
              <w:right w:w="0" w:type="dxa"/>
            </w:tcMar>
            <w:vAlign w:val="center"/>
          </w:tcPr>
          <w:p w14:paraId="2C54590A"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(Intercept)</w:t>
            </w:r>
          </w:p>
        </w:tc>
        <w:tc>
          <w:tcPr>
            <w:tcW w:w="1065" w:type="dxa"/>
            <w:tcBorders>
              <w:top w:val="single" w:sz="4" w:space="0" w:color="auto"/>
            </w:tcBorders>
            <w:shd w:val="clear" w:color="auto" w:fill="FFFFFF"/>
            <w:tcMar>
              <w:top w:w="0" w:type="dxa"/>
              <w:left w:w="0" w:type="dxa"/>
              <w:bottom w:w="0" w:type="dxa"/>
              <w:right w:w="0" w:type="dxa"/>
            </w:tcMar>
            <w:vAlign w:val="center"/>
          </w:tcPr>
          <w:p w14:paraId="3AE89E83"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-6.293</w:t>
            </w:r>
          </w:p>
        </w:tc>
        <w:tc>
          <w:tcPr>
            <w:tcW w:w="771" w:type="dxa"/>
            <w:tcBorders>
              <w:top w:val="single" w:sz="4" w:space="0" w:color="auto"/>
            </w:tcBorders>
            <w:shd w:val="clear" w:color="auto" w:fill="FFFFFF"/>
            <w:tcMar>
              <w:top w:w="0" w:type="dxa"/>
              <w:left w:w="0" w:type="dxa"/>
              <w:bottom w:w="0" w:type="dxa"/>
              <w:right w:w="0" w:type="dxa"/>
            </w:tcMar>
            <w:vAlign w:val="center"/>
          </w:tcPr>
          <w:p w14:paraId="0915E52E"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0.175</w:t>
            </w:r>
          </w:p>
        </w:tc>
        <w:tc>
          <w:tcPr>
            <w:tcW w:w="928" w:type="dxa"/>
            <w:tcBorders>
              <w:top w:val="single" w:sz="4" w:space="0" w:color="auto"/>
            </w:tcBorders>
            <w:shd w:val="clear" w:color="auto" w:fill="FFFFFF"/>
            <w:tcMar>
              <w:top w:w="0" w:type="dxa"/>
              <w:left w:w="0" w:type="dxa"/>
              <w:bottom w:w="0" w:type="dxa"/>
              <w:right w:w="0" w:type="dxa"/>
            </w:tcMar>
            <w:vAlign w:val="center"/>
          </w:tcPr>
          <w:p w14:paraId="2805C42B"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-36.021</w:t>
            </w:r>
          </w:p>
        </w:tc>
        <w:tc>
          <w:tcPr>
            <w:tcW w:w="923" w:type="dxa"/>
            <w:tcBorders>
              <w:top w:val="single" w:sz="4" w:space="0" w:color="auto"/>
            </w:tcBorders>
            <w:shd w:val="clear" w:color="auto" w:fill="FFFFFF"/>
            <w:tcMar>
              <w:top w:w="0" w:type="dxa"/>
              <w:left w:w="0" w:type="dxa"/>
              <w:bottom w:w="0" w:type="dxa"/>
              <w:right w:w="0" w:type="dxa"/>
            </w:tcMar>
            <w:vAlign w:val="center"/>
          </w:tcPr>
          <w:p w14:paraId="004370C7"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&lt; .001</w:t>
            </w:r>
          </w:p>
        </w:tc>
        <w:tc>
          <w:tcPr>
            <w:tcW w:w="1320" w:type="dxa"/>
            <w:tcBorders>
              <w:top w:val="single" w:sz="4" w:space="0" w:color="auto"/>
            </w:tcBorders>
            <w:shd w:val="clear" w:color="auto" w:fill="FFFFFF"/>
            <w:tcMar>
              <w:top w:w="0" w:type="dxa"/>
              <w:left w:w="0" w:type="dxa"/>
              <w:bottom w:w="0" w:type="dxa"/>
              <w:right w:w="0" w:type="dxa"/>
            </w:tcMar>
            <w:vAlign w:val="center"/>
          </w:tcPr>
          <w:p w14:paraId="364A3CE3"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0.002</w:t>
            </w:r>
          </w:p>
        </w:tc>
        <w:tc>
          <w:tcPr>
            <w:tcW w:w="1409" w:type="dxa"/>
            <w:tcBorders>
              <w:top w:val="single" w:sz="4" w:space="0" w:color="auto"/>
            </w:tcBorders>
            <w:shd w:val="clear" w:color="auto" w:fill="FFFFFF"/>
            <w:tcMar>
              <w:top w:w="0" w:type="dxa"/>
              <w:left w:w="0" w:type="dxa"/>
              <w:bottom w:w="0" w:type="dxa"/>
              <w:right w:w="0" w:type="dxa"/>
            </w:tcMar>
            <w:vAlign w:val="center"/>
          </w:tcPr>
          <w:p w14:paraId="590EABF4"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[0.001, 0.003]</w:t>
            </w:r>
          </w:p>
        </w:tc>
      </w:tr>
      <w:tr w:rsidR="008412D9" w14:paraId="23CFB868" w14:textId="77777777" w:rsidTr="00A526BF">
        <w:trPr>
          <w:trHeight w:val="328"/>
          <w:jc w:val="center"/>
        </w:trPr>
        <w:tc>
          <w:tcPr>
            <w:tcW w:w="3588" w:type="dxa"/>
            <w:shd w:val="clear" w:color="auto" w:fill="FFFFFF"/>
            <w:tcMar>
              <w:top w:w="0" w:type="dxa"/>
              <w:left w:w="0" w:type="dxa"/>
              <w:bottom w:w="0" w:type="dxa"/>
              <w:right w:w="0" w:type="dxa"/>
            </w:tcMar>
            <w:vAlign w:val="center"/>
          </w:tcPr>
          <w:p w14:paraId="287ADAE2" w14:textId="77777777" w:rsidR="008412D9" w:rsidRDefault="008412D9" w:rsidP="00A526BF">
            <w:pPr>
              <w:spacing w:before="100" w:after="0"/>
              <w:ind w:left="100" w:right="100"/>
              <w:rPr>
                <w:rFonts w:ascii="Arial" w:eastAsia="Arial" w:hAnsi="Arial" w:cs="Arial"/>
                <w:color w:val="000000"/>
                <w:sz w:val="16"/>
                <w:szCs w:val="16"/>
              </w:rPr>
            </w:pPr>
            <w:proofErr w:type="spellStart"/>
            <w:r>
              <w:rPr>
                <w:rFonts w:ascii="Arial" w:eastAsia="Arial" w:hAnsi="Arial" w:cs="Arial"/>
                <w:color w:val="000000"/>
                <w:sz w:val="16"/>
                <w:szCs w:val="16"/>
              </w:rPr>
              <w:t>year_scaled</w:t>
            </w:r>
            <w:proofErr w:type="spellEnd"/>
          </w:p>
        </w:tc>
        <w:tc>
          <w:tcPr>
            <w:tcW w:w="1065" w:type="dxa"/>
            <w:shd w:val="clear" w:color="auto" w:fill="FFFFFF"/>
            <w:tcMar>
              <w:top w:w="0" w:type="dxa"/>
              <w:left w:w="0" w:type="dxa"/>
              <w:bottom w:w="0" w:type="dxa"/>
              <w:right w:w="0" w:type="dxa"/>
            </w:tcMar>
            <w:vAlign w:val="center"/>
          </w:tcPr>
          <w:p w14:paraId="0C2BCE98"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-0.049</w:t>
            </w:r>
          </w:p>
        </w:tc>
        <w:tc>
          <w:tcPr>
            <w:tcW w:w="771" w:type="dxa"/>
            <w:shd w:val="clear" w:color="auto" w:fill="FFFFFF"/>
            <w:tcMar>
              <w:top w:w="0" w:type="dxa"/>
              <w:left w:w="0" w:type="dxa"/>
              <w:bottom w:w="0" w:type="dxa"/>
              <w:right w:w="0" w:type="dxa"/>
            </w:tcMar>
            <w:vAlign w:val="center"/>
          </w:tcPr>
          <w:p w14:paraId="07A1636E"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0.016</w:t>
            </w:r>
          </w:p>
        </w:tc>
        <w:tc>
          <w:tcPr>
            <w:tcW w:w="928" w:type="dxa"/>
            <w:shd w:val="clear" w:color="auto" w:fill="FFFFFF"/>
            <w:tcMar>
              <w:top w:w="0" w:type="dxa"/>
              <w:left w:w="0" w:type="dxa"/>
              <w:bottom w:w="0" w:type="dxa"/>
              <w:right w:w="0" w:type="dxa"/>
            </w:tcMar>
            <w:vAlign w:val="center"/>
          </w:tcPr>
          <w:p w14:paraId="55702E01"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-3.157</w:t>
            </w:r>
          </w:p>
        </w:tc>
        <w:tc>
          <w:tcPr>
            <w:tcW w:w="923" w:type="dxa"/>
            <w:shd w:val="clear" w:color="auto" w:fill="FFFFFF"/>
            <w:tcMar>
              <w:top w:w="0" w:type="dxa"/>
              <w:left w:w="0" w:type="dxa"/>
              <w:bottom w:w="0" w:type="dxa"/>
              <w:right w:w="0" w:type="dxa"/>
            </w:tcMar>
            <w:vAlign w:val="center"/>
          </w:tcPr>
          <w:p w14:paraId="4BA1BB4C"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 0.002</w:t>
            </w:r>
          </w:p>
        </w:tc>
        <w:tc>
          <w:tcPr>
            <w:tcW w:w="1320" w:type="dxa"/>
            <w:shd w:val="clear" w:color="auto" w:fill="FFFFFF"/>
            <w:tcMar>
              <w:top w:w="0" w:type="dxa"/>
              <w:left w:w="0" w:type="dxa"/>
              <w:bottom w:w="0" w:type="dxa"/>
              <w:right w:w="0" w:type="dxa"/>
            </w:tcMar>
            <w:vAlign w:val="center"/>
          </w:tcPr>
          <w:p w14:paraId="169B31C5"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0.952</w:t>
            </w:r>
          </w:p>
        </w:tc>
        <w:tc>
          <w:tcPr>
            <w:tcW w:w="1409" w:type="dxa"/>
            <w:shd w:val="clear" w:color="auto" w:fill="FFFFFF"/>
            <w:tcMar>
              <w:top w:w="0" w:type="dxa"/>
              <w:left w:w="0" w:type="dxa"/>
              <w:bottom w:w="0" w:type="dxa"/>
              <w:right w:w="0" w:type="dxa"/>
            </w:tcMar>
            <w:vAlign w:val="center"/>
          </w:tcPr>
          <w:p w14:paraId="5AD12044"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[0.923, 0.981]</w:t>
            </w:r>
          </w:p>
        </w:tc>
      </w:tr>
      <w:tr w:rsidR="008412D9" w14:paraId="76CBE440" w14:textId="77777777" w:rsidTr="00A526BF">
        <w:trPr>
          <w:trHeight w:val="328"/>
          <w:jc w:val="center"/>
        </w:trPr>
        <w:tc>
          <w:tcPr>
            <w:tcW w:w="3588" w:type="dxa"/>
            <w:shd w:val="clear" w:color="auto" w:fill="FFFFFF"/>
            <w:tcMar>
              <w:top w:w="0" w:type="dxa"/>
              <w:left w:w="0" w:type="dxa"/>
              <w:bottom w:w="0" w:type="dxa"/>
              <w:right w:w="0" w:type="dxa"/>
            </w:tcMar>
            <w:vAlign w:val="center"/>
          </w:tcPr>
          <w:p w14:paraId="72E2303D" w14:textId="77777777" w:rsidR="008412D9" w:rsidRDefault="008412D9" w:rsidP="00A526BF">
            <w:pPr>
              <w:spacing w:before="100" w:after="0"/>
              <w:ind w:left="100" w:right="100"/>
              <w:rPr>
                <w:rFonts w:ascii="Arial" w:eastAsia="Arial" w:hAnsi="Arial" w:cs="Arial"/>
                <w:color w:val="000000"/>
                <w:sz w:val="16"/>
                <w:szCs w:val="16"/>
              </w:rPr>
            </w:pPr>
            <w:proofErr w:type="spellStart"/>
            <w:r>
              <w:rPr>
                <w:rFonts w:ascii="Arial" w:eastAsia="Arial" w:hAnsi="Arial" w:cs="Arial"/>
                <w:color w:val="000000"/>
                <w:sz w:val="16"/>
                <w:szCs w:val="16"/>
              </w:rPr>
              <w:t>regionEurope</w:t>
            </w:r>
            <w:proofErr w:type="spellEnd"/>
            <w:r>
              <w:rPr>
                <w:rFonts w:ascii="Arial" w:eastAsia="Arial" w:hAnsi="Arial" w:cs="Arial"/>
                <w:color w:val="000000"/>
                <w:sz w:val="16"/>
                <w:szCs w:val="16"/>
              </w:rPr>
              <w:t xml:space="preserve"> &amp; Central Asia</w:t>
            </w:r>
          </w:p>
        </w:tc>
        <w:tc>
          <w:tcPr>
            <w:tcW w:w="1065" w:type="dxa"/>
            <w:shd w:val="clear" w:color="auto" w:fill="FFFFFF"/>
            <w:tcMar>
              <w:top w:w="0" w:type="dxa"/>
              <w:left w:w="0" w:type="dxa"/>
              <w:bottom w:w="0" w:type="dxa"/>
              <w:right w:w="0" w:type="dxa"/>
            </w:tcMar>
            <w:vAlign w:val="center"/>
          </w:tcPr>
          <w:p w14:paraId="6A6198C8"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-0.386</w:t>
            </w:r>
          </w:p>
        </w:tc>
        <w:tc>
          <w:tcPr>
            <w:tcW w:w="771" w:type="dxa"/>
            <w:shd w:val="clear" w:color="auto" w:fill="FFFFFF"/>
            <w:tcMar>
              <w:top w:w="0" w:type="dxa"/>
              <w:left w:w="0" w:type="dxa"/>
              <w:bottom w:w="0" w:type="dxa"/>
              <w:right w:w="0" w:type="dxa"/>
            </w:tcMar>
            <w:vAlign w:val="center"/>
          </w:tcPr>
          <w:p w14:paraId="3D2F1DFA"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0.220</w:t>
            </w:r>
          </w:p>
        </w:tc>
        <w:tc>
          <w:tcPr>
            <w:tcW w:w="928" w:type="dxa"/>
            <w:shd w:val="clear" w:color="auto" w:fill="FFFFFF"/>
            <w:tcMar>
              <w:top w:w="0" w:type="dxa"/>
              <w:left w:w="0" w:type="dxa"/>
              <w:bottom w:w="0" w:type="dxa"/>
              <w:right w:w="0" w:type="dxa"/>
            </w:tcMar>
            <w:vAlign w:val="center"/>
          </w:tcPr>
          <w:p w14:paraId="539DDA2F"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-1.759</w:t>
            </w:r>
          </w:p>
        </w:tc>
        <w:tc>
          <w:tcPr>
            <w:tcW w:w="923" w:type="dxa"/>
            <w:shd w:val="clear" w:color="auto" w:fill="FFFFFF"/>
            <w:tcMar>
              <w:top w:w="0" w:type="dxa"/>
              <w:left w:w="0" w:type="dxa"/>
              <w:bottom w:w="0" w:type="dxa"/>
              <w:right w:w="0" w:type="dxa"/>
            </w:tcMar>
            <w:vAlign w:val="center"/>
          </w:tcPr>
          <w:p w14:paraId="69C81929"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 0.079</w:t>
            </w:r>
          </w:p>
        </w:tc>
        <w:tc>
          <w:tcPr>
            <w:tcW w:w="1320" w:type="dxa"/>
            <w:shd w:val="clear" w:color="auto" w:fill="FFFFFF"/>
            <w:tcMar>
              <w:top w:w="0" w:type="dxa"/>
              <w:left w:w="0" w:type="dxa"/>
              <w:bottom w:w="0" w:type="dxa"/>
              <w:right w:w="0" w:type="dxa"/>
            </w:tcMar>
            <w:vAlign w:val="center"/>
          </w:tcPr>
          <w:p w14:paraId="3C7A1CCD"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0.679</w:t>
            </w:r>
          </w:p>
        </w:tc>
        <w:tc>
          <w:tcPr>
            <w:tcW w:w="1409" w:type="dxa"/>
            <w:shd w:val="clear" w:color="auto" w:fill="FFFFFF"/>
            <w:tcMar>
              <w:top w:w="0" w:type="dxa"/>
              <w:left w:w="0" w:type="dxa"/>
              <w:bottom w:w="0" w:type="dxa"/>
              <w:right w:w="0" w:type="dxa"/>
            </w:tcMar>
            <w:vAlign w:val="center"/>
          </w:tcPr>
          <w:p w14:paraId="33AFB552"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[0.442, 1.045]</w:t>
            </w:r>
          </w:p>
        </w:tc>
      </w:tr>
      <w:tr w:rsidR="008412D9" w14:paraId="05FA5C80" w14:textId="77777777" w:rsidTr="00A526BF">
        <w:trPr>
          <w:trHeight w:val="342"/>
          <w:jc w:val="center"/>
        </w:trPr>
        <w:tc>
          <w:tcPr>
            <w:tcW w:w="3588" w:type="dxa"/>
            <w:shd w:val="clear" w:color="auto" w:fill="FFFFFF"/>
            <w:tcMar>
              <w:top w:w="0" w:type="dxa"/>
              <w:left w:w="0" w:type="dxa"/>
              <w:bottom w:w="0" w:type="dxa"/>
              <w:right w:w="0" w:type="dxa"/>
            </w:tcMar>
            <w:vAlign w:val="center"/>
          </w:tcPr>
          <w:p w14:paraId="070066D0" w14:textId="77777777" w:rsidR="008412D9" w:rsidRDefault="008412D9" w:rsidP="00A526BF">
            <w:pPr>
              <w:spacing w:before="100" w:after="0"/>
              <w:ind w:left="100" w:right="100"/>
              <w:rPr>
                <w:rFonts w:ascii="Arial" w:eastAsia="Arial" w:hAnsi="Arial" w:cs="Arial"/>
                <w:color w:val="000000"/>
                <w:sz w:val="16"/>
                <w:szCs w:val="16"/>
              </w:rPr>
            </w:pPr>
            <w:proofErr w:type="spellStart"/>
            <w:r>
              <w:rPr>
                <w:rFonts w:ascii="Arial" w:eastAsia="Arial" w:hAnsi="Arial" w:cs="Arial"/>
                <w:color w:val="000000"/>
                <w:sz w:val="16"/>
                <w:szCs w:val="16"/>
              </w:rPr>
              <w:t>regionLatin</w:t>
            </w:r>
            <w:proofErr w:type="spellEnd"/>
            <w:r>
              <w:rPr>
                <w:rFonts w:ascii="Arial" w:eastAsia="Arial" w:hAnsi="Arial" w:cs="Arial"/>
                <w:color w:val="000000"/>
                <w:sz w:val="16"/>
                <w:szCs w:val="16"/>
              </w:rPr>
              <w:t xml:space="preserve"> America &amp; Caribbean</w:t>
            </w:r>
          </w:p>
        </w:tc>
        <w:tc>
          <w:tcPr>
            <w:tcW w:w="1065" w:type="dxa"/>
            <w:shd w:val="clear" w:color="auto" w:fill="FFFFFF"/>
            <w:tcMar>
              <w:top w:w="0" w:type="dxa"/>
              <w:left w:w="0" w:type="dxa"/>
              <w:bottom w:w="0" w:type="dxa"/>
              <w:right w:w="0" w:type="dxa"/>
            </w:tcMar>
            <w:vAlign w:val="center"/>
          </w:tcPr>
          <w:p w14:paraId="3574DAE8"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0.448</w:t>
            </w:r>
          </w:p>
        </w:tc>
        <w:tc>
          <w:tcPr>
            <w:tcW w:w="771" w:type="dxa"/>
            <w:shd w:val="clear" w:color="auto" w:fill="FFFFFF"/>
            <w:tcMar>
              <w:top w:w="0" w:type="dxa"/>
              <w:left w:w="0" w:type="dxa"/>
              <w:bottom w:w="0" w:type="dxa"/>
              <w:right w:w="0" w:type="dxa"/>
            </w:tcMar>
            <w:vAlign w:val="center"/>
          </w:tcPr>
          <w:p w14:paraId="5EFEC99A"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0.222</w:t>
            </w:r>
          </w:p>
        </w:tc>
        <w:tc>
          <w:tcPr>
            <w:tcW w:w="928" w:type="dxa"/>
            <w:shd w:val="clear" w:color="auto" w:fill="FFFFFF"/>
            <w:tcMar>
              <w:top w:w="0" w:type="dxa"/>
              <w:left w:w="0" w:type="dxa"/>
              <w:bottom w:w="0" w:type="dxa"/>
              <w:right w:w="0" w:type="dxa"/>
            </w:tcMar>
            <w:vAlign w:val="center"/>
          </w:tcPr>
          <w:p w14:paraId="6F88F22F"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2.016</w:t>
            </w:r>
          </w:p>
        </w:tc>
        <w:tc>
          <w:tcPr>
            <w:tcW w:w="923" w:type="dxa"/>
            <w:shd w:val="clear" w:color="auto" w:fill="FFFFFF"/>
            <w:tcMar>
              <w:top w:w="0" w:type="dxa"/>
              <w:left w:w="0" w:type="dxa"/>
              <w:bottom w:w="0" w:type="dxa"/>
              <w:right w:w="0" w:type="dxa"/>
            </w:tcMar>
            <w:vAlign w:val="center"/>
          </w:tcPr>
          <w:p w14:paraId="73BFDBB9"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 0.044</w:t>
            </w:r>
          </w:p>
        </w:tc>
        <w:tc>
          <w:tcPr>
            <w:tcW w:w="1320" w:type="dxa"/>
            <w:shd w:val="clear" w:color="auto" w:fill="FFFFFF"/>
            <w:tcMar>
              <w:top w:w="0" w:type="dxa"/>
              <w:left w:w="0" w:type="dxa"/>
              <w:bottom w:w="0" w:type="dxa"/>
              <w:right w:w="0" w:type="dxa"/>
            </w:tcMar>
            <w:vAlign w:val="center"/>
          </w:tcPr>
          <w:p w14:paraId="225D42B8"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1.566</w:t>
            </w:r>
          </w:p>
        </w:tc>
        <w:tc>
          <w:tcPr>
            <w:tcW w:w="1409" w:type="dxa"/>
            <w:shd w:val="clear" w:color="auto" w:fill="FFFFFF"/>
            <w:tcMar>
              <w:top w:w="0" w:type="dxa"/>
              <w:left w:w="0" w:type="dxa"/>
              <w:bottom w:w="0" w:type="dxa"/>
              <w:right w:w="0" w:type="dxa"/>
            </w:tcMar>
            <w:vAlign w:val="center"/>
          </w:tcPr>
          <w:p w14:paraId="6ED53FB8"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[1.013, 2.421]</w:t>
            </w:r>
          </w:p>
        </w:tc>
      </w:tr>
      <w:tr w:rsidR="008412D9" w14:paraId="3C1B88FA" w14:textId="77777777" w:rsidTr="00A526BF">
        <w:trPr>
          <w:trHeight w:val="328"/>
          <w:jc w:val="center"/>
        </w:trPr>
        <w:tc>
          <w:tcPr>
            <w:tcW w:w="3588" w:type="dxa"/>
            <w:shd w:val="clear" w:color="auto" w:fill="FFFFFF"/>
            <w:tcMar>
              <w:top w:w="0" w:type="dxa"/>
              <w:left w:w="0" w:type="dxa"/>
              <w:bottom w:w="0" w:type="dxa"/>
              <w:right w:w="0" w:type="dxa"/>
            </w:tcMar>
            <w:vAlign w:val="center"/>
          </w:tcPr>
          <w:p w14:paraId="70BB4847" w14:textId="77777777" w:rsidR="008412D9" w:rsidRDefault="008412D9" w:rsidP="00A526BF">
            <w:pPr>
              <w:spacing w:before="100" w:after="0"/>
              <w:ind w:left="100" w:right="100"/>
              <w:rPr>
                <w:rFonts w:ascii="Arial" w:eastAsia="Arial" w:hAnsi="Arial" w:cs="Arial"/>
                <w:color w:val="000000"/>
                <w:sz w:val="16"/>
                <w:szCs w:val="16"/>
              </w:rPr>
            </w:pPr>
            <w:proofErr w:type="spellStart"/>
            <w:r>
              <w:rPr>
                <w:rFonts w:ascii="Arial" w:eastAsia="Arial" w:hAnsi="Arial" w:cs="Arial"/>
                <w:color w:val="000000"/>
                <w:sz w:val="16"/>
                <w:szCs w:val="16"/>
              </w:rPr>
              <w:t>regionMiddle</w:t>
            </w:r>
            <w:proofErr w:type="spellEnd"/>
            <w:r>
              <w:rPr>
                <w:rFonts w:ascii="Arial" w:eastAsia="Arial" w:hAnsi="Arial" w:cs="Arial"/>
                <w:color w:val="000000"/>
                <w:sz w:val="16"/>
                <w:szCs w:val="16"/>
              </w:rPr>
              <w:t xml:space="preserve"> East &amp; North Africa</w:t>
            </w:r>
          </w:p>
        </w:tc>
        <w:tc>
          <w:tcPr>
            <w:tcW w:w="1065" w:type="dxa"/>
            <w:shd w:val="clear" w:color="auto" w:fill="FFFFFF"/>
            <w:tcMar>
              <w:top w:w="0" w:type="dxa"/>
              <w:left w:w="0" w:type="dxa"/>
              <w:bottom w:w="0" w:type="dxa"/>
              <w:right w:w="0" w:type="dxa"/>
            </w:tcMar>
            <w:vAlign w:val="center"/>
          </w:tcPr>
          <w:p w14:paraId="5BD0CB52"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-0.354</w:t>
            </w:r>
          </w:p>
        </w:tc>
        <w:tc>
          <w:tcPr>
            <w:tcW w:w="771" w:type="dxa"/>
            <w:shd w:val="clear" w:color="auto" w:fill="FFFFFF"/>
            <w:tcMar>
              <w:top w:w="0" w:type="dxa"/>
              <w:left w:w="0" w:type="dxa"/>
              <w:bottom w:w="0" w:type="dxa"/>
              <w:right w:w="0" w:type="dxa"/>
            </w:tcMar>
            <w:vAlign w:val="center"/>
          </w:tcPr>
          <w:p w14:paraId="7414E89F"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0.245</w:t>
            </w:r>
          </w:p>
        </w:tc>
        <w:tc>
          <w:tcPr>
            <w:tcW w:w="928" w:type="dxa"/>
            <w:shd w:val="clear" w:color="auto" w:fill="FFFFFF"/>
            <w:tcMar>
              <w:top w:w="0" w:type="dxa"/>
              <w:left w:w="0" w:type="dxa"/>
              <w:bottom w:w="0" w:type="dxa"/>
              <w:right w:w="0" w:type="dxa"/>
            </w:tcMar>
            <w:vAlign w:val="center"/>
          </w:tcPr>
          <w:p w14:paraId="612D01D0"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-1.445</w:t>
            </w:r>
          </w:p>
        </w:tc>
        <w:tc>
          <w:tcPr>
            <w:tcW w:w="923" w:type="dxa"/>
            <w:shd w:val="clear" w:color="auto" w:fill="FFFFFF"/>
            <w:tcMar>
              <w:top w:w="0" w:type="dxa"/>
              <w:left w:w="0" w:type="dxa"/>
              <w:bottom w:w="0" w:type="dxa"/>
              <w:right w:w="0" w:type="dxa"/>
            </w:tcMar>
            <w:vAlign w:val="center"/>
          </w:tcPr>
          <w:p w14:paraId="16AB71B1"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 0.149</w:t>
            </w:r>
          </w:p>
        </w:tc>
        <w:tc>
          <w:tcPr>
            <w:tcW w:w="1320" w:type="dxa"/>
            <w:shd w:val="clear" w:color="auto" w:fill="FFFFFF"/>
            <w:tcMar>
              <w:top w:w="0" w:type="dxa"/>
              <w:left w:w="0" w:type="dxa"/>
              <w:bottom w:w="0" w:type="dxa"/>
              <w:right w:w="0" w:type="dxa"/>
            </w:tcMar>
            <w:vAlign w:val="center"/>
          </w:tcPr>
          <w:p w14:paraId="4A3540B5"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0.702</w:t>
            </w:r>
          </w:p>
        </w:tc>
        <w:tc>
          <w:tcPr>
            <w:tcW w:w="1409" w:type="dxa"/>
            <w:shd w:val="clear" w:color="auto" w:fill="FFFFFF"/>
            <w:tcMar>
              <w:top w:w="0" w:type="dxa"/>
              <w:left w:w="0" w:type="dxa"/>
              <w:bottom w:w="0" w:type="dxa"/>
              <w:right w:w="0" w:type="dxa"/>
            </w:tcMar>
            <w:vAlign w:val="center"/>
          </w:tcPr>
          <w:p w14:paraId="78003C70"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[0.434, 1.135]</w:t>
            </w:r>
          </w:p>
        </w:tc>
      </w:tr>
      <w:tr w:rsidR="008412D9" w14:paraId="4535E57B" w14:textId="77777777" w:rsidTr="00A526BF">
        <w:trPr>
          <w:trHeight w:val="328"/>
          <w:jc w:val="center"/>
        </w:trPr>
        <w:tc>
          <w:tcPr>
            <w:tcW w:w="3588" w:type="dxa"/>
            <w:shd w:val="clear" w:color="auto" w:fill="FFFFFF"/>
            <w:tcMar>
              <w:top w:w="0" w:type="dxa"/>
              <w:left w:w="0" w:type="dxa"/>
              <w:bottom w:w="0" w:type="dxa"/>
              <w:right w:w="0" w:type="dxa"/>
            </w:tcMar>
            <w:vAlign w:val="center"/>
          </w:tcPr>
          <w:p w14:paraId="0762B511" w14:textId="77777777" w:rsidR="008412D9" w:rsidRDefault="008412D9" w:rsidP="00A526BF">
            <w:pPr>
              <w:spacing w:before="100" w:after="0"/>
              <w:ind w:left="100" w:right="100"/>
              <w:rPr>
                <w:rFonts w:ascii="Arial" w:eastAsia="Arial" w:hAnsi="Arial" w:cs="Arial"/>
                <w:color w:val="000000"/>
                <w:sz w:val="16"/>
                <w:szCs w:val="16"/>
              </w:rPr>
            </w:pPr>
            <w:proofErr w:type="spellStart"/>
            <w:r>
              <w:rPr>
                <w:rFonts w:ascii="Arial" w:eastAsia="Arial" w:hAnsi="Arial" w:cs="Arial"/>
                <w:color w:val="000000"/>
                <w:sz w:val="16"/>
                <w:szCs w:val="16"/>
              </w:rPr>
              <w:t>regionNorth</w:t>
            </w:r>
            <w:proofErr w:type="spellEnd"/>
            <w:r>
              <w:rPr>
                <w:rFonts w:ascii="Arial" w:eastAsia="Arial" w:hAnsi="Arial" w:cs="Arial"/>
                <w:color w:val="000000"/>
                <w:sz w:val="16"/>
                <w:szCs w:val="16"/>
              </w:rPr>
              <w:t xml:space="preserve"> America</w:t>
            </w:r>
          </w:p>
        </w:tc>
        <w:tc>
          <w:tcPr>
            <w:tcW w:w="1065" w:type="dxa"/>
            <w:shd w:val="clear" w:color="auto" w:fill="FFFFFF"/>
            <w:tcMar>
              <w:top w:w="0" w:type="dxa"/>
              <w:left w:w="0" w:type="dxa"/>
              <w:bottom w:w="0" w:type="dxa"/>
              <w:right w:w="0" w:type="dxa"/>
            </w:tcMar>
            <w:vAlign w:val="center"/>
          </w:tcPr>
          <w:p w14:paraId="70C90345"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-0.436</w:t>
            </w:r>
          </w:p>
        </w:tc>
        <w:tc>
          <w:tcPr>
            <w:tcW w:w="771" w:type="dxa"/>
            <w:shd w:val="clear" w:color="auto" w:fill="FFFFFF"/>
            <w:tcMar>
              <w:top w:w="0" w:type="dxa"/>
              <w:left w:w="0" w:type="dxa"/>
              <w:bottom w:w="0" w:type="dxa"/>
              <w:right w:w="0" w:type="dxa"/>
            </w:tcMar>
            <w:vAlign w:val="center"/>
          </w:tcPr>
          <w:p w14:paraId="6A8F73D0"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0.760</w:t>
            </w:r>
          </w:p>
        </w:tc>
        <w:tc>
          <w:tcPr>
            <w:tcW w:w="928" w:type="dxa"/>
            <w:shd w:val="clear" w:color="auto" w:fill="FFFFFF"/>
            <w:tcMar>
              <w:top w:w="0" w:type="dxa"/>
              <w:left w:w="0" w:type="dxa"/>
              <w:bottom w:w="0" w:type="dxa"/>
              <w:right w:w="0" w:type="dxa"/>
            </w:tcMar>
            <w:vAlign w:val="center"/>
          </w:tcPr>
          <w:p w14:paraId="1C5AD53F"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-0.575</w:t>
            </w:r>
          </w:p>
        </w:tc>
        <w:tc>
          <w:tcPr>
            <w:tcW w:w="923" w:type="dxa"/>
            <w:shd w:val="clear" w:color="auto" w:fill="FFFFFF"/>
            <w:tcMar>
              <w:top w:w="0" w:type="dxa"/>
              <w:left w:w="0" w:type="dxa"/>
              <w:bottom w:w="0" w:type="dxa"/>
              <w:right w:w="0" w:type="dxa"/>
            </w:tcMar>
            <w:vAlign w:val="center"/>
          </w:tcPr>
          <w:p w14:paraId="63B38DD4"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 0.566</w:t>
            </w:r>
          </w:p>
        </w:tc>
        <w:tc>
          <w:tcPr>
            <w:tcW w:w="1320" w:type="dxa"/>
            <w:shd w:val="clear" w:color="auto" w:fill="FFFFFF"/>
            <w:tcMar>
              <w:top w:w="0" w:type="dxa"/>
              <w:left w:w="0" w:type="dxa"/>
              <w:bottom w:w="0" w:type="dxa"/>
              <w:right w:w="0" w:type="dxa"/>
            </w:tcMar>
            <w:vAlign w:val="center"/>
          </w:tcPr>
          <w:p w14:paraId="7A54E3D7"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0.646</w:t>
            </w:r>
          </w:p>
        </w:tc>
        <w:tc>
          <w:tcPr>
            <w:tcW w:w="1409" w:type="dxa"/>
            <w:shd w:val="clear" w:color="auto" w:fill="FFFFFF"/>
            <w:tcMar>
              <w:top w:w="0" w:type="dxa"/>
              <w:left w:w="0" w:type="dxa"/>
              <w:bottom w:w="0" w:type="dxa"/>
              <w:right w:w="0" w:type="dxa"/>
            </w:tcMar>
            <w:vAlign w:val="center"/>
          </w:tcPr>
          <w:p w14:paraId="25B5A98A"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[0.146, 2.865]</w:t>
            </w:r>
          </w:p>
        </w:tc>
      </w:tr>
      <w:tr w:rsidR="008412D9" w14:paraId="7A2E213C" w14:textId="77777777" w:rsidTr="00A526BF">
        <w:trPr>
          <w:trHeight w:val="342"/>
          <w:jc w:val="center"/>
        </w:trPr>
        <w:tc>
          <w:tcPr>
            <w:tcW w:w="3588" w:type="dxa"/>
            <w:shd w:val="clear" w:color="auto" w:fill="FFFFFF"/>
            <w:tcMar>
              <w:top w:w="0" w:type="dxa"/>
              <w:left w:w="0" w:type="dxa"/>
              <w:bottom w:w="0" w:type="dxa"/>
              <w:right w:w="0" w:type="dxa"/>
            </w:tcMar>
            <w:vAlign w:val="center"/>
          </w:tcPr>
          <w:p w14:paraId="3FB16B10" w14:textId="77777777" w:rsidR="008412D9" w:rsidRDefault="008412D9" w:rsidP="00A526BF">
            <w:pPr>
              <w:spacing w:before="100" w:after="0"/>
              <w:ind w:left="100" w:right="100"/>
              <w:rPr>
                <w:rFonts w:ascii="Arial" w:eastAsia="Arial" w:hAnsi="Arial" w:cs="Arial"/>
                <w:color w:val="000000"/>
                <w:sz w:val="16"/>
                <w:szCs w:val="16"/>
              </w:rPr>
            </w:pPr>
            <w:proofErr w:type="spellStart"/>
            <w:r>
              <w:rPr>
                <w:rFonts w:ascii="Arial" w:eastAsia="Arial" w:hAnsi="Arial" w:cs="Arial"/>
                <w:color w:val="000000"/>
                <w:sz w:val="16"/>
                <w:szCs w:val="16"/>
              </w:rPr>
              <w:t>regionSouth</w:t>
            </w:r>
            <w:proofErr w:type="spellEnd"/>
            <w:r>
              <w:rPr>
                <w:rFonts w:ascii="Arial" w:eastAsia="Arial" w:hAnsi="Arial" w:cs="Arial"/>
                <w:color w:val="000000"/>
                <w:sz w:val="16"/>
                <w:szCs w:val="16"/>
              </w:rPr>
              <w:t xml:space="preserve"> Asia</w:t>
            </w:r>
          </w:p>
        </w:tc>
        <w:tc>
          <w:tcPr>
            <w:tcW w:w="1065" w:type="dxa"/>
            <w:shd w:val="clear" w:color="auto" w:fill="FFFFFF"/>
            <w:tcMar>
              <w:top w:w="0" w:type="dxa"/>
              <w:left w:w="0" w:type="dxa"/>
              <w:bottom w:w="0" w:type="dxa"/>
              <w:right w:w="0" w:type="dxa"/>
            </w:tcMar>
            <w:vAlign w:val="center"/>
          </w:tcPr>
          <w:p w14:paraId="14651450"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-0.428</w:t>
            </w:r>
          </w:p>
        </w:tc>
        <w:tc>
          <w:tcPr>
            <w:tcW w:w="771" w:type="dxa"/>
            <w:shd w:val="clear" w:color="auto" w:fill="FFFFFF"/>
            <w:tcMar>
              <w:top w:w="0" w:type="dxa"/>
              <w:left w:w="0" w:type="dxa"/>
              <w:bottom w:w="0" w:type="dxa"/>
              <w:right w:w="0" w:type="dxa"/>
            </w:tcMar>
            <w:vAlign w:val="center"/>
          </w:tcPr>
          <w:p w14:paraId="04C91031"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0.328</w:t>
            </w:r>
          </w:p>
        </w:tc>
        <w:tc>
          <w:tcPr>
            <w:tcW w:w="928" w:type="dxa"/>
            <w:shd w:val="clear" w:color="auto" w:fill="FFFFFF"/>
            <w:tcMar>
              <w:top w:w="0" w:type="dxa"/>
              <w:left w:w="0" w:type="dxa"/>
              <w:bottom w:w="0" w:type="dxa"/>
              <w:right w:w="0" w:type="dxa"/>
            </w:tcMar>
            <w:vAlign w:val="center"/>
          </w:tcPr>
          <w:p w14:paraId="307ED416"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-1.304</w:t>
            </w:r>
          </w:p>
        </w:tc>
        <w:tc>
          <w:tcPr>
            <w:tcW w:w="923" w:type="dxa"/>
            <w:shd w:val="clear" w:color="auto" w:fill="FFFFFF"/>
            <w:tcMar>
              <w:top w:w="0" w:type="dxa"/>
              <w:left w:w="0" w:type="dxa"/>
              <w:bottom w:w="0" w:type="dxa"/>
              <w:right w:w="0" w:type="dxa"/>
            </w:tcMar>
            <w:vAlign w:val="center"/>
          </w:tcPr>
          <w:p w14:paraId="0C9B10E2"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 0.192</w:t>
            </w:r>
          </w:p>
        </w:tc>
        <w:tc>
          <w:tcPr>
            <w:tcW w:w="1320" w:type="dxa"/>
            <w:shd w:val="clear" w:color="auto" w:fill="FFFFFF"/>
            <w:tcMar>
              <w:top w:w="0" w:type="dxa"/>
              <w:left w:w="0" w:type="dxa"/>
              <w:bottom w:w="0" w:type="dxa"/>
              <w:right w:w="0" w:type="dxa"/>
            </w:tcMar>
            <w:vAlign w:val="center"/>
          </w:tcPr>
          <w:p w14:paraId="33E36D1E"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0.652</w:t>
            </w:r>
          </w:p>
        </w:tc>
        <w:tc>
          <w:tcPr>
            <w:tcW w:w="1409" w:type="dxa"/>
            <w:shd w:val="clear" w:color="auto" w:fill="FFFFFF"/>
            <w:tcMar>
              <w:top w:w="0" w:type="dxa"/>
              <w:left w:w="0" w:type="dxa"/>
              <w:bottom w:w="0" w:type="dxa"/>
              <w:right w:w="0" w:type="dxa"/>
            </w:tcMar>
            <w:vAlign w:val="center"/>
          </w:tcPr>
          <w:p w14:paraId="36DDE886"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[0.342, 1.240]</w:t>
            </w:r>
          </w:p>
        </w:tc>
      </w:tr>
      <w:tr w:rsidR="008412D9" w14:paraId="4175B7BE" w14:textId="77777777" w:rsidTr="00A526BF">
        <w:trPr>
          <w:trHeight w:val="328"/>
          <w:jc w:val="center"/>
        </w:trPr>
        <w:tc>
          <w:tcPr>
            <w:tcW w:w="3588" w:type="dxa"/>
            <w:shd w:val="clear" w:color="auto" w:fill="FFFFFF"/>
            <w:tcMar>
              <w:top w:w="0" w:type="dxa"/>
              <w:left w:w="0" w:type="dxa"/>
              <w:bottom w:w="0" w:type="dxa"/>
              <w:right w:w="0" w:type="dxa"/>
            </w:tcMar>
            <w:vAlign w:val="center"/>
          </w:tcPr>
          <w:p w14:paraId="56BE02B7" w14:textId="77777777" w:rsidR="008412D9" w:rsidRDefault="008412D9" w:rsidP="00A526BF">
            <w:pPr>
              <w:spacing w:before="100" w:after="0"/>
              <w:ind w:left="100" w:right="100"/>
              <w:rPr>
                <w:rFonts w:ascii="Arial" w:eastAsia="Arial" w:hAnsi="Arial" w:cs="Arial"/>
                <w:color w:val="000000"/>
                <w:sz w:val="16"/>
                <w:szCs w:val="16"/>
              </w:rPr>
            </w:pPr>
            <w:proofErr w:type="spellStart"/>
            <w:r>
              <w:rPr>
                <w:rFonts w:ascii="Arial" w:eastAsia="Arial" w:hAnsi="Arial" w:cs="Arial"/>
                <w:color w:val="000000"/>
                <w:sz w:val="16"/>
                <w:szCs w:val="16"/>
              </w:rPr>
              <w:t>regionSub</w:t>
            </w:r>
            <w:proofErr w:type="spellEnd"/>
            <w:r>
              <w:rPr>
                <w:rFonts w:ascii="Arial" w:eastAsia="Arial" w:hAnsi="Arial" w:cs="Arial"/>
                <w:color w:val="000000"/>
                <w:sz w:val="16"/>
                <w:szCs w:val="16"/>
              </w:rPr>
              <w:t>-Saharan Africa</w:t>
            </w:r>
          </w:p>
        </w:tc>
        <w:tc>
          <w:tcPr>
            <w:tcW w:w="1065" w:type="dxa"/>
            <w:shd w:val="clear" w:color="auto" w:fill="FFFFFF"/>
            <w:tcMar>
              <w:top w:w="0" w:type="dxa"/>
              <w:left w:w="0" w:type="dxa"/>
              <w:bottom w:w="0" w:type="dxa"/>
              <w:right w:w="0" w:type="dxa"/>
            </w:tcMar>
            <w:vAlign w:val="center"/>
          </w:tcPr>
          <w:p w14:paraId="527B1380"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1.141</w:t>
            </w:r>
          </w:p>
        </w:tc>
        <w:tc>
          <w:tcPr>
            <w:tcW w:w="771" w:type="dxa"/>
            <w:shd w:val="clear" w:color="auto" w:fill="FFFFFF"/>
            <w:tcMar>
              <w:top w:w="0" w:type="dxa"/>
              <w:left w:w="0" w:type="dxa"/>
              <w:bottom w:w="0" w:type="dxa"/>
              <w:right w:w="0" w:type="dxa"/>
            </w:tcMar>
            <w:vAlign w:val="center"/>
          </w:tcPr>
          <w:p w14:paraId="56A7FA5A"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0.210</w:t>
            </w:r>
          </w:p>
        </w:tc>
        <w:tc>
          <w:tcPr>
            <w:tcW w:w="928" w:type="dxa"/>
            <w:shd w:val="clear" w:color="auto" w:fill="FFFFFF"/>
            <w:tcMar>
              <w:top w:w="0" w:type="dxa"/>
              <w:left w:w="0" w:type="dxa"/>
              <w:bottom w:w="0" w:type="dxa"/>
              <w:right w:w="0" w:type="dxa"/>
            </w:tcMar>
            <w:vAlign w:val="center"/>
          </w:tcPr>
          <w:p w14:paraId="053C3B45"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5.435</w:t>
            </w:r>
          </w:p>
        </w:tc>
        <w:tc>
          <w:tcPr>
            <w:tcW w:w="923" w:type="dxa"/>
            <w:shd w:val="clear" w:color="auto" w:fill="FFFFFF"/>
            <w:tcMar>
              <w:top w:w="0" w:type="dxa"/>
              <w:left w:w="0" w:type="dxa"/>
              <w:bottom w:w="0" w:type="dxa"/>
              <w:right w:w="0" w:type="dxa"/>
            </w:tcMar>
            <w:vAlign w:val="center"/>
          </w:tcPr>
          <w:p w14:paraId="72BA811B"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&lt; .001</w:t>
            </w:r>
          </w:p>
        </w:tc>
        <w:tc>
          <w:tcPr>
            <w:tcW w:w="1320" w:type="dxa"/>
            <w:shd w:val="clear" w:color="auto" w:fill="FFFFFF"/>
            <w:tcMar>
              <w:top w:w="0" w:type="dxa"/>
              <w:left w:w="0" w:type="dxa"/>
              <w:bottom w:w="0" w:type="dxa"/>
              <w:right w:w="0" w:type="dxa"/>
            </w:tcMar>
            <w:vAlign w:val="center"/>
          </w:tcPr>
          <w:p w14:paraId="77F7EE1A"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3.131</w:t>
            </w:r>
          </w:p>
        </w:tc>
        <w:tc>
          <w:tcPr>
            <w:tcW w:w="1409" w:type="dxa"/>
            <w:shd w:val="clear" w:color="auto" w:fill="FFFFFF"/>
            <w:tcMar>
              <w:top w:w="0" w:type="dxa"/>
              <w:left w:w="0" w:type="dxa"/>
              <w:bottom w:w="0" w:type="dxa"/>
              <w:right w:w="0" w:type="dxa"/>
            </w:tcMar>
            <w:vAlign w:val="center"/>
          </w:tcPr>
          <w:p w14:paraId="7D76610A"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[2.075, 4.726]</w:t>
            </w:r>
          </w:p>
        </w:tc>
      </w:tr>
      <w:tr w:rsidR="008412D9" w14:paraId="59D4910C" w14:textId="77777777" w:rsidTr="00A526BF">
        <w:trPr>
          <w:trHeight w:val="328"/>
          <w:jc w:val="center"/>
        </w:trPr>
        <w:tc>
          <w:tcPr>
            <w:tcW w:w="3588" w:type="dxa"/>
            <w:shd w:val="clear" w:color="auto" w:fill="FFFFFF"/>
            <w:tcMar>
              <w:top w:w="0" w:type="dxa"/>
              <w:left w:w="0" w:type="dxa"/>
              <w:bottom w:w="0" w:type="dxa"/>
              <w:right w:w="0" w:type="dxa"/>
            </w:tcMar>
            <w:vAlign w:val="center"/>
          </w:tcPr>
          <w:p w14:paraId="5C16B848" w14:textId="77777777" w:rsidR="008412D9" w:rsidRDefault="008412D9" w:rsidP="00A526BF">
            <w:pPr>
              <w:spacing w:before="100" w:after="0"/>
              <w:ind w:left="100" w:right="100"/>
              <w:rPr>
                <w:rFonts w:ascii="Arial" w:eastAsia="Arial" w:hAnsi="Arial" w:cs="Arial"/>
                <w:color w:val="000000"/>
                <w:sz w:val="16"/>
                <w:szCs w:val="16"/>
              </w:rPr>
            </w:pPr>
            <w:proofErr w:type="spellStart"/>
            <w:r>
              <w:rPr>
                <w:rFonts w:ascii="Arial" w:eastAsia="Arial" w:hAnsi="Arial" w:cs="Arial"/>
                <w:color w:val="000000"/>
                <w:sz w:val="16"/>
                <w:szCs w:val="16"/>
              </w:rPr>
              <w:t>regionUnclassified</w:t>
            </w:r>
            <w:proofErr w:type="spellEnd"/>
            <w:r>
              <w:rPr>
                <w:rFonts w:ascii="Arial" w:eastAsia="Arial" w:hAnsi="Arial" w:cs="Arial"/>
                <w:color w:val="000000"/>
                <w:sz w:val="16"/>
                <w:szCs w:val="16"/>
              </w:rPr>
              <w:t xml:space="preserve"> or aggregate economy</w:t>
            </w:r>
          </w:p>
        </w:tc>
        <w:tc>
          <w:tcPr>
            <w:tcW w:w="1065" w:type="dxa"/>
            <w:shd w:val="clear" w:color="auto" w:fill="FFFFFF"/>
            <w:tcMar>
              <w:top w:w="0" w:type="dxa"/>
              <w:left w:w="0" w:type="dxa"/>
              <w:bottom w:w="0" w:type="dxa"/>
              <w:right w:w="0" w:type="dxa"/>
            </w:tcMar>
            <w:vAlign w:val="center"/>
          </w:tcPr>
          <w:p w14:paraId="6EA88E33"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0.852</w:t>
            </w:r>
          </w:p>
        </w:tc>
        <w:tc>
          <w:tcPr>
            <w:tcW w:w="771" w:type="dxa"/>
            <w:shd w:val="clear" w:color="auto" w:fill="FFFFFF"/>
            <w:tcMar>
              <w:top w:w="0" w:type="dxa"/>
              <w:left w:w="0" w:type="dxa"/>
              <w:bottom w:w="0" w:type="dxa"/>
              <w:right w:w="0" w:type="dxa"/>
            </w:tcMar>
            <w:vAlign w:val="center"/>
          </w:tcPr>
          <w:p w14:paraId="536437E2"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0.237</w:t>
            </w:r>
          </w:p>
        </w:tc>
        <w:tc>
          <w:tcPr>
            <w:tcW w:w="928" w:type="dxa"/>
            <w:shd w:val="clear" w:color="auto" w:fill="FFFFFF"/>
            <w:tcMar>
              <w:top w:w="0" w:type="dxa"/>
              <w:left w:w="0" w:type="dxa"/>
              <w:bottom w:w="0" w:type="dxa"/>
              <w:right w:w="0" w:type="dxa"/>
            </w:tcMar>
            <w:vAlign w:val="center"/>
          </w:tcPr>
          <w:p w14:paraId="46C0AE98"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3.601</w:t>
            </w:r>
          </w:p>
        </w:tc>
        <w:tc>
          <w:tcPr>
            <w:tcW w:w="923" w:type="dxa"/>
            <w:shd w:val="clear" w:color="auto" w:fill="FFFFFF"/>
            <w:tcMar>
              <w:top w:w="0" w:type="dxa"/>
              <w:left w:w="0" w:type="dxa"/>
              <w:bottom w:w="0" w:type="dxa"/>
              <w:right w:w="0" w:type="dxa"/>
            </w:tcMar>
            <w:vAlign w:val="center"/>
          </w:tcPr>
          <w:p w14:paraId="68F6E0B9"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&lt; .001</w:t>
            </w:r>
          </w:p>
        </w:tc>
        <w:tc>
          <w:tcPr>
            <w:tcW w:w="1320" w:type="dxa"/>
            <w:shd w:val="clear" w:color="auto" w:fill="FFFFFF"/>
            <w:tcMar>
              <w:top w:w="0" w:type="dxa"/>
              <w:left w:w="0" w:type="dxa"/>
              <w:bottom w:w="0" w:type="dxa"/>
              <w:right w:w="0" w:type="dxa"/>
            </w:tcMar>
            <w:vAlign w:val="center"/>
          </w:tcPr>
          <w:p w14:paraId="6217FB70"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2.344</w:t>
            </w:r>
          </w:p>
        </w:tc>
        <w:tc>
          <w:tcPr>
            <w:tcW w:w="1409" w:type="dxa"/>
            <w:shd w:val="clear" w:color="auto" w:fill="FFFFFF"/>
            <w:tcMar>
              <w:top w:w="0" w:type="dxa"/>
              <w:left w:w="0" w:type="dxa"/>
              <w:bottom w:w="0" w:type="dxa"/>
              <w:right w:w="0" w:type="dxa"/>
            </w:tcMar>
            <w:vAlign w:val="center"/>
          </w:tcPr>
          <w:p w14:paraId="4D15D68C" w14:textId="77777777" w:rsidR="008412D9" w:rsidRDefault="008412D9" w:rsidP="00A526BF">
            <w:pPr>
              <w:spacing w:before="100" w:after="0"/>
              <w:ind w:left="100" w:right="100"/>
              <w:rPr>
                <w:rFonts w:ascii="Arial" w:eastAsia="Arial" w:hAnsi="Arial" w:cs="Arial"/>
                <w:color w:val="000000"/>
                <w:sz w:val="16"/>
                <w:szCs w:val="16"/>
              </w:rPr>
            </w:pPr>
            <w:r>
              <w:rPr>
                <w:rFonts w:ascii="Arial" w:eastAsia="Arial" w:hAnsi="Arial" w:cs="Arial"/>
                <w:color w:val="000000"/>
                <w:sz w:val="16"/>
                <w:szCs w:val="16"/>
              </w:rPr>
              <w:t>[1.474, 3.727]</w:t>
            </w:r>
          </w:p>
        </w:tc>
      </w:tr>
    </w:tbl>
    <w:p w14:paraId="4ACD718B" w14:textId="77777777" w:rsidR="008412D9" w:rsidRDefault="008412D9" w:rsidP="00A526BF">
      <w:pPr>
        <w:spacing w:after="0"/>
      </w:pPr>
    </w:p>
    <w:p w14:paraId="42A5C3A2" w14:textId="3EBCEB42"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Table 3 shows that </w:t>
      </w:r>
      <w:r w:rsidR="00150EF8">
        <w:rPr>
          <w:rFonts w:ascii="Times New Roman" w:hAnsi="Times New Roman" w:cs="Times New Roman"/>
          <w:sz w:val="24"/>
          <w:szCs w:val="24"/>
        </w:rPr>
        <w:t xml:space="preserve">the </w:t>
      </w:r>
      <w:r w:rsidRPr="00073875">
        <w:rPr>
          <w:rFonts w:ascii="Times New Roman" w:hAnsi="Times New Roman" w:cs="Times New Roman"/>
          <w:sz w:val="24"/>
          <w:szCs w:val="24"/>
        </w:rPr>
        <w:t xml:space="preserve">year had </w:t>
      </w:r>
      <w:r w:rsidR="00150EF8">
        <w:rPr>
          <w:rFonts w:ascii="Times New Roman" w:hAnsi="Times New Roman" w:cs="Times New Roman"/>
          <w:sz w:val="24"/>
          <w:szCs w:val="24"/>
        </w:rPr>
        <w:t xml:space="preserve">a </w:t>
      </w:r>
      <w:r w:rsidRPr="00073875">
        <w:rPr>
          <w:rFonts w:ascii="Times New Roman" w:hAnsi="Times New Roman" w:cs="Times New Roman"/>
          <w:sz w:val="24"/>
          <w:szCs w:val="24"/>
        </w:rPr>
        <w:t>negative correlation with the prevalence of HIV</w:t>
      </w:r>
      <w:r w:rsidR="00150EF8">
        <w:rPr>
          <w:rFonts w:ascii="Times New Roman" w:hAnsi="Times New Roman" w:cs="Times New Roman"/>
          <w:sz w:val="24"/>
          <w:szCs w:val="24"/>
        </w:rPr>
        <w:t>,</w:t>
      </w:r>
      <w:r w:rsidRPr="00073875">
        <w:rPr>
          <w:rFonts w:ascii="Times New Roman" w:hAnsi="Times New Roman" w:cs="Times New Roman"/>
          <w:sz w:val="24"/>
          <w:szCs w:val="24"/>
        </w:rPr>
        <w:t xml:space="preserve"> implying that there was a slight but significant decrease over the years, OR = 0.952, p =.002. Sub-Saharan Africa was significantly more likely to have a prevalence of HIV than the reference region, OR = 3.131, p =</w:t>
      </w:r>
      <w:r w:rsidR="00150EF8">
        <w:rPr>
          <w:rFonts w:ascii="Times New Roman" w:hAnsi="Times New Roman" w:cs="Times New Roman"/>
          <w:sz w:val="24"/>
          <w:szCs w:val="24"/>
        </w:rPr>
        <w:t xml:space="preserve"> .001,</w:t>
      </w:r>
      <w:r w:rsidRPr="00073875">
        <w:rPr>
          <w:rFonts w:ascii="Times New Roman" w:hAnsi="Times New Roman" w:cs="Times New Roman"/>
          <w:sz w:val="24"/>
          <w:szCs w:val="24"/>
        </w:rPr>
        <w:t xml:space="preserve"> and Latin America and the Caribbean also exhibited significantly high odds, OR = 1.566, p =. 044. These results are comparable with the existing literature that demonstrates the improvement of the situation on a global scale and continued regional inequalities in HIV among the youth (Mody et al., 2024; </w:t>
      </w:r>
      <w:proofErr w:type="spellStart"/>
      <w:r w:rsidRPr="00073875">
        <w:rPr>
          <w:rFonts w:ascii="Times New Roman" w:hAnsi="Times New Roman" w:cs="Times New Roman"/>
          <w:sz w:val="24"/>
          <w:szCs w:val="24"/>
        </w:rPr>
        <w:t>Landovitz</w:t>
      </w:r>
      <w:proofErr w:type="spellEnd"/>
      <w:r w:rsidRPr="00073875">
        <w:rPr>
          <w:rFonts w:ascii="Times New Roman" w:hAnsi="Times New Roman" w:cs="Times New Roman"/>
          <w:sz w:val="24"/>
          <w:szCs w:val="24"/>
        </w:rPr>
        <w:t xml:space="preserve"> et al., 2023; Bekker et al., 2023). The conclusion is that there are real world benefits of global prevention that are distributed unevenly. The policy implication is that SDG 3.3 cannot be met by universal global approaches and that countries and areas with high forecasted prevalence will need to allocate resources specifically, have differentiated models of prevention, and </w:t>
      </w:r>
      <w:r w:rsidR="00150EF8">
        <w:rPr>
          <w:rFonts w:ascii="Times New Roman" w:hAnsi="Times New Roman" w:cs="Times New Roman"/>
          <w:sz w:val="24"/>
          <w:szCs w:val="24"/>
        </w:rPr>
        <w:t>youth-sensitive</w:t>
      </w:r>
      <w:r w:rsidRPr="00073875">
        <w:rPr>
          <w:rFonts w:ascii="Times New Roman" w:hAnsi="Times New Roman" w:cs="Times New Roman"/>
          <w:sz w:val="24"/>
          <w:szCs w:val="24"/>
        </w:rPr>
        <w:t xml:space="preserve"> surveillance systems.</w:t>
      </w:r>
    </w:p>
    <w:p w14:paraId="05C5DC5A" w14:textId="77777777" w:rsidR="009A166E" w:rsidRDefault="009A166E" w:rsidP="00150EF8">
      <w:pPr>
        <w:spacing w:after="0"/>
        <w:jc w:val="both"/>
        <w:rPr>
          <w:rFonts w:ascii="Times New Roman" w:hAnsi="Times New Roman" w:cs="Times New Roman"/>
          <w:sz w:val="24"/>
          <w:szCs w:val="24"/>
        </w:rPr>
      </w:pPr>
      <w:r>
        <w:rPr>
          <w:noProof/>
        </w:rPr>
        <w:drawing>
          <wp:inline distT="0" distB="0" distL="0" distR="0" wp14:anchorId="3DEC9544" wp14:editId="0D7443E3">
            <wp:extent cx="5941695" cy="229552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rotWithShape="1">
                    <a:blip r:embed="rId8"/>
                    <a:srcRect t="8951"/>
                    <a:stretch/>
                  </pic:blipFill>
                  <pic:spPr bwMode="auto">
                    <a:xfrm>
                      <a:off x="0" y="0"/>
                      <a:ext cx="5963101" cy="2303795"/>
                    </a:xfrm>
                    <a:prstGeom prst="rect">
                      <a:avLst/>
                    </a:prstGeom>
                    <a:noFill/>
                    <a:ln>
                      <a:noFill/>
                    </a:ln>
                    <a:extLst>
                      <a:ext uri="{53640926-AAD7-44D8-BBD7-CCE9431645EC}">
                        <a14:shadowObscured xmlns:a14="http://schemas.microsoft.com/office/drawing/2010/main"/>
                      </a:ext>
                    </a:extLst>
                  </pic:spPr>
                </pic:pic>
              </a:graphicData>
            </a:graphic>
          </wp:inline>
        </w:drawing>
      </w:r>
    </w:p>
    <w:p w14:paraId="2C5EF786" w14:textId="099C7AAD" w:rsidR="009A166E" w:rsidRDefault="009A166E" w:rsidP="00150EF8">
      <w:pPr>
        <w:spacing w:after="0"/>
        <w:jc w:val="both"/>
        <w:rPr>
          <w:rFonts w:ascii="Times New Roman" w:hAnsi="Times New Roman" w:cs="Times New Roman"/>
          <w:sz w:val="24"/>
          <w:szCs w:val="24"/>
        </w:rPr>
      </w:pPr>
      <w:r>
        <w:rPr>
          <w:rFonts w:ascii="Times New Roman" w:hAnsi="Times New Roman" w:cs="Times New Roman"/>
          <w:sz w:val="24"/>
          <w:szCs w:val="24"/>
        </w:rPr>
        <w:t>Figure</w:t>
      </w:r>
      <w:r w:rsidRPr="00073875">
        <w:rPr>
          <w:rFonts w:ascii="Times New Roman" w:hAnsi="Times New Roman" w:cs="Times New Roman"/>
          <w:sz w:val="24"/>
          <w:szCs w:val="24"/>
        </w:rPr>
        <w:t xml:space="preserve"> 1</w:t>
      </w:r>
      <w:r>
        <w:rPr>
          <w:rFonts w:ascii="Times New Roman" w:hAnsi="Times New Roman" w:cs="Times New Roman"/>
          <w:sz w:val="24"/>
          <w:szCs w:val="24"/>
        </w:rPr>
        <w:t xml:space="preserve">: </w:t>
      </w:r>
      <w:r w:rsidR="00EF47F5">
        <w:rPr>
          <w:rFonts w:ascii="Times New Roman" w:hAnsi="Times New Roman" w:cs="Times New Roman"/>
          <w:sz w:val="24"/>
          <w:szCs w:val="24"/>
        </w:rPr>
        <w:t>G</w:t>
      </w:r>
      <w:r>
        <w:rPr>
          <w:rFonts w:ascii="Times New Roman" w:hAnsi="Times New Roman" w:cs="Times New Roman"/>
          <w:sz w:val="24"/>
          <w:szCs w:val="24"/>
        </w:rPr>
        <w:t xml:space="preserve">lobal </w:t>
      </w:r>
      <w:r w:rsidR="00EF47F5">
        <w:rPr>
          <w:rFonts w:ascii="Times New Roman" w:hAnsi="Times New Roman" w:cs="Times New Roman"/>
          <w:sz w:val="24"/>
          <w:szCs w:val="24"/>
        </w:rPr>
        <w:t xml:space="preserve">Trends in </w:t>
      </w:r>
      <w:r w:rsidRPr="00073875">
        <w:rPr>
          <w:rFonts w:ascii="Times New Roman" w:hAnsi="Times New Roman" w:cs="Times New Roman"/>
          <w:sz w:val="24"/>
          <w:szCs w:val="24"/>
        </w:rPr>
        <w:t xml:space="preserve">HIV </w:t>
      </w:r>
      <w:r w:rsidR="00EF47F5" w:rsidRPr="00073875">
        <w:rPr>
          <w:rFonts w:ascii="Times New Roman" w:hAnsi="Times New Roman" w:cs="Times New Roman"/>
          <w:sz w:val="24"/>
          <w:szCs w:val="24"/>
        </w:rPr>
        <w:t xml:space="preserve">Prevalence Among Males Aged 15-24 </w:t>
      </w:r>
    </w:p>
    <w:p w14:paraId="79E6F86B" w14:textId="77777777" w:rsidR="00EF47F5" w:rsidRDefault="00EF47F5" w:rsidP="00150EF8">
      <w:pPr>
        <w:spacing w:after="0"/>
        <w:jc w:val="both"/>
        <w:rPr>
          <w:rFonts w:ascii="Times New Roman" w:hAnsi="Times New Roman" w:cs="Times New Roman"/>
          <w:sz w:val="24"/>
          <w:szCs w:val="24"/>
        </w:rPr>
      </w:pPr>
    </w:p>
    <w:p w14:paraId="2D898713" w14:textId="2E908436" w:rsidR="00096065" w:rsidRPr="00073875" w:rsidRDefault="00096065" w:rsidP="00F17B13">
      <w:pPr>
        <w:rPr>
          <w:rFonts w:ascii="Times New Roman" w:hAnsi="Times New Roman" w:cs="Times New Roman"/>
          <w:sz w:val="24"/>
          <w:szCs w:val="24"/>
        </w:rPr>
      </w:pPr>
      <w:r w:rsidRPr="00073875">
        <w:rPr>
          <w:rFonts w:ascii="Times New Roman" w:hAnsi="Times New Roman" w:cs="Times New Roman"/>
          <w:sz w:val="24"/>
          <w:szCs w:val="24"/>
        </w:rPr>
        <w:lastRenderedPageBreak/>
        <w:t xml:space="preserve">The results in </w:t>
      </w:r>
      <w:r w:rsidR="009A166E">
        <w:rPr>
          <w:rFonts w:ascii="Times New Roman" w:hAnsi="Times New Roman" w:cs="Times New Roman"/>
          <w:sz w:val="24"/>
          <w:szCs w:val="24"/>
        </w:rPr>
        <w:t>Figure</w:t>
      </w:r>
      <w:r w:rsidRPr="00073875">
        <w:rPr>
          <w:rFonts w:ascii="Times New Roman" w:hAnsi="Times New Roman" w:cs="Times New Roman"/>
          <w:sz w:val="24"/>
          <w:szCs w:val="24"/>
        </w:rPr>
        <w:t xml:space="preserve"> 1 reveal that the mean HIV prevalence among males aged 15-24 rose in the early 1990s, reached the peak in the late 1990s, and then decreased continuously in the 2024</w:t>
      </w:r>
      <w:r w:rsidRPr="00F17B13">
        <w:rPr>
          <w:rFonts w:ascii="Times New Roman" w:hAnsi="Times New Roman" w:cs="Times New Roman"/>
          <w:sz w:val="24"/>
          <w:szCs w:val="24"/>
        </w:rPr>
        <w:t xml:space="preserve">. </w:t>
      </w:r>
      <w:r w:rsidR="00F17B13" w:rsidRPr="00F17B13">
        <w:rPr>
          <w:rFonts w:ascii="Times New Roman" w:hAnsi="Times New Roman" w:cs="Times New Roman"/>
          <w:sz w:val="24"/>
          <w:szCs w:val="24"/>
        </w:rPr>
        <w:t xml:space="preserve">This trend is aligned with the global literature on HIV that has recorded a significant increase in the epidemics and subsequent decline in connection with prevention, testing, scale-up of ART, and international funding of HIV (Zhang et al., 2022; Mody et al., 2024; Kumah et al., 2023). </w:t>
      </w:r>
      <w:r w:rsidRPr="00073875">
        <w:rPr>
          <w:rFonts w:ascii="Times New Roman" w:hAnsi="Times New Roman" w:cs="Times New Roman"/>
          <w:sz w:val="24"/>
          <w:szCs w:val="24"/>
        </w:rPr>
        <w:t>Nevertheless, the downward trend that has been on does not mean that it will be eliminated. Instead, it presents the aggregate development that can hide the significant regional and country level variations. The figure justifies the study purpose as it shows that temporal modelling is necessary and a method that is able to address nonlinear historical change and heterogeneity of countries is better than a simple pooled trend.</w:t>
      </w:r>
    </w:p>
    <w:p w14:paraId="395AEDAD" w14:textId="705CE142" w:rsidR="009A166E" w:rsidRDefault="009A166E" w:rsidP="00150EF8">
      <w:pPr>
        <w:spacing w:after="0"/>
        <w:jc w:val="both"/>
        <w:rPr>
          <w:rFonts w:ascii="Times New Roman" w:hAnsi="Times New Roman" w:cs="Times New Roman"/>
          <w:sz w:val="24"/>
          <w:szCs w:val="24"/>
        </w:rPr>
      </w:pPr>
      <w:r>
        <w:rPr>
          <w:noProof/>
        </w:rPr>
        <w:drawing>
          <wp:inline distT="0" distB="0" distL="0" distR="0" wp14:anchorId="363A91E5" wp14:editId="0CFDCF35">
            <wp:extent cx="5941027" cy="37052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rotWithShape="1">
                    <a:blip r:embed="rId9"/>
                    <a:srcRect t="9669"/>
                    <a:stretch/>
                  </pic:blipFill>
                  <pic:spPr bwMode="auto">
                    <a:xfrm>
                      <a:off x="0" y="0"/>
                      <a:ext cx="5961152" cy="3717776"/>
                    </a:xfrm>
                    <a:prstGeom prst="rect">
                      <a:avLst/>
                    </a:prstGeom>
                    <a:noFill/>
                    <a:ln>
                      <a:noFill/>
                    </a:ln>
                    <a:extLst>
                      <a:ext uri="{53640926-AAD7-44D8-BBD7-CCE9431645EC}">
                        <a14:shadowObscured xmlns:a14="http://schemas.microsoft.com/office/drawing/2010/main"/>
                      </a:ext>
                    </a:extLst>
                  </pic:spPr>
                </pic:pic>
              </a:graphicData>
            </a:graphic>
          </wp:inline>
        </w:drawing>
      </w:r>
    </w:p>
    <w:p w14:paraId="74D73223" w14:textId="3C61EA39" w:rsidR="009A166E" w:rsidRDefault="009A166E"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Figure 2</w:t>
      </w:r>
      <w:r w:rsidR="00EF47F5">
        <w:rPr>
          <w:rFonts w:ascii="Times New Roman" w:hAnsi="Times New Roman" w:cs="Times New Roman"/>
          <w:sz w:val="24"/>
          <w:szCs w:val="24"/>
        </w:rPr>
        <w:t>:</w:t>
      </w:r>
      <w:r>
        <w:rPr>
          <w:rFonts w:ascii="Times New Roman" w:hAnsi="Times New Roman" w:cs="Times New Roman"/>
          <w:sz w:val="24"/>
          <w:szCs w:val="24"/>
        </w:rPr>
        <w:t xml:space="preserve"> </w:t>
      </w:r>
      <w:r w:rsidR="00EF47F5">
        <w:rPr>
          <w:rFonts w:ascii="Times New Roman" w:hAnsi="Times New Roman" w:cs="Times New Roman"/>
          <w:sz w:val="24"/>
          <w:szCs w:val="24"/>
        </w:rPr>
        <w:t>Distribution of</w:t>
      </w:r>
      <w:r w:rsidR="00EF47F5" w:rsidRPr="00073875">
        <w:rPr>
          <w:rFonts w:ascii="Times New Roman" w:hAnsi="Times New Roman" w:cs="Times New Roman"/>
          <w:sz w:val="24"/>
          <w:szCs w:val="24"/>
        </w:rPr>
        <w:t xml:space="preserve"> </w:t>
      </w:r>
      <w:r w:rsidRPr="00073875">
        <w:rPr>
          <w:rFonts w:ascii="Times New Roman" w:hAnsi="Times New Roman" w:cs="Times New Roman"/>
          <w:sz w:val="24"/>
          <w:szCs w:val="24"/>
        </w:rPr>
        <w:t xml:space="preserve">HIV </w:t>
      </w:r>
      <w:r w:rsidR="00EF47F5" w:rsidRPr="00073875">
        <w:rPr>
          <w:rFonts w:ascii="Times New Roman" w:hAnsi="Times New Roman" w:cs="Times New Roman"/>
          <w:sz w:val="24"/>
          <w:szCs w:val="24"/>
        </w:rPr>
        <w:t xml:space="preserve">Prevalence </w:t>
      </w:r>
    </w:p>
    <w:p w14:paraId="564CC637" w14:textId="77777777" w:rsidR="00EF47F5" w:rsidRDefault="00EF47F5" w:rsidP="00150EF8">
      <w:pPr>
        <w:spacing w:after="0"/>
        <w:jc w:val="both"/>
        <w:rPr>
          <w:rFonts w:ascii="Times New Roman" w:hAnsi="Times New Roman" w:cs="Times New Roman"/>
          <w:sz w:val="24"/>
          <w:szCs w:val="24"/>
        </w:rPr>
      </w:pPr>
    </w:p>
    <w:p w14:paraId="100FC1F1" w14:textId="7CD790B4"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Figure 2 indeed verifies that HIV prevalence is skewed to the right, and has a limited scope with a mean of 0.53% and a median of 0.10. This is the direct reason that beta regression should be utilized instead of the regular least squares. Earlier studies tended to model HIV prevalence as a continuous outcome (which is a general outcome)</w:t>
      </w:r>
      <w:r w:rsidR="00224F8B" w:rsidRPr="00073875">
        <w:rPr>
          <w:rFonts w:ascii="Times New Roman" w:hAnsi="Times New Roman" w:cs="Times New Roman"/>
          <w:sz w:val="24"/>
          <w:szCs w:val="24"/>
        </w:rPr>
        <w:t>,</w:t>
      </w:r>
      <w:r w:rsidRPr="00073875">
        <w:rPr>
          <w:rFonts w:ascii="Times New Roman" w:hAnsi="Times New Roman" w:cs="Times New Roman"/>
          <w:sz w:val="24"/>
          <w:szCs w:val="24"/>
        </w:rPr>
        <w:t xml:space="preserve"> although these models may be statistically inappropriate in cases where the outcome is skewed, bounded and heteroskedastic. The current research fills this gap by modelling prevalence as a fractional response. This methodological decision enhances the quality of inferences and increases the originality of the paper because the statistical model is in line with the actual measurement scale of HIV prevalence.</w:t>
      </w:r>
    </w:p>
    <w:p w14:paraId="6AB80F50" w14:textId="06336252" w:rsidR="00F17B13" w:rsidRPr="00F17B13" w:rsidRDefault="009A166E" w:rsidP="00F17B13">
      <w:pPr>
        <w:rPr>
          <w:rFonts w:ascii="Times New Roman" w:hAnsi="Times New Roman" w:cs="Times New Roman"/>
          <w:sz w:val="24"/>
          <w:szCs w:val="24"/>
        </w:rPr>
      </w:pPr>
      <w:r>
        <w:rPr>
          <w:noProof/>
        </w:rPr>
        <w:lastRenderedPageBreak/>
        <w:drawing>
          <wp:inline distT="0" distB="0" distL="0" distR="0" wp14:anchorId="7E03AD82" wp14:editId="697637AB">
            <wp:extent cx="5942610" cy="33528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rotWithShape="1">
                    <a:blip r:embed="rId10"/>
                    <a:srcRect t="11815"/>
                    <a:stretch/>
                  </pic:blipFill>
                  <pic:spPr bwMode="auto">
                    <a:xfrm>
                      <a:off x="0" y="0"/>
                      <a:ext cx="5949532" cy="3356706"/>
                    </a:xfrm>
                    <a:prstGeom prst="rect">
                      <a:avLst/>
                    </a:prstGeom>
                    <a:noFill/>
                    <a:ln>
                      <a:noFill/>
                    </a:ln>
                    <a:extLst>
                      <a:ext uri="{53640926-AAD7-44D8-BBD7-CCE9431645EC}">
                        <a14:shadowObscured xmlns:a14="http://schemas.microsoft.com/office/drawing/2010/main"/>
                      </a:ext>
                    </a:extLst>
                  </pic:spPr>
                </pic:pic>
              </a:graphicData>
            </a:graphic>
          </wp:inline>
        </w:drawing>
      </w:r>
      <w:r w:rsidR="00F17B13" w:rsidRPr="00F17B13">
        <w:rPr>
          <w:rFonts w:ascii="Times New Roman" w:hAnsi="Times New Roman" w:cs="Times New Roman"/>
          <w:sz w:val="24"/>
          <w:szCs w:val="24"/>
        </w:rPr>
        <w:t xml:space="preserve"> Figure 3: Regional Heterogeneity in HIV Prevalence, Figure 3 illustrates the regional Heterogeneity of HIV Prevalence.</w:t>
      </w:r>
    </w:p>
    <w:p w14:paraId="29F0EAB7" w14:textId="6335A48F" w:rsidR="00096065" w:rsidRPr="00073875" w:rsidRDefault="00F17B13" w:rsidP="00F17B13">
      <w:pPr>
        <w:rPr>
          <w:rFonts w:ascii="Times New Roman" w:hAnsi="Times New Roman" w:cs="Times New Roman"/>
          <w:sz w:val="24"/>
          <w:szCs w:val="24"/>
        </w:rPr>
      </w:pPr>
      <w:r w:rsidRPr="00F17B13">
        <w:rPr>
          <w:rFonts w:ascii="Times New Roman" w:hAnsi="Times New Roman" w:cs="Times New Roman"/>
          <w:sz w:val="24"/>
          <w:szCs w:val="24"/>
        </w:rPr>
        <w:t>Figure 3 supports the descriptive finding that the highest two are highest in Sub-Saharan Africa with the next in the list being the unclassifiable or aggregate economies. The justification of past outcomes of unequal geography of HIV among youths is partly due to this geographical location (Rosenberg et al., 2023; Wang et al., 2022; Tian et al., 2024).</w:t>
      </w:r>
      <w:r>
        <w:rPr>
          <w:rFonts w:ascii="Times New Roman" w:hAnsi="Times New Roman" w:cs="Times New Roman"/>
          <w:sz w:val="24"/>
          <w:szCs w:val="24"/>
        </w:rPr>
        <w:t xml:space="preserve"> </w:t>
      </w:r>
      <w:r w:rsidR="00096065" w:rsidRPr="00073875">
        <w:rPr>
          <w:rFonts w:ascii="Times New Roman" w:hAnsi="Times New Roman" w:cs="Times New Roman"/>
          <w:sz w:val="24"/>
          <w:szCs w:val="24"/>
        </w:rPr>
        <w:t xml:space="preserve">This suggests that the issue of HIV prevention among young males must be addressed as an equity issue and not as </w:t>
      </w:r>
      <w:r w:rsidR="00224F8B" w:rsidRPr="00073875">
        <w:rPr>
          <w:rFonts w:ascii="Times New Roman" w:hAnsi="Times New Roman" w:cs="Times New Roman"/>
          <w:sz w:val="24"/>
          <w:szCs w:val="24"/>
        </w:rPr>
        <w:t xml:space="preserve">a </w:t>
      </w:r>
      <w:r w:rsidR="00096065" w:rsidRPr="00073875">
        <w:rPr>
          <w:rFonts w:ascii="Times New Roman" w:hAnsi="Times New Roman" w:cs="Times New Roman"/>
          <w:sz w:val="24"/>
          <w:szCs w:val="24"/>
        </w:rPr>
        <w:t xml:space="preserve">biomedical issue. The areas where adolescent and </w:t>
      </w:r>
      <w:r w:rsidR="00224F8B" w:rsidRPr="00073875">
        <w:rPr>
          <w:rFonts w:ascii="Times New Roman" w:hAnsi="Times New Roman" w:cs="Times New Roman"/>
          <w:sz w:val="24"/>
          <w:szCs w:val="24"/>
        </w:rPr>
        <w:t>youth-friendly</w:t>
      </w:r>
      <w:r w:rsidR="00096065" w:rsidRPr="00073875">
        <w:rPr>
          <w:rFonts w:ascii="Times New Roman" w:hAnsi="Times New Roman" w:cs="Times New Roman"/>
          <w:sz w:val="24"/>
          <w:szCs w:val="24"/>
        </w:rPr>
        <w:t xml:space="preserve"> services, </w:t>
      </w:r>
      <w:r w:rsidR="00224F8B" w:rsidRPr="00073875">
        <w:rPr>
          <w:rFonts w:ascii="Times New Roman" w:hAnsi="Times New Roman" w:cs="Times New Roman"/>
          <w:sz w:val="24"/>
          <w:szCs w:val="24"/>
        </w:rPr>
        <w:t>school-to-community</w:t>
      </w:r>
      <w:r w:rsidR="00096065" w:rsidRPr="00073875">
        <w:rPr>
          <w:rFonts w:ascii="Times New Roman" w:hAnsi="Times New Roman" w:cs="Times New Roman"/>
          <w:sz w:val="24"/>
          <w:szCs w:val="24"/>
        </w:rPr>
        <w:t xml:space="preserve"> prevention channels, </w:t>
      </w:r>
      <w:r w:rsidR="00224F8B" w:rsidRPr="00073875">
        <w:rPr>
          <w:rFonts w:ascii="Times New Roman" w:hAnsi="Times New Roman" w:cs="Times New Roman"/>
          <w:sz w:val="24"/>
          <w:szCs w:val="24"/>
        </w:rPr>
        <w:t>male-targeted</w:t>
      </w:r>
      <w:r w:rsidR="00096065" w:rsidRPr="00073875">
        <w:rPr>
          <w:rFonts w:ascii="Times New Roman" w:hAnsi="Times New Roman" w:cs="Times New Roman"/>
          <w:sz w:val="24"/>
          <w:szCs w:val="24"/>
        </w:rPr>
        <w:t xml:space="preserve"> testing, and stigma reduction should be prioritized in the areas where prevalence rates are still high.</w:t>
      </w:r>
    </w:p>
    <w:p w14:paraId="2315A271" w14:textId="2AEE2C2B" w:rsidR="009A166E" w:rsidRDefault="00B539A8" w:rsidP="00150EF8">
      <w:pPr>
        <w:spacing w:after="0"/>
        <w:jc w:val="both"/>
        <w:rPr>
          <w:rFonts w:ascii="Times New Roman" w:hAnsi="Times New Roman" w:cs="Times New Roman"/>
          <w:sz w:val="24"/>
          <w:szCs w:val="24"/>
        </w:rPr>
      </w:pPr>
      <w:r>
        <w:rPr>
          <w:noProof/>
        </w:rPr>
        <w:drawing>
          <wp:inline distT="0" distB="0" distL="0" distR="0" wp14:anchorId="6BDFAD4E" wp14:editId="3F9F8487">
            <wp:extent cx="5943600" cy="293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rotWithShape="1">
                    <a:blip r:embed="rId11"/>
                    <a:srcRect t="13077"/>
                    <a:stretch/>
                  </pic:blipFill>
                  <pic:spPr bwMode="auto">
                    <a:xfrm>
                      <a:off x="0" y="0"/>
                      <a:ext cx="5943600" cy="2933700"/>
                    </a:xfrm>
                    <a:prstGeom prst="rect">
                      <a:avLst/>
                    </a:prstGeom>
                    <a:noFill/>
                    <a:ln>
                      <a:noFill/>
                    </a:ln>
                    <a:extLst>
                      <a:ext uri="{53640926-AAD7-44D8-BBD7-CCE9431645EC}">
                        <a14:shadowObscured xmlns:a14="http://schemas.microsoft.com/office/drawing/2010/main"/>
                      </a:ext>
                    </a:extLst>
                  </pic:spPr>
                </pic:pic>
              </a:graphicData>
            </a:graphic>
          </wp:inline>
        </w:drawing>
      </w:r>
      <w:r w:rsidR="009A166E" w:rsidRPr="00073875">
        <w:rPr>
          <w:rFonts w:ascii="Times New Roman" w:hAnsi="Times New Roman" w:cs="Times New Roman"/>
          <w:sz w:val="24"/>
          <w:szCs w:val="24"/>
        </w:rPr>
        <w:t xml:space="preserve">Figure </w:t>
      </w:r>
      <w:r w:rsidR="00EF47F5" w:rsidRPr="00073875">
        <w:rPr>
          <w:rFonts w:ascii="Times New Roman" w:hAnsi="Times New Roman" w:cs="Times New Roman"/>
          <w:sz w:val="24"/>
          <w:szCs w:val="24"/>
        </w:rPr>
        <w:t>4</w:t>
      </w:r>
      <w:r w:rsidR="00EF47F5">
        <w:rPr>
          <w:rFonts w:ascii="Times New Roman" w:hAnsi="Times New Roman" w:cs="Times New Roman"/>
          <w:sz w:val="24"/>
          <w:szCs w:val="24"/>
        </w:rPr>
        <w:t xml:space="preserve">: </w:t>
      </w:r>
      <w:r w:rsidR="00EF47F5" w:rsidRPr="00073875">
        <w:rPr>
          <w:rFonts w:ascii="Times New Roman" w:hAnsi="Times New Roman" w:cs="Times New Roman"/>
          <w:sz w:val="24"/>
          <w:szCs w:val="24"/>
        </w:rPr>
        <w:t xml:space="preserve">Model-Predicted </w:t>
      </w:r>
      <w:r w:rsidRPr="00073875">
        <w:rPr>
          <w:rFonts w:ascii="Times New Roman" w:hAnsi="Times New Roman" w:cs="Times New Roman"/>
          <w:sz w:val="24"/>
          <w:szCs w:val="24"/>
        </w:rPr>
        <w:t xml:space="preserve">HIV </w:t>
      </w:r>
      <w:r w:rsidR="00EF47F5" w:rsidRPr="00073875">
        <w:rPr>
          <w:rFonts w:ascii="Times New Roman" w:hAnsi="Times New Roman" w:cs="Times New Roman"/>
          <w:sz w:val="24"/>
          <w:szCs w:val="24"/>
        </w:rPr>
        <w:t xml:space="preserve">Prevalence </w:t>
      </w:r>
    </w:p>
    <w:p w14:paraId="4D3CFFA4" w14:textId="77777777" w:rsidR="00EF47F5" w:rsidRDefault="00EF47F5" w:rsidP="00150EF8">
      <w:pPr>
        <w:spacing w:after="0"/>
        <w:jc w:val="both"/>
        <w:rPr>
          <w:rFonts w:ascii="Times New Roman" w:hAnsi="Times New Roman" w:cs="Times New Roman"/>
          <w:sz w:val="24"/>
          <w:szCs w:val="24"/>
        </w:rPr>
      </w:pPr>
    </w:p>
    <w:p w14:paraId="316C51E5" w14:textId="7A2E4149"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Figure 4 presents a model-predicted trend of HIV prevalence between 1990 and 2024</w:t>
      </w:r>
      <w:r w:rsidR="009A166E">
        <w:rPr>
          <w:rFonts w:ascii="Times New Roman" w:hAnsi="Times New Roman" w:cs="Times New Roman"/>
          <w:sz w:val="24"/>
          <w:szCs w:val="24"/>
        </w:rPr>
        <w:t>;</w:t>
      </w:r>
      <w:r w:rsidRPr="00073875">
        <w:rPr>
          <w:rFonts w:ascii="Times New Roman" w:hAnsi="Times New Roman" w:cs="Times New Roman"/>
          <w:sz w:val="24"/>
          <w:szCs w:val="24"/>
        </w:rPr>
        <w:t xml:space="preserve"> the fitted trend is lower than the historical average due to the model</w:t>
      </w:r>
      <w:r w:rsidR="009A166E">
        <w:rPr>
          <w:rFonts w:ascii="Times New Roman" w:hAnsi="Times New Roman" w:cs="Times New Roman"/>
          <w:sz w:val="24"/>
          <w:szCs w:val="24"/>
        </w:rPr>
        <w:t>,</w:t>
      </w:r>
      <w:r w:rsidRPr="00073875">
        <w:rPr>
          <w:rFonts w:ascii="Times New Roman" w:hAnsi="Times New Roman" w:cs="Times New Roman"/>
          <w:sz w:val="24"/>
          <w:szCs w:val="24"/>
        </w:rPr>
        <w:t xml:space="preserve"> which is adjusted by region and country-level random effects and repeated measures. This is noteworthy since it shows how the crude trends may vary against model-based estimates. The current analysis is much more rigorous than the last descriptive surveillance studies, offering a longitudinal approximation that is more precise and includes the clustering and unbalanced panel structure. This observation promotes tempered optimism: prevention and treatment campaigns seem to have decreased prevalence with time</w:t>
      </w:r>
      <w:r w:rsidR="009A166E">
        <w:rPr>
          <w:rFonts w:ascii="Times New Roman" w:hAnsi="Times New Roman" w:cs="Times New Roman"/>
          <w:sz w:val="24"/>
          <w:szCs w:val="24"/>
        </w:rPr>
        <w:t>,</w:t>
      </w:r>
      <w:r w:rsidRPr="00073875">
        <w:rPr>
          <w:rFonts w:ascii="Times New Roman" w:hAnsi="Times New Roman" w:cs="Times New Roman"/>
          <w:sz w:val="24"/>
          <w:szCs w:val="24"/>
        </w:rPr>
        <w:t xml:space="preserve"> but the confidence range suggests that there is still uncertainty, and thus, constant investment in HIV is needed in SDG 3.3.</w:t>
      </w:r>
    </w:p>
    <w:p w14:paraId="58E00CAC" w14:textId="0757164C" w:rsidR="009A166E" w:rsidRDefault="00B539A8" w:rsidP="00150EF8">
      <w:pPr>
        <w:spacing w:after="0"/>
        <w:jc w:val="both"/>
        <w:rPr>
          <w:rFonts w:ascii="Times New Roman" w:hAnsi="Times New Roman" w:cs="Times New Roman"/>
          <w:sz w:val="24"/>
          <w:szCs w:val="24"/>
        </w:rPr>
      </w:pPr>
      <w:r>
        <w:rPr>
          <w:noProof/>
        </w:rPr>
        <w:drawing>
          <wp:inline distT="0" distB="0" distL="0" distR="0" wp14:anchorId="53A143A4" wp14:editId="634C7B6F">
            <wp:extent cx="5941695" cy="4181475"/>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rotWithShape="1">
                    <a:blip r:embed="rId12"/>
                    <a:srcRect t="9559"/>
                    <a:stretch/>
                  </pic:blipFill>
                  <pic:spPr bwMode="auto">
                    <a:xfrm>
                      <a:off x="0" y="0"/>
                      <a:ext cx="5954512" cy="4190495"/>
                    </a:xfrm>
                    <a:prstGeom prst="rect">
                      <a:avLst/>
                    </a:prstGeom>
                    <a:noFill/>
                    <a:ln>
                      <a:noFill/>
                    </a:ln>
                    <a:extLst>
                      <a:ext uri="{53640926-AAD7-44D8-BBD7-CCE9431645EC}">
                        <a14:shadowObscured xmlns:a14="http://schemas.microsoft.com/office/drawing/2010/main"/>
                      </a:ext>
                    </a:extLst>
                  </pic:spPr>
                </pic:pic>
              </a:graphicData>
            </a:graphic>
          </wp:inline>
        </w:drawing>
      </w:r>
      <w:r w:rsidR="009A166E" w:rsidRPr="00073875">
        <w:rPr>
          <w:rFonts w:ascii="Times New Roman" w:hAnsi="Times New Roman" w:cs="Times New Roman"/>
          <w:sz w:val="24"/>
          <w:szCs w:val="24"/>
        </w:rPr>
        <w:t>Figure 5</w:t>
      </w:r>
      <w:r>
        <w:rPr>
          <w:rFonts w:ascii="Times New Roman" w:hAnsi="Times New Roman" w:cs="Times New Roman"/>
          <w:sz w:val="24"/>
          <w:szCs w:val="24"/>
        </w:rPr>
        <w:t>:</w:t>
      </w:r>
      <w:r w:rsidR="009A166E" w:rsidRPr="00073875">
        <w:rPr>
          <w:rFonts w:ascii="Times New Roman" w:hAnsi="Times New Roman" w:cs="Times New Roman"/>
          <w:sz w:val="24"/>
          <w:szCs w:val="24"/>
        </w:rPr>
        <w:t xml:space="preserve"> </w:t>
      </w:r>
      <w:r w:rsidR="00E21D4D" w:rsidRPr="00073875">
        <w:rPr>
          <w:rFonts w:ascii="Times New Roman" w:hAnsi="Times New Roman" w:cs="Times New Roman"/>
          <w:sz w:val="24"/>
          <w:szCs w:val="24"/>
        </w:rPr>
        <w:t xml:space="preserve">Residual Diagnostics </w:t>
      </w:r>
    </w:p>
    <w:p w14:paraId="14AF6E56" w14:textId="77777777" w:rsidR="00EF47F5" w:rsidRDefault="00EF47F5" w:rsidP="00150EF8">
      <w:pPr>
        <w:spacing w:after="0"/>
        <w:jc w:val="both"/>
        <w:rPr>
          <w:rFonts w:ascii="Times New Roman" w:hAnsi="Times New Roman" w:cs="Times New Roman"/>
          <w:sz w:val="24"/>
          <w:szCs w:val="24"/>
        </w:rPr>
      </w:pPr>
    </w:p>
    <w:p w14:paraId="238E7CFC" w14:textId="65AC0E5A"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Figure 5 presents the residual diagnostics and indicates that, though the model is able to capture the overall trend, there is still residual variation, particularly in countries with larger fitted prevalence. This is anticipated in international HIV data as countries vary in the maturity of epidemics, testing infrastructure, completeness of reporting, the strength of programmes and behavioural risk settings. This study explicitly measures model adequacy, unlike the past studies that underreported diagnostics. The policy implication is that despite statistically suitable models, they should be interpreted together with the quality of surveillance</w:t>
      </w:r>
      <w:r w:rsidR="009A166E">
        <w:rPr>
          <w:rFonts w:ascii="Times New Roman" w:hAnsi="Times New Roman" w:cs="Times New Roman"/>
          <w:sz w:val="24"/>
          <w:szCs w:val="24"/>
        </w:rPr>
        <w:t>;</w:t>
      </w:r>
      <w:r w:rsidRPr="00073875">
        <w:rPr>
          <w:rFonts w:ascii="Times New Roman" w:hAnsi="Times New Roman" w:cs="Times New Roman"/>
          <w:sz w:val="24"/>
          <w:szCs w:val="24"/>
        </w:rPr>
        <w:t xml:space="preserve"> thus, enhancing HIV data completeness and consistency should be on the SDG 17 agenda of more robust health information systems.</w:t>
      </w:r>
    </w:p>
    <w:p w14:paraId="7215C870" w14:textId="4C21B0FC" w:rsidR="00EF47F5" w:rsidRDefault="00B539A8" w:rsidP="00150EF8">
      <w:pPr>
        <w:spacing w:after="0"/>
        <w:jc w:val="both"/>
        <w:rPr>
          <w:rFonts w:ascii="Times New Roman" w:hAnsi="Times New Roman" w:cs="Times New Roman"/>
          <w:sz w:val="24"/>
          <w:szCs w:val="24"/>
        </w:rPr>
      </w:pPr>
      <w:r>
        <w:rPr>
          <w:noProof/>
        </w:rPr>
        <w:lastRenderedPageBreak/>
        <w:drawing>
          <wp:inline distT="0" distB="0" distL="0" distR="0" wp14:anchorId="3CD3DBC1" wp14:editId="77D3623E">
            <wp:extent cx="5943600" cy="377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rotWithShape="1">
                    <a:blip r:embed="rId13"/>
                    <a:srcRect t="10407"/>
                    <a:stretch/>
                  </pic:blipFill>
                  <pic:spPr bwMode="auto">
                    <a:xfrm>
                      <a:off x="0" y="0"/>
                      <a:ext cx="5943600" cy="3771900"/>
                    </a:xfrm>
                    <a:prstGeom prst="rect">
                      <a:avLst/>
                    </a:prstGeom>
                    <a:noFill/>
                    <a:ln>
                      <a:noFill/>
                    </a:ln>
                    <a:extLst>
                      <a:ext uri="{53640926-AAD7-44D8-BBD7-CCE9431645EC}">
                        <a14:shadowObscured xmlns:a14="http://schemas.microsoft.com/office/drawing/2010/main"/>
                      </a:ext>
                    </a:extLst>
                  </pic:spPr>
                </pic:pic>
              </a:graphicData>
            </a:graphic>
          </wp:inline>
        </w:drawing>
      </w:r>
      <w:r w:rsidR="00EF47F5" w:rsidRPr="00073875">
        <w:rPr>
          <w:rFonts w:ascii="Times New Roman" w:hAnsi="Times New Roman" w:cs="Times New Roman"/>
          <w:sz w:val="24"/>
          <w:szCs w:val="24"/>
        </w:rPr>
        <w:t>Figure 6</w:t>
      </w:r>
      <w:r w:rsidR="00EF47F5">
        <w:rPr>
          <w:rFonts w:ascii="Times New Roman" w:hAnsi="Times New Roman" w:cs="Times New Roman"/>
          <w:sz w:val="24"/>
          <w:szCs w:val="24"/>
        </w:rPr>
        <w:t xml:space="preserve">: </w:t>
      </w:r>
      <w:r w:rsidR="00C3509B">
        <w:rPr>
          <w:rFonts w:ascii="Times New Roman" w:hAnsi="Times New Roman" w:cs="Times New Roman"/>
          <w:sz w:val="24"/>
          <w:szCs w:val="24"/>
        </w:rPr>
        <w:t xml:space="preserve">Top 15 Countries/ Economies by Mean Observed </w:t>
      </w:r>
      <w:r w:rsidR="00EF47F5">
        <w:rPr>
          <w:rFonts w:ascii="Times New Roman" w:hAnsi="Times New Roman" w:cs="Times New Roman"/>
          <w:sz w:val="24"/>
          <w:szCs w:val="24"/>
        </w:rPr>
        <w:t xml:space="preserve">HIV </w:t>
      </w:r>
      <w:r w:rsidR="00C3509B">
        <w:rPr>
          <w:rFonts w:ascii="Times New Roman" w:hAnsi="Times New Roman" w:cs="Times New Roman"/>
          <w:sz w:val="24"/>
          <w:szCs w:val="24"/>
        </w:rPr>
        <w:t>Prevalence</w:t>
      </w:r>
    </w:p>
    <w:p w14:paraId="40BA8944" w14:textId="77777777" w:rsidR="00EF47F5" w:rsidRDefault="00EF47F5" w:rsidP="00150EF8">
      <w:pPr>
        <w:spacing w:after="0"/>
        <w:jc w:val="both"/>
        <w:rPr>
          <w:rFonts w:ascii="Times New Roman" w:hAnsi="Times New Roman" w:cs="Times New Roman"/>
          <w:sz w:val="24"/>
          <w:szCs w:val="24"/>
        </w:rPr>
      </w:pPr>
    </w:p>
    <w:p w14:paraId="2C5D8B44" w14:textId="6B1EA8FF" w:rsidR="0009606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Eswatini, Zimbabwe, Botswana, South Africa, Lesotho, Mozambique, Zambia, Namibia, Malawi, Kenya, and Uganda are some of the most prevalent locations, which are identified in Figure 6. Such trend is intensely aligned with previous data on the HIV burden concentration in Southern and Eastern Africa (Zuma et al., 2022; Orlando et al., 2025; Gaumer et al., 2023). This novelty is the fact that the ranking of countries is not only being considered but the observed rankings are combined with multilevel modelling to differentiate between descriptive burden and adjusted country-level heterogeneity. Some of the policy directions which should be considered are increased testing of male youth, </w:t>
      </w:r>
      <w:proofErr w:type="spellStart"/>
      <w:r w:rsidRPr="00073875">
        <w:rPr>
          <w:rFonts w:ascii="Times New Roman" w:hAnsi="Times New Roman" w:cs="Times New Roman"/>
          <w:sz w:val="24"/>
          <w:szCs w:val="24"/>
        </w:rPr>
        <w:t>PrEP</w:t>
      </w:r>
      <w:proofErr w:type="spellEnd"/>
      <w:r w:rsidRPr="00073875">
        <w:rPr>
          <w:rFonts w:ascii="Times New Roman" w:hAnsi="Times New Roman" w:cs="Times New Roman"/>
          <w:sz w:val="24"/>
          <w:szCs w:val="24"/>
        </w:rPr>
        <w:t xml:space="preserve"> scale-up, retention in care, community-based prevention, and the incorporation of HIV testing with sexual and reproductive health programmes.</w:t>
      </w:r>
    </w:p>
    <w:p w14:paraId="124634F4" w14:textId="77777777" w:rsidR="00C3509B" w:rsidRPr="00073875" w:rsidRDefault="00C3509B" w:rsidP="00150EF8">
      <w:pPr>
        <w:spacing w:after="0"/>
        <w:jc w:val="both"/>
        <w:rPr>
          <w:rFonts w:ascii="Times New Roman" w:hAnsi="Times New Roman" w:cs="Times New Roman"/>
          <w:sz w:val="24"/>
          <w:szCs w:val="24"/>
        </w:rPr>
      </w:pPr>
    </w:p>
    <w:p w14:paraId="4EF3F916" w14:textId="70786CAF" w:rsidR="00B539A8" w:rsidRDefault="00B539A8" w:rsidP="00150EF8">
      <w:pPr>
        <w:spacing w:after="0"/>
        <w:jc w:val="both"/>
        <w:rPr>
          <w:rFonts w:ascii="Times New Roman" w:hAnsi="Times New Roman" w:cs="Times New Roman"/>
          <w:sz w:val="24"/>
          <w:szCs w:val="24"/>
        </w:rPr>
      </w:pPr>
      <w:r>
        <w:rPr>
          <w:noProof/>
        </w:rPr>
        <w:lastRenderedPageBreak/>
        <w:drawing>
          <wp:inline distT="0" distB="0" distL="0" distR="0" wp14:anchorId="641421C2" wp14:editId="362601C5">
            <wp:extent cx="5942088" cy="250444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rotWithShape="1">
                    <a:blip r:embed="rId14"/>
                    <a:srcRect t="9933"/>
                    <a:stretch/>
                  </pic:blipFill>
                  <pic:spPr bwMode="auto">
                    <a:xfrm>
                      <a:off x="0" y="0"/>
                      <a:ext cx="5953004" cy="2509041"/>
                    </a:xfrm>
                    <a:prstGeom prst="rect">
                      <a:avLst/>
                    </a:prstGeom>
                    <a:noFill/>
                    <a:ln>
                      <a:noFill/>
                    </a:ln>
                    <a:extLst>
                      <a:ext uri="{53640926-AAD7-44D8-BBD7-CCE9431645EC}">
                        <a14:shadowObscured xmlns:a14="http://schemas.microsoft.com/office/drawing/2010/main"/>
                      </a:ext>
                    </a:extLst>
                  </pic:spPr>
                </pic:pic>
              </a:graphicData>
            </a:graphic>
          </wp:inline>
        </w:drawing>
      </w:r>
      <w:r w:rsidR="00C3509B" w:rsidRPr="00073875">
        <w:rPr>
          <w:rFonts w:ascii="Times New Roman" w:hAnsi="Times New Roman" w:cs="Times New Roman"/>
          <w:sz w:val="24"/>
          <w:szCs w:val="24"/>
        </w:rPr>
        <w:t>Figure 7</w:t>
      </w:r>
      <w:r w:rsidR="00C3509B">
        <w:rPr>
          <w:rFonts w:ascii="Times New Roman" w:hAnsi="Times New Roman" w:cs="Times New Roman"/>
          <w:sz w:val="24"/>
          <w:szCs w:val="24"/>
        </w:rPr>
        <w:t>: Country-Level Random Intercepts</w:t>
      </w:r>
    </w:p>
    <w:p w14:paraId="0216F630" w14:textId="77777777" w:rsidR="00C3509B" w:rsidRDefault="00C3509B" w:rsidP="00150EF8">
      <w:pPr>
        <w:spacing w:after="0"/>
        <w:jc w:val="both"/>
        <w:rPr>
          <w:rFonts w:ascii="Times New Roman" w:hAnsi="Times New Roman" w:cs="Times New Roman"/>
          <w:sz w:val="24"/>
          <w:szCs w:val="24"/>
        </w:rPr>
      </w:pPr>
    </w:p>
    <w:p w14:paraId="1BB480A1" w14:textId="16D0D88E" w:rsidR="0009606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Figure 7 indicates that after adjusting the model, Eswatini, Zimbabwe, Botswana, South Africa, Lesotho, Thailand, Mozambique, Zambia and Namibia have strong, positive country-level random intercepts implying that their latent HIV prevalence is higher than the average. This confirms the fact that there are still countries that are structurally high-burden at accounting regional effects and time. The discovery fills in a significant gap in past pooled research, which tends to obscure country-specific underlying risk. In the case of policy, it implies that regional plans cannot substitute country-specific planning. Countries with high random-intercept needs more radical, protracted and locally specific interventions as opposed to brief, or universal global programmes.</w:t>
      </w:r>
    </w:p>
    <w:p w14:paraId="65107B4D" w14:textId="77777777" w:rsidR="00C3509B" w:rsidRPr="00073875" w:rsidRDefault="00C3509B" w:rsidP="00150EF8">
      <w:pPr>
        <w:spacing w:after="0"/>
        <w:jc w:val="both"/>
        <w:rPr>
          <w:rFonts w:ascii="Times New Roman" w:hAnsi="Times New Roman" w:cs="Times New Roman"/>
          <w:sz w:val="24"/>
          <w:szCs w:val="24"/>
        </w:rPr>
      </w:pPr>
    </w:p>
    <w:p w14:paraId="19956358" w14:textId="4E25E140" w:rsidR="00B539A8" w:rsidRDefault="00B539A8" w:rsidP="00150EF8">
      <w:pPr>
        <w:spacing w:after="0"/>
        <w:jc w:val="both"/>
        <w:rPr>
          <w:rFonts w:ascii="Times New Roman" w:hAnsi="Times New Roman" w:cs="Times New Roman"/>
          <w:sz w:val="24"/>
          <w:szCs w:val="24"/>
        </w:rPr>
      </w:pPr>
      <w:r>
        <w:rPr>
          <w:noProof/>
        </w:rPr>
        <w:drawing>
          <wp:inline distT="0" distB="0" distL="0" distR="0" wp14:anchorId="7B9FD92F" wp14:editId="01FFD4DB">
            <wp:extent cx="5942285" cy="34290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rotWithShape="1">
                    <a:blip r:embed="rId15"/>
                    <a:srcRect t="9744"/>
                    <a:stretch/>
                  </pic:blipFill>
                  <pic:spPr bwMode="auto">
                    <a:xfrm>
                      <a:off x="0" y="0"/>
                      <a:ext cx="5955049" cy="3436366"/>
                    </a:xfrm>
                    <a:prstGeom prst="rect">
                      <a:avLst/>
                    </a:prstGeom>
                    <a:noFill/>
                    <a:ln>
                      <a:noFill/>
                    </a:ln>
                    <a:extLst>
                      <a:ext uri="{53640926-AAD7-44D8-BBD7-CCE9431645EC}">
                        <a14:shadowObscured xmlns:a14="http://schemas.microsoft.com/office/drawing/2010/main"/>
                      </a:ext>
                    </a:extLst>
                  </pic:spPr>
                </pic:pic>
              </a:graphicData>
            </a:graphic>
          </wp:inline>
        </w:drawing>
      </w:r>
      <w:r w:rsidRPr="00073875">
        <w:rPr>
          <w:rFonts w:ascii="Times New Roman" w:hAnsi="Times New Roman" w:cs="Times New Roman"/>
          <w:sz w:val="24"/>
          <w:szCs w:val="24"/>
        </w:rPr>
        <w:t>Figure 8</w:t>
      </w:r>
      <w:r>
        <w:rPr>
          <w:rFonts w:ascii="Times New Roman" w:hAnsi="Times New Roman" w:cs="Times New Roman"/>
          <w:sz w:val="24"/>
          <w:szCs w:val="24"/>
        </w:rPr>
        <w:t>:</w:t>
      </w:r>
      <w:r w:rsidRPr="00073875">
        <w:rPr>
          <w:rFonts w:ascii="Times New Roman" w:hAnsi="Times New Roman" w:cs="Times New Roman"/>
          <w:sz w:val="24"/>
          <w:szCs w:val="24"/>
        </w:rPr>
        <w:t xml:space="preserve"> </w:t>
      </w:r>
      <w:r w:rsidR="00C3509B" w:rsidRPr="00073875">
        <w:rPr>
          <w:rFonts w:ascii="Times New Roman" w:hAnsi="Times New Roman" w:cs="Times New Roman"/>
          <w:sz w:val="24"/>
          <w:szCs w:val="24"/>
        </w:rPr>
        <w:t xml:space="preserve">Country-Specific Random Slopes </w:t>
      </w:r>
      <w:r w:rsidR="00C3509B">
        <w:rPr>
          <w:rFonts w:ascii="Times New Roman" w:hAnsi="Times New Roman" w:cs="Times New Roman"/>
          <w:sz w:val="24"/>
          <w:szCs w:val="24"/>
        </w:rPr>
        <w:t>for Year</w:t>
      </w:r>
    </w:p>
    <w:p w14:paraId="447DE4FC" w14:textId="77777777" w:rsidR="00C3509B" w:rsidRDefault="00C3509B" w:rsidP="00150EF8">
      <w:pPr>
        <w:spacing w:after="0"/>
        <w:jc w:val="both"/>
        <w:rPr>
          <w:rFonts w:ascii="Times New Roman" w:hAnsi="Times New Roman" w:cs="Times New Roman"/>
          <w:sz w:val="24"/>
          <w:szCs w:val="24"/>
        </w:rPr>
      </w:pPr>
    </w:p>
    <w:p w14:paraId="76B75A8E" w14:textId="2A6A20ED"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lastRenderedPageBreak/>
        <w:t xml:space="preserve">In Figure 8, the country-specific random slopes are provided, and it is observed that there are countries which increased faster than the average and those which declined </w:t>
      </w:r>
      <w:r w:rsidR="00B539A8">
        <w:rPr>
          <w:rFonts w:ascii="Times New Roman" w:hAnsi="Times New Roman" w:cs="Times New Roman"/>
          <w:sz w:val="24"/>
          <w:szCs w:val="24"/>
        </w:rPr>
        <w:t>more strongly</w:t>
      </w:r>
      <w:r w:rsidRPr="00073875">
        <w:rPr>
          <w:rFonts w:ascii="Times New Roman" w:hAnsi="Times New Roman" w:cs="Times New Roman"/>
          <w:sz w:val="24"/>
          <w:szCs w:val="24"/>
        </w:rPr>
        <w:t>. Costa Rica, St. Kitts and Nevis, Chile, Cuba and Mexico had positive slope deviations</w:t>
      </w:r>
      <w:r w:rsidR="00B539A8">
        <w:rPr>
          <w:rFonts w:ascii="Times New Roman" w:hAnsi="Times New Roman" w:cs="Times New Roman"/>
          <w:sz w:val="24"/>
          <w:szCs w:val="24"/>
        </w:rPr>
        <w:t>,</w:t>
      </w:r>
      <w:r w:rsidRPr="00073875">
        <w:rPr>
          <w:rFonts w:ascii="Times New Roman" w:hAnsi="Times New Roman" w:cs="Times New Roman"/>
          <w:sz w:val="24"/>
          <w:szCs w:val="24"/>
        </w:rPr>
        <w:t xml:space="preserve"> whereas Thailand, Eritrea, Portugal, Zimbabwe, Burkina Faso and Tanzania had negative slope deviations. This observation is core to the novelty of the study in that it shows that there is not only a variation in the prevalence at the baseline but also </w:t>
      </w:r>
      <w:r w:rsidR="00B539A8">
        <w:rPr>
          <w:rFonts w:ascii="Times New Roman" w:hAnsi="Times New Roman" w:cs="Times New Roman"/>
          <w:sz w:val="24"/>
          <w:szCs w:val="24"/>
        </w:rPr>
        <w:t xml:space="preserve">an </w:t>
      </w:r>
      <w:r w:rsidRPr="00073875">
        <w:rPr>
          <w:rFonts w:ascii="Times New Roman" w:hAnsi="Times New Roman" w:cs="Times New Roman"/>
          <w:sz w:val="24"/>
          <w:szCs w:val="24"/>
        </w:rPr>
        <w:t xml:space="preserve">epidemic pathway. This model has identified dynamic heterogeneity as compared to the previous studies that approximate a single world or regional tendency. What this means is that the SDG 3.3 monitoring must follow both the status quo and the trend of change, since a low-prevalence nation with an increasing trend might also need to be intervened upon early </w:t>
      </w:r>
      <w:r w:rsidR="00B539A8">
        <w:rPr>
          <w:rFonts w:ascii="Times New Roman" w:hAnsi="Times New Roman" w:cs="Times New Roman"/>
          <w:sz w:val="24"/>
          <w:szCs w:val="24"/>
        </w:rPr>
        <w:t xml:space="preserve">in </w:t>
      </w:r>
      <w:r w:rsidRPr="00073875">
        <w:rPr>
          <w:rFonts w:ascii="Times New Roman" w:hAnsi="Times New Roman" w:cs="Times New Roman"/>
          <w:sz w:val="24"/>
          <w:szCs w:val="24"/>
        </w:rPr>
        <w:t>the prevention.</w:t>
      </w:r>
    </w:p>
    <w:p w14:paraId="1D3268E5" w14:textId="3A643278" w:rsidR="00C3509B" w:rsidRDefault="00B539A8" w:rsidP="00150EF8">
      <w:pPr>
        <w:spacing w:after="0"/>
        <w:jc w:val="both"/>
        <w:rPr>
          <w:rFonts w:ascii="Times New Roman" w:hAnsi="Times New Roman" w:cs="Times New Roman"/>
          <w:sz w:val="24"/>
          <w:szCs w:val="24"/>
        </w:rPr>
      </w:pPr>
      <w:r>
        <w:rPr>
          <w:noProof/>
        </w:rPr>
        <w:drawing>
          <wp:inline distT="0" distB="0" distL="0" distR="0" wp14:anchorId="41E73DE4" wp14:editId="14B6B2B1">
            <wp:extent cx="5941695" cy="3286125"/>
            <wp:effectExtent l="0" t="0" r="190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rotWithShape="1">
                    <a:blip r:embed="rId16"/>
                    <a:srcRect t="11748"/>
                    <a:stretch/>
                  </pic:blipFill>
                  <pic:spPr bwMode="auto">
                    <a:xfrm>
                      <a:off x="0" y="0"/>
                      <a:ext cx="5951509" cy="3291553"/>
                    </a:xfrm>
                    <a:prstGeom prst="rect">
                      <a:avLst/>
                    </a:prstGeom>
                    <a:noFill/>
                    <a:ln>
                      <a:noFill/>
                    </a:ln>
                    <a:extLst>
                      <a:ext uri="{53640926-AAD7-44D8-BBD7-CCE9431645EC}">
                        <a14:shadowObscured xmlns:a14="http://schemas.microsoft.com/office/drawing/2010/main"/>
                      </a:ext>
                    </a:extLst>
                  </pic:spPr>
                </pic:pic>
              </a:graphicData>
            </a:graphic>
          </wp:inline>
        </w:drawing>
      </w:r>
      <w:r w:rsidR="00C3509B" w:rsidRPr="00073875">
        <w:rPr>
          <w:rFonts w:ascii="Times New Roman" w:hAnsi="Times New Roman" w:cs="Times New Roman"/>
          <w:sz w:val="24"/>
          <w:szCs w:val="24"/>
        </w:rPr>
        <w:t>Figure 9</w:t>
      </w:r>
      <w:r w:rsidR="00C3509B">
        <w:rPr>
          <w:rFonts w:ascii="Times New Roman" w:hAnsi="Times New Roman" w:cs="Times New Roman"/>
          <w:sz w:val="24"/>
          <w:szCs w:val="24"/>
        </w:rPr>
        <w:t>: Model-Based Regional Predictions</w:t>
      </w:r>
    </w:p>
    <w:p w14:paraId="0106E6A2" w14:textId="10335AE3" w:rsidR="00C3509B" w:rsidRDefault="00C3509B"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 </w:t>
      </w:r>
    </w:p>
    <w:p w14:paraId="7703EBAA" w14:textId="4B0FDE26" w:rsidR="0009606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Figure 9 validates the adjusted-regional forecasting trend, where Sub-Saharan Africa is the highest-predicted-prevalence area despite the model adjustment. The narrow range of the confidence interval of North America indicates that there is less data and that the uncertainty prevails, as opposed to the low risk being certain. This figure is directly related to the study objective as it demonstrates that multilevel beta modelling not only </w:t>
      </w:r>
      <w:r w:rsidR="00B539A8">
        <w:rPr>
          <w:rFonts w:ascii="Times New Roman" w:hAnsi="Times New Roman" w:cs="Times New Roman"/>
          <w:sz w:val="24"/>
          <w:szCs w:val="24"/>
        </w:rPr>
        <w:t>gives</w:t>
      </w:r>
      <w:r w:rsidRPr="00073875">
        <w:rPr>
          <w:rFonts w:ascii="Times New Roman" w:hAnsi="Times New Roman" w:cs="Times New Roman"/>
          <w:sz w:val="24"/>
          <w:szCs w:val="24"/>
        </w:rPr>
        <w:t xml:space="preserve"> adjusted prevalence estimates but also uncertainty intervals. The policy implication is that point estimates should not be used solely to guide resource allocation</w:t>
      </w:r>
      <w:r w:rsidR="00B539A8">
        <w:rPr>
          <w:rFonts w:ascii="Times New Roman" w:hAnsi="Times New Roman" w:cs="Times New Roman"/>
          <w:sz w:val="24"/>
          <w:szCs w:val="24"/>
        </w:rPr>
        <w:t>,</w:t>
      </w:r>
      <w:r w:rsidRPr="00073875">
        <w:rPr>
          <w:rFonts w:ascii="Times New Roman" w:hAnsi="Times New Roman" w:cs="Times New Roman"/>
          <w:sz w:val="24"/>
          <w:szCs w:val="24"/>
        </w:rPr>
        <w:t xml:space="preserve"> but uncertainty should also be taken into consideration, especially in situations where the data are scarce. Empowering age- and sex-disaggregated HIV surveillance among young men is thus a key component of SDG 3.3 and SDG 17.</w:t>
      </w:r>
    </w:p>
    <w:p w14:paraId="3ACA3158" w14:textId="77777777" w:rsidR="00C3509B" w:rsidRPr="00A526BF" w:rsidRDefault="00C3509B" w:rsidP="00150EF8">
      <w:pPr>
        <w:spacing w:after="0"/>
        <w:jc w:val="both"/>
        <w:rPr>
          <w:rFonts w:ascii="Times New Roman" w:hAnsi="Times New Roman" w:cs="Times New Roman"/>
          <w:sz w:val="24"/>
          <w:szCs w:val="24"/>
        </w:rPr>
      </w:pPr>
    </w:p>
    <w:p w14:paraId="17382AE7" w14:textId="77777777" w:rsidR="00B539A8" w:rsidRPr="00A526BF" w:rsidRDefault="00B539A8" w:rsidP="00150EF8">
      <w:pPr>
        <w:pStyle w:val="TableCaption"/>
        <w:keepNext/>
        <w:pBdr>
          <w:top w:val="none" w:sz="0" w:space="0" w:color="000000"/>
          <w:left w:val="none" w:sz="0" w:space="0" w:color="000000"/>
          <w:bottom w:val="none" w:sz="0" w:space="0" w:color="000000"/>
          <w:right w:val="none" w:sz="0" w:space="0" w:color="000000"/>
        </w:pBdr>
        <w:spacing w:before="60"/>
        <w:ind w:left="60" w:right="60"/>
        <w:rPr>
          <w:rFonts w:ascii="Times New Roman" w:hAnsi="Times New Roman" w:cs="Times New Roman"/>
        </w:rPr>
      </w:pPr>
      <w:r w:rsidRPr="00A526BF">
        <w:rPr>
          <w:rFonts w:ascii="Times New Roman" w:hAnsi="Times New Roman" w:cs="Times New Roman"/>
        </w:rPr>
        <w:t>Table 4: Regional model-based predictions with 95% confidence intervals</w:t>
      </w:r>
    </w:p>
    <w:tbl>
      <w:tblPr>
        <w:tblW w:w="10942" w:type="dxa"/>
        <w:jc w:val="center"/>
        <w:tblBorders>
          <w:top w:val="single" w:sz="4" w:space="0" w:color="auto"/>
          <w:bottom w:val="single" w:sz="4" w:space="0" w:color="auto"/>
        </w:tblBorders>
        <w:tblLayout w:type="fixed"/>
        <w:tblLook w:val="0420" w:firstRow="1" w:lastRow="0" w:firstColumn="0" w:lastColumn="0" w:noHBand="0" w:noVBand="1"/>
      </w:tblPr>
      <w:tblGrid>
        <w:gridCol w:w="3672"/>
        <w:gridCol w:w="3917"/>
        <w:gridCol w:w="1682"/>
        <w:gridCol w:w="1671"/>
      </w:tblGrid>
      <w:tr w:rsidR="00B539A8" w14:paraId="18F2D23E" w14:textId="77777777" w:rsidTr="00A526BF">
        <w:trPr>
          <w:trHeight w:val="439"/>
          <w:tblHeader/>
          <w:jc w:val="center"/>
        </w:trPr>
        <w:tc>
          <w:tcPr>
            <w:tcW w:w="3672" w:type="dxa"/>
            <w:tcBorders>
              <w:top w:val="single" w:sz="4" w:space="0" w:color="auto"/>
              <w:bottom w:val="single" w:sz="4" w:space="0" w:color="auto"/>
            </w:tcBorders>
            <w:tcMar>
              <w:top w:w="0" w:type="dxa"/>
              <w:left w:w="0" w:type="dxa"/>
              <w:bottom w:w="0" w:type="dxa"/>
              <w:right w:w="0" w:type="dxa"/>
            </w:tcMar>
            <w:vAlign w:val="center"/>
          </w:tcPr>
          <w:p w14:paraId="60D2A513" w14:textId="77777777" w:rsidR="00B539A8" w:rsidRPr="001E579C" w:rsidRDefault="00B539A8"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Times New Roman" w:eastAsia="Arial" w:hAnsi="Times New Roman" w:cs="Times New Roman"/>
                <w:b/>
                <w:sz w:val="20"/>
                <w:szCs w:val="20"/>
              </w:rPr>
            </w:pPr>
            <w:r w:rsidRPr="001E579C">
              <w:rPr>
                <w:rFonts w:ascii="Times New Roman" w:eastAsia="Arial" w:hAnsi="Times New Roman" w:cs="Times New Roman"/>
                <w:b/>
                <w:sz w:val="20"/>
                <w:szCs w:val="20"/>
              </w:rPr>
              <w:t>Region</w:t>
            </w:r>
          </w:p>
        </w:tc>
        <w:tc>
          <w:tcPr>
            <w:tcW w:w="3917" w:type="dxa"/>
            <w:tcBorders>
              <w:top w:val="single" w:sz="4" w:space="0" w:color="auto"/>
              <w:bottom w:val="single" w:sz="4" w:space="0" w:color="auto"/>
            </w:tcBorders>
            <w:tcMar>
              <w:top w:w="0" w:type="dxa"/>
              <w:left w:w="0" w:type="dxa"/>
              <w:bottom w:w="0" w:type="dxa"/>
              <w:right w:w="0" w:type="dxa"/>
            </w:tcMar>
            <w:vAlign w:val="center"/>
          </w:tcPr>
          <w:p w14:paraId="0C13BCD9" w14:textId="77777777" w:rsidR="00B539A8" w:rsidRPr="001E579C" w:rsidRDefault="00B539A8"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Times New Roman" w:eastAsia="Arial" w:hAnsi="Times New Roman" w:cs="Times New Roman"/>
                <w:b/>
                <w:sz w:val="20"/>
                <w:szCs w:val="20"/>
              </w:rPr>
            </w:pPr>
            <w:proofErr w:type="spellStart"/>
            <w:r w:rsidRPr="001E579C">
              <w:rPr>
                <w:rFonts w:ascii="Times New Roman" w:eastAsia="Arial" w:hAnsi="Times New Roman" w:cs="Times New Roman"/>
                <w:b/>
                <w:sz w:val="20"/>
                <w:szCs w:val="20"/>
              </w:rPr>
              <w:t>Predicted_HIV_Prevalence_Percent</w:t>
            </w:r>
            <w:proofErr w:type="spellEnd"/>
          </w:p>
        </w:tc>
        <w:tc>
          <w:tcPr>
            <w:tcW w:w="1682" w:type="dxa"/>
            <w:tcBorders>
              <w:top w:val="single" w:sz="4" w:space="0" w:color="auto"/>
              <w:bottom w:val="single" w:sz="4" w:space="0" w:color="auto"/>
            </w:tcBorders>
            <w:tcMar>
              <w:top w:w="0" w:type="dxa"/>
              <w:left w:w="0" w:type="dxa"/>
              <w:bottom w:w="0" w:type="dxa"/>
              <w:right w:w="0" w:type="dxa"/>
            </w:tcMar>
            <w:vAlign w:val="center"/>
          </w:tcPr>
          <w:p w14:paraId="6C40765E" w14:textId="77777777" w:rsidR="00B539A8" w:rsidRPr="001E579C" w:rsidRDefault="00B539A8"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Times New Roman" w:eastAsia="Arial" w:hAnsi="Times New Roman" w:cs="Times New Roman"/>
                <w:b/>
                <w:sz w:val="20"/>
                <w:szCs w:val="20"/>
              </w:rPr>
            </w:pPr>
            <w:r w:rsidRPr="001E579C">
              <w:rPr>
                <w:rFonts w:ascii="Times New Roman" w:eastAsia="Arial" w:hAnsi="Times New Roman" w:cs="Times New Roman"/>
                <w:b/>
                <w:sz w:val="20"/>
                <w:szCs w:val="20"/>
              </w:rPr>
              <w:t>Lower_95_CI</w:t>
            </w:r>
          </w:p>
        </w:tc>
        <w:tc>
          <w:tcPr>
            <w:tcW w:w="1671" w:type="dxa"/>
            <w:tcBorders>
              <w:top w:val="single" w:sz="4" w:space="0" w:color="auto"/>
              <w:bottom w:val="single" w:sz="4" w:space="0" w:color="auto"/>
            </w:tcBorders>
            <w:tcMar>
              <w:top w:w="0" w:type="dxa"/>
              <w:left w:w="0" w:type="dxa"/>
              <w:bottom w:w="0" w:type="dxa"/>
              <w:right w:w="0" w:type="dxa"/>
            </w:tcMar>
            <w:vAlign w:val="center"/>
          </w:tcPr>
          <w:p w14:paraId="0009F46E" w14:textId="77777777" w:rsidR="00B539A8" w:rsidRPr="001E579C" w:rsidRDefault="00B539A8" w:rsidP="00150EF8">
            <w:pPr>
              <w:pBdr>
                <w:top w:val="none" w:sz="0" w:space="0" w:color="000000"/>
                <w:left w:val="none" w:sz="0" w:space="0" w:color="000000"/>
                <w:bottom w:val="none" w:sz="0" w:space="0" w:color="000000"/>
                <w:right w:val="none" w:sz="0" w:space="0" w:color="000000"/>
              </w:pBdr>
              <w:spacing w:before="100" w:after="0"/>
              <w:ind w:left="100" w:right="100"/>
              <w:jc w:val="center"/>
              <w:rPr>
                <w:rFonts w:ascii="Times New Roman" w:eastAsia="Arial" w:hAnsi="Times New Roman" w:cs="Times New Roman"/>
                <w:b/>
                <w:sz w:val="20"/>
                <w:szCs w:val="20"/>
              </w:rPr>
            </w:pPr>
            <w:r w:rsidRPr="001E579C">
              <w:rPr>
                <w:rFonts w:ascii="Times New Roman" w:eastAsia="Arial" w:hAnsi="Times New Roman" w:cs="Times New Roman"/>
                <w:b/>
                <w:sz w:val="20"/>
                <w:szCs w:val="20"/>
              </w:rPr>
              <w:t>Upper_95_CI</w:t>
            </w:r>
          </w:p>
        </w:tc>
      </w:tr>
      <w:tr w:rsidR="00B539A8" w14:paraId="46AE43AC" w14:textId="77777777" w:rsidTr="00A526BF">
        <w:trPr>
          <w:trHeight w:val="439"/>
          <w:jc w:val="center"/>
        </w:trPr>
        <w:tc>
          <w:tcPr>
            <w:tcW w:w="3672" w:type="dxa"/>
            <w:tcBorders>
              <w:top w:val="single" w:sz="4" w:space="0" w:color="auto"/>
            </w:tcBorders>
            <w:shd w:val="clear" w:color="auto" w:fill="FFFFFF"/>
            <w:tcMar>
              <w:top w:w="0" w:type="dxa"/>
              <w:left w:w="0" w:type="dxa"/>
              <w:bottom w:w="0" w:type="dxa"/>
              <w:right w:w="0" w:type="dxa"/>
            </w:tcMar>
            <w:vAlign w:val="center"/>
          </w:tcPr>
          <w:p w14:paraId="3678436E"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Sub-Saharan Africa</w:t>
            </w:r>
          </w:p>
        </w:tc>
        <w:tc>
          <w:tcPr>
            <w:tcW w:w="3917" w:type="dxa"/>
            <w:tcBorders>
              <w:top w:val="single" w:sz="4" w:space="0" w:color="auto"/>
            </w:tcBorders>
            <w:shd w:val="clear" w:color="auto" w:fill="FFFFFF"/>
            <w:tcMar>
              <w:top w:w="0" w:type="dxa"/>
              <w:left w:w="0" w:type="dxa"/>
              <w:bottom w:w="0" w:type="dxa"/>
              <w:right w:w="0" w:type="dxa"/>
            </w:tcMar>
            <w:vAlign w:val="center"/>
          </w:tcPr>
          <w:p w14:paraId="3EBFAF38"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0.576</w:t>
            </w:r>
          </w:p>
        </w:tc>
        <w:tc>
          <w:tcPr>
            <w:tcW w:w="1682" w:type="dxa"/>
            <w:tcBorders>
              <w:top w:val="single" w:sz="4" w:space="0" w:color="auto"/>
            </w:tcBorders>
            <w:shd w:val="clear" w:color="auto" w:fill="FFFFFF"/>
            <w:tcMar>
              <w:top w:w="0" w:type="dxa"/>
              <w:left w:w="0" w:type="dxa"/>
              <w:bottom w:w="0" w:type="dxa"/>
              <w:right w:w="0" w:type="dxa"/>
            </w:tcMar>
            <w:vAlign w:val="center"/>
          </w:tcPr>
          <w:p w14:paraId="5AB1B9F4"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0.460</w:t>
            </w:r>
          </w:p>
        </w:tc>
        <w:tc>
          <w:tcPr>
            <w:tcW w:w="1671" w:type="dxa"/>
            <w:tcBorders>
              <w:top w:val="single" w:sz="4" w:space="0" w:color="auto"/>
            </w:tcBorders>
            <w:shd w:val="clear" w:color="auto" w:fill="FFFFFF"/>
            <w:tcMar>
              <w:top w:w="0" w:type="dxa"/>
              <w:left w:w="0" w:type="dxa"/>
              <w:bottom w:w="0" w:type="dxa"/>
              <w:right w:w="0" w:type="dxa"/>
            </w:tcMar>
            <w:vAlign w:val="center"/>
          </w:tcPr>
          <w:p w14:paraId="6F37B1D6"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0.720</w:t>
            </w:r>
          </w:p>
        </w:tc>
      </w:tr>
      <w:tr w:rsidR="00B539A8" w14:paraId="6A394877" w14:textId="77777777" w:rsidTr="00A526BF">
        <w:trPr>
          <w:trHeight w:val="439"/>
          <w:jc w:val="center"/>
        </w:trPr>
        <w:tc>
          <w:tcPr>
            <w:tcW w:w="3672" w:type="dxa"/>
            <w:shd w:val="clear" w:color="auto" w:fill="FFFFFF"/>
            <w:tcMar>
              <w:top w:w="0" w:type="dxa"/>
              <w:left w:w="0" w:type="dxa"/>
              <w:bottom w:w="0" w:type="dxa"/>
              <w:right w:w="0" w:type="dxa"/>
            </w:tcMar>
            <w:vAlign w:val="center"/>
          </w:tcPr>
          <w:p w14:paraId="2666EABD"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Unclassified or aggregate economy</w:t>
            </w:r>
          </w:p>
        </w:tc>
        <w:tc>
          <w:tcPr>
            <w:tcW w:w="3917" w:type="dxa"/>
            <w:shd w:val="clear" w:color="auto" w:fill="FFFFFF"/>
            <w:tcMar>
              <w:top w:w="0" w:type="dxa"/>
              <w:left w:w="0" w:type="dxa"/>
              <w:bottom w:w="0" w:type="dxa"/>
              <w:right w:w="0" w:type="dxa"/>
            </w:tcMar>
            <w:vAlign w:val="center"/>
          </w:tcPr>
          <w:p w14:paraId="5548128D"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0.432</w:t>
            </w:r>
          </w:p>
        </w:tc>
        <w:tc>
          <w:tcPr>
            <w:tcW w:w="1682" w:type="dxa"/>
            <w:shd w:val="clear" w:color="auto" w:fill="FFFFFF"/>
            <w:tcMar>
              <w:top w:w="0" w:type="dxa"/>
              <w:left w:w="0" w:type="dxa"/>
              <w:bottom w:w="0" w:type="dxa"/>
              <w:right w:w="0" w:type="dxa"/>
            </w:tcMar>
            <w:vAlign w:val="center"/>
          </w:tcPr>
          <w:p w14:paraId="48FC8669"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0.317</w:t>
            </w:r>
          </w:p>
        </w:tc>
        <w:tc>
          <w:tcPr>
            <w:tcW w:w="1671" w:type="dxa"/>
            <w:shd w:val="clear" w:color="auto" w:fill="FFFFFF"/>
            <w:tcMar>
              <w:top w:w="0" w:type="dxa"/>
              <w:left w:w="0" w:type="dxa"/>
              <w:bottom w:w="0" w:type="dxa"/>
              <w:right w:w="0" w:type="dxa"/>
            </w:tcMar>
            <w:vAlign w:val="center"/>
          </w:tcPr>
          <w:p w14:paraId="1ABD4629"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0.588</w:t>
            </w:r>
          </w:p>
        </w:tc>
      </w:tr>
      <w:tr w:rsidR="00B539A8" w14:paraId="22D13069" w14:textId="77777777" w:rsidTr="00A526BF">
        <w:trPr>
          <w:trHeight w:val="439"/>
          <w:jc w:val="center"/>
        </w:trPr>
        <w:tc>
          <w:tcPr>
            <w:tcW w:w="3672" w:type="dxa"/>
            <w:shd w:val="clear" w:color="auto" w:fill="FFFFFF"/>
            <w:tcMar>
              <w:top w:w="0" w:type="dxa"/>
              <w:left w:w="0" w:type="dxa"/>
              <w:bottom w:w="0" w:type="dxa"/>
              <w:right w:w="0" w:type="dxa"/>
            </w:tcMar>
            <w:vAlign w:val="center"/>
          </w:tcPr>
          <w:p w14:paraId="329DF890"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lastRenderedPageBreak/>
              <w:t>Latin America &amp; Caribbean</w:t>
            </w:r>
          </w:p>
        </w:tc>
        <w:tc>
          <w:tcPr>
            <w:tcW w:w="3917" w:type="dxa"/>
            <w:shd w:val="clear" w:color="auto" w:fill="FFFFFF"/>
            <w:tcMar>
              <w:top w:w="0" w:type="dxa"/>
              <w:left w:w="0" w:type="dxa"/>
              <w:bottom w:w="0" w:type="dxa"/>
              <w:right w:w="0" w:type="dxa"/>
            </w:tcMar>
            <w:vAlign w:val="center"/>
          </w:tcPr>
          <w:p w14:paraId="71558566"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0.289</w:t>
            </w:r>
          </w:p>
        </w:tc>
        <w:tc>
          <w:tcPr>
            <w:tcW w:w="1682" w:type="dxa"/>
            <w:shd w:val="clear" w:color="auto" w:fill="FFFFFF"/>
            <w:tcMar>
              <w:top w:w="0" w:type="dxa"/>
              <w:left w:w="0" w:type="dxa"/>
              <w:bottom w:w="0" w:type="dxa"/>
              <w:right w:w="0" w:type="dxa"/>
            </w:tcMar>
            <w:vAlign w:val="center"/>
          </w:tcPr>
          <w:p w14:paraId="78EB9921"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0.218</w:t>
            </w:r>
          </w:p>
        </w:tc>
        <w:tc>
          <w:tcPr>
            <w:tcW w:w="1671" w:type="dxa"/>
            <w:shd w:val="clear" w:color="auto" w:fill="FFFFFF"/>
            <w:tcMar>
              <w:top w:w="0" w:type="dxa"/>
              <w:left w:w="0" w:type="dxa"/>
              <w:bottom w:w="0" w:type="dxa"/>
              <w:right w:w="0" w:type="dxa"/>
            </w:tcMar>
            <w:vAlign w:val="center"/>
          </w:tcPr>
          <w:p w14:paraId="015E8998"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0.382</w:t>
            </w:r>
          </w:p>
        </w:tc>
      </w:tr>
      <w:tr w:rsidR="00B539A8" w14:paraId="00BE9FF4" w14:textId="77777777" w:rsidTr="00A526BF">
        <w:trPr>
          <w:trHeight w:val="439"/>
          <w:jc w:val="center"/>
        </w:trPr>
        <w:tc>
          <w:tcPr>
            <w:tcW w:w="3672" w:type="dxa"/>
            <w:shd w:val="clear" w:color="auto" w:fill="FFFFFF"/>
            <w:tcMar>
              <w:top w:w="0" w:type="dxa"/>
              <w:left w:w="0" w:type="dxa"/>
              <w:bottom w:w="0" w:type="dxa"/>
              <w:right w:w="0" w:type="dxa"/>
            </w:tcMar>
            <w:vAlign w:val="center"/>
          </w:tcPr>
          <w:p w14:paraId="4E3AFBB8"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East Asia &amp; Pacific</w:t>
            </w:r>
          </w:p>
        </w:tc>
        <w:tc>
          <w:tcPr>
            <w:tcW w:w="3917" w:type="dxa"/>
            <w:shd w:val="clear" w:color="auto" w:fill="FFFFFF"/>
            <w:tcMar>
              <w:top w:w="0" w:type="dxa"/>
              <w:left w:w="0" w:type="dxa"/>
              <w:bottom w:w="0" w:type="dxa"/>
              <w:right w:w="0" w:type="dxa"/>
            </w:tcMar>
            <w:vAlign w:val="center"/>
          </w:tcPr>
          <w:p w14:paraId="47D7A370"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0.185</w:t>
            </w:r>
          </w:p>
        </w:tc>
        <w:tc>
          <w:tcPr>
            <w:tcW w:w="1682" w:type="dxa"/>
            <w:shd w:val="clear" w:color="auto" w:fill="FFFFFF"/>
            <w:tcMar>
              <w:top w:w="0" w:type="dxa"/>
              <w:left w:w="0" w:type="dxa"/>
              <w:bottom w:w="0" w:type="dxa"/>
              <w:right w:w="0" w:type="dxa"/>
            </w:tcMar>
            <w:vAlign w:val="center"/>
          </w:tcPr>
          <w:p w14:paraId="36A5DCE6"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0.131</w:t>
            </w:r>
          </w:p>
        </w:tc>
        <w:tc>
          <w:tcPr>
            <w:tcW w:w="1671" w:type="dxa"/>
            <w:shd w:val="clear" w:color="auto" w:fill="FFFFFF"/>
            <w:tcMar>
              <w:top w:w="0" w:type="dxa"/>
              <w:left w:w="0" w:type="dxa"/>
              <w:bottom w:w="0" w:type="dxa"/>
              <w:right w:w="0" w:type="dxa"/>
            </w:tcMar>
            <w:vAlign w:val="center"/>
          </w:tcPr>
          <w:p w14:paraId="14183BE6"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0.260</w:t>
            </w:r>
          </w:p>
        </w:tc>
      </w:tr>
      <w:tr w:rsidR="00B539A8" w14:paraId="3727022C" w14:textId="77777777" w:rsidTr="00A526BF">
        <w:trPr>
          <w:trHeight w:val="439"/>
          <w:jc w:val="center"/>
        </w:trPr>
        <w:tc>
          <w:tcPr>
            <w:tcW w:w="3672" w:type="dxa"/>
            <w:shd w:val="clear" w:color="auto" w:fill="FFFFFF"/>
            <w:tcMar>
              <w:top w:w="0" w:type="dxa"/>
              <w:left w:w="0" w:type="dxa"/>
              <w:bottom w:w="0" w:type="dxa"/>
              <w:right w:w="0" w:type="dxa"/>
            </w:tcMar>
            <w:vAlign w:val="center"/>
          </w:tcPr>
          <w:p w14:paraId="2C0B0C5D"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Middle East &amp; North Africa</w:t>
            </w:r>
          </w:p>
        </w:tc>
        <w:tc>
          <w:tcPr>
            <w:tcW w:w="3917" w:type="dxa"/>
            <w:shd w:val="clear" w:color="auto" w:fill="FFFFFF"/>
            <w:tcMar>
              <w:top w:w="0" w:type="dxa"/>
              <w:left w:w="0" w:type="dxa"/>
              <w:bottom w:w="0" w:type="dxa"/>
              <w:right w:w="0" w:type="dxa"/>
            </w:tcMar>
            <w:vAlign w:val="center"/>
          </w:tcPr>
          <w:p w14:paraId="3EE61285"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0.130</w:t>
            </w:r>
          </w:p>
        </w:tc>
        <w:tc>
          <w:tcPr>
            <w:tcW w:w="1682" w:type="dxa"/>
            <w:shd w:val="clear" w:color="auto" w:fill="FFFFFF"/>
            <w:tcMar>
              <w:top w:w="0" w:type="dxa"/>
              <w:left w:w="0" w:type="dxa"/>
              <w:bottom w:w="0" w:type="dxa"/>
              <w:right w:w="0" w:type="dxa"/>
            </w:tcMar>
            <w:vAlign w:val="center"/>
          </w:tcPr>
          <w:p w14:paraId="1B614947"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0.092</w:t>
            </w:r>
          </w:p>
        </w:tc>
        <w:tc>
          <w:tcPr>
            <w:tcW w:w="1671" w:type="dxa"/>
            <w:shd w:val="clear" w:color="auto" w:fill="FFFFFF"/>
            <w:tcMar>
              <w:top w:w="0" w:type="dxa"/>
              <w:left w:w="0" w:type="dxa"/>
              <w:bottom w:w="0" w:type="dxa"/>
              <w:right w:w="0" w:type="dxa"/>
            </w:tcMar>
            <w:vAlign w:val="center"/>
          </w:tcPr>
          <w:p w14:paraId="7E44F990"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0.182</w:t>
            </w:r>
          </w:p>
        </w:tc>
      </w:tr>
      <w:tr w:rsidR="00B539A8" w14:paraId="62B2CE9D" w14:textId="77777777" w:rsidTr="00A526BF">
        <w:trPr>
          <w:trHeight w:val="439"/>
          <w:jc w:val="center"/>
        </w:trPr>
        <w:tc>
          <w:tcPr>
            <w:tcW w:w="3672" w:type="dxa"/>
            <w:shd w:val="clear" w:color="auto" w:fill="FFFFFF"/>
            <w:tcMar>
              <w:top w:w="0" w:type="dxa"/>
              <w:left w:w="0" w:type="dxa"/>
              <w:bottom w:w="0" w:type="dxa"/>
              <w:right w:w="0" w:type="dxa"/>
            </w:tcMar>
            <w:vAlign w:val="center"/>
          </w:tcPr>
          <w:p w14:paraId="6E8B2B5F"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Europe &amp; Central Asia</w:t>
            </w:r>
          </w:p>
        </w:tc>
        <w:tc>
          <w:tcPr>
            <w:tcW w:w="3917" w:type="dxa"/>
            <w:shd w:val="clear" w:color="auto" w:fill="FFFFFF"/>
            <w:tcMar>
              <w:top w:w="0" w:type="dxa"/>
              <w:left w:w="0" w:type="dxa"/>
              <w:bottom w:w="0" w:type="dxa"/>
              <w:right w:w="0" w:type="dxa"/>
            </w:tcMar>
            <w:vAlign w:val="center"/>
          </w:tcPr>
          <w:p w14:paraId="6C0BD019"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0.125</w:t>
            </w:r>
          </w:p>
        </w:tc>
        <w:tc>
          <w:tcPr>
            <w:tcW w:w="1682" w:type="dxa"/>
            <w:shd w:val="clear" w:color="auto" w:fill="FFFFFF"/>
            <w:tcMar>
              <w:top w:w="0" w:type="dxa"/>
              <w:left w:w="0" w:type="dxa"/>
              <w:bottom w:w="0" w:type="dxa"/>
              <w:right w:w="0" w:type="dxa"/>
            </w:tcMar>
            <w:vAlign w:val="center"/>
          </w:tcPr>
          <w:p w14:paraId="1C3B4133"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0.096</w:t>
            </w:r>
          </w:p>
        </w:tc>
        <w:tc>
          <w:tcPr>
            <w:tcW w:w="1671" w:type="dxa"/>
            <w:shd w:val="clear" w:color="auto" w:fill="FFFFFF"/>
            <w:tcMar>
              <w:top w:w="0" w:type="dxa"/>
              <w:left w:w="0" w:type="dxa"/>
              <w:bottom w:w="0" w:type="dxa"/>
              <w:right w:w="0" w:type="dxa"/>
            </w:tcMar>
            <w:vAlign w:val="center"/>
          </w:tcPr>
          <w:p w14:paraId="28410D95"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0.164</w:t>
            </w:r>
          </w:p>
        </w:tc>
      </w:tr>
      <w:tr w:rsidR="00B539A8" w14:paraId="2B10341E" w14:textId="77777777" w:rsidTr="00A526BF">
        <w:trPr>
          <w:trHeight w:val="439"/>
          <w:jc w:val="center"/>
        </w:trPr>
        <w:tc>
          <w:tcPr>
            <w:tcW w:w="3672" w:type="dxa"/>
            <w:shd w:val="clear" w:color="auto" w:fill="FFFFFF"/>
            <w:tcMar>
              <w:top w:w="0" w:type="dxa"/>
              <w:left w:w="0" w:type="dxa"/>
              <w:bottom w:w="0" w:type="dxa"/>
              <w:right w:w="0" w:type="dxa"/>
            </w:tcMar>
            <w:vAlign w:val="center"/>
          </w:tcPr>
          <w:p w14:paraId="00AD53CD"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South Asia</w:t>
            </w:r>
          </w:p>
        </w:tc>
        <w:tc>
          <w:tcPr>
            <w:tcW w:w="3917" w:type="dxa"/>
            <w:shd w:val="clear" w:color="auto" w:fill="FFFFFF"/>
            <w:tcMar>
              <w:top w:w="0" w:type="dxa"/>
              <w:left w:w="0" w:type="dxa"/>
              <w:bottom w:w="0" w:type="dxa"/>
              <w:right w:w="0" w:type="dxa"/>
            </w:tcMar>
            <w:vAlign w:val="center"/>
          </w:tcPr>
          <w:p w14:paraId="14748F21"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0.120</w:t>
            </w:r>
          </w:p>
        </w:tc>
        <w:tc>
          <w:tcPr>
            <w:tcW w:w="1682" w:type="dxa"/>
            <w:shd w:val="clear" w:color="auto" w:fill="FFFFFF"/>
            <w:tcMar>
              <w:top w:w="0" w:type="dxa"/>
              <w:left w:w="0" w:type="dxa"/>
              <w:bottom w:w="0" w:type="dxa"/>
              <w:right w:w="0" w:type="dxa"/>
            </w:tcMar>
            <w:vAlign w:val="center"/>
          </w:tcPr>
          <w:p w14:paraId="56A3AC8B"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0.070</w:t>
            </w:r>
          </w:p>
        </w:tc>
        <w:tc>
          <w:tcPr>
            <w:tcW w:w="1671" w:type="dxa"/>
            <w:shd w:val="clear" w:color="auto" w:fill="FFFFFF"/>
            <w:tcMar>
              <w:top w:w="0" w:type="dxa"/>
              <w:left w:w="0" w:type="dxa"/>
              <w:bottom w:w="0" w:type="dxa"/>
              <w:right w:w="0" w:type="dxa"/>
            </w:tcMar>
            <w:vAlign w:val="center"/>
          </w:tcPr>
          <w:p w14:paraId="601F47BE"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0.208</w:t>
            </w:r>
          </w:p>
        </w:tc>
      </w:tr>
      <w:tr w:rsidR="00B539A8" w14:paraId="790F85D0" w14:textId="77777777" w:rsidTr="00A526BF">
        <w:trPr>
          <w:trHeight w:val="439"/>
          <w:jc w:val="center"/>
        </w:trPr>
        <w:tc>
          <w:tcPr>
            <w:tcW w:w="3672" w:type="dxa"/>
            <w:shd w:val="clear" w:color="auto" w:fill="FFFFFF"/>
            <w:tcMar>
              <w:top w:w="0" w:type="dxa"/>
              <w:left w:w="0" w:type="dxa"/>
              <w:bottom w:w="0" w:type="dxa"/>
              <w:right w:w="0" w:type="dxa"/>
            </w:tcMar>
            <w:vAlign w:val="center"/>
          </w:tcPr>
          <w:p w14:paraId="27AC328D"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North America</w:t>
            </w:r>
          </w:p>
        </w:tc>
        <w:tc>
          <w:tcPr>
            <w:tcW w:w="3917" w:type="dxa"/>
            <w:shd w:val="clear" w:color="auto" w:fill="FFFFFF"/>
            <w:tcMar>
              <w:top w:w="0" w:type="dxa"/>
              <w:left w:w="0" w:type="dxa"/>
              <w:bottom w:w="0" w:type="dxa"/>
              <w:right w:w="0" w:type="dxa"/>
            </w:tcMar>
            <w:vAlign w:val="center"/>
          </w:tcPr>
          <w:p w14:paraId="141C01EC"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0.119</w:t>
            </w:r>
          </w:p>
        </w:tc>
        <w:tc>
          <w:tcPr>
            <w:tcW w:w="1682" w:type="dxa"/>
            <w:shd w:val="clear" w:color="auto" w:fill="FFFFFF"/>
            <w:tcMar>
              <w:top w:w="0" w:type="dxa"/>
              <w:left w:w="0" w:type="dxa"/>
              <w:bottom w:w="0" w:type="dxa"/>
              <w:right w:w="0" w:type="dxa"/>
            </w:tcMar>
            <w:vAlign w:val="center"/>
          </w:tcPr>
          <w:p w14:paraId="11828524"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0.028</w:t>
            </w:r>
          </w:p>
        </w:tc>
        <w:tc>
          <w:tcPr>
            <w:tcW w:w="1671" w:type="dxa"/>
            <w:shd w:val="clear" w:color="auto" w:fill="FFFFFF"/>
            <w:tcMar>
              <w:top w:w="0" w:type="dxa"/>
              <w:left w:w="0" w:type="dxa"/>
              <w:bottom w:w="0" w:type="dxa"/>
              <w:right w:w="0" w:type="dxa"/>
            </w:tcMar>
            <w:vAlign w:val="center"/>
          </w:tcPr>
          <w:p w14:paraId="573A77B7" w14:textId="77777777" w:rsidR="00B539A8" w:rsidRDefault="00B539A8" w:rsidP="00150EF8">
            <w:pPr>
              <w:pBdr>
                <w:top w:val="none" w:sz="0" w:space="0" w:color="000000"/>
                <w:left w:val="none" w:sz="0" w:space="0" w:color="000000"/>
                <w:bottom w:val="none" w:sz="0" w:space="0" w:color="000000"/>
                <w:right w:val="none" w:sz="0" w:space="0" w:color="000000"/>
              </w:pBdr>
              <w:spacing w:before="100" w:after="0"/>
              <w:ind w:left="100" w:right="100"/>
              <w:rPr>
                <w:rFonts w:ascii="Arial" w:eastAsia="Arial" w:hAnsi="Arial" w:cs="Arial"/>
                <w:color w:val="000000"/>
                <w:sz w:val="18"/>
                <w:szCs w:val="18"/>
              </w:rPr>
            </w:pPr>
            <w:r>
              <w:rPr>
                <w:rFonts w:ascii="Arial" w:eastAsia="Arial" w:hAnsi="Arial" w:cs="Arial"/>
                <w:color w:val="000000"/>
                <w:sz w:val="18"/>
                <w:szCs w:val="18"/>
              </w:rPr>
              <w:t>0.507</w:t>
            </w:r>
          </w:p>
        </w:tc>
      </w:tr>
    </w:tbl>
    <w:p w14:paraId="4F3DB0DD" w14:textId="77777777" w:rsidR="00C3509B" w:rsidRDefault="00C3509B" w:rsidP="00150EF8">
      <w:pPr>
        <w:spacing w:after="0"/>
        <w:jc w:val="both"/>
        <w:rPr>
          <w:rFonts w:ascii="Times New Roman" w:hAnsi="Times New Roman" w:cs="Times New Roman"/>
          <w:sz w:val="24"/>
          <w:szCs w:val="24"/>
        </w:rPr>
      </w:pPr>
    </w:p>
    <w:p w14:paraId="3923386B" w14:textId="79D3D921" w:rsidR="00B539A8" w:rsidRPr="00073875" w:rsidRDefault="007177A2"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Table 4 shows </w:t>
      </w:r>
      <w:r>
        <w:rPr>
          <w:rFonts w:ascii="Times New Roman" w:hAnsi="Times New Roman" w:cs="Times New Roman"/>
          <w:sz w:val="24"/>
          <w:szCs w:val="24"/>
        </w:rPr>
        <w:t xml:space="preserve">the </w:t>
      </w:r>
      <w:r w:rsidRPr="00073875">
        <w:rPr>
          <w:rFonts w:ascii="Times New Roman" w:hAnsi="Times New Roman" w:cs="Times New Roman"/>
          <w:sz w:val="24"/>
          <w:szCs w:val="24"/>
        </w:rPr>
        <w:t>model-based regional forecast and affirm that Sub-Saharan Africa is the riskiest region and the forecasted prevalence is 0.576% which has a 95% CI of 0.460-0.720. The group of unclassified or aggregate economy was the next with 0.432% followed by Latin America and the Caribbean with 0.289%. The confidence interval was wide in North America</w:t>
      </w:r>
      <w:r>
        <w:rPr>
          <w:rFonts w:ascii="Times New Roman" w:hAnsi="Times New Roman" w:cs="Times New Roman"/>
          <w:sz w:val="24"/>
          <w:szCs w:val="24"/>
        </w:rPr>
        <w:t>, which</w:t>
      </w:r>
      <w:r w:rsidRPr="00073875">
        <w:rPr>
          <w:rFonts w:ascii="Times New Roman" w:hAnsi="Times New Roman" w:cs="Times New Roman"/>
          <w:sz w:val="24"/>
          <w:szCs w:val="24"/>
        </w:rPr>
        <w:t xml:space="preserve"> indicated little information and uncertainty despite having a low point estimate. This study is novel compared to the past researches that tended to report uncooked regional averages, whereas this study reports model-based estimates unadjusted in the form of uncertainty intervals. This difference is significant as it offers more justifiable evidence to prioritization to policymakers, in particular, those related to SDG 3.3, SDG 3.7 on access to sexual and reproductive health, and SDG 17 on enhancing data systems.</w:t>
      </w:r>
    </w:p>
    <w:p w14:paraId="4520CF47" w14:textId="77777777" w:rsidR="002B2BFF" w:rsidRDefault="002B2BFF" w:rsidP="00150EF8">
      <w:pPr>
        <w:spacing w:after="0"/>
        <w:jc w:val="both"/>
        <w:rPr>
          <w:rFonts w:ascii="Times New Roman" w:hAnsi="Times New Roman" w:cs="Times New Roman"/>
          <w:sz w:val="24"/>
          <w:szCs w:val="24"/>
        </w:rPr>
      </w:pPr>
    </w:p>
    <w:p w14:paraId="4A0D5102" w14:textId="16F5B9B2"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In general, the results prove that the incidence of HIV among males aged 15</w:t>
      </w:r>
      <w:r w:rsidR="00E21D4D">
        <w:rPr>
          <w:rFonts w:ascii="Times New Roman" w:hAnsi="Times New Roman" w:cs="Times New Roman"/>
          <w:sz w:val="24"/>
          <w:szCs w:val="24"/>
        </w:rPr>
        <w:t>-</w:t>
      </w:r>
      <w:r w:rsidRPr="00073875">
        <w:rPr>
          <w:rFonts w:ascii="Times New Roman" w:hAnsi="Times New Roman" w:cs="Times New Roman"/>
          <w:sz w:val="24"/>
          <w:szCs w:val="24"/>
        </w:rPr>
        <w:t>24 decreases over the years</w:t>
      </w:r>
      <w:r w:rsidR="00E21D4D">
        <w:rPr>
          <w:rFonts w:ascii="Times New Roman" w:hAnsi="Times New Roman" w:cs="Times New Roman"/>
          <w:sz w:val="24"/>
          <w:szCs w:val="24"/>
        </w:rPr>
        <w:t>,</w:t>
      </w:r>
      <w:r w:rsidRPr="00073875">
        <w:rPr>
          <w:rFonts w:ascii="Times New Roman" w:hAnsi="Times New Roman" w:cs="Times New Roman"/>
          <w:sz w:val="24"/>
          <w:szCs w:val="24"/>
        </w:rPr>
        <w:t xml:space="preserve"> but at the same time, </w:t>
      </w:r>
      <w:r w:rsidR="00E21D4D">
        <w:rPr>
          <w:rFonts w:ascii="Times New Roman" w:hAnsi="Times New Roman" w:cs="Times New Roman"/>
          <w:sz w:val="24"/>
          <w:szCs w:val="24"/>
        </w:rPr>
        <w:t xml:space="preserve">it </w:t>
      </w:r>
      <w:r w:rsidRPr="00073875">
        <w:rPr>
          <w:rFonts w:ascii="Times New Roman" w:hAnsi="Times New Roman" w:cs="Times New Roman"/>
          <w:sz w:val="24"/>
          <w:szCs w:val="24"/>
        </w:rPr>
        <w:t xml:space="preserve">is uneven regionally and nationally. Compared to the previous research, the study is better in that it employs a model suitable </w:t>
      </w:r>
      <w:r w:rsidR="00E21D4D">
        <w:rPr>
          <w:rFonts w:ascii="Times New Roman" w:hAnsi="Times New Roman" w:cs="Times New Roman"/>
          <w:sz w:val="24"/>
          <w:szCs w:val="24"/>
        </w:rPr>
        <w:t>for</w:t>
      </w:r>
      <w:r w:rsidRPr="00073875">
        <w:rPr>
          <w:rFonts w:ascii="Times New Roman" w:hAnsi="Times New Roman" w:cs="Times New Roman"/>
          <w:sz w:val="24"/>
          <w:szCs w:val="24"/>
        </w:rPr>
        <w:t xml:space="preserve"> bounded, skewed, longitudinal and unbalanced prevalence data</w:t>
      </w:r>
      <w:r w:rsidR="00E21D4D">
        <w:rPr>
          <w:rFonts w:ascii="Times New Roman" w:hAnsi="Times New Roman" w:cs="Times New Roman"/>
          <w:sz w:val="24"/>
          <w:szCs w:val="24"/>
        </w:rPr>
        <w:t>,</w:t>
      </w:r>
      <w:r w:rsidRPr="00073875">
        <w:rPr>
          <w:rFonts w:ascii="Times New Roman" w:hAnsi="Times New Roman" w:cs="Times New Roman"/>
          <w:sz w:val="24"/>
          <w:szCs w:val="24"/>
        </w:rPr>
        <w:t xml:space="preserve"> </w:t>
      </w:r>
      <w:r w:rsidR="002B2BFF">
        <w:rPr>
          <w:rFonts w:ascii="Times New Roman" w:hAnsi="Times New Roman" w:cs="Times New Roman"/>
          <w:sz w:val="24"/>
          <w:szCs w:val="24"/>
        </w:rPr>
        <w:t>and</w:t>
      </w:r>
      <w:r w:rsidRPr="00073875">
        <w:rPr>
          <w:rFonts w:ascii="Times New Roman" w:hAnsi="Times New Roman" w:cs="Times New Roman"/>
          <w:sz w:val="24"/>
          <w:szCs w:val="24"/>
        </w:rPr>
        <w:t xml:space="preserve"> it breaks down country-level differences into random intercepts and random slopes. This focuses on the identified methodological gaps in the literature: excessive use of pooled or linear models, insufficient modelling of heterogeneity, and inappropriate uncertainty and diagnostics reporting. The key health promotion theme is that world development is true but disproportionate; to achieve the elimination of HIV amongst youth, statistically sensitive, regionally varied, and country-specific measures should be taken, which are consistent with SDG 3.3, SDG 3.7, SDG 10, and SDG 17.</w:t>
      </w:r>
    </w:p>
    <w:p w14:paraId="56449E7A" w14:textId="77777777" w:rsidR="002B2BFF" w:rsidRDefault="002B2BFF" w:rsidP="00150EF8">
      <w:pPr>
        <w:spacing w:after="0"/>
        <w:jc w:val="both"/>
        <w:rPr>
          <w:rFonts w:ascii="Times New Roman" w:hAnsi="Times New Roman" w:cs="Times New Roman"/>
          <w:sz w:val="24"/>
          <w:szCs w:val="24"/>
        </w:rPr>
      </w:pPr>
    </w:p>
    <w:p w14:paraId="4706B3ED" w14:textId="77777777" w:rsidR="002C16D6" w:rsidRPr="002C16D6" w:rsidRDefault="002C16D6" w:rsidP="00150EF8">
      <w:pPr>
        <w:spacing w:after="0"/>
        <w:jc w:val="both"/>
        <w:rPr>
          <w:rFonts w:ascii="Times New Roman" w:hAnsi="Times New Roman" w:cs="Times New Roman"/>
          <w:b/>
          <w:bCs/>
          <w:sz w:val="24"/>
          <w:szCs w:val="24"/>
        </w:rPr>
      </w:pPr>
      <w:r w:rsidRPr="002C16D6">
        <w:rPr>
          <w:rFonts w:ascii="Times New Roman" w:hAnsi="Times New Roman" w:cs="Times New Roman"/>
          <w:b/>
          <w:bCs/>
          <w:sz w:val="24"/>
          <w:szCs w:val="24"/>
        </w:rPr>
        <w:t>Discussion</w:t>
      </w:r>
    </w:p>
    <w:p w14:paraId="4D9AB325" w14:textId="5755AFA7"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The current study offers strong international data on the prevalence of HIV among males aged 1524 in terms of a multilevel beta mixed-effects model that specifically takes into consideration the limited, distorted, and hierarchical nature of the data. The results indicate that the prevalence of HIV among this population is not high by its absolute value but very skewed both regionally and nationally. Descriptive statistics (Table 1) indicate that Sub-Saharan Africa is disproportionately burdened, with an overall mean prevalence of 1.276% and extreme values of 12.1</w:t>
      </w:r>
      <w:r w:rsidR="002C16D6">
        <w:rPr>
          <w:rFonts w:ascii="Times New Roman" w:hAnsi="Times New Roman" w:cs="Times New Roman"/>
          <w:sz w:val="24"/>
          <w:szCs w:val="24"/>
        </w:rPr>
        <w:t>,</w:t>
      </w:r>
      <w:r w:rsidRPr="00073875">
        <w:rPr>
          <w:rFonts w:ascii="Times New Roman" w:hAnsi="Times New Roman" w:cs="Times New Roman"/>
          <w:sz w:val="24"/>
          <w:szCs w:val="24"/>
        </w:rPr>
        <w:t xml:space="preserve"> whereas other countries, like Europe</w:t>
      </w:r>
      <w:r w:rsidR="002C16D6">
        <w:rPr>
          <w:rFonts w:ascii="Times New Roman" w:hAnsi="Times New Roman" w:cs="Times New Roman"/>
          <w:sz w:val="24"/>
          <w:szCs w:val="24"/>
        </w:rPr>
        <w:t>,</w:t>
      </w:r>
      <w:r w:rsidRPr="00073875">
        <w:rPr>
          <w:rFonts w:ascii="Times New Roman" w:hAnsi="Times New Roman" w:cs="Times New Roman"/>
          <w:sz w:val="24"/>
          <w:szCs w:val="24"/>
        </w:rPr>
        <w:t xml:space="preserve"> Central Asia and South Asia have much lower averages. This validates previous epidemiological studies of geographic concentration of HIV burden (Zhang et al., 2022; Rosenberg et al., 2023), but goes beyond the literature by quantifying variability in a statistically suitable distributional model.</w:t>
      </w:r>
    </w:p>
    <w:p w14:paraId="5CE2C852" w14:textId="77777777" w:rsidR="002B2BFF" w:rsidRDefault="002B2BFF" w:rsidP="00150EF8">
      <w:pPr>
        <w:spacing w:after="0"/>
        <w:jc w:val="both"/>
        <w:rPr>
          <w:rFonts w:ascii="Times New Roman" w:hAnsi="Times New Roman" w:cs="Times New Roman"/>
          <w:sz w:val="24"/>
          <w:szCs w:val="24"/>
        </w:rPr>
      </w:pPr>
    </w:p>
    <w:p w14:paraId="42D77592" w14:textId="1E5A4BA6"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lastRenderedPageBreak/>
        <w:t xml:space="preserve">A temporal analysis reveals an apparent nonlinear global trend: The prevalence of HIV grew in the early 1990s, reached its peak in the late 1990s and has since then been on </w:t>
      </w:r>
      <w:r w:rsidR="002C16D6">
        <w:rPr>
          <w:rFonts w:ascii="Times New Roman" w:hAnsi="Times New Roman" w:cs="Times New Roman"/>
          <w:sz w:val="24"/>
          <w:szCs w:val="24"/>
        </w:rPr>
        <w:t>a</w:t>
      </w:r>
      <w:r w:rsidRPr="00073875">
        <w:rPr>
          <w:rFonts w:ascii="Times New Roman" w:hAnsi="Times New Roman" w:cs="Times New Roman"/>
          <w:sz w:val="24"/>
          <w:szCs w:val="24"/>
        </w:rPr>
        <w:t xml:space="preserve"> downward trend. The multilevel model validates this declining trend, though the effect of time is statistically significant (OR = 0.952, p =.002)</w:t>
      </w:r>
      <w:r w:rsidR="002C16D6">
        <w:rPr>
          <w:rFonts w:ascii="Times New Roman" w:hAnsi="Times New Roman" w:cs="Times New Roman"/>
          <w:sz w:val="24"/>
          <w:szCs w:val="24"/>
        </w:rPr>
        <w:t>,</w:t>
      </w:r>
      <w:r w:rsidRPr="00073875">
        <w:rPr>
          <w:rFonts w:ascii="Times New Roman" w:hAnsi="Times New Roman" w:cs="Times New Roman"/>
          <w:sz w:val="24"/>
          <w:szCs w:val="24"/>
        </w:rPr>
        <w:t xml:space="preserve"> which shows that it would be gradually but steadily improving over time. This is in line with the international development due to increased testing and prevention, as well as antiretroviral therapy coverage (Mody et al., 2024; Bekker et al., 2023). However, continued existence of the regional inequalities implies that such gains are not evenly spread, which supports the necessity to engage in specific interventions.</w:t>
      </w:r>
    </w:p>
    <w:p w14:paraId="01EB8F6A" w14:textId="77777777" w:rsidR="00B92566" w:rsidRDefault="00B92566" w:rsidP="00150EF8">
      <w:pPr>
        <w:spacing w:after="0"/>
        <w:jc w:val="both"/>
        <w:rPr>
          <w:rFonts w:ascii="Times New Roman" w:hAnsi="Times New Roman" w:cs="Times New Roman"/>
          <w:sz w:val="24"/>
          <w:szCs w:val="24"/>
        </w:rPr>
      </w:pPr>
    </w:p>
    <w:p w14:paraId="5EC647CA" w14:textId="76CF187E"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One of the most important methodological results is that the region-adjusted random-slope beta mixed model was the most appropriate one to model the data because it fitted the data much better than simpler models (Table 2). This proves that the regional setting as well as country-specific time dynamics play an important role in the proper modelling of HIV prevalence. This model unlike the past studies that use pooled or fixed-effect methods, captures the heterogeneity in baseline prevalence as well as rates of change across countries. This is an important step forward, as it demonstrates that when it comes to global epidemics it is easy to lose important distinctions between the patterns on the basis of homogeneous assumptions.</w:t>
      </w:r>
    </w:p>
    <w:p w14:paraId="4F417153" w14:textId="77777777" w:rsidR="00B92566" w:rsidRDefault="00B92566" w:rsidP="00150EF8">
      <w:pPr>
        <w:spacing w:after="0"/>
        <w:jc w:val="both"/>
        <w:rPr>
          <w:rFonts w:ascii="Times New Roman" w:hAnsi="Times New Roman" w:cs="Times New Roman"/>
          <w:sz w:val="24"/>
          <w:szCs w:val="24"/>
        </w:rPr>
      </w:pPr>
    </w:p>
    <w:p w14:paraId="29497227" w14:textId="3AB50FF2"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The results of the fixed-effects also point out significant regional disparities. Sub-Saharan Africa has much greater odds of HIV prevalence than the reference (OR = 3.131, p =.001), and Latin America and the Caribbean </w:t>
      </w:r>
      <w:r w:rsidR="00D51802">
        <w:rPr>
          <w:rFonts w:ascii="Times New Roman" w:hAnsi="Times New Roman" w:cs="Times New Roman"/>
          <w:sz w:val="24"/>
          <w:szCs w:val="24"/>
        </w:rPr>
        <w:t>also have</w:t>
      </w:r>
      <w:r w:rsidRPr="00073875">
        <w:rPr>
          <w:rFonts w:ascii="Times New Roman" w:hAnsi="Times New Roman" w:cs="Times New Roman"/>
          <w:sz w:val="24"/>
          <w:szCs w:val="24"/>
        </w:rPr>
        <w:t xml:space="preserve"> a high level of risk (OR = 1.566, p =.044). Conversely, other parts, like Europe &amp; Central Asia, South Asia, </w:t>
      </w:r>
      <w:r w:rsidR="00D51802">
        <w:rPr>
          <w:rFonts w:ascii="Times New Roman" w:hAnsi="Times New Roman" w:cs="Times New Roman"/>
          <w:sz w:val="24"/>
          <w:szCs w:val="24"/>
        </w:rPr>
        <w:t>the</w:t>
      </w:r>
      <w:r w:rsidRPr="00073875">
        <w:rPr>
          <w:rFonts w:ascii="Times New Roman" w:hAnsi="Times New Roman" w:cs="Times New Roman"/>
          <w:sz w:val="24"/>
          <w:szCs w:val="24"/>
        </w:rPr>
        <w:t xml:space="preserve"> Middle East, </w:t>
      </w:r>
      <w:r w:rsidR="00D51802">
        <w:rPr>
          <w:rFonts w:ascii="Times New Roman" w:hAnsi="Times New Roman" w:cs="Times New Roman"/>
          <w:sz w:val="24"/>
          <w:szCs w:val="24"/>
        </w:rPr>
        <w:t xml:space="preserve">and </w:t>
      </w:r>
      <w:r w:rsidRPr="00073875">
        <w:rPr>
          <w:rFonts w:ascii="Times New Roman" w:hAnsi="Times New Roman" w:cs="Times New Roman"/>
          <w:sz w:val="24"/>
          <w:szCs w:val="24"/>
        </w:rPr>
        <w:t>North Africa</w:t>
      </w:r>
      <w:r w:rsidR="00D51802">
        <w:rPr>
          <w:rFonts w:ascii="Times New Roman" w:hAnsi="Times New Roman" w:cs="Times New Roman"/>
          <w:sz w:val="24"/>
          <w:szCs w:val="24"/>
        </w:rPr>
        <w:t>,</w:t>
      </w:r>
      <w:r w:rsidRPr="00073875">
        <w:rPr>
          <w:rFonts w:ascii="Times New Roman" w:hAnsi="Times New Roman" w:cs="Times New Roman"/>
          <w:sz w:val="24"/>
          <w:szCs w:val="24"/>
        </w:rPr>
        <w:t xml:space="preserve"> have no significant differences or lower differences. These </w:t>
      </w:r>
      <w:r w:rsidR="00D51802">
        <w:rPr>
          <w:rFonts w:ascii="Times New Roman" w:hAnsi="Times New Roman" w:cs="Times New Roman"/>
          <w:sz w:val="24"/>
          <w:szCs w:val="24"/>
        </w:rPr>
        <w:t>results</w:t>
      </w:r>
      <w:r w:rsidRPr="00073875">
        <w:rPr>
          <w:rFonts w:ascii="Times New Roman" w:hAnsi="Times New Roman" w:cs="Times New Roman"/>
          <w:sz w:val="24"/>
          <w:szCs w:val="24"/>
        </w:rPr>
        <w:t xml:space="preserve"> are in line with previous studies on the disparities across regions but offer better statistical inference through the use of hierarchical modelling and proper distributional assumptions.</w:t>
      </w:r>
      <w:r w:rsidR="00B92566">
        <w:rPr>
          <w:rFonts w:ascii="Times New Roman" w:hAnsi="Times New Roman" w:cs="Times New Roman"/>
          <w:sz w:val="24"/>
          <w:szCs w:val="24"/>
        </w:rPr>
        <w:t xml:space="preserve"> </w:t>
      </w:r>
      <w:r w:rsidRPr="00073875">
        <w:rPr>
          <w:rFonts w:ascii="Times New Roman" w:hAnsi="Times New Roman" w:cs="Times New Roman"/>
          <w:sz w:val="24"/>
          <w:szCs w:val="24"/>
        </w:rPr>
        <w:t xml:space="preserve">These trends are confirmed by model-based predictions (Table 4) with the highest adjusted prevalence (0.576%, 95% CI: 0.4600.720) in Sub-Saharan Africa, then unclassified or aggregate economies (0.432%), then Latin America &amp; Caribbean (0.289%). Confidence intervals bring on board a very critical aspect of uncertainty, which </w:t>
      </w:r>
      <w:r w:rsidR="00D51802">
        <w:rPr>
          <w:rFonts w:ascii="Times New Roman" w:hAnsi="Times New Roman" w:cs="Times New Roman"/>
          <w:sz w:val="24"/>
          <w:szCs w:val="24"/>
        </w:rPr>
        <w:t>is lacking</w:t>
      </w:r>
      <w:r w:rsidRPr="00073875">
        <w:rPr>
          <w:rFonts w:ascii="Times New Roman" w:hAnsi="Times New Roman" w:cs="Times New Roman"/>
          <w:sz w:val="24"/>
          <w:szCs w:val="24"/>
        </w:rPr>
        <w:t xml:space="preserve"> in descriptive research. This increases the accuracy of the results in making policy decisions.</w:t>
      </w:r>
    </w:p>
    <w:p w14:paraId="38A28F48" w14:textId="77777777" w:rsidR="00B92566" w:rsidRDefault="00B92566" w:rsidP="00150EF8">
      <w:pPr>
        <w:spacing w:after="0"/>
        <w:jc w:val="both"/>
        <w:rPr>
          <w:rFonts w:ascii="Times New Roman" w:hAnsi="Times New Roman" w:cs="Times New Roman"/>
          <w:sz w:val="24"/>
          <w:szCs w:val="24"/>
        </w:rPr>
      </w:pPr>
    </w:p>
    <w:p w14:paraId="01ACFF3D" w14:textId="4F317D59"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There </w:t>
      </w:r>
      <w:r w:rsidR="00D51802">
        <w:rPr>
          <w:rFonts w:ascii="Times New Roman" w:hAnsi="Times New Roman" w:cs="Times New Roman"/>
          <w:sz w:val="24"/>
          <w:szCs w:val="24"/>
        </w:rPr>
        <w:t>are</w:t>
      </w:r>
      <w:r w:rsidRPr="00073875">
        <w:rPr>
          <w:rFonts w:ascii="Times New Roman" w:hAnsi="Times New Roman" w:cs="Times New Roman"/>
          <w:sz w:val="24"/>
          <w:szCs w:val="24"/>
        </w:rPr>
        <w:t xml:space="preserve"> high levels of heterogeneity at the country level. Eswatini, Zimbabwe, Botswana, and South Africa were identified to be high burden settings, as there is the highest prevalence that is observed and </w:t>
      </w:r>
      <w:r w:rsidR="00D51802">
        <w:rPr>
          <w:rFonts w:ascii="Times New Roman" w:hAnsi="Times New Roman" w:cs="Times New Roman"/>
          <w:sz w:val="24"/>
          <w:szCs w:val="24"/>
        </w:rPr>
        <w:t>model-adjusted</w:t>
      </w:r>
      <w:r w:rsidRPr="00073875">
        <w:rPr>
          <w:rFonts w:ascii="Times New Roman" w:hAnsi="Times New Roman" w:cs="Times New Roman"/>
          <w:sz w:val="24"/>
          <w:szCs w:val="24"/>
        </w:rPr>
        <w:t xml:space="preserve">. Notably, the estimates of random intercept indicate that there are still countries above the world average concerning the HIV prevalence in spite of controlling the factors of location and time, which </w:t>
      </w:r>
      <w:r w:rsidR="00D51802">
        <w:rPr>
          <w:rFonts w:ascii="Times New Roman" w:hAnsi="Times New Roman" w:cs="Times New Roman"/>
          <w:sz w:val="24"/>
          <w:szCs w:val="24"/>
        </w:rPr>
        <w:t>implies</w:t>
      </w:r>
      <w:r w:rsidRPr="00073875">
        <w:rPr>
          <w:rFonts w:ascii="Times New Roman" w:hAnsi="Times New Roman" w:cs="Times New Roman"/>
          <w:sz w:val="24"/>
          <w:szCs w:val="24"/>
        </w:rPr>
        <w:t xml:space="preserve"> the structural or systemic factors of the HIV prevalence. Also, the slope estimates (Randomly chosen) show that different countries vary in terms of their temporal patterns, as some of them are declining more rapidly and others are progressing or increasing more slowly. This points to the fact that the overall negative trend in the world conceals a variety of country-specific processes.</w:t>
      </w:r>
    </w:p>
    <w:p w14:paraId="2019B2DB" w14:textId="77777777" w:rsidR="00B92566" w:rsidRDefault="00B92566" w:rsidP="00150EF8">
      <w:pPr>
        <w:spacing w:after="0"/>
        <w:jc w:val="both"/>
        <w:rPr>
          <w:rFonts w:ascii="Times New Roman" w:hAnsi="Times New Roman" w:cs="Times New Roman"/>
          <w:sz w:val="24"/>
          <w:szCs w:val="24"/>
        </w:rPr>
      </w:pPr>
    </w:p>
    <w:p w14:paraId="64C87C0F" w14:textId="4F5F8FBA"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The distributional analysis confirms that the HIV prevalence is very skew and concentrated around zero and thus supports the application of beta regression. This combats one of the weaknesses of the past researches where they used linear models to constrained results. Also, residual diagnostics </w:t>
      </w:r>
      <w:r w:rsidRPr="00073875">
        <w:rPr>
          <w:rFonts w:ascii="Times New Roman" w:hAnsi="Times New Roman" w:cs="Times New Roman"/>
          <w:sz w:val="24"/>
          <w:szCs w:val="24"/>
        </w:rPr>
        <w:lastRenderedPageBreak/>
        <w:t>show that the model well represents the mean structure, but there is also a certain amount of variability, which is a natural consequence of the complexity of global HIV data.</w:t>
      </w:r>
    </w:p>
    <w:p w14:paraId="4C312915" w14:textId="579E20C7"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All in all, the key results indicate that HIV among young men is decreasing all over the world however it is very heterogeneous both regionally and nationally. The research offers a solid rationale as to why it is necessary to use proper statistical modelling in order to capture these complexities and deliver reliable and policy-relevant findings using multilevel beta mixed-effects modelling.</w:t>
      </w:r>
    </w:p>
    <w:p w14:paraId="3BEEB9CF" w14:textId="77777777" w:rsidR="00150EF8" w:rsidRDefault="00150EF8" w:rsidP="00150EF8">
      <w:pPr>
        <w:spacing w:after="0"/>
        <w:jc w:val="both"/>
        <w:rPr>
          <w:rFonts w:ascii="Times New Roman" w:hAnsi="Times New Roman" w:cs="Times New Roman"/>
          <w:b/>
          <w:bCs/>
          <w:sz w:val="24"/>
          <w:szCs w:val="24"/>
        </w:rPr>
      </w:pPr>
    </w:p>
    <w:p w14:paraId="375B0175" w14:textId="2DA206E1" w:rsidR="00096065" w:rsidRPr="00073875" w:rsidRDefault="00096065" w:rsidP="00150EF8">
      <w:pPr>
        <w:spacing w:after="0"/>
        <w:jc w:val="both"/>
        <w:rPr>
          <w:rFonts w:ascii="Times New Roman" w:hAnsi="Times New Roman" w:cs="Times New Roman"/>
          <w:b/>
          <w:bCs/>
          <w:sz w:val="24"/>
          <w:szCs w:val="24"/>
        </w:rPr>
      </w:pPr>
      <w:r w:rsidRPr="00073875">
        <w:rPr>
          <w:rFonts w:ascii="Times New Roman" w:hAnsi="Times New Roman" w:cs="Times New Roman"/>
          <w:b/>
          <w:bCs/>
          <w:sz w:val="24"/>
          <w:szCs w:val="24"/>
        </w:rPr>
        <w:t>Conclusion</w:t>
      </w:r>
    </w:p>
    <w:p w14:paraId="3953A412" w14:textId="40D798B9"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The research has substantive and methodological implications on the existing knowledge on the prevalence of HIV among males in the age group of 15-24 years in the global context. Substantively, it validates that although the prevalence of HIV in the world is on the decrease over the years, in-depth variations in regions and countries are still evident. Sub-Saharan Africa is still the epicentre of the epidemic among this age group</w:t>
      </w:r>
      <w:r w:rsidR="00150EF8">
        <w:rPr>
          <w:rFonts w:ascii="Times New Roman" w:hAnsi="Times New Roman" w:cs="Times New Roman"/>
          <w:sz w:val="24"/>
          <w:szCs w:val="24"/>
        </w:rPr>
        <w:t>,</w:t>
      </w:r>
      <w:r w:rsidRPr="00073875">
        <w:rPr>
          <w:rFonts w:ascii="Times New Roman" w:hAnsi="Times New Roman" w:cs="Times New Roman"/>
          <w:sz w:val="24"/>
          <w:szCs w:val="24"/>
        </w:rPr>
        <w:t xml:space="preserve"> and some countries still have high levels of prevalence or are structurally high. The results highlight the importance of long-term and targeted interventions targeting young males, such as increased testing, prevention measures like </w:t>
      </w:r>
      <w:r w:rsidR="00150EF8" w:rsidRPr="00073875">
        <w:rPr>
          <w:rFonts w:ascii="Times New Roman" w:hAnsi="Times New Roman" w:cs="Times New Roman"/>
          <w:sz w:val="24"/>
          <w:szCs w:val="24"/>
        </w:rPr>
        <w:t>pre-exposure prophylaxis (</w:t>
      </w:r>
      <w:proofErr w:type="spellStart"/>
      <w:r w:rsidR="00150EF8" w:rsidRPr="00073875">
        <w:rPr>
          <w:rFonts w:ascii="Times New Roman" w:hAnsi="Times New Roman" w:cs="Times New Roman"/>
          <w:sz w:val="24"/>
          <w:szCs w:val="24"/>
        </w:rPr>
        <w:t>PrEP</w:t>
      </w:r>
      <w:proofErr w:type="spellEnd"/>
      <w:r w:rsidR="00150EF8" w:rsidRPr="00073875">
        <w:rPr>
          <w:rFonts w:ascii="Times New Roman" w:hAnsi="Times New Roman" w:cs="Times New Roman"/>
          <w:sz w:val="24"/>
          <w:szCs w:val="24"/>
        </w:rPr>
        <w:t>)</w:t>
      </w:r>
      <w:r w:rsidRPr="00073875">
        <w:rPr>
          <w:rFonts w:ascii="Times New Roman" w:hAnsi="Times New Roman" w:cs="Times New Roman"/>
          <w:sz w:val="24"/>
          <w:szCs w:val="24"/>
        </w:rPr>
        <w:t xml:space="preserve">, behavioural interventions, and access to treatment services. To </w:t>
      </w:r>
      <w:r w:rsidR="00150EF8">
        <w:rPr>
          <w:rFonts w:ascii="Times New Roman" w:hAnsi="Times New Roman" w:cs="Times New Roman"/>
          <w:sz w:val="24"/>
          <w:szCs w:val="24"/>
        </w:rPr>
        <w:t>realise</w:t>
      </w:r>
      <w:r w:rsidRPr="00073875">
        <w:rPr>
          <w:rFonts w:ascii="Times New Roman" w:hAnsi="Times New Roman" w:cs="Times New Roman"/>
          <w:sz w:val="24"/>
          <w:szCs w:val="24"/>
        </w:rPr>
        <w:t xml:space="preserve"> Sustainable Development Goal (SDG) 3.3, the goal of eliminating AIDS as a public health threat, an increased effort will be needed in high-burden areas, but with a combination of measures targeting structural inequalities (SDG 10) as well as building health systems and information infrastructure (SDG 17).</w:t>
      </w:r>
    </w:p>
    <w:p w14:paraId="1AFA9FEE" w14:textId="77777777" w:rsidR="00842AA0" w:rsidRDefault="00842AA0" w:rsidP="00150EF8">
      <w:pPr>
        <w:spacing w:after="0"/>
        <w:jc w:val="both"/>
        <w:rPr>
          <w:rFonts w:ascii="Times New Roman" w:hAnsi="Times New Roman" w:cs="Times New Roman"/>
          <w:sz w:val="24"/>
          <w:szCs w:val="24"/>
        </w:rPr>
      </w:pPr>
    </w:p>
    <w:p w14:paraId="58CA13B7" w14:textId="2FB95FD4"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This research methodologically contributes to the literature by showing the significance of </w:t>
      </w:r>
      <w:r w:rsidR="00F07C2C">
        <w:rPr>
          <w:rFonts w:ascii="Times New Roman" w:hAnsi="Times New Roman" w:cs="Times New Roman"/>
          <w:sz w:val="24"/>
          <w:szCs w:val="24"/>
        </w:rPr>
        <w:t>modelling</w:t>
      </w:r>
      <w:r w:rsidRPr="00073875">
        <w:rPr>
          <w:rFonts w:ascii="Times New Roman" w:hAnsi="Times New Roman" w:cs="Times New Roman"/>
          <w:sz w:val="24"/>
          <w:szCs w:val="24"/>
        </w:rPr>
        <w:t xml:space="preserve"> statistical models with the actual characteristics of epidemiological data. The analysis appropriately includes the limited, skewed, hierarchical nature of HIV prevalence data through a multilevel beta mixed-effects model and the skewed nature of global panels. The random intercepts and slopes enable one to have a subtle explanation of the country-specific risks of the baseline and the dynamics of time, which are major disadvantages of the classic linear and pooled models. This method has more precise estimates, quantifies uncertainty more effectively, and has more inferential validity.</w:t>
      </w:r>
    </w:p>
    <w:p w14:paraId="627C2734" w14:textId="77777777" w:rsidR="00842AA0" w:rsidRDefault="00842AA0" w:rsidP="00150EF8">
      <w:pPr>
        <w:spacing w:after="0"/>
        <w:jc w:val="both"/>
        <w:rPr>
          <w:rFonts w:ascii="Times New Roman" w:hAnsi="Times New Roman" w:cs="Times New Roman"/>
          <w:sz w:val="24"/>
          <w:szCs w:val="24"/>
        </w:rPr>
      </w:pPr>
    </w:p>
    <w:p w14:paraId="0752AE84" w14:textId="7E1D6FC5" w:rsidR="00096065" w:rsidRPr="0007387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Another significant finding of the study is the need to combine descriptive, predictive and diagnostic analysis in a single modelling format. The regional comparisons, the variations with time, the heterogeneity of the countries, and the predictions made by the models are a complete depiction of the epidemic. This combined methodology makes the findings more useful to the policy makers, researchers and health stakeholders around the globe.</w:t>
      </w:r>
      <w:r w:rsidR="00842AA0">
        <w:rPr>
          <w:rFonts w:ascii="Times New Roman" w:hAnsi="Times New Roman" w:cs="Times New Roman"/>
          <w:sz w:val="24"/>
          <w:szCs w:val="24"/>
        </w:rPr>
        <w:t xml:space="preserve"> </w:t>
      </w:r>
      <w:r w:rsidRPr="00073875">
        <w:rPr>
          <w:rFonts w:ascii="Times New Roman" w:hAnsi="Times New Roman" w:cs="Times New Roman"/>
          <w:sz w:val="24"/>
          <w:szCs w:val="24"/>
        </w:rPr>
        <w:t xml:space="preserve">Even with the advantage, the study has </w:t>
      </w:r>
      <w:r w:rsidR="00842AA0">
        <w:rPr>
          <w:rFonts w:ascii="Times New Roman" w:hAnsi="Times New Roman" w:cs="Times New Roman"/>
          <w:sz w:val="24"/>
          <w:szCs w:val="24"/>
        </w:rPr>
        <w:t>realised</w:t>
      </w:r>
      <w:r w:rsidRPr="00073875">
        <w:rPr>
          <w:rFonts w:ascii="Times New Roman" w:hAnsi="Times New Roman" w:cs="Times New Roman"/>
          <w:sz w:val="24"/>
          <w:szCs w:val="24"/>
        </w:rPr>
        <w:t xml:space="preserve"> that there is still residual variability and limitation of the data</w:t>
      </w:r>
      <w:r w:rsidR="00842AA0">
        <w:rPr>
          <w:rFonts w:ascii="Times New Roman" w:hAnsi="Times New Roman" w:cs="Times New Roman"/>
          <w:sz w:val="24"/>
          <w:szCs w:val="24"/>
        </w:rPr>
        <w:t>,</w:t>
      </w:r>
      <w:r w:rsidRPr="00073875">
        <w:rPr>
          <w:rFonts w:ascii="Times New Roman" w:hAnsi="Times New Roman" w:cs="Times New Roman"/>
          <w:sz w:val="24"/>
          <w:szCs w:val="24"/>
        </w:rPr>
        <w:t xml:space="preserve"> especially in areas where the observations are not dense. Future studies should build on this framework by adding more covariates</w:t>
      </w:r>
      <w:r w:rsidR="00842AA0">
        <w:rPr>
          <w:rFonts w:ascii="Times New Roman" w:hAnsi="Times New Roman" w:cs="Times New Roman"/>
          <w:sz w:val="24"/>
          <w:szCs w:val="24"/>
        </w:rPr>
        <w:t>,</w:t>
      </w:r>
      <w:r w:rsidRPr="00073875">
        <w:rPr>
          <w:rFonts w:ascii="Times New Roman" w:hAnsi="Times New Roman" w:cs="Times New Roman"/>
          <w:sz w:val="24"/>
          <w:szCs w:val="24"/>
        </w:rPr>
        <w:t xml:space="preserve"> like behavioural, socioeconomic, and health-system covariates and investigating nonlinear, as well as spatial modelling methods. Nevertheless, the recent results have a good empirical and methodological basis </w:t>
      </w:r>
      <w:r w:rsidR="00842AA0">
        <w:rPr>
          <w:rFonts w:ascii="Times New Roman" w:hAnsi="Times New Roman" w:cs="Times New Roman"/>
          <w:sz w:val="24"/>
          <w:szCs w:val="24"/>
        </w:rPr>
        <w:t>for</w:t>
      </w:r>
      <w:r w:rsidRPr="00073875">
        <w:rPr>
          <w:rFonts w:ascii="Times New Roman" w:hAnsi="Times New Roman" w:cs="Times New Roman"/>
          <w:sz w:val="24"/>
          <w:szCs w:val="24"/>
        </w:rPr>
        <w:t xml:space="preserve"> comprehending the HIV dynamics in young males.</w:t>
      </w:r>
    </w:p>
    <w:p w14:paraId="03D3C52B" w14:textId="77777777" w:rsidR="00842AA0" w:rsidRDefault="00842AA0" w:rsidP="00150EF8">
      <w:pPr>
        <w:spacing w:after="0"/>
        <w:jc w:val="both"/>
        <w:rPr>
          <w:rFonts w:ascii="Times New Roman" w:hAnsi="Times New Roman" w:cs="Times New Roman"/>
          <w:sz w:val="24"/>
          <w:szCs w:val="24"/>
        </w:rPr>
      </w:pPr>
    </w:p>
    <w:p w14:paraId="2E935FAA" w14:textId="394502EA" w:rsidR="00842AA0"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To sum up, this study indicates that the world is indeed making progress in curbing the prevalence of HIV in young males</w:t>
      </w:r>
      <w:r w:rsidR="00842AA0">
        <w:rPr>
          <w:rFonts w:ascii="Times New Roman" w:hAnsi="Times New Roman" w:cs="Times New Roman"/>
          <w:sz w:val="24"/>
          <w:szCs w:val="24"/>
        </w:rPr>
        <w:t>,</w:t>
      </w:r>
      <w:r w:rsidRPr="00073875">
        <w:rPr>
          <w:rFonts w:ascii="Times New Roman" w:hAnsi="Times New Roman" w:cs="Times New Roman"/>
          <w:sz w:val="24"/>
          <w:szCs w:val="24"/>
        </w:rPr>
        <w:t xml:space="preserve"> but the progress is uneven. It is necessary to statistically rigorously </w:t>
      </w:r>
      <w:r w:rsidR="00842AA0">
        <w:rPr>
          <w:rFonts w:ascii="Times New Roman" w:hAnsi="Times New Roman" w:cs="Times New Roman"/>
          <w:sz w:val="24"/>
          <w:szCs w:val="24"/>
        </w:rPr>
        <w:t>analyse</w:t>
      </w:r>
      <w:r w:rsidRPr="00073875">
        <w:rPr>
          <w:rFonts w:ascii="Times New Roman" w:hAnsi="Times New Roman" w:cs="Times New Roman"/>
          <w:sz w:val="24"/>
          <w:szCs w:val="24"/>
        </w:rPr>
        <w:t xml:space="preserve"> and take policy action to address this inequality. This research has filled methodological gaps in </w:t>
      </w:r>
      <w:r w:rsidRPr="00073875">
        <w:rPr>
          <w:rFonts w:ascii="Times New Roman" w:hAnsi="Times New Roman" w:cs="Times New Roman"/>
          <w:sz w:val="24"/>
          <w:szCs w:val="24"/>
        </w:rPr>
        <w:lastRenderedPageBreak/>
        <w:t>the literature with solid evidence based on models and is thus useful in the global research on HIV and in combating the epidemic with more effective strategies.</w:t>
      </w:r>
      <w:r w:rsidR="00B92566">
        <w:rPr>
          <w:rFonts w:ascii="Times New Roman" w:hAnsi="Times New Roman" w:cs="Times New Roman"/>
          <w:sz w:val="24"/>
          <w:szCs w:val="24"/>
        </w:rPr>
        <w:t xml:space="preserve"> </w:t>
      </w:r>
      <w:r w:rsidRPr="00073875">
        <w:rPr>
          <w:rFonts w:ascii="Times New Roman" w:hAnsi="Times New Roman" w:cs="Times New Roman"/>
          <w:sz w:val="24"/>
          <w:szCs w:val="24"/>
        </w:rPr>
        <w:t xml:space="preserve">To begin with, governments and international health </w:t>
      </w:r>
      <w:r w:rsidR="00842AA0">
        <w:rPr>
          <w:rFonts w:ascii="Times New Roman" w:hAnsi="Times New Roman" w:cs="Times New Roman"/>
          <w:sz w:val="24"/>
          <w:szCs w:val="24"/>
        </w:rPr>
        <w:t>organisations</w:t>
      </w:r>
      <w:r w:rsidRPr="00073875">
        <w:rPr>
          <w:rFonts w:ascii="Times New Roman" w:hAnsi="Times New Roman" w:cs="Times New Roman"/>
          <w:sz w:val="24"/>
          <w:szCs w:val="24"/>
        </w:rPr>
        <w:t xml:space="preserve"> must embrace more specific, data-based HIV programs in young males in high-burden areas, especially in Sub-Saharan Africa. These encompass increasing access and availability to youth-friendly testing services, increasing access to pre-exposure prophylaxis (</w:t>
      </w:r>
      <w:proofErr w:type="spellStart"/>
      <w:r w:rsidRPr="00073875">
        <w:rPr>
          <w:rFonts w:ascii="Times New Roman" w:hAnsi="Times New Roman" w:cs="Times New Roman"/>
          <w:sz w:val="24"/>
          <w:szCs w:val="24"/>
        </w:rPr>
        <w:t>PrEP</w:t>
      </w:r>
      <w:proofErr w:type="spellEnd"/>
      <w:r w:rsidRPr="00073875">
        <w:rPr>
          <w:rFonts w:ascii="Times New Roman" w:hAnsi="Times New Roman" w:cs="Times New Roman"/>
          <w:sz w:val="24"/>
          <w:szCs w:val="24"/>
        </w:rPr>
        <w:t xml:space="preserve">) and intensifying school-to-community prevention programmes, as well as incorporating HIV services into sexual and reproductive health services. </w:t>
      </w:r>
    </w:p>
    <w:p w14:paraId="6799847E" w14:textId="77777777" w:rsidR="00842AA0" w:rsidRDefault="00842AA0" w:rsidP="00150EF8">
      <w:pPr>
        <w:spacing w:after="0"/>
        <w:jc w:val="both"/>
        <w:rPr>
          <w:rFonts w:ascii="Times New Roman" w:hAnsi="Times New Roman" w:cs="Times New Roman"/>
          <w:sz w:val="24"/>
          <w:szCs w:val="24"/>
        </w:rPr>
      </w:pPr>
    </w:p>
    <w:p w14:paraId="57AEFF9E" w14:textId="61EA19C5" w:rsidR="0009606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Model-based estimates (not raw averages) should be used to geographically prioritise resources to countries and regions with </w:t>
      </w:r>
      <w:r w:rsidR="00842AA0">
        <w:rPr>
          <w:rFonts w:ascii="Times New Roman" w:hAnsi="Times New Roman" w:cs="Times New Roman"/>
          <w:sz w:val="24"/>
          <w:szCs w:val="24"/>
        </w:rPr>
        <w:t xml:space="preserve">the </w:t>
      </w:r>
      <w:r w:rsidRPr="00073875">
        <w:rPr>
          <w:rFonts w:ascii="Times New Roman" w:hAnsi="Times New Roman" w:cs="Times New Roman"/>
          <w:sz w:val="24"/>
          <w:szCs w:val="24"/>
        </w:rPr>
        <w:t>highest adjusted risk as a direct way of advancing SDG 3.3 to allocate resources efficiently and eliminate inequalities under SDG 10.</w:t>
      </w:r>
      <w:r w:rsidR="00B92566">
        <w:rPr>
          <w:rFonts w:ascii="Times New Roman" w:hAnsi="Times New Roman" w:cs="Times New Roman"/>
          <w:sz w:val="24"/>
          <w:szCs w:val="24"/>
        </w:rPr>
        <w:t xml:space="preserve"> </w:t>
      </w:r>
      <w:r w:rsidRPr="00073875">
        <w:rPr>
          <w:rFonts w:ascii="Times New Roman" w:hAnsi="Times New Roman" w:cs="Times New Roman"/>
          <w:sz w:val="24"/>
          <w:szCs w:val="24"/>
        </w:rPr>
        <w:t>Second, national health systems need to enhance HIV surveillance and data quality systems through investing in routine, age- and sex-disaggregated data collection, enhancing completeness of reporting, and harmonisation of data systems across regions. The paper demonstrates that uncertainty and heterogeneity partially indicate the lack of data, thus, the improvement of real-time data systems, digital reporting systems, and statistical capabilities will lead to the improvement of monitoring and responsiveness of policies. This would be in line with SDG 17 as it would strengthen the data infrastructure and evidence-based decision-making.</w:t>
      </w:r>
    </w:p>
    <w:p w14:paraId="6CEB9752" w14:textId="77777777" w:rsidR="00F07C2C" w:rsidRPr="00073875" w:rsidRDefault="00F07C2C" w:rsidP="00150EF8">
      <w:pPr>
        <w:spacing w:after="0"/>
        <w:jc w:val="both"/>
        <w:rPr>
          <w:rFonts w:ascii="Times New Roman" w:hAnsi="Times New Roman" w:cs="Times New Roman"/>
          <w:sz w:val="24"/>
          <w:szCs w:val="24"/>
        </w:rPr>
      </w:pPr>
    </w:p>
    <w:p w14:paraId="685C6502" w14:textId="4D687B94" w:rsidR="00096065" w:rsidRDefault="00096065" w:rsidP="00150EF8">
      <w:pPr>
        <w:spacing w:after="0"/>
        <w:jc w:val="both"/>
        <w:rPr>
          <w:rFonts w:ascii="Times New Roman" w:hAnsi="Times New Roman" w:cs="Times New Roman"/>
          <w:sz w:val="24"/>
          <w:szCs w:val="24"/>
        </w:rPr>
      </w:pPr>
      <w:r w:rsidRPr="00073875">
        <w:rPr>
          <w:rFonts w:ascii="Times New Roman" w:hAnsi="Times New Roman" w:cs="Times New Roman"/>
          <w:sz w:val="24"/>
          <w:szCs w:val="24"/>
        </w:rPr>
        <w:t xml:space="preserve">Third, policymakers and researchers ought to </w:t>
      </w:r>
      <w:r w:rsidR="00F07C2C">
        <w:rPr>
          <w:rFonts w:ascii="Times New Roman" w:hAnsi="Times New Roman" w:cs="Times New Roman"/>
          <w:sz w:val="24"/>
          <w:szCs w:val="24"/>
        </w:rPr>
        <w:t>institutionalise</w:t>
      </w:r>
      <w:r w:rsidRPr="00073875">
        <w:rPr>
          <w:rFonts w:ascii="Times New Roman" w:hAnsi="Times New Roman" w:cs="Times New Roman"/>
          <w:sz w:val="24"/>
          <w:szCs w:val="24"/>
        </w:rPr>
        <w:t xml:space="preserve"> the use of advanced statistical modelling (e.g., multilevel beta mixed-effects models) of HIV monitoring and evaluation. The models that are based on the limited and stratified nature of epidemiological data should be used to substitute or supplement traditional linear or pooled approaches. The inclusion of these approaches in the national and international reporting systems will enable more effective estimation of trends and identification of country-specific </w:t>
      </w:r>
      <w:r w:rsidR="00F07C2C">
        <w:rPr>
          <w:rFonts w:ascii="Times New Roman" w:hAnsi="Times New Roman" w:cs="Times New Roman"/>
          <w:sz w:val="24"/>
          <w:szCs w:val="24"/>
        </w:rPr>
        <w:t>epidemic</w:t>
      </w:r>
      <w:r w:rsidRPr="00073875">
        <w:rPr>
          <w:rFonts w:ascii="Times New Roman" w:hAnsi="Times New Roman" w:cs="Times New Roman"/>
          <w:sz w:val="24"/>
          <w:szCs w:val="24"/>
        </w:rPr>
        <w:t xml:space="preserve"> trends, as well as assessment of intervention effectiveness, which will ultimately enhance strategic planning and long-term efforts to control HIV.</w:t>
      </w:r>
    </w:p>
    <w:p w14:paraId="0DE65909" w14:textId="49CB7B47" w:rsidR="00842AA0" w:rsidRDefault="00842AA0" w:rsidP="00150EF8">
      <w:pPr>
        <w:spacing w:after="0"/>
        <w:rPr>
          <w:rFonts w:ascii="Times New Roman" w:hAnsi="Times New Roman" w:cs="Times New Roman"/>
          <w:b/>
          <w:bCs/>
          <w:sz w:val="24"/>
          <w:szCs w:val="24"/>
        </w:rPr>
      </w:pPr>
    </w:p>
    <w:p w14:paraId="615A972A" w14:textId="77777777" w:rsidR="003D633C" w:rsidRPr="000D3B3B" w:rsidRDefault="003D633C" w:rsidP="003D633C">
      <w:pPr>
        <w:rPr>
          <w:rFonts w:ascii="Times New Roman" w:hAnsi="Times New Roman" w:cs="Times New Roman"/>
          <w:sz w:val="24"/>
          <w:szCs w:val="24"/>
        </w:rPr>
      </w:pPr>
      <w:r w:rsidRPr="000D3B3B">
        <w:rPr>
          <w:rFonts w:ascii="Times New Roman" w:hAnsi="Times New Roman" w:cs="Times New Roman"/>
          <w:b/>
          <w:bCs/>
          <w:sz w:val="24"/>
          <w:szCs w:val="24"/>
        </w:rPr>
        <w:t>Data Availability</w:t>
      </w:r>
    </w:p>
    <w:p w14:paraId="596F5A5C" w14:textId="77777777" w:rsidR="008C7B39" w:rsidRDefault="008C7B39" w:rsidP="003D633C">
      <w:pPr>
        <w:rPr>
          <w:rFonts w:ascii="Times New Roman" w:eastAsia="Aptos" w:hAnsi="Times New Roman" w:cs="Times New Roman"/>
          <w:sz w:val="24"/>
          <w:szCs w:val="24"/>
          <w:lang w:val="en"/>
        </w:rPr>
      </w:pPr>
      <w:r w:rsidRPr="008412D9">
        <w:rPr>
          <w:rFonts w:ascii="Times New Roman" w:eastAsia="Aptos" w:hAnsi="Times New Roman" w:cs="Times New Roman"/>
          <w:sz w:val="24"/>
          <w:szCs w:val="24"/>
          <w:lang w:val="en"/>
        </w:rPr>
        <w:t xml:space="preserve">This study used secondary longitudinal data on HIV prevalence among males aged 15–24 years obtained from the World Bank World Development Indicators (WDI) database. The dataset is publicly accessible via the World Bank Open Data platform: </w:t>
      </w:r>
      <w:hyperlink r:id="rId17">
        <w:r w:rsidRPr="008412D9">
          <w:rPr>
            <w:rFonts w:ascii="Times New Roman" w:eastAsia="Aptos" w:hAnsi="Times New Roman" w:cs="Times New Roman"/>
            <w:sz w:val="24"/>
            <w:szCs w:val="24"/>
            <w:lang w:val="en"/>
          </w:rPr>
          <w:t>https://databank.worldbank.org/source/world-development-indicators</w:t>
        </w:r>
      </w:hyperlink>
      <w:r w:rsidRPr="008412D9">
        <w:rPr>
          <w:rFonts w:ascii="Times New Roman" w:eastAsia="Aptos" w:hAnsi="Times New Roman" w:cs="Times New Roman"/>
          <w:sz w:val="24"/>
          <w:szCs w:val="24"/>
          <w:lang w:val="en"/>
        </w:rPr>
        <w:t xml:space="preserve">. </w:t>
      </w:r>
    </w:p>
    <w:p w14:paraId="4696C8CB" w14:textId="1CF40BA4" w:rsidR="003D633C" w:rsidRPr="000D3B3B" w:rsidRDefault="003D633C" w:rsidP="003D633C">
      <w:pPr>
        <w:rPr>
          <w:rFonts w:ascii="Times New Roman" w:hAnsi="Times New Roman" w:cs="Times New Roman"/>
          <w:b/>
          <w:bCs/>
          <w:sz w:val="24"/>
          <w:szCs w:val="24"/>
        </w:rPr>
      </w:pPr>
      <w:r w:rsidRPr="000D3B3B">
        <w:rPr>
          <w:rFonts w:ascii="Times New Roman" w:hAnsi="Times New Roman" w:cs="Times New Roman"/>
          <w:b/>
          <w:bCs/>
          <w:sz w:val="24"/>
          <w:szCs w:val="24"/>
        </w:rPr>
        <w:t>Ethical Approval</w:t>
      </w:r>
    </w:p>
    <w:p w14:paraId="21A1E5CB" w14:textId="4E7D1CD0" w:rsidR="003D633C" w:rsidRPr="000D3B3B" w:rsidRDefault="003D633C" w:rsidP="003D633C">
      <w:pPr>
        <w:rPr>
          <w:rFonts w:ascii="Times New Roman" w:hAnsi="Times New Roman" w:cs="Times New Roman"/>
          <w:sz w:val="24"/>
          <w:szCs w:val="24"/>
        </w:rPr>
      </w:pPr>
      <w:r w:rsidRPr="000D3B3B">
        <w:rPr>
          <w:rFonts w:ascii="Times New Roman" w:hAnsi="Times New Roman" w:cs="Times New Roman"/>
          <w:sz w:val="24"/>
          <w:szCs w:val="24"/>
        </w:rPr>
        <w:t xml:space="preserve">No ethical approval was needed since the study </w:t>
      </w:r>
      <w:r>
        <w:rPr>
          <w:rFonts w:ascii="Times New Roman" w:hAnsi="Times New Roman" w:cs="Times New Roman"/>
          <w:sz w:val="24"/>
          <w:szCs w:val="24"/>
        </w:rPr>
        <w:t>is</w:t>
      </w:r>
      <w:r w:rsidRPr="000D3B3B">
        <w:rPr>
          <w:rFonts w:ascii="Times New Roman" w:hAnsi="Times New Roman" w:cs="Times New Roman"/>
          <w:sz w:val="24"/>
          <w:szCs w:val="24"/>
        </w:rPr>
        <w:t xml:space="preserve"> based on publicly available aggregated data and will not involve the use of human subjects.</w:t>
      </w:r>
    </w:p>
    <w:p w14:paraId="5AF9729D" w14:textId="77777777" w:rsidR="003D633C" w:rsidRPr="000D3B3B" w:rsidRDefault="003D633C" w:rsidP="003D633C">
      <w:pPr>
        <w:rPr>
          <w:rFonts w:ascii="Times New Roman" w:hAnsi="Times New Roman" w:cs="Times New Roman"/>
          <w:sz w:val="24"/>
          <w:szCs w:val="24"/>
        </w:rPr>
      </w:pPr>
      <w:r w:rsidRPr="000D3B3B">
        <w:rPr>
          <w:rFonts w:ascii="Times New Roman" w:hAnsi="Times New Roman" w:cs="Times New Roman"/>
          <w:sz w:val="24"/>
          <w:szCs w:val="24"/>
        </w:rPr>
        <w:t>The authors confirm that they do not have any recognized competing financial interests or personal relations that might have manifested themselves to affect the work presented in this paper.</w:t>
      </w:r>
    </w:p>
    <w:p w14:paraId="2EAED105" w14:textId="77777777" w:rsidR="003D633C" w:rsidRPr="000D3B3B" w:rsidRDefault="003D633C" w:rsidP="003D633C">
      <w:pPr>
        <w:rPr>
          <w:rFonts w:ascii="Times New Roman" w:hAnsi="Times New Roman" w:cs="Times New Roman"/>
          <w:b/>
          <w:bCs/>
          <w:sz w:val="24"/>
          <w:szCs w:val="24"/>
        </w:rPr>
      </w:pPr>
      <w:r w:rsidRPr="000D3B3B">
        <w:rPr>
          <w:rFonts w:ascii="Times New Roman" w:hAnsi="Times New Roman" w:cs="Times New Roman"/>
          <w:b/>
          <w:bCs/>
          <w:sz w:val="24"/>
          <w:szCs w:val="24"/>
        </w:rPr>
        <w:t>Consent for Publication</w:t>
      </w:r>
    </w:p>
    <w:p w14:paraId="03957A72" w14:textId="77777777" w:rsidR="003D633C" w:rsidRPr="000D3B3B" w:rsidRDefault="003D633C" w:rsidP="003D633C">
      <w:pPr>
        <w:rPr>
          <w:rFonts w:ascii="Times New Roman" w:hAnsi="Times New Roman" w:cs="Times New Roman"/>
          <w:sz w:val="24"/>
          <w:szCs w:val="24"/>
        </w:rPr>
      </w:pPr>
      <w:r w:rsidRPr="000D3B3B">
        <w:rPr>
          <w:rFonts w:ascii="Times New Roman" w:hAnsi="Times New Roman" w:cs="Times New Roman"/>
          <w:sz w:val="24"/>
          <w:szCs w:val="24"/>
        </w:rPr>
        <w:t>The publication of this manuscript was fully agreed upon by all the authors.</w:t>
      </w:r>
    </w:p>
    <w:p w14:paraId="7772295D" w14:textId="77777777" w:rsidR="00994FF8" w:rsidRDefault="00994FF8" w:rsidP="00150EF8">
      <w:pPr>
        <w:spacing w:after="0"/>
        <w:rPr>
          <w:rFonts w:ascii="Times New Roman" w:hAnsi="Times New Roman" w:cs="Times New Roman"/>
          <w:b/>
          <w:bCs/>
          <w:sz w:val="24"/>
          <w:szCs w:val="24"/>
        </w:rPr>
      </w:pPr>
      <w:bookmarkStart w:id="0" w:name="_GoBack"/>
      <w:bookmarkEnd w:id="0"/>
    </w:p>
    <w:p w14:paraId="1C317617" w14:textId="77777777" w:rsidR="00994FF8" w:rsidRDefault="00994FF8" w:rsidP="00150EF8">
      <w:pPr>
        <w:spacing w:after="0"/>
        <w:rPr>
          <w:rFonts w:ascii="Times New Roman" w:hAnsi="Times New Roman" w:cs="Times New Roman"/>
          <w:b/>
          <w:bCs/>
          <w:sz w:val="24"/>
          <w:szCs w:val="24"/>
        </w:rPr>
      </w:pPr>
    </w:p>
    <w:p w14:paraId="7059ACD8" w14:textId="71A9DA88" w:rsidR="007177A2" w:rsidRPr="007177A2" w:rsidRDefault="007177A2" w:rsidP="00150EF8">
      <w:pPr>
        <w:spacing w:after="0"/>
        <w:rPr>
          <w:rFonts w:ascii="Times New Roman" w:hAnsi="Times New Roman" w:cs="Times New Roman"/>
          <w:b/>
          <w:bCs/>
          <w:sz w:val="24"/>
          <w:szCs w:val="24"/>
        </w:rPr>
      </w:pPr>
      <w:r w:rsidRPr="007177A2">
        <w:rPr>
          <w:rFonts w:ascii="Times New Roman" w:hAnsi="Times New Roman" w:cs="Times New Roman"/>
          <w:b/>
          <w:bCs/>
          <w:sz w:val="24"/>
          <w:szCs w:val="24"/>
        </w:rPr>
        <w:t>References</w:t>
      </w:r>
    </w:p>
    <w:p w14:paraId="3B48BF2C" w14:textId="77777777"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Akinrefon, A. A., Emmanuel, R., &amp; Okolo, A. (2023). Log-linear models for HIV/AIDS prevalence in Adamawa State, Nigeria. </w:t>
      </w:r>
      <w:proofErr w:type="spellStart"/>
      <w:r w:rsidRPr="007177A2">
        <w:rPr>
          <w:rFonts w:ascii="Times New Roman" w:hAnsi="Times New Roman" w:cs="Times New Roman"/>
          <w:i/>
          <w:iCs/>
          <w:color w:val="222222"/>
          <w:sz w:val="24"/>
          <w:szCs w:val="24"/>
          <w:shd w:val="clear" w:color="auto" w:fill="FFFFFF"/>
        </w:rPr>
        <w:t>Fudma</w:t>
      </w:r>
      <w:proofErr w:type="spellEnd"/>
      <w:r w:rsidRPr="007177A2">
        <w:rPr>
          <w:rFonts w:ascii="Times New Roman" w:hAnsi="Times New Roman" w:cs="Times New Roman"/>
          <w:i/>
          <w:iCs/>
          <w:color w:val="222222"/>
          <w:sz w:val="24"/>
          <w:szCs w:val="24"/>
          <w:shd w:val="clear" w:color="auto" w:fill="FFFFFF"/>
        </w:rPr>
        <w:t xml:space="preserve"> Journal of Sciences</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7</w:t>
      </w:r>
      <w:r w:rsidRPr="007177A2">
        <w:rPr>
          <w:rFonts w:ascii="Times New Roman" w:hAnsi="Times New Roman" w:cs="Times New Roman"/>
          <w:color w:val="222222"/>
          <w:sz w:val="24"/>
          <w:szCs w:val="24"/>
          <w:shd w:val="clear" w:color="auto" w:fill="FFFFFF"/>
        </w:rPr>
        <w:t>(3), 103-109.</w:t>
      </w:r>
    </w:p>
    <w:p w14:paraId="67AD9643" w14:textId="77777777" w:rsidR="00842AA0" w:rsidRDefault="00842AA0" w:rsidP="00150EF8">
      <w:pPr>
        <w:spacing w:after="0"/>
        <w:rPr>
          <w:rFonts w:ascii="Times New Roman" w:hAnsi="Times New Roman" w:cs="Times New Roman"/>
          <w:color w:val="222222"/>
          <w:sz w:val="24"/>
          <w:szCs w:val="24"/>
          <w:shd w:val="clear" w:color="auto" w:fill="FFFFFF"/>
        </w:rPr>
      </w:pPr>
    </w:p>
    <w:p w14:paraId="70DAD99E" w14:textId="58F26F88"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Bekker, L. G., Beyrer, C., Mgodi, N., Lewin, S. R., Delany-</w:t>
      </w:r>
      <w:proofErr w:type="spellStart"/>
      <w:r w:rsidRPr="007177A2">
        <w:rPr>
          <w:rFonts w:ascii="Times New Roman" w:hAnsi="Times New Roman" w:cs="Times New Roman"/>
          <w:color w:val="222222"/>
          <w:sz w:val="24"/>
          <w:szCs w:val="24"/>
          <w:shd w:val="clear" w:color="auto" w:fill="FFFFFF"/>
        </w:rPr>
        <w:t>Moretlwe</w:t>
      </w:r>
      <w:proofErr w:type="spellEnd"/>
      <w:r w:rsidRPr="007177A2">
        <w:rPr>
          <w:rFonts w:ascii="Times New Roman" w:hAnsi="Times New Roman" w:cs="Times New Roman"/>
          <w:color w:val="222222"/>
          <w:sz w:val="24"/>
          <w:szCs w:val="24"/>
          <w:shd w:val="clear" w:color="auto" w:fill="FFFFFF"/>
        </w:rPr>
        <w:t>, S., Taiwo, B., ... &amp; Lazarus, J. V. (2023). HIV infection. </w:t>
      </w:r>
      <w:r w:rsidRPr="007177A2">
        <w:rPr>
          <w:rFonts w:ascii="Times New Roman" w:hAnsi="Times New Roman" w:cs="Times New Roman"/>
          <w:i/>
          <w:iCs/>
          <w:color w:val="222222"/>
          <w:sz w:val="24"/>
          <w:szCs w:val="24"/>
          <w:shd w:val="clear" w:color="auto" w:fill="FFFFFF"/>
        </w:rPr>
        <w:t>Nature Reviews Disease Primers</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9</w:t>
      </w:r>
      <w:r w:rsidRPr="007177A2">
        <w:rPr>
          <w:rFonts w:ascii="Times New Roman" w:hAnsi="Times New Roman" w:cs="Times New Roman"/>
          <w:color w:val="222222"/>
          <w:sz w:val="24"/>
          <w:szCs w:val="24"/>
          <w:shd w:val="clear" w:color="auto" w:fill="FFFFFF"/>
        </w:rPr>
        <w:t>(1), 42.</w:t>
      </w:r>
    </w:p>
    <w:p w14:paraId="528D01A4" w14:textId="77777777" w:rsidR="00842AA0" w:rsidRDefault="00842AA0" w:rsidP="00150EF8">
      <w:pPr>
        <w:spacing w:after="0"/>
        <w:rPr>
          <w:rFonts w:ascii="Times New Roman" w:hAnsi="Times New Roman" w:cs="Times New Roman"/>
          <w:color w:val="222222"/>
          <w:sz w:val="24"/>
          <w:szCs w:val="24"/>
          <w:shd w:val="clear" w:color="auto" w:fill="FFFFFF"/>
        </w:rPr>
      </w:pPr>
    </w:p>
    <w:p w14:paraId="16DB6C0D" w14:textId="096A6AB9"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Briceño-Patiño, N., Prieto, M. C., Manrique, P., Calderon-Ospina, C. A., &amp; Gómez, L. (2025). Pharmacokinetic Adaptations in Pregnancy: Implications for Optimizing Antiretroviral Therapy in HIV-Positive Women. </w:t>
      </w:r>
      <w:r w:rsidRPr="007177A2">
        <w:rPr>
          <w:rFonts w:ascii="Times New Roman" w:hAnsi="Times New Roman" w:cs="Times New Roman"/>
          <w:i/>
          <w:iCs/>
          <w:color w:val="222222"/>
          <w:sz w:val="24"/>
          <w:szCs w:val="24"/>
          <w:shd w:val="clear" w:color="auto" w:fill="FFFFFF"/>
        </w:rPr>
        <w:t>Pharmaceutics</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17</w:t>
      </w:r>
      <w:r w:rsidRPr="007177A2">
        <w:rPr>
          <w:rFonts w:ascii="Times New Roman" w:hAnsi="Times New Roman" w:cs="Times New Roman"/>
          <w:color w:val="222222"/>
          <w:sz w:val="24"/>
          <w:szCs w:val="24"/>
          <w:shd w:val="clear" w:color="auto" w:fill="FFFFFF"/>
        </w:rPr>
        <w:t>(7), 913.</w:t>
      </w:r>
    </w:p>
    <w:p w14:paraId="2DDACD9E" w14:textId="77777777" w:rsidR="00842AA0" w:rsidRDefault="00842AA0" w:rsidP="00150EF8">
      <w:pPr>
        <w:spacing w:after="0"/>
        <w:rPr>
          <w:rFonts w:ascii="Times New Roman" w:hAnsi="Times New Roman" w:cs="Times New Roman"/>
          <w:color w:val="222222"/>
          <w:sz w:val="24"/>
          <w:szCs w:val="24"/>
          <w:shd w:val="clear" w:color="auto" w:fill="FFFFFF"/>
        </w:rPr>
      </w:pPr>
    </w:p>
    <w:p w14:paraId="7ACCE6B1" w14:textId="0684C088"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Duarte-Anselmi, G., </w:t>
      </w:r>
      <w:proofErr w:type="spellStart"/>
      <w:r w:rsidRPr="007177A2">
        <w:rPr>
          <w:rFonts w:ascii="Times New Roman" w:hAnsi="Times New Roman" w:cs="Times New Roman"/>
          <w:color w:val="222222"/>
          <w:sz w:val="24"/>
          <w:szCs w:val="24"/>
          <w:shd w:val="clear" w:color="auto" w:fill="FFFFFF"/>
        </w:rPr>
        <w:t>Sanduvete-Chaves</w:t>
      </w:r>
      <w:proofErr w:type="spellEnd"/>
      <w:r w:rsidRPr="007177A2">
        <w:rPr>
          <w:rFonts w:ascii="Times New Roman" w:hAnsi="Times New Roman" w:cs="Times New Roman"/>
          <w:color w:val="222222"/>
          <w:sz w:val="24"/>
          <w:szCs w:val="24"/>
          <w:shd w:val="clear" w:color="auto" w:fill="FFFFFF"/>
        </w:rPr>
        <w:t xml:space="preserve">, S., López-Arenas, D., &amp; Chacón-Moscoso, S. (2026). </w:t>
      </w:r>
      <w:proofErr w:type="spellStart"/>
      <w:r w:rsidRPr="007177A2">
        <w:rPr>
          <w:rFonts w:ascii="Times New Roman" w:hAnsi="Times New Roman" w:cs="Times New Roman"/>
          <w:color w:val="222222"/>
          <w:sz w:val="24"/>
          <w:szCs w:val="24"/>
          <w:shd w:val="clear" w:color="auto" w:fill="FFFFFF"/>
        </w:rPr>
        <w:t>Behavioral</w:t>
      </w:r>
      <w:proofErr w:type="spellEnd"/>
      <w:r w:rsidRPr="007177A2">
        <w:rPr>
          <w:rFonts w:ascii="Times New Roman" w:hAnsi="Times New Roman" w:cs="Times New Roman"/>
          <w:color w:val="222222"/>
          <w:sz w:val="24"/>
          <w:szCs w:val="24"/>
          <w:shd w:val="clear" w:color="auto" w:fill="FFFFFF"/>
        </w:rPr>
        <w:t xml:space="preserve"> determinants of condom use and HIV/STI testing in Chile: a theory-driven mixed-methods study. </w:t>
      </w:r>
      <w:r w:rsidRPr="007177A2">
        <w:rPr>
          <w:rFonts w:ascii="Times New Roman" w:hAnsi="Times New Roman" w:cs="Times New Roman"/>
          <w:i/>
          <w:iCs/>
          <w:color w:val="222222"/>
          <w:sz w:val="24"/>
          <w:szCs w:val="24"/>
          <w:shd w:val="clear" w:color="auto" w:fill="FFFFFF"/>
        </w:rPr>
        <w:t>Scientific Reports</w:t>
      </w:r>
      <w:r w:rsidRPr="007177A2">
        <w:rPr>
          <w:rFonts w:ascii="Times New Roman" w:hAnsi="Times New Roman" w:cs="Times New Roman"/>
          <w:color w:val="222222"/>
          <w:sz w:val="24"/>
          <w:szCs w:val="24"/>
          <w:shd w:val="clear" w:color="auto" w:fill="FFFFFF"/>
        </w:rPr>
        <w:t>.</w:t>
      </w:r>
    </w:p>
    <w:p w14:paraId="5BC06CEC" w14:textId="77777777" w:rsidR="00842AA0" w:rsidRDefault="00842AA0" w:rsidP="00150EF8">
      <w:pPr>
        <w:spacing w:after="0"/>
        <w:rPr>
          <w:rFonts w:ascii="Times New Roman" w:hAnsi="Times New Roman" w:cs="Times New Roman"/>
          <w:color w:val="222222"/>
          <w:sz w:val="24"/>
          <w:szCs w:val="24"/>
          <w:shd w:val="clear" w:color="auto" w:fill="FFFFFF"/>
        </w:rPr>
      </w:pPr>
    </w:p>
    <w:p w14:paraId="21BB0871" w14:textId="3E0EE052"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Ford, C. L., Riggs, W. J., Quigley, T., Keifer Jr, O. P., Whitton, J. P., &amp; </w:t>
      </w:r>
      <w:proofErr w:type="spellStart"/>
      <w:r w:rsidRPr="007177A2">
        <w:rPr>
          <w:rFonts w:ascii="Times New Roman" w:hAnsi="Times New Roman" w:cs="Times New Roman"/>
          <w:color w:val="222222"/>
          <w:sz w:val="24"/>
          <w:szCs w:val="24"/>
          <w:shd w:val="clear" w:color="auto" w:fill="FFFFFF"/>
        </w:rPr>
        <w:t>Valayannopoulos</w:t>
      </w:r>
      <w:proofErr w:type="spellEnd"/>
      <w:r w:rsidRPr="007177A2">
        <w:rPr>
          <w:rFonts w:ascii="Times New Roman" w:hAnsi="Times New Roman" w:cs="Times New Roman"/>
          <w:color w:val="222222"/>
          <w:sz w:val="24"/>
          <w:szCs w:val="24"/>
          <w:shd w:val="clear" w:color="auto" w:fill="FFFFFF"/>
        </w:rPr>
        <w:t>, V. (2023). The natural history, clinical outcomes, and genotype–phenotype relationship of otoferlin-related hearing loss: a systematic, quantitative literature review. </w:t>
      </w:r>
      <w:r w:rsidRPr="007177A2">
        <w:rPr>
          <w:rFonts w:ascii="Times New Roman" w:hAnsi="Times New Roman" w:cs="Times New Roman"/>
          <w:i/>
          <w:iCs/>
          <w:color w:val="222222"/>
          <w:sz w:val="24"/>
          <w:szCs w:val="24"/>
          <w:shd w:val="clear" w:color="auto" w:fill="FFFFFF"/>
        </w:rPr>
        <w:t>Human Genetics</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142</w:t>
      </w:r>
      <w:r w:rsidRPr="007177A2">
        <w:rPr>
          <w:rFonts w:ascii="Times New Roman" w:hAnsi="Times New Roman" w:cs="Times New Roman"/>
          <w:color w:val="222222"/>
          <w:sz w:val="24"/>
          <w:szCs w:val="24"/>
          <w:shd w:val="clear" w:color="auto" w:fill="FFFFFF"/>
        </w:rPr>
        <w:t>(10), 1429-1449.</w:t>
      </w:r>
    </w:p>
    <w:p w14:paraId="55F16E69" w14:textId="77777777" w:rsidR="00842AA0" w:rsidRDefault="00842AA0" w:rsidP="00150EF8">
      <w:pPr>
        <w:spacing w:after="0"/>
        <w:rPr>
          <w:rFonts w:ascii="Times New Roman" w:hAnsi="Times New Roman" w:cs="Times New Roman"/>
          <w:color w:val="222222"/>
          <w:sz w:val="24"/>
          <w:szCs w:val="24"/>
          <w:shd w:val="clear" w:color="auto" w:fill="FFFFFF"/>
        </w:rPr>
      </w:pPr>
    </w:p>
    <w:p w14:paraId="1F3F9F82" w14:textId="001F905A"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Gaumer, G., Senthil Kumar, V. S., Crown, W., Jordan, M., Hurley, C., Subramanian, M., &amp; Nandakumar, A. K. (2023). Equity of the HIV epidemic response in 13 African countries. </w:t>
      </w:r>
      <w:r w:rsidRPr="007177A2">
        <w:rPr>
          <w:rFonts w:ascii="Times New Roman" w:hAnsi="Times New Roman" w:cs="Times New Roman"/>
          <w:i/>
          <w:iCs/>
          <w:color w:val="222222"/>
          <w:sz w:val="24"/>
          <w:szCs w:val="24"/>
          <w:shd w:val="clear" w:color="auto" w:fill="FFFFFF"/>
        </w:rPr>
        <w:t>African Journal of AIDS Research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22</w:t>
      </w:r>
      <w:r w:rsidRPr="007177A2">
        <w:rPr>
          <w:rFonts w:ascii="Times New Roman" w:hAnsi="Times New Roman" w:cs="Times New Roman"/>
          <w:color w:val="222222"/>
          <w:sz w:val="24"/>
          <w:szCs w:val="24"/>
          <w:shd w:val="clear" w:color="auto" w:fill="FFFFFF"/>
        </w:rPr>
        <w:t>(4), 276-289.</w:t>
      </w:r>
    </w:p>
    <w:p w14:paraId="01B6B1B9" w14:textId="77777777" w:rsidR="00842AA0" w:rsidRDefault="00842AA0" w:rsidP="00150EF8">
      <w:pPr>
        <w:spacing w:after="0"/>
        <w:rPr>
          <w:rFonts w:ascii="Times New Roman" w:hAnsi="Times New Roman" w:cs="Times New Roman"/>
          <w:color w:val="222222"/>
          <w:sz w:val="24"/>
          <w:szCs w:val="24"/>
          <w:shd w:val="clear" w:color="auto" w:fill="FFFFFF"/>
        </w:rPr>
      </w:pPr>
    </w:p>
    <w:p w14:paraId="66D70A80" w14:textId="2A25A84F"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Gupta, R., Abdalla, S., </w:t>
      </w:r>
      <w:proofErr w:type="spellStart"/>
      <w:r w:rsidRPr="007177A2">
        <w:rPr>
          <w:rFonts w:ascii="Times New Roman" w:hAnsi="Times New Roman" w:cs="Times New Roman"/>
          <w:color w:val="222222"/>
          <w:sz w:val="24"/>
          <w:szCs w:val="24"/>
          <w:shd w:val="clear" w:color="auto" w:fill="FFFFFF"/>
        </w:rPr>
        <w:t>Meausoone</w:t>
      </w:r>
      <w:proofErr w:type="spellEnd"/>
      <w:r w:rsidRPr="007177A2">
        <w:rPr>
          <w:rFonts w:ascii="Times New Roman" w:hAnsi="Times New Roman" w:cs="Times New Roman"/>
          <w:color w:val="222222"/>
          <w:sz w:val="24"/>
          <w:szCs w:val="24"/>
          <w:shd w:val="clear" w:color="auto" w:fill="FFFFFF"/>
        </w:rPr>
        <w:t>, V., Vicas, N., Mejía-Guevara, I., Weber, A. M., ... &amp; Darmstadt, G. L. (2022). Effect of imbalanced sampling and missing data on associations between gender norms and risk of adolescent HIV. </w:t>
      </w:r>
      <w:proofErr w:type="spellStart"/>
      <w:r w:rsidRPr="007177A2">
        <w:rPr>
          <w:rFonts w:ascii="Times New Roman" w:hAnsi="Times New Roman" w:cs="Times New Roman"/>
          <w:i/>
          <w:iCs/>
          <w:color w:val="222222"/>
          <w:sz w:val="24"/>
          <w:szCs w:val="24"/>
          <w:shd w:val="clear" w:color="auto" w:fill="FFFFFF"/>
        </w:rPr>
        <w:t>EClinicalMedicine</w:t>
      </w:r>
      <w:proofErr w:type="spellEnd"/>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50</w:t>
      </w:r>
      <w:r w:rsidRPr="007177A2">
        <w:rPr>
          <w:rFonts w:ascii="Times New Roman" w:hAnsi="Times New Roman" w:cs="Times New Roman"/>
          <w:color w:val="222222"/>
          <w:sz w:val="24"/>
          <w:szCs w:val="24"/>
          <w:shd w:val="clear" w:color="auto" w:fill="FFFFFF"/>
        </w:rPr>
        <w:t>.</w:t>
      </w:r>
    </w:p>
    <w:p w14:paraId="4277AF2D" w14:textId="77777777" w:rsidR="00842AA0" w:rsidRDefault="00842AA0" w:rsidP="00150EF8">
      <w:pPr>
        <w:spacing w:after="0"/>
        <w:rPr>
          <w:rFonts w:ascii="Times New Roman" w:hAnsi="Times New Roman" w:cs="Times New Roman"/>
          <w:color w:val="222222"/>
          <w:sz w:val="24"/>
          <w:szCs w:val="24"/>
          <w:shd w:val="clear" w:color="auto" w:fill="FFFFFF"/>
        </w:rPr>
      </w:pPr>
    </w:p>
    <w:p w14:paraId="62BACD41" w14:textId="58CCC392"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Hensen, B., Floyd, S., Phiri, M. M., Schaap, A., </w:t>
      </w:r>
      <w:proofErr w:type="spellStart"/>
      <w:r w:rsidRPr="007177A2">
        <w:rPr>
          <w:rFonts w:ascii="Times New Roman" w:hAnsi="Times New Roman" w:cs="Times New Roman"/>
          <w:color w:val="222222"/>
          <w:sz w:val="24"/>
          <w:szCs w:val="24"/>
          <w:shd w:val="clear" w:color="auto" w:fill="FFFFFF"/>
        </w:rPr>
        <w:t>Sigande</w:t>
      </w:r>
      <w:proofErr w:type="spellEnd"/>
      <w:r w:rsidRPr="007177A2">
        <w:rPr>
          <w:rFonts w:ascii="Times New Roman" w:hAnsi="Times New Roman" w:cs="Times New Roman"/>
          <w:color w:val="222222"/>
          <w:sz w:val="24"/>
          <w:szCs w:val="24"/>
          <w:shd w:val="clear" w:color="auto" w:fill="FFFFFF"/>
        </w:rPr>
        <w:t xml:space="preserve">, L., </w:t>
      </w:r>
      <w:proofErr w:type="spellStart"/>
      <w:r w:rsidRPr="007177A2">
        <w:rPr>
          <w:rFonts w:ascii="Times New Roman" w:hAnsi="Times New Roman" w:cs="Times New Roman"/>
          <w:color w:val="222222"/>
          <w:sz w:val="24"/>
          <w:szCs w:val="24"/>
          <w:shd w:val="clear" w:color="auto" w:fill="FFFFFF"/>
        </w:rPr>
        <w:t>Simuyaba</w:t>
      </w:r>
      <w:proofErr w:type="spellEnd"/>
      <w:r w:rsidRPr="007177A2">
        <w:rPr>
          <w:rFonts w:ascii="Times New Roman" w:hAnsi="Times New Roman" w:cs="Times New Roman"/>
          <w:color w:val="222222"/>
          <w:sz w:val="24"/>
          <w:szCs w:val="24"/>
          <w:shd w:val="clear" w:color="auto" w:fill="FFFFFF"/>
        </w:rPr>
        <w:t xml:space="preserve">, M., ... &amp; Ayles, H. (2023). The impact of community-based, peer-led sexual and reproductive health services on knowledge of HIV status among adolescents and young people aged 15 to 24 in Lusaka, Zambia: The </w:t>
      </w:r>
      <w:proofErr w:type="spellStart"/>
      <w:r w:rsidRPr="007177A2">
        <w:rPr>
          <w:rFonts w:ascii="Times New Roman" w:hAnsi="Times New Roman" w:cs="Times New Roman"/>
          <w:color w:val="222222"/>
          <w:sz w:val="24"/>
          <w:szCs w:val="24"/>
          <w:shd w:val="clear" w:color="auto" w:fill="FFFFFF"/>
        </w:rPr>
        <w:t>Yathu</w:t>
      </w:r>
      <w:proofErr w:type="spellEnd"/>
      <w:r w:rsidRPr="007177A2">
        <w:rPr>
          <w:rFonts w:ascii="Times New Roman" w:hAnsi="Times New Roman" w:cs="Times New Roman"/>
          <w:color w:val="222222"/>
          <w:sz w:val="24"/>
          <w:szCs w:val="24"/>
          <w:shd w:val="clear" w:color="auto" w:fill="FFFFFF"/>
        </w:rPr>
        <w:t xml:space="preserve"> </w:t>
      </w:r>
      <w:proofErr w:type="spellStart"/>
      <w:r w:rsidRPr="007177A2">
        <w:rPr>
          <w:rFonts w:ascii="Times New Roman" w:hAnsi="Times New Roman" w:cs="Times New Roman"/>
          <w:color w:val="222222"/>
          <w:sz w:val="24"/>
          <w:szCs w:val="24"/>
          <w:shd w:val="clear" w:color="auto" w:fill="FFFFFF"/>
        </w:rPr>
        <w:t>Yathu</w:t>
      </w:r>
      <w:proofErr w:type="spellEnd"/>
      <w:r w:rsidRPr="007177A2">
        <w:rPr>
          <w:rFonts w:ascii="Times New Roman" w:hAnsi="Times New Roman" w:cs="Times New Roman"/>
          <w:color w:val="222222"/>
          <w:sz w:val="24"/>
          <w:szCs w:val="24"/>
          <w:shd w:val="clear" w:color="auto" w:fill="FFFFFF"/>
        </w:rPr>
        <w:t xml:space="preserve"> cluster-randomised trial. </w:t>
      </w:r>
      <w:proofErr w:type="spellStart"/>
      <w:r w:rsidRPr="007177A2">
        <w:rPr>
          <w:rFonts w:ascii="Times New Roman" w:hAnsi="Times New Roman" w:cs="Times New Roman"/>
          <w:i/>
          <w:iCs/>
          <w:color w:val="222222"/>
          <w:sz w:val="24"/>
          <w:szCs w:val="24"/>
          <w:shd w:val="clear" w:color="auto" w:fill="FFFFFF"/>
        </w:rPr>
        <w:t>PLoS</w:t>
      </w:r>
      <w:proofErr w:type="spellEnd"/>
      <w:r w:rsidRPr="007177A2">
        <w:rPr>
          <w:rFonts w:ascii="Times New Roman" w:hAnsi="Times New Roman" w:cs="Times New Roman"/>
          <w:i/>
          <w:iCs/>
          <w:color w:val="222222"/>
          <w:sz w:val="24"/>
          <w:szCs w:val="24"/>
          <w:shd w:val="clear" w:color="auto" w:fill="FFFFFF"/>
        </w:rPr>
        <w:t xml:space="preserve"> medicine</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20</w:t>
      </w:r>
      <w:r w:rsidRPr="007177A2">
        <w:rPr>
          <w:rFonts w:ascii="Times New Roman" w:hAnsi="Times New Roman" w:cs="Times New Roman"/>
          <w:color w:val="222222"/>
          <w:sz w:val="24"/>
          <w:szCs w:val="24"/>
          <w:shd w:val="clear" w:color="auto" w:fill="FFFFFF"/>
        </w:rPr>
        <w:t>(4), e1004203.</w:t>
      </w:r>
    </w:p>
    <w:p w14:paraId="41EFBBC8" w14:textId="77777777" w:rsidR="00B92566" w:rsidRDefault="00B92566" w:rsidP="00150EF8">
      <w:pPr>
        <w:spacing w:after="0"/>
        <w:rPr>
          <w:rFonts w:ascii="Times New Roman" w:hAnsi="Times New Roman" w:cs="Times New Roman"/>
          <w:color w:val="222222"/>
          <w:sz w:val="24"/>
          <w:szCs w:val="24"/>
          <w:shd w:val="clear" w:color="auto" w:fill="FFFFFF"/>
        </w:rPr>
      </w:pPr>
    </w:p>
    <w:p w14:paraId="33612103" w14:textId="1A76282B"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Jaya, I. G. N. M., Handoko, B., </w:t>
      </w:r>
      <w:proofErr w:type="spellStart"/>
      <w:r w:rsidRPr="007177A2">
        <w:rPr>
          <w:rFonts w:ascii="Times New Roman" w:hAnsi="Times New Roman" w:cs="Times New Roman"/>
          <w:color w:val="222222"/>
          <w:sz w:val="24"/>
          <w:szCs w:val="24"/>
          <w:shd w:val="clear" w:color="auto" w:fill="FFFFFF"/>
        </w:rPr>
        <w:t>Andriyana</w:t>
      </w:r>
      <w:proofErr w:type="spellEnd"/>
      <w:r w:rsidRPr="007177A2">
        <w:rPr>
          <w:rFonts w:ascii="Times New Roman" w:hAnsi="Times New Roman" w:cs="Times New Roman"/>
          <w:color w:val="222222"/>
          <w:sz w:val="24"/>
          <w:szCs w:val="24"/>
          <w:shd w:val="clear" w:color="auto" w:fill="FFFFFF"/>
        </w:rPr>
        <w:t xml:space="preserve">, Y., </w:t>
      </w:r>
      <w:proofErr w:type="spellStart"/>
      <w:r w:rsidRPr="007177A2">
        <w:rPr>
          <w:rFonts w:ascii="Times New Roman" w:hAnsi="Times New Roman" w:cs="Times New Roman"/>
          <w:color w:val="222222"/>
          <w:sz w:val="24"/>
          <w:szCs w:val="24"/>
          <w:shd w:val="clear" w:color="auto" w:fill="FFFFFF"/>
        </w:rPr>
        <w:t>Chadidjah</w:t>
      </w:r>
      <w:proofErr w:type="spellEnd"/>
      <w:r w:rsidRPr="007177A2">
        <w:rPr>
          <w:rFonts w:ascii="Times New Roman" w:hAnsi="Times New Roman" w:cs="Times New Roman"/>
          <w:color w:val="222222"/>
          <w:sz w:val="24"/>
          <w:szCs w:val="24"/>
          <w:shd w:val="clear" w:color="auto" w:fill="FFFFFF"/>
        </w:rPr>
        <w:t xml:space="preserve">, A., Kristiani, F., &amp; </w:t>
      </w:r>
      <w:proofErr w:type="spellStart"/>
      <w:r w:rsidRPr="007177A2">
        <w:rPr>
          <w:rFonts w:ascii="Times New Roman" w:hAnsi="Times New Roman" w:cs="Times New Roman"/>
          <w:color w:val="222222"/>
          <w:sz w:val="24"/>
          <w:szCs w:val="24"/>
          <w:shd w:val="clear" w:color="auto" w:fill="FFFFFF"/>
        </w:rPr>
        <w:t>Antikasari</w:t>
      </w:r>
      <w:proofErr w:type="spellEnd"/>
      <w:r w:rsidRPr="007177A2">
        <w:rPr>
          <w:rFonts w:ascii="Times New Roman" w:hAnsi="Times New Roman" w:cs="Times New Roman"/>
          <w:color w:val="222222"/>
          <w:sz w:val="24"/>
          <w:szCs w:val="24"/>
          <w:shd w:val="clear" w:color="auto" w:fill="FFFFFF"/>
        </w:rPr>
        <w:t>, M. (2023). Multivariate Bayesian semiparametric regression model for forecasting and mapping HIV and TB risks in West Java, Indonesia. </w:t>
      </w:r>
      <w:r w:rsidRPr="007177A2">
        <w:rPr>
          <w:rFonts w:ascii="Times New Roman" w:hAnsi="Times New Roman" w:cs="Times New Roman"/>
          <w:i/>
          <w:iCs/>
          <w:color w:val="222222"/>
          <w:sz w:val="24"/>
          <w:szCs w:val="24"/>
          <w:shd w:val="clear" w:color="auto" w:fill="FFFFFF"/>
        </w:rPr>
        <w:t>Mathematics</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11</w:t>
      </w:r>
      <w:r w:rsidRPr="007177A2">
        <w:rPr>
          <w:rFonts w:ascii="Times New Roman" w:hAnsi="Times New Roman" w:cs="Times New Roman"/>
          <w:color w:val="222222"/>
          <w:sz w:val="24"/>
          <w:szCs w:val="24"/>
          <w:shd w:val="clear" w:color="auto" w:fill="FFFFFF"/>
        </w:rPr>
        <w:t>(17), 3641.</w:t>
      </w:r>
    </w:p>
    <w:p w14:paraId="79466714" w14:textId="77777777" w:rsidR="00842AA0" w:rsidRDefault="00842AA0" w:rsidP="00150EF8">
      <w:pPr>
        <w:spacing w:after="0"/>
        <w:rPr>
          <w:rFonts w:ascii="Times New Roman" w:hAnsi="Times New Roman" w:cs="Times New Roman"/>
          <w:color w:val="222222"/>
          <w:sz w:val="24"/>
          <w:szCs w:val="24"/>
          <w:shd w:val="clear" w:color="auto" w:fill="FFFFFF"/>
        </w:rPr>
      </w:pPr>
    </w:p>
    <w:p w14:paraId="303C473C" w14:textId="04883ADA"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Kanyemba, R., Govender, K., Dzomba, A., Mashamba, T. P., &amp; Mantell, J. E. (2023). HIV focused sexual risk-reduction interventions targeting adolescent boys and young men in Sub-Saharan Africa: a scoping review. </w:t>
      </w:r>
      <w:r w:rsidRPr="007177A2">
        <w:rPr>
          <w:rFonts w:ascii="Times New Roman" w:hAnsi="Times New Roman" w:cs="Times New Roman"/>
          <w:i/>
          <w:iCs/>
          <w:color w:val="222222"/>
          <w:sz w:val="24"/>
          <w:szCs w:val="24"/>
          <w:shd w:val="clear" w:color="auto" w:fill="FFFFFF"/>
        </w:rPr>
        <w:t xml:space="preserve">AIDS and </w:t>
      </w:r>
      <w:proofErr w:type="spellStart"/>
      <w:r w:rsidRPr="007177A2">
        <w:rPr>
          <w:rFonts w:ascii="Times New Roman" w:hAnsi="Times New Roman" w:cs="Times New Roman"/>
          <w:i/>
          <w:iCs/>
          <w:color w:val="222222"/>
          <w:sz w:val="24"/>
          <w:szCs w:val="24"/>
          <w:shd w:val="clear" w:color="auto" w:fill="FFFFFF"/>
        </w:rPr>
        <w:t>Behavior</w:t>
      </w:r>
      <w:proofErr w:type="spellEnd"/>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27</w:t>
      </w:r>
      <w:r w:rsidRPr="007177A2">
        <w:rPr>
          <w:rFonts w:ascii="Times New Roman" w:hAnsi="Times New Roman" w:cs="Times New Roman"/>
          <w:color w:val="222222"/>
          <w:sz w:val="24"/>
          <w:szCs w:val="24"/>
          <w:shd w:val="clear" w:color="auto" w:fill="FFFFFF"/>
        </w:rPr>
        <w:t>(10), 3356-3391.</w:t>
      </w:r>
    </w:p>
    <w:p w14:paraId="58710E11" w14:textId="77777777" w:rsidR="00842AA0" w:rsidRDefault="00842AA0" w:rsidP="00150EF8">
      <w:pPr>
        <w:spacing w:after="0"/>
        <w:rPr>
          <w:rFonts w:ascii="Times New Roman" w:hAnsi="Times New Roman" w:cs="Times New Roman"/>
          <w:color w:val="222222"/>
          <w:sz w:val="24"/>
          <w:szCs w:val="24"/>
          <w:shd w:val="clear" w:color="auto" w:fill="FFFFFF"/>
        </w:rPr>
      </w:pPr>
    </w:p>
    <w:p w14:paraId="138585CB" w14:textId="1CED58B6"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lastRenderedPageBreak/>
        <w:t>Kim, M., Mahmood, M., Estes, L. L., Wilson, J. W., Martin, N. J., Marcus, J. E., ... &amp; Shah, A. (2024). A narrative review on antimicrobial dosing in adult critically ill patients on extracorporeal membrane oxygenation. </w:t>
      </w:r>
      <w:r w:rsidRPr="007177A2">
        <w:rPr>
          <w:rFonts w:ascii="Times New Roman" w:hAnsi="Times New Roman" w:cs="Times New Roman"/>
          <w:i/>
          <w:iCs/>
          <w:color w:val="222222"/>
          <w:sz w:val="24"/>
          <w:szCs w:val="24"/>
          <w:shd w:val="clear" w:color="auto" w:fill="FFFFFF"/>
        </w:rPr>
        <w:t>Critical Care</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28</w:t>
      </w:r>
      <w:r w:rsidRPr="007177A2">
        <w:rPr>
          <w:rFonts w:ascii="Times New Roman" w:hAnsi="Times New Roman" w:cs="Times New Roman"/>
          <w:color w:val="222222"/>
          <w:sz w:val="24"/>
          <w:szCs w:val="24"/>
          <w:shd w:val="clear" w:color="auto" w:fill="FFFFFF"/>
        </w:rPr>
        <w:t>(1), 326.</w:t>
      </w:r>
    </w:p>
    <w:p w14:paraId="11CCA3AC" w14:textId="77777777" w:rsidR="00842AA0" w:rsidRDefault="00842AA0" w:rsidP="00150EF8">
      <w:pPr>
        <w:spacing w:after="0"/>
        <w:rPr>
          <w:rFonts w:ascii="Times New Roman" w:hAnsi="Times New Roman" w:cs="Times New Roman"/>
          <w:color w:val="222222"/>
          <w:sz w:val="24"/>
          <w:szCs w:val="24"/>
          <w:shd w:val="clear" w:color="auto" w:fill="FFFFFF"/>
        </w:rPr>
      </w:pPr>
    </w:p>
    <w:p w14:paraId="046A6AAE" w14:textId="043574C0"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Kiplagat, J., Tran, D. N., Barber, T., Njuguna, B., </w:t>
      </w:r>
      <w:proofErr w:type="spellStart"/>
      <w:r w:rsidRPr="007177A2">
        <w:rPr>
          <w:rFonts w:ascii="Times New Roman" w:hAnsi="Times New Roman" w:cs="Times New Roman"/>
          <w:color w:val="222222"/>
          <w:sz w:val="24"/>
          <w:szCs w:val="24"/>
          <w:shd w:val="clear" w:color="auto" w:fill="FFFFFF"/>
        </w:rPr>
        <w:t>Vedanthan</w:t>
      </w:r>
      <w:proofErr w:type="spellEnd"/>
      <w:r w:rsidRPr="007177A2">
        <w:rPr>
          <w:rFonts w:ascii="Times New Roman" w:hAnsi="Times New Roman" w:cs="Times New Roman"/>
          <w:color w:val="222222"/>
          <w:sz w:val="24"/>
          <w:szCs w:val="24"/>
          <w:shd w:val="clear" w:color="auto" w:fill="FFFFFF"/>
        </w:rPr>
        <w:t xml:space="preserve">, R., </w:t>
      </w:r>
      <w:proofErr w:type="spellStart"/>
      <w:r w:rsidRPr="007177A2">
        <w:rPr>
          <w:rFonts w:ascii="Times New Roman" w:hAnsi="Times New Roman" w:cs="Times New Roman"/>
          <w:color w:val="222222"/>
          <w:sz w:val="24"/>
          <w:szCs w:val="24"/>
          <w:shd w:val="clear" w:color="auto" w:fill="FFFFFF"/>
        </w:rPr>
        <w:t>Triant</w:t>
      </w:r>
      <w:proofErr w:type="spellEnd"/>
      <w:r w:rsidRPr="007177A2">
        <w:rPr>
          <w:rFonts w:ascii="Times New Roman" w:hAnsi="Times New Roman" w:cs="Times New Roman"/>
          <w:color w:val="222222"/>
          <w:sz w:val="24"/>
          <w:szCs w:val="24"/>
          <w:shd w:val="clear" w:color="auto" w:fill="FFFFFF"/>
        </w:rPr>
        <w:t xml:space="preserve">, V. A., &amp; </w:t>
      </w:r>
      <w:proofErr w:type="spellStart"/>
      <w:r w:rsidRPr="007177A2">
        <w:rPr>
          <w:rFonts w:ascii="Times New Roman" w:hAnsi="Times New Roman" w:cs="Times New Roman"/>
          <w:color w:val="222222"/>
          <w:sz w:val="24"/>
          <w:szCs w:val="24"/>
          <w:shd w:val="clear" w:color="auto" w:fill="FFFFFF"/>
        </w:rPr>
        <w:t>Pastakia</w:t>
      </w:r>
      <w:proofErr w:type="spellEnd"/>
      <w:r w:rsidRPr="007177A2">
        <w:rPr>
          <w:rFonts w:ascii="Times New Roman" w:hAnsi="Times New Roman" w:cs="Times New Roman"/>
          <w:color w:val="222222"/>
          <w:sz w:val="24"/>
          <w:szCs w:val="24"/>
          <w:shd w:val="clear" w:color="auto" w:fill="FFFFFF"/>
        </w:rPr>
        <w:t>, S. D. (2022). How health systems can adapt to a population ageing with HIV and comorbid disease. </w:t>
      </w:r>
      <w:r w:rsidRPr="007177A2">
        <w:rPr>
          <w:rFonts w:ascii="Times New Roman" w:hAnsi="Times New Roman" w:cs="Times New Roman"/>
          <w:i/>
          <w:iCs/>
          <w:color w:val="222222"/>
          <w:sz w:val="24"/>
          <w:szCs w:val="24"/>
          <w:shd w:val="clear" w:color="auto" w:fill="FFFFFF"/>
        </w:rPr>
        <w:t>The Lancet HIV</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9</w:t>
      </w:r>
      <w:r w:rsidRPr="007177A2">
        <w:rPr>
          <w:rFonts w:ascii="Times New Roman" w:hAnsi="Times New Roman" w:cs="Times New Roman"/>
          <w:color w:val="222222"/>
          <w:sz w:val="24"/>
          <w:szCs w:val="24"/>
          <w:shd w:val="clear" w:color="auto" w:fill="FFFFFF"/>
        </w:rPr>
        <w:t>(4), e281-e292.</w:t>
      </w:r>
    </w:p>
    <w:p w14:paraId="5B7D6402" w14:textId="77777777" w:rsidR="00842AA0" w:rsidRDefault="00842AA0" w:rsidP="00150EF8">
      <w:pPr>
        <w:spacing w:after="0"/>
        <w:rPr>
          <w:rFonts w:ascii="Times New Roman" w:hAnsi="Times New Roman" w:cs="Times New Roman"/>
          <w:color w:val="222222"/>
          <w:sz w:val="24"/>
          <w:szCs w:val="24"/>
          <w:shd w:val="clear" w:color="auto" w:fill="FFFFFF"/>
        </w:rPr>
      </w:pPr>
    </w:p>
    <w:p w14:paraId="018B55F4" w14:textId="72AFC09E" w:rsidR="007177A2" w:rsidRPr="007177A2" w:rsidRDefault="007177A2" w:rsidP="00150EF8">
      <w:pPr>
        <w:spacing w:after="0"/>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t>Költringer</w:t>
      </w:r>
      <w:proofErr w:type="spellEnd"/>
      <w:r w:rsidRPr="007177A2">
        <w:rPr>
          <w:rFonts w:ascii="Times New Roman" w:hAnsi="Times New Roman" w:cs="Times New Roman"/>
          <w:color w:val="222222"/>
          <w:sz w:val="24"/>
          <w:szCs w:val="24"/>
          <w:shd w:val="clear" w:color="auto" w:fill="FFFFFF"/>
        </w:rPr>
        <w:t xml:space="preserve">, F. A., </w:t>
      </w:r>
      <w:proofErr w:type="spellStart"/>
      <w:r w:rsidRPr="007177A2">
        <w:rPr>
          <w:rFonts w:ascii="Times New Roman" w:hAnsi="Times New Roman" w:cs="Times New Roman"/>
          <w:color w:val="222222"/>
          <w:sz w:val="24"/>
          <w:szCs w:val="24"/>
          <w:shd w:val="clear" w:color="auto" w:fill="FFFFFF"/>
        </w:rPr>
        <w:t>Annerstedt</w:t>
      </w:r>
      <w:proofErr w:type="spellEnd"/>
      <w:r w:rsidRPr="007177A2">
        <w:rPr>
          <w:rFonts w:ascii="Times New Roman" w:hAnsi="Times New Roman" w:cs="Times New Roman"/>
          <w:color w:val="222222"/>
          <w:sz w:val="24"/>
          <w:szCs w:val="24"/>
          <w:shd w:val="clear" w:color="auto" w:fill="FFFFFF"/>
        </w:rPr>
        <w:t xml:space="preserve">, K. S., Boccia, D., Carter, D. J., &amp; </w:t>
      </w:r>
      <w:proofErr w:type="spellStart"/>
      <w:r w:rsidRPr="007177A2">
        <w:rPr>
          <w:rFonts w:ascii="Times New Roman" w:hAnsi="Times New Roman" w:cs="Times New Roman"/>
          <w:color w:val="222222"/>
          <w:sz w:val="24"/>
          <w:szCs w:val="24"/>
          <w:shd w:val="clear" w:color="auto" w:fill="FFFFFF"/>
        </w:rPr>
        <w:t>Rudgard</w:t>
      </w:r>
      <w:proofErr w:type="spellEnd"/>
      <w:r w:rsidRPr="007177A2">
        <w:rPr>
          <w:rFonts w:ascii="Times New Roman" w:hAnsi="Times New Roman" w:cs="Times New Roman"/>
          <w:color w:val="222222"/>
          <w:sz w:val="24"/>
          <w:szCs w:val="24"/>
          <w:shd w:val="clear" w:color="auto" w:fill="FFFFFF"/>
        </w:rPr>
        <w:t>, W. E. (2023). The social determinants of national tuberculosis incidence rates in 116 countries: a longitudinal ecological study between 2005–2015. </w:t>
      </w:r>
      <w:r w:rsidRPr="007177A2">
        <w:rPr>
          <w:rFonts w:ascii="Times New Roman" w:hAnsi="Times New Roman" w:cs="Times New Roman"/>
          <w:i/>
          <w:iCs/>
          <w:color w:val="222222"/>
          <w:sz w:val="24"/>
          <w:szCs w:val="24"/>
          <w:shd w:val="clear" w:color="auto" w:fill="FFFFFF"/>
        </w:rPr>
        <w:t>BMC public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23</w:t>
      </w:r>
      <w:r w:rsidRPr="007177A2">
        <w:rPr>
          <w:rFonts w:ascii="Times New Roman" w:hAnsi="Times New Roman" w:cs="Times New Roman"/>
          <w:color w:val="222222"/>
          <w:sz w:val="24"/>
          <w:szCs w:val="24"/>
          <w:shd w:val="clear" w:color="auto" w:fill="FFFFFF"/>
        </w:rPr>
        <w:t>(1), 337.</w:t>
      </w:r>
    </w:p>
    <w:p w14:paraId="69EE3AA7" w14:textId="77777777" w:rsidR="00842AA0" w:rsidRDefault="00842AA0" w:rsidP="00150EF8">
      <w:pPr>
        <w:spacing w:after="0"/>
        <w:rPr>
          <w:rFonts w:ascii="Times New Roman" w:hAnsi="Times New Roman" w:cs="Times New Roman"/>
          <w:color w:val="222222"/>
          <w:sz w:val="24"/>
          <w:szCs w:val="24"/>
          <w:shd w:val="clear" w:color="auto" w:fill="FFFFFF"/>
        </w:rPr>
      </w:pPr>
    </w:p>
    <w:p w14:paraId="596D22B8" w14:textId="74728F3E"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Kumah, E., Boakye, D. S., Boateng, R., &amp; Agyei, E. (2023). Advancing the global fight against HIV/Aids: Strategies, barriers, and the road to eradication. </w:t>
      </w:r>
      <w:r w:rsidRPr="007177A2">
        <w:rPr>
          <w:rFonts w:ascii="Times New Roman" w:hAnsi="Times New Roman" w:cs="Times New Roman"/>
          <w:i/>
          <w:iCs/>
          <w:color w:val="222222"/>
          <w:sz w:val="24"/>
          <w:szCs w:val="24"/>
          <w:shd w:val="clear" w:color="auto" w:fill="FFFFFF"/>
        </w:rPr>
        <w:t>Annals of global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89</w:t>
      </w:r>
      <w:r w:rsidRPr="007177A2">
        <w:rPr>
          <w:rFonts w:ascii="Times New Roman" w:hAnsi="Times New Roman" w:cs="Times New Roman"/>
          <w:color w:val="222222"/>
          <w:sz w:val="24"/>
          <w:szCs w:val="24"/>
          <w:shd w:val="clear" w:color="auto" w:fill="FFFFFF"/>
        </w:rPr>
        <w:t>(1), 83.</w:t>
      </w:r>
    </w:p>
    <w:p w14:paraId="6BFA2022" w14:textId="77777777" w:rsidR="00842AA0" w:rsidRDefault="00842AA0" w:rsidP="00150EF8">
      <w:pPr>
        <w:spacing w:after="0"/>
        <w:rPr>
          <w:rFonts w:ascii="Times New Roman" w:hAnsi="Times New Roman" w:cs="Times New Roman"/>
          <w:color w:val="222222"/>
          <w:sz w:val="24"/>
          <w:szCs w:val="24"/>
          <w:shd w:val="clear" w:color="auto" w:fill="FFFFFF"/>
        </w:rPr>
      </w:pPr>
    </w:p>
    <w:p w14:paraId="4AD9C5B6" w14:textId="734CFFB1" w:rsidR="007177A2" w:rsidRPr="007177A2" w:rsidRDefault="007177A2" w:rsidP="00150EF8">
      <w:pPr>
        <w:spacing w:after="0"/>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t>Landovitz</w:t>
      </w:r>
      <w:proofErr w:type="spellEnd"/>
      <w:r w:rsidRPr="007177A2">
        <w:rPr>
          <w:rFonts w:ascii="Times New Roman" w:hAnsi="Times New Roman" w:cs="Times New Roman"/>
          <w:color w:val="222222"/>
          <w:sz w:val="24"/>
          <w:szCs w:val="24"/>
          <w:shd w:val="clear" w:color="auto" w:fill="FFFFFF"/>
        </w:rPr>
        <w:t>, R. J., Scott, H., &amp; Deeks, S. G. (2023). Prevention, treatment and cure of HIV infection. </w:t>
      </w:r>
      <w:r w:rsidRPr="007177A2">
        <w:rPr>
          <w:rFonts w:ascii="Times New Roman" w:hAnsi="Times New Roman" w:cs="Times New Roman"/>
          <w:i/>
          <w:iCs/>
          <w:color w:val="222222"/>
          <w:sz w:val="24"/>
          <w:szCs w:val="24"/>
          <w:shd w:val="clear" w:color="auto" w:fill="FFFFFF"/>
        </w:rPr>
        <w:t>Nature Reviews Microbiology</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21</w:t>
      </w:r>
      <w:r w:rsidRPr="007177A2">
        <w:rPr>
          <w:rFonts w:ascii="Times New Roman" w:hAnsi="Times New Roman" w:cs="Times New Roman"/>
          <w:color w:val="222222"/>
          <w:sz w:val="24"/>
          <w:szCs w:val="24"/>
          <w:shd w:val="clear" w:color="auto" w:fill="FFFFFF"/>
        </w:rPr>
        <w:t>(10), 657-670.</w:t>
      </w:r>
    </w:p>
    <w:p w14:paraId="71C66BA4" w14:textId="77777777" w:rsidR="00842AA0" w:rsidRDefault="00842AA0" w:rsidP="00150EF8">
      <w:pPr>
        <w:spacing w:after="0"/>
        <w:rPr>
          <w:rFonts w:ascii="Times New Roman" w:hAnsi="Times New Roman" w:cs="Times New Roman"/>
          <w:color w:val="222222"/>
          <w:sz w:val="24"/>
          <w:szCs w:val="24"/>
          <w:shd w:val="clear" w:color="auto" w:fill="FFFFFF"/>
        </w:rPr>
      </w:pPr>
    </w:p>
    <w:p w14:paraId="1F82A665" w14:textId="75AFBBD9"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Lima, L. V. D., </w:t>
      </w:r>
      <w:proofErr w:type="spellStart"/>
      <w:r w:rsidRPr="007177A2">
        <w:rPr>
          <w:rFonts w:ascii="Times New Roman" w:hAnsi="Times New Roman" w:cs="Times New Roman"/>
          <w:color w:val="222222"/>
          <w:sz w:val="24"/>
          <w:szCs w:val="24"/>
          <w:shd w:val="clear" w:color="auto" w:fill="FFFFFF"/>
        </w:rPr>
        <w:t>Pavinati</w:t>
      </w:r>
      <w:proofErr w:type="spellEnd"/>
      <w:r w:rsidRPr="007177A2">
        <w:rPr>
          <w:rFonts w:ascii="Times New Roman" w:hAnsi="Times New Roman" w:cs="Times New Roman"/>
          <w:color w:val="222222"/>
          <w:sz w:val="24"/>
          <w:szCs w:val="24"/>
          <w:shd w:val="clear" w:color="auto" w:fill="FFFFFF"/>
        </w:rPr>
        <w:t xml:space="preserve">, G., Valdivia-Rojas, Y. L., Silva Júnior, J. N. D. B., Sato, A. P. S., Diaz-Quijano, F. A., ... &amp; </w:t>
      </w:r>
      <w:proofErr w:type="spellStart"/>
      <w:r w:rsidRPr="007177A2">
        <w:rPr>
          <w:rFonts w:ascii="Times New Roman" w:hAnsi="Times New Roman" w:cs="Times New Roman"/>
          <w:color w:val="222222"/>
          <w:sz w:val="24"/>
          <w:szCs w:val="24"/>
          <w:shd w:val="clear" w:color="auto" w:fill="FFFFFF"/>
        </w:rPr>
        <w:t>Magnabosco</w:t>
      </w:r>
      <w:proofErr w:type="spellEnd"/>
      <w:r w:rsidRPr="007177A2">
        <w:rPr>
          <w:rFonts w:ascii="Times New Roman" w:hAnsi="Times New Roman" w:cs="Times New Roman"/>
          <w:color w:val="222222"/>
          <w:sz w:val="24"/>
          <w:szCs w:val="24"/>
          <w:shd w:val="clear" w:color="auto" w:fill="FFFFFF"/>
        </w:rPr>
        <w:t>, G. T. (2025). Temporal trends and regional clusters of tuberculosis-HIV coinfection outcomes in Brazil. </w:t>
      </w:r>
      <w:proofErr w:type="spellStart"/>
      <w:r w:rsidRPr="007177A2">
        <w:rPr>
          <w:rFonts w:ascii="Times New Roman" w:hAnsi="Times New Roman" w:cs="Times New Roman"/>
          <w:i/>
          <w:iCs/>
          <w:color w:val="222222"/>
          <w:sz w:val="24"/>
          <w:szCs w:val="24"/>
          <w:shd w:val="clear" w:color="auto" w:fill="FFFFFF"/>
        </w:rPr>
        <w:t>Revista</w:t>
      </w:r>
      <w:proofErr w:type="spellEnd"/>
      <w:r w:rsidRPr="007177A2">
        <w:rPr>
          <w:rFonts w:ascii="Times New Roman" w:hAnsi="Times New Roman" w:cs="Times New Roman"/>
          <w:i/>
          <w:iCs/>
          <w:color w:val="222222"/>
          <w:sz w:val="24"/>
          <w:szCs w:val="24"/>
          <w:shd w:val="clear" w:color="auto" w:fill="FFFFFF"/>
        </w:rPr>
        <w:t xml:space="preserve"> de </w:t>
      </w:r>
      <w:proofErr w:type="spellStart"/>
      <w:r w:rsidRPr="007177A2">
        <w:rPr>
          <w:rFonts w:ascii="Times New Roman" w:hAnsi="Times New Roman" w:cs="Times New Roman"/>
          <w:i/>
          <w:iCs/>
          <w:color w:val="222222"/>
          <w:sz w:val="24"/>
          <w:szCs w:val="24"/>
          <w:shd w:val="clear" w:color="auto" w:fill="FFFFFF"/>
        </w:rPr>
        <w:t>Saúde</w:t>
      </w:r>
      <w:proofErr w:type="spellEnd"/>
      <w:r w:rsidRPr="007177A2">
        <w:rPr>
          <w:rFonts w:ascii="Times New Roman" w:hAnsi="Times New Roman" w:cs="Times New Roman"/>
          <w:i/>
          <w:iCs/>
          <w:color w:val="222222"/>
          <w:sz w:val="24"/>
          <w:szCs w:val="24"/>
          <w:shd w:val="clear" w:color="auto" w:fill="FFFFFF"/>
        </w:rPr>
        <w:t xml:space="preserve"> </w:t>
      </w:r>
      <w:proofErr w:type="spellStart"/>
      <w:r w:rsidRPr="007177A2">
        <w:rPr>
          <w:rFonts w:ascii="Times New Roman" w:hAnsi="Times New Roman" w:cs="Times New Roman"/>
          <w:i/>
          <w:iCs/>
          <w:color w:val="222222"/>
          <w:sz w:val="24"/>
          <w:szCs w:val="24"/>
          <w:shd w:val="clear" w:color="auto" w:fill="FFFFFF"/>
        </w:rPr>
        <w:t>Pública</w:t>
      </w:r>
      <w:proofErr w:type="spellEnd"/>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59</w:t>
      </w:r>
      <w:r w:rsidRPr="007177A2">
        <w:rPr>
          <w:rFonts w:ascii="Times New Roman" w:hAnsi="Times New Roman" w:cs="Times New Roman"/>
          <w:color w:val="222222"/>
          <w:sz w:val="24"/>
          <w:szCs w:val="24"/>
          <w:shd w:val="clear" w:color="auto" w:fill="FFFFFF"/>
        </w:rPr>
        <w:t>, e39.</w:t>
      </w:r>
    </w:p>
    <w:p w14:paraId="2F3BD922" w14:textId="77777777" w:rsidR="00842AA0" w:rsidRDefault="00842AA0" w:rsidP="00150EF8">
      <w:pPr>
        <w:spacing w:after="0"/>
        <w:rPr>
          <w:rFonts w:ascii="Times New Roman" w:hAnsi="Times New Roman" w:cs="Times New Roman"/>
          <w:color w:val="222222"/>
          <w:sz w:val="24"/>
          <w:szCs w:val="24"/>
          <w:shd w:val="clear" w:color="auto" w:fill="FFFFFF"/>
        </w:rPr>
      </w:pPr>
    </w:p>
    <w:p w14:paraId="72362AE8" w14:textId="641C5D80" w:rsidR="007177A2" w:rsidRPr="007177A2" w:rsidRDefault="007177A2" w:rsidP="00150EF8">
      <w:pPr>
        <w:spacing w:after="0"/>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t>Mobaderi</w:t>
      </w:r>
      <w:proofErr w:type="spellEnd"/>
      <w:r w:rsidRPr="007177A2">
        <w:rPr>
          <w:rFonts w:ascii="Times New Roman" w:hAnsi="Times New Roman" w:cs="Times New Roman"/>
          <w:color w:val="222222"/>
          <w:sz w:val="24"/>
          <w:szCs w:val="24"/>
          <w:shd w:val="clear" w:color="auto" w:fill="FFFFFF"/>
        </w:rPr>
        <w:t xml:space="preserve">, T., </w:t>
      </w:r>
      <w:proofErr w:type="spellStart"/>
      <w:r w:rsidRPr="007177A2">
        <w:rPr>
          <w:rFonts w:ascii="Times New Roman" w:hAnsi="Times New Roman" w:cs="Times New Roman"/>
          <w:color w:val="222222"/>
          <w:sz w:val="24"/>
          <w:szCs w:val="24"/>
          <w:shd w:val="clear" w:color="auto" w:fill="FFFFFF"/>
        </w:rPr>
        <w:t>Kazemnejad</w:t>
      </w:r>
      <w:proofErr w:type="spellEnd"/>
      <w:r w:rsidRPr="007177A2">
        <w:rPr>
          <w:rFonts w:ascii="Times New Roman" w:hAnsi="Times New Roman" w:cs="Times New Roman"/>
          <w:color w:val="222222"/>
          <w:sz w:val="24"/>
          <w:szCs w:val="24"/>
          <w:shd w:val="clear" w:color="auto" w:fill="FFFFFF"/>
        </w:rPr>
        <w:t xml:space="preserve">, A., &amp; Salehi, M. (2025). Clustering and </w:t>
      </w:r>
      <w:proofErr w:type="spellStart"/>
      <w:r w:rsidRPr="007177A2">
        <w:rPr>
          <w:rFonts w:ascii="Times New Roman" w:hAnsi="Times New Roman" w:cs="Times New Roman"/>
          <w:color w:val="222222"/>
          <w:sz w:val="24"/>
          <w:szCs w:val="24"/>
          <w:shd w:val="clear" w:color="auto" w:fill="FFFFFF"/>
        </w:rPr>
        <w:t>modeling</w:t>
      </w:r>
      <w:proofErr w:type="spellEnd"/>
      <w:r w:rsidRPr="007177A2">
        <w:rPr>
          <w:rFonts w:ascii="Times New Roman" w:hAnsi="Times New Roman" w:cs="Times New Roman"/>
          <w:color w:val="222222"/>
          <w:sz w:val="24"/>
          <w:szCs w:val="24"/>
          <w:shd w:val="clear" w:color="auto" w:fill="FFFFFF"/>
        </w:rPr>
        <w:t xml:space="preserve"> joint-trajectories of HIV/AIDS and tuberculosis mortality rates using </w:t>
      </w:r>
      <w:proofErr w:type="spellStart"/>
      <w:r w:rsidRPr="007177A2">
        <w:rPr>
          <w:rFonts w:ascii="Times New Roman" w:hAnsi="Times New Roman" w:cs="Times New Roman"/>
          <w:color w:val="222222"/>
          <w:sz w:val="24"/>
          <w:szCs w:val="24"/>
          <w:shd w:val="clear" w:color="auto" w:fill="FFFFFF"/>
        </w:rPr>
        <w:t>bayesian</w:t>
      </w:r>
      <w:proofErr w:type="spellEnd"/>
      <w:r w:rsidRPr="007177A2">
        <w:rPr>
          <w:rFonts w:ascii="Times New Roman" w:hAnsi="Times New Roman" w:cs="Times New Roman"/>
          <w:color w:val="222222"/>
          <w:sz w:val="24"/>
          <w:szCs w:val="24"/>
          <w:shd w:val="clear" w:color="auto" w:fill="FFFFFF"/>
        </w:rPr>
        <w:t xml:space="preserve"> multi-process latent growth model: A global study from 1990 to 2021. </w:t>
      </w:r>
      <w:r w:rsidRPr="007177A2">
        <w:rPr>
          <w:rFonts w:ascii="Times New Roman" w:hAnsi="Times New Roman" w:cs="Times New Roman"/>
          <w:i/>
          <w:iCs/>
          <w:color w:val="222222"/>
          <w:sz w:val="24"/>
          <w:szCs w:val="24"/>
          <w:shd w:val="clear" w:color="auto" w:fill="FFFFFF"/>
        </w:rPr>
        <w:t>BMC Infectious Diseases</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25</w:t>
      </w:r>
      <w:r w:rsidRPr="007177A2">
        <w:rPr>
          <w:rFonts w:ascii="Times New Roman" w:hAnsi="Times New Roman" w:cs="Times New Roman"/>
          <w:color w:val="222222"/>
          <w:sz w:val="24"/>
          <w:szCs w:val="24"/>
          <w:shd w:val="clear" w:color="auto" w:fill="FFFFFF"/>
        </w:rPr>
        <w:t>(1), 330.</w:t>
      </w:r>
    </w:p>
    <w:p w14:paraId="44DD29D0" w14:textId="77777777" w:rsidR="00842AA0" w:rsidRDefault="00842AA0" w:rsidP="00150EF8">
      <w:pPr>
        <w:spacing w:after="0"/>
        <w:rPr>
          <w:rFonts w:ascii="Times New Roman" w:hAnsi="Times New Roman" w:cs="Times New Roman"/>
          <w:color w:val="222222"/>
          <w:sz w:val="24"/>
          <w:szCs w:val="24"/>
          <w:shd w:val="clear" w:color="auto" w:fill="FFFFFF"/>
        </w:rPr>
      </w:pPr>
    </w:p>
    <w:p w14:paraId="23190BA8" w14:textId="2605BAD4"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Mody, A., Sohn, A. H., Iwuji, C., Tan, R. K., Venter, F., &amp; Geng, E. H. (2024). HIV epidemiology, prevention, treatment, and implementation strategies for public health. </w:t>
      </w:r>
      <w:r w:rsidRPr="007177A2">
        <w:rPr>
          <w:rFonts w:ascii="Times New Roman" w:hAnsi="Times New Roman" w:cs="Times New Roman"/>
          <w:i/>
          <w:iCs/>
          <w:color w:val="222222"/>
          <w:sz w:val="24"/>
          <w:szCs w:val="24"/>
          <w:shd w:val="clear" w:color="auto" w:fill="FFFFFF"/>
        </w:rPr>
        <w:t>The Lancet</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403</w:t>
      </w:r>
      <w:r w:rsidRPr="007177A2">
        <w:rPr>
          <w:rFonts w:ascii="Times New Roman" w:hAnsi="Times New Roman" w:cs="Times New Roman"/>
          <w:color w:val="222222"/>
          <w:sz w:val="24"/>
          <w:szCs w:val="24"/>
          <w:shd w:val="clear" w:color="auto" w:fill="FFFFFF"/>
        </w:rPr>
        <w:t>(10425), 471-492.</w:t>
      </w:r>
    </w:p>
    <w:p w14:paraId="711BB619" w14:textId="77777777" w:rsidR="00842AA0" w:rsidRDefault="00842AA0" w:rsidP="00150EF8">
      <w:pPr>
        <w:spacing w:after="0"/>
        <w:rPr>
          <w:rFonts w:ascii="Times New Roman" w:hAnsi="Times New Roman" w:cs="Times New Roman"/>
          <w:color w:val="222222"/>
          <w:sz w:val="24"/>
          <w:szCs w:val="24"/>
          <w:shd w:val="clear" w:color="auto" w:fill="FFFFFF"/>
        </w:rPr>
      </w:pPr>
    </w:p>
    <w:p w14:paraId="12E0EBCC" w14:textId="7399DF62"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Monod, M., Brizzi, A., </w:t>
      </w:r>
      <w:proofErr w:type="spellStart"/>
      <w:r w:rsidRPr="007177A2">
        <w:rPr>
          <w:rFonts w:ascii="Times New Roman" w:hAnsi="Times New Roman" w:cs="Times New Roman"/>
          <w:color w:val="222222"/>
          <w:sz w:val="24"/>
          <w:szCs w:val="24"/>
          <w:shd w:val="clear" w:color="auto" w:fill="FFFFFF"/>
        </w:rPr>
        <w:t>Galiwango</w:t>
      </w:r>
      <w:proofErr w:type="spellEnd"/>
      <w:r w:rsidRPr="007177A2">
        <w:rPr>
          <w:rFonts w:ascii="Times New Roman" w:hAnsi="Times New Roman" w:cs="Times New Roman"/>
          <w:color w:val="222222"/>
          <w:sz w:val="24"/>
          <w:szCs w:val="24"/>
          <w:shd w:val="clear" w:color="auto" w:fill="FFFFFF"/>
        </w:rPr>
        <w:t xml:space="preserve">, R. M., </w:t>
      </w:r>
      <w:proofErr w:type="spellStart"/>
      <w:r w:rsidRPr="007177A2">
        <w:rPr>
          <w:rFonts w:ascii="Times New Roman" w:hAnsi="Times New Roman" w:cs="Times New Roman"/>
          <w:color w:val="222222"/>
          <w:sz w:val="24"/>
          <w:szCs w:val="24"/>
          <w:shd w:val="clear" w:color="auto" w:fill="FFFFFF"/>
        </w:rPr>
        <w:t>Ssekubugu</w:t>
      </w:r>
      <w:proofErr w:type="spellEnd"/>
      <w:r w:rsidRPr="007177A2">
        <w:rPr>
          <w:rFonts w:ascii="Times New Roman" w:hAnsi="Times New Roman" w:cs="Times New Roman"/>
          <w:color w:val="222222"/>
          <w:sz w:val="24"/>
          <w:szCs w:val="24"/>
          <w:shd w:val="clear" w:color="auto" w:fill="FFFFFF"/>
        </w:rPr>
        <w:t>, R., Chen, Y., Xi, X., ... &amp; PANGEA-HIV consortium. (2024). Longitudinal population-level HIV epidemiologic and genomic surveillance highlights growing gender disparity of HIV transmission in Uganda. </w:t>
      </w:r>
      <w:r w:rsidRPr="007177A2">
        <w:rPr>
          <w:rFonts w:ascii="Times New Roman" w:hAnsi="Times New Roman" w:cs="Times New Roman"/>
          <w:i/>
          <w:iCs/>
          <w:color w:val="222222"/>
          <w:sz w:val="24"/>
          <w:szCs w:val="24"/>
          <w:shd w:val="clear" w:color="auto" w:fill="FFFFFF"/>
        </w:rPr>
        <w:t>Nature Microbiology</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9</w:t>
      </w:r>
      <w:r w:rsidRPr="007177A2">
        <w:rPr>
          <w:rFonts w:ascii="Times New Roman" w:hAnsi="Times New Roman" w:cs="Times New Roman"/>
          <w:color w:val="222222"/>
          <w:sz w:val="24"/>
          <w:szCs w:val="24"/>
          <w:shd w:val="clear" w:color="auto" w:fill="FFFFFF"/>
        </w:rPr>
        <w:t>(1), 35-54.</w:t>
      </w:r>
    </w:p>
    <w:p w14:paraId="796519BF" w14:textId="77777777" w:rsidR="00842AA0" w:rsidRDefault="00842AA0" w:rsidP="00150EF8">
      <w:pPr>
        <w:spacing w:after="0"/>
        <w:rPr>
          <w:rFonts w:ascii="Times New Roman" w:hAnsi="Times New Roman" w:cs="Times New Roman"/>
          <w:color w:val="222222"/>
          <w:sz w:val="24"/>
          <w:szCs w:val="24"/>
          <w:shd w:val="clear" w:color="auto" w:fill="FFFFFF"/>
        </w:rPr>
      </w:pPr>
    </w:p>
    <w:p w14:paraId="59C2BAB0" w14:textId="4F25D4E4" w:rsidR="007177A2" w:rsidRPr="007177A2" w:rsidRDefault="007177A2" w:rsidP="00150EF8">
      <w:pPr>
        <w:spacing w:after="0"/>
        <w:rPr>
          <w:rFonts w:ascii="Times New Roman" w:hAnsi="Times New Roman" w:cs="Times New Roman"/>
          <w:color w:val="222222"/>
          <w:sz w:val="24"/>
          <w:szCs w:val="24"/>
          <w:shd w:val="clear" w:color="auto" w:fill="FFFFFF"/>
        </w:rPr>
      </w:pPr>
      <w:proofErr w:type="spellStart"/>
      <w:r w:rsidRPr="007177A2">
        <w:rPr>
          <w:rFonts w:ascii="Times New Roman" w:hAnsi="Times New Roman" w:cs="Times New Roman"/>
          <w:color w:val="222222"/>
          <w:sz w:val="24"/>
          <w:szCs w:val="24"/>
          <w:shd w:val="clear" w:color="auto" w:fill="FFFFFF"/>
        </w:rPr>
        <w:t>Nwachinemere</w:t>
      </w:r>
      <w:proofErr w:type="spellEnd"/>
      <w:r w:rsidRPr="007177A2">
        <w:rPr>
          <w:rFonts w:ascii="Times New Roman" w:hAnsi="Times New Roman" w:cs="Times New Roman"/>
          <w:color w:val="222222"/>
          <w:sz w:val="24"/>
          <w:szCs w:val="24"/>
          <w:shd w:val="clear" w:color="auto" w:fill="FFFFFF"/>
        </w:rPr>
        <w:t xml:space="preserve">, O. L., </w:t>
      </w:r>
      <w:proofErr w:type="spellStart"/>
      <w:r w:rsidRPr="007177A2">
        <w:rPr>
          <w:rFonts w:ascii="Times New Roman" w:hAnsi="Times New Roman" w:cs="Times New Roman"/>
          <w:color w:val="222222"/>
          <w:sz w:val="24"/>
          <w:szCs w:val="24"/>
          <w:shd w:val="clear" w:color="auto" w:fill="FFFFFF"/>
        </w:rPr>
        <w:t>Nyegenye</w:t>
      </w:r>
      <w:proofErr w:type="spellEnd"/>
      <w:r w:rsidRPr="007177A2">
        <w:rPr>
          <w:rFonts w:ascii="Times New Roman" w:hAnsi="Times New Roman" w:cs="Times New Roman"/>
          <w:color w:val="222222"/>
          <w:sz w:val="24"/>
          <w:szCs w:val="24"/>
          <w:shd w:val="clear" w:color="auto" w:fill="FFFFFF"/>
        </w:rPr>
        <w:t xml:space="preserve">, S., Mwesigwa, A., Bulus, N. G., </w:t>
      </w:r>
      <w:proofErr w:type="spellStart"/>
      <w:r w:rsidRPr="007177A2">
        <w:rPr>
          <w:rFonts w:ascii="Times New Roman" w:hAnsi="Times New Roman" w:cs="Times New Roman"/>
          <w:color w:val="222222"/>
          <w:sz w:val="24"/>
          <w:szCs w:val="24"/>
          <w:shd w:val="clear" w:color="auto" w:fill="FFFFFF"/>
        </w:rPr>
        <w:t>Gmanyami</w:t>
      </w:r>
      <w:proofErr w:type="spellEnd"/>
      <w:r w:rsidRPr="007177A2">
        <w:rPr>
          <w:rFonts w:ascii="Times New Roman" w:hAnsi="Times New Roman" w:cs="Times New Roman"/>
          <w:color w:val="222222"/>
          <w:sz w:val="24"/>
          <w:szCs w:val="24"/>
          <w:shd w:val="clear" w:color="auto" w:fill="FFFFFF"/>
        </w:rPr>
        <w:t xml:space="preserve">, J. M., Mukisa, K. A., &amp; Isiko, I. (2025). Trends in HIV-related knowledge, </w:t>
      </w:r>
      <w:proofErr w:type="spellStart"/>
      <w:r w:rsidRPr="007177A2">
        <w:rPr>
          <w:rFonts w:ascii="Times New Roman" w:hAnsi="Times New Roman" w:cs="Times New Roman"/>
          <w:color w:val="222222"/>
          <w:sz w:val="24"/>
          <w:szCs w:val="24"/>
          <w:shd w:val="clear" w:color="auto" w:fill="FFFFFF"/>
        </w:rPr>
        <w:t>behaviors</w:t>
      </w:r>
      <w:proofErr w:type="spellEnd"/>
      <w:r w:rsidRPr="007177A2">
        <w:rPr>
          <w:rFonts w:ascii="Times New Roman" w:hAnsi="Times New Roman" w:cs="Times New Roman"/>
          <w:color w:val="222222"/>
          <w:sz w:val="24"/>
          <w:szCs w:val="24"/>
          <w:shd w:val="clear" w:color="auto" w:fill="FFFFFF"/>
        </w:rPr>
        <w:t xml:space="preserve"> and determinants of HIV testing among adolescent women aged 15–24 in Nigeria. </w:t>
      </w:r>
      <w:r w:rsidRPr="007177A2">
        <w:rPr>
          <w:rFonts w:ascii="Times New Roman" w:hAnsi="Times New Roman" w:cs="Times New Roman"/>
          <w:i/>
          <w:iCs/>
          <w:color w:val="222222"/>
          <w:sz w:val="24"/>
          <w:szCs w:val="24"/>
          <w:shd w:val="clear" w:color="auto" w:fill="FFFFFF"/>
        </w:rPr>
        <w:t>Tropical Medicine and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53</w:t>
      </w:r>
      <w:r w:rsidRPr="007177A2">
        <w:rPr>
          <w:rFonts w:ascii="Times New Roman" w:hAnsi="Times New Roman" w:cs="Times New Roman"/>
          <w:color w:val="222222"/>
          <w:sz w:val="24"/>
          <w:szCs w:val="24"/>
          <w:shd w:val="clear" w:color="auto" w:fill="FFFFFF"/>
        </w:rPr>
        <w:t>(1), 79.</w:t>
      </w:r>
    </w:p>
    <w:p w14:paraId="42D9E95B" w14:textId="77777777" w:rsidR="00842AA0" w:rsidRDefault="00842AA0" w:rsidP="00150EF8">
      <w:pPr>
        <w:spacing w:after="0"/>
        <w:rPr>
          <w:rFonts w:ascii="Times New Roman" w:hAnsi="Times New Roman" w:cs="Times New Roman"/>
          <w:color w:val="222222"/>
          <w:sz w:val="24"/>
          <w:szCs w:val="24"/>
          <w:shd w:val="clear" w:color="auto" w:fill="FFFFFF"/>
        </w:rPr>
      </w:pPr>
    </w:p>
    <w:p w14:paraId="1E80DA04" w14:textId="3699BC4F"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Orlando, S., Silaghi, L. A., Cicala, M., </w:t>
      </w:r>
      <w:proofErr w:type="spellStart"/>
      <w:r w:rsidRPr="007177A2">
        <w:rPr>
          <w:rFonts w:ascii="Times New Roman" w:hAnsi="Times New Roman" w:cs="Times New Roman"/>
          <w:color w:val="222222"/>
          <w:sz w:val="24"/>
          <w:szCs w:val="24"/>
          <w:shd w:val="clear" w:color="auto" w:fill="FFFFFF"/>
        </w:rPr>
        <w:t>Lowole</w:t>
      </w:r>
      <w:proofErr w:type="spellEnd"/>
      <w:r w:rsidRPr="007177A2">
        <w:rPr>
          <w:rFonts w:ascii="Times New Roman" w:hAnsi="Times New Roman" w:cs="Times New Roman"/>
          <w:color w:val="222222"/>
          <w:sz w:val="24"/>
          <w:szCs w:val="24"/>
          <w:shd w:val="clear" w:color="auto" w:fill="FFFFFF"/>
        </w:rPr>
        <w:t xml:space="preserve">, M. W., </w:t>
      </w:r>
      <w:proofErr w:type="spellStart"/>
      <w:r w:rsidRPr="007177A2">
        <w:rPr>
          <w:rFonts w:ascii="Times New Roman" w:hAnsi="Times New Roman" w:cs="Times New Roman"/>
          <w:color w:val="222222"/>
          <w:sz w:val="24"/>
          <w:szCs w:val="24"/>
          <w:shd w:val="clear" w:color="auto" w:fill="FFFFFF"/>
        </w:rPr>
        <w:t>Massango</w:t>
      </w:r>
      <w:proofErr w:type="spellEnd"/>
      <w:r w:rsidRPr="007177A2">
        <w:rPr>
          <w:rFonts w:ascii="Times New Roman" w:hAnsi="Times New Roman" w:cs="Times New Roman"/>
          <w:color w:val="222222"/>
          <w:sz w:val="24"/>
          <w:szCs w:val="24"/>
          <w:shd w:val="clear" w:color="auto" w:fill="FFFFFF"/>
        </w:rPr>
        <w:t>, C., Lunghi, R., ... &amp; Scarcella, P. (2025). The global response to HIV/AIDS in sub-Saharan Africa: achievements, challenges, and perspectives for the future. </w:t>
      </w:r>
      <w:r w:rsidRPr="007177A2">
        <w:rPr>
          <w:rFonts w:ascii="Times New Roman" w:hAnsi="Times New Roman" w:cs="Times New Roman"/>
          <w:i/>
          <w:iCs/>
          <w:color w:val="222222"/>
          <w:sz w:val="24"/>
          <w:szCs w:val="24"/>
          <w:shd w:val="clear" w:color="auto" w:fill="FFFFFF"/>
        </w:rPr>
        <w:t>Frontiers in Public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13</w:t>
      </w:r>
      <w:r w:rsidRPr="007177A2">
        <w:rPr>
          <w:rFonts w:ascii="Times New Roman" w:hAnsi="Times New Roman" w:cs="Times New Roman"/>
          <w:color w:val="222222"/>
          <w:sz w:val="24"/>
          <w:szCs w:val="24"/>
          <w:shd w:val="clear" w:color="auto" w:fill="FFFFFF"/>
        </w:rPr>
        <w:t>, 1665666.</w:t>
      </w:r>
    </w:p>
    <w:p w14:paraId="18F9D338" w14:textId="77777777" w:rsidR="00842AA0" w:rsidRDefault="00842AA0" w:rsidP="00150EF8">
      <w:pPr>
        <w:spacing w:after="0"/>
        <w:rPr>
          <w:rFonts w:ascii="Times New Roman" w:hAnsi="Times New Roman" w:cs="Times New Roman"/>
          <w:color w:val="222222"/>
          <w:sz w:val="24"/>
          <w:szCs w:val="24"/>
          <w:shd w:val="clear" w:color="auto" w:fill="FFFFFF"/>
        </w:rPr>
      </w:pPr>
    </w:p>
    <w:p w14:paraId="50388A64" w14:textId="3CDA2CEA"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lastRenderedPageBreak/>
        <w:t xml:space="preserve">Phillips, G., Davoudpour, S., Floresca, Y. B., Felt, D., Curry, C. W., Wang, X., ... &amp; Beach, L. B. (2023). Disparities in HIV testing, condom use, and HIV education between transgender and not transgender high school–aged youth: Findings from the 2019 Youth Risk </w:t>
      </w:r>
      <w:proofErr w:type="spellStart"/>
      <w:r w:rsidRPr="007177A2">
        <w:rPr>
          <w:rFonts w:ascii="Times New Roman" w:hAnsi="Times New Roman" w:cs="Times New Roman"/>
          <w:color w:val="222222"/>
          <w:sz w:val="24"/>
          <w:szCs w:val="24"/>
          <w:shd w:val="clear" w:color="auto" w:fill="FFFFFF"/>
        </w:rPr>
        <w:t>Behavior</w:t>
      </w:r>
      <w:proofErr w:type="spellEnd"/>
      <w:r w:rsidRPr="007177A2">
        <w:rPr>
          <w:rFonts w:ascii="Times New Roman" w:hAnsi="Times New Roman" w:cs="Times New Roman"/>
          <w:color w:val="222222"/>
          <w:sz w:val="24"/>
          <w:szCs w:val="24"/>
          <w:shd w:val="clear" w:color="auto" w:fill="FFFFFF"/>
        </w:rPr>
        <w:t xml:space="preserve"> Survey. </w:t>
      </w:r>
      <w:r w:rsidRPr="007177A2">
        <w:rPr>
          <w:rFonts w:ascii="Times New Roman" w:hAnsi="Times New Roman" w:cs="Times New Roman"/>
          <w:i/>
          <w:iCs/>
          <w:color w:val="222222"/>
          <w:sz w:val="24"/>
          <w:szCs w:val="24"/>
          <w:shd w:val="clear" w:color="auto" w:fill="FFFFFF"/>
        </w:rPr>
        <w:t xml:space="preserve">Health Education &amp; </w:t>
      </w:r>
      <w:proofErr w:type="spellStart"/>
      <w:r w:rsidRPr="007177A2">
        <w:rPr>
          <w:rFonts w:ascii="Times New Roman" w:hAnsi="Times New Roman" w:cs="Times New Roman"/>
          <w:i/>
          <w:iCs/>
          <w:color w:val="222222"/>
          <w:sz w:val="24"/>
          <w:szCs w:val="24"/>
          <w:shd w:val="clear" w:color="auto" w:fill="FFFFFF"/>
        </w:rPr>
        <w:t>Behavior</w:t>
      </w:r>
      <w:proofErr w:type="spellEnd"/>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50</w:t>
      </w:r>
      <w:r w:rsidRPr="007177A2">
        <w:rPr>
          <w:rFonts w:ascii="Times New Roman" w:hAnsi="Times New Roman" w:cs="Times New Roman"/>
          <w:color w:val="222222"/>
          <w:sz w:val="24"/>
          <w:szCs w:val="24"/>
          <w:shd w:val="clear" w:color="auto" w:fill="FFFFFF"/>
        </w:rPr>
        <w:t>(1), 29-40.</w:t>
      </w:r>
    </w:p>
    <w:p w14:paraId="0E4FA2E7" w14:textId="77777777" w:rsidR="00842AA0" w:rsidRDefault="00842AA0" w:rsidP="00150EF8">
      <w:pPr>
        <w:spacing w:after="0"/>
        <w:rPr>
          <w:rFonts w:ascii="Times New Roman" w:hAnsi="Times New Roman" w:cs="Times New Roman"/>
          <w:color w:val="222222"/>
          <w:sz w:val="24"/>
          <w:szCs w:val="24"/>
          <w:shd w:val="clear" w:color="auto" w:fill="FFFFFF"/>
        </w:rPr>
      </w:pPr>
    </w:p>
    <w:p w14:paraId="24220E59" w14:textId="4328C663"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Rosenberg, N. E., Shook-Sa, B. E., Liu, M., Stranix-Chibanda, L., </w:t>
      </w:r>
      <w:proofErr w:type="spellStart"/>
      <w:r w:rsidRPr="007177A2">
        <w:rPr>
          <w:rFonts w:ascii="Times New Roman" w:hAnsi="Times New Roman" w:cs="Times New Roman"/>
          <w:color w:val="222222"/>
          <w:sz w:val="24"/>
          <w:szCs w:val="24"/>
          <w:shd w:val="clear" w:color="auto" w:fill="FFFFFF"/>
        </w:rPr>
        <w:t>Yotebieng</w:t>
      </w:r>
      <w:proofErr w:type="spellEnd"/>
      <w:r w:rsidRPr="007177A2">
        <w:rPr>
          <w:rFonts w:ascii="Times New Roman" w:hAnsi="Times New Roman" w:cs="Times New Roman"/>
          <w:color w:val="222222"/>
          <w:sz w:val="24"/>
          <w:szCs w:val="24"/>
          <w:shd w:val="clear" w:color="auto" w:fill="FFFFFF"/>
        </w:rPr>
        <w:t>, M., Sam-Agudu, N. A., ... &amp; Chi, B. H. (2023). Adult HIV-1 incidence across 15 high-burden countries in sub-Saharan Africa from 2015 to 2019: a pooled analysis of nationally representative data. </w:t>
      </w:r>
      <w:r w:rsidRPr="007177A2">
        <w:rPr>
          <w:rFonts w:ascii="Times New Roman" w:hAnsi="Times New Roman" w:cs="Times New Roman"/>
          <w:i/>
          <w:iCs/>
          <w:color w:val="222222"/>
          <w:sz w:val="24"/>
          <w:szCs w:val="24"/>
          <w:shd w:val="clear" w:color="auto" w:fill="FFFFFF"/>
        </w:rPr>
        <w:t>The lancet HIV</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10</w:t>
      </w:r>
      <w:r w:rsidRPr="007177A2">
        <w:rPr>
          <w:rFonts w:ascii="Times New Roman" w:hAnsi="Times New Roman" w:cs="Times New Roman"/>
          <w:color w:val="222222"/>
          <w:sz w:val="24"/>
          <w:szCs w:val="24"/>
          <w:shd w:val="clear" w:color="auto" w:fill="FFFFFF"/>
        </w:rPr>
        <w:t>(3), e175-e185.</w:t>
      </w:r>
    </w:p>
    <w:p w14:paraId="673EAA2E" w14:textId="77777777" w:rsidR="00842AA0" w:rsidRDefault="00842AA0" w:rsidP="00150EF8">
      <w:pPr>
        <w:spacing w:after="0"/>
        <w:rPr>
          <w:rFonts w:ascii="Times New Roman" w:hAnsi="Times New Roman" w:cs="Times New Roman"/>
          <w:color w:val="222222"/>
          <w:sz w:val="24"/>
          <w:szCs w:val="24"/>
          <w:shd w:val="clear" w:color="auto" w:fill="FFFFFF"/>
        </w:rPr>
      </w:pPr>
    </w:p>
    <w:p w14:paraId="498D3503" w14:textId="202930B7"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Soogun, A. O., </w:t>
      </w:r>
      <w:proofErr w:type="spellStart"/>
      <w:r w:rsidRPr="007177A2">
        <w:rPr>
          <w:rFonts w:ascii="Times New Roman" w:hAnsi="Times New Roman" w:cs="Times New Roman"/>
          <w:color w:val="222222"/>
          <w:sz w:val="24"/>
          <w:szCs w:val="24"/>
          <w:shd w:val="clear" w:color="auto" w:fill="FFFFFF"/>
        </w:rPr>
        <w:t>Kharsany</w:t>
      </w:r>
      <w:proofErr w:type="spellEnd"/>
      <w:r w:rsidRPr="007177A2">
        <w:rPr>
          <w:rFonts w:ascii="Times New Roman" w:hAnsi="Times New Roman" w:cs="Times New Roman"/>
          <w:color w:val="222222"/>
          <w:sz w:val="24"/>
          <w:szCs w:val="24"/>
          <w:shd w:val="clear" w:color="auto" w:fill="FFFFFF"/>
        </w:rPr>
        <w:t xml:space="preserve">, A. B., </w:t>
      </w:r>
      <w:proofErr w:type="spellStart"/>
      <w:r w:rsidRPr="007177A2">
        <w:rPr>
          <w:rFonts w:ascii="Times New Roman" w:hAnsi="Times New Roman" w:cs="Times New Roman"/>
          <w:color w:val="222222"/>
          <w:sz w:val="24"/>
          <w:szCs w:val="24"/>
          <w:shd w:val="clear" w:color="auto" w:fill="FFFFFF"/>
        </w:rPr>
        <w:t>Zewotir</w:t>
      </w:r>
      <w:proofErr w:type="spellEnd"/>
      <w:r w:rsidRPr="007177A2">
        <w:rPr>
          <w:rFonts w:ascii="Times New Roman" w:hAnsi="Times New Roman" w:cs="Times New Roman"/>
          <w:color w:val="222222"/>
          <w:sz w:val="24"/>
          <w:szCs w:val="24"/>
          <w:shd w:val="clear" w:color="auto" w:fill="FFFFFF"/>
        </w:rPr>
        <w:t xml:space="preserve">, T., North, D., &amp; </w:t>
      </w:r>
      <w:proofErr w:type="spellStart"/>
      <w:r w:rsidRPr="007177A2">
        <w:rPr>
          <w:rFonts w:ascii="Times New Roman" w:hAnsi="Times New Roman" w:cs="Times New Roman"/>
          <w:color w:val="222222"/>
          <w:sz w:val="24"/>
          <w:szCs w:val="24"/>
          <w:shd w:val="clear" w:color="auto" w:fill="FFFFFF"/>
        </w:rPr>
        <w:t>Ogunsakin</w:t>
      </w:r>
      <w:proofErr w:type="spellEnd"/>
      <w:r w:rsidRPr="007177A2">
        <w:rPr>
          <w:rFonts w:ascii="Times New Roman" w:hAnsi="Times New Roman" w:cs="Times New Roman"/>
          <w:color w:val="222222"/>
          <w:sz w:val="24"/>
          <w:szCs w:val="24"/>
          <w:shd w:val="clear" w:color="auto" w:fill="FFFFFF"/>
        </w:rPr>
        <w:t>, R. E. (2022). Identifying potential factors associated with high HIV viral load in KwaZulu-Natal, South Africa using multiple correspondence analysis and random forest analysis. </w:t>
      </w:r>
      <w:r w:rsidRPr="007177A2">
        <w:rPr>
          <w:rFonts w:ascii="Times New Roman" w:hAnsi="Times New Roman" w:cs="Times New Roman"/>
          <w:i/>
          <w:iCs/>
          <w:color w:val="222222"/>
          <w:sz w:val="24"/>
          <w:szCs w:val="24"/>
          <w:shd w:val="clear" w:color="auto" w:fill="FFFFFF"/>
        </w:rPr>
        <w:t>BMC Medical Research Methodology</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22</w:t>
      </w:r>
      <w:r w:rsidRPr="007177A2">
        <w:rPr>
          <w:rFonts w:ascii="Times New Roman" w:hAnsi="Times New Roman" w:cs="Times New Roman"/>
          <w:color w:val="222222"/>
          <w:sz w:val="24"/>
          <w:szCs w:val="24"/>
          <w:shd w:val="clear" w:color="auto" w:fill="FFFFFF"/>
        </w:rPr>
        <w:t>(1), 174.</w:t>
      </w:r>
    </w:p>
    <w:p w14:paraId="0B4B3AF9" w14:textId="77777777" w:rsidR="00842AA0" w:rsidRDefault="00842AA0" w:rsidP="00150EF8">
      <w:pPr>
        <w:spacing w:after="0"/>
        <w:rPr>
          <w:rFonts w:ascii="Times New Roman" w:hAnsi="Times New Roman" w:cs="Times New Roman"/>
          <w:color w:val="222222"/>
          <w:sz w:val="24"/>
          <w:szCs w:val="24"/>
          <w:shd w:val="clear" w:color="auto" w:fill="FFFFFF"/>
        </w:rPr>
      </w:pPr>
    </w:p>
    <w:p w14:paraId="49379546" w14:textId="6A138E69"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Tian, X., Wang, C., Hao, Z., Chen, J., &amp; Wu, N. (2024). Global, regional, and national burden of HIV and tuberculosis and predictions by Bayesian age-period-cohort analysis: a systematic analysis for the global burden of disease study 2021. </w:t>
      </w:r>
      <w:r w:rsidRPr="007177A2">
        <w:rPr>
          <w:rFonts w:ascii="Times New Roman" w:hAnsi="Times New Roman" w:cs="Times New Roman"/>
          <w:i/>
          <w:iCs/>
          <w:color w:val="222222"/>
          <w:sz w:val="24"/>
          <w:szCs w:val="24"/>
          <w:shd w:val="clear" w:color="auto" w:fill="FFFFFF"/>
        </w:rPr>
        <w:t>Frontiers in Reproductive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6</w:t>
      </w:r>
      <w:r w:rsidRPr="007177A2">
        <w:rPr>
          <w:rFonts w:ascii="Times New Roman" w:hAnsi="Times New Roman" w:cs="Times New Roman"/>
          <w:color w:val="222222"/>
          <w:sz w:val="24"/>
          <w:szCs w:val="24"/>
          <w:shd w:val="clear" w:color="auto" w:fill="FFFFFF"/>
        </w:rPr>
        <w:t>, 1475498.</w:t>
      </w:r>
    </w:p>
    <w:p w14:paraId="1759DBDE" w14:textId="77777777" w:rsidR="00842AA0" w:rsidRDefault="00842AA0" w:rsidP="00150EF8">
      <w:pPr>
        <w:spacing w:after="0"/>
        <w:rPr>
          <w:rFonts w:ascii="Times New Roman" w:hAnsi="Times New Roman" w:cs="Times New Roman"/>
          <w:color w:val="222222"/>
          <w:sz w:val="24"/>
          <w:szCs w:val="24"/>
          <w:shd w:val="clear" w:color="auto" w:fill="FFFFFF"/>
        </w:rPr>
      </w:pPr>
    </w:p>
    <w:p w14:paraId="74666875" w14:textId="60221A5A"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Wang, R., Sun, Y., Wang, H., Yu, X., Ma, J., Liu, Z., ... &amp; Huang, Y. (2025). Progress on HIV and other sexually transmitted infections elimination among youth and adults across BRICS-plus countries: results from the global burden of disease study 2021. </w:t>
      </w:r>
      <w:r w:rsidRPr="007177A2">
        <w:rPr>
          <w:rFonts w:ascii="Times New Roman" w:hAnsi="Times New Roman" w:cs="Times New Roman"/>
          <w:i/>
          <w:iCs/>
          <w:color w:val="222222"/>
          <w:sz w:val="24"/>
          <w:szCs w:val="24"/>
          <w:shd w:val="clear" w:color="auto" w:fill="FFFFFF"/>
        </w:rPr>
        <w:t>Journal of Infection and Public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18</w:t>
      </w:r>
      <w:r w:rsidRPr="007177A2">
        <w:rPr>
          <w:rFonts w:ascii="Times New Roman" w:hAnsi="Times New Roman" w:cs="Times New Roman"/>
          <w:color w:val="222222"/>
          <w:sz w:val="24"/>
          <w:szCs w:val="24"/>
          <w:shd w:val="clear" w:color="auto" w:fill="FFFFFF"/>
        </w:rPr>
        <w:t>(2), 102625.</w:t>
      </w:r>
    </w:p>
    <w:p w14:paraId="628DDD3B" w14:textId="77777777" w:rsidR="00842AA0" w:rsidRDefault="00842AA0" w:rsidP="00150EF8">
      <w:pPr>
        <w:spacing w:after="0"/>
        <w:rPr>
          <w:rFonts w:ascii="Times New Roman" w:hAnsi="Times New Roman" w:cs="Times New Roman"/>
          <w:color w:val="222222"/>
          <w:sz w:val="24"/>
          <w:szCs w:val="24"/>
          <w:shd w:val="clear" w:color="auto" w:fill="FFFFFF"/>
        </w:rPr>
      </w:pPr>
    </w:p>
    <w:p w14:paraId="17C23C07" w14:textId="6D54A013"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Wang, W., Bursac, Z., &amp; Hu, N. (2026). Joint </w:t>
      </w:r>
      <w:proofErr w:type="spellStart"/>
      <w:r w:rsidRPr="007177A2">
        <w:rPr>
          <w:rFonts w:ascii="Times New Roman" w:hAnsi="Times New Roman" w:cs="Times New Roman"/>
          <w:color w:val="222222"/>
          <w:sz w:val="24"/>
          <w:szCs w:val="24"/>
          <w:shd w:val="clear" w:color="auto" w:fill="FFFFFF"/>
        </w:rPr>
        <w:t>Modeling</w:t>
      </w:r>
      <w:proofErr w:type="spellEnd"/>
      <w:r w:rsidRPr="007177A2">
        <w:rPr>
          <w:rFonts w:ascii="Times New Roman" w:hAnsi="Times New Roman" w:cs="Times New Roman"/>
          <w:color w:val="222222"/>
          <w:sz w:val="24"/>
          <w:szCs w:val="24"/>
          <w:shd w:val="clear" w:color="auto" w:fill="FFFFFF"/>
        </w:rPr>
        <w:t xml:space="preserve"> of Longitudinal and Survival Data in Public Health and Biomedical Research: A Systematic Review. </w:t>
      </w:r>
      <w:r w:rsidRPr="007177A2">
        <w:rPr>
          <w:rFonts w:ascii="Times New Roman" w:hAnsi="Times New Roman" w:cs="Times New Roman"/>
          <w:i/>
          <w:iCs/>
          <w:color w:val="222222"/>
          <w:sz w:val="24"/>
          <w:szCs w:val="24"/>
          <w:shd w:val="clear" w:color="auto" w:fill="FFFFFF"/>
        </w:rPr>
        <w:t>International Journal of Environmental Research and Public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23</w:t>
      </w:r>
      <w:r w:rsidRPr="007177A2">
        <w:rPr>
          <w:rFonts w:ascii="Times New Roman" w:hAnsi="Times New Roman" w:cs="Times New Roman"/>
          <w:color w:val="222222"/>
          <w:sz w:val="24"/>
          <w:szCs w:val="24"/>
          <w:shd w:val="clear" w:color="auto" w:fill="FFFFFF"/>
        </w:rPr>
        <w:t>(4), 492.</w:t>
      </w:r>
    </w:p>
    <w:p w14:paraId="2C0C129E" w14:textId="77777777" w:rsidR="00842AA0" w:rsidRDefault="00842AA0" w:rsidP="00150EF8">
      <w:pPr>
        <w:spacing w:after="0"/>
        <w:rPr>
          <w:rFonts w:ascii="Times New Roman" w:hAnsi="Times New Roman" w:cs="Times New Roman"/>
          <w:color w:val="222222"/>
          <w:sz w:val="24"/>
          <w:szCs w:val="24"/>
          <w:shd w:val="clear" w:color="auto" w:fill="FFFFFF"/>
        </w:rPr>
      </w:pPr>
    </w:p>
    <w:p w14:paraId="1185A533" w14:textId="776D02A9"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Wang, Y., Jing, W., Liu, J., &amp; Liu, M. (2022). Global trends, regional differences and age distribution for the incidence of HIV and tuberculosis co-infection from 1990 to 2019: results from the global burden of disease study 2019. </w:t>
      </w:r>
      <w:r w:rsidRPr="007177A2">
        <w:rPr>
          <w:rFonts w:ascii="Times New Roman" w:hAnsi="Times New Roman" w:cs="Times New Roman"/>
          <w:i/>
          <w:iCs/>
          <w:color w:val="222222"/>
          <w:sz w:val="24"/>
          <w:szCs w:val="24"/>
          <w:shd w:val="clear" w:color="auto" w:fill="FFFFFF"/>
        </w:rPr>
        <w:t>Infectious Diseases</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54</w:t>
      </w:r>
      <w:r w:rsidRPr="007177A2">
        <w:rPr>
          <w:rFonts w:ascii="Times New Roman" w:hAnsi="Times New Roman" w:cs="Times New Roman"/>
          <w:color w:val="222222"/>
          <w:sz w:val="24"/>
          <w:szCs w:val="24"/>
          <w:shd w:val="clear" w:color="auto" w:fill="FFFFFF"/>
        </w:rPr>
        <w:t>(11), 773-783.</w:t>
      </w:r>
    </w:p>
    <w:p w14:paraId="4FEFA56B" w14:textId="77777777" w:rsidR="00842AA0" w:rsidRDefault="00842AA0" w:rsidP="00150EF8">
      <w:pPr>
        <w:spacing w:after="0"/>
        <w:rPr>
          <w:rFonts w:ascii="Times New Roman" w:hAnsi="Times New Roman" w:cs="Times New Roman"/>
          <w:color w:val="222222"/>
          <w:sz w:val="24"/>
          <w:szCs w:val="24"/>
          <w:shd w:val="clear" w:color="auto" w:fill="FFFFFF"/>
        </w:rPr>
      </w:pPr>
    </w:p>
    <w:p w14:paraId="4F1F4209" w14:textId="66330FBD" w:rsidR="007177A2" w:rsidRPr="007177A2" w:rsidRDefault="007177A2" w:rsidP="00150EF8">
      <w:pPr>
        <w:spacing w:after="0"/>
        <w:rPr>
          <w:rFonts w:ascii="Times New Roman" w:eastAsia="Times New Roman" w:hAnsi="Times New Roman" w:cs="Times New Roman"/>
          <w:sz w:val="24"/>
          <w:szCs w:val="24"/>
        </w:rPr>
      </w:pPr>
      <w:r w:rsidRPr="007177A2">
        <w:rPr>
          <w:rFonts w:ascii="Times New Roman" w:hAnsi="Times New Roman" w:cs="Times New Roman"/>
          <w:color w:val="222222"/>
          <w:sz w:val="24"/>
          <w:szCs w:val="24"/>
          <w:shd w:val="clear" w:color="auto" w:fill="FFFFFF"/>
        </w:rPr>
        <w:t xml:space="preserve">Zapata, J. P., Rapoport, A., Wescott, A., Gandhi, S., Bergstrom, T. C., Avila, A. A., ... &amp; Schleider, J. L. (2025). Single-session interventions to enhance </w:t>
      </w:r>
      <w:proofErr w:type="spellStart"/>
      <w:r w:rsidRPr="007177A2">
        <w:rPr>
          <w:rFonts w:ascii="Times New Roman" w:hAnsi="Times New Roman" w:cs="Times New Roman"/>
          <w:color w:val="222222"/>
          <w:sz w:val="24"/>
          <w:szCs w:val="24"/>
          <w:shd w:val="clear" w:color="auto" w:fill="FFFFFF"/>
        </w:rPr>
        <w:t>hiv</w:t>
      </w:r>
      <w:proofErr w:type="spellEnd"/>
      <w:r w:rsidRPr="007177A2">
        <w:rPr>
          <w:rFonts w:ascii="Times New Roman" w:hAnsi="Times New Roman" w:cs="Times New Roman"/>
          <w:color w:val="222222"/>
          <w:sz w:val="24"/>
          <w:szCs w:val="24"/>
          <w:shd w:val="clear" w:color="auto" w:fill="FFFFFF"/>
        </w:rPr>
        <w:t xml:space="preserve"> outcomes among adolescents and young adults: A systematic scoping review and implications for integrating HIV and mental health services. </w:t>
      </w:r>
      <w:r w:rsidRPr="007177A2">
        <w:rPr>
          <w:rFonts w:ascii="Times New Roman" w:hAnsi="Times New Roman" w:cs="Times New Roman"/>
          <w:i/>
          <w:iCs/>
          <w:color w:val="222222"/>
          <w:sz w:val="24"/>
          <w:szCs w:val="24"/>
          <w:shd w:val="clear" w:color="auto" w:fill="FFFFFF"/>
        </w:rPr>
        <w:t xml:space="preserve">AIDS and </w:t>
      </w:r>
      <w:proofErr w:type="spellStart"/>
      <w:r w:rsidRPr="007177A2">
        <w:rPr>
          <w:rFonts w:ascii="Times New Roman" w:hAnsi="Times New Roman" w:cs="Times New Roman"/>
          <w:i/>
          <w:iCs/>
          <w:color w:val="222222"/>
          <w:sz w:val="24"/>
          <w:szCs w:val="24"/>
          <w:shd w:val="clear" w:color="auto" w:fill="FFFFFF"/>
        </w:rPr>
        <w:t>Behavior</w:t>
      </w:r>
      <w:proofErr w:type="spellEnd"/>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29</w:t>
      </w:r>
      <w:r w:rsidRPr="007177A2">
        <w:rPr>
          <w:rFonts w:ascii="Times New Roman" w:hAnsi="Times New Roman" w:cs="Times New Roman"/>
          <w:color w:val="222222"/>
          <w:sz w:val="24"/>
          <w:szCs w:val="24"/>
          <w:shd w:val="clear" w:color="auto" w:fill="FFFFFF"/>
        </w:rPr>
        <w:t>(12), 3981-3998.</w:t>
      </w:r>
      <w:r w:rsidRPr="007177A2">
        <w:rPr>
          <w:rFonts w:ascii="Times New Roman" w:eastAsia="Times New Roman" w:hAnsi="Times New Roman" w:cs="Times New Roman"/>
          <w:sz w:val="24"/>
          <w:szCs w:val="24"/>
        </w:rPr>
        <w:t xml:space="preserve"> </w:t>
      </w:r>
    </w:p>
    <w:p w14:paraId="1E5EFD13" w14:textId="77777777" w:rsidR="00B92566" w:rsidRDefault="00B92566" w:rsidP="00150EF8">
      <w:pPr>
        <w:spacing w:after="0"/>
        <w:rPr>
          <w:rFonts w:ascii="Times New Roman" w:hAnsi="Times New Roman" w:cs="Times New Roman"/>
          <w:color w:val="222222"/>
          <w:sz w:val="24"/>
          <w:szCs w:val="24"/>
          <w:shd w:val="clear" w:color="auto" w:fill="FFFFFF"/>
        </w:rPr>
      </w:pPr>
    </w:p>
    <w:p w14:paraId="7D35290F" w14:textId="2503D068"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Zeleke, E. A., Stephens, J. H., </w:t>
      </w:r>
      <w:proofErr w:type="spellStart"/>
      <w:r w:rsidRPr="007177A2">
        <w:rPr>
          <w:rFonts w:ascii="Times New Roman" w:hAnsi="Times New Roman" w:cs="Times New Roman"/>
          <w:color w:val="222222"/>
          <w:sz w:val="24"/>
          <w:szCs w:val="24"/>
          <w:shd w:val="clear" w:color="auto" w:fill="FFFFFF"/>
        </w:rPr>
        <w:t>Gesesew</w:t>
      </w:r>
      <w:proofErr w:type="spellEnd"/>
      <w:r w:rsidRPr="007177A2">
        <w:rPr>
          <w:rFonts w:ascii="Times New Roman" w:hAnsi="Times New Roman" w:cs="Times New Roman"/>
          <w:color w:val="222222"/>
          <w:sz w:val="24"/>
          <w:szCs w:val="24"/>
          <w:shd w:val="clear" w:color="auto" w:fill="FFFFFF"/>
        </w:rPr>
        <w:t xml:space="preserve">, H. A., </w:t>
      </w:r>
      <w:proofErr w:type="spellStart"/>
      <w:r w:rsidRPr="007177A2">
        <w:rPr>
          <w:rFonts w:ascii="Times New Roman" w:hAnsi="Times New Roman" w:cs="Times New Roman"/>
          <w:color w:val="222222"/>
          <w:sz w:val="24"/>
          <w:szCs w:val="24"/>
          <w:shd w:val="clear" w:color="auto" w:fill="FFFFFF"/>
        </w:rPr>
        <w:t>Gello</w:t>
      </w:r>
      <w:proofErr w:type="spellEnd"/>
      <w:r w:rsidRPr="007177A2">
        <w:rPr>
          <w:rFonts w:ascii="Times New Roman" w:hAnsi="Times New Roman" w:cs="Times New Roman"/>
          <w:color w:val="222222"/>
          <w:sz w:val="24"/>
          <w:szCs w:val="24"/>
          <w:shd w:val="clear" w:color="auto" w:fill="FFFFFF"/>
        </w:rPr>
        <w:t>, B. M., &amp; Ziersch, A. (2024). Acceptability and use of HIV self-testing among young people in sub-Saharan Africa: a mixed methods systematic review. </w:t>
      </w:r>
      <w:r w:rsidRPr="007177A2">
        <w:rPr>
          <w:rFonts w:ascii="Times New Roman" w:hAnsi="Times New Roman" w:cs="Times New Roman"/>
          <w:i/>
          <w:iCs/>
          <w:color w:val="222222"/>
          <w:sz w:val="24"/>
          <w:szCs w:val="24"/>
          <w:shd w:val="clear" w:color="auto" w:fill="FFFFFF"/>
        </w:rPr>
        <w:t>BMC Primary Care</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25</w:t>
      </w:r>
      <w:r w:rsidRPr="007177A2">
        <w:rPr>
          <w:rFonts w:ascii="Times New Roman" w:hAnsi="Times New Roman" w:cs="Times New Roman"/>
          <w:color w:val="222222"/>
          <w:sz w:val="24"/>
          <w:szCs w:val="24"/>
          <w:shd w:val="clear" w:color="auto" w:fill="FFFFFF"/>
        </w:rPr>
        <w:t>(1), 369.</w:t>
      </w:r>
    </w:p>
    <w:p w14:paraId="09F4F5BD" w14:textId="77777777" w:rsidR="00842AA0" w:rsidRDefault="00842AA0" w:rsidP="00150EF8">
      <w:pPr>
        <w:spacing w:after="0"/>
        <w:rPr>
          <w:rFonts w:ascii="Times New Roman" w:hAnsi="Times New Roman" w:cs="Times New Roman"/>
          <w:color w:val="222222"/>
          <w:sz w:val="24"/>
          <w:szCs w:val="24"/>
          <w:shd w:val="clear" w:color="auto" w:fill="FFFFFF"/>
        </w:rPr>
      </w:pPr>
    </w:p>
    <w:p w14:paraId="7B7523D3" w14:textId="37A9D8F5"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 xml:space="preserve">Zhang, J., Ma, B., Han, X., Ding, S., &amp; Li, Y. (2022). Global, regional, and national burdens of HIV and other sexually transmitted infections in adolescents and young adults aged 10–24 years </w:t>
      </w:r>
      <w:r w:rsidRPr="007177A2">
        <w:rPr>
          <w:rFonts w:ascii="Times New Roman" w:hAnsi="Times New Roman" w:cs="Times New Roman"/>
          <w:color w:val="222222"/>
          <w:sz w:val="24"/>
          <w:szCs w:val="24"/>
          <w:shd w:val="clear" w:color="auto" w:fill="FFFFFF"/>
        </w:rPr>
        <w:lastRenderedPageBreak/>
        <w:t>from 1990 to 2019: a trend analysis based on the Global Burden of Disease Study 2019. </w:t>
      </w:r>
      <w:r w:rsidRPr="007177A2">
        <w:rPr>
          <w:rFonts w:ascii="Times New Roman" w:hAnsi="Times New Roman" w:cs="Times New Roman"/>
          <w:i/>
          <w:iCs/>
          <w:color w:val="222222"/>
          <w:sz w:val="24"/>
          <w:szCs w:val="24"/>
          <w:shd w:val="clear" w:color="auto" w:fill="FFFFFF"/>
        </w:rPr>
        <w:t>The Lancet Child &amp; Adolescent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6</w:t>
      </w:r>
      <w:r w:rsidRPr="007177A2">
        <w:rPr>
          <w:rFonts w:ascii="Times New Roman" w:hAnsi="Times New Roman" w:cs="Times New Roman"/>
          <w:color w:val="222222"/>
          <w:sz w:val="24"/>
          <w:szCs w:val="24"/>
          <w:shd w:val="clear" w:color="auto" w:fill="FFFFFF"/>
        </w:rPr>
        <w:t>(11), 763-776.</w:t>
      </w:r>
    </w:p>
    <w:p w14:paraId="07C47C5A" w14:textId="77777777" w:rsidR="00842AA0" w:rsidRDefault="00842AA0" w:rsidP="00150EF8">
      <w:pPr>
        <w:spacing w:after="0"/>
        <w:rPr>
          <w:rFonts w:ascii="Times New Roman" w:hAnsi="Times New Roman" w:cs="Times New Roman"/>
          <w:color w:val="222222"/>
          <w:sz w:val="24"/>
          <w:szCs w:val="24"/>
          <w:shd w:val="clear" w:color="auto" w:fill="FFFFFF"/>
        </w:rPr>
      </w:pPr>
      <w:bookmarkStart w:id="1" w:name="_Hlk228536982"/>
    </w:p>
    <w:p w14:paraId="57EC4DC3" w14:textId="1584191F" w:rsidR="007177A2" w:rsidRPr="007177A2" w:rsidRDefault="007177A2" w:rsidP="00150EF8">
      <w:pPr>
        <w:spacing w:after="0"/>
        <w:rPr>
          <w:rFonts w:ascii="Times New Roman" w:hAnsi="Times New Roman" w:cs="Times New Roman"/>
          <w:color w:val="222222"/>
          <w:sz w:val="24"/>
          <w:szCs w:val="24"/>
          <w:shd w:val="clear" w:color="auto" w:fill="FFFFFF"/>
        </w:rPr>
      </w:pPr>
      <w:r w:rsidRPr="007177A2">
        <w:rPr>
          <w:rFonts w:ascii="Times New Roman" w:hAnsi="Times New Roman" w:cs="Times New Roman"/>
          <w:color w:val="222222"/>
          <w:sz w:val="24"/>
          <w:szCs w:val="24"/>
          <w:shd w:val="clear" w:color="auto" w:fill="FFFFFF"/>
        </w:rPr>
        <w:t>Zuma</w:t>
      </w:r>
      <w:bookmarkEnd w:id="1"/>
      <w:r w:rsidRPr="007177A2">
        <w:rPr>
          <w:rFonts w:ascii="Times New Roman" w:hAnsi="Times New Roman" w:cs="Times New Roman"/>
          <w:color w:val="222222"/>
          <w:sz w:val="24"/>
          <w:szCs w:val="24"/>
          <w:shd w:val="clear" w:color="auto" w:fill="FFFFFF"/>
        </w:rPr>
        <w:t xml:space="preserve">, K., </w:t>
      </w:r>
      <w:proofErr w:type="spellStart"/>
      <w:r w:rsidRPr="007177A2">
        <w:rPr>
          <w:rFonts w:ascii="Times New Roman" w:hAnsi="Times New Roman" w:cs="Times New Roman"/>
          <w:color w:val="222222"/>
          <w:sz w:val="24"/>
          <w:szCs w:val="24"/>
          <w:shd w:val="clear" w:color="auto" w:fill="FFFFFF"/>
        </w:rPr>
        <w:t>Simbayi</w:t>
      </w:r>
      <w:proofErr w:type="spellEnd"/>
      <w:r w:rsidRPr="007177A2">
        <w:rPr>
          <w:rFonts w:ascii="Times New Roman" w:hAnsi="Times New Roman" w:cs="Times New Roman"/>
          <w:color w:val="222222"/>
          <w:sz w:val="24"/>
          <w:szCs w:val="24"/>
          <w:shd w:val="clear" w:color="auto" w:fill="FFFFFF"/>
        </w:rPr>
        <w:t xml:space="preserve">, L., Zungu, N., Moyo, S., Marinda, E., Jooste, S., ... &amp; </w:t>
      </w:r>
      <w:proofErr w:type="spellStart"/>
      <w:r w:rsidRPr="007177A2">
        <w:rPr>
          <w:rFonts w:ascii="Times New Roman" w:hAnsi="Times New Roman" w:cs="Times New Roman"/>
          <w:color w:val="222222"/>
          <w:sz w:val="24"/>
          <w:szCs w:val="24"/>
          <w:shd w:val="clear" w:color="auto" w:fill="FFFFFF"/>
        </w:rPr>
        <w:t>Sabssm</w:t>
      </w:r>
      <w:proofErr w:type="spellEnd"/>
      <w:r w:rsidRPr="007177A2">
        <w:rPr>
          <w:rFonts w:ascii="Times New Roman" w:hAnsi="Times New Roman" w:cs="Times New Roman"/>
          <w:color w:val="222222"/>
          <w:sz w:val="24"/>
          <w:szCs w:val="24"/>
          <w:shd w:val="clear" w:color="auto" w:fill="FFFFFF"/>
        </w:rPr>
        <w:t xml:space="preserve"> V Study Group Contributors. (2022). The HIV epidemic in South Africa: key findings from 2017 national population-based survey. </w:t>
      </w:r>
      <w:r w:rsidRPr="007177A2">
        <w:rPr>
          <w:rFonts w:ascii="Times New Roman" w:hAnsi="Times New Roman" w:cs="Times New Roman"/>
          <w:i/>
          <w:iCs/>
          <w:color w:val="222222"/>
          <w:sz w:val="24"/>
          <w:szCs w:val="24"/>
          <w:shd w:val="clear" w:color="auto" w:fill="FFFFFF"/>
        </w:rPr>
        <w:t>International journal of environmental research and public health</w:t>
      </w:r>
      <w:r w:rsidRPr="007177A2">
        <w:rPr>
          <w:rFonts w:ascii="Times New Roman" w:hAnsi="Times New Roman" w:cs="Times New Roman"/>
          <w:color w:val="222222"/>
          <w:sz w:val="24"/>
          <w:szCs w:val="24"/>
          <w:shd w:val="clear" w:color="auto" w:fill="FFFFFF"/>
        </w:rPr>
        <w:t>, </w:t>
      </w:r>
      <w:r w:rsidRPr="007177A2">
        <w:rPr>
          <w:rFonts w:ascii="Times New Roman" w:hAnsi="Times New Roman" w:cs="Times New Roman"/>
          <w:i/>
          <w:iCs/>
          <w:color w:val="222222"/>
          <w:sz w:val="24"/>
          <w:szCs w:val="24"/>
          <w:shd w:val="clear" w:color="auto" w:fill="FFFFFF"/>
        </w:rPr>
        <w:t>19</w:t>
      </w:r>
      <w:r w:rsidRPr="007177A2">
        <w:rPr>
          <w:rFonts w:ascii="Times New Roman" w:hAnsi="Times New Roman" w:cs="Times New Roman"/>
          <w:color w:val="222222"/>
          <w:sz w:val="24"/>
          <w:szCs w:val="24"/>
          <w:shd w:val="clear" w:color="auto" w:fill="FFFFFF"/>
        </w:rPr>
        <w:t>(13), 8125.</w:t>
      </w:r>
    </w:p>
    <w:sectPr w:rsidR="007177A2" w:rsidRPr="007177A2" w:rsidSect="0022508D">
      <w:headerReference w:type="even" r:id="rId18"/>
      <w:headerReference w:type="default" r:id="rId19"/>
      <w:footerReference w:type="even" r:id="rId20"/>
      <w:footerReference w:type="default" r:id="rId21"/>
      <w:headerReference w:type="first" r:id="rId22"/>
      <w:footerReference w:type="first" r:id="rId23"/>
      <w:pgSz w:w="12240" w:h="15840"/>
      <w:pgMar w:top="72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F2233" w14:textId="77777777" w:rsidR="006E27DC" w:rsidRDefault="006E27DC" w:rsidP="00DD423E">
      <w:pPr>
        <w:spacing w:after="0" w:line="240" w:lineRule="auto"/>
      </w:pPr>
      <w:r>
        <w:separator/>
      </w:r>
    </w:p>
  </w:endnote>
  <w:endnote w:type="continuationSeparator" w:id="0">
    <w:p w14:paraId="2A08663C" w14:textId="77777777" w:rsidR="006E27DC" w:rsidRDefault="006E27DC" w:rsidP="00DD4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44A85" w14:textId="77777777" w:rsidR="00275F59" w:rsidRDefault="00275F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1164139"/>
      <w:docPartObj>
        <w:docPartGallery w:val="Page Numbers (Bottom of Page)"/>
        <w:docPartUnique/>
      </w:docPartObj>
    </w:sdtPr>
    <w:sdtEndPr>
      <w:rPr>
        <w:noProof/>
      </w:rPr>
    </w:sdtEndPr>
    <w:sdtContent>
      <w:p w14:paraId="0EF5ECD6" w14:textId="021CD0B1" w:rsidR="00DD423E" w:rsidRDefault="00DD42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8FE801" w14:textId="77777777" w:rsidR="00DD423E" w:rsidRDefault="00DD42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AFF74" w14:textId="77777777" w:rsidR="00275F59" w:rsidRDefault="00275F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07864" w14:textId="77777777" w:rsidR="006E27DC" w:rsidRDefault="006E27DC" w:rsidP="00DD423E">
      <w:pPr>
        <w:spacing w:after="0" w:line="240" w:lineRule="auto"/>
      </w:pPr>
      <w:r>
        <w:separator/>
      </w:r>
    </w:p>
  </w:footnote>
  <w:footnote w:type="continuationSeparator" w:id="0">
    <w:p w14:paraId="1100B5BB" w14:textId="77777777" w:rsidR="006E27DC" w:rsidRDefault="006E27DC" w:rsidP="00DD4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BD482" w14:textId="462CE480" w:rsidR="00275F59" w:rsidRDefault="00275F59">
    <w:pPr>
      <w:pStyle w:val="Header"/>
    </w:pPr>
    <w:r>
      <w:rPr>
        <w:noProof/>
      </w:rPr>
      <w:pict w14:anchorId="250EDC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0669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AFE60" w14:textId="0DD12C9F" w:rsidR="00275F59" w:rsidRDefault="00275F59">
    <w:pPr>
      <w:pStyle w:val="Header"/>
    </w:pPr>
    <w:r>
      <w:rPr>
        <w:noProof/>
      </w:rPr>
      <w:pict w14:anchorId="22756C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0669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04462" w14:textId="18BD486F" w:rsidR="00275F59" w:rsidRDefault="00275F59">
    <w:pPr>
      <w:pStyle w:val="Header"/>
    </w:pPr>
    <w:r>
      <w:rPr>
        <w:noProof/>
      </w:rPr>
      <w:pict w14:anchorId="54A6A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40669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A991"/>
    <w:multiLevelType w:val="multilevel"/>
    <w:tmpl w:val="2C8C854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201"/>
    <w:multiLevelType w:val="multilevel"/>
    <w:tmpl w:val="CE90E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58D"/>
    <w:rsid w:val="000038C7"/>
    <w:rsid w:val="00073875"/>
    <w:rsid w:val="00096065"/>
    <w:rsid w:val="000A7830"/>
    <w:rsid w:val="000B6B43"/>
    <w:rsid w:val="00150EF8"/>
    <w:rsid w:val="001E579C"/>
    <w:rsid w:val="00224F8B"/>
    <w:rsid w:val="0022508D"/>
    <w:rsid w:val="00275F59"/>
    <w:rsid w:val="002B2BFF"/>
    <w:rsid w:val="002C16D6"/>
    <w:rsid w:val="002D1F21"/>
    <w:rsid w:val="002F7DB0"/>
    <w:rsid w:val="00306D72"/>
    <w:rsid w:val="003D633C"/>
    <w:rsid w:val="004068D3"/>
    <w:rsid w:val="004D41FC"/>
    <w:rsid w:val="00557451"/>
    <w:rsid w:val="00580A55"/>
    <w:rsid w:val="005946BD"/>
    <w:rsid w:val="00595665"/>
    <w:rsid w:val="00677DBC"/>
    <w:rsid w:val="006E27DC"/>
    <w:rsid w:val="007110AD"/>
    <w:rsid w:val="007177A2"/>
    <w:rsid w:val="00732A30"/>
    <w:rsid w:val="007C189E"/>
    <w:rsid w:val="007E558D"/>
    <w:rsid w:val="00803498"/>
    <w:rsid w:val="008412D9"/>
    <w:rsid w:val="00842AA0"/>
    <w:rsid w:val="00852C7A"/>
    <w:rsid w:val="008C7B39"/>
    <w:rsid w:val="009213EB"/>
    <w:rsid w:val="00933C5E"/>
    <w:rsid w:val="00994FF8"/>
    <w:rsid w:val="009A166E"/>
    <w:rsid w:val="009A5BB5"/>
    <w:rsid w:val="009B2AE5"/>
    <w:rsid w:val="00A0509A"/>
    <w:rsid w:val="00A13F99"/>
    <w:rsid w:val="00A21686"/>
    <w:rsid w:val="00A526BF"/>
    <w:rsid w:val="00A60EDF"/>
    <w:rsid w:val="00A71995"/>
    <w:rsid w:val="00B03A46"/>
    <w:rsid w:val="00B26954"/>
    <w:rsid w:val="00B539A8"/>
    <w:rsid w:val="00B92566"/>
    <w:rsid w:val="00BC3F60"/>
    <w:rsid w:val="00C032E4"/>
    <w:rsid w:val="00C26574"/>
    <w:rsid w:val="00C3509B"/>
    <w:rsid w:val="00C3617C"/>
    <w:rsid w:val="00CC48EB"/>
    <w:rsid w:val="00CF0809"/>
    <w:rsid w:val="00D51802"/>
    <w:rsid w:val="00DA2EAA"/>
    <w:rsid w:val="00DD423E"/>
    <w:rsid w:val="00DF67F7"/>
    <w:rsid w:val="00E01DB5"/>
    <w:rsid w:val="00E21D4D"/>
    <w:rsid w:val="00E21E4F"/>
    <w:rsid w:val="00EE0E6F"/>
    <w:rsid w:val="00EF47F5"/>
    <w:rsid w:val="00F07C2C"/>
    <w:rsid w:val="00F17B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85E2B8"/>
  <w15:chartTrackingRefBased/>
  <w15:docId w15:val="{414247A7-6988-481A-85CC-A81F18391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2A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42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23E"/>
  </w:style>
  <w:style w:type="paragraph" w:styleId="Footer">
    <w:name w:val="footer"/>
    <w:basedOn w:val="Normal"/>
    <w:link w:val="FooterChar"/>
    <w:uiPriority w:val="99"/>
    <w:unhideWhenUsed/>
    <w:rsid w:val="00DD42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423E"/>
  </w:style>
  <w:style w:type="character" w:customStyle="1" w:styleId="cursor-pointer">
    <w:name w:val="cursor-pointer"/>
    <w:basedOn w:val="DefaultParagraphFont"/>
    <w:rsid w:val="007C189E"/>
  </w:style>
  <w:style w:type="paragraph" w:customStyle="1" w:styleId="TableCaption">
    <w:name w:val="Table Caption"/>
    <w:basedOn w:val="Normal"/>
    <w:qFormat/>
    <w:rsid w:val="008412D9"/>
    <w:pPr>
      <w:spacing w:after="0" w:line="240" w:lineRule="auto"/>
      <w:jc w:val="center"/>
    </w:pPr>
    <w:rPr>
      <w:rFonts w:eastAsiaTheme="minorEastAsia"/>
      <w:b/>
      <w: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databank.worldbank.org/source/world-development-indicators" TargetMode="External"/><Relationship Id="rId12" Type="http://schemas.openxmlformats.org/officeDocument/2006/relationships/image" Target="media/image5.png"/><Relationship Id="rId17" Type="http://schemas.openxmlformats.org/officeDocument/2006/relationships/hyperlink" Target="https://databank.worldbank.org/source/world-development-indicator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21</Pages>
  <Words>7107</Words>
  <Characters>40513</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Ayiah-Mensah</dc:creator>
  <cp:keywords/>
  <dc:description/>
  <cp:lastModifiedBy>SDI 1166</cp:lastModifiedBy>
  <cp:revision>59</cp:revision>
  <cp:lastPrinted>2026-05-04T07:51:00Z</cp:lastPrinted>
  <dcterms:created xsi:type="dcterms:W3CDTF">2026-05-02T14:13:00Z</dcterms:created>
  <dcterms:modified xsi:type="dcterms:W3CDTF">2026-05-05T09:59:00Z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6abb4809-09c5-48e6-bb5b-96025f5a0097</vt:lpwstr>
  </property>
</Properties>
</file>