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DB69F" w14:textId="27ED59BE" w:rsidR="00354649" w:rsidRPr="00872186" w:rsidRDefault="00354649" w:rsidP="001F42B9">
      <w:pPr>
        <w:spacing w:before="100" w:beforeAutospacing="1" w:after="100" w:afterAutospacing="1" w:line="240" w:lineRule="auto"/>
        <w:jc w:val="center"/>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Physicochemical Characteristics and Heavy Metal Distribution in Agricultural Soils of Nasarawa State, Nigeria</w:t>
      </w:r>
    </w:p>
    <w:p w14:paraId="4C264AB6" w14:textId="77777777" w:rsidR="000E01CB" w:rsidRDefault="000E01CB" w:rsidP="00A15461">
      <w:pPr>
        <w:spacing w:before="100" w:beforeAutospacing="1" w:after="100" w:afterAutospacing="1" w:line="480" w:lineRule="auto"/>
        <w:jc w:val="center"/>
        <w:rPr>
          <w:rFonts w:ascii="Times New Roman" w:eastAsia="Times New Roman" w:hAnsi="Times New Roman" w:cs="Times New Roman"/>
          <w:b/>
          <w:bCs/>
          <w:sz w:val="24"/>
          <w:szCs w:val="24"/>
        </w:rPr>
      </w:pPr>
    </w:p>
    <w:p w14:paraId="3261620E" w14:textId="77777777" w:rsidR="000E01CB" w:rsidRDefault="000E01CB" w:rsidP="00A15461">
      <w:pPr>
        <w:spacing w:before="100" w:beforeAutospacing="1" w:after="100" w:afterAutospacing="1" w:line="480" w:lineRule="auto"/>
        <w:jc w:val="center"/>
        <w:rPr>
          <w:rFonts w:ascii="Times New Roman" w:eastAsia="Times New Roman" w:hAnsi="Times New Roman" w:cs="Times New Roman"/>
          <w:b/>
          <w:bCs/>
          <w:sz w:val="24"/>
          <w:szCs w:val="24"/>
        </w:rPr>
      </w:pPr>
    </w:p>
    <w:p w14:paraId="64857CA6" w14:textId="5CFB8C53" w:rsidR="00A15461" w:rsidRPr="00A15461" w:rsidRDefault="00A15461" w:rsidP="00A15461">
      <w:pPr>
        <w:spacing w:before="100" w:beforeAutospacing="1" w:after="100" w:afterAutospacing="1" w:line="480" w:lineRule="auto"/>
        <w:jc w:val="center"/>
        <w:rPr>
          <w:rFonts w:ascii="Times New Roman" w:eastAsia="Times New Roman" w:hAnsi="Times New Roman" w:cs="Times New Roman"/>
          <w:b/>
          <w:bCs/>
          <w:sz w:val="24"/>
          <w:szCs w:val="24"/>
        </w:rPr>
      </w:pPr>
      <w:r w:rsidRPr="00A15461">
        <w:rPr>
          <w:rFonts w:ascii="Times New Roman" w:eastAsia="Times New Roman" w:hAnsi="Times New Roman" w:cs="Times New Roman"/>
          <w:b/>
          <w:bCs/>
          <w:sz w:val="24"/>
          <w:szCs w:val="24"/>
        </w:rPr>
        <w:t>ABSTRACT</w:t>
      </w:r>
    </w:p>
    <w:p w14:paraId="30D9BDCA" w14:textId="77777777" w:rsidR="008561B7" w:rsidRDefault="008561B7" w:rsidP="006A6C1A">
      <w:pPr>
        <w:spacing w:before="100" w:beforeAutospacing="1" w:after="0" w:line="240" w:lineRule="auto"/>
        <w:jc w:val="both"/>
        <w:rPr>
          <w:rFonts w:ascii="Times New Roman" w:eastAsia="Times New Roman" w:hAnsi="Times New Roman" w:cs="Times New Roman"/>
          <w:color w:val="0F1115"/>
          <w:sz w:val="24"/>
          <w:szCs w:val="24"/>
        </w:rPr>
      </w:pPr>
      <w:r w:rsidRPr="008561B7">
        <w:rPr>
          <w:rFonts w:ascii="Times New Roman" w:eastAsia="Times New Roman" w:hAnsi="Times New Roman" w:cs="Times New Roman"/>
          <w:color w:val="0F1115"/>
          <w:sz w:val="24"/>
          <w:szCs w:val="24"/>
        </w:rPr>
        <w:t>This research evaluated the physicochemical properties of the soils and distribution of the heavy metal in Nasarawa State, Nigeria, to develop baseline information on herbicides to determine herbicide fate in tropical agroecosystems. The pH, electrical conductivity (EC), organic carbon (OC), organic matter (OM), macronutrients, and heavy metals (Pb, Cd, Cr, Ni, Zn, Fe, Cu) of soil samples of Awe (South), Nasarawa Eggon (North), and Kokona (West) were determined. The soils were quite acidic (6.82-6.88 pH), non-saline (EC 1.11-1.17 dS/m), and had moderate OC (1.74-1.80) and OM (3.01-3.10). The predominant texture was sandy (~90%), which means that the nutrient and contaminant bioretenention is low. Macronutrients were quite different with Nasarawa South accumulating N and P more although at the international standards. Heavy metal levels were lower but with some local enrichment. Agrochemical or vehicular suggested inputs were Pb (8.8315.8 mg/kg) and Zn (14.6164 mg/kg). Cd was highly variable (0.01 to 0.32 mg/kg) and the high levels of Cd were found in Nasarawa North which was associated with phosphate fertilizers. Regional differences were obvious in terms of metal abundances: Nasarawa North (Zn &gt; Pb &gt;&gt; Mg ≈ Cu ≈ Fe &gt; Cr &gt; Cd), Nasarawa South (Pb &gt; Zn &gt;&gt; Fe &gt; Mg &gt; Cu &gt; Ni), and Nasarawa West (Pb &gt; Zn &gt;&gt; Fe). The area that had the greatest Pb-enrichment was Nasarawa West, with some strange Cd enrichment, w</w:t>
      </w:r>
      <w:bookmarkStart w:id="0" w:name="_GoBack"/>
      <w:bookmarkEnd w:id="0"/>
      <w:r w:rsidRPr="008561B7">
        <w:rPr>
          <w:rFonts w:ascii="Times New Roman" w:eastAsia="Times New Roman" w:hAnsi="Times New Roman" w:cs="Times New Roman"/>
          <w:color w:val="0F1115"/>
          <w:sz w:val="24"/>
          <w:szCs w:val="24"/>
        </w:rPr>
        <w:t xml:space="preserve">hich is indicative of high agricultural activity.The Principal Component Analysis was able to point to six components that explain 82.6 percent of the variance, at which point clusters of OM-nutrient complex, heavy metals and texture are observed. Correlations of Fe, OC, and cation exchange capacity were established as positive to prove that they are important sorption stages to herbicides such as glyphosate. Heterogeneity of the environment with regard to space and characteristics of soils and contaminants highlights the importance of site-specific environmental management. </w:t>
      </w:r>
    </w:p>
    <w:p w14:paraId="115D78E4" w14:textId="246AD0D2" w:rsidR="00A15461" w:rsidRPr="00A15461" w:rsidRDefault="00A15461" w:rsidP="006A6C1A">
      <w:pPr>
        <w:spacing w:before="100" w:beforeAutospacing="1" w:after="0" w:line="240" w:lineRule="auto"/>
        <w:jc w:val="both"/>
        <w:rPr>
          <w:rFonts w:ascii="Times New Roman" w:eastAsia="Times New Roman" w:hAnsi="Times New Roman" w:cs="Times New Roman"/>
          <w:sz w:val="24"/>
          <w:szCs w:val="24"/>
        </w:rPr>
      </w:pPr>
      <w:r w:rsidRPr="00A15461">
        <w:rPr>
          <w:rFonts w:ascii="Times New Roman" w:eastAsia="Times New Roman" w:hAnsi="Times New Roman" w:cs="Times New Roman"/>
          <w:b/>
          <w:bCs/>
          <w:sz w:val="24"/>
          <w:szCs w:val="24"/>
        </w:rPr>
        <w:t>Other keywords</w:t>
      </w:r>
      <w:r w:rsidRPr="00436415">
        <w:rPr>
          <w:rFonts w:ascii="Times New Roman" w:eastAsia="Times New Roman" w:hAnsi="Times New Roman" w:cs="Times New Roman"/>
          <w:i/>
          <w:iCs/>
          <w:sz w:val="24"/>
          <w:szCs w:val="24"/>
        </w:rPr>
        <w:t>: Soil properties, Heavy metals, Spatial distribution, Tropical soils, Contamination, Principal Component Analysis, Environmental risk, Nigeria, Herbicide fate</w:t>
      </w:r>
      <w:r w:rsidRPr="00A15461">
        <w:rPr>
          <w:rFonts w:ascii="Times New Roman" w:eastAsia="Times New Roman" w:hAnsi="Times New Roman" w:cs="Times New Roman"/>
          <w:sz w:val="24"/>
          <w:szCs w:val="24"/>
        </w:rPr>
        <w:t>.</w:t>
      </w:r>
    </w:p>
    <w:p w14:paraId="46596A64" w14:textId="77777777" w:rsidR="00A15461" w:rsidRDefault="00A15461" w:rsidP="006A6C1A">
      <w:pPr>
        <w:spacing w:before="100" w:beforeAutospacing="1" w:after="0" w:line="480" w:lineRule="auto"/>
        <w:jc w:val="both"/>
        <w:rPr>
          <w:rFonts w:ascii="Times New Roman" w:eastAsia="Times New Roman" w:hAnsi="Times New Roman" w:cs="Times New Roman"/>
          <w:b/>
          <w:bCs/>
          <w:sz w:val="24"/>
          <w:szCs w:val="24"/>
        </w:rPr>
      </w:pPr>
    </w:p>
    <w:p w14:paraId="2CF81772" w14:textId="77777777" w:rsidR="00436415" w:rsidRDefault="00436415" w:rsidP="00A15461">
      <w:pPr>
        <w:spacing w:before="100" w:beforeAutospacing="1" w:after="100" w:afterAutospacing="1" w:line="480" w:lineRule="auto"/>
        <w:jc w:val="center"/>
        <w:rPr>
          <w:rFonts w:ascii="Times New Roman" w:eastAsia="Times New Roman" w:hAnsi="Times New Roman" w:cs="Times New Roman"/>
          <w:b/>
          <w:bCs/>
          <w:sz w:val="24"/>
          <w:szCs w:val="24"/>
        </w:rPr>
      </w:pPr>
    </w:p>
    <w:p w14:paraId="1B32394E" w14:textId="0BAAA7E8" w:rsidR="00354649" w:rsidRPr="00872186" w:rsidRDefault="00354649" w:rsidP="00A15461">
      <w:pPr>
        <w:spacing w:before="100" w:beforeAutospacing="1" w:after="100" w:afterAutospacing="1" w:line="480" w:lineRule="auto"/>
        <w:jc w:val="center"/>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Introduction</w:t>
      </w:r>
    </w:p>
    <w:p w14:paraId="0FD61A84" w14:textId="77777777" w:rsidR="00935496" w:rsidRPr="00935496" w:rsidRDefault="00935496" w:rsidP="00935496">
      <w:pPr>
        <w:pStyle w:val="ds-markdown-paragraph"/>
        <w:shd w:val="clear" w:color="auto" w:fill="FFFFFF"/>
        <w:spacing w:before="240" w:after="240" w:line="480" w:lineRule="auto"/>
        <w:jc w:val="both"/>
        <w:rPr>
          <w:color w:val="0F1115"/>
        </w:rPr>
      </w:pPr>
      <w:r w:rsidRPr="00935496">
        <w:rPr>
          <w:color w:val="0F1115"/>
        </w:rPr>
        <w:lastRenderedPageBreak/>
        <w:t>Agricultural soils are known to be a sink and source of a diverse range of contaminants and the ability of the soils to retain or release pollutants is basically dictated by the physicochemical properties of the soils. The complex interplay between soil properties and contaminant fate has become a decisive field of environmental studies, as the process of agricultural intensification is still growing at an accelerated pace across the world (Nie et al., 2024). The speciation, mobility, and bioavailability of the contaminants being introduced with the help of agricultural activities is determined by the properties of soil, such as pH, organic matter content, texture, cation exchange capacity, and mineralogical composition (Bian et al., 2024). The properties do not act independent but are arranged in a matrix, which balances partitioning of contaminants between solid and solution phases, and finally dictates their likelihood to be transported, engaged in plants and be uptaken by food chains (Isong et al., 2025). The knowledge of such basic controls is necessary in forecasting threats to the environment and in coming up with sustainable soil management practices in agro landscapes.</w:t>
      </w:r>
    </w:p>
    <w:p w14:paraId="1D37DA7D" w14:textId="77777777" w:rsidR="00935496" w:rsidRDefault="00935496" w:rsidP="00935496">
      <w:pPr>
        <w:pStyle w:val="ds-markdown-paragraph"/>
        <w:shd w:val="clear" w:color="auto" w:fill="FFFFFF"/>
        <w:spacing w:before="240" w:beforeAutospacing="0" w:after="240" w:afterAutospacing="0" w:line="480" w:lineRule="auto"/>
        <w:jc w:val="both"/>
        <w:rPr>
          <w:color w:val="0F1115"/>
        </w:rPr>
      </w:pPr>
      <w:r w:rsidRPr="00935496">
        <w:rPr>
          <w:color w:val="0F1115"/>
        </w:rPr>
        <w:t xml:space="preserve">This has seen heavy metals being identified as important co-contaminants of normal agrochemical application in the modern agricultural systems. Although the main aim of herbicides is to destroy unintended vegetation, commercial preparations often include metallic elements as either active agents, impurities, and formulation adjuvants (Isong et al., 2025). Pesticide-heavy metal co-contaminated has received significant research interest, and results of the studies have shown high levels of cadmium, lead, copper and zinc in the agricultural soils contaminated by the use of pesticides (Bian et al., 2024). The environmental importance of this co-contamination is not limited to the toxicities of each of these elements respectively but rather the interactions between herbicides and heavy elements in complex relationships can have a significant impact on their respective environmental fates. The examples of antibiotics and heavy </w:t>
      </w:r>
      <w:r w:rsidRPr="00935496">
        <w:rPr>
          <w:color w:val="0F1115"/>
        </w:rPr>
        <w:lastRenderedPageBreak/>
        <w:t>metals have been reported to form stable complexes, the ecological behaviour of which is regulated by soil organic matter, pH, and ion competition (Nie et al., 2024). Likewise, when pesticides and heavy metals interact, they form complex interactions where their adsorption, surface complexation, and physical absorption mechanisms by electrostatic adsorption, surface complexation, and physical absorption processes may increase the ecological hazard (Bian et al., 2024). This unceasing introduction of pesticides has been linked to a rise in the concentration of heavy metals in soils and the ensuing adverse effects on soil enzymes and microbial activities, which leads to a soil health impairment and soil sustainability in agriculture (Isong et al., 2025).</w:t>
      </w:r>
    </w:p>
    <w:p w14:paraId="4F07AFE9" w14:textId="77777777" w:rsidR="00935496" w:rsidRPr="00935496" w:rsidRDefault="00935496" w:rsidP="00935496">
      <w:pPr>
        <w:pStyle w:val="ds-markdown-paragraph"/>
        <w:shd w:val="clear" w:color="auto" w:fill="FFFFFF"/>
        <w:spacing w:before="240" w:after="0" w:line="480" w:lineRule="auto"/>
        <w:jc w:val="both"/>
        <w:rPr>
          <w:color w:val="0F1115"/>
        </w:rPr>
      </w:pPr>
      <w:r w:rsidRPr="00935496">
        <w:rPr>
          <w:color w:val="0F1115"/>
        </w:rPr>
        <w:t xml:space="preserve">Among many soil components affecting the retention of contaminants, iron and aluminum oxides are grouped as having a special role especially in the tropical and subtropical regions. These secondary minerals also have high specific surface areas and large numbers of reactive surface sites, which provide majority control over sorption behavior of heavy metals, as well as ionizable organic contaminants (Liang et al., 2025). Such iron oxides as ferrihydrite that are widely distributed in highly weathered tropical soils are weakly crystalline and have the highest adsorption capacities because of large specific surface areas, high site densities, and strong surface reactivity (Liang et al., 2025). The importance of these minerals to the herbicides retention has been beautifully illustrated in works of glyphosate adsorption in which Iron oxide surfaces have been indicated to bind the popular herbicide glyphosate strongly by forming inner-sphere surface complexes, which greatly decrease its mobility and bioavailability under normal environmental pH conditions (Liang et al., 2025). Aluminum replacement of iron oxide structures, which is typical of very weathered soils, further alters the surface charge properties and the distribution of reactive surface sites, which may promote or reduce adsorption capacity based on the condition of aggregation of the minerals (Liang et al., 2025). These mineralogical </w:t>
      </w:r>
      <w:r w:rsidRPr="00935496">
        <w:rPr>
          <w:color w:val="0F1115"/>
        </w:rPr>
        <w:lastRenderedPageBreak/>
        <w:t>controls presuppose certain topicality in agricultural systems in the tropics where soils are highly weathered and the mineralogy of the soils is generally dominated by iron and aluminum oxide.</w:t>
      </w:r>
    </w:p>
    <w:p w14:paraId="74F466EA" w14:textId="77777777" w:rsidR="00935496" w:rsidRPr="00935496" w:rsidRDefault="00935496" w:rsidP="00935496">
      <w:pPr>
        <w:pStyle w:val="ds-markdown-paragraph"/>
        <w:shd w:val="clear" w:color="auto" w:fill="FFFFFF"/>
        <w:spacing w:before="240" w:after="0" w:line="480" w:lineRule="auto"/>
        <w:jc w:val="both"/>
        <w:rPr>
          <w:color w:val="0F1115"/>
        </w:rPr>
      </w:pPr>
      <w:r w:rsidRPr="00935496">
        <w:rPr>
          <w:color w:val="0F1115"/>
        </w:rPr>
        <w:t>Although these processes are of global importance, there is still a lot of knowledge gap about their functioning in the Nigerian tropical soils. Nigeria, similar to most developing countries, is undergoing unceasing economic and industrial changes that have significant effects on the quality of the environment (Attah et al., 2024). The intensification of agriculture, the growing mining practices, and the uncontrolled dumping of wastes and the emergence of industries have made there high possibilities of heavy metal contamination in various environmental matrices (Joseph and Christopher, 2024). According to a recent survey of the research on heavy metals in Nigeria, it is shown that although research has been conducted on the contamination of various media, such as soils, waters, foods and biological tissues, critical toxic metals have only been investigated less, and there are significant geographical gaps in the areas of research (Attah et al., 2024). Interestingly, relatively little research has been conducted in the northern parts of the country, such as Nasarawa State, leaving a significant data gap in the study of the patterns and risks of contamination in particular regions (Attah et al., 2024; Joseph and Christopher, 2024). Additionally, the peculiarities of tropical soils, such as their high state of weathering, prevalence of low-activity clays, high content of iron and aluminum oxides, and low organic matter contents in general, require locally-specific data to support the accurate risk evaluation, since the predictive relationships formed on temperate soils do not necessarily correlate directly to these highly different settings.</w:t>
      </w:r>
    </w:p>
    <w:p w14:paraId="7E8B5154" w14:textId="5F1D2713" w:rsidR="00784E98" w:rsidRPr="00872186" w:rsidRDefault="00935496" w:rsidP="00935496">
      <w:pPr>
        <w:pStyle w:val="ds-markdown-paragraph"/>
        <w:shd w:val="clear" w:color="auto" w:fill="FFFFFF"/>
        <w:spacing w:before="240" w:beforeAutospacing="0" w:after="0" w:afterAutospacing="0" w:line="480" w:lineRule="auto"/>
        <w:jc w:val="both"/>
        <w:rPr>
          <w:color w:val="0F1115"/>
        </w:rPr>
      </w:pPr>
      <w:r w:rsidRPr="00935496">
        <w:rPr>
          <w:color w:val="0F1115"/>
        </w:rPr>
        <w:t xml:space="preserve">This body of knowledge has been filled by the current study which is an extensive study of the physicochemical properties of agricultural soils and the distribution of heavy metals in </w:t>
      </w:r>
      <w:r w:rsidRPr="00935496">
        <w:rPr>
          <w:color w:val="0F1115"/>
        </w:rPr>
        <w:lastRenderedPageBreak/>
        <w:t>agricultural soils of Nasarawa State, Northern-central Nigeria. This area places significant focus on agricultural production and growing strain of anthropogenic activities and is an under-researched but crucial landscape in which to examine the contaminant processes in tropical African soils (Attah et al., 2024). The proposed research aims to offer a solid basis of knowledge to evidence-based environmental risk assessment and sustainable farm management by defining basic soils characteristics, determining the levels of heavy metals, and determining the consequences of herbicide retention. The results will not only enrich the environmental management in the region but also serve the overall comprehension of the contaminant dynamics in tropical agricultural systems, which will benefit the creation of the locally-relevant policies and remediation measures (Nie et al., 2024). By doing so, we will be able to explain the complicated interaction between soil characteristics, heavy metal pollution, and the ability of herbicides to retain, and thus inform on the response to protect soil quality, farm output, and human health in the region and other tropical farming systems in the tropics.</w:t>
      </w:r>
    </w:p>
    <w:p w14:paraId="20712F18" w14:textId="3F0AF34D" w:rsidR="00354649" w:rsidRPr="00872186" w:rsidRDefault="00354649" w:rsidP="001C4400">
      <w:pPr>
        <w:spacing w:before="100" w:beforeAutospacing="1" w:after="100" w:afterAutospacing="1" w:line="240" w:lineRule="auto"/>
        <w:outlineLvl w:val="1"/>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Materials and Methods</w:t>
      </w:r>
    </w:p>
    <w:p w14:paraId="07DA2FAD" w14:textId="1FBEE00B" w:rsidR="009C7109" w:rsidRPr="00872186" w:rsidRDefault="009C7109" w:rsidP="009C7109">
      <w:pPr>
        <w:shd w:val="clear" w:color="auto" w:fill="FFFFFF"/>
        <w:spacing w:after="0" w:line="480" w:lineRule="auto"/>
        <w:ind w:left="720" w:hanging="720"/>
        <w:jc w:val="both"/>
        <w:rPr>
          <w:rFonts w:ascii="Times New Roman" w:eastAsia="Calibri" w:hAnsi="Times New Roman" w:cs="Times New Roman"/>
          <w:b/>
          <w:sz w:val="24"/>
          <w:szCs w:val="24"/>
        </w:rPr>
      </w:pPr>
      <w:r w:rsidRPr="00872186">
        <w:rPr>
          <w:rFonts w:ascii="Times New Roman" w:eastAsia="Calibri" w:hAnsi="Times New Roman" w:cs="Times New Roman"/>
          <w:b/>
          <w:sz w:val="24"/>
          <w:szCs w:val="24"/>
        </w:rPr>
        <w:t>Description of Study Area</w:t>
      </w:r>
    </w:p>
    <w:p w14:paraId="5863C5E8" w14:textId="709C28C5" w:rsidR="009C7109" w:rsidRPr="00872186" w:rsidRDefault="009C7109" w:rsidP="00B46385">
      <w:pPr>
        <w:spacing w:line="480" w:lineRule="auto"/>
        <w:ind w:right="-59"/>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Nasarawa State is a Middle Belt State in Nigeria; the state lies within the latitudes 7°45′–9°25′ N and longitudes 7°00′–9°37′ E with an area of approximately 27,117 km², which is the 15 </w:t>
      </w:r>
      <w:proofErr w:type="spellStart"/>
      <w:r w:rsidRPr="00872186">
        <w:rPr>
          <w:rFonts w:ascii="Times New Roman" w:eastAsia="Calibri" w:hAnsi="Times New Roman" w:cs="Times New Roman"/>
          <w:sz w:val="24"/>
          <w:szCs w:val="24"/>
          <w:vertAlign w:val="superscript"/>
        </w:rPr>
        <w:t>th</w:t>
      </w:r>
      <w:proofErr w:type="spellEnd"/>
      <w:r w:rsidRPr="00872186">
        <w:rPr>
          <w:rFonts w:ascii="Times New Roman" w:eastAsia="Calibri" w:hAnsi="Times New Roman" w:cs="Times New Roman"/>
          <w:sz w:val="24"/>
          <w:szCs w:val="24"/>
        </w:rPr>
        <w:t xml:space="preserve"> largest State in Nigeria (ZODML, 2018). The population of the state was estimated as 1.87 million in the year 2006 according to National Population Census, making it one of the least populated states in Nigeria (National Population Commission, 2006;). The Nasarawa State borders with the state are Kaduna State in the north, the Federal Capital Territory (Abuja) in the west, Kogi and Benue States in the south, and Taraba and Plateau States in the </w:t>
      </w:r>
      <w:r w:rsidR="001E1C6D" w:rsidRPr="00872186">
        <w:rPr>
          <w:rFonts w:ascii="Times New Roman" w:eastAsia="Calibri" w:hAnsi="Times New Roman" w:cs="Times New Roman"/>
          <w:sz w:val="24"/>
          <w:szCs w:val="24"/>
        </w:rPr>
        <w:t>east.</w:t>
      </w:r>
      <w:r w:rsidRPr="00872186">
        <w:rPr>
          <w:rFonts w:ascii="Times New Roman" w:eastAsia="Calibri" w:hAnsi="Times New Roman" w:cs="Times New Roman"/>
          <w:sz w:val="24"/>
          <w:szCs w:val="24"/>
        </w:rPr>
        <w:t xml:space="preserve"> It is composed of highlands of hills and rocks in places like </w:t>
      </w:r>
      <w:proofErr w:type="spellStart"/>
      <w:r w:rsidRPr="00872186">
        <w:rPr>
          <w:rFonts w:ascii="Times New Roman" w:eastAsia="Calibri" w:hAnsi="Times New Roman" w:cs="Times New Roman"/>
          <w:sz w:val="24"/>
          <w:szCs w:val="24"/>
        </w:rPr>
        <w:t>Akwanga</w:t>
      </w:r>
      <w:proofErr w:type="spellEnd"/>
      <w:r w:rsidRPr="00872186">
        <w:rPr>
          <w:rFonts w:ascii="Times New Roman" w:eastAsia="Calibri" w:hAnsi="Times New Roman" w:cs="Times New Roman"/>
          <w:sz w:val="24"/>
          <w:szCs w:val="24"/>
        </w:rPr>
        <w:t xml:space="preserve">, </w:t>
      </w:r>
      <w:proofErr w:type="spellStart"/>
      <w:r w:rsidRPr="00872186">
        <w:rPr>
          <w:rFonts w:ascii="Times New Roman" w:eastAsia="Calibri" w:hAnsi="Times New Roman" w:cs="Times New Roman"/>
          <w:sz w:val="24"/>
          <w:szCs w:val="24"/>
        </w:rPr>
        <w:t>Wamba</w:t>
      </w:r>
      <w:proofErr w:type="spellEnd"/>
      <w:r w:rsidRPr="00872186">
        <w:rPr>
          <w:rFonts w:ascii="Times New Roman" w:eastAsia="Calibri" w:hAnsi="Times New Roman" w:cs="Times New Roman"/>
          <w:sz w:val="24"/>
          <w:szCs w:val="24"/>
        </w:rPr>
        <w:t xml:space="preserve">, and Nasarawa </w:t>
      </w:r>
      <w:proofErr w:type="spellStart"/>
      <w:r w:rsidRPr="00872186">
        <w:rPr>
          <w:rFonts w:ascii="Times New Roman" w:eastAsia="Calibri" w:hAnsi="Times New Roman" w:cs="Times New Roman"/>
          <w:sz w:val="24"/>
          <w:szCs w:val="24"/>
        </w:rPr>
        <w:t>Eggon</w:t>
      </w:r>
      <w:proofErr w:type="spellEnd"/>
      <w:r w:rsidRPr="00872186">
        <w:rPr>
          <w:rFonts w:ascii="Times New Roman" w:eastAsia="Calibri" w:hAnsi="Times New Roman" w:cs="Times New Roman"/>
          <w:sz w:val="24"/>
          <w:szCs w:val="24"/>
        </w:rPr>
        <w:t xml:space="preserve"> that are up to 1,400 m in </w:t>
      </w:r>
      <w:r w:rsidRPr="00872186">
        <w:rPr>
          <w:rFonts w:ascii="Times New Roman" w:eastAsia="Calibri" w:hAnsi="Times New Roman" w:cs="Times New Roman"/>
          <w:sz w:val="24"/>
          <w:szCs w:val="24"/>
        </w:rPr>
        <w:lastRenderedPageBreak/>
        <w:t xml:space="preserve">elevation, with Lafia, Doma, and Awe being located on lowland plains (Nasarawa State Government, 2023). Nasarawa is located in the tropical Guinea savanna with two climatic seasons: wet (April to October) and dry (November to March) seasons (ResearchGate, 2018; </w:t>
      </w:r>
      <w:proofErr w:type="spellStart"/>
      <w:r w:rsidRPr="00872186">
        <w:rPr>
          <w:rFonts w:ascii="Times New Roman" w:eastAsia="Calibri" w:hAnsi="Times New Roman" w:cs="Times New Roman"/>
          <w:sz w:val="24"/>
          <w:szCs w:val="24"/>
        </w:rPr>
        <w:t>Soluap</w:t>
      </w:r>
      <w:proofErr w:type="spellEnd"/>
      <w:r w:rsidRPr="00872186">
        <w:rPr>
          <w:rFonts w:ascii="Times New Roman" w:eastAsia="Calibri" w:hAnsi="Times New Roman" w:cs="Times New Roman"/>
          <w:sz w:val="24"/>
          <w:szCs w:val="24"/>
        </w:rPr>
        <w:t xml:space="preserve">, 2023). The rainfall is between 1,400 and 1,500 mm per year with highest rainfall being experienced in August. The average daily maximal temperatures are between 35 and 39 </w:t>
      </w:r>
      <w:proofErr w:type="spellStart"/>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C</w:t>
      </w:r>
      <w:proofErr w:type="spellEnd"/>
      <w:r w:rsidRPr="00872186">
        <w:rPr>
          <w:rFonts w:ascii="Times New Roman" w:eastAsia="Calibri" w:hAnsi="Times New Roman" w:cs="Times New Roman"/>
          <w:sz w:val="24"/>
          <w:szCs w:val="24"/>
        </w:rPr>
        <w:t xml:space="preserve"> with minimum temperatures of between 16 and 21</w:t>
      </w:r>
      <w:r w:rsidRPr="00872186">
        <w:rPr>
          <w:rFonts w:ascii="Times New Roman" w:eastAsia="Calibri" w:hAnsi="Times New Roman" w:cs="Times New Roman"/>
          <w:sz w:val="24"/>
          <w:szCs w:val="24"/>
          <w:vertAlign w:val="superscript"/>
        </w:rPr>
        <w:t xml:space="preserve"> </w:t>
      </w:r>
      <w:proofErr w:type="spellStart"/>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C</w:t>
      </w:r>
      <w:proofErr w:type="spellEnd"/>
      <w:r w:rsidRPr="00872186">
        <w:rPr>
          <w:rFonts w:ascii="Times New Roman" w:eastAsia="Calibri" w:hAnsi="Times New Roman" w:cs="Times New Roman"/>
          <w:sz w:val="24"/>
          <w:szCs w:val="24"/>
        </w:rPr>
        <w:t xml:space="preserve"> according to season (Season, 2023). The economic activity of the state is agriculture. The most popular crops are cassava, yam, rice, maize, millet, sorghum, and beans, artisanal mining involves solid minerals such as salt, barite, bauxite, gypsum, marble, and </w:t>
      </w:r>
      <w:proofErr w:type="gramStart"/>
      <w:r w:rsidRPr="00872186">
        <w:rPr>
          <w:rFonts w:ascii="Times New Roman" w:eastAsia="Calibri" w:hAnsi="Times New Roman" w:cs="Times New Roman"/>
          <w:sz w:val="24"/>
          <w:szCs w:val="24"/>
        </w:rPr>
        <w:t xml:space="preserve">columbite </w:t>
      </w:r>
      <w:r w:rsidR="001E1C6D">
        <w:rPr>
          <w:rFonts w:ascii="Times New Roman" w:eastAsia="Calibri" w:hAnsi="Times New Roman" w:cs="Times New Roman"/>
          <w:sz w:val="24"/>
          <w:szCs w:val="24"/>
        </w:rPr>
        <w:t xml:space="preserve"> </w:t>
      </w:r>
      <w:proofErr w:type="spellStart"/>
      <w:r w:rsidRPr="00872186">
        <w:rPr>
          <w:rFonts w:ascii="Times New Roman" w:eastAsia="Calibri" w:hAnsi="Times New Roman" w:cs="Times New Roman"/>
          <w:sz w:val="24"/>
          <w:szCs w:val="24"/>
        </w:rPr>
        <w:t>Soluap</w:t>
      </w:r>
      <w:proofErr w:type="spellEnd"/>
      <w:proofErr w:type="gramEnd"/>
      <w:r w:rsidRPr="00872186">
        <w:rPr>
          <w:rFonts w:ascii="Times New Roman" w:eastAsia="Calibri" w:hAnsi="Times New Roman" w:cs="Times New Roman"/>
          <w:sz w:val="24"/>
          <w:szCs w:val="24"/>
        </w:rPr>
        <w:t xml:space="preserve">, </w:t>
      </w:r>
      <w:r w:rsidR="001E1C6D">
        <w:rPr>
          <w:rFonts w:ascii="Times New Roman" w:eastAsia="Calibri" w:hAnsi="Times New Roman" w:cs="Times New Roman"/>
          <w:sz w:val="24"/>
          <w:szCs w:val="24"/>
        </w:rPr>
        <w:t>(</w:t>
      </w:r>
      <w:r w:rsidRPr="00872186">
        <w:rPr>
          <w:rFonts w:ascii="Times New Roman" w:eastAsia="Calibri" w:hAnsi="Times New Roman" w:cs="Times New Roman"/>
          <w:sz w:val="24"/>
          <w:szCs w:val="24"/>
        </w:rPr>
        <w:t xml:space="preserve">2023). The global position system coordinates of the study area are presented in Table </w:t>
      </w:r>
      <w:r w:rsidR="007A5419">
        <w:rPr>
          <w:rFonts w:ascii="Times New Roman" w:eastAsia="Calibri" w:hAnsi="Times New Roman" w:cs="Times New Roman"/>
          <w:sz w:val="24"/>
          <w:szCs w:val="24"/>
        </w:rPr>
        <w:t>1</w:t>
      </w:r>
      <w:r w:rsidRPr="00872186">
        <w:rPr>
          <w:rFonts w:ascii="Times New Roman" w:eastAsia="Calibri" w:hAnsi="Times New Roman" w:cs="Times New Roman"/>
          <w:sz w:val="24"/>
          <w:szCs w:val="24"/>
        </w:rPr>
        <w:t>.</w:t>
      </w:r>
    </w:p>
    <w:p w14:paraId="06AC28C1" w14:textId="19570BEF" w:rsidR="009C7109" w:rsidRPr="00872186" w:rsidRDefault="009C7109" w:rsidP="009C7109">
      <w:pPr>
        <w:spacing w:line="480" w:lineRule="auto"/>
        <w:ind w:left="720" w:right="-59"/>
        <w:jc w:val="both"/>
        <w:rPr>
          <w:rFonts w:ascii="Times New Roman" w:eastAsia="Calibri" w:hAnsi="Times New Roman" w:cs="Times New Roman"/>
          <w:sz w:val="24"/>
          <w:szCs w:val="24"/>
        </w:rPr>
      </w:pPr>
      <w:r w:rsidRPr="00872186">
        <w:rPr>
          <w:rFonts w:ascii="Times New Roman" w:eastAsia="Calibri" w:hAnsi="Times New Roman" w:cs="Times New Roman"/>
          <w:b/>
          <w:bCs/>
          <w:sz w:val="24"/>
          <w:szCs w:val="24"/>
        </w:rPr>
        <w:t xml:space="preserve">Table </w:t>
      </w:r>
      <w:r w:rsidR="00226C2B">
        <w:rPr>
          <w:rFonts w:ascii="Times New Roman" w:eastAsia="Calibri" w:hAnsi="Times New Roman" w:cs="Times New Roman"/>
          <w:b/>
          <w:bCs/>
          <w:sz w:val="24"/>
          <w:szCs w:val="24"/>
        </w:rPr>
        <w:t>1</w:t>
      </w:r>
      <w:r w:rsidRPr="00872186">
        <w:rPr>
          <w:rFonts w:ascii="Times New Roman" w:eastAsia="Calibri" w:hAnsi="Times New Roman" w:cs="Times New Roman"/>
          <w:sz w:val="24"/>
          <w:szCs w:val="24"/>
        </w:rPr>
        <w:t>: Global Position System Coordinates and Population of the Study Area</w:t>
      </w:r>
    </w:p>
    <w:tbl>
      <w:tblPr>
        <w:tblStyle w:val="PlainTable21"/>
        <w:tblW w:w="9793" w:type="dxa"/>
        <w:tblLook w:val="04A0" w:firstRow="1" w:lastRow="0" w:firstColumn="1" w:lastColumn="0" w:noHBand="0" w:noVBand="1"/>
      </w:tblPr>
      <w:tblGrid>
        <w:gridCol w:w="745"/>
        <w:gridCol w:w="1739"/>
        <w:gridCol w:w="1506"/>
        <w:gridCol w:w="1672"/>
        <w:gridCol w:w="1076"/>
        <w:gridCol w:w="1316"/>
        <w:gridCol w:w="1739"/>
      </w:tblGrid>
      <w:tr w:rsidR="009C7109" w:rsidRPr="00872186" w14:paraId="4736D6D6" w14:textId="77777777" w:rsidTr="008F55F6">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745" w:type="dxa"/>
            <w:hideMark/>
          </w:tcPr>
          <w:p w14:paraId="15A434EE" w14:textId="77777777" w:rsidR="009C7109" w:rsidRPr="00872186" w:rsidRDefault="009C7109" w:rsidP="009C7109">
            <w:pPr>
              <w:spacing w:line="480" w:lineRule="auto"/>
              <w:ind w:right="-59"/>
              <w:jc w:val="center"/>
              <w:rPr>
                <w:rFonts w:ascii="Times New Roman" w:hAnsi="Times New Roman" w:cs="Times New Roman"/>
                <w:sz w:val="24"/>
                <w:szCs w:val="24"/>
              </w:rPr>
            </w:pPr>
            <w:r w:rsidRPr="00872186">
              <w:rPr>
                <w:rFonts w:ascii="Times New Roman" w:hAnsi="Times New Roman" w:cs="Times New Roman"/>
                <w:sz w:val="24"/>
                <w:szCs w:val="24"/>
              </w:rPr>
              <w:t>S/N</w:t>
            </w:r>
          </w:p>
        </w:tc>
        <w:tc>
          <w:tcPr>
            <w:tcW w:w="1739" w:type="dxa"/>
            <w:hideMark/>
          </w:tcPr>
          <w:p w14:paraId="578F4682"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Senatorial Zone</w:t>
            </w:r>
          </w:p>
        </w:tc>
        <w:tc>
          <w:tcPr>
            <w:tcW w:w="1506" w:type="dxa"/>
            <w:hideMark/>
          </w:tcPr>
          <w:p w14:paraId="2E90BDF9"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LGA</w:t>
            </w:r>
          </w:p>
        </w:tc>
        <w:tc>
          <w:tcPr>
            <w:tcW w:w="1672" w:type="dxa"/>
            <w:hideMark/>
          </w:tcPr>
          <w:p w14:paraId="01D4BDA5"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Population</w:t>
            </w:r>
          </w:p>
          <w:p w14:paraId="597C21A8"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(2006 POP)</w:t>
            </w:r>
          </w:p>
        </w:tc>
        <w:tc>
          <w:tcPr>
            <w:tcW w:w="1076" w:type="dxa"/>
            <w:hideMark/>
          </w:tcPr>
          <w:p w14:paraId="0A240526"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Area (Sq.KM)</w:t>
            </w:r>
          </w:p>
        </w:tc>
        <w:tc>
          <w:tcPr>
            <w:tcW w:w="1316" w:type="dxa"/>
            <w:hideMark/>
          </w:tcPr>
          <w:p w14:paraId="22E6487D"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Major Activities</w:t>
            </w:r>
          </w:p>
        </w:tc>
        <w:tc>
          <w:tcPr>
            <w:tcW w:w="1739" w:type="dxa"/>
            <w:hideMark/>
          </w:tcPr>
          <w:p w14:paraId="7777BA66"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Coordinates</w:t>
            </w:r>
          </w:p>
        </w:tc>
      </w:tr>
      <w:tr w:rsidR="009C7109" w:rsidRPr="00872186" w14:paraId="51C473DA" w14:textId="77777777" w:rsidTr="008F55F6">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745" w:type="dxa"/>
            <w:hideMark/>
          </w:tcPr>
          <w:p w14:paraId="1DDCAC48" w14:textId="77777777" w:rsidR="009C7109" w:rsidRPr="00872186" w:rsidRDefault="009C7109" w:rsidP="009C7109">
            <w:pPr>
              <w:spacing w:line="480" w:lineRule="auto"/>
              <w:ind w:right="-59"/>
              <w:jc w:val="center"/>
              <w:rPr>
                <w:rFonts w:ascii="Times New Roman" w:hAnsi="Times New Roman" w:cs="Times New Roman"/>
                <w:sz w:val="24"/>
                <w:szCs w:val="24"/>
              </w:rPr>
            </w:pPr>
            <w:r w:rsidRPr="00872186">
              <w:rPr>
                <w:rFonts w:ascii="Times New Roman" w:hAnsi="Times New Roman" w:cs="Times New Roman"/>
                <w:sz w:val="24"/>
                <w:szCs w:val="24"/>
              </w:rPr>
              <w:t>A</w:t>
            </w:r>
          </w:p>
        </w:tc>
        <w:tc>
          <w:tcPr>
            <w:tcW w:w="1739" w:type="dxa"/>
            <w:hideMark/>
          </w:tcPr>
          <w:p w14:paraId="35CA0625"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Nasarawa South</w:t>
            </w:r>
          </w:p>
        </w:tc>
        <w:tc>
          <w:tcPr>
            <w:tcW w:w="1506" w:type="dxa"/>
            <w:hideMark/>
          </w:tcPr>
          <w:p w14:paraId="225A97EE"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Awe</w:t>
            </w:r>
          </w:p>
        </w:tc>
        <w:tc>
          <w:tcPr>
            <w:tcW w:w="1672" w:type="dxa"/>
            <w:hideMark/>
          </w:tcPr>
          <w:p w14:paraId="08833AD0"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116080</w:t>
            </w:r>
          </w:p>
        </w:tc>
        <w:tc>
          <w:tcPr>
            <w:tcW w:w="1076" w:type="dxa"/>
            <w:hideMark/>
          </w:tcPr>
          <w:p w14:paraId="2D73FDA1"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2800.00</w:t>
            </w:r>
          </w:p>
        </w:tc>
        <w:tc>
          <w:tcPr>
            <w:tcW w:w="1316" w:type="dxa"/>
            <w:hideMark/>
          </w:tcPr>
          <w:p w14:paraId="55D5C894"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FARMING</w:t>
            </w:r>
          </w:p>
        </w:tc>
        <w:tc>
          <w:tcPr>
            <w:tcW w:w="1739" w:type="dxa"/>
            <w:hideMark/>
          </w:tcPr>
          <w:p w14:paraId="057CAD5C"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Long; 8.110147</w:t>
            </w:r>
          </w:p>
          <w:p w14:paraId="1B1362DD"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Lat; 9.142848</w:t>
            </w:r>
          </w:p>
        </w:tc>
      </w:tr>
      <w:tr w:rsidR="009C7109" w:rsidRPr="00872186" w14:paraId="3572BE64" w14:textId="77777777" w:rsidTr="008F55F6">
        <w:trPr>
          <w:trHeight w:val="729"/>
        </w:trPr>
        <w:tc>
          <w:tcPr>
            <w:cnfStyle w:val="001000000000" w:firstRow="0" w:lastRow="0" w:firstColumn="1" w:lastColumn="0" w:oddVBand="0" w:evenVBand="0" w:oddHBand="0" w:evenHBand="0" w:firstRowFirstColumn="0" w:firstRowLastColumn="0" w:lastRowFirstColumn="0" w:lastRowLastColumn="0"/>
            <w:tcW w:w="745" w:type="dxa"/>
            <w:hideMark/>
          </w:tcPr>
          <w:p w14:paraId="789D5B8B" w14:textId="77777777" w:rsidR="009C7109" w:rsidRPr="00872186" w:rsidRDefault="009C7109" w:rsidP="009C7109">
            <w:pPr>
              <w:spacing w:line="480" w:lineRule="auto"/>
              <w:ind w:right="-59"/>
              <w:jc w:val="center"/>
              <w:rPr>
                <w:rFonts w:ascii="Times New Roman" w:hAnsi="Times New Roman" w:cs="Times New Roman"/>
                <w:sz w:val="24"/>
                <w:szCs w:val="24"/>
              </w:rPr>
            </w:pPr>
            <w:r w:rsidRPr="00872186">
              <w:rPr>
                <w:rFonts w:ascii="Times New Roman" w:hAnsi="Times New Roman" w:cs="Times New Roman"/>
                <w:sz w:val="24"/>
                <w:szCs w:val="24"/>
              </w:rPr>
              <w:t>B</w:t>
            </w:r>
          </w:p>
        </w:tc>
        <w:tc>
          <w:tcPr>
            <w:tcW w:w="1739" w:type="dxa"/>
            <w:hideMark/>
          </w:tcPr>
          <w:p w14:paraId="47CDCC2C"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Nasarawa North</w:t>
            </w:r>
          </w:p>
        </w:tc>
        <w:tc>
          <w:tcPr>
            <w:tcW w:w="1506" w:type="dxa"/>
            <w:hideMark/>
          </w:tcPr>
          <w:p w14:paraId="3D1E8462"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 xml:space="preserve">Nasarawa </w:t>
            </w:r>
            <w:proofErr w:type="spellStart"/>
            <w:r w:rsidRPr="00872186">
              <w:rPr>
                <w:rFonts w:ascii="Times New Roman" w:hAnsi="Times New Roman" w:cs="Times New Roman"/>
                <w:sz w:val="24"/>
                <w:szCs w:val="24"/>
              </w:rPr>
              <w:t>Eggon</w:t>
            </w:r>
            <w:proofErr w:type="spellEnd"/>
          </w:p>
        </w:tc>
        <w:tc>
          <w:tcPr>
            <w:tcW w:w="1672" w:type="dxa"/>
            <w:hideMark/>
          </w:tcPr>
          <w:p w14:paraId="56C9799E"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110613</w:t>
            </w:r>
          </w:p>
        </w:tc>
        <w:tc>
          <w:tcPr>
            <w:tcW w:w="1076" w:type="dxa"/>
            <w:hideMark/>
          </w:tcPr>
          <w:p w14:paraId="0A4B9052"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1199.34</w:t>
            </w:r>
          </w:p>
        </w:tc>
        <w:tc>
          <w:tcPr>
            <w:tcW w:w="1316" w:type="dxa"/>
            <w:hideMark/>
          </w:tcPr>
          <w:p w14:paraId="0FEC5F2D"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FARMING</w:t>
            </w:r>
          </w:p>
        </w:tc>
        <w:tc>
          <w:tcPr>
            <w:tcW w:w="1739" w:type="dxa"/>
            <w:hideMark/>
          </w:tcPr>
          <w:p w14:paraId="7A0BFC76"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Long; 8.4404</w:t>
            </w:r>
          </w:p>
          <w:p w14:paraId="38E14722"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Lat; 8.7495</w:t>
            </w:r>
          </w:p>
        </w:tc>
      </w:tr>
      <w:tr w:rsidR="009C7109" w:rsidRPr="00872186" w14:paraId="1AB26C94" w14:textId="77777777" w:rsidTr="008F55F6">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745" w:type="dxa"/>
            <w:hideMark/>
          </w:tcPr>
          <w:p w14:paraId="0DFED068" w14:textId="77777777" w:rsidR="009C7109" w:rsidRPr="00872186" w:rsidRDefault="009C7109" w:rsidP="009C7109">
            <w:pPr>
              <w:spacing w:line="480" w:lineRule="auto"/>
              <w:ind w:right="-59"/>
              <w:jc w:val="center"/>
              <w:rPr>
                <w:rFonts w:ascii="Times New Roman" w:hAnsi="Times New Roman" w:cs="Times New Roman"/>
                <w:sz w:val="24"/>
                <w:szCs w:val="24"/>
              </w:rPr>
            </w:pPr>
            <w:r w:rsidRPr="00872186">
              <w:rPr>
                <w:rFonts w:ascii="Times New Roman" w:hAnsi="Times New Roman" w:cs="Times New Roman"/>
                <w:sz w:val="24"/>
                <w:szCs w:val="24"/>
              </w:rPr>
              <w:t>C</w:t>
            </w:r>
          </w:p>
        </w:tc>
        <w:tc>
          <w:tcPr>
            <w:tcW w:w="1739" w:type="dxa"/>
            <w:hideMark/>
          </w:tcPr>
          <w:p w14:paraId="038DE39A"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Nasarawa West</w:t>
            </w:r>
          </w:p>
        </w:tc>
        <w:tc>
          <w:tcPr>
            <w:tcW w:w="1506" w:type="dxa"/>
            <w:hideMark/>
          </w:tcPr>
          <w:p w14:paraId="756138CC"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Kokona</w:t>
            </w:r>
          </w:p>
        </w:tc>
        <w:tc>
          <w:tcPr>
            <w:tcW w:w="1672" w:type="dxa"/>
            <w:hideMark/>
          </w:tcPr>
          <w:p w14:paraId="2DCCF09B"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110591</w:t>
            </w:r>
          </w:p>
        </w:tc>
        <w:tc>
          <w:tcPr>
            <w:tcW w:w="1076" w:type="dxa"/>
            <w:hideMark/>
          </w:tcPr>
          <w:p w14:paraId="2A3745F3"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1847,03</w:t>
            </w:r>
          </w:p>
        </w:tc>
        <w:tc>
          <w:tcPr>
            <w:tcW w:w="1316" w:type="dxa"/>
            <w:hideMark/>
          </w:tcPr>
          <w:p w14:paraId="25833460"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FARMING</w:t>
            </w:r>
          </w:p>
        </w:tc>
        <w:tc>
          <w:tcPr>
            <w:tcW w:w="1739" w:type="dxa"/>
            <w:hideMark/>
          </w:tcPr>
          <w:p w14:paraId="357D0A16"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Long; 8.0611</w:t>
            </w:r>
          </w:p>
          <w:p w14:paraId="18F8C536"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Lat; 8.8556</w:t>
            </w:r>
          </w:p>
        </w:tc>
      </w:tr>
    </w:tbl>
    <w:p w14:paraId="49FC39F0" w14:textId="77777777" w:rsidR="009C7109" w:rsidRDefault="009C7109" w:rsidP="009C7109">
      <w:pPr>
        <w:spacing w:line="240" w:lineRule="auto"/>
        <w:ind w:right="-59"/>
        <w:jc w:val="both"/>
        <w:rPr>
          <w:rFonts w:ascii="Times New Roman" w:eastAsia="Calibri" w:hAnsi="Times New Roman" w:cs="Times New Roman"/>
          <w:sz w:val="24"/>
          <w:szCs w:val="24"/>
        </w:rPr>
      </w:pPr>
      <w:r w:rsidRPr="00872186">
        <w:rPr>
          <w:rFonts w:ascii="Times New Roman" w:eastAsia="Calibri" w:hAnsi="Times New Roman" w:cs="Times New Roman"/>
          <w:b/>
          <w:sz w:val="24"/>
          <w:szCs w:val="24"/>
        </w:rPr>
        <w:t>Source:</w:t>
      </w:r>
      <w:r w:rsidRPr="00872186">
        <w:rPr>
          <w:rFonts w:ascii="Times New Roman" w:eastAsia="Calibri" w:hAnsi="Times New Roman" w:cs="Times New Roman"/>
          <w:sz w:val="24"/>
          <w:szCs w:val="24"/>
        </w:rPr>
        <w:t xml:space="preserve"> Bureau for Land and Survey, 2005 National Population Commission</w:t>
      </w:r>
    </w:p>
    <w:p w14:paraId="3FE36E12" w14:textId="77777777" w:rsidR="000038D7" w:rsidRPr="00872186" w:rsidRDefault="000038D7" w:rsidP="009C7109">
      <w:pPr>
        <w:spacing w:line="240" w:lineRule="auto"/>
        <w:ind w:right="-59"/>
        <w:jc w:val="both"/>
        <w:rPr>
          <w:rFonts w:ascii="Times New Roman" w:eastAsia="Calibri" w:hAnsi="Times New Roman" w:cs="Times New Roman"/>
          <w:b/>
          <w:bCs/>
          <w:sz w:val="24"/>
          <w:szCs w:val="24"/>
        </w:rPr>
      </w:pPr>
    </w:p>
    <w:p w14:paraId="6C4793A9" w14:textId="77777777" w:rsidR="009C7109" w:rsidRPr="00872186" w:rsidRDefault="009C7109" w:rsidP="009C7109">
      <w:pPr>
        <w:spacing w:line="480" w:lineRule="auto"/>
        <w:ind w:right="-59"/>
        <w:jc w:val="both"/>
        <w:rPr>
          <w:rFonts w:ascii="Times New Roman" w:eastAsia="Calibri" w:hAnsi="Times New Roman" w:cs="Times New Roman"/>
          <w:b/>
          <w:sz w:val="24"/>
          <w:szCs w:val="24"/>
        </w:rPr>
      </w:pPr>
    </w:p>
    <w:p w14:paraId="3C422A4E" w14:textId="18DAC28D" w:rsidR="005A654A" w:rsidRPr="000038D7" w:rsidRDefault="008D0415" w:rsidP="000038D7">
      <w:pPr>
        <w:spacing w:line="480" w:lineRule="auto"/>
        <w:ind w:left="720" w:right="-59"/>
        <w:jc w:val="both"/>
        <w:rPr>
          <w:rFonts w:ascii="Times New Roman" w:eastAsia="Calibri" w:hAnsi="Times New Roman" w:cs="Times New Roman"/>
          <w:sz w:val="24"/>
          <w:szCs w:val="24"/>
        </w:rPr>
      </w:pPr>
      <w:r w:rsidRPr="00872186">
        <w:rPr>
          <w:rFonts w:ascii="Times New Roman" w:eastAsia="Calibri" w:hAnsi="Times New Roman" w:cs="Times New Roman"/>
          <w:b/>
          <w:noProof/>
          <w:sz w:val="24"/>
          <w:szCs w:val="24"/>
        </w:rPr>
        <w:lastRenderedPageBreak/>
        <w:drawing>
          <wp:inline distT="0" distB="0" distL="0" distR="0" wp14:anchorId="72CAC737" wp14:editId="68497E64">
            <wp:extent cx="5772150" cy="3318510"/>
            <wp:effectExtent l="0" t="0" r="0" b="0"/>
            <wp:docPr id="1044" name="Picture 24" descr="Description: AH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4"/>
                    <pic:cNvPicPr/>
                  </pic:nvPicPr>
                  <pic:blipFill>
                    <a:blip r:embed="rId7" cstate="print"/>
                    <a:srcRect/>
                    <a:stretch/>
                  </pic:blipFill>
                  <pic:spPr>
                    <a:xfrm>
                      <a:off x="0" y="0"/>
                      <a:ext cx="5772150" cy="3318510"/>
                    </a:xfrm>
                    <a:prstGeom prst="rect">
                      <a:avLst/>
                    </a:prstGeom>
                    <a:ln>
                      <a:noFill/>
                    </a:ln>
                  </pic:spPr>
                </pic:pic>
              </a:graphicData>
            </a:graphic>
          </wp:inline>
        </w:drawing>
      </w:r>
      <w:r w:rsidR="000038D7">
        <w:rPr>
          <w:rFonts w:ascii="Times New Roman" w:eastAsia="Calibri" w:hAnsi="Times New Roman" w:cs="Times New Roman"/>
          <w:sz w:val="24"/>
          <w:szCs w:val="24"/>
        </w:rPr>
        <w:t xml:space="preserve">                                    </w:t>
      </w:r>
      <w:r w:rsidR="005A654A" w:rsidRPr="00872186">
        <w:rPr>
          <w:rFonts w:ascii="Times New Roman" w:eastAsia="Calibri" w:hAnsi="Times New Roman" w:cs="Times New Roman"/>
          <w:b/>
          <w:sz w:val="24"/>
          <w:szCs w:val="24"/>
        </w:rPr>
        <w:t>Figure 1</w:t>
      </w:r>
      <w:r w:rsidR="005A654A" w:rsidRPr="00872186">
        <w:rPr>
          <w:rFonts w:ascii="Times New Roman" w:eastAsia="Calibri" w:hAnsi="Times New Roman" w:cs="Times New Roman"/>
          <w:sz w:val="24"/>
          <w:szCs w:val="24"/>
        </w:rPr>
        <w:t xml:space="preserve">: </w:t>
      </w:r>
      <w:r w:rsidR="005A654A">
        <w:rPr>
          <w:rFonts w:ascii="Times New Roman" w:eastAsia="Calibri" w:hAnsi="Times New Roman" w:cs="Times New Roman"/>
          <w:bCs/>
          <w:sz w:val="24"/>
          <w:szCs w:val="24"/>
        </w:rPr>
        <w:t>study area map showing sampled points.</w:t>
      </w:r>
    </w:p>
    <w:p w14:paraId="46E27189" w14:textId="2611FD5E" w:rsidR="009C7109" w:rsidRPr="00913CAE" w:rsidRDefault="009C7109" w:rsidP="00913CAE">
      <w:pPr>
        <w:autoSpaceDE w:val="0"/>
        <w:autoSpaceDN w:val="0"/>
        <w:adjustRightInd w:val="0"/>
        <w:spacing w:after="100" w:afterAutospacing="1" w:line="360" w:lineRule="auto"/>
        <w:ind w:right="-153"/>
        <w:jc w:val="both"/>
        <w:rPr>
          <w:rFonts w:ascii="Times New Roman" w:eastAsia="Times New Roman" w:hAnsi="Times New Roman" w:cs="Times New Roman"/>
          <w:sz w:val="24"/>
          <w:szCs w:val="24"/>
        </w:rPr>
      </w:pPr>
      <w:r w:rsidRPr="00872186">
        <w:rPr>
          <w:rFonts w:ascii="Times New Roman" w:eastAsia="Calibri" w:hAnsi="Times New Roman" w:cs="Times New Roman"/>
          <w:b/>
          <w:sz w:val="24"/>
          <w:szCs w:val="24"/>
        </w:rPr>
        <w:t>Methods</w:t>
      </w:r>
      <w:bookmarkStart w:id="1" w:name="_Toc77899930"/>
    </w:p>
    <w:p w14:paraId="782A6E75" w14:textId="77777777" w:rsidR="009C7109" w:rsidRPr="00872186" w:rsidRDefault="009C7109" w:rsidP="00BB5DD9">
      <w:pPr>
        <w:autoSpaceDE w:val="0"/>
        <w:autoSpaceDN w:val="0"/>
        <w:adjustRightInd w:val="0"/>
        <w:spacing w:after="0" w:line="480" w:lineRule="auto"/>
        <w:ind w:right="-153"/>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The analytical methods adopted for this research were those that reflect best and international procedures as described below</w:t>
      </w:r>
      <w:bookmarkEnd w:id="1"/>
      <w:r w:rsidRPr="00872186">
        <w:rPr>
          <w:rFonts w:ascii="Times New Roman" w:eastAsia="Calibri" w:hAnsi="Times New Roman" w:cs="Times New Roman"/>
          <w:sz w:val="24"/>
          <w:szCs w:val="24"/>
        </w:rPr>
        <w:t>:</w:t>
      </w:r>
    </w:p>
    <w:p w14:paraId="0EDC689B" w14:textId="59F81381" w:rsidR="009C7109" w:rsidRPr="00872186" w:rsidRDefault="00964CE5" w:rsidP="009C7109">
      <w:pPr>
        <w:spacing w:line="480" w:lineRule="auto"/>
        <w:ind w:right="-59"/>
        <w:jc w:val="both"/>
        <w:rPr>
          <w:rFonts w:ascii="Times New Roman" w:eastAsia="Calibri" w:hAnsi="Times New Roman" w:cs="Times New Roman"/>
          <w:b/>
          <w:sz w:val="24"/>
          <w:szCs w:val="24"/>
        </w:rPr>
      </w:pPr>
      <w:r w:rsidRPr="00872186">
        <w:rPr>
          <w:rFonts w:ascii="Times New Roman" w:eastAsia="Calibri" w:hAnsi="Times New Roman" w:cs="Times New Roman"/>
          <w:b/>
          <w:sz w:val="24"/>
          <w:szCs w:val="24"/>
        </w:rPr>
        <w:t xml:space="preserve"> </w:t>
      </w:r>
      <w:r w:rsidR="009C7109" w:rsidRPr="00872186">
        <w:rPr>
          <w:rFonts w:ascii="Times New Roman" w:eastAsia="Calibri" w:hAnsi="Times New Roman" w:cs="Times New Roman"/>
          <w:b/>
          <w:sz w:val="24"/>
          <w:szCs w:val="24"/>
        </w:rPr>
        <w:t>Sampling</w:t>
      </w:r>
    </w:p>
    <w:p w14:paraId="38A5BD94" w14:textId="459796F2" w:rsidR="009C7109" w:rsidRPr="00872186" w:rsidRDefault="009C7109" w:rsidP="00BB5DD9">
      <w:pPr>
        <w:tabs>
          <w:tab w:val="left" w:pos="1590"/>
        </w:tabs>
        <w:spacing w:line="480" w:lineRule="auto"/>
        <w:ind w:right="-59"/>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The objective was to analyze    the minimum number of representative samples to achieve an average with precision of better than 10 % using the iterative approach described by Kratochvil and Taylor (1981) to determine the number of samples to be collected to meet the data Quality Objectives. Several samples of soil (0 – 30cm) were collected within Awe (Nasarawa South designated as NS1, NS2, NS3, NS4, NS5, </w:t>
      </w:r>
      <w:r w:rsidR="008176A2">
        <w:rPr>
          <w:rFonts w:ascii="Times New Roman" w:eastAsia="Calibri" w:hAnsi="Times New Roman" w:cs="Times New Roman"/>
          <w:sz w:val="24"/>
          <w:szCs w:val="24"/>
        </w:rPr>
        <w:t xml:space="preserve"> and </w:t>
      </w:r>
      <w:r w:rsidRPr="00872186">
        <w:rPr>
          <w:rFonts w:ascii="Times New Roman" w:eastAsia="Calibri" w:hAnsi="Times New Roman" w:cs="Times New Roman"/>
          <w:sz w:val="24"/>
          <w:szCs w:val="24"/>
        </w:rPr>
        <w:t xml:space="preserve">NS6,; Nasarawa </w:t>
      </w:r>
      <w:proofErr w:type="spellStart"/>
      <w:r w:rsidRPr="00872186">
        <w:rPr>
          <w:rFonts w:ascii="Times New Roman" w:eastAsia="Calibri" w:hAnsi="Times New Roman" w:cs="Times New Roman"/>
          <w:sz w:val="24"/>
          <w:szCs w:val="24"/>
        </w:rPr>
        <w:t>Eggon</w:t>
      </w:r>
      <w:proofErr w:type="spellEnd"/>
      <w:r w:rsidRPr="00872186">
        <w:rPr>
          <w:rFonts w:ascii="Times New Roman" w:eastAsia="Calibri" w:hAnsi="Times New Roman" w:cs="Times New Roman"/>
          <w:sz w:val="24"/>
          <w:szCs w:val="24"/>
        </w:rPr>
        <w:t xml:space="preserve"> (Nasarawa North designated as </w:t>
      </w:r>
      <w:r w:rsidRPr="008561B7">
        <w:rPr>
          <w:rFonts w:ascii="Times New Roman" w:eastAsia="Calibri" w:hAnsi="Times New Roman" w:cs="Times New Roman"/>
          <w:sz w:val="24"/>
          <w:szCs w:val="24"/>
        </w:rPr>
        <w:t xml:space="preserve">NN1, NN2, NN3, NN4, </w:t>
      </w:r>
      <w:r w:rsidRPr="00872186">
        <w:rPr>
          <w:rFonts w:ascii="Times New Roman" w:eastAsia="Calibri" w:hAnsi="Times New Roman" w:cs="Times New Roman"/>
          <w:sz w:val="24"/>
          <w:szCs w:val="24"/>
        </w:rPr>
        <w:t xml:space="preserve">NN5, </w:t>
      </w:r>
      <w:r w:rsidR="008176A2">
        <w:rPr>
          <w:rFonts w:ascii="Times New Roman" w:eastAsia="Calibri" w:hAnsi="Times New Roman" w:cs="Times New Roman"/>
          <w:sz w:val="24"/>
          <w:szCs w:val="24"/>
        </w:rPr>
        <w:t xml:space="preserve">and </w:t>
      </w:r>
      <w:r w:rsidRPr="00872186">
        <w:rPr>
          <w:rFonts w:ascii="Times New Roman" w:eastAsia="Calibri" w:hAnsi="Times New Roman" w:cs="Times New Roman"/>
          <w:sz w:val="24"/>
          <w:szCs w:val="24"/>
        </w:rPr>
        <w:t xml:space="preserve">NN6, and Kokona (Nasarawa West designated as NW1, NW2, NW3, NW4, NW5, </w:t>
      </w:r>
      <w:r w:rsidR="008176A2">
        <w:rPr>
          <w:rFonts w:ascii="Times New Roman" w:eastAsia="Calibri" w:hAnsi="Times New Roman" w:cs="Times New Roman"/>
          <w:sz w:val="24"/>
          <w:szCs w:val="24"/>
        </w:rPr>
        <w:t xml:space="preserve">and </w:t>
      </w:r>
      <w:r w:rsidRPr="00872186">
        <w:rPr>
          <w:rFonts w:ascii="Times New Roman" w:eastAsia="Calibri" w:hAnsi="Times New Roman" w:cs="Times New Roman"/>
          <w:sz w:val="24"/>
          <w:szCs w:val="24"/>
        </w:rPr>
        <w:t>NW6</w:t>
      </w:r>
      <w:r w:rsidR="008176A2">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 xml:space="preserve"> prior to the application of the herbicides in the fields using chain referral sampling technique at designated points using the formulae:</w:t>
      </w:r>
    </w:p>
    <w:p w14:paraId="4966A43E" w14:textId="3BC410EF" w:rsidR="009C7109" w:rsidRPr="008561B7" w:rsidRDefault="009C7109" w:rsidP="009C7109">
      <w:pPr>
        <w:rPr>
          <w:rFonts w:ascii="Times New Roman" w:eastAsia="Calibri" w:hAnsi="Times New Roman" w:cs="Times New Roman"/>
          <w:sz w:val="24"/>
          <w:szCs w:val="24"/>
          <w:lang w:val="pt-PT"/>
        </w:rPr>
      </w:pPr>
      <w:r w:rsidRPr="00872186">
        <w:rPr>
          <w:rFonts w:ascii="Times New Roman" w:eastAsia="Calibri" w:hAnsi="Times New Roman" w:cs="Times New Roman"/>
          <w:sz w:val="24"/>
          <w:szCs w:val="24"/>
        </w:rPr>
        <w:lastRenderedPageBreak/>
        <w:tab/>
      </w:r>
      <w:r w:rsidRPr="00872186">
        <w:rPr>
          <w:rFonts w:ascii="Times New Roman" w:eastAsia="Calibri" w:hAnsi="Times New Roman" w:cs="Times New Roman"/>
          <w:sz w:val="24"/>
          <w:szCs w:val="24"/>
        </w:rPr>
        <w:tab/>
      </w:r>
      <w:r w:rsidRPr="008561B7">
        <w:rPr>
          <w:rFonts w:ascii="Times New Roman" w:eastAsia="Calibri" w:hAnsi="Times New Roman" w:cs="Times New Roman"/>
          <w:sz w:val="24"/>
          <w:szCs w:val="24"/>
          <w:lang w:val="pt-PT"/>
        </w:rPr>
        <w:t xml:space="preserve">n </w:t>
      </w:r>
      <m:oMath>
        <m:r>
          <w:rPr>
            <w:rFonts w:ascii="Cambria Math" w:eastAsia="Calibri" w:hAnsi="Cambria Math" w:cs="Times New Roman"/>
            <w:sz w:val="24"/>
            <w:szCs w:val="24"/>
            <w:lang w:val="pt-PT"/>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lang w:val="pt-PT"/>
              </w:rPr>
              <m:t>[</m:t>
            </m:r>
            <m:r>
              <w:rPr>
                <w:rFonts w:ascii="Cambria Math" w:eastAsia="Calibri" w:hAnsi="Cambria Math" w:cs="Times New Roman"/>
                <w:sz w:val="24"/>
                <w:szCs w:val="24"/>
              </w:rPr>
              <m:t>Z</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Z</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P</m:t>
            </m:r>
            <m:d>
              <m:dPr>
                <m:ctrlPr>
                  <w:rPr>
                    <w:rFonts w:ascii="Cambria Math" w:eastAsia="Calibri" w:hAnsi="Cambria Math" w:cs="Times New Roman"/>
                    <w:i/>
                    <w:sz w:val="24"/>
                    <w:szCs w:val="24"/>
                  </w:rPr>
                </m:ctrlPr>
              </m:dPr>
              <m:e>
                <m:r>
                  <w:rPr>
                    <w:rFonts w:ascii="Cambria Math" w:eastAsia="Calibri" w:hAnsi="Cambria Math" w:cs="Times New Roman"/>
                    <w:sz w:val="24"/>
                    <w:szCs w:val="24"/>
                    <w:lang w:val="pt-PT"/>
                  </w:rPr>
                  <m:t>1-</m:t>
                </m:r>
                <m:r>
                  <w:rPr>
                    <w:rFonts w:ascii="Cambria Math" w:eastAsia="Calibri" w:hAnsi="Cambria Math" w:cs="Times New Roman"/>
                    <w:sz w:val="24"/>
                    <w:szCs w:val="24"/>
                  </w:rPr>
                  <m:t>P</m:t>
                </m:r>
              </m:e>
            </m:d>
            <m:r>
              <w:rPr>
                <w:rFonts w:ascii="Cambria Math" w:eastAsia="Calibri" w:hAnsi="Cambria Math" w:cs="Times New Roman"/>
                <w:sz w:val="24"/>
                <w:szCs w:val="24"/>
                <w:lang w:val="pt-PT"/>
              </w:rPr>
              <m:t>]</m:t>
            </m:r>
          </m:num>
          <m:den>
            <m:r>
              <w:rPr>
                <w:rFonts w:ascii="Cambria Math" w:eastAsia="Calibri" w:hAnsi="Cambria Math" w:cs="Times New Roman"/>
                <w:sz w:val="24"/>
                <w:szCs w:val="24"/>
              </w:rPr>
              <m:t>E</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E</m:t>
            </m:r>
          </m:den>
        </m:f>
      </m:oMath>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t>(1)</w:t>
      </w:r>
    </w:p>
    <w:p w14:paraId="01B7B153" w14:textId="77777777" w:rsidR="009C7109" w:rsidRPr="00872186" w:rsidRDefault="009C7109" w:rsidP="009C7109">
      <w:pPr>
        <w:spacing w:line="360" w:lineRule="auto"/>
        <w:ind w:left="720" w:firstLine="6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where n = sample size, Z = desired confidence interval, P = estimated population proportion and E = margin of error.</w:t>
      </w:r>
    </w:p>
    <w:p w14:paraId="4181365A" w14:textId="77777777" w:rsidR="00E974AE" w:rsidRDefault="009C7109" w:rsidP="00C01474">
      <w:pPr>
        <w:spacing w:after="0" w:line="480" w:lineRule="auto"/>
        <w:ind w:right="-59"/>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The entire soil samples totaling 9.0 kg (about 3.0kg each) was transported in black polythene bags to the Chemistry Laboratory, TAAL Environmental/Analytical laboratory Lafia and air-dried (7 days) in a dust-free wood cupboard. The samples were carefully crushed/sieved through a 2 mm sieve and the fractions of the soil that were &lt; 2mm was kept aside for sorption experiments. </w:t>
      </w:r>
      <w:bookmarkStart w:id="2" w:name="_Toc67443806"/>
      <w:bookmarkStart w:id="3" w:name="_Toc74649301"/>
      <w:bookmarkStart w:id="4" w:name="_Toc77899934"/>
      <w:r w:rsidRPr="00872186">
        <w:rPr>
          <w:rFonts w:ascii="Times New Roman" w:eastAsia="Calibri" w:hAnsi="Times New Roman" w:cs="Times New Roman"/>
          <w:sz w:val="24"/>
          <w:szCs w:val="24"/>
        </w:rPr>
        <w:t xml:space="preserve"> </w:t>
      </w:r>
      <w:bookmarkEnd w:id="2"/>
      <w:bookmarkEnd w:id="3"/>
      <w:bookmarkEnd w:id="4"/>
    </w:p>
    <w:p w14:paraId="769EFE66" w14:textId="43B09463" w:rsidR="00354649" w:rsidRPr="00E974AE" w:rsidRDefault="00354649" w:rsidP="00C01474">
      <w:pPr>
        <w:spacing w:after="0" w:line="480" w:lineRule="auto"/>
        <w:ind w:right="-59"/>
        <w:jc w:val="both"/>
        <w:rPr>
          <w:rFonts w:ascii="Times New Roman" w:eastAsia="Calibri" w:hAnsi="Times New Roman" w:cs="Times New Roman"/>
          <w:sz w:val="24"/>
          <w:szCs w:val="24"/>
        </w:rPr>
      </w:pPr>
      <w:r w:rsidRPr="00872186">
        <w:rPr>
          <w:rFonts w:ascii="Times New Roman" w:eastAsia="Times New Roman" w:hAnsi="Times New Roman" w:cs="Times New Roman"/>
          <w:b/>
          <w:bCs/>
          <w:sz w:val="24"/>
          <w:szCs w:val="24"/>
        </w:rPr>
        <w:t>Soil Analysis</w:t>
      </w:r>
    </w:p>
    <w:p w14:paraId="352B22E5" w14:textId="40896EA0" w:rsidR="00784E98" w:rsidRPr="00872186" w:rsidRDefault="00784E98" w:rsidP="00784E98">
      <w:pPr>
        <w:spacing w:line="480" w:lineRule="auto"/>
        <w:jc w:val="both"/>
        <w:rPr>
          <w:rFonts w:ascii="Times New Roman" w:eastAsia="Times New Roman" w:hAnsi="Times New Roman" w:cs="Times New Roman"/>
          <w:b/>
          <w:sz w:val="24"/>
          <w:szCs w:val="24"/>
        </w:rPr>
      </w:pPr>
      <w:r w:rsidRPr="00872186">
        <w:rPr>
          <w:rFonts w:ascii="Times New Roman" w:eastAsia="Times New Roman" w:hAnsi="Times New Roman" w:cs="Times New Roman"/>
          <w:b/>
          <w:sz w:val="24"/>
          <w:szCs w:val="24"/>
        </w:rPr>
        <w:t>Physicochemical Parameters of the Soil Samples</w:t>
      </w:r>
    </w:p>
    <w:p w14:paraId="60A7D7DF" w14:textId="0869222D" w:rsidR="00784E98" w:rsidRPr="00872186" w:rsidRDefault="00784E98" w:rsidP="00C01474">
      <w:pPr>
        <w:spacing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 xml:space="preserve">The standard American Public Health Organization (APHO) and Agricultural Society of Testing and Materials (ASTM) protocols and methods were used to measure the physicochemical parameters of the soil samples in line with </w:t>
      </w:r>
      <w:r w:rsidRPr="00872186">
        <w:rPr>
          <w:rFonts w:ascii="Times New Roman" w:eastAsia="Times New Roman" w:hAnsi="Times New Roman" w:cs="Times New Roman"/>
          <w:sz w:val="24"/>
          <w:szCs w:val="24"/>
        </w:rPr>
        <w:fldChar w:fldCharType="begin"/>
      </w:r>
      <w:r w:rsidRPr="00872186">
        <w:rPr>
          <w:rFonts w:ascii="Times New Roman" w:eastAsia="Times New Roman" w:hAnsi="Times New Roman" w:cs="Times New Roman"/>
          <w:sz w:val="24"/>
          <w:szCs w:val="24"/>
        </w:rPr>
        <w:instrText>ADDIN CSL_CITATION {"citationItems":[{"id":"ITEM-1","itemData":{"DOI":"10.3390/environments9080105","ISBN":"2076-3298","abstract":"This study aimed to evaluate soil physicochemical characteristics (pH, electrical conductivity, organic matter, total N, and extractable P and K), and potentially toxic elements (As, Cu, Pb, and Zn), in non-active mines located in the Portuguese sector of the Iberian Pyrite Belt (IPB). A total of 70 sampling sites were surveyed at Aljustrel and Lousal, in areas already rehabilitated, and at São Domingos, where rehabilitation was only beginning. The soils at São Domingos were very heterogeneous, with extreme values for some properties (e.g., minimum soil pH 2.0 and maximum As concentration, 4382.8 mg kg−1 dry weight basis (DW)). Aljustrel was the site that presented soils with a higher total As, Cu, Pb, and Zn concentration (median values: 441.5, 545.9, 1396.8, and 316.5 mg kg−1 DW, respectively), above the soil quality guidelines values proposed by the Portuguese Environmental Agency (18, 230, 120, and 340 mg kg−1 DW, respectively). A principal component analysis identified the most relevant soil properties to explain the data variance, which were the soil pH and Pb total concentration, followed by Cu and Zn total concentrations, allowing a separation of Aljustrel from the other mines. Pearson correlation coefficients revealed very strong associations between Pb and As, markedly found at higher concentrations in São Domingos, whereas Aljustrel had an elevated concentration of As and Pb, but also of Cu and Zn. It is evident the risk that persists in the Aljustrel mine area, which was not alleviated by the “dig, dump, and cover” techniques that were implemented to rehabilitate the area.","author":[{"dropping-particle":"","family":"Alvarenga","given":"Paula","non-dropping-particle":"","parse-names":false,"suffix":""},{"dropping-particle":"","family":"Mourinha","given":"Clarisse","non-dropping-particle":"","parse-names":false,"suffix":""},{"dropping-particle":"","family":"Palma","given":"Patrícia","non-dropping-particle":"","parse-names":false,"suffix":""},{"dropping-particle":"","family":"Cruz","given":"Nuno","non-dropping-particle":"","parse-names":false,"suffix":""},{"dropping-particle":"","family":"Rodrigues","given":"Sónia M","non-dropping-particle":"","parse-names":false,"suffix":""}],"container-title":"Environments","id":"ITEM-1","issue":"8","issued":{"date-parts":[["2022"]]},"title":"Assessment of Soil Physicochemical Characteristics and As, Cu, Pb and Zn Contamination in Non-Active Mines at the Portuguese Sector of the Iberian Pyrite Belt","type":"article","volume":"9"},"uris":["http://www.mendeley.com/documents/?uuid=ff275a8d-0aca-4f91-8743-d2683c3d02b3"]}],"mendeley":{"formattedCitation":"(Alvarenga et al., 2022)","manualFormatting":"Alvarenga et al., (2022)","plainTextFormattedCitation":"(Alvarenga et al., 2022)","previouslyFormattedCitation":"(Alvarenga et al., 2022)"},"properties":{"noteIndex":0},"schema":"https://github.com/citation-style-language/schema/raw/master/csl-citation.json"}</w:instrText>
      </w:r>
      <w:r w:rsidRPr="00872186">
        <w:rPr>
          <w:rFonts w:ascii="Times New Roman" w:eastAsia="Times New Roman" w:hAnsi="Times New Roman" w:cs="Times New Roman"/>
          <w:sz w:val="24"/>
          <w:szCs w:val="24"/>
        </w:rPr>
        <w:fldChar w:fldCharType="separate"/>
      </w:r>
      <w:r w:rsidRPr="00872186">
        <w:rPr>
          <w:rFonts w:ascii="Times New Roman" w:eastAsia="Times New Roman" w:hAnsi="Times New Roman" w:cs="Times New Roman"/>
          <w:noProof/>
          <w:sz w:val="24"/>
          <w:szCs w:val="24"/>
        </w:rPr>
        <w:t xml:space="preserve">Alvarenga </w:t>
      </w:r>
      <w:r w:rsidRPr="00872186">
        <w:rPr>
          <w:rFonts w:ascii="Times New Roman" w:eastAsia="Times New Roman" w:hAnsi="Times New Roman" w:cs="Times New Roman"/>
          <w:i/>
          <w:iCs/>
          <w:noProof/>
          <w:sz w:val="24"/>
          <w:szCs w:val="24"/>
        </w:rPr>
        <w:t>et al</w:t>
      </w:r>
      <w:r w:rsidRPr="00872186">
        <w:rPr>
          <w:rFonts w:ascii="Times New Roman" w:eastAsia="Times New Roman" w:hAnsi="Times New Roman" w:cs="Times New Roman"/>
          <w:noProof/>
          <w:sz w:val="24"/>
          <w:szCs w:val="24"/>
        </w:rPr>
        <w:t>. (2022)</w:t>
      </w:r>
      <w:r w:rsidRPr="00872186">
        <w:rPr>
          <w:rFonts w:ascii="Times New Roman" w:eastAsia="Times New Roman" w:hAnsi="Times New Roman" w:cs="Times New Roman"/>
          <w:sz w:val="24"/>
          <w:szCs w:val="24"/>
        </w:rPr>
        <w:fldChar w:fldCharType="end"/>
      </w:r>
      <w:r w:rsidRPr="00872186">
        <w:rPr>
          <w:rFonts w:ascii="Times New Roman" w:eastAsia="Times New Roman" w:hAnsi="Times New Roman" w:cs="Times New Roman"/>
          <w:sz w:val="24"/>
          <w:szCs w:val="24"/>
        </w:rPr>
        <w:t xml:space="preserve">. </w:t>
      </w:r>
    </w:p>
    <w:p w14:paraId="22116DF0" w14:textId="6C75E78D" w:rsidR="00784E98" w:rsidRPr="00872186" w:rsidRDefault="00964CE5" w:rsidP="00784E98">
      <w:pPr>
        <w:spacing w:line="480" w:lineRule="auto"/>
        <w:jc w:val="both"/>
        <w:rPr>
          <w:rFonts w:ascii="Times New Roman" w:eastAsia="Calibri" w:hAnsi="Times New Roman" w:cs="Times New Roman"/>
          <w:sz w:val="24"/>
          <w:szCs w:val="24"/>
        </w:rPr>
      </w:pPr>
      <w:r w:rsidRPr="00872186">
        <w:rPr>
          <w:rFonts w:ascii="Times New Roman" w:eastAsia="Calibri" w:hAnsi="Times New Roman" w:cs="Times New Roman"/>
          <w:b/>
          <w:bCs/>
          <w:sz w:val="24"/>
          <w:szCs w:val="24"/>
        </w:rPr>
        <w:t xml:space="preserve"> </w:t>
      </w:r>
      <w:r w:rsidR="00784E98" w:rsidRPr="00872186">
        <w:rPr>
          <w:rFonts w:ascii="Times New Roman" w:eastAsia="Calibri" w:hAnsi="Times New Roman" w:cs="Times New Roman"/>
          <w:b/>
          <w:bCs/>
          <w:sz w:val="24"/>
          <w:szCs w:val="24"/>
        </w:rPr>
        <w:t>Soil texture</w:t>
      </w:r>
      <w:r w:rsidR="00784E98" w:rsidRPr="00872186">
        <w:rPr>
          <w:rFonts w:ascii="Times New Roman" w:eastAsia="Calibri" w:hAnsi="Times New Roman" w:cs="Times New Roman"/>
          <w:sz w:val="24"/>
          <w:szCs w:val="24"/>
        </w:rPr>
        <w:t xml:space="preserve"> </w:t>
      </w:r>
    </w:p>
    <w:p w14:paraId="11B3678F" w14:textId="77777777" w:rsidR="00784E98" w:rsidRPr="00872186" w:rsidRDefault="00784E98" w:rsidP="00C01474">
      <w:pPr>
        <w:spacing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The particle size distribution of soil expresses the proportions of the various size classes (clay &lt; 0.002 mm, silt 0.002 – 0.02 mm, and sand 0.02 – 2.0 mm particle size), commonly represented by weight percentages of the total soil. The proportions of these fractions were determined by the hydrometer method </w:t>
      </w:r>
      <w:r w:rsidRPr="00872186">
        <w:rPr>
          <w:rFonts w:ascii="Times New Roman" w:eastAsia="Calibri" w:hAnsi="Times New Roman" w:cs="Times New Roman"/>
          <w:sz w:val="24"/>
          <w:szCs w:val="24"/>
        </w:rPr>
        <w:fldChar w:fldCharType="begin"/>
      </w:r>
      <w:r w:rsidRPr="00872186">
        <w:rPr>
          <w:rFonts w:ascii="Times New Roman" w:eastAsia="Calibri" w:hAnsi="Times New Roman" w:cs="Times New Roman"/>
          <w:sz w:val="24"/>
          <w:szCs w:val="24"/>
        </w:rPr>
        <w:instrText>ADDIN CSL_CITATION {"citationItems":[{"id":"ITEM-1","itemData":{"DOI":"10.3390/agriengineering7070229","ISBN":"2624-7402","abstract":"The present study implements novel innovative geostatistical imaging using precision agriculture (PA) under sugarbeet field conditions. Two driplines layout designs (d.l.d.) and soil water content (SWC)–irrigation treatments (A: d.l.d. = 1.00 m driplines spacing × 0.50 m emitters inline spacing; B: d.l.d. = 1.50 m driplines spacing × 0.50 m emitters inline spacing) were applied, with two subfactors of clay loam and clay soils (laboratory soil analysis) for modeling (evaluation of seven models) TDR multi-sensor network measurements. Different sensor calibration methods [method 1(M1) = according to factory; method 2 (M2) = according to Hook and Livingston] were applied for the geospatial two-dimensional (2D) imaging of accurate GIS maps of rootzone soil moisture profiles, soil apparent dielectric Ka profiles, and granular and hydraulic parameters profiles, in multiple soil layers (0–75 cm depth). The modeling results revealed that the best-fitted geostatistical model for soil apparent dielectric Ka was the Gaussian model, while spherical and exponential models were identified to be the most appropriate for kriging modelling, and spatial and temporal imaging was used for accurate profile SWC θvTDR (m3·m−3) M1 and M2 maps using TDR sensors. The resulting PA profile map images depict the spatio-temporal soil water and apparent dielectric Ka variability at very high resolutions on a centimeter scale. The best geostatistical validation measures for the PA profile SWC θvTDR maps obtained were MPE = −0.00248 (m3·m−3), RMSE = 0.0395 (m3·m−3), MSPE = −0.0288, RMSSE = 2.5424, ASE = 0.0433, Nash–Sutcliffe model efficiency NSE = 0.6229, and MSDR = 0.9937. Based on the results, we recommend d.l.d. A and sensor calibration method 2 for the geospatial 2D imaging of PA GIS maps because these were found to be more accurate, with the lowest statistical and geostatistical errors, and the best validation measures for accurate profile SWC imaging were obtained for clay loam over clay soils. Visualizing sensors’ soil moisture results via geostatistical maps of rootzone profiles have practical implications that assist farmers and scientists in making informed, better and timely environmental irrigation engineering decisions, to save irrigation water, increase water use efficiency and crop production, optimize energy, reduce crop costs, and manage water resources sustainably.","author":[{"dropping-particle":"","family":"Filintas","given":"Agathos","non-dropping-particle":"","parse-names":false,"suffix":""}],"container-title":"AgriEngineering","id":"ITEM-1","issue":"7","issued":{"date-parts":[["2025"]]},"title":"Driplines Layout Designs Comparison of Moisture Distribution in Clayey Soils, Using Soil Analysis, Calibrated Time Domain Reflectometry Sensors, and Precision Agriculture Geostatistical Imaging for Environmental Irrigation Engineering","type":"article","volume":"7"},"uris":["http://www.mendeley.com/documents/?uuid=4bfc0e6e-0722-4e92-9077-d68ba0317805"]}],"mendeley":{"formattedCitation":"(Filintas, 2025)","plainTextFormattedCitation":"(Filintas, 2025)","previouslyFormattedCitation":"(Filintas, 2025)"},"properties":{"noteIndex":0},"schema":"https://github.com/citation-style-language/schema/raw/master/csl-citation.json"}</w:instrText>
      </w:r>
      <w:r w:rsidRPr="00872186">
        <w:rPr>
          <w:rFonts w:ascii="Times New Roman" w:eastAsia="Calibri" w:hAnsi="Times New Roman" w:cs="Times New Roman"/>
          <w:sz w:val="24"/>
          <w:szCs w:val="24"/>
        </w:rPr>
        <w:fldChar w:fldCharType="separate"/>
      </w:r>
      <w:r w:rsidRPr="00872186">
        <w:rPr>
          <w:rFonts w:ascii="Times New Roman" w:eastAsia="Calibri" w:hAnsi="Times New Roman" w:cs="Times New Roman"/>
          <w:noProof/>
          <w:sz w:val="24"/>
          <w:szCs w:val="24"/>
        </w:rPr>
        <w:t>(Filintas, 2025)</w:t>
      </w:r>
      <w:r w:rsidRPr="00872186">
        <w:rPr>
          <w:rFonts w:ascii="Times New Roman" w:eastAsia="Calibri" w:hAnsi="Times New Roman" w:cs="Times New Roman"/>
          <w:sz w:val="24"/>
          <w:szCs w:val="24"/>
        </w:rPr>
        <w:fldChar w:fldCharType="end"/>
      </w:r>
      <w:r w:rsidRPr="00872186">
        <w:rPr>
          <w:rFonts w:ascii="Times New Roman" w:eastAsia="Calibri" w:hAnsi="Times New Roman" w:cs="Times New Roman"/>
          <w:sz w:val="24"/>
          <w:szCs w:val="24"/>
        </w:rPr>
        <w:t xml:space="preserve"> based on Stokes`s Law which states that the rate of fall of particles in a suspension is directly proportional to their size. The soil texture was determined by ASTM 152-H hydrometer.</w:t>
      </w:r>
    </w:p>
    <w:p w14:paraId="2A98847C" w14:textId="17EB10CC" w:rsidR="00784E98" w:rsidRPr="00872186" w:rsidRDefault="00784E98" w:rsidP="00784E98">
      <w:pPr>
        <w:spacing w:line="480" w:lineRule="auto"/>
        <w:jc w:val="both"/>
        <w:rPr>
          <w:rFonts w:ascii="Times New Roman" w:eastAsia="Calibri" w:hAnsi="Times New Roman" w:cs="Times New Roman"/>
          <w:sz w:val="24"/>
          <w:szCs w:val="24"/>
        </w:rPr>
      </w:pPr>
      <w:r w:rsidRPr="00872186">
        <w:rPr>
          <w:rFonts w:ascii="Times New Roman" w:eastAsia="Calibri" w:hAnsi="Times New Roman" w:cs="Times New Roman"/>
          <w:b/>
          <w:bCs/>
          <w:sz w:val="24"/>
          <w:szCs w:val="24"/>
        </w:rPr>
        <w:t>Moisture content</w:t>
      </w:r>
    </w:p>
    <w:p w14:paraId="381F50FB" w14:textId="77777777" w:rsidR="00784E98" w:rsidRPr="00872186" w:rsidRDefault="00784E98" w:rsidP="00C01474">
      <w:pPr>
        <w:spacing w:line="480" w:lineRule="auto"/>
        <w:jc w:val="both"/>
        <w:rPr>
          <w:rFonts w:ascii="Times New Roman" w:eastAsia="MS Gothic" w:hAnsi="Times New Roman" w:cs="Times New Roman"/>
          <w:bCs/>
          <w:sz w:val="24"/>
          <w:szCs w:val="24"/>
        </w:rPr>
      </w:pPr>
      <w:r w:rsidRPr="00872186">
        <w:rPr>
          <w:rFonts w:ascii="Times New Roman" w:eastAsia="Calibri" w:hAnsi="Times New Roman" w:cs="Times New Roman"/>
          <w:sz w:val="24"/>
          <w:szCs w:val="24"/>
        </w:rPr>
        <w:lastRenderedPageBreak/>
        <w:t xml:space="preserve">A porcelain crucible was placed in Ari J. Levy oven at a temperature of 105 </w:t>
      </w:r>
      <w:proofErr w:type="spellStart"/>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C</w:t>
      </w:r>
      <w:proofErr w:type="spellEnd"/>
      <w:r w:rsidRPr="00872186">
        <w:rPr>
          <w:rFonts w:ascii="Times New Roman" w:eastAsia="Calibri" w:hAnsi="Times New Roman" w:cs="Times New Roman"/>
          <w:sz w:val="24"/>
          <w:szCs w:val="24"/>
        </w:rPr>
        <w:t xml:space="preserve"> and left for 2 hours, then cooled down to room temperature in a desiccator. The weight of the empty crucible was recorded. About 10 g of soil samples were weighed into the crucible and placed in the oven at 105 °C for 12 hours. Thereafter, cooled down to room temperature in a desiccator and reweighed again. The moisture content and moisture correction factor (mcf) were calculated using the following equations </w:t>
      </w:r>
      <w:r w:rsidRPr="00872186">
        <w:rPr>
          <w:rFonts w:ascii="Times New Roman" w:eastAsia="MS Gothic" w:hAnsi="Times New Roman" w:cs="Times New Roman"/>
          <w:bCs/>
          <w:sz w:val="24"/>
          <w:szCs w:val="24"/>
        </w:rPr>
        <w:t xml:space="preserve">(Liang </w:t>
      </w:r>
      <w:r w:rsidRPr="00872186">
        <w:rPr>
          <w:rFonts w:ascii="Times New Roman" w:eastAsia="MS Gothic" w:hAnsi="Times New Roman" w:cs="Times New Roman"/>
          <w:bCs/>
          <w:i/>
          <w:iCs/>
          <w:sz w:val="24"/>
          <w:szCs w:val="24"/>
        </w:rPr>
        <w:t>et al</w:t>
      </w:r>
      <w:r w:rsidRPr="00872186">
        <w:rPr>
          <w:rFonts w:ascii="Times New Roman" w:eastAsia="MS Gothic" w:hAnsi="Times New Roman" w:cs="Times New Roman"/>
          <w:bCs/>
          <w:sz w:val="24"/>
          <w:szCs w:val="24"/>
        </w:rPr>
        <w:t>., 2021).</w:t>
      </w:r>
    </w:p>
    <w:p w14:paraId="24726F0C" w14:textId="192D8218" w:rsidR="00784E98" w:rsidRPr="00872186" w:rsidRDefault="00784E98" w:rsidP="00784E98">
      <w:pPr>
        <w:ind w:left="720" w:firstLine="720"/>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Moisture Content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r>
                  <w:rPr>
                    <w:rFonts w:ascii="Cambria Math" w:eastAsia="Calibri" w:hAnsi="Cambria Math" w:cs="Times New Roman"/>
                    <w:sz w:val="24"/>
                    <w:szCs w:val="24"/>
                  </w:rPr>
                  <m:t>B-C</m:t>
                </m:r>
              </m:e>
            </m:d>
            <m:r>
              <w:rPr>
                <w:rFonts w:ascii="Cambria Math" w:eastAsia="Calibri" w:hAnsi="Cambria Math" w:cs="Times New Roman"/>
                <w:sz w:val="24"/>
                <w:szCs w:val="24"/>
              </w:rPr>
              <m:t xml:space="preserve"> x 100 %</m:t>
            </m:r>
          </m:num>
          <m:den>
            <m:r>
              <w:rPr>
                <w:rFonts w:ascii="Cambria Math" w:eastAsia="Calibri" w:hAnsi="Cambria Math" w:cs="Times New Roman"/>
                <w:sz w:val="24"/>
                <w:szCs w:val="24"/>
              </w:rPr>
              <m:t>(B-A)</m:t>
            </m:r>
          </m:den>
        </m:f>
      </m:oMath>
      <w:r w:rsidRPr="00872186">
        <w:rPr>
          <w:rFonts w:ascii="Times New Roman" w:eastAsia="Calibri" w:hAnsi="Times New Roman" w:cs="Times New Roman"/>
          <w:b/>
          <w:sz w:val="24"/>
          <w:szCs w:val="24"/>
        </w:rPr>
        <w:t xml:space="preserve"> </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w:t>
      </w:r>
      <w:r w:rsidR="00E974AE">
        <w:rPr>
          <w:rFonts w:ascii="Times New Roman" w:eastAsia="Calibri" w:hAnsi="Times New Roman" w:cs="Times New Roman"/>
          <w:sz w:val="24"/>
          <w:szCs w:val="24"/>
        </w:rPr>
        <w:t>2</w:t>
      </w:r>
      <w:r w:rsidRPr="00872186">
        <w:rPr>
          <w:rFonts w:ascii="Times New Roman" w:eastAsia="Calibri" w:hAnsi="Times New Roman" w:cs="Times New Roman"/>
          <w:sz w:val="24"/>
          <w:szCs w:val="24"/>
        </w:rPr>
        <w:t>)</w:t>
      </w:r>
    </w:p>
    <w:p w14:paraId="551AEC3C" w14:textId="77777777" w:rsidR="00784E98" w:rsidRPr="00872186" w:rsidRDefault="00784E98" w:rsidP="00784E98">
      <w:pPr>
        <w:ind w:left="720"/>
        <w:rPr>
          <w:rFonts w:ascii="Times New Roman" w:eastAsia="Calibri" w:hAnsi="Times New Roman" w:cs="Times New Roman"/>
          <w:sz w:val="24"/>
          <w:szCs w:val="24"/>
        </w:rPr>
      </w:pPr>
      <w:r w:rsidRPr="00872186">
        <w:rPr>
          <w:rFonts w:ascii="Times New Roman" w:eastAsia="Calibri" w:hAnsi="Times New Roman" w:cs="Times New Roman"/>
          <w:bCs/>
          <w:sz w:val="24"/>
          <w:szCs w:val="24"/>
        </w:rPr>
        <w:t>where</w:t>
      </w:r>
      <w:r w:rsidRPr="00872186">
        <w:rPr>
          <w:rFonts w:ascii="Times New Roman" w:eastAsia="Calibri" w:hAnsi="Times New Roman" w:cs="Times New Roman"/>
          <w:b/>
          <w:sz w:val="24"/>
          <w:szCs w:val="24"/>
        </w:rPr>
        <w:t>:  A</w:t>
      </w:r>
      <w:r w:rsidRPr="00872186">
        <w:rPr>
          <w:rFonts w:ascii="Times New Roman" w:eastAsia="Calibri" w:hAnsi="Times New Roman" w:cs="Times New Roman"/>
          <w:sz w:val="24"/>
          <w:szCs w:val="24"/>
        </w:rPr>
        <w:t xml:space="preserve">: Empty crucible weight; </w:t>
      </w:r>
      <w:r w:rsidRPr="00872186">
        <w:rPr>
          <w:rFonts w:ascii="Times New Roman" w:eastAsia="Calibri" w:hAnsi="Times New Roman" w:cs="Times New Roman"/>
          <w:b/>
          <w:sz w:val="24"/>
          <w:szCs w:val="24"/>
        </w:rPr>
        <w:t>B</w:t>
      </w:r>
      <w:r w:rsidRPr="00872186">
        <w:rPr>
          <w:rFonts w:ascii="Times New Roman" w:eastAsia="Calibri" w:hAnsi="Times New Roman" w:cs="Times New Roman"/>
          <w:sz w:val="24"/>
          <w:szCs w:val="24"/>
        </w:rPr>
        <w:t xml:space="preserve">: Sample + Crucible weight before drying; </w:t>
      </w:r>
      <w:r w:rsidRPr="00872186">
        <w:rPr>
          <w:rFonts w:ascii="Times New Roman" w:eastAsia="Calibri" w:hAnsi="Times New Roman" w:cs="Times New Roman"/>
          <w:b/>
          <w:sz w:val="24"/>
          <w:szCs w:val="24"/>
        </w:rPr>
        <w:t>C</w:t>
      </w:r>
      <w:r w:rsidRPr="00872186">
        <w:rPr>
          <w:rFonts w:ascii="Times New Roman" w:eastAsia="Calibri" w:hAnsi="Times New Roman" w:cs="Times New Roman"/>
          <w:sz w:val="24"/>
          <w:szCs w:val="24"/>
        </w:rPr>
        <w:t xml:space="preserve">: Sample + Crucible weight after drying and </w:t>
      </w:r>
      <w:r w:rsidRPr="00872186">
        <w:rPr>
          <w:rFonts w:ascii="Times New Roman" w:eastAsia="Calibri" w:hAnsi="Times New Roman" w:cs="Times New Roman"/>
          <w:b/>
          <w:bCs/>
          <w:sz w:val="24"/>
          <w:szCs w:val="24"/>
        </w:rPr>
        <w:t>mcf</w:t>
      </w:r>
      <w:r w:rsidRPr="00872186">
        <w:rPr>
          <w:rFonts w:ascii="Times New Roman" w:eastAsia="Calibri" w:hAnsi="Times New Roman" w:cs="Times New Roman"/>
          <w:sz w:val="24"/>
          <w:szCs w:val="24"/>
        </w:rPr>
        <w:t xml:space="preserve"> (moisture correction factor)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100+M %</m:t>
            </m:r>
          </m:num>
          <m:den>
            <m:r>
              <w:rPr>
                <w:rFonts w:ascii="Cambria Math" w:eastAsia="Calibri" w:hAnsi="Cambria Math" w:cs="Times New Roman"/>
                <w:sz w:val="24"/>
                <w:szCs w:val="24"/>
              </w:rPr>
              <m:t>100</m:t>
            </m:r>
          </m:den>
        </m:f>
      </m:oMath>
      <w:r w:rsidRPr="00872186">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 xml:space="preserve">                                                                                                                            </w:t>
      </w:r>
    </w:p>
    <w:p w14:paraId="04E5A194" w14:textId="467BAA2A" w:rsidR="00784E98" w:rsidRPr="00872186" w:rsidRDefault="00964CE5" w:rsidP="00784E98">
      <w:pPr>
        <w:spacing w:line="480" w:lineRule="auto"/>
        <w:jc w:val="both"/>
        <w:rPr>
          <w:rFonts w:ascii="Times New Roman" w:eastAsia="Calibri" w:hAnsi="Times New Roman" w:cs="Times New Roman"/>
          <w:b/>
          <w:sz w:val="24"/>
          <w:szCs w:val="24"/>
        </w:rPr>
      </w:pPr>
      <w:r w:rsidRPr="00872186">
        <w:rPr>
          <w:rFonts w:ascii="Times New Roman" w:eastAsia="Calibri" w:hAnsi="Times New Roman" w:cs="Times New Roman"/>
          <w:b/>
          <w:bCs/>
          <w:sz w:val="24"/>
          <w:szCs w:val="24"/>
        </w:rPr>
        <w:t xml:space="preserve"> </w:t>
      </w:r>
      <w:r w:rsidR="00784E98" w:rsidRPr="00872186">
        <w:rPr>
          <w:rFonts w:ascii="Times New Roman" w:eastAsia="Calibri" w:hAnsi="Times New Roman" w:cs="Times New Roman"/>
          <w:b/>
          <w:sz w:val="24"/>
          <w:szCs w:val="24"/>
        </w:rPr>
        <w:t xml:space="preserve">pH determination </w:t>
      </w:r>
    </w:p>
    <w:p w14:paraId="78744DD4" w14:textId="77777777" w:rsidR="00784E98" w:rsidRPr="00872186" w:rsidRDefault="00784E98" w:rsidP="00C01474">
      <w:pPr>
        <w:spacing w:line="480" w:lineRule="auto"/>
        <w:jc w:val="both"/>
        <w:rPr>
          <w:rFonts w:ascii="Times New Roman" w:eastAsia="Calibri" w:hAnsi="Times New Roman" w:cs="Times New Roman"/>
          <w:sz w:val="24"/>
          <w:szCs w:val="24"/>
        </w:rPr>
      </w:pPr>
      <w:r w:rsidRPr="00872186">
        <w:rPr>
          <w:rFonts w:ascii="Times New Roman" w:eastAsia="MS Gothic" w:hAnsi="Times New Roman" w:cs="Times New Roman"/>
          <w:bCs/>
          <w:sz w:val="24"/>
          <w:szCs w:val="24"/>
        </w:rPr>
        <w:t>Soil pH was determined in a 1:2.5 soil-to-distilled water suspension using a calibrated digital pH meter following APHA (2017) guidelines.  About</w:t>
      </w:r>
      <w:r w:rsidRPr="00872186">
        <w:rPr>
          <w:rFonts w:ascii="Times New Roman" w:eastAsia="Calibri" w:hAnsi="Times New Roman" w:cs="Times New Roman"/>
          <w:sz w:val="24"/>
          <w:szCs w:val="24"/>
        </w:rPr>
        <w:t xml:space="preserve"> 10 g of soil samples were suspended in 40cm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deionized water in a 100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beaker and stirred with a glass stirring rod intermittently for 30 mins before being left to settle and pH was determined.</w:t>
      </w:r>
    </w:p>
    <w:p w14:paraId="20DABE85" w14:textId="210526F2" w:rsidR="00784E98" w:rsidRPr="00872186" w:rsidRDefault="00784E98" w:rsidP="00784E98">
      <w:pPr>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b/>
          <w:bCs/>
          <w:sz w:val="24"/>
          <w:szCs w:val="24"/>
        </w:rPr>
        <w:t>Electrical conductivity</w:t>
      </w:r>
      <w:r w:rsidRPr="00872186">
        <w:rPr>
          <w:rFonts w:ascii="Times New Roman" w:eastAsia="Calibri" w:hAnsi="Times New Roman" w:cs="Times New Roman"/>
          <w:sz w:val="24"/>
          <w:szCs w:val="24"/>
        </w:rPr>
        <w:t xml:space="preserve"> </w:t>
      </w:r>
    </w:p>
    <w:p w14:paraId="02CBBB94" w14:textId="77777777" w:rsidR="00784E98" w:rsidRPr="00872186" w:rsidRDefault="00784E98" w:rsidP="00C01474">
      <w:pPr>
        <w:spacing w:line="480" w:lineRule="auto"/>
        <w:jc w:val="both"/>
        <w:rPr>
          <w:rFonts w:ascii="Times New Roman" w:eastAsia="MS Gothic" w:hAnsi="Times New Roman" w:cs="Times New Roman"/>
          <w:bCs/>
          <w:sz w:val="24"/>
          <w:szCs w:val="24"/>
        </w:rPr>
      </w:pPr>
      <w:r w:rsidRPr="00872186">
        <w:rPr>
          <w:rFonts w:ascii="Times New Roman" w:eastAsia="MS Gothic" w:hAnsi="Times New Roman" w:cs="Times New Roman"/>
          <w:bCs/>
          <w:sz w:val="24"/>
          <w:szCs w:val="24"/>
        </w:rPr>
        <w:t>Electrical conductivity was measured in a 1:2.5 soil-water extract using a portable EC meter. EC provides information on soluble salt content, useful in evaluating soil salinity and its effect on plant growth (ASTM, 2019; FAO, 2021).</w:t>
      </w:r>
    </w:p>
    <w:p w14:paraId="31AAA28E" w14:textId="77777777" w:rsidR="00C01474" w:rsidRDefault="00784E98" w:rsidP="00C01474">
      <w:pPr>
        <w:spacing w:line="480" w:lineRule="auto"/>
        <w:ind w:left="720"/>
        <w:jc w:val="both"/>
        <w:rPr>
          <w:rFonts w:ascii="Times New Roman" w:eastAsia="MS Gothic" w:hAnsi="Times New Roman" w:cs="Times New Roman"/>
          <w:bCs/>
          <w:sz w:val="24"/>
          <w:szCs w:val="24"/>
        </w:rPr>
      </w:pPr>
      <w:r w:rsidRPr="00872186">
        <w:rPr>
          <w:rFonts w:ascii="Times New Roman" w:eastAsia="MS Gothic" w:hAnsi="Times New Roman" w:cs="Times New Roman"/>
          <w:bCs/>
          <w:sz w:val="24"/>
          <w:szCs w:val="24"/>
        </w:rPr>
        <w:t>Salinity (</w:t>
      </w:r>
      <w:proofErr w:type="spellStart"/>
      <w:r w:rsidRPr="00872186">
        <w:rPr>
          <w:rFonts w:ascii="Times New Roman" w:eastAsia="MS Gothic" w:hAnsi="Times New Roman" w:cs="Times New Roman"/>
          <w:bCs/>
          <w:sz w:val="24"/>
          <w:szCs w:val="24"/>
        </w:rPr>
        <w:t>dS</w:t>
      </w:r>
      <w:proofErr w:type="spellEnd"/>
      <w:r w:rsidRPr="00872186">
        <w:rPr>
          <w:rFonts w:ascii="Times New Roman" w:eastAsia="MS Gothic" w:hAnsi="Times New Roman" w:cs="Times New Roman"/>
          <w:bCs/>
          <w:sz w:val="24"/>
          <w:szCs w:val="24"/>
        </w:rPr>
        <w:t xml:space="preserve">/m)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EC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uS</m:t>
                </m:r>
              </m:num>
              <m:den>
                <m:r>
                  <w:rPr>
                    <w:rFonts w:ascii="Cambria Math" w:eastAsia="Calibri" w:hAnsi="Cambria Math" w:cs="Times New Roman"/>
                    <w:sz w:val="24"/>
                    <w:szCs w:val="24"/>
                  </w:rPr>
                  <m:t>cm</m:t>
                </m:r>
              </m:den>
            </m:f>
            <m:r>
              <w:rPr>
                <w:rFonts w:ascii="Cambria Math" w:eastAsia="Calibri" w:hAnsi="Cambria Math" w:cs="Times New Roman"/>
                <w:sz w:val="24"/>
                <w:szCs w:val="24"/>
              </w:rPr>
              <m:t>)</m:t>
            </m:r>
          </m:num>
          <m:den>
            <m:r>
              <w:rPr>
                <w:rFonts w:ascii="Cambria Math" w:eastAsia="Calibri" w:hAnsi="Cambria Math" w:cs="Times New Roman"/>
                <w:sz w:val="24"/>
                <w:szCs w:val="24"/>
              </w:rPr>
              <m:t>1000</m:t>
            </m:r>
          </m:den>
        </m:f>
      </m:oMath>
      <w:r w:rsidRPr="00872186">
        <w:rPr>
          <w:rFonts w:ascii="Times New Roman" w:eastAsia="MS Gothic" w:hAnsi="Times New Roman" w:cs="Times New Roman"/>
          <w:bCs/>
          <w:sz w:val="24"/>
          <w:szCs w:val="24"/>
        </w:rPr>
        <w:tab/>
      </w:r>
      <w:r w:rsidRPr="00872186">
        <w:rPr>
          <w:rFonts w:ascii="Times New Roman" w:eastAsia="MS Gothic" w:hAnsi="Times New Roman" w:cs="Times New Roman"/>
          <w:bCs/>
          <w:sz w:val="24"/>
          <w:szCs w:val="24"/>
        </w:rPr>
        <w:tab/>
      </w:r>
      <w:r w:rsidRPr="00872186">
        <w:rPr>
          <w:rFonts w:ascii="Times New Roman" w:eastAsia="MS Gothic" w:hAnsi="Times New Roman" w:cs="Times New Roman"/>
          <w:bCs/>
          <w:sz w:val="24"/>
          <w:szCs w:val="24"/>
        </w:rPr>
        <w:tab/>
      </w:r>
      <w:r w:rsidRPr="00872186">
        <w:rPr>
          <w:rFonts w:ascii="Times New Roman" w:eastAsia="MS Gothic" w:hAnsi="Times New Roman" w:cs="Times New Roman"/>
          <w:bCs/>
          <w:sz w:val="24"/>
          <w:szCs w:val="24"/>
        </w:rPr>
        <w:tab/>
      </w:r>
      <w:r w:rsidRPr="00872186">
        <w:rPr>
          <w:rFonts w:ascii="Times New Roman" w:eastAsia="MS Gothic" w:hAnsi="Times New Roman" w:cs="Times New Roman"/>
          <w:bCs/>
          <w:sz w:val="24"/>
          <w:szCs w:val="24"/>
        </w:rPr>
        <w:tab/>
      </w:r>
      <w:r w:rsidRPr="00872186">
        <w:rPr>
          <w:rFonts w:ascii="Times New Roman" w:eastAsia="MS Gothic" w:hAnsi="Times New Roman" w:cs="Times New Roman"/>
          <w:bCs/>
          <w:sz w:val="24"/>
          <w:szCs w:val="24"/>
        </w:rPr>
        <w:tab/>
        <w:t>(</w:t>
      </w:r>
      <w:r w:rsidR="00A27A89">
        <w:rPr>
          <w:rFonts w:ascii="Times New Roman" w:eastAsia="MS Gothic" w:hAnsi="Times New Roman" w:cs="Times New Roman"/>
          <w:bCs/>
          <w:sz w:val="24"/>
          <w:szCs w:val="24"/>
        </w:rPr>
        <w:t>3</w:t>
      </w:r>
      <w:r w:rsidRPr="00872186">
        <w:rPr>
          <w:rFonts w:ascii="Times New Roman" w:eastAsia="MS Gothic" w:hAnsi="Times New Roman" w:cs="Times New Roman"/>
          <w:bCs/>
          <w:sz w:val="24"/>
          <w:szCs w:val="24"/>
        </w:rPr>
        <w:t>)</w:t>
      </w:r>
    </w:p>
    <w:p w14:paraId="42AE5D66" w14:textId="37A3EE65" w:rsidR="00784E98" w:rsidRPr="00C01474" w:rsidRDefault="006D7932" w:rsidP="00C01474">
      <w:pPr>
        <w:spacing w:line="480" w:lineRule="auto"/>
        <w:jc w:val="both"/>
        <w:rPr>
          <w:rFonts w:ascii="Times New Roman" w:eastAsia="MS Gothic" w:hAnsi="Times New Roman" w:cs="Times New Roman"/>
          <w:bCs/>
          <w:sz w:val="24"/>
          <w:szCs w:val="24"/>
        </w:rPr>
      </w:pPr>
      <w:r>
        <w:rPr>
          <w:rFonts w:ascii="Times New Roman" w:eastAsia="Times New Roman" w:hAnsi="Times New Roman" w:cs="Times New Roman"/>
          <w:b/>
          <w:bCs/>
          <w:kern w:val="32"/>
          <w:sz w:val="24"/>
          <w:szCs w:val="24"/>
        </w:rPr>
        <w:t xml:space="preserve">         </w:t>
      </w:r>
      <w:r w:rsidR="00784E98" w:rsidRPr="00872186">
        <w:rPr>
          <w:rFonts w:ascii="Times New Roman" w:eastAsia="Times New Roman" w:hAnsi="Times New Roman" w:cs="Times New Roman"/>
          <w:b/>
          <w:bCs/>
          <w:kern w:val="32"/>
          <w:sz w:val="24"/>
          <w:szCs w:val="24"/>
        </w:rPr>
        <w:t xml:space="preserve">Determination of total organic carbon by wet oxidation (Walkley Black Method)    </w:t>
      </w:r>
    </w:p>
    <w:p w14:paraId="3641E719" w14:textId="5D64ACD4" w:rsidR="00784E98" w:rsidRPr="00872186" w:rsidRDefault="00784E98" w:rsidP="00784E98">
      <w:pPr>
        <w:tabs>
          <w:tab w:val="left" w:pos="540"/>
        </w:tabs>
        <w:spacing w:before="240" w:line="480" w:lineRule="auto"/>
        <w:ind w:left="450" w:hanging="45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lastRenderedPageBreak/>
        <w:t xml:space="preserve">   </w:t>
      </w:r>
      <w:r w:rsidR="006D7932">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Exactly 9.81 g of K</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Cr</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O</w:t>
      </w:r>
      <w:r w:rsidRPr="00872186">
        <w:rPr>
          <w:rFonts w:ascii="Times New Roman" w:eastAsia="Calibri" w:hAnsi="Times New Roman" w:cs="Times New Roman"/>
          <w:sz w:val="24"/>
          <w:szCs w:val="24"/>
          <w:vertAlign w:val="subscript"/>
        </w:rPr>
        <w:t>7</w:t>
      </w:r>
      <w:r w:rsidRPr="00872186">
        <w:rPr>
          <w:rFonts w:ascii="Times New Roman" w:eastAsia="Calibri" w:hAnsi="Times New Roman" w:cs="Times New Roman"/>
          <w:sz w:val="24"/>
          <w:szCs w:val="24"/>
        </w:rPr>
        <w:t xml:space="preserve"> was oven dried at 90</w:t>
      </w:r>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C and dissolved in 200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distilled water in a</w:t>
      </w:r>
      <w:r w:rsidR="006D7932">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500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volumetric flask, 25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of concentrated H</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 xml:space="preserve"> was gradually added, cooled and made up to mark with distilled water to obtained the desired chromic acid. Two (2) grams of each of the soil samples were weighed into a round bottom flask, 15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of the digestion mixture was added to it and placed on an electric stove and heated intermittently to ensure that the temperature is maintained at 150 </w:t>
      </w:r>
      <w:proofErr w:type="spellStart"/>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C</w:t>
      </w:r>
      <w:proofErr w:type="spellEnd"/>
      <w:r w:rsidRPr="00872186">
        <w:rPr>
          <w:rFonts w:ascii="Times New Roman" w:eastAsia="Calibri" w:hAnsi="Times New Roman" w:cs="Times New Roman"/>
          <w:sz w:val="24"/>
          <w:szCs w:val="24"/>
        </w:rPr>
        <w:t xml:space="preserve"> for 45minutes. The digested samples were allowed to cool before 50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of water, 5cm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of 85% H</w:t>
      </w:r>
      <w:r w:rsidRPr="00872186">
        <w:rPr>
          <w:rFonts w:ascii="Times New Roman" w:eastAsia="Calibri" w:hAnsi="Times New Roman" w:cs="Times New Roman"/>
          <w:sz w:val="24"/>
          <w:szCs w:val="24"/>
          <w:vertAlign w:val="subscript"/>
        </w:rPr>
        <w:t>3</w:t>
      </w:r>
      <w:r w:rsidRPr="00872186">
        <w:rPr>
          <w:rFonts w:ascii="Times New Roman" w:eastAsia="Calibri" w:hAnsi="Times New Roman" w:cs="Times New Roman"/>
          <w:sz w:val="24"/>
          <w:szCs w:val="24"/>
        </w:rPr>
        <w:t>PO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 xml:space="preserve"> and four (4) drops of 1, 10 –</w:t>
      </w:r>
      <w:proofErr w:type="spellStart"/>
      <w:r w:rsidRPr="00872186">
        <w:rPr>
          <w:rFonts w:ascii="Times New Roman" w:eastAsia="Calibri" w:hAnsi="Times New Roman" w:cs="Times New Roman"/>
          <w:sz w:val="24"/>
          <w:szCs w:val="24"/>
        </w:rPr>
        <w:t>phenathroline</w:t>
      </w:r>
      <w:proofErr w:type="spellEnd"/>
      <w:r w:rsidRPr="00872186">
        <w:rPr>
          <w:rFonts w:ascii="Times New Roman" w:eastAsia="Calibri" w:hAnsi="Times New Roman" w:cs="Times New Roman"/>
          <w:sz w:val="24"/>
          <w:szCs w:val="24"/>
        </w:rPr>
        <w:t xml:space="preserve"> indicator were added.</w:t>
      </w:r>
    </w:p>
    <w:p w14:paraId="194B8A25" w14:textId="77777777" w:rsidR="00784E98" w:rsidRPr="00872186" w:rsidRDefault="00784E98" w:rsidP="00784E98">
      <w:pPr>
        <w:tabs>
          <w:tab w:val="left" w:pos="540"/>
        </w:tabs>
        <w:spacing w:before="240" w:line="480" w:lineRule="auto"/>
        <w:ind w:left="450" w:hanging="45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ab/>
        <w:t xml:space="preserve">The mixture was titrated with </w:t>
      </w:r>
      <w:proofErr w:type="gramStart"/>
      <w:r w:rsidRPr="00872186">
        <w:rPr>
          <w:rFonts w:ascii="Times New Roman" w:eastAsia="Calibri" w:hAnsi="Times New Roman" w:cs="Times New Roman"/>
          <w:sz w:val="24"/>
          <w:szCs w:val="24"/>
        </w:rPr>
        <w:t>Fe(</w:t>
      </w:r>
      <w:proofErr w:type="gramEnd"/>
      <w:r w:rsidRPr="00872186">
        <w:rPr>
          <w:rFonts w:ascii="Times New Roman" w:eastAsia="Calibri" w:hAnsi="Times New Roman" w:cs="Times New Roman"/>
          <w:sz w:val="24"/>
          <w:szCs w:val="24"/>
        </w:rPr>
        <w:t>NH</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 xml:space="preserve"> to a </w:t>
      </w:r>
      <w:proofErr w:type="spellStart"/>
      <w:r w:rsidRPr="00872186">
        <w:rPr>
          <w:rFonts w:ascii="Times New Roman" w:eastAsia="Calibri" w:hAnsi="Times New Roman" w:cs="Times New Roman"/>
          <w:sz w:val="24"/>
          <w:szCs w:val="24"/>
        </w:rPr>
        <w:t>colour</w:t>
      </w:r>
      <w:proofErr w:type="spellEnd"/>
      <w:r w:rsidRPr="00872186">
        <w:rPr>
          <w:rFonts w:ascii="Times New Roman" w:eastAsia="Calibri" w:hAnsi="Times New Roman" w:cs="Times New Roman"/>
          <w:sz w:val="24"/>
          <w:szCs w:val="24"/>
        </w:rPr>
        <w:t xml:space="preserve"> change from green to reddish- brown. The sample procedure was repeated for the blank without soil sample, and the titer values recorded. This process was repeated in duplicates.</w:t>
      </w:r>
    </w:p>
    <w:p w14:paraId="01FF5BAD" w14:textId="77777777" w:rsidR="00784E98" w:rsidRPr="00872186" w:rsidRDefault="00784E98" w:rsidP="00784E98">
      <w:pPr>
        <w:tabs>
          <w:tab w:val="left" w:pos="360"/>
          <w:tab w:val="left" w:pos="900"/>
          <w:tab w:val="left" w:pos="1800"/>
        </w:tabs>
        <w:spacing w:after="0" w:line="480" w:lineRule="auto"/>
        <w:ind w:left="450" w:hanging="63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Equation for the reactions:</w:t>
      </w:r>
    </w:p>
    <w:p w14:paraId="3C6CB219" w14:textId="4B3372EC" w:rsidR="00784E98" w:rsidRPr="00872186" w:rsidRDefault="00784E98" w:rsidP="00784E98">
      <w:pPr>
        <w:tabs>
          <w:tab w:val="left" w:pos="900"/>
          <w:tab w:val="left" w:pos="1800"/>
        </w:tabs>
        <w:spacing w:after="0" w:line="480" w:lineRule="auto"/>
        <w:ind w:left="2160" w:hanging="63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4Cr</w:t>
      </w:r>
      <w:r w:rsidRPr="00872186">
        <w:rPr>
          <w:rFonts w:ascii="Times New Roman" w:eastAsia="Calibri" w:hAnsi="Times New Roman" w:cs="Times New Roman"/>
          <w:sz w:val="24"/>
          <w:szCs w:val="24"/>
          <w:vertAlign w:val="superscript"/>
        </w:rPr>
        <w:t xml:space="preserve">VI </w:t>
      </w:r>
      <w:r w:rsidRPr="00872186">
        <w:rPr>
          <w:rFonts w:ascii="Times New Roman" w:eastAsia="Calibri" w:hAnsi="Times New Roman" w:cs="Times New Roman"/>
          <w:sz w:val="24"/>
          <w:szCs w:val="24"/>
        </w:rPr>
        <w:t>+ 3C</w:t>
      </w:r>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 xml:space="preserve"> → 4Cr</w:t>
      </w:r>
      <w:r w:rsidRPr="00872186">
        <w:rPr>
          <w:rFonts w:ascii="Times New Roman" w:eastAsia="Calibri" w:hAnsi="Times New Roman" w:cs="Times New Roman"/>
          <w:sz w:val="24"/>
          <w:szCs w:val="24"/>
          <w:vertAlign w:val="superscript"/>
        </w:rPr>
        <w:t xml:space="preserve">III </w:t>
      </w:r>
      <w:r w:rsidRPr="00872186">
        <w:rPr>
          <w:rFonts w:ascii="Times New Roman" w:eastAsia="Calibri" w:hAnsi="Times New Roman" w:cs="Times New Roman"/>
          <w:sz w:val="24"/>
          <w:szCs w:val="24"/>
        </w:rPr>
        <w:t>+ 3C</w:t>
      </w:r>
      <w:r w:rsidRPr="00872186">
        <w:rPr>
          <w:rFonts w:ascii="Times New Roman" w:eastAsia="Calibri" w:hAnsi="Times New Roman" w:cs="Times New Roman"/>
          <w:sz w:val="24"/>
          <w:szCs w:val="24"/>
          <w:vertAlign w:val="superscript"/>
        </w:rPr>
        <w:t xml:space="preserve">IV                                                    </w:t>
      </w:r>
      <w:r w:rsidRPr="00872186">
        <w:rPr>
          <w:rFonts w:ascii="Times New Roman" w:eastAsia="Calibri" w:hAnsi="Times New Roman" w:cs="Times New Roman"/>
          <w:sz w:val="24"/>
          <w:szCs w:val="24"/>
          <w:vertAlign w:val="superscript"/>
        </w:rPr>
        <w:tab/>
      </w:r>
      <w:r w:rsidRPr="00872186">
        <w:rPr>
          <w:rFonts w:ascii="Times New Roman" w:eastAsia="Calibri" w:hAnsi="Times New Roman" w:cs="Times New Roman"/>
          <w:sz w:val="24"/>
          <w:szCs w:val="24"/>
          <w:vertAlign w:val="superscript"/>
        </w:rPr>
        <w:tab/>
      </w:r>
      <w:r w:rsidRPr="00872186">
        <w:rPr>
          <w:rFonts w:ascii="Times New Roman" w:eastAsia="Calibri" w:hAnsi="Times New Roman" w:cs="Times New Roman"/>
          <w:sz w:val="24"/>
          <w:szCs w:val="24"/>
          <w:vertAlign w:val="superscript"/>
        </w:rPr>
        <w:tab/>
        <w:t xml:space="preserve"> (</w:t>
      </w:r>
      <w:r w:rsidR="005D4F5F">
        <w:rPr>
          <w:rFonts w:ascii="Times New Roman" w:eastAsia="Calibri" w:hAnsi="Times New Roman" w:cs="Times New Roman"/>
          <w:sz w:val="24"/>
          <w:szCs w:val="24"/>
          <w:vertAlign w:val="superscript"/>
        </w:rPr>
        <w:t>4</w:t>
      </w:r>
      <w:r w:rsidRPr="00872186">
        <w:rPr>
          <w:rFonts w:ascii="Times New Roman" w:eastAsia="Calibri" w:hAnsi="Times New Roman" w:cs="Times New Roman"/>
          <w:sz w:val="24"/>
          <w:szCs w:val="24"/>
          <w:vertAlign w:val="superscript"/>
        </w:rPr>
        <w:t xml:space="preserve">)                                                           </w:t>
      </w:r>
    </w:p>
    <w:p w14:paraId="30F9300B" w14:textId="2448EA64" w:rsidR="00784E98" w:rsidRPr="00872186" w:rsidRDefault="00784E98" w:rsidP="00784E98">
      <w:pPr>
        <w:tabs>
          <w:tab w:val="left" w:pos="900"/>
          <w:tab w:val="left" w:pos="1800"/>
        </w:tabs>
        <w:spacing w:after="0" w:line="480" w:lineRule="auto"/>
        <w:ind w:left="2160" w:hanging="630"/>
        <w:jc w:val="both"/>
        <w:rPr>
          <w:rFonts w:ascii="Times New Roman" w:eastAsia="Calibri" w:hAnsi="Times New Roman" w:cs="Times New Roman"/>
          <w:sz w:val="24"/>
          <w:szCs w:val="24"/>
        </w:rPr>
      </w:pPr>
      <w:proofErr w:type="spellStart"/>
      <w:r w:rsidRPr="00872186">
        <w:rPr>
          <w:rFonts w:ascii="Times New Roman" w:eastAsia="Calibri" w:hAnsi="Times New Roman" w:cs="Times New Roman"/>
          <w:sz w:val="24"/>
          <w:szCs w:val="24"/>
        </w:rPr>
        <w:t>Cr</w:t>
      </w:r>
      <w:r w:rsidRPr="00872186">
        <w:rPr>
          <w:rFonts w:ascii="Times New Roman" w:eastAsia="Calibri" w:hAnsi="Times New Roman" w:cs="Times New Roman"/>
          <w:sz w:val="24"/>
          <w:szCs w:val="24"/>
          <w:vertAlign w:val="superscript"/>
        </w:rPr>
        <w:t>VI</w:t>
      </w:r>
      <w:proofErr w:type="spellEnd"/>
      <w:r w:rsidRPr="00872186">
        <w:rPr>
          <w:rFonts w:ascii="Times New Roman" w:eastAsia="Calibri" w:hAnsi="Times New Roman" w:cs="Times New Roman"/>
          <w:sz w:val="24"/>
          <w:szCs w:val="24"/>
        </w:rPr>
        <w:t xml:space="preserve"> + 3Fe</w:t>
      </w:r>
      <w:r w:rsidRPr="00872186">
        <w:rPr>
          <w:rFonts w:ascii="Times New Roman" w:eastAsia="Calibri" w:hAnsi="Times New Roman" w:cs="Times New Roman"/>
          <w:sz w:val="24"/>
          <w:szCs w:val="24"/>
          <w:vertAlign w:val="superscript"/>
        </w:rPr>
        <w:t>II</w:t>
      </w:r>
      <w:r w:rsidRPr="00872186">
        <w:rPr>
          <w:rFonts w:ascii="Times New Roman" w:eastAsia="Calibri" w:hAnsi="Times New Roman" w:cs="Times New Roman"/>
          <w:sz w:val="24"/>
          <w:szCs w:val="24"/>
        </w:rPr>
        <w:t xml:space="preserve"> → </w:t>
      </w:r>
      <w:proofErr w:type="spellStart"/>
      <w:r w:rsidRPr="00872186">
        <w:rPr>
          <w:rFonts w:ascii="Times New Roman" w:eastAsia="Calibri" w:hAnsi="Times New Roman" w:cs="Times New Roman"/>
          <w:sz w:val="24"/>
          <w:szCs w:val="24"/>
        </w:rPr>
        <w:t>Cr</w:t>
      </w:r>
      <w:r w:rsidRPr="00872186">
        <w:rPr>
          <w:rFonts w:ascii="Times New Roman" w:eastAsia="Calibri" w:hAnsi="Times New Roman" w:cs="Times New Roman"/>
          <w:sz w:val="24"/>
          <w:szCs w:val="24"/>
          <w:vertAlign w:val="superscript"/>
        </w:rPr>
        <w:t>III</w:t>
      </w:r>
      <w:proofErr w:type="spellEnd"/>
      <w:r w:rsidRPr="00872186">
        <w:rPr>
          <w:rFonts w:ascii="Times New Roman" w:eastAsia="Calibri" w:hAnsi="Times New Roman" w:cs="Times New Roman"/>
          <w:sz w:val="24"/>
          <w:szCs w:val="24"/>
          <w:vertAlign w:val="superscript"/>
        </w:rPr>
        <w:t xml:space="preserve"> </w:t>
      </w:r>
      <w:r w:rsidRPr="00872186">
        <w:rPr>
          <w:rFonts w:ascii="Times New Roman" w:eastAsia="Calibri" w:hAnsi="Times New Roman" w:cs="Times New Roman"/>
          <w:sz w:val="24"/>
          <w:szCs w:val="24"/>
        </w:rPr>
        <w:t>+ 3Fe</w:t>
      </w:r>
      <w:r w:rsidRPr="00872186">
        <w:rPr>
          <w:rFonts w:ascii="Times New Roman" w:eastAsia="Calibri" w:hAnsi="Times New Roman" w:cs="Times New Roman"/>
          <w:sz w:val="24"/>
          <w:szCs w:val="24"/>
          <w:vertAlign w:val="superscript"/>
        </w:rPr>
        <w:t xml:space="preserve">III </w:t>
      </w:r>
      <w:r w:rsidRPr="00872186">
        <w:rPr>
          <w:rFonts w:ascii="Times New Roman" w:eastAsia="Calibri" w:hAnsi="Times New Roman" w:cs="Times New Roman"/>
          <w:sz w:val="24"/>
          <w:szCs w:val="24"/>
        </w:rPr>
        <w:t xml:space="preserve">(Blank </w:t>
      </w:r>
      <w:proofErr w:type="gramStart"/>
      <w:r w:rsidRPr="00872186">
        <w:rPr>
          <w:rFonts w:ascii="Times New Roman" w:eastAsia="Calibri" w:hAnsi="Times New Roman" w:cs="Times New Roman"/>
          <w:sz w:val="24"/>
          <w:szCs w:val="24"/>
        </w:rPr>
        <w:t xml:space="preserve">Titration)   </w:t>
      </w:r>
      <w:proofErr w:type="gramEnd"/>
      <w:r w:rsidRPr="00872186">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 xml:space="preserve"> (</w:t>
      </w:r>
      <w:r w:rsidR="005D4F5F">
        <w:rPr>
          <w:rFonts w:ascii="Times New Roman" w:eastAsia="Calibri" w:hAnsi="Times New Roman" w:cs="Times New Roman"/>
          <w:sz w:val="24"/>
          <w:szCs w:val="24"/>
        </w:rPr>
        <w:t>5</w:t>
      </w:r>
      <w:r w:rsidRPr="00872186">
        <w:rPr>
          <w:rFonts w:ascii="Times New Roman" w:eastAsia="Calibri" w:hAnsi="Times New Roman" w:cs="Times New Roman"/>
          <w:sz w:val="24"/>
          <w:szCs w:val="24"/>
        </w:rPr>
        <w:t xml:space="preserve">)                                               </w:t>
      </w:r>
    </w:p>
    <w:p w14:paraId="62B4E0FF" w14:textId="77777777" w:rsidR="00784E98" w:rsidRPr="00872186" w:rsidRDefault="00784E98" w:rsidP="00784E98">
      <w:pPr>
        <w:tabs>
          <w:tab w:val="left" w:pos="360"/>
          <w:tab w:val="left" w:pos="900"/>
          <w:tab w:val="left" w:pos="1800"/>
        </w:tabs>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       Calculations: The total carbon was calculated using the equation. </w:t>
      </w:r>
    </w:p>
    <w:p w14:paraId="50289005" w14:textId="63A063FB" w:rsidR="00784E98" w:rsidRPr="00872186" w:rsidRDefault="00784E98" w:rsidP="00784E98">
      <w:pPr>
        <w:tabs>
          <w:tab w:val="left" w:pos="900"/>
          <w:tab w:val="left" w:pos="1800"/>
        </w:tabs>
        <w:spacing w:after="0" w:line="480" w:lineRule="auto"/>
        <w:ind w:left="2160" w:hanging="630"/>
        <w:jc w:val="both"/>
        <w:rPr>
          <w:rFonts w:ascii="Times New Roman" w:eastAsia="Calibri" w:hAnsi="Times New Roman" w:cs="Times New Roman"/>
          <w:sz w:val="24"/>
          <w:szCs w:val="24"/>
        </w:rPr>
      </w:pPr>
      <w:r w:rsidRPr="00872186">
        <w:rPr>
          <w:rFonts w:ascii="Times New Roman" w:eastAsia="Calibri" w:hAnsi="Times New Roman" w:cs="Times New Roman"/>
          <w:position w:val="-30"/>
          <w:sz w:val="24"/>
          <w:szCs w:val="24"/>
        </w:rPr>
        <w:object w:dxaOrig="3036" w:dyaOrig="694" w14:anchorId="30A49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45" o:spid="_x0000_i1025" type="#_x0000_t75" style="width:151.5pt;height:34.5pt;visibility:visible;mso-wrap-distance-left:0;mso-wrap-distance-right:0" o:ole="">
            <v:imagedata r:id="rId8" o:title="" embosscolor="white"/>
          </v:shape>
          <o:OLEObject Type="Embed" ProgID="Equation.3" ShapeID="1045" DrawAspect="Content" ObjectID="_1837083518" r:id="rId9"/>
        </w:object>
      </w:r>
      <w:r w:rsidRPr="00872186">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w:t>
      </w:r>
      <w:r w:rsidR="005D4F5F">
        <w:rPr>
          <w:rFonts w:ascii="Times New Roman" w:eastAsia="Calibri" w:hAnsi="Times New Roman" w:cs="Times New Roman"/>
          <w:sz w:val="24"/>
          <w:szCs w:val="24"/>
        </w:rPr>
        <w:t>6</w:t>
      </w:r>
      <w:r w:rsidRPr="00872186">
        <w:rPr>
          <w:rFonts w:ascii="Times New Roman" w:eastAsia="Calibri" w:hAnsi="Times New Roman" w:cs="Times New Roman"/>
          <w:sz w:val="24"/>
          <w:szCs w:val="24"/>
        </w:rPr>
        <w:t xml:space="preserve">)                                    </w:t>
      </w:r>
    </w:p>
    <w:p w14:paraId="3F29F38C" w14:textId="77777777" w:rsidR="00784E98" w:rsidRPr="00872186" w:rsidRDefault="00784E98" w:rsidP="00784E98">
      <w:pPr>
        <w:tabs>
          <w:tab w:val="left" w:pos="1350"/>
          <w:tab w:val="left" w:pos="1800"/>
        </w:tabs>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      where B = </w:t>
      </w:r>
      <w:proofErr w:type="spellStart"/>
      <w:r w:rsidRPr="00872186">
        <w:rPr>
          <w:rFonts w:ascii="Times New Roman" w:eastAsia="Calibri" w:hAnsi="Times New Roman" w:cs="Times New Roman"/>
          <w:sz w:val="24"/>
          <w:szCs w:val="24"/>
        </w:rPr>
        <w:t>titre</w:t>
      </w:r>
      <w:proofErr w:type="spellEnd"/>
      <w:r w:rsidRPr="00872186">
        <w:rPr>
          <w:rFonts w:ascii="Times New Roman" w:eastAsia="Calibri" w:hAnsi="Times New Roman" w:cs="Times New Roman"/>
          <w:sz w:val="24"/>
          <w:szCs w:val="24"/>
        </w:rPr>
        <w:t xml:space="preserve"> value of the blank; T = </w:t>
      </w:r>
      <w:proofErr w:type="spellStart"/>
      <w:r w:rsidRPr="00872186">
        <w:rPr>
          <w:rFonts w:ascii="Times New Roman" w:eastAsia="Calibri" w:hAnsi="Times New Roman" w:cs="Times New Roman"/>
          <w:sz w:val="24"/>
          <w:szCs w:val="24"/>
        </w:rPr>
        <w:t>Titre</w:t>
      </w:r>
      <w:proofErr w:type="spellEnd"/>
      <w:r w:rsidRPr="00872186">
        <w:rPr>
          <w:rFonts w:ascii="Times New Roman" w:eastAsia="Calibri" w:hAnsi="Times New Roman" w:cs="Times New Roman"/>
          <w:sz w:val="24"/>
          <w:szCs w:val="24"/>
        </w:rPr>
        <w:t xml:space="preserve"> value of mixture; M = molarity of Fe (NH</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w:t>
      </w:r>
      <w:r w:rsidRPr="00872186">
        <w:rPr>
          <w:rFonts w:ascii="Times New Roman" w:eastAsia="Calibri" w:hAnsi="Times New Roman" w:cs="Times New Roman"/>
          <w:sz w:val="24"/>
          <w:szCs w:val="24"/>
          <w:vertAlign w:val="subscript"/>
        </w:rPr>
        <w:t>2</w:t>
      </w:r>
    </w:p>
    <w:p w14:paraId="477112A2" w14:textId="77777777" w:rsidR="00784E98" w:rsidRPr="00872186" w:rsidRDefault="00784E98" w:rsidP="00784E98">
      <w:pPr>
        <w:tabs>
          <w:tab w:val="left" w:pos="1350"/>
          <w:tab w:val="left" w:pos="1800"/>
        </w:tabs>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ab/>
        <w:t xml:space="preserve">The actual concentration of the iron (II) solution was based on the blank.  </w:t>
      </w:r>
    </w:p>
    <w:p w14:paraId="57E4A359" w14:textId="77777777" w:rsidR="00784E98" w:rsidRPr="00872186" w:rsidRDefault="00784E98" w:rsidP="00784E98">
      <w:pPr>
        <w:tabs>
          <w:tab w:val="left" w:pos="1350"/>
          <w:tab w:val="left" w:pos="1800"/>
        </w:tabs>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      Percentage of organic matter was calculated as:</w:t>
      </w:r>
    </w:p>
    <w:p w14:paraId="795B66A5" w14:textId="637B3856" w:rsidR="00784E98" w:rsidRPr="00872186" w:rsidRDefault="00784E98" w:rsidP="00784E98">
      <w:pPr>
        <w:tabs>
          <w:tab w:val="left" w:pos="1350"/>
          <w:tab w:val="left" w:pos="1800"/>
        </w:tabs>
        <w:spacing w:after="0" w:line="480" w:lineRule="auto"/>
        <w:ind w:left="2160" w:hanging="63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  % organic matter = % organic carbon x 1.724</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w:t>
      </w:r>
      <w:r w:rsidR="005D4F5F">
        <w:rPr>
          <w:rFonts w:ascii="Times New Roman" w:eastAsia="Calibri" w:hAnsi="Times New Roman" w:cs="Times New Roman"/>
          <w:sz w:val="24"/>
          <w:szCs w:val="24"/>
        </w:rPr>
        <w:t>7</w:t>
      </w:r>
      <w:r w:rsidRPr="00872186">
        <w:rPr>
          <w:rFonts w:ascii="Times New Roman" w:eastAsia="Calibri" w:hAnsi="Times New Roman" w:cs="Times New Roman"/>
          <w:sz w:val="24"/>
          <w:szCs w:val="24"/>
        </w:rPr>
        <w:t>)</w:t>
      </w:r>
    </w:p>
    <w:p w14:paraId="427DB590" w14:textId="2AF1FA5B" w:rsidR="00784E98" w:rsidRPr="00872186" w:rsidRDefault="00784E98" w:rsidP="00784E98">
      <w:pPr>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b/>
          <w:bCs/>
          <w:sz w:val="24"/>
          <w:szCs w:val="24"/>
        </w:rPr>
        <w:t>Total Nitrogen (Kjeld Hal Method)</w:t>
      </w:r>
      <w:r w:rsidRPr="00872186">
        <w:rPr>
          <w:rFonts w:ascii="Times New Roman" w:eastAsia="Calibri" w:hAnsi="Times New Roman" w:cs="Times New Roman"/>
          <w:sz w:val="24"/>
          <w:szCs w:val="24"/>
        </w:rPr>
        <w:t xml:space="preserve"> </w:t>
      </w:r>
    </w:p>
    <w:p w14:paraId="6BAB2542" w14:textId="77777777" w:rsidR="00784E98" w:rsidRPr="00872186" w:rsidRDefault="00784E98" w:rsidP="00C01474">
      <w:pPr>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lastRenderedPageBreak/>
        <w:t>Nitrogen in soil is mostly present in the organic form with small quantities of ammonium and nitrate. This method measures only organic and ammoniacal forms, therefore nitrate is excluded. One (1) gram of the soil sample wase placed in the digestion tube. Two and a half grams of a catalyst mixture (containing K</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 CuSO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.5H</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O) were added and thereafter, 10 mL of conc. H</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 xml:space="preserve"> was added. The mixture was heated to about 400˚C until the mixture became transparent, then allows it to cool. Exactly 50 mL distilled water was added into 250 mL conical flask, and the flask was placed under the condenser of the distillation apparatus. The end of the condenser was dipped into the solution and 20 mL of 40% NaOH wase added to the digest till the color changed to blackish. About 200 mL of the condensate was distilled. Thereafter, the condenser was rinsed and a few drops of indicator (0.1g of bromocresol green, 0.02g of methyl red in 100 mL ethanol) was added to the distillate. Then sample was titrated with 0.01N HCl till the pink color starts to appear. The percent nitrogen was calculated using the following equations (AOAC, 2002): </w:t>
      </w:r>
    </w:p>
    <w:p w14:paraId="1FC14DEA" w14:textId="021D2DF7" w:rsidR="00784E98" w:rsidRPr="00872186" w:rsidRDefault="00784E98" w:rsidP="00784E98">
      <w:pPr>
        <w:ind w:left="720" w:firstLine="720"/>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weight of </w:t>
      </w:r>
      <w:r w:rsidRPr="00872186">
        <w:rPr>
          <w:rFonts w:ascii="Times New Roman" w:eastAsia="Calibri" w:hAnsi="Times New Roman" w:cs="Times New Roman"/>
          <w:b/>
          <w:sz w:val="24"/>
          <w:szCs w:val="24"/>
        </w:rPr>
        <w:t>Total Nitrogen %</w:t>
      </w:r>
      <w:r w:rsidRPr="00872186">
        <w:rPr>
          <w:rFonts w:ascii="Times New Roman" w:eastAsia="Calibri" w:hAnsi="Times New Roman" w:cs="Times New Roman"/>
          <w:sz w:val="24"/>
          <w:szCs w:val="24"/>
        </w:rPr>
        <w:t xml:space="preserve">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r>
                  <w:rPr>
                    <w:rFonts w:ascii="Cambria Math" w:eastAsia="Calibri" w:hAnsi="Cambria Math" w:cs="Times New Roman"/>
                    <w:sz w:val="24"/>
                    <w:szCs w:val="24"/>
                  </w:rPr>
                  <m:t xml:space="preserve">S-B </m:t>
                </m:r>
              </m:e>
            </m:d>
            <m:r>
              <w:rPr>
                <w:rFonts w:ascii="Cambria Math" w:eastAsia="Calibri" w:hAnsi="Cambria Math" w:cs="Times New Roman"/>
                <w:sz w:val="24"/>
                <w:szCs w:val="24"/>
              </w:rPr>
              <m:t xml:space="preserve"> x N x 14  x100</m:t>
            </m:r>
          </m:num>
          <m:den>
            <m:r>
              <w:rPr>
                <w:rFonts w:ascii="Cambria Math" w:eastAsia="Calibri" w:hAnsi="Cambria Math" w:cs="Times New Roman"/>
                <w:sz w:val="24"/>
                <w:szCs w:val="24"/>
              </w:rPr>
              <m:t>Weight of the soil</m:t>
            </m:r>
          </m:den>
        </m:f>
      </m:oMath>
      <w:r w:rsidRPr="00872186">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w:t>
      </w:r>
      <w:r w:rsidR="005D4F5F">
        <w:rPr>
          <w:rFonts w:ascii="Times New Roman" w:eastAsia="Calibri" w:hAnsi="Times New Roman" w:cs="Times New Roman"/>
          <w:sz w:val="24"/>
          <w:szCs w:val="24"/>
        </w:rPr>
        <w:t>8</w:t>
      </w:r>
      <w:r w:rsidRPr="00872186">
        <w:rPr>
          <w:rFonts w:ascii="Times New Roman" w:eastAsia="Calibri" w:hAnsi="Times New Roman" w:cs="Times New Roman"/>
          <w:sz w:val="24"/>
          <w:szCs w:val="24"/>
        </w:rPr>
        <w:t>)</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p>
    <w:p w14:paraId="55D6C414" w14:textId="77777777" w:rsidR="00784E98" w:rsidRPr="00872186" w:rsidRDefault="00784E98" w:rsidP="00784E98">
      <w:pPr>
        <w:spacing w:after="0" w:line="480" w:lineRule="auto"/>
        <w:ind w:left="720"/>
        <w:jc w:val="both"/>
        <w:rPr>
          <w:rFonts w:ascii="Times New Roman" w:eastAsia="Calibri" w:hAnsi="Times New Roman" w:cs="Times New Roman"/>
          <w:sz w:val="24"/>
          <w:szCs w:val="24"/>
        </w:rPr>
      </w:pPr>
      <w:r w:rsidRPr="00872186">
        <w:rPr>
          <w:rFonts w:ascii="Times New Roman" w:eastAsia="Calibri" w:hAnsi="Times New Roman" w:cs="Times New Roman"/>
          <w:bCs/>
          <w:sz w:val="24"/>
          <w:szCs w:val="24"/>
        </w:rPr>
        <w:t>where</w:t>
      </w:r>
      <w:r w:rsidRPr="00872186">
        <w:rPr>
          <w:rFonts w:ascii="Times New Roman" w:eastAsia="Calibri" w:hAnsi="Times New Roman" w:cs="Times New Roman"/>
          <w:b/>
          <w:sz w:val="24"/>
          <w:szCs w:val="24"/>
        </w:rPr>
        <w:t>: S</w:t>
      </w:r>
      <w:r w:rsidRPr="00872186">
        <w:rPr>
          <w:rFonts w:ascii="Times New Roman" w:eastAsia="Calibri" w:hAnsi="Times New Roman" w:cs="Times New Roman"/>
          <w:sz w:val="24"/>
          <w:szCs w:val="24"/>
        </w:rPr>
        <w:t xml:space="preserve">: Volume of acid used against the sample; </w:t>
      </w:r>
      <w:r w:rsidRPr="00872186">
        <w:rPr>
          <w:rFonts w:ascii="Times New Roman" w:eastAsia="Calibri" w:hAnsi="Times New Roman" w:cs="Times New Roman"/>
          <w:b/>
          <w:sz w:val="24"/>
          <w:szCs w:val="24"/>
        </w:rPr>
        <w:t>B</w:t>
      </w:r>
      <w:r w:rsidRPr="00872186">
        <w:rPr>
          <w:rFonts w:ascii="Times New Roman" w:eastAsia="Calibri" w:hAnsi="Times New Roman" w:cs="Times New Roman"/>
          <w:sz w:val="24"/>
          <w:szCs w:val="24"/>
        </w:rPr>
        <w:t xml:space="preserve">: Volume of acid used against blank and </w:t>
      </w:r>
      <w:r w:rsidRPr="00872186">
        <w:rPr>
          <w:rFonts w:ascii="Times New Roman" w:eastAsia="Calibri" w:hAnsi="Times New Roman" w:cs="Times New Roman"/>
          <w:b/>
          <w:sz w:val="24"/>
          <w:szCs w:val="24"/>
        </w:rPr>
        <w:t>N</w:t>
      </w:r>
      <w:r w:rsidRPr="00872186">
        <w:rPr>
          <w:rFonts w:ascii="Times New Roman" w:eastAsia="Calibri" w:hAnsi="Times New Roman" w:cs="Times New Roman"/>
          <w:sz w:val="24"/>
          <w:szCs w:val="24"/>
        </w:rPr>
        <w:t>: Normality of acid.</w:t>
      </w:r>
    </w:p>
    <w:p w14:paraId="2B2D0457" w14:textId="3D1DFE6C" w:rsidR="00784E98" w:rsidRPr="00872186" w:rsidRDefault="00964CE5" w:rsidP="00784E98">
      <w:pPr>
        <w:spacing w:after="0" w:line="480" w:lineRule="auto"/>
        <w:jc w:val="both"/>
        <w:rPr>
          <w:rFonts w:ascii="Times New Roman" w:eastAsia="Calibri" w:hAnsi="Times New Roman" w:cs="Times New Roman"/>
          <w:b/>
          <w:sz w:val="24"/>
          <w:szCs w:val="24"/>
        </w:rPr>
      </w:pPr>
      <w:r w:rsidRPr="00872186">
        <w:rPr>
          <w:rFonts w:ascii="Times New Roman" w:eastAsia="Calibri" w:hAnsi="Times New Roman" w:cs="Times New Roman"/>
          <w:b/>
          <w:bCs/>
          <w:sz w:val="24"/>
          <w:szCs w:val="24"/>
        </w:rPr>
        <w:t xml:space="preserve">   </w:t>
      </w:r>
      <w:r w:rsidR="00784E98" w:rsidRPr="00872186">
        <w:rPr>
          <w:rFonts w:ascii="Times New Roman" w:eastAsia="MS Gothic" w:hAnsi="Times New Roman" w:cs="Times New Roman"/>
          <w:b/>
          <w:sz w:val="24"/>
          <w:szCs w:val="24"/>
        </w:rPr>
        <w:t>Calcium carbonate in soil (Back-Titration Method)</w:t>
      </w:r>
    </w:p>
    <w:p w14:paraId="790C459C" w14:textId="77777777" w:rsidR="00784E98" w:rsidRPr="00872186" w:rsidRDefault="00784E98" w:rsidP="00C01474">
      <w:pPr>
        <w:spacing w:after="0" w:line="480" w:lineRule="auto"/>
        <w:jc w:val="both"/>
        <w:rPr>
          <w:rFonts w:ascii="Times New Roman" w:eastAsia="Calibri" w:hAnsi="Times New Roman" w:cs="Times New Roman"/>
          <w:b/>
          <w:sz w:val="24"/>
          <w:szCs w:val="24"/>
        </w:rPr>
      </w:pPr>
      <w:r w:rsidRPr="00872186">
        <w:rPr>
          <w:rFonts w:ascii="Times New Roman" w:eastAsia="MS Gothic" w:hAnsi="Times New Roman" w:cs="Times New Roman"/>
          <w:bCs/>
          <w:sz w:val="24"/>
          <w:szCs w:val="24"/>
        </w:rPr>
        <w:t xml:space="preserve">Exactly 5.0 g portion of soil was weighed into a 250 mL conical flask, after which 100 mL of 1 M HCl was added. The mixture was swirled and allowed to stand overnight, then shaken for two hours to ensure complete reaction. The suspension was allowed to settle (or filtered if necessary), and 5 mL of the clear supernatant was pipetted into a 100 mL conical flask. To this, 10 mL of distilled water and 2–3 drops of phenolphthalein indicator were added. The solution was titrated </w:t>
      </w:r>
      <w:r w:rsidRPr="00872186">
        <w:rPr>
          <w:rFonts w:ascii="Times New Roman" w:eastAsia="MS Gothic" w:hAnsi="Times New Roman" w:cs="Times New Roman"/>
          <w:bCs/>
          <w:sz w:val="24"/>
          <w:szCs w:val="24"/>
        </w:rPr>
        <w:lastRenderedPageBreak/>
        <w:t>with 0.25 M NaOH until a faint pink endpoint was observed, and the volume of NaOH used was recorded. The titration was repeated twice for accuracy.</w:t>
      </w:r>
    </w:p>
    <w:p w14:paraId="66D760DD" w14:textId="77777777" w:rsidR="00784E98" w:rsidRPr="00872186" w:rsidRDefault="00784E98" w:rsidP="00784E98">
      <w:pPr>
        <w:keepNext/>
        <w:keepLines/>
        <w:spacing w:before="200" w:after="0" w:line="240" w:lineRule="auto"/>
        <w:ind w:left="720"/>
        <w:jc w:val="both"/>
        <w:outlineLvl w:val="1"/>
        <w:rPr>
          <w:rFonts w:ascii="Times New Roman" w:eastAsia="MS Gothic" w:hAnsi="Times New Roman" w:cs="Times New Roman"/>
          <w:b/>
          <w:bCs/>
          <w:sz w:val="24"/>
          <w:szCs w:val="24"/>
        </w:rPr>
      </w:pPr>
      <w:r w:rsidRPr="00872186">
        <w:rPr>
          <w:rFonts w:ascii="Times New Roman" w:eastAsia="MS Gothic" w:hAnsi="Times New Roman" w:cs="Times New Roman"/>
          <w:b/>
          <w:bCs/>
          <w:sz w:val="24"/>
          <w:szCs w:val="24"/>
        </w:rPr>
        <w:t>Reactions</w:t>
      </w:r>
    </w:p>
    <w:p w14:paraId="6FABED67" w14:textId="77777777" w:rsidR="00784E98" w:rsidRPr="00872186" w:rsidRDefault="00784E98" w:rsidP="00784E98">
      <w:pPr>
        <w:keepNext/>
        <w:keepLines/>
        <w:spacing w:before="200" w:after="0" w:line="240" w:lineRule="auto"/>
        <w:ind w:left="720"/>
        <w:jc w:val="both"/>
        <w:outlineLvl w:val="1"/>
        <w:rPr>
          <w:rFonts w:ascii="Times New Roman" w:eastAsia="MS Gothic" w:hAnsi="Times New Roman" w:cs="Times New Roman"/>
          <w:b/>
          <w:bCs/>
          <w:sz w:val="24"/>
          <w:szCs w:val="24"/>
        </w:rPr>
      </w:pPr>
    </w:p>
    <w:p w14:paraId="31BF7092" w14:textId="32FBC794" w:rsidR="00784E98" w:rsidRPr="00872186" w:rsidRDefault="00784E98" w:rsidP="00784E98">
      <w:pPr>
        <w:spacing w:after="0" w:line="480" w:lineRule="auto"/>
        <w:ind w:left="720"/>
        <w:jc w:val="both"/>
        <w:rPr>
          <w:rFonts w:ascii="Times New Roman" w:eastAsia="MS Mincho" w:hAnsi="Times New Roman" w:cs="Times New Roman"/>
          <w:sz w:val="24"/>
          <w:szCs w:val="24"/>
        </w:rPr>
      </w:pPr>
      <w:proofErr w:type="spellStart"/>
      <w:r w:rsidRPr="00872186">
        <w:rPr>
          <w:rFonts w:ascii="Times New Roman" w:eastAsia="MS Mincho" w:hAnsi="Times New Roman" w:cs="Times New Roman"/>
          <w:sz w:val="24"/>
          <w:szCs w:val="24"/>
        </w:rPr>
        <w:t>CaCO</w:t>
      </w:r>
      <w:proofErr w:type="spellEnd"/>
      <w:r w:rsidRPr="00872186">
        <w:rPr>
          <w:rFonts w:ascii="Times New Roman" w:eastAsia="MS Mincho" w:hAnsi="Times New Roman" w:cs="Times New Roman"/>
          <w:sz w:val="24"/>
          <w:szCs w:val="24"/>
        </w:rPr>
        <w:t>₃ + 2HCl → CaCl</w:t>
      </w:r>
      <w:r w:rsidRPr="00872186">
        <w:rPr>
          <w:rFonts w:ascii="Times New Roman" w:eastAsia="MS Mincho" w:hAnsi="Times New Roman" w:cs="Times New Roman"/>
          <w:sz w:val="24"/>
          <w:szCs w:val="24"/>
          <w:vertAlign w:val="subscript"/>
        </w:rPr>
        <w:t>2</w:t>
      </w:r>
      <w:r w:rsidRPr="00872186">
        <w:rPr>
          <w:rFonts w:ascii="Times New Roman" w:eastAsia="MS Mincho" w:hAnsi="Times New Roman" w:cs="Times New Roman"/>
          <w:sz w:val="24"/>
          <w:szCs w:val="24"/>
        </w:rPr>
        <w:t xml:space="preserve"> + H</w:t>
      </w:r>
      <w:r w:rsidRPr="00872186">
        <w:rPr>
          <w:rFonts w:ascii="Times New Roman" w:eastAsia="MS Mincho" w:hAnsi="Times New Roman" w:cs="Times New Roman"/>
          <w:sz w:val="24"/>
          <w:szCs w:val="24"/>
          <w:vertAlign w:val="subscript"/>
        </w:rPr>
        <w:t>2</w:t>
      </w:r>
      <w:r w:rsidRPr="00872186">
        <w:rPr>
          <w:rFonts w:ascii="Times New Roman" w:eastAsia="MS Mincho" w:hAnsi="Times New Roman" w:cs="Times New Roman"/>
          <w:sz w:val="24"/>
          <w:szCs w:val="24"/>
        </w:rPr>
        <w:t>O + CO</w:t>
      </w:r>
      <w:r w:rsidRPr="00872186">
        <w:rPr>
          <w:rFonts w:ascii="Times New Roman" w:eastAsia="MS Mincho" w:hAnsi="Times New Roman" w:cs="Times New Roman"/>
          <w:sz w:val="24"/>
          <w:szCs w:val="24"/>
          <w:vertAlign w:val="subscript"/>
        </w:rPr>
        <w:t>2</w:t>
      </w:r>
      <w:r w:rsidRPr="00872186">
        <w:rPr>
          <w:rFonts w:ascii="Times New Roman" w:eastAsia="MS Mincho" w:hAnsi="Times New Roman" w:cs="Times New Roman"/>
          <w:sz w:val="24"/>
          <w:szCs w:val="24"/>
        </w:rPr>
        <w:t xml:space="preserve"> ↑                            </w:t>
      </w:r>
      <w:r w:rsidRPr="00872186">
        <w:rPr>
          <w:rFonts w:ascii="Times New Roman" w:eastAsia="MS Mincho" w:hAnsi="Times New Roman" w:cs="Times New Roman"/>
          <w:sz w:val="24"/>
          <w:szCs w:val="24"/>
        </w:rPr>
        <w:tab/>
      </w:r>
      <w:r w:rsidRPr="00872186">
        <w:rPr>
          <w:rFonts w:ascii="Times New Roman" w:eastAsia="MS Mincho" w:hAnsi="Times New Roman" w:cs="Times New Roman"/>
          <w:sz w:val="24"/>
          <w:szCs w:val="24"/>
        </w:rPr>
        <w:tab/>
      </w:r>
      <w:r w:rsidRPr="00872186">
        <w:rPr>
          <w:rFonts w:ascii="Times New Roman" w:eastAsia="MS Mincho" w:hAnsi="Times New Roman" w:cs="Times New Roman"/>
          <w:sz w:val="24"/>
          <w:szCs w:val="24"/>
        </w:rPr>
        <w:tab/>
        <w:t xml:space="preserve">     </w:t>
      </w:r>
      <w:r w:rsidR="005D4F5F">
        <w:rPr>
          <w:rFonts w:ascii="Times New Roman" w:eastAsia="MS Mincho" w:hAnsi="Times New Roman" w:cs="Times New Roman"/>
          <w:sz w:val="24"/>
          <w:szCs w:val="24"/>
        </w:rPr>
        <w:t xml:space="preserve">       </w:t>
      </w:r>
      <w:proofErr w:type="gramStart"/>
      <w:r w:rsidR="005D4F5F">
        <w:rPr>
          <w:rFonts w:ascii="Times New Roman" w:eastAsia="MS Mincho" w:hAnsi="Times New Roman" w:cs="Times New Roman"/>
          <w:sz w:val="24"/>
          <w:szCs w:val="24"/>
        </w:rPr>
        <w:t xml:space="preserve"> </w:t>
      </w:r>
      <w:r w:rsidR="00BF5069">
        <w:rPr>
          <w:rFonts w:ascii="Times New Roman" w:eastAsia="MS Mincho" w:hAnsi="Times New Roman" w:cs="Times New Roman"/>
          <w:sz w:val="24"/>
          <w:szCs w:val="24"/>
        </w:rPr>
        <w:t xml:space="preserve">  </w:t>
      </w:r>
      <w:r w:rsidR="00BF5069" w:rsidRPr="00872186">
        <w:rPr>
          <w:rFonts w:ascii="Times New Roman" w:eastAsia="MS Mincho" w:hAnsi="Times New Roman" w:cs="Times New Roman"/>
          <w:sz w:val="24"/>
          <w:szCs w:val="24"/>
        </w:rPr>
        <w:t>(</w:t>
      </w:r>
      <w:proofErr w:type="gramEnd"/>
      <w:r w:rsidR="005D4F5F">
        <w:rPr>
          <w:rFonts w:ascii="Times New Roman" w:eastAsia="MS Mincho" w:hAnsi="Times New Roman" w:cs="Times New Roman"/>
          <w:sz w:val="24"/>
          <w:szCs w:val="24"/>
        </w:rPr>
        <w:t>9</w:t>
      </w:r>
      <w:r w:rsidRPr="00872186">
        <w:rPr>
          <w:rFonts w:ascii="Times New Roman" w:eastAsia="MS Mincho" w:hAnsi="Times New Roman" w:cs="Times New Roman"/>
          <w:sz w:val="24"/>
          <w:szCs w:val="24"/>
        </w:rPr>
        <w:t>)</w:t>
      </w:r>
    </w:p>
    <w:p w14:paraId="184E571A" w14:textId="396FA7F4" w:rsidR="00784E98" w:rsidRPr="008561B7" w:rsidRDefault="00784E98" w:rsidP="00784E98">
      <w:pPr>
        <w:spacing w:after="0" w:line="480" w:lineRule="auto"/>
        <w:ind w:left="720"/>
        <w:jc w:val="both"/>
        <w:rPr>
          <w:rFonts w:ascii="Times New Roman" w:eastAsia="MS Mincho" w:hAnsi="Times New Roman" w:cs="Times New Roman"/>
          <w:sz w:val="24"/>
          <w:szCs w:val="24"/>
          <w:lang w:val="pt-PT"/>
        </w:rPr>
      </w:pPr>
      <w:r w:rsidRPr="008561B7">
        <w:rPr>
          <w:rFonts w:ascii="Times New Roman" w:eastAsia="MS Mincho" w:hAnsi="Times New Roman" w:cs="Times New Roman"/>
          <w:sz w:val="24"/>
          <w:szCs w:val="24"/>
          <w:lang w:val="pt-PT"/>
        </w:rPr>
        <w:t>HCl + NaOH → NaCl + H</w:t>
      </w:r>
      <w:r w:rsidRPr="008561B7">
        <w:rPr>
          <w:rFonts w:ascii="Times New Roman" w:eastAsia="MS Mincho" w:hAnsi="Times New Roman" w:cs="Times New Roman"/>
          <w:sz w:val="24"/>
          <w:szCs w:val="24"/>
          <w:vertAlign w:val="subscript"/>
          <w:lang w:val="pt-PT"/>
        </w:rPr>
        <w:t>2</w:t>
      </w:r>
      <w:r w:rsidRPr="008561B7">
        <w:rPr>
          <w:rFonts w:ascii="Times New Roman" w:eastAsia="MS Mincho" w:hAnsi="Times New Roman" w:cs="Times New Roman"/>
          <w:sz w:val="24"/>
          <w:szCs w:val="24"/>
          <w:lang w:val="pt-PT"/>
        </w:rPr>
        <w:t xml:space="preserve">O                                             </w:t>
      </w:r>
      <w:r w:rsidRPr="008561B7">
        <w:rPr>
          <w:rFonts w:ascii="Times New Roman" w:eastAsia="MS Mincho" w:hAnsi="Times New Roman" w:cs="Times New Roman"/>
          <w:sz w:val="24"/>
          <w:szCs w:val="24"/>
          <w:lang w:val="pt-PT"/>
        </w:rPr>
        <w:tab/>
      </w:r>
      <w:r w:rsidRPr="008561B7">
        <w:rPr>
          <w:rFonts w:ascii="Times New Roman" w:eastAsia="MS Mincho" w:hAnsi="Times New Roman" w:cs="Times New Roman"/>
          <w:sz w:val="24"/>
          <w:szCs w:val="24"/>
          <w:lang w:val="pt-PT"/>
        </w:rPr>
        <w:tab/>
      </w:r>
      <w:r w:rsidRPr="008561B7">
        <w:rPr>
          <w:rFonts w:ascii="Times New Roman" w:eastAsia="MS Mincho" w:hAnsi="Times New Roman" w:cs="Times New Roman"/>
          <w:sz w:val="24"/>
          <w:szCs w:val="24"/>
          <w:lang w:val="pt-PT"/>
        </w:rPr>
        <w:tab/>
        <w:t xml:space="preserve">  </w:t>
      </w:r>
      <w:r w:rsidR="005D4F5F" w:rsidRPr="008561B7">
        <w:rPr>
          <w:rFonts w:ascii="Times New Roman" w:eastAsia="MS Mincho" w:hAnsi="Times New Roman" w:cs="Times New Roman"/>
          <w:sz w:val="24"/>
          <w:szCs w:val="24"/>
          <w:lang w:val="pt-PT"/>
        </w:rPr>
        <w:t xml:space="preserve">           </w:t>
      </w:r>
      <w:r w:rsidR="00BF5069" w:rsidRPr="008561B7">
        <w:rPr>
          <w:rFonts w:ascii="Times New Roman" w:eastAsia="MS Mincho" w:hAnsi="Times New Roman" w:cs="Times New Roman"/>
          <w:sz w:val="24"/>
          <w:szCs w:val="24"/>
          <w:lang w:val="pt-PT"/>
        </w:rPr>
        <w:t xml:space="preserve">  (</w:t>
      </w:r>
      <w:r w:rsidR="005D4F5F" w:rsidRPr="008561B7">
        <w:rPr>
          <w:rFonts w:ascii="Times New Roman" w:eastAsia="MS Mincho" w:hAnsi="Times New Roman" w:cs="Times New Roman"/>
          <w:sz w:val="24"/>
          <w:szCs w:val="24"/>
          <w:lang w:val="pt-PT"/>
        </w:rPr>
        <w:t>10</w:t>
      </w:r>
      <w:r w:rsidRPr="008561B7">
        <w:rPr>
          <w:rFonts w:ascii="Times New Roman" w:eastAsia="MS Mincho" w:hAnsi="Times New Roman" w:cs="Times New Roman"/>
          <w:sz w:val="24"/>
          <w:szCs w:val="24"/>
          <w:lang w:val="pt-PT"/>
        </w:rPr>
        <w:t>)</w:t>
      </w:r>
    </w:p>
    <w:p w14:paraId="10702D8E" w14:textId="3AB93914" w:rsidR="00784E98" w:rsidRPr="008561B7" w:rsidRDefault="00784E98" w:rsidP="00784E98">
      <w:pPr>
        <w:ind w:firstLine="720"/>
        <w:rPr>
          <w:rFonts w:ascii="Times New Roman" w:eastAsia="Calibri" w:hAnsi="Times New Roman" w:cs="Times New Roman"/>
          <w:sz w:val="24"/>
          <w:szCs w:val="24"/>
          <w:lang w:val="pt-PT"/>
        </w:rPr>
      </w:pPr>
      <w:r w:rsidRPr="008561B7">
        <w:rPr>
          <w:rFonts w:ascii="Times New Roman" w:eastAsia="MS Gothic" w:hAnsi="Times New Roman" w:cs="Times New Roman"/>
          <w:b/>
          <w:bCs/>
          <w:sz w:val="24"/>
          <w:szCs w:val="24"/>
          <w:lang w:val="pt-PT"/>
        </w:rPr>
        <w:t>Formula for % CaCO₃</w:t>
      </w:r>
      <m:oMath>
        <m:r>
          <m:rPr>
            <m:sty m:val="bi"/>
          </m:rPr>
          <w:rPr>
            <w:rFonts w:ascii="Cambria Math" w:eastAsia="MS Gothic" w:hAnsi="Cambria Math" w:cs="Times New Roman"/>
            <w:sz w:val="24"/>
            <w:szCs w:val="24"/>
            <w:lang w:val="pt-PT"/>
          </w:rPr>
          <m:t xml:space="preserve"> </m:t>
        </m:r>
        <m:r>
          <w:rPr>
            <w:rFonts w:ascii="Cambria Math" w:eastAsia="Calibri" w:hAnsi="Cambria Math" w:cs="Times New Roman"/>
            <w:sz w:val="24"/>
            <w:szCs w:val="24"/>
            <w:lang w:val="pt-PT"/>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lang w:val="pt-PT"/>
              </w:rPr>
              <m:t>[</m:t>
            </m:r>
            <m:d>
              <m:dPr>
                <m:ctrlPr>
                  <w:rPr>
                    <w:rFonts w:ascii="Cambria Math" w:eastAsia="Calibri" w:hAnsi="Cambria Math" w:cs="Times New Roman"/>
                    <w:i/>
                    <w:sz w:val="24"/>
                    <w:szCs w:val="24"/>
                  </w:rPr>
                </m:ctrlPr>
              </m:dPr>
              <m:e>
                <m:r>
                  <w:rPr>
                    <w:rFonts w:ascii="Cambria Math" w:eastAsia="Calibri" w:hAnsi="Cambria Math" w:cs="Times New Roman"/>
                    <w:sz w:val="24"/>
                    <w:szCs w:val="24"/>
                  </w:rPr>
                  <m:t>V</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HCl</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M</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HCl</m:t>
                </m:r>
              </m:e>
            </m:d>
            <m:r>
              <w:rPr>
                <w:rFonts w:ascii="Cambria Math" w:eastAsia="Calibri" w:hAnsi="Cambria Math" w:cs="Times New Roman"/>
                <w:sz w:val="24"/>
                <w:szCs w:val="24"/>
                <w:lang w:val="pt-PT"/>
              </w:rPr>
              <m:t>-</m:t>
            </m:r>
            <m:d>
              <m:dPr>
                <m:ctrlPr>
                  <w:rPr>
                    <w:rFonts w:ascii="Cambria Math" w:eastAsia="Calibri" w:hAnsi="Cambria Math" w:cs="Times New Roman"/>
                    <w:i/>
                    <w:sz w:val="24"/>
                    <w:szCs w:val="24"/>
                  </w:rPr>
                </m:ctrlPr>
              </m:dPr>
              <m:e>
                <m:r>
                  <w:rPr>
                    <w:rFonts w:ascii="Cambria Math" w:eastAsia="Calibri" w:hAnsi="Cambria Math" w:cs="Times New Roman"/>
                    <w:sz w:val="24"/>
                    <w:szCs w:val="24"/>
                  </w:rPr>
                  <m:t>V</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NaOH</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M</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NaOH</m:t>
                </m:r>
              </m:e>
            </m:d>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d>
              <m:dPr>
                <m:ctrlPr>
                  <w:rPr>
                    <w:rFonts w:ascii="Cambria Math" w:eastAsia="Calibri" w:hAnsi="Cambria Math" w:cs="Times New Roman"/>
                    <w:i/>
                    <w:sz w:val="24"/>
                    <w:szCs w:val="24"/>
                  </w:rPr>
                </m:ctrlPr>
              </m:dPr>
              <m:e>
                <m:r>
                  <w:rPr>
                    <w:rFonts w:ascii="Cambria Math" w:eastAsia="Calibri" w:hAnsi="Cambria Math" w:cs="Times New Roman"/>
                    <w:sz w:val="24"/>
                    <w:szCs w:val="24"/>
                  </w:rPr>
                  <m:t>V</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total</m:t>
                    </m:r>
                  </m:num>
                  <m:den>
                    <m:r>
                      <w:rPr>
                        <w:rFonts w:ascii="Cambria Math" w:eastAsia="Calibri" w:hAnsi="Cambria Math" w:cs="Times New Roman"/>
                        <w:sz w:val="24"/>
                        <w:szCs w:val="24"/>
                      </w:rPr>
                      <m:t>V</m:t>
                    </m:r>
                  </m:den>
                </m:f>
                <m:r>
                  <w:rPr>
                    <w:rFonts w:ascii="Cambria Math" w:eastAsia="Calibri" w:hAnsi="Cambria Math" w:cs="Times New Roman"/>
                    <w:sz w:val="24"/>
                    <w:szCs w:val="24"/>
                  </w:rPr>
                  <m:t>aliquot</m:t>
                </m:r>
              </m:e>
            </m:d>
            <m:r>
              <w:rPr>
                <w:rFonts w:ascii="Cambria Math" w:eastAsia="Calibri" w:hAnsi="Cambria Math" w:cs="Times New Roman"/>
                <w:sz w:val="24"/>
                <w:szCs w:val="24"/>
                <w:lang w:val="pt-PT"/>
              </w:rPr>
              <m:t>]</m:t>
            </m:r>
          </m:num>
          <m:den>
            <m:r>
              <w:rPr>
                <w:rFonts w:ascii="Cambria Math" w:eastAsia="Calibri" w:hAnsi="Cambria Math" w:cs="Times New Roman"/>
                <w:sz w:val="24"/>
                <w:szCs w:val="24"/>
                <w:lang w:val="pt-PT"/>
              </w:rPr>
              <m:t xml:space="preserve">2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d>
              <m:dPr>
                <m:ctrlPr>
                  <w:rPr>
                    <w:rFonts w:ascii="Cambria Math" w:eastAsia="Calibri" w:hAnsi="Cambria Math" w:cs="Times New Roman"/>
                    <w:i/>
                    <w:sz w:val="24"/>
                    <w:szCs w:val="24"/>
                  </w:rPr>
                </m:ctrlPr>
              </m:dPr>
              <m:e>
                <m:f>
                  <m:fPr>
                    <m:ctrlPr>
                      <w:rPr>
                        <w:rFonts w:ascii="Cambria Math" w:eastAsia="Calibri" w:hAnsi="Cambria Math" w:cs="Times New Roman"/>
                        <w:i/>
                        <w:sz w:val="24"/>
                        <w:szCs w:val="24"/>
                      </w:rPr>
                    </m:ctrlPr>
                  </m:fPr>
                  <m:num>
                    <m:r>
                      <w:rPr>
                        <w:rFonts w:ascii="Cambria Math" w:eastAsia="Calibri" w:hAnsi="Cambria Math" w:cs="Times New Roman"/>
                        <w:sz w:val="24"/>
                        <w:szCs w:val="24"/>
                        <w:lang w:val="pt-PT"/>
                      </w:rPr>
                      <m:t>100.9</m:t>
                    </m:r>
                  </m:num>
                  <m:den>
                    <m:r>
                      <w:rPr>
                        <w:rFonts w:ascii="Cambria Math" w:eastAsia="Calibri" w:hAnsi="Cambria Math" w:cs="Times New Roman"/>
                        <w:sz w:val="24"/>
                        <w:szCs w:val="24"/>
                      </w:rPr>
                      <m:t>m</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Soil</m:t>
                    </m:r>
                  </m:den>
                </m:f>
              </m:e>
            </m:d>
          </m:den>
        </m:f>
      </m:oMath>
      <w:r w:rsidRPr="008561B7">
        <w:rPr>
          <w:rFonts w:ascii="Times New Roman" w:eastAsia="MS Gothic" w:hAnsi="Times New Roman" w:cs="Times New Roman"/>
          <w:sz w:val="24"/>
          <w:szCs w:val="24"/>
          <w:lang w:val="pt-PT"/>
        </w:rPr>
        <w:t xml:space="preserve"> x 100</w:t>
      </w:r>
      <w:r w:rsidRPr="008561B7">
        <w:rPr>
          <w:rFonts w:ascii="Times New Roman" w:eastAsia="Calibri" w:hAnsi="Times New Roman" w:cs="Times New Roman"/>
          <w:sz w:val="24"/>
          <w:szCs w:val="24"/>
          <w:lang w:val="pt-PT"/>
        </w:rPr>
        <w:t xml:space="preserve">     </w:t>
      </w:r>
      <w:r w:rsidRPr="008561B7">
        <w:rPr>
          <w:rFonts w:ascii="Times New Roman" w:eastAsia="MS Mincho" w:hAnsi="Times New Roman" w:cs="Times New Roman"/>
          <w:sz w:val="24"/>
          <w:szCs w:val="24"/>
          <w:lang w:val="pt-PT"/>
        </w:rPr>
        <w:t>(</w:t>
      </w:r>
      <w:r w:rsidR="005D4F5F" w:rsidRPr="008561B7">
        <w:rPr>
          <w:rFonts w:ascii="Times New Roman" w:eastAsia="MS Mincho" w:hAnsi="Times New Roman" w:cs="Times New Roman"/>
          <w:sz w:val="24"/>
          <w:szCs w:val="24"/>
          <w:lang w:val="pt-PT"/>
        </w:rPr>
        <w:t>11</w:t>
      </w:r>
      <w:r w:rsidRPr="008561B7">
        <w:rPr>
          <w:rFonts w:ascii="Times New Roman" w:eastAsia="MS Mincho" w:hAnsi="Times New Roman" w:cs="Times New Roman"/>
          <w:sz w:val="24"/>
          <w:szCs w:val="24"/>
          <w:lang w:val="pt-PT"/>
        </w:rPr>
        <w:t>)</w:t>
      </w:r>
    </w:p>
    <w:p w14:paraId="59A2BE12" w14:textId="77777777" w:rsidR="00C01474" w:rsidRDefault="00784E98" w:rsidP="00C01474">
      <w:pPr>
        <w:spacing w:after="0" w:line="360" w:lineRule="auto"/>
        <w:ind w:left="720"/>
        <w:jc w:val="both"/>
        <w:rPr>
          <w:rFonts w:ascii="Times New Roman" w:eastAsia="MS Mincho" w:hAnsi="Times New Roman" w:cs="Times New Roman"/>
          <w:sz w:val="24"/>
          <w:szCs w:val="24"/>
        </w:rPr>
      </w:pPr>
      <w:r w:rsidRPr="00872186">
        <w:rPr>
          <w:rFonts w:ascii="Times New Roman" w:eastAsia="MS Mincho" w:hAnsi="Times New Roman" w:cs="Times New Roman"/>
          <w:sz w:val="24"/>
          <w:szCs w:val="24"/>
        </w:rPr>
        <w:t xml:space="preserve">where: </w:t>
      </w:r>
      <w:proofErr w:type="spellStart"/>
      <w:r w:rsidRPr="00872186">
        <w:rPr>
          <w:rFonts w:ascii="Times New Roman" w:eastAsia="MS Mincho" w:hAnsi="Times New Roman" w:cs="Times New Roman"/>
          <w:sz w:val="24"/>
          <w:szCs w:val="24"/>
        </w:rPr>
        <w:t>V_HCl</w:t>
      </w:r>
      <w:proofErr w:type="spellEnd"/>
      <w:r w:rsidRPr="00872186">
        <w:rPr>
          <w:rFonts w:ascii="Times New Roman" w:eastAsia="MS Mincho" w:hAnsi="Times New Roman" w:cs="Times New Roman"/>
          <w:sz w:val="24"/>
          <w:szCs w:val="24"/>
        </w:rPr>
        <w:t xml:space="preserve"> = Volume of HCl added (L); </w:t>
      </w:r>
      <w:proofErr w:type="spellStart"/>
      <w:r w:rsidRPr="00872186">
        <w:rPr>
          <w:rFonts w:ascii="Times New Roman" w:eastAsia="MS Mincho" w:hAnsi="Times New Roman" w:cs="Times New Roman"/>
          <w:sz w:val="24"/>
          <w:szCs w:val="24"/>
        </w:rPr>
        <w:t>M_HCl</w:t>
      </w:r>
      <w:proofErr w:type="spellEnd"/>
      <w:r w:rsidRPr="00872186">
        <w:rPr>
          <w:rFonts w:ascii="Times New Roman" w:eastAsia="MS Mincho" w:hAnsi="Times New Roman" w:cs="Times New Roman"/>
          <w:sz w:val="24"/>
          <w:szCs w:val="24"/>
        </w:rPr>
        <w:t xml:space="preserve"> = Molarity of HCl; </w:t>
      </w:r>
      <w:proofErr w:type="spellStart"/>
      <w:r w:rsidRPr="00872186">
        <w:rPr>
          <w:rFonts w:ascii="Times New Roman" w:eastAsia="MS Mincho" w:hAnsi="Times New Roman" w:cs="Times New Roman"/>
          <w:sz w:val="24"/>
          <w:szCs w:val="24"/>
        </w:rPr>
        <w:t>V_NaOH</w:t>
      </w:r>
      <w:proofErr w:type="spellEnd"/>
      <w:r w:rsidRPr="00872186">
        <w:rPr>
          <w:rFonts w:ascii="Times New Roman" w:eastAsia="MS Mincho" w:hAnsi="Times New Roman" w:cs="Times New Roman"/>
          <w:sz w:val="24"/>
          <w:szCs w:val="24"/>
        </w:rPr>
        <w:t xml:space="preserve"> = Volume of NaOH used (L); </w:t>
      </w:r>
      <w:proofErr w:type="spellStart"/>
      <w:r w:rsidRPr="00872186">
        <w:rPr>
          <w:rFonts w:ascii="Times New Roman" w:eastAsia="MS Mincho" w:hAnsi="Times New Roman" w:cs="Times New Roman"/>
          <w:sz w:val="24"/>
          <w:szCs w:val="24"/>
        </w:rPr>
        <w:t>M_NaOH</w:t>
      </w:r>
      <w:proofErr w:type="spellEnd"/>
      <w:r w:rsidRPr="00872186">
        <w:rPr>
          <w:rFonts w:ascii="Times New Roman" w:eastAsia="MS Mincho" w:hAnsi="Times New Roman" w:cs="Times New Roman"/>
          <w:sz w:val="24"/>
          <w:szCs w:val="24"/>
        </w:rPr>
        <w:t xml:space="preserve"> = Molarity of NaOH; </w:t>
      </w:r>
      <w:proofErr w:type="spellStart"/>
      <w:r w:rsidRPr="00872186">
        <w:rPr>
          <w:rFonts w:ascii="Times New Roman" w:eastAsia="MS Mincho" w:hAnsi="Times New Roman" w:cs="Times New Roman"/>
          <w:sz w:val="24"/>
          <w:szCs w:val="24"/>
        </w:rPr>
        <w:t>V_total</w:t>
      </w:r>
      <w:proofErr w:type="spellEnd"/>
      <w:r w:rsidRPr="00872186">
        <w:rPr>
          <w:rFonts w:ascii="Times New Roman" w:eastAsia="MS Mincho" w:hAnsi="Times New Roman" w:cs="Times New Roman"/>
          <w:sz w:val="24"/>
          <w:szCs w:val="24"/>
        </w:rPr>
        <w:t xml:space="preserve"> = Total volume of supernatant (L); V_aliquot = Aliquot taken (L), </w:t>
      </w:r>
      <w:proofErr w:type="spellStart"/>
      <w:r w:rsidRPr="00872186">
        <w:rPr>
          <w:rFonts w:ascii="Times New Roman" w:eastAsia="MS Mincho" w:hAnsi="Times New Roman" w:cs="Times New Roman"/>
          <w:sz w:val="24"/>
          <w:szCs w:val="24"/>
        </w:rPr>
        <w:t>m_soil</w:t>
      </w:r>
      <w:proofErr w:type="spellEnd"/>
      <w:r w:rsidRPr="00872186">
        <w:rPr>
          <w:rFonts w:ascii="Times New Roman" w:eastAsia="MS Mincho" w:hAnsi="Times New Roman" w:cs="Times New Roman"/>
          <w:sz w:val="24"/>
          <w:szCs w:val="24"/>
        </w:rPr>
        <w:t xml:space="preserve"> = Soil mass (g) and 100.09 = Molar mass of </w:t>
      </w:r>
      <w:proofErr w:type="spellStart"/>
      <w:r w:rsidRPr="00872186">
        <w:rPr>
          <w:rFonts w:ascii="Times New Roman" w:eastAsia="MS Mincho" w:hAnsi="Times New Roman" w:cs="Times New Roman"/>
          <w:sz w:val="24"/>
          <w:szCs w:val="24"/>
        </w:rPr>
        <w:t>CaCO</w:t>
      </w:r>
      <w:proofErr w:type="spellEnd"/>
      <w:r w:rsidRPr="00872186">
        <w:rPr>
          <w:rFonts w:ascii="Times New Roman" w:eastAsia="MS Mincho" w:hAnsi="Times New Roman" w:cs="Times New Roman"/>
          <w:sz w:val="24"/>
          <w:szCs w:val="24"/>
        </w:rPr>
        <w:t>₃</w:t>
      </w:r>
    </w:p>
    <w:p w14:paraId="4FF56477" w14:textId="13846852" w:rsidR="00784E98" w:rsidRPr="00C01474" w:rsidRDefault="00784E98" w:rsidP="00C01474">
      <w:pPr>
        <w:spacing w:after="0" w:line="360" w:lineRule="auto"/>
        <w:jc w:val="both"/>
        <w:rPr>
          <w:rFonts w:ascii="Times New Roman" w:eastAsia="MS Mincho" w:hAnsi="Times New Roman" w:cs="Times New Roman"/>
          <w:sz w:val="24"/>
          <w:szCs w:val="24"/>
        </w:rPr>
      </w:pPr>
      <w:r w:rsidRPr="00872186">
        <w:rPr>
          <w:rFonts w:ascii="Times New Roman" w:eastAsia="MS Gothic" w:hAnsi="Times New Roman" w:cs="Times New Roman"/>
          <w:b/>
          <w:bCs/>
          <w:sz w:val="24"/>
          <w:szCs w:val="24"/>
        </w:rPr>
        <w:t>Determination of available phosphorus in soil (Olsen Method)</w:t>
      </w:r>
    </w:p>
    <w:p w14:paraId="141BFDFA" w14:textId="77777777" w:rsidR="00784E98" w:rsidRPr="00872186" w:rsidRDefault="00784E98" w:rsidP="00C01474">
      <w:pPr>
        <w:spacing w:line="480" w:lineRule="auto"/>
        <w:jc w:val="both"/>
        <w:rPr>
          <w:rFonts w:ascii="Times New Roman" w:eastAsia="MS Mincho" w:hAnsi="Times New Roman" w:cs="Times New Roman"/>
          <w:sz w:val="24"/>
          <w:szCs w:val="24"/>
        </w:rPr>
      </w:pPr>
      <w:r w:rsidRPr="00872186">
        <w:rPr>
          <w:rFonts w:ascii="Times New Roman" w:eastAsia="MS Mincho" w:hAnsi="Times New Roman" w:cs="Times New Roman"/>
          <w:sz w:val="24"/>
          <w:szCs w:val="24"/>
        </w:rPr>
        <w:t xml:space="preserve">The Olsen method was employed to determine the available phosphorus content in soil samples. About 5.0 g portion of air-dried soil was transferred into a 250 mL shaking bottle, and 100 mL of sodium bicarbonate extractant (0.5 M) </w:t>
      </w:r>
      <w:proofErr w:type="spellStart"/>
      <w:r w:rsidRPr="00872186">
        <w:rPr>
          <w:rFonts w:ascii="Times New Roman" w:eastAsia="MS Mincho" w:hAnsi="Times New Roman" w:cs="Times New Roman"/>
          <w:sz w:val="24"/>
          <w:szCs w:val="24"/>
        </w:rPr>
        <w:t>NaHCO</w:t>
      </w:r>
      <w:proofErr w:type="spellEnd"/>
      <w:r w:rsidRPr="00872186">
        <w:rPr>
          <w:rFonts w:ascii="Times New Roman" w:eastAsia="MS Mincho" w:hAnsi="Times New Roman" w:cs="Times New Roman"/>
          <w:sz w:val="24"/>
          <w:szCs w:val="24"/>
        </w:rPr>
        <w:t xml:space="preserve">₃ adjusted to pH 8.5 with 1 M NaOH) was added. The suspension was shaken for 30 minutes and filtered through Whatman No. 42 filter paper. From the extract, 5 mL of the sample was pipetted into a test tube, followed by the addition of 5 mL of mixed reagent prepared by successively adding 50 mL of 4 M H₂SO₄, 15 mL of 4% ammonium molybdate, 30 mL of 1.75% ascorbic acid, 5 mL of 0.275% potassium antimony tartrate, and 200 mL of distilled water into a 500 mL volumetric flask. The solution was shaken and allowed to stand for one hour for the development of a blue color complex (molybdenum blue). The absorbance of the resulting solution was measured at either 882 nm or 720 nm using a spectrophotometer. This method, originally described by Olsen </w:t>
      </w:r>
      <w:r w:rsidRPr="00872186">
        <w:rPr>
          <w:rFonts w:ascii="Times New Roman" w:eastAsia="MS Mincho" w:hAnsi="Times New Roman" w:cs="Times New Roman"/>
          <w:i/>
          <w:iCs/>
          <w:sz w:val="24"/>
          <w:szCs w:val="24"/>
        </w:rPr>
        <w:t>et al</w:t>
      </w:r>
      <w:r w:rsidRPr="00872186">
        <w:rPr>
          <w:rFonts w:ascii="Times New Roman" w:eastAsia="MS Mincho" w:hAnsi="Times New Roman" w:cs="Times New Roman"/>
          <w:sz w:val="24"/>
          <w:szCs w:val="24"/>
        </w:rPr>
        <w:t>. (1954), has been widely modified and standardized in subsequent studies.</w:t>
      </w:r>
    </w:p>
    <w:p w14:paraId="10EB2402" w14:textId="77777777" w:rsidR="00784E98" w:rsidRPr="00872186" w:rsidRDefault="00784E98" w:rsidP="00784E98">
      <w:pPr>
        <w:keepNext/>
        <w:keepLines/>
        <w:spacing w:before="200" w:after="0" w:line="480" w:lineRule="auto"/>
        <w:ind w:left="720"/>
        <w:jc w:val="both"/>
        <w:outlineLvl w:val="1"/>
        <w:rPr>
          <w:rFonts w:ascii="Times New Roman" w:eastAsia="MS Gothic" w:hAnsi="Times New Roman" w:cs="Times New Roman"/>
          <w:b/>
          <w:bCs/>
          <w:sz w:val="24"/>
          <w:szCs w:val="24"/>
        </w:rPr>
      </w:pPr>
      <w:r w:rsidRPr="00872186">
        <w:rPr>
          <w:rFonts w:ascii="Times New Roman" w:eastAsia="MS Gothic" w:hAnsi="Times New Roman" w:cs="Times New Roman"/>
          <w:b/>
          <w:bCs/>
          <w:sz w:val="24"/>
          <w:szCs w:val="24"/>
        </w:rPr>
        <w:lastRenderedPageBreak/>
        <w:t>Formula for Available Phosphorus (Olsen P)</w:t>
      </w:r>
    </w:p>
    <w:p w14:paraId="27D11F71" w14:textId="7AE57B42" w:rsidR="00784E98" w:rsidRPr="00872186" w:rsidRDefault="00784E98" w:rsidP="00784E98">
      <w:pPr>
        <w:ind w:left="720" w:firstLine="720"/>
        <w:rPr>
          <w:rFonts w:ascii="Times New Roman" w:eastAsia="MS Mincho" w:hAnsi="Times New Roman" w:cs="Times New Roman"/>
          <w:sz w:val="24"/>
          <w:szCs w:val="24"/>
        </w:rPr>
      </w:pPr>
      <w:r w:rsidRPr="00872186">
        <w:rPr>
          <w:rFonts w:ascii="Times New Roman" w:eastAsia="MS Mincho" w:hAnsi="Times New Roman" w:cs="Times New Roman"/>
          <w:sz w:val="24"/>
          <w:szCs w:val="24"/>
        </w:rPr>
        <w:t xml:space="preserve">Available P (mg/kg)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r>
                  <w:rPr>
                    <w:rFonts w:ascii="Cambria Math" w:eastAsia="Calibri" w:hAnsi="Cambria Math" w:cs="Times New Roman"/>
                    <w:sz w:val="24"/>
                    <w:szCs w:val="24"/>
                  </w:rPr>
                  <m:t>S-B</m:t>
                </m:r>
              </m:e>
            </m:d>
            <m:r>
              <w:rPr>
                <w:rFonts w:ascii="Cambria Math" w:eastAsia="Calibri" w:hAnsi="Cambria Math" w:cs="Times New Roman"/>
                <w:sz w:val="24"/>
                <w:szCs w:val="24"/>
              </w:rPr>
              <m:t xml:space="preserve"> x D x 100 x Mcf</m:t>
            </m:r>
          </m:num>
          <m:den>
            <m:r>
              <w:rPr>
                <w:rFonts w:ascii="Cambria Math" w:eastAsia="Calibri" w:hAnsi="Cambria Math" w:cs="Times New Roman"/>
                <w:sz w:val="24"/>
                <w:szCs w:val="24"/>
              </w:rPr>
              <m:t>W</m:t>
            </m:r>
          </m:den>
        </m:f>
        <m:r>
          <m:rPr>
            <m:nor/>
          </m:rPr>
          <w:rPr>
            <w:rFonts w:ascii="Times New Roman" w:eastAsia="Calibri" w:hAnsi="Times New Roman" w:cs="Times New Roman"/>
            <w:b/>
            <w:bCs/>
            <w:sz w:val="24"/>
            <w:szCs w:val="24"/>
          </w:rPr>
          <m:t>}</m:t>
        </m:r>
      </m:oMath>
      <w:r w:rsidRPr="00872186">
        <w:rPr>
          <w:rFonts w:ascii="Times New Roman" w:eastAsia="MS Mincho" w:hAnsi="Times New Roman" w:cs="Times New Roman"/>
          <w:sz w:val="24"/>
          <w:szCs w:val="24"/>
        </w:rPr>
        <w:t xml:space="preserve"> </w:t>
      </w:r>
      <w:r w:rsidRPr="00872186">
        <w:rPr>
          <w:rFonts w:ascii="Times New Roman" w:eastAsia="MS Mincho" w:hAnsi="Times New Roman" w:cs="Times New Roman"/>
          <w:sz w:val="24"/>
          <w:szCs w:val="24"/>
        </w:rPr>
        <w:tab/>
      </w:r>
      <w:r w:rsidRPr="00872186">
        <w:rPr>
          <w:rFonts w:ascii="Times New Roman" w:eastAsia="MS Mincho" w:hAnsi="Times New Roman" w:cs="Times New Roman"/>
          <w:sz w:val="24"/>
          <w:szCs w:val="24"/>
        </w:rPr>
        <w:tab/>
      </w:r>
      <w:r w:rsidRPr="00872186">
        <w:rPr>
          <w:rFonts w:ascii="Times New Roman" w:eastAsia="MS Mincho" w:hAnsi="Times New Roman" w:cs="Times New Roman"/>
          <w:sz w:val="24"/>
          <w:szCs w:val="24"/>
        </w:rPr>
        <w:tab/>
      </w:r>
      <w:r w:rsidRPr="00872186">
        <w:rPr>
          <w:rFonts w:ascii="Times New Roman" w:eastAsia="MS Mincho" w:hAnsi="Times New Roman" w:cs="Times New Roman"/>
          <w:sz w:val="24"/>
          <w:szCs w:val="24"/>
        </w:rPr>
        <w:tab/>
        <w:t xml:space="preserve"> (</w:t>
      </w:r>
      <w:r w:rsidR="006F6733">
        <w:rPr>
          <w:rFonts w:ascii="Times New Roman" w:eastAsia="MS Mincho" w:hAnsi="Times New Roman" w:cs="Times New Roman"/>
          <w:sz w:val="24"/>
          <w:szCs w:val="24"/>
        </w:rPr>
        <w:t>11</w:t>
      </w:r>
      <w:r w:rsidRPr="00872186">
        <w:rPr>
          <w:rFonts w:ascii="Times New Roman" w:eastAsia="MS Mincho" w:hAnsi="Times New Roman" w:cs="Times New Roman"/>
          <w:sz w:val="24"/>
          <w:szCs w:val="24"/>
        </w:rPr>
        <w:t>)</w:t>
      </w:r>
    </w:p>
    <w:p w14:paraId="2CF76E48" w14:textId="77777777" w:rsidR="00C01474" w:rsidRDefault="00784E98" w:rsidP="00C01474">
      <w:pPr>
        <w:spacing w:line="360" w:lineRule="auto"/>
        <w:ind w:left="720"/>
        <w:jc w:val="both"/>
        <w:rPr>
          <w:rFonts w:ascii="Times New Roman" w:eastAsia="Calibri" w:hAnsi="Times New Roman" w:cs="Times New Roman"/>
          <w:sz w:val="24"/>
          <w:szCs w:val="24"/>
        </w:rPr>
      </w:pPr>
      <w:r w:rsidRPr="00872186">
        <w:rPr>
          <w:rFonts w:ascii="Times New Roman" w:eastAsia="MS Mincho" w:hAnsi="Times New Roman" w:cs="Times New Roman"/>
          <w:sz w:val="24"/>
          <w:szCs w:val="24"/>
        </w:rPr>
        <w:t>where: S = P concentration in the sample extract (mg/L) from spectrophotometer; B = P concentration in the blank (mg/L); D = Dilution factor (normally 1 if undiluted); 100 = Volume of extractant added (mL); W = Weight of soil sample (g) and Mcf = Moisture correction factor</w:t>
      </w:r>
      <w:r w:rsidRPr="00872186">
        <w:rPr>
          <w:rFonts w:ascii="Times New Roman" w:eastAsia="Calibri" w:hAnsi="Times New Roman" w:cs="Times New Roman"/>
          <w:sz w:val="24"/>
          <w:szCs w:val="24"/>
        </w:rPr>
        <w:t>.</w:t>
      </w:r>
    </w:p>
    <w:p w14:paraId="28F5D94E" w14:textId="247EBBCD" w:rsidR="00784E98" w:rsidRPr="00C01474" w:rsidRDefault="00784E98" w:rsidP="00C01474">
      <w:pPr>
        <w:spacing w:line="360" w:lineRule="auto"/>
        <w:jc w:val="both"/>
        <w:rPr>
          <w:rFonts w:ascii="Times New Roman" w:eastAsia="Calibri" w:hAnsi="Times New Roman" w:cs="Times New Roman"/>
          <w:sz w:val="24"/>
          <w:szCs w:val="24"/>
        </w:rPr>
      </w:pPr>
      <w:r w:rsidRPr="00872186">
        <w:rPr>
          <w:rFonts w:ascii="Times New Roman" w:eastAsia="Calibri" w:hAnsi="Times New Roman" w:cs="Times New Roman"/>
          <w:b/>
          <w:sz w:val="24"/>
          <w:szCs w:val="24"/>
        </w:rPr>
        <w:t xml:space="preserve">Metal contents (Fe, Pb, Zn, Cd, Ni, Cr and Cu) </w:t>
      </w:r>
    </w:p>
    <w:p w14:paraId="7A9E3F07" w14:textId="77777777" w:rsidR="00784E98" w:rsidRPr="00872186" w:rsidRDefault="00784E98" w:rsidP="00C01474">
      <w:pPr>
        <w:spacing w:line="480" w:lineRule="auto"/>
        <w:jc w:val="both"/>
        <w:rPr>
          <w:rFonts w:ascii="Times New Roman" w:eastAsia="MS Gothic" w:hAnsi="Times New Roman" w:cs="Times New Roman"/>
          <w:bCs/>
          <w:sz w:val="24"/>
          <w:szCs w:val="24"/>
        </w:rPr>
      </w:pPr>
      <w:r w:rsidRPr="00872186">
        <w:rPr>
          <w:rFonts w:ascii="Times New Roman" w:eastAsia="Calibri" w:hAnsi="Times New Roman" w:cs="Times New Roman"/>
          <w:b/>
          <w:sz w:val="24"/>
          <w:szCs w:val="24"/>
        </w:rPr>
        <w:t>HClO</w:t>
      </w:r>
      <w:r w:rsidRPr="00872186">
        <w:rPr>
          <w:rFonts w:ascii="Times New Roman" w:eastAsia="Calibri" w:hAnsi="Times New Roman" w:cs="Times New Roman"/>
          <w:b/>
          <w:sz w:val="24"/>
          <w:szCs w:val="24"/>
          <w:vertAlign w:val="subscript"/>
        </w:rPr>
        <w:t>4</w:t>
      </w:r>
      <w:r w:rsidRPr="00872186">
        <w:rPr>
          <w:rFonts w:ascii="Times New Roman" w:eastAsia="Calibri" w:hAnsi="Times New Roman" w:cs="Times New Roman"/>
          <w:b/>
          <w:sz w:val="24"/>
          <w:szCs w:val="24"/>
        </w:rPr>
        <w:t xml:space="preserve">-HF Digestion: </w:t>
      </w:r>
      <w:r w:rsidRPr="00872186">
        <w:rPr>
          <w:rFonts w:ascii="Times New Roman" w:eastAsia="Times New Roman" w:hAnsi="Times New Roman" w:cs="Times New Roman"/>
          <w:sz w:val="24"/>
          <w:szCs w:val="24"/>
        </w:rPr>
        <w:t>About 1.0 g of soil sample (</w:t>
      </w:r>
      <w:r w:rsidRPr="00872186">
        <w:rPr>
          <w:rFonts w:ascii="Times New Roman" w:eastAsia="MS Gothic" w:hAnsi="Times New Roman" w:cs="Times New Roman"/>
          <w:bCs/>
          <w:sz w:val="24"/>
          <w:szCs w:val="24"/>
        </w:rPr>
        <w:t>less than 2 mm</w:t>
      </w:r>
      <w:r w:rsidRPr="00872186">
        <w:rPr>
          <w:rFonts w:ascii="Times New Roman" w:eastAsia="Times New Roman" w:hAnsi="Times New Roman" w:cs="Times New Roman"/>
          <w:sz w:val="24"/>
          <w:szCs w:val="24"/>
        </w:rPr>
        <w:t xml:space="preserve">) was transferred into a clean 100 mL </w:t>
      </w:r>
      <w:r w:rsidRPr="00872186">
        <w:rPr>
          <w:rFonts w:ascii="Times New Roman" w:eastAsia="MS Gothic" w:hAnsi="Times New Roman" w:cs="Times New Roman"/>
          <w:bCs/>
          <w:sz w:val="24"/>
          <w:szCs w:val="24"/>
        </w:rPr>
        <w:t>Teflon (PTFE) digestion vessels were used to withstand HF corrosion</w:t>
      </w:r>
      <w:r w:rsidRPr="00872186">
        <w:rPr>
          <w:rFonts w:ascii="Times New Roman" w:eastAsia="Times New Roman" w:hAnsi="Times New Roman" w:cs="Times New Roman"/>
          <w:sz w:val="24"/>
          <w:szCs w:val="24"/>
        </w:rPr>
        <w:t xml:space="preserve"> and wetted with 5 mL of distilled water. Subsequently, 2 mL of HClO</w:t>
      </w:r>
      <w:r w:rsidRPr="00872186">
        <w:rPr>
          <w:rFonts w:ascii="Times New Roman" w:eastAsia="Times New Roman" w:hAnsi="Times New Roman" w:cs="Times New Roman"/>
          <w:sz w:val="24"/>
          <w:szCs w:val="24"/>
          <w:vertAlign w:val="subscript"/>
        </w:rPr>
        <w:t>4</w:t>
      </w:r>
      <w:r w:rsidRPr="00872186">
        <w:rPr>
          <w:rFonts w:ascii="Times New Roman" w:eastAsia="Times New Roman" w:hAnsi="Times New Roman" w:cs="Times New Roman"/>
          <w:sz w:val="24"/>
          <w:szCs w:val="24"/>
        </w:rPr>
        <w:t xml:space="preserve"> (70%) and 12 mL of HF (40%) were added, and the mixture was heated</w:t>
      </w:r>
      <w:r w:rsidRPr="00872186">
        <w:rPr>
          <w:rFonts w:ascii="Times New Roman" w:eastAsia="MS Gothic" w:hAnsi="Times New Roman" w:cs="Times New Roman"/>
          <w:bCs/>
          <w:sz w:val="24"/>
          <w:szCs w:val="24"/>
        </w:rPr>
        <w:t xml:space="preserve"> on a hotplate with temperature control </w:t>
      </w:r>
      <w:r w:rsidRPr="00872186">
        <w:rPr>
          <w:rFonts w:ascii="Times New Roman" w:eastAsia="Times New Roman" w:hAnsi="Times New Roman" w:cs="Times New Roman"/>
          <w:sz w:val="24"/>
          <w:szCs w:val="24"/>
        </w:rPr>
        <w:t>to incipient dryness. Thereafter, 8 mL of HF was added again and heated to dryness. To the residue, 2 mL of HClO</w:t>
      </w:r>
      <w:r w:rsidRPr="00872186">
        <w:rPr>
          <w:rFonts w:ascii="Times New Roman" w:eastAsia="Times New Roman" w:hAnsi="Times New Roman" w:cs="Times New Roman"/>
          <w:sz w:val="24"/>
          <w:szCs w:val="24"/>
          <w:vertAlign w:val="subscript"/>
        </w:rPr>
        <w:t>4</w:t>
      </w:r>
      <w:r w:rsidRPr="00872186">
        <w:rPr>
          <w:rFonts w:ascii="Times New Roman" w:eastAsia="Times New Roman" w:hAnsi="Times New Roman" w:cs="Times New Roman"/>
          <w:sz w:val="24"/>
          <w:szCs w:val="24"/>
        </w:rPr>
        <w:t xml:space="preserve"> and about 5 mL of distilled water were added and the mixture was reheated to incipient dryness. The remaining residues was dissolved in 8 mL of HCl and 20 mL of distilled water. The solution was then made up to 100 mL in a volumetric flask and stored in a polyethylene bottle. </w:t>
      </w:r>
      <w:r w:rsidRPr="00872186">
        <w:rPr>
          <w:rFonts w:ascii="Times New Roman" w:eastAsia="MS Gothic" w:hAnsi="Times New Roman" w:cs="Times New Roman"/>
          <w:bCs/>
          <w:sz w:val="24"/>
          <w:szCs w:val="24"/>
        </w:rPr>
        <w:t xml:space="preserve">The solutions were then analyzed by AAS using the appropriate hollow cathode lamps, wavelengths, and flame conditions for elements such as Fe, Pb, Zn, Cd, Ni, and Cr. Calibration was performed with at least five standard solutions covering the expected concentration range, while quality control checks included blanks, duplicate digestions, spiked recoveries, and CRM analysis. Background correction and auto-zero procedures were applied where required (Adebayo </w:t>
      </w:r>
      <w:r w:rsidRPr="00872186">
        <w:rPr>
          <w:rFonts w:ascii="Times New Roman" w:eastAsia="MS Gothic" w:hAnsi="Times New Roman" w:cs="Times New Roman"/>
          <w:bCs/>
          <w:i/>
          <w:iCs/>
          <w:sz w:val="24"/>
          <w:szCs w:val="24"/>
        </w:rPr>
        <w:t>et al</w:t>
      </w:r>
      <w:r w:rsidRPr="00872186">
        <w:rPr>
          <w:rFonts w:ascii="Times New Roman" w:eastAsia="MS Gothic" w:hAnsi="Times New Roman" w:cs="Times New Roman"/>
          <w:bCs/>
          <w:sz w:val="24"/>
          <w:szCs w:val="24"/>
        </w:rPr>
        <w:t>., 2024). The concentrations obtained from the AAS, expressed in mg/L, were converted to soil concentrations in mg/kg using the equation:</w:t>
      </w:r>
    </w:p>
    <w:p w14:paraId="23E4EA81" w14:textId="14AFBEC2" w:rsidR="00784E98" w:rsidRPr="00872186" w:rsidRDefault="00784E98" w:rsidP="00784E98">
      <w:pPr>
        <w:ind w:left="720" w:firstLine="720"/>
        <w:rPr>
          <w:rFonts w:ascii="Times New Roman" w:eastAsia="Calibri" w:hAnsi="Times New Roman" w:cs="Times New Roman"/>
          <w:sz w:val="24"/>
          <w:szCs w:val="24"/>
        </w:rPr>
      </w:pPr>
      <w:r w:rsidRPr="00872186">
        <w:rPr>
          <w:rFonts w:ascii="Times New Roman" w:eastAsia="MS Gothic" w:hAnsi="Times New Roman" w:cs="Times New Roman"/>
          <w:sz w:val="24"/>
          <w:szCs w:val="24"/>
        </w:rPr>
        <w:t>Soil concentration (mg/kg</w:t>
      </w:r>
      <w:r w:rsidRPr="00872186">
        <w:rPr>
          <w:rFonts w:ascii="Times New Roman" w:eastAsia="MS Gothic" w:hAnsi="Times New Roman" w:cs="Times New Roman"/>
          <w:b/>
          <w:bCs/>
          <w:sz w:val="24"/>
          <w:szCs w:val="24"/>
        </w:rPr>
        <w:t xml:space="preserve">)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C x V x D x 1000</m:t>
            </m:r>
          </m:num>
          <m:den>
            <m:r>
              <w:rPr>
                <w:rFonts w:ascii="Cambria Math" w:eastAsia="Calibri" w:hAnsi="Cambria Math" w:cs="Times New Roman"/>
                <w:sz w:val="24"/>
                <w:szCs w:val="24"/>
              </w:rPr>
              <m:t>M</m:t>
            </m:r>
          </m:den>
        </m:f>
      </m:oMath>
      <w:r w:rsidRPr="00872186">
        <w:rPr>
          <w:rFonts w:ascii="Times New Roman" w:eastAsia="MS Gothic" w:hAnsi="Times New Roman" w:cs="Times New Roman"/>
          <w:sz w:val="24"/>
          <w:szCs w:val="24"/>
        </w:rPr>
        <w:tab/>
      </w:r>
      <w:r w:rsidRPr="00872186">
        <w:rPr>
          <w:rFonts w:ascii="Times New Roman" w:eastAsia="MS Gothic" w:hAnsi="Times New Roman" w:cs="Times New Roman"/>
          <w:sz w:val="24"/>
          <w:szCs w:val="24"/>
        </w:rPr>
        <w:tab/>
      </w:r>
      <w:r w:rsidRPr="00872186">
        <w:rPr>
          <w:rFonts w:ascii="Times New Roman" w:eastAsia="MS Gothic" w:hAnsi="Times New Roman" w:cs="Times New Roman"/>
          <w:sz w:val="24"/>
          <w:szCs w:val="24"/>
        </w:rPr>
        <w:tab/>
      </w:r>
      <w:r w:rsidRPr="00872186">
        <w:rPr>
          <w:rFonts w:ascii="Times New Roman" w:eastAsia="MS Gothic" w:hAnsi="Times New Roman" w:cs="Times New Roman"/>
          <w:sz w:val="24"/>
          <w:szCs w:val="24"/>
        </w:rPr>
        <w:tab/>
      </w:r>
      <w:r w:rsidRPr="00872186">
        <w:rPr>
          <w:rFonts w:ascii="Times New Roman" w:eastAsia="MS Gothic" w:hAnsi="Times New Roman" w:cs="Times New Roman"/>
          <w:sz w:val="24"/>
          <w:szCs w:val="24"/>
        </w:rPr>
        <w:tab/>
        <w:t>(</w:t>
      </w:r>
      <w:r w:rsidR="000250CE">
        <w:rPr>
          <w:rFonts w:ascii="Times New Roman" w:eastAsia="MS Gothic" w:hAnsi="Times New Roman" w:cs="Times New Roman"/>
          <w:sz w:val="24"/>
          <w:szCs w:val="24"/>
        </w:rPr>
        <w:t>12</w:t>
      </w:r>
      <w:r w:rsidRPr="00872186">
        <w:rPr>
          <w:rFonts w:ascii="Times New Roman" w:eastAsia="MS Gothic" w:hAnsi="Times New Roman" w:cs="Times New Roman"/>
          <w:sz w:val="24"/>
          <w:szCs w:val="24"/>
        </w:rPr>
        <w:t>)</w:t>
      </w:r>
    </w:p>
    <w:p w14:paraId="332586ED" w14:textId="1C7DB559" w:rsidR="00113293" w:rsidRPr="0069228F" w:rsidRDefault="00784E98" w:rsidP="0069228F">
      <w:pPr>
        <w:spacing w:after="0" w:line="480" w:lineRule="auto"/>
        <w:ind w:left="720" w:right="-59"/>
        <w:jc w:val="both"/>
        <w:rPr>
          <w:rFonts w:ascii="Times New Roman" w:eastAsia="MS Gothic" w:hAnsi="Times New Roman" w:cs="Times New Roman"/>
          <w:b/>
          <w:bCs/>
          <w:sz w:val="24"/>
          <w:szCs w:val="24"/>
        </w:rPr>
      </w:pPr>
      <w:r w:rsidRPr="00872186">
        <w:rPr>
          <w:rFonts w:ascii="Times New Roman" w:eastAsia="MS Gothic" w:hAnsi="Times New Roman" w:cs="Times New Roman"/>
          <w:bCs/>
          <w:sz w:val="24"/>
          <w:szCs w:val="24"/>
        </w:rPr>
        <w:lastRenderedPageBreak/>
        <w:t>where C is the concentration obtained from AAS in mg/L, V is the final volume of the digest solution in liters, D is the dilution factor (equal to 1 if no further dilution was made), and m is the mass of soil in grams. The multiplication factor of 1000 was used to convert grams into kilograms, so the results were expressed as mg/kg or ppm</w:t>
      </w:r>
      <w:r w:rsidRPr="00872186">
        <w:rPr>
          <w:rFonts w:ascii="Times New Roman" w:eastAsia="MS Gothic" w:hAnsi="Times New Roman" w:cs="Times New Roman"/>
          <w:b/>
          <w:bCs/>
          <w:sz w:val="24"/>
          <w:szCs w:val="24"/>
        </w:rPr>
        <w:t>.</w:t>
      </w:r>
    </w:p>
    <w:p w14:paraId="36747FC6" w14:textId="16FFDBFE" w:rsidR="00532E37" w:rsidRPr="00872186" w:rsidRDefault="00AF3D6E" w:rsidP="0069228F">
      <w:pPr>
        <w:spacing w:before="100" w:beforeAutospacing="1" w:after="100" w:afterAutospacing="1" w:line="240" w:lineRule="auto"/>
        <w:outlineLvl w:val="1"/>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Statistical</w:t>
      </w:r>
      <w:r>
        <w:rPr>
          <w:rFonts w:ascii="Times New Roman" w:eastAsia="Times New Roman" w:hAnsi="Times New Roman" w:cs="Times New Roman"/>
          <w:b/>
          <w:bCs/>
          <w:sz w:val="24"/>
          <w:szCs w:val="24"/>
        </w:rPr>
        <w:t xml:space="preserve"> Data</w:t>
      </w:r>
      <w:r w:rsidRPr="00872186">
        <w:rPr>
          <w:rFonts w:ascii="Times New Roman" w:eastAsia="Times New Roman" w:hAnsi="Times New Roman" w:cs="Times New Roman"/>
          <w:b/>
          <w:bCs/>
          <w:sz w:val="24"/>
          <w:szCs w:val="24"/>
        </w:rPr>
        <w:t xml:space="preserve"> Analysis</w:t>
      </w:r>
    </w:p>
    <w:p w14:paraId="2E569CC8" w14:textId="77777777" w:rsidR="00532E37" w:rsidRPr="00872186" w:rsidRDefault="00532E37" w:rsidP="00C01474">
      <w:pPr>
        <w:spacing w:after="16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The mean and standard deviation for all the parameters were calculated across the three sampling locations (NN, NW and NS). Statistical analysis of variance (ANOVA) between and within data stations showed that there was significance difference in some parameters and soil locations (p &lt; 0.05). Simple correlation analysis was carried out each parameter against the total parameters at the three sampling stations. The result indicates that there is positive significant relationship (p &lt; 0.05) with other parameters.</w:t>
      </w:r>
    </w:p>
    <w:p w14:paraId="4BC973EE" w14:textId="5C6CFF67" w:rsidR="00532E37" w:rsidRPr="00872186" w:rsidRDefault="00532E37" w:rsidP="00B7493C">
      <w:pPr>
        <w:spacing w:after="16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 xml:space="preserve">The principal components obtained and their variance contributions are shown in Table </w:t>
      </w:r>
      <w:r w:rsidR="00A976CF">
        <w:rPr>
          <w:rFonts w:ascii="Times New Roman" w:eastAsia="Times New Roman" w:hAnsi="Times New Roman" w:cs="Times New Roman"/>
          <w:sz w:val="24"/>
          <w:szCs w:val="24"/>
        </w:rPr>
        <w:t>5</w:t>
      </w:r>
      <w:r w:rsidRPr="00872186">
        <w:rPr>
          <w:rFonts w:ascii="Times New Roman" w:eastAsia="Times New Roman" w:hAnsi="Times New Roman" w:cs="Times New Roman"/>
          <w:sz w:val="24"/>
          <w:szCs w:val="24"/>
        </w:rPr>
        <w:t xml:space="preserve">, and they display the hidden form of the data. Six elements are found to have eigenvalues more than 1 and together they explain 82.6 % of all the variance and this means that the dimensional reduction is strong and meaningful clustering is obtained of similar variables. The largest percentage of variability (25.4 % falls under component 1), indicating that there is a significant group of correlated physicochemical or contaminant parameters that has a significant impact on the dataset. The further component 2 and Component 3 will explain 17.9 and 14.9 respectively, and the overall explained variance would be 43.2, indicating another group of significant soil characteristics. Components 4, 5, and 6 describe 11.6, 7.13, and 5.74, respectively, that contain minor but significant patterns in the soil properties and distributions of contaminants. All the extraction results demonstrate that the first three components cover over half of the total variance, this means that the majority of the significant associations between soil </w:t>
      </w:r>
      <w:r w:rsidRPr="00872186">
        <w:rPr>
          <w:rFonts w:ascii="Times New Roman" w:eastAsia="Times New Roman" w:hAnsi="Times New Roman" w:cs="Times New Roman"/>
          <w:sz w:val="24"/>
          <w:szCs w:val="24"/>
        </w:rPr>
        <w:lastRenderedPageBreak/>
        <w:t xml:space="preserve">physicochemical parameters, heavy metals and </w:t>
      </w:r>
      <w:proofErr w:type="spellStart"/>
      <w:r w:rsidRPr="00872186">
        <w:rPr>
          <w:rFonts w:ascii="Times New Roman" w:eastAsia="Times New Roman" w:hAnsi="Times New Roman" w:cs="Times New Roman"/>
          <w:sz w:val="24"/>
          <w:szCs w:val="24"/>
        </w:rPr>
        <w:t>herbician</w:t>
      </w:r>
      <w:proofErr w:type="spellEnd"/>
      <w:r w:rsidRPr="00872186">
        <w:rPr>
          <w:rFonts w:ascii="Times New Roman" w:eastAsia="Times New Roman" w:hAnsi="Times New Roman" w:cs="Times New Roman"/>
          <w:sz w:val="24"/>
          <w:szCs w:val="24"/>
        </w:rPr>
        <w:t xml:space="preserve"> residues are concentrated in the first three dominant components.</w:t>
      </w:r>
    </w:p>
    <w:p w14:paraId="0A71520C" w14:textId="335AA4B3" w:rsidR="00532E37" w:rsidRPr="00872186" w:rsidRDefault="00532E37" w:rsidP="00B7493C">
      <w:pPr>
        <w:spacing w:before="240" w:after="16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 xml:space="preserve">Table </w:t>
      </w:r>
      <w:r w:rsidR="0057449D">
        <w:rPr>
          <w:rFonts w:ascii="Times New Roman" w:eastAsia="Times New Roman" w:hAnsi="Times New Roman" w:cs="Times New Roman"/>
          <w:sz w:val="24"/>
          <w:szCs w:val="24"/>
        </w:rPr>
        <w:t>5</w:t>
      </w:r>
      <w:r w:rsidRPr="00872186">
        <w:rPr>
          <w:rFonts w:ascii="Times New Roman" w:eastAsia="Times New Roman" w:hAnsi="Times New Roman" w:cs="Times New Roman"/>
          <w:sz w:val="24"/>
          <w:szCs w:val="24"/>
        </w:rPr>
        <w:t xml:space="preserve"> showed the rotation sum of squared loadings which indicates redistribution of the total variance among the six components retained following Varimax rotation. Rotation enhances interpretability as it loads each variable as much as possible on each component to explain the underlying factor structure. After rotation, Component 1 describes 20.52% of the total variance, a little less than in the unrotated state of the components, suggesting a more </w:t>
      </w:r>
      <w:proofErr w:type="spellStart"/>
      <w:r w:rsidRPr="00872186">
        <w:rPr>
          <w:rFonts w:ascii="Times New Roman" w:eastAsia="Times New Roman" w:hAnsi="Times New Roman" w:cs="Times New Roman"/>
          <w:sz w:val="24"/>
          <w:szCs w:val="24"/>
        </w:rPr>
        <w:t>focussed</w:t>
      </w:r>
      <w:proofErr w:type="spellEnd"/>
      <w:r w:rsidRPr="00872186">
        <w:rPr>
          <w:rFonts w:ascii="Times New Roman" w:eastAsia="Times New Roman" w:hAnsi="Times New Roman" w:cs="Times New Roman"/>
          <w:sz w:val="24"/>
          <w:szCs w:val="24"/>
        </w:rPr>
        <w:t xml:space="preserve"> clustering of </w:t>
      </w:r>
      <w:r w:rsidR="003D5AE7">
        <w:rPr>
          <w:rFonts w:ascii="Times New Roman" w:eastAsia="Times New Roman" w:hAnsi="Times New Roman" w:cs="Times New Roman"/>
          <w:sz w:val="24"/>
          <w:szCs w:val="24"/>
        </w:rPr>
        <w:tab/>
      </w:r>
      <w:r w:rsidRPr="00872186">
        <w:rPr>
          <w:rFonts w:ascii="Times New Roman" w:eastAsia="Times New Roman" w:hAnsi="Times New Roman" w:cs="Times New Roman"/>
          <w:sz w:val="24"/>
          <w:szCs w:val="24"/>
        </w:rPr>
        <w:t>closely related variables. The three components, Component 2 and Component 3, explain 16.87 and 14.02 respectively, and explain a total of 51.41 percent of the variability. Components 4, 5 and 6 describe 11.75, 9.79, and 9.66 (cumulative) respectively, each less cumulative variance balance compared to the unrotated solution, though this time with more even and meaning distributions. In general, the rotated solution can also increase the visibility of the clusters of variables that help recognize unique groups of soil properties and contaminants that generate environmental differences between the sampling sites.</w:t>
      </w:r>
    </w:p>
    <w:p w14:paraId="7EBF6A39" w14:textId="77777777" w:rsidR="008320FB" w:rsidRDefault="0069228F" w:rsidP="0035464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123E7F0C" w14:textId="77777777" w:rsidR="008320FB" w:rsidRDefault="008320FB"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4EC955C9" w14:textId="77777777" w:rsidR="008320FB" w:rsidRDefault="008320FB"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436C2CBF" w14:textId="77777777" w:rsidR="008320FB" w:rsidRDefault="008320FB"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416A4509" w14:textId="77777777" w:rsidR="008320FB" w:rsidRDefault="008320FB"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661E7BAD" w14:textId="27FD747A" w:rsidR="00532E37" w:rsidRDefault="0069228F" w:rsidP="00354649">
      <w:pPr>
        <w:spacing w:before="100" w:beforeAutospacing="1" w:after="100" w:afterAutospacing="1" w:line="240" w:lineRule="auto"/>
        <w:outlineLvl w:val="1"/>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RESULTS AND DISCUSSION</w:t>
      </w:r>
    </w:p>
    <w:p w14:paraId="4740DB47" w14:textId="5788B3B4" w:rsidR="00DF19F3" w:rsidRDefault="008320FB" w:rsidP="0035464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w:t>
      </w:r>
    </w:p>
    <w:p w14:paraId="29DA7881" w14:textId="77777777" w:rsidR="008176A2" w:rsidRPr="00872186" w:rsidRDefault="008176A2"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7BDEEAC6" w14:textId="6D8A2785" w:rsidR="002068FC" w:rsidRPr="00872186" w:rsidRDefault="002068FC" w:rsidP="002068FC">
      <w:pPr>
        <w:shd w:val="clear" w:color="auto" w:fill="FFFFFF"/>
        <w:spacing w:after="0" w:line="360" w:lineRule="auto"/>
        <w:ind w:left="567"/>
        <w:jc w:val="both"/>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lastRenderedPageBreak/>
        <w:t xml:space="preserve">Table </w:t>
      </w:r>
      <w:r w:rsidR="002679D5">
        <w:rPr>
          <w:rFonts w:ascii="Times New Roman" w:eastAsia="Times New Roman" w:hAnsi="Times New Roman" w:cs="Times New Roman"/>
          <w:b/>
          <w:bCs/>
          <w:sz w:val="24"/>
          <w:szCs w:val="24"/>
        </w:rPr>
        <w:t>1</w:t>
      </w:r>
      <w:r w:rsidRPr="00872186">
        <w:rPr>
          <w:rFonts w:ascii="Times New Roman" w:eastAsia="Times New Roman" w:hAnsi="Times New Roman" w:cs="Times New Roman"/>
          <w:b/>
          <w:bCs/>
          <w:sz w:val="24"/>
          <w:szCs w:val="24"/>
        </w:rPr>
        <w:t xml:space="preserve">: </w:t>
      </w:r>
      <w:r w:rsidRPr="00872186">
        <w:rPr>
          <w:rFonts w:ascii="Times New Roman" w:eastAsia="Times New Roman" w:hAnsi="Times New Roman" w:cs="Times New Roman"/>
          <w:sz w:val="24"/>
          <w:szCs w:val="24"/>
        </w:rPr>
        <w:t>Mean (± SD) of Fundamental Soil Properties Across Sampling Locations.</w:t>
      </w:r>
    </w:p>
    <w:p w14:paraId="31E198A1" w14:textId="77777777" w:rsidR="002068FC" w:rsidRPr="00872186" w:rsidRDefault="002068FC" w:rsidP="002068FC">
      <w:pPr>
        <w:shd w:val="clear" w:color="auto" w:fill="FFFFFF"/>
        <w:spacing w:after="0" w:line="360" w:lineRule="auto"/>
        <w:ind w:left="567"/>
        <w:jc w:val="both"/>
        <w:rPr>
          <w:rFonts w:ascii="Times New Roman" w:eastAsia="Times New Roman" w:hAnsi="Times New Roman" w:cs="Times New Roman"/>
          <w:b/>
          <w:bCs/>
          <w:sz w:val="24"/>
          <w:szCs w:val="24"/>
        </w:rPr>
      </w:pPr>
    </w:p>
    <w:tbl>
      <w:tblPr>
        <w:tblStyle w:val="PlainTable21"/>
        <w:tblW w:w="0" w:type="auto"/>
        <w:tblLook w:val="04A0" w:firstRow="1" w:lastRow="0" w:firstColumn="1" w:lastColumn="0" w:noHBand="0" w:noVBand="1"/>
      </w:tblPr>
      <w:tblGrid>
        <w:gridCol w:w="1123"/>
        <w:gridCol w:w="1068"/>
        <w:gridCol w:w="1308"/>
        <w:gridCol w:w="1308"/>
        <w:gridCol w:w="1308"/>
        <w:gridCol w:w="1188"/>
      </w:tblGrid>
      <w:tr w:rsidR="002068FC" w:rsidRPr="00872186" w14:paraId="729D1743" w14:textId="77777777" w:rsidTr="00DC6D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A92524" w14:textId="77777777" w:rsidR="002068FC" w:rsidRPr="00872186" w:rsidRDefault="002068FC" w:rsidP="002068FC">
            <w:pPr>
              <w:spacing w:line="60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Location</w:t>
            </w:r>
          </w:p>
        </w:tc>
        <w:tc>
          <w:tcPr>
            <w:tcW w:w="0" w:type="auto"/>
            <w:hideMark/>
          </w:tcPr>
          <w:p w14:paraId="1202A8F4" w14:textId="77777777" w:rsidR="002068FC" w:rsidRPr="00872186" w:rsidRDefault="002068FC" w:rsidP="002068FC">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pH</w:t>
            </w:r>
          </w:p>
        </w:tc>
        <w:tc>
          <w:tcPr>
            <w:tcW w:w="0" w:type="auto"/>
            <w:hideMark/>
          </w:tcPr>
          <w:p w14:paraId="0B184813" w14:textId="77777777" w:rsidR="002068FC" w:rsidRPr="00872186" w:rsidRDefault="002068FC" w:rsidP="002068FC">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EC (</w:t>
            </w:r>
            <w:proofErr w:type="spellStart"/>
            <w:r w:rsidRPr="00872186">
              <w:rPr>
                <w:rFonts w:ascii="Times New Roman" w:eastAsia="Times New Roman" w:hAnsi="Times New Roman" w:cs="Times New Roman"/>
                <w:sz w:val="24"/>
                <w:szCs w:val="24"/>
              </w:rPr>
              <w:t>dS</w:t>
            </w:r>
            <w:proofErr w:type="spellEnd"/>
            <w:r w:rsidRPr="00872186">
              <w:rPr>
                <w:rFonts w:ascii="Times New Roman" w:eastAsia="Times New Roman" w:hAnsi="Times New Roman" w:cs="Times New Roman"/>
                <w:sz w:val="24"/>
                <w:szCs w:val="24"/>
              </w:rPr>
              <w:t>/m)</w:t>
            </w:r>
          </w:p>
        </w:tc>
        <w:tc>
          <w:tcPr>
            <w:tcW w:w="0" w:type="auto"/>
            <w:hideMark/>
          </w:tcPr>
          <w:p w14:paraId="3D91B38E" w14:textId="77777777" w:rsidR="002068FC" w:rsidRPr="00872186" w:rsidRDefault="002068FC" w:rsidP="002068FC">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OC (%)</w:t>
            </w:r>
          </w:p>
        </w:tc>
        <w:tc>
          <w:tcPr>
            <w:tcW w:w="0" w:type="auto"/>
            <w:hideMark/>
          </w:tcPr>
          <w:p w14:paraId="19A22056" w14:textId="77777777" w:rsidR="002068FC" w:rsidRPr="00872186" w:rsidRDefault="002068FC" w:rsidP="002068FC">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OM (%)</w:t>
            </w:r>
          </w:p>
        </w:tc>
        <w:tc>
          <w:tcPr>
            <w:tcW w:w="0" w:type="auto"/>
            <w:hideMark/>
          </w:tcPr>
          <w:p w14:paraId="7BBF3D3C" w14:textId="77777777" w:rsidR="002068FC" w:rsidRPr="00872186" w:rsidRDefault="002068FC" w:rsidP="002068FC">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MC (%)</w:t>
            </w:r>
          </w:p>
        </w:tc>
      </w:tr>
      <w:tr w:rsidR="002068FC" w:rsidRPr="00872186" w14:paraId="707C899D" w14:textId="77777777" w:rsidTr="00DC6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9257E9" w14:textId="77777777" w:rsidR="002068FC" w:rsidRPr="00872186" w:rsidRDefault="002068FC" w:rsidP="002068FC">
            <w:pPr>
              <w:spacing w:line="60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NN</w:t>
            </w:r>
          </w:p>
        </w:tc>
        <w:tc>
          <w:tcPr>
            <w:tcW w:w="0" w:type="auto"/>
            <w:hideMark/>
          </w:tcPr>
          <w:p w14:paraId="7C432EC7" w14:textId="77777777" w:rsidR="002068FC" w:rsidRPr="00872186" w:rsidRDefault="002068FC" w:rsidP="002068FC">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6.8 ± 0.3</w:t>
            </w:r>
          </w:p>
        </w:tc>
        <w:tc>
          <w:tcPr>
            <w:tcW w:w="0" w:type="auto"/>
            <w:hideMark/>
          </w:tcPr>
          <w:p w14:paraId="38667DC8" w14:textId="77777777" w:rsidR="002068FC" w:rsidRPr="00872186" w:rsidRDefault="002068FC" w:rsidP="002068FC">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1.17 ± 0.1</w:t>
            </w:r>
          </w:p>
        </w:tc>
        <w:tc>
          <w:tcPr>
            <w:tcW w:w="0" w:type="auto"/>
            <w:hideMark/>
          </w:tcPr>
          <w:p w14:paraId="4EF4344D" w14:textId="77777777" w:rsidR="002068FC" w:rsidRPr="00872186" w:rsidRDefault="002068FC" w:rsidP="002068FC">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1.75 ± 0.01</w:t>
            </w:r>
          </w:p>
        </w:tc>
        <w:tc>
          <w:tcPr>
            <w:tcW w:w="0" w:type="auto"/>
            <w:hideMark/>
          </w:tcPr>
          <w:p w14:paraId="0987553A" w14:textId="77777777" w:rsidR="002068FC" w:rsidRPr="00872186" w:rsidRDefault="002068FC" w:rsidP="002068FC">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3.02 ± 0.01</w:t>
            </w:r>
          </w:p>
        </w:tc>
        <w:tc>
          <w:tcPr>
            <w:tcW w:w="0" w:type="auto"/>
            <w:hideMark/>
          </w:tcPr>
          <w:p w14:paraId="27DD5116" w14:textId="77777777" w:rsidR="002068FC" w:rsidRPr="00872186" w:rsidRDefault="002068FC" w:rsidP="002068FC">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4.76 ± 0.2</w:t>
            </w:r>
          </w:p>
        </w:tc>
      </w:tr>
      <w:tr w:rsidR="002068FC" w:rsidRPr="00872186" w14:paraId="4B76F89D" w14:textId="77777777" w:rsidTr="00DC6D16">
        <w:tc>
          <w:tcPr>
            <w:cnfStyle w:val="001000000000" w:firstRow="0" w:lastRow="0" w:firstColumn="1" w:lastColumn="0" w:oddVBand="0" w:evenVBand="0" w:oddHBand="0" w:evenHBand="0" w:firstRowFirstColumn="0" w:firstRowLastColumn="0" w:lastRowFirstColumn="0" w:lastRowLastColumn="0"/>
            <w:tcW w:w="0" w:type="auto"/>
            <w:hideMark/>
          </w:tcPr>
          <w:p w14:paraId="74B836F4" w14:textId="77777777" w:rsidR="002068FC" w:rsidRPr="00872186" w:rsidRDefault="002068FC" w:rsidP="002068FC">
            <w:pPr>
              <w:spacing w:line="60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NW</w:t>
            </w:r>
          </w:p>
        </w:tc>
        <w:tc>
          <w:tcPr>
            <w:tcW w:w="0" w:type="auto"/>
            <w:hideMark/>
          </w:tcPr>
          <w:p w14:paraId="5A2136A2" w14:textId="77777777" w:rsidR="002068FC" w:rsidRPr="00872186" w:rsidRDefault="002068FC" w:rsidP="002068FC">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6.9 ± 0.1</w:t>
            </w:r>
          </w:p>
        </w:tc>
        <w:tc>
          <w:tcPr>
            <w:tcW w:w="0" w:type="auto"/>
            <w:hideMark/>
          </w:tcPr>
          <w:p w14:paraId="4739D8C4" w14:textId="77777777" w:rsidR="002068FC" w:rsidRPr="00872186" w:rsidRDefault="002068FC" w:rsidP="002068FC">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1.11 ± 0.1</w:t>
            </w:r>
          </w:p>
        </w:tc>
        <w:tc>
          <w:tcPr>
            <w:tcW w:w="0" w:type="auto"/>
            <w:hideMark/>
          </w:tcPr>
          <w:p w14:paraId="113DB0F8" w14:textId="77777777" w:rsidR="002068FC" w:rsidRPr="00872186" w:rsidRDefault="002068FC" w:rsidP="002068FC">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1.75 ± 0.01</w:t>
            </w:r>
          </w:p>
        </w:tc>
        <w:tc>
          <w:tcPr>
            <w:tcW w:w="0" w:type="auto"/>
            <w:hideMark/>
          </w:tcPr>
          <w:p w14:paraId="06BAE4CD" w14:textId="77777777" w:rsidR="002068FC" w:rsidRPr="00872186" w:rsidRDefault="002068FC" w:rsidP="002068FC">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3.01 ± 0.02</w:t>
            </w:r>
          </w:p>
        </w:tc>
        <w:tc>
          <w:tcPr>
            <w:tcW w:w="0" w:type="auto"/>
            <w:hideMark/>
          </w:tcPr>
          <w:p w14:paraId="4AE8439F" w14:textId="77777777" w:rsidR="002068FC" w:rsidRPr="00872186" w:rsidRDefault="002068FC" w:rsidP="002068FC">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4.74 ± 0.3</w:t>
            </w:r>
          </w:p>
        </w:tc>
      </w:tr>
      <w:tr w:rsidR="002068FC" w:rsidRPr="00872186" w14:paraId="52530057" w14:textId="77777777" w:rsidTr="00DC6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2C6E50" w14:textId="77777777" w:rsidR="002068FC" w:rsidRPr="00872186" w:rsidRDefault="002068FC" w:rsidP="00B7493C">
            <w:pPr>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NS</w:t>
            </w:r>
          </w:p>
        </w:tc>
        <w:tc>
          <w:tcPr>
            <w:tcW w:w="0" w:type="auto"/>
            <w:hideMark/>
          </w:tcPr>
          <w:p w14:paraId="7990AD47" w14:textId="77777777" w:rsidR="002068FC" w:rsidRPr="00872186" w:rsidRDefault="002068FC" w:rsidP="00B7493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6.8 ± 0.1</w:t>
            </w:r>
          </w:p>
        </w:tc>
        <w:tc>
          <w:tcPr>
            <w:tcW w:w="0" w:type="auto"/>
            <w:hideMark/>
          </w:tcPr>
          <w:p w14:paraId="3E54822A" w14:textId="77777777" w:rsidR="002068FC" w:rsidRPr="00872186" w:rsidRDefault="002068FC" w:rsidP="00B7493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1.12 ± 0.04</w:t>
            </w:r>
          </w:p>
        </w:tc>
        <w:tc>
          <w:tcPr>
            <w:tcW w:w="0" w:type="auto"/>
            <w:hideMark/>
          </w:tcPr>
          <w:p w14:paraId="4B126B62" w14:textId="77777777" w:rsidR="002068FC" w:rsidRPr="00872186" w:rsidRDefault="002068FC" w:rsidP="00B7493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1.80 ± 0.01</w:t>
            </w:r>
          </w:p>
        </w:tc>
        <w:tc>
          <w:tcPr>
            <w:tcW w:w="0" w:type="auto"/>
            <w:hideMark/>
          </w:tcPr>
          <w:p w14:paraId="1CAE7E8C" w14:textId="77777777" w:rsidR="002068FC" w:rsidRPr="00872186" w:rsidRDefault="002068FC" w:rsidP="00B7493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3.11 ± 0.01</w:t>
            </w:r>
          </w:p>
        </w:tc>
        <w:tc>
          <w:tcPr>
            <w:tcW w:w="0" w:type="auto"/>
            <w:hideMark/>
          </w:tcPr>
          <w:p w14:paraId="6D398292" w14:textId="77777777" w:rsidR="002068FC" w:rsidRPr="00872186" w:rsidRDefault="002068FC" w:rsidP="00B7493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4.58 ± 0.2</w:t>
            </w:r>
          </w:p>
        </w:tc>
      </w:tr>
    </w:tbl>
    <w:p w14:paraId="5540F99F" w14:textId="77777777" w:rsidR="002068FC" w:rsidRPr="00872186" w:rsidRDefault="002068FC" w:rsidP="00B7493C">
      <w:pPr>
        <w:spacing w:line="240" w:lineRule="auto"/>
        <w:ind w:left="567"/>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 </w:t>
      </w:r>
    </w:p>
    <w:p w14:paraId="38B537CE" w14:textId="77777777" w:rsidR="002068FC" w:rsidRPr="00872186" w:rsidRDefault="002068FC" w:rsidP="00B7493C">
      <w:pPr>
        <w:spacing w:line="24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Key:</w:t>
      </w:r>
      <w:r w:rsidRPr="00872186">
        <w:rPr>
          <w:rFonts w:ascii="Times New Roman" w:eastAsia="Times New Roman" w:hAnsi="Times New Roman" w:cs="Times New Roman"/>
          <w:sz w:val="24"/>
          <w:szCs w:val="24"/>
        </w:rPr>
        <w:t xml:space="preserve"> Nasarawa North (NN); Nasarawa West (NW) and Nasarawa South (NS)</w:t>
      </w:r>
    </w:p>
    <w:p w14:paraId="1B2ABB05" w14:textId="77777777" w:rsidR="002068FC" w:rsidRPr="00872186" w:rsidRDefault="002068FC" w:rsidP="002068FC">
      <w:pPr>
        <w:spacing w:line="480" w:lineRule="auto"/>
        <w:ind w:left="567"/>
        <w:jc w:val="both"/>
        <w:rPr>
          <w:rFonts w:ascii="Times New Roman" w:eastAsia="Times New Roman" w:hAnsi="Times New Roman" w:cs="Times New Roman"/>
          <w:sz w:val="24"/>
          <w:szCs w:val="24"/>
        </w:rPr>
      </w:pPr>
    </w:p>
    <w:p w14:paraId="2BA2C5B1" w14:textId="6FE31556" w:rsidR="002068FC" w:rsidRPr="00872186" w:rsidRDefault="002068FC" w:rsidP="00A77B52">
      <w:pPr>
        <w:shd w:val="clear" w:color="auto" w:fill="FFFFFF"/>
        <w:spacing w:before="240" w:after="240" w:line="360" w:lineRule="auto"/>
        <w:jc w:val="both"/>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 xml:space="preserve">Table </w:t>
      </w:r>
      <w:r w:rsidR="002679D5">
        <w:rPr>
          <w:rFonts w:ascii="Times New Roman" w:eastAsia="Times New Roman" w:hAnsi="Times New Roman" w:cs="Times New Roman"/>
          <w:b/>
          <w:bCs/>
          <w:sz w:val="24"/>
          <w:szCs w:val="24"/>
        </w:rPr>
        <w:t>2</w:t>
      </w:r>
      <w:r w:rsidRPr="00872186">
        <w:rPr>
          <w:rFonts w:ascii="Times New Roman" w:eastAsia="Times New Roman" w:hAnsi="Times New Roman" w:cs="Times New Roman"/>
          <w:b/>
          <w:bCs/>
          <w:sz w:val="24"/>
          <w:szCs w:val="24"/>
        </w:rPr>
        <w:t xml:space="preserve">: </w:t>
      </w:r>
      <w:r w:rsidRPr="00872186">
        <w:rPr>
          <w:rFonts w:ascii="Times New Roman" w:eastAsia="Times New Roman" w:hAnsi="Times New Roman" w:cs="Times New Roman"/>
          <w:sz w:val="24"/>
          <w:szCs w:val="24"/>
        </w:rPr>
        <w:t>Mean (± SD) of Soil Macronutrients Across Sampling Locations.</w:t>
      </w:r>
    </w:p>
    <w:tbl>
      <w:tblPr>
        <w:tblStyle w:val="PlainTable21"/>
        <w:tblW w:w="0" w:type="auto"/>
        <w:tblLook w:val="04A0" w:firstRow="1" w:lastRow="0" w:firstColumn="1" w:lastColumn="0" w:noHBand="0" w:noVBand="1"/>
      </w:tblPr>
      <w:tblGrid>
        <w:gridCol w:w="1123"/>
        <w:gridCol w:w="1428"/>
        <w:gridCol w:w="1428"/>
        <w:gridCol w:w="1548"/>
        <w:gridCol w:w="1668"/>
        <w:gridCol w:w="1428"/>
      </w:tblGrid>
      <w:tr w:rsidR="002068FC" w:rsidRPr="00872186" w14:paraId="14A455E6" w14:textId="77777777" w:rsidTr="00DC6D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86D2A5" w14:textId="77777777" w:rsidR="002068FC" w:rsidRPr="00872186" w:rsidRDefault="002068FC" w:rsidP="002068FC">
            <w:pPr>
              <w:spacing w:line="72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Location</w:t>
            </w:r>
          </w:p>
        </w:tc>
        <w:tc>
          <w:tcPr>
            <w:tcW w:w="0" w:type="auto"/>
            <w:hideMark/>
          </w:tcPr>
          <w:p w14:paraId="354BD863" w14:textId="77777777" w:rsidR="002068FC" w:rsidRPr="00872186" w:rsidRDefault="002068FC" w:rsidP="002068FC">
            <w:pPr>
              <w:spacing w:line="72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N (%)</w:t>
            </w:r>
          </w:p>
        </w:tc>
        <w:tc>
          <w:tcPr>
            <w:tcW w:w="0" w:type="auto"/>
            <w:hideMark/>
          </w:tcPr>
          <w:p w14:paraId="39B91CA4" w14:textId="77777777" w:rsidR="002068FC" w:rsidRPr="00872186" w:rsidRDefault="002068FC" w:rsidP="002068FC">
            <w:pPr>
              <w:spacing w:line="72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P (ppm)</w:t>
            </w:r>
          </w:p>
        </w:tc>
        <w:tc>
          <w:tcPr>
            <w:tcW w:w="0" w:type="auto"/>
            <w:hideMark/>
          </w:tcPr>
          <w:p w14:paraId="0D8C8EC8" w14:textId="77777777" w:rsidR="002068FC" w:rsidRPr="00872186" w:rsidRDefault="002068FC" w:rsidP="002068FC">
            <w:pPr>
              <w:spacing w:line="72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K (mg/kg)</w:t>
            </w:r>
          </w:p>
        </w:tc>
        <w:tc>
          <w:tcPr>
            <w:tcW w:w="0" w:type="auto"/>
            <w:hideMark/>
          </w:tcPr>
          <w:p w14:paraId="644E41E8" w14:textId="77777777" w:rsidR="002068FC" w:rsidRPr="00872186" w:rsidRDefault="002068FC" w:rsidP="002068FC">
            <w:pPr>
              <w:spacing w:line="72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872186">
              <w:rPr>
                <w:rFonts w:ascii="Times New Roman" w:eastAsia="Times New Roman" w:hAnsi="Times New Roman" w:cs="Times New Roman"/>
                <w:sz w:val="24"/>
                <w:szCs w:val="24"/>
              </w:rPr>
              <w:t>CaCO</w:t>
            </w:r>
            <w:proofErr w:type="spellEnd"/>
            <w:r w:rsidRPr="00872186">
              <w:rPr>
                <w:rFonts w:ascii="Times New Roman" w:eastAsia="Times New Roman" w:hAnsi="Times New Roman" w:cs="Times New Roman"/>
                <w:sz w:val="24"/>
                <w:szCs w:val="24"/>
              </w:rPr>
              <w:t>₃ (ppm)</w:t>
            </w:r>
          </w:p>
        </w:tc>
        <w:tc>
          <w:tcPr>
            <w:tcW w:w="0" w:type="auto"/>
            <w:hideMark/>
          </w:tcPr>
          <w:p w14:paraId="2943446A" w14:textId="77777777" w:rsidR="002068FC" w:rsidRPr="00872186" w:rsidRDefault="002068FC" w:rsidP="002068FC">
            <w:pPr>
              <w:spacing w:line="72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Mg (mg/kg)</w:t>
            </w:r>
          </w:p>
        </w:tc>
      </w:tr>
      <w:tr w:rsidR="002068FC" w:rsidRPr="00872186" w14:paraId="288E23F2" w14:textId="77777777" w:rsidTr="00DC6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8025A7" w14:textId="77777777" w:rsidR="002068FC" w:rsidRPr="00872186" w:rsidRDefault="002068FC" w:rsidP="002068FC">
            <w:pPr>
              <w:spacing w:line="72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NN</w:t>
            </w:r>
          </w:p>
        </w:tc>
        <w:tc>
          <w:tcPr>
            <w:tcW w:w="0" w:type="auto"/>
            <w:hideMark/>
          </w:tcPr>
          <w:p w14:paraId="72317459" w14:textId="77777777" w:rsidR="002068FC" w:rsidRPr="00872186" w:rsidRDefault="002068FC" w:rsidP="002068FC">
            <w:pPr>
              <w:spacing w:line="72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0.404 ± 0.02</w:t>
            </w:r>
          </w:p>
        </w:tc>
        <w:tc>
          <w:tcPr>
            <w:tcW w:w="0" w:type="auto"/>
            <w:hideMark/>
          </w:tcPr>
          <w:p w14:paraId="6E495DC2" w14:textId="77777777" w:rsidR="002068FC" w:rsidRPr="00872186" w:rsidRDefault="002068FC" w:rsidP="002068FC">
            <w:pPr>
              <w:spacing w:line="72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0.355 ± 0.04</w:t>
            </w:r>
          </w:p>
        </w:tc>
        <w:tc>
          <w:tcPr>
            <w:tcW w:w="0" w:type="auto"/>
            <w:hideMark/>
          </w:tcPr>
          <w:p w14:paraId="0F9EDD2E" w14:textId="77777777" w:rsidR="002068FC" w:rsidRPr="00872186" w:rsidRDefault="002068FC" w:rsidP="002068FC">
            <w:pPr>
              <w:spacing w:line="72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bCs/>
                <w:sz w:val="24"/>
                <w:szCs w:val="24"/>
              </w:rPr>
              <w:t>0.130 ± 0.1</w:t>
            </w:r>
          </w:p>
        </w:tc>
        <w:tc>
          <w:tcPr>
            <w:tcW w:w="0" w:type="auto"/>
            <w:hideMark/>
          </w:tcPr>
          <w:p w14:paraId="5C97F15F" w14:textId="77777777" w:rsidR="002068FC" w:rsidRPr="00872186" w:rsidRDefault="002068FC" w:rsidP="002068FC">
            <w:pPr>
              <w:spacing w:line="72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0.0113 ± 0.001</w:t>
            </w:r>
          </w:p>
        </w:tc>
        <w:tc>
          <w:tcPr>
            <w:tcW w:w="0" w:type="auto"/>
            <w:hideMark/>
          </w:tcPr>
          <w:p w14:paraId="4C13A42D" w14:textId="77777777" w:rsidR="002068FC" w:rsidRPr="00872186" w:rsidRDefault="002068FC" w:rsidP="002068FC">
            <w:pPr>
              <w:spacing w:line="72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0.398 ± 0.14</w:t>
            </w:r>
          </w:p>
        </w:tc>
      </w:tr>
      <w:tr w:rsidR="002068FC" w:rsidRPr="00872186" w14:paraId="77ADFAF3" w14:textId="77777777" w:rsidTr="00DC6D16">
        <w:tc>
          <w:tcPr>
            <w:cnfStyle w:val="001000000000" w:firstRow="0" w:lastRow="0" w:firstColumn="1" w:lastColumn="0" w:oddVBand="0" w:evenVBand="0" w:oddHBand="0" w:evenHBand="0" w:firstRowFirstColumn="0" w:firstRowLastColumn="0" w:lastRowFirstColumn="0" w:lastRowLastColumn="0"/>
            <w:tcW w:w="0" w:type="auto"/>
            <w:hideMark/>
          </w:tcPr>
          <w:p w14:paraId="7005CD55" w14:textId="77777777" w:rsidR="002068FC" w:rsidRPr="00872186" w:rsidRDefault="002068FC" w:rsidP="002068FC">
            <w:pPr>
              <w:spacing w:line="72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NW</w:t>
            </w:r>
          </w:p>
        </w:tc>
        <w:tc>
          <w:tcPr>
            <w:tcW w:w="0" w:type="auto"/>
            <w:hideMark/>
          </w:tcPr>
          <w:p w14:paraId="29A32E97" w14:textId="77777777" w:rsidR="002068FC" w:rsidRPr="00872186" w:rsidRDefault="002068FC" w:rsidP="002068FC">
            <w:pPr>
              <w:spacing w:line="72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0.420 ± 0.02</w:t>
            </w:r>
          </w:p>
        </w:tc>
        <w:tc>
          <w:tcPr>
            <w:tcW w:w="0" w:type="auto"/>
            <w:hideMark/>
          </w:tcPr>
          <w:p w14:paraId="743F224E" w14:textId="77777777" w:rsidR="002068FC" w:rsidRPr="00872186" w:rsidRDefault="002068FC" w:rsidP="002068FC">
            <w:pPr>
              <w:spacing w:line="72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0.400 ± 0.05</w:t>
            </w:r>
          </w:p>
        </w:tc>
        <w:tc>
          <w:tcPr>
            <w:tcW w:w="0" w:type="auto"/>
            <w:hideMark/>
          </w:tcPr>
          <w:p w14:paraId="3514072B" w14:textId="77777777" w:rsidR="002068FC" w:rsidRPr="00872186" w:rsidRDefault="002068FC" w:rsidP="002068FC">
            <w:pPr>
              <w:spacing w:line="72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0.007 ± 0.001</w:t>
            </w:r>
          </w:p>
        </w:tc>
        <w:tc>
          <w:tcPr>
            <w:tcW w:w="0" w:type="auto"/>
            <w:hideMark/>
          </w:tcPr>
          <w:p w14:paraId="5C63C7C6" w14:textId="77777777" w:rsidR="002068FC" w:rsidRPr="00872186" w:rsidRDefault="002068FC" w:rsidP="002068FC">
            <w:pPr>
              <w:spacing w:line="72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0.016 ± 0.001</w:t>
            </w:r>
          </w:p>
        </w:tc>
        <w:tc>
          <w:tcPr>
            <w:tcW w:w="0" w:type="auto"/>
            <w:hideMark/>
          </w:tcPr>
          <w:p w14:paraId="7AF3D7E2" w14:textId="77777777" w:rsidR="002068FC" w:rsidRPr="00872186" w:rsidRDefault="002068FC" w:rsidP="002068FC">
            <w:pPr>
              <w:spacing w:line="72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bCs/>
                <w:sz w:val="24"/>
                <w:szCs w:val="24"/>
              </w:rPr>
              <w:t>0.617 ± 0.3</w:t>
            </w:r>
          </w:p>
        </w:tc>
      </w:tr>
      <w:tr w:rsidR="002068FC" w:rsidRPr="00872186" w14:paraId="2541DC03" w14:textId="77777777" w:rsidTr="00DC6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81343C" w14:textId="77777777" w:rsidR="002068FC" w:rsidRPr="00872186" w:rsidRDefault="002068FC" w:rsidP="002068FC">
            <w:pPr>
              <w:spacing w:line="72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NS</w:t>
            </w:r>
          </w:p>
        </w:tc>
        <w:tc>
          <w:tcPr>
            <w:tcW w:w="0" w:type="auto"/>
            <w:hideMark/>
          </w:tcPr>
          <w:p w14:paraId="3FBDDAA8" w14:textId="77777777" w:rsidR="002068FC" w:rsidRPr="00872186" w:rsidRDefault="002068FC" w:rsidP="002068FC">
            <w:pPr>
              <w:spacing w:line="72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bCs/>
                <w:sz w:val="24"/>
                <w:szCs w:val="24"/>
              </w:rPr>
              <w:t>0.556 ± 0.2</w:t>
            </w:r>
          </w:p>
        </w:tc>
        <w:tc>
          <w:tcPr>
            <w:tcW w:w="0" w:type="auto"/>
            <w:hideMark/>
          </w:tcPr>
          <w:p w14:paraId="717A3858" w14:textId="77777777" w:rsidR="002068FC" w:rsidRPr="00872186" w:rsidRDefault="002068FC" w:rsidP="002068FC">
            <w:pPr>
              <w:spacing w:line="72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bCs/>
                <w:sz w:val="24"/>
                <w:szCs w:val="24"/>
              </w:rPr>
              <w:t>0.453 ± 0.04</w:t>
            </w:r>
          </w:p>
        </w:tc>
        <w:tc>
          <w:tcPr>
            <w:tcW w:w="0" w:type="auto"/>
            <w:hideMark/>
          </w:tcPr>
          <w:p w14:paraId="78D07596" w14:textId="77777777" w:rsidR="002068FC" w:rsidRPr="00872186" w:rsidRDefault="002068FC" w:rsidP="002068FC">
            <w:pPr>
              <w:spacing w:line="72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0.011 ± 0.001</w:t>
            </w:r>
          </w:p>
        </w:tc>
        <w:tc>
          <w:tcPr>
            <w:tcW w:w="0" w:type="auto"/>
            <w:hideMark/>
          </w:tcPr>
          <w:p w14:paraId="703BF1CD" w14:textId="77777777" w:rsidR="002068FC" w:rsidRPr="00872186" w:rsidRDefault="002068FC" w:rsidP="002068FC">
            <w:pPr>
              <w:spacing w:line="72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bCs/>
                <w:sz w:val="24"/>
                <w:szCs w:val="24"/>
              </w:rPr>
              <w:t>0.014 ± 0.002</w:t>
            </w:r>
          </w:p>
        </w:tc>
        <w:tc>
          <w:tcPr>
            <w:tcW w:w="0" w:type="auto"/>
            <w:hideMark/>
          </w:tcPr>
          <w:p w14:paraId="46B83E7B" w14:textId="77777777" w:rsidR="002068FC" w:rsidRPr="00872186" w:rsidRDefault="002068FC" w:rsidP="002068FC">
            <w:pPr>
              <w:spacing w:line="72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0.360 ± 0.09</w:t>
            </w:r>
          </w:p>
        </w:tc>
      </w:tr>
    </w:tbl>
    <w:p w14:paraId="69751667" w14:textId="77777777" w:rsidR="002068FC" w:rsidRPr="00872186" w:rsidRDefault="002068FC" w:rsidP="002068FC">
      <w:pPr>
        <w:spacing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Key</w:t>
      </w:r>
      <w:r w:rsidRPr="00872186">
        <w:rPr>
          <w:rFonts w:ascii="Times New Roman" w:eastAsia="Times New Roman" w:hAnsi="Times New Roman" w:cs="Times New Roman"/>
          <w:sz w:val="24"/>
          <w:szCs w:val="24"/>
        </w:rPr>
        <w:t>: Nasarawa North (NN); Nasarawa West (NW) and Nasarawa South (NS)</w:t>
      </w:r>
    </w:p>
    <w:p w14:paraId="71338E2B" w14:textId="77777777" w:rsidR="002068FC" w:rsidRDefault="002068FC"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1C470C83" w14:textId="77777777" w:rsidR="00877697" w:rsidRDefault="00877697" w:rsidP="00877697">
      <w:pPr>
        <w:shd w:val="clear" w:color="auto" w:fill="FFFFFF"/>
        <w:spacing w:before="240" w:after="240" w:line="480" w:lineRule="auto"/>
        <w:jc w:val="both"/>
        <w:rPr>
          <w:rFonts w:ascii="Times New Roman" w:eastAsia="Times New Roman" w:hAnsi="Times New Roman" w:cs="Times New Roman"/>
          <w:b/>
          <w:bCs/>
          <w:sz w:val="24"/>
          <w:szCs w:val="24"/>
        </w:rPr>
      </w:pPr>
    </w:p>
    <w:p w14:paraId="4D1696BB" w14:textId="476CA6BB" w:rsidR="00877697" w:rsidRPr="00877697" w:rsidRDefault="00877697" w:rsidP="00877697">
      <w:pPr>
        <w:shd w:val="clear" w:color="auto" w:fill="FFFFFF"/>
        <w:spacing w:before="240" w:after="240" w:line="480" w:lineRule="auto"/>
        <w:jc w:val="both"/>
        <w:rPr>
          <w:rFonts w:ascii="Times New Roman" w:eastAsia="Times New Roman" w:hAnsi="Times New Roman" w:cs="Times New Roman"/>
          <w:sz w:val="24"/>
          <w:szCs w:val="24"/>
        </w:rPr>
      </w:pPr>
      <w:r w:rsidRPr="00877697">
        <w:rPr>
          <w:rFonts w:ascii="Times New Roman" w:eastAsia="Times New Roman" w:hAnsi="Times New Roman" w:cs="Times New Roman"/>
          <w:b/>
          <w:bCs/>
          <w:sz w:val="24"/>
          <w:szCs w:val="24"/>
        </w:rPr>
        <w:t xml:space="preserve">Table </w:t>
      </w:r>
      <w:r w:rsidR="0062347D">
        <w:rPr>
          <w:rFonts w:ascii="Times New Roman" w:eastAsia="Times New Roman" w:hAnsi="Times New Roman" w:cs="Times New Roman"/>
          <w:b/>
          <w:bCs/>
          <w:sz w:val="24"/>
          <w:szCs w:val="24"/>
        </w:rPr>
        <w:t>3</w:t>
      </w:r>
      <w:r w:rsidRPr="00877697">
        <w:rPr>
          <w:rFonts w:ascii="Times New Roman" w:eastAsia="Times New Roman" w:hAnsi="Times New Roman" w:cs="Times New Roman"/>
          <w:b/>
          <w:bCs/>
          <w:sz w:val="24"/>
          <w:szCs w:val="24"/>
        </w:rPr>
        <w:t xml:space="preserve">: </w:t>
      </w:r>
      <w:r w:rsidRPr="00877697">
        <w:rPr>
          <w:rFonts w:ascii="Times New Roman" w:eastAsia="Times New Roman" w:hAnsi="Times New Roman" w:cs="Times New Roman"/>
          <w:sz w:val="24"/>
          <w:szCs w:val="24"/>
        </w:rPr>
        <w:t>Mean concentrations (± standard deviation) of heavy metals (mg/g) across sampling locations.</w:t>
      </w:r>
    </w:p>
    <w:tbl>
      <w:tblPr>
        <w:tblStyle w:val="PlainTable2"/>
        <w:tblW w:w="0" w:type="auto"/>
        <w:tblLook w:val="04A0" w:firstRow="1" w:lastRow="0" w:firstColumn="1" w:lastColumn="0" w:noHBand="0" w:noVBand="1"/>
      </w:tblPr>
      <w:tblGrid>
        <w:gridCol w:w="1850"/>
        <w:gridCol w:w="2483"/>
        <w:gridCol w:w="2456"/>
        <w:gridCol w:w="2430"/>
      </w:tblGrid>
      <w:tr w:rsidR="00877697" w:rsidRPr="00877697" w14:paraId="08BB21CE" w14:textId="77777777" w:rsidTr="00820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A15561" w14:textId="77777777" w:rsidR="00877697" w:rsidRPr="00877697" w:rsidRDefault="00877697" w:rsidP="00877697">
            <w:pPr>
              <w:spacing w:line="480" w:lineRule="auto"/>
              <w:jc w:val="both"/>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lastRenderedPageBreak/>
              <w:t>Metal</w:t>
            </w:r>
          </w:p>
        </w:tc>
        <w:tc>
          <w:tcPr>
            <w:tcW w:w="0" w:type="auto"/>
            <w:hideMark/>
          </w:tcPr>
          <w:p w14:paraId="26555517" w14:textId="77777777" w:rsidR="00877697" w:rsidRPr="00877697" w:rsidRDefault="00877697" w:rsidP="0087769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Nasarawa North (NN)</w:t>
            </w:r>
          </w:p>
        </w:tc>
        <w:tc>
          <w:tcPr>
            <w:tcW w:w="0" w:type="auto"/>
            <w:hideMark/>
          </w:tcPr>
          <w:p w14:paraId="32AE07BB" w14:textId="77777777" w:rsidR="00877697" w:rsidRPr="00877697" w:rsidRDefault="00877697" w:rsidP="0087769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Nasarawa West (NW)</w:t>
            </w:r>
          </w:p>
        </w:tc>
        <w:tc>
          <w:tcPr>
            <w:tcW w:w="0" w:type="auto"/>
            <w:hideMark/>
          </w:tcPr>
          <w:p w14:paraId="596B697F" w14:textId="77777777" w:rsidR="00877697" w:rsidRPr="00877697" w:rsidRDefault="00877697" w:rsidP="0087769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Nasarawa South (NS)</w:t>
            </w:r>
          </w:p>
        </w:tc>
      </w:tr>
      <w:tr w:rsidR="00877697" w:rsidRPr="00877697" w14:paraId="428E92F5"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0C8832" w14:textId="77777777" w:rsidR="00877697" w:rsidRPr="00877697" w:rsidRDefault="00877697" w:rsidP="00877697">
            <w:pPr>
              <w:spacing w:line="480" w:lineRule="auto"/>
              <w:jc w:val="both"/>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Copper (Cu)</w:t>
            </w:r>
          </w:p>
        </w:tc>
        <w:tc>
          <w:tcPr>
            <w:tcW w:w="0" w:type="auto"/>
            <w:hideMark/>
          </w:tcPr>
          <w:p w14:paraId="11D1AE06" w14:textId="77777777" w:rsidR="00877697" w:rsidRPr="00877697" w:rsidRDefault="00877697" w:rsidP="0087769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0.465 ± 0.105</w:t>
            </w:r>
          </w:p>
        </w:tc>
        <w:tc>
          <w:tcPr>
            <w:tcW w:w="0" w:type="auto"/>
            <w:hideMark/>
          </w:tcPr>
          <w:p w14:paraId="340DD713" w14:textId="77777777" w:rsidR="00877697" w:rsidRPr="00877697" w:rsidRDefault="00877697" w:rsidP="0087769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0.546 ± 0.242</w:t>
            </w:r>
          </w:p>
        </w:tc>
        <w:tc>
          <w:tcPr>
            <w:tcW w:w="0" w:type="auto"/>
            <w:hideMark/>
          </w:tcPr>
          <w:p w14:paraId="1200C4E7" w14:textId="77777777" w:rsidR="00877697" w:rsidRPr="00877697" w:rsidRDefault="00877697" w:rsidP="0087769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0.341 ± 0.056</w:t>
            </w:r>
          </w:p>
        </w:tc>
      </w:tr>
      <w:tr w:rsidR="00877697" w:rsidRPr="00877697" w14:paraId="01C3C182" w14:textId="77777777" w:rsidTr="008202E3">
        <w:tc>
          <w:tcPr>
            <w:cnfStyle w:val="001000000000" w:firstRow="0" w:lastRow="0" w:firstColumn="1" w:lastColumn="0" w:oddVBand="0" w:evenVBand="0" w:oddHBand="0" w:evenHBand="0" w:firstRowFirstColumn="0" w:firstRowLastColumn="0" w:lastRowFirstColumn="0" w:lastRowLastColumn="0"/>
            <w:tcW w:w="0" w:type="auto"/>
            <w:hideMark/>
          </w:tcPr>
          <w:p w14:paraId="72A88DF4" w14:textId="77777777" w:rsidR="00877697" w:rsidRPr="00877697" w:rsidRDefault="00877697" w:rsidP="00877697">
            <w:pPr>
              <w:spacing w:line="480" w:lineRule="auto"/>
              <w:jc w:val="both"/>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Iron (Fe)</w:t>
            </w:r>
          </w:p>
        </w:tc>
        <w:tc>
          <w:tcPr>
            <w:tcW w:w="0" w:type="auto"/>
            <w:hideMark/>
          </w:tcPr>
          <w:p w14:paraId="475AB862" w14:textId="77777777" w:rsidR="00877697" w:rsidRPr="00877697" w:rsidRDefault="00877697" w:rsidP="0087769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0.313 ± 0.151</w:t>
            </w:r>
          </w:p>
        </w:tc>
        <w:tc>
          <w:tcPr>
            <w:tcW w:w="0" w:type="auto"/>
            <w:hideMark/>
          </w:tcPr>
          <w:p w14:paraId="7E60736B" w14:textId="77777777" w:rsidR="00877697" w:rsidRPr="00877697" w:rsidRDefault="00877697" w:rsidP="0087769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0.585 ± 0.181</w:t>
            </w:r>
          </w:p>
        </w:tc>
        <w:tc>
          <w:tcPr>
            <w:tcW w:w="0" w:type="auto"/>
            <w:hideMark/>
          </w:tcPr>
          <w:p w14:paraId="5538DEAF" w14:textId="77777777" w:rsidR="00877697" w:rsidRPr="00877697" w:rsidRDefault="00877697" w:rsidP="0087769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0.548 ± 0.212</w:t>
            </w:r>
          </w:p>
        </w:tc>
      </w:tr>
      <w:tr w:rsidR="00877697" w:rsidRPr="00877697" w14:paraId="7559AA9D"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E35B36" w14:textId="77777777" w:rsidR="00877697" w:rsidRPr="00877697" w:rsidRDefault="00877697" w:rsidP="00877697">
            <w:pPr>
              <w:spacing w:line="480" w:lineRule="auto"/>
              <w:jc w:val="both"/>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Cadmium (Cd)</w:t>
            </w:r>
          </w:p>
        </w:tc>
        <w:tc>
          <w:tcPr>
            <w:tcW w:w="0" w:type="auto"/>
            <w:hideMark/>
          </w:tcPr>
          <w:p w14:paraId="262F0F4C" w14:textId="77777777" w:rsidR="00877697" w:rsidRPr="00877697" w:rsidRDefault="00877697" w:rsidP="0087769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0.015 ± 0.001</w:t>
            </w:r>
          </w:p>
        </w:tc>
        <w:tc>
          <w:tcPr>
            <w:tcW w:w="0" w:type="auto"/>
            <w:hideMark/>
          </w:tcPr>
          <w:p w14:paraId="766A9792" w14:textId="77777777" w:rsidR="00877697" w:rsidRPr="00877697" w:rsidRDefault="00877697" w:rsidP="0087769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0.014 ± 0.001</w:t>
            </w:r>
          </w:p>
        </w:tc>
        <w:tc>
          <w:tcPr>
            <w:tcW w:w="0" w:type="auto"/>
            <w:hideMark/>
          </w:tcPr>
          <w:p w14:paraId="7245A862" w14:textId="77777777" w:rsidR="00877697" w:rsidRPr="00877697" w:rsidRDefault="00877697" w:rsidP="0087769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0.322 ± 0.055</w:t>
            </w:r>
          </w:p>
        </w:tc>
      </w:tr>
      <w:tr w:rsidR="00877697" w:rsidRPr="00877697" w14:paraId="64098EC0" w14:textId="77777777" w:rsidTr="008202E3">
        <w:tc>
          <w:tcPr>
            <w:cnfStyle w:val="001000000000" w:firstRow="0" w:lastRow="0" w:firstColumn="1" w:lastColumn="0" w:oddVBand="0" w:evenVBand="0" w:oddHBand="0" w:evenHBand="0" w:firstRowFirstColumn="0" w:firstRowLastColumn="0" w:lastRowFirstColumn="0" w:lastRowLastColumn="0"/>
            <w:tcW w:w="0" w:type="auto"/>
            <w:hideMark/>
          </w:tcPr>
          <w:p w14:paraId="0BF34259" w14:textId="77777777" w:rsidR="00877697" w:rsidRPr="00877697" w:rsidRDefault="00877697" w:rsidP="00877697">
            <w:pPr>
              <w:spacing w:line="480" w:lineRule="auto"/>
              <w:jc w:val="both"/>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Chromium (Cr)</w:t>
            </w:r>
          </w:p>
        </w:tc>
        <w:tc>
          <w:tcPr>
            <w:tcW w:w="0" w:type="auto"/>
            <w:hideMark/>
          </w:tcPr>
          <w:p w14:paraId="0E4506CF" w14:textId="77777777" w:rsidR="00877697" w:rsidRPr="00877697" w:rsidRDefault="00877697" w:rsidP="0087769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0.022 ± 0.005</w:t>
            </w:r>
          </w:p>
        </w:tc>
        <w:tc>
          <w:tcPr>
            <w:tcW w:w="0" w:type="auto"/>
            <w:hideMark/>
          </w:tcPr>
          <w:p w14:paraId="0922E8B4" w14:textId="77777777" w:rsidR="00877697" w:rsidRPr="00877697" w:rsidRDefault="00877697" w:rsidP="0087769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0.202 ± 0.042</w:t>
            </w:r>
          </w:p>
        </w:tc>
        <w:tc>
          <w:tcPr>
            <w:tcW w:w="0" w:type="auto"/>
            <w:hideMark/>
          </w:tcPr>
          <w:p w14:paraId="1B45E908" w14:textId="77777777" w:rsidR="00877697" w:rsidRPr="00877697" w:rsidRDefault="00877697" w:rsidP="0087769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0.204 ± 0.034</w:t>
            </w:r>
          </w:p>
        </w:tc>
      </w:tr>
      <w:tr w:rsidR="00877697" w:rsidRPr="00877697" w14:paraId="5523B985"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B65A74" w14:textId="77777777" w:rsidR="00877697" w:rsidRPr="00877697" w:rsidRDefault="00877697" w:rsidP="00877697">
            <w:pPr>
              <w:spacing w:line="480" w:lineRule="auto"/>
              <w:jc w:val="both"/>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Nickel (Ni)</w:t>
            </w:r>
          </w:p>
        </w:tc>
        <w:tc>
          <w:tcPr>
            <w:tcW w:w="0" w:type="auto"/>
            <w:hideMark/>
          </w:tcPr>
          <w:p w14:paraId="37B8F3E6" w14:textId="77777777" w:rsidR="00877697" w:rsidRPr="00877697" w:rsidRDefault="00877697" w:rsidP="0087769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0.018 ± 0.003</w:t>
            </w:r>
          </w:p>
        </w:tc>
        <w:tc>
          <w:tcPr>
            <w:tcW w:w="0" w:type="auto"/>
            <w:hideMark/>
          </w:tcPr>
          <w:p w14:paraId="4D719DA3" w14:textId="77777777" w:rsidR="00877697" w:rsidRPr="00877697" w:rsidRDefault="00877697" w:rsidP="0087769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0.300 ± 0.038</w:t>
            </w:r>
          </w:p>
        </w:tc>
        <w:tc>
          <w:tcPr>
            <w:tcW w:w="0" w:type="auto"/>
            <w:hideMark/>
          </w:tcPr>
          <w:p w14:paraId="1AB96350" w14:textId="77777777" w:rsidR="00877697" w:rsidRPr="00877697" w:rsidRDefault="00877697" w:rsidP="0087769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themeShade="BF"/>
                <w:sz w:val="24"/>
                <w:szCs w:val="24"/>
              </w:rPr>
            </w:pPr>
            <w:r w:rsidRPr="00877697">
              <w:rPr>
                <w:rFonts w:ascii="Times New Roman" w:eastAsia="Times New Roman" w:hAnsi="Times New Roman" w:cs="Times New Roman"/>
                <w:color w:val="000000" w:themeColor="text1" w:themeShade="BF"/>
                <w:sz w:val="24"/>
                <w:szCs w:val="24"/>
              </w:rPr>
              <w:t>0.015 ± 0.007</w:t>
            </w:r>
          </w:p>
        </w:tc>
      </w:tr>
    </w:tbl>
    <w:p w14:paraId="52542765" w14:textId="56910BC4" w:rsidR="0001783C" w:rsidRDefault="00877697" w:rsidP="00354649">
      <w:pPr>
        <w:spacing w:before="100" w:beforeAutospacing="1" w:after="100" w:afterAutospacing="1" w:line="240" w:lineRule="auto"/>
        <w:outlineLvl w:val="1"/>
        <w:rPr>
          <w:rFonts w:ascii="Times New Roman" w:eastAsia="Times New Roman" w:hAnsi="Times New Roman" w:cs="Times New Roman"/>
          <w:b/>
          <w:bCs/>
          <w:sz w:val="24"/>
          <w:szCs w:val="24"/>
        </w:rPr>
      </w:pPr>
      <w:r w:rsidRPr="00877697">
        <w:rPr>
          <w:rFonts w:ascii="Times New Roman" w:eastAsia="Times New Roman" w:hAnsi="Times New Roman" w:cs="Times New Roman"/>
          <w:b/>
          <w:bCs/>
          <w:sz w:val="24"/>
          <w:szCs w:val="24"/>
        </w:rPr>
        <w:t>Key:</w:t>
      </w:r>
      <w:r w:rsidRPr="00877697">
        <w:rPr>
          <w:rFonts w:ascii="Times New Roman" w:eastAsia="Times New Roman" w:hAnsi="Times New Roman" w:cs="Times New Roman"/>
          <w:sz w:val="24"/>
          <w:szCs w:val="24"/>
        </w:rPr>
        <w:t xml:space="preserve"> Nasarawa North (NN); Nasarawa West (NW) and Nasarawa South (NS</w:t>
      </w:r>
    </w:p>
    <w:p w14:paraId="7801D00D" w14:textId="77777777" w:rsidR="0001783C" w:rsidRDefault="0001783C"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37598DDC" w14:textId="31277D83" w:rsidR="0001783C" w:rsidRPr="0001783C" w:rsidRDefault="0001783C" w:rsidP="00D02D86">
      <w:pPr>
        <w:spacing w:after="160" w:line="480" w:lineRule="auto"/>
        <w:rPr>
          <w:rFonts w:ascii="Times New Roman" w:eastAsia="Calibri" w:hAnsi="Times New Roman" w:cs="Times New Roman"/>
          <w:b/>
          <w:sz w:val="24"/>
          <w:szCs w:val="24"/>
        </w:rPr>
      </w:pPr>
      <w:r w:rsidRPr="0001783C">
        <w:rPr>
          <w:rFonts w:ascii="Times New Roman" w:eastAsia="Calibri" w:hAnsi="Times New Roman" w:cs="Times New Roman"/>
          <w:b/>
          <w:sz w:val="24"/>
          <w:szCs w:val="24"/>
        </w:rPr>
        <w:t xml:space="preserve">Table </w:t>
      </w:r>
      <w:r w:rsidR="0062347D">
        <w:rPr>
          <w:rFonts w:ascii="Times New Roman" w:eastAsia="Calibri" w:hAnsi="Times New Roman" w:cs="Times New Roman"/>
          <w:b/>
          <w:sz w:val="24"/>
          <w:szCs w:val="24"/>
        </w:rPr>
        <w:t>4</w:t>
      </w:r>
      <w:r w:rsidRPr="0001783C">
        <w:rPr>
          <w:rFonts w:ascii="Times New Roman" w:eastAsia="Calibri" w:hAnsi="Times New Roman" w:cs="Times New Roman"/>
          <w:b/>
          <w:sz w:val="24"/>
          <w:szCs w:val="24"/>
        </w:rPr>
        <w:t xml:space="preserve">: </w:t>
      </w:r>
      <w:r w:rsidRPr="0001783C">
        <w:rPr>
          <w:rFonts w:ascii="Times New Roman" w:eastAsia="Calibri" w:hAnsi="Times New Roman" w:cs="Times New Roman"/>
          <w:bCs/>
          <w:sz w:val="24"/>
          <w:szCs w:val="24"/>
        </w:rPr>
        <w:t>M</w:t>
      </w:r>
      <w:r w:rsidRPr="0001783C">
        <w:rPr>
          <w:rFonts w:ascii="Times New Roman" w:eastAsia="Calibri" w:hAnsi="Times New Roman" w:cs="Times New Roman"/>
          <w:sz w:val="24"/>
          <w:szCs w:val="24"/>
        </w:rPr>
        <w:t xml:space="preserve">ean Values of Physiochemical and Heavy Metals Concentrations in Soils Across Sampling Location using </w:t>
      </w:r>
      <w:proofErr w:type="spellStart"/>
      <w:r w:rsidRPr="0001783C">
        <w:rPr>
          <w:rFonts w:ascii="Times New Roman" w:eastAsia="Calibri" w:hAnsi="Times New Roman" w:cs="Times New Roman"/>
          <w:sz w:val="24"/>
          <w:szCs w:val="24"/>
        </w:rPr>
        <w:t>Dumcan</w:t>
      </w:r>
      <w:proofErr w:type="spellEnd"/>
      <w:r w:rsidRPr="0001783C">
        <w:rPr>
          <w:rFonts w:ascii="Times New Roman" w:eastAsia="Calibri" w:hAnsi="Times New Roman" w:cs="Times New Roman"/>
          <w:sz w:val="24"/>
          <w:szCs w:val="24"/>
        </w:rPr>
        <w:t xml:space="preserve"> Multiple</w:t>
      </w:r>
    </w:p>
    <w:tbl>
      <w:tblPr>
        <w:tblStyle w:val="PlainTable21"/>
        <w:tblW w:w="0" w:type="auto"/>
        <w:tblLook w:val="04A0" w:firstRow="1" w:lastRow="0" w:firstColumn="1" w:lastColumn="0" w:noHBand="0" w:noVBand="1"/>
      </w:tblPr>
      <w:tblGrid>
        <w:gridCol w:w="2682"/>
        <w:gridCol w:w="1843"/>
        <w:gridCol w:w="1701"/>
        <w:gridCol w:w="2126"/>
      </w:tblGrid>
      <w:tr w:rsidR="0001783C" w:rsidRPr="0001783C" w14:paraId="44F9A0F2" w14:textId="77777777" w:rsidTr="00820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01A41448"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Parameters</w:t>
            </w:r>
          </w:p>
        </w:tc>
        <w:tc>
          <w:tcPr>
            <w:tcW w:w="1843" w:type="dxa"/>
            <w:hideMark/>
          </w:tcPr>
          <w:p w14:paraId="0EAABC17" w14:textId="77777777" w:rsidR="0001783C" w:rsidRPr="0001783C" w:rsidRDefault="0001783C" w:rsidP="0001783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NW</w:t>
            </w:r>
          </w:p>
        </w:tc>
        <w:tc>
          <w:tcPr>
            <w:tcW w:w="1701" w:type="dxa"/>
            <w:hideMark/>
          </w:tcPr>
          <w:p w14:paraId="46FE7F18" w14:textId="77777777" w:rsidR="0001783C" w:rsidRPr="0001783C" w:rsidRDefault="0001783C" w:rsidP="0001783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NS</w:t>
            </w:r>
          </w:p>
        </w:tc>
        <w:tc>
          <w:tcPr>
            <w:tcW w:w="2126" w:type="dxa"/>
            <w:hideMark/>
          </w:tcPr>
          <w:p w14:paraId="2C5E9EAA" w14:textId="77777777" w:rsidR="0001783C" w:rsidRPr="0001783C" w:rsidRDefault="0001783C" w:rsidP="0001783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NN</w:t>
            </w:r>
          </w:p>
        </w:tc>
      </w:tr>
      <w:tr w:rsidR="0001783C" w:rsidRPr="0001783C" w14:paraId="106B276F"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37A03ECE"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pH</w:t>
            </w:r>
          </w:p>
        </w:tc>
        <w:tc>
          <w:tcPr>
            <w:tcW w:w="1843" w:type="dxa"/>
            <w:hideMark/>
          </w:tcPr>
          <w:p w14:paraId="199624FA"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6.88</w:t>
            </w:r>
            <w:r w:rsidRPr="0001783C">
              <w:rPr>
                <w:rFonts w:ascii="Times New Roman" w:hAnsi="Times New Roman"/>
                <w:sz w:val="24"/>
                <w:szCs w:val="24"/>
                <w:vertAlign w:val="superscript"/>
              </w:rPr>
              <w:t>a</w:t>
            </w:r>
          </w:p>
        </w:tc>
        <w:tc>
          <w:tcPr>
            <w:tcW w:w="1701" w:type="dxa"/>
            <w:hideMark/>
          </w:tcPr>
          <w:p w14:paraId="301550E1"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6.88</w:t>
            </w:r>
            <w:r w:rsidRPr="0001783C">
              <w:rPr>
                <w:rFonts w:ascii="Times New Roman" w:hAnsi="Times New Roman"/>
                <w:sz w:val="24"/>
                <w:szCs w:val="24"/>
                <w:vertAlign w:val="superscript"/>
              </w:rPr>
              <w:t>a</w:t>
            </w:r>
          </w:p>
        </w:tc>
        <w:tc>
          <w:tcPr>
            <w:tcW w:w="2126" w:type="dxa"/>
            <w:hideMark/>
          </w:tcPr>
          <w:p w14:paraId="3CCC9B35"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6.82</w:t>
            </w:r>
            <w:r w:rsidRPr="0001783C">
              <w:rPr>
                <w:rFonts w:ascii="Times New Roman" w:hAnsi="Times New Roman"/>
                <w:sz w:val="24"/>
                <w:szCs w:val="24"/>
                <w:vertAlign w:val="superscript"/>
              </w:rPr>
              <w:t>a</w:t>
            </w:r>
          </w:p>
        </w:tc>
      </w:tr>
      <w:tr w:rsidR="0001783C" w:rsidRPr="0001783C" w14:paraId="515DAC76"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79D4855E"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EC</w:t>
            </w:r>
          </w:p>
        </w:tc>
        <w:tc>
          <w:tcPr>
            <w:tcW w:w="1843" w:type="dxa"/>
            <w:hideMark/>
          </w:tcPr>
          <w:p w14:paraId="690D6241"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1.10</w:t>
            </w:r>
            <w:r w:rsidRPr="0001783C">
              <w:rPr>
                <w:rFonts w:ascii="Times New Roman" w:hAnsi="Times New Roman"/>
                <w:sz w:val="24"/>
                <w:szCs w:val="24"/>
                <w:vertAlign w:val="superscript"/>
              </w:rPr>
              <w:t>a</w:t>
            </w:r>
          </w:p>
        </w:tc>
        <w:tc>
          <w:tcPr>
            <w:tcW w:w="1701" w:type="dxa"/>
            <w:hideMark/>
          </w:tcPr>
          <w:p w14:paraId="417F423D"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1.16</w:t>
            </w:r>
            <w:r w:rsidRPr="0001783C">
              <w:rPr>
                <w:rFonts w:ascii="Times New Roman" w:hAnsi="Times New Roman"/>
                <w:sz w:val="24"/>
                <w:szCs w:val="24"/>
                <w:vertAlign w:val="superscript"/>
              </w:rPr>
              <w:t>a</w:t>
            </w:r>
          </w:p>
        </w:tc>
        <w:tc>
          <w:tcPr>
            <w:tcW w:w="2126" w:type="dxa"/>
            <w:hideMark/>
          </w:tcPr>
          <w:p w14:paraId="4A1CE3D8"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1.12</w:t>
            </w:r>
            <w:r w:rsidRPr="0001783C">
              <w:rPr>
                <w:rFonts w:ascii="Times New Roman" w:hAnsi="Times New Roman"/>
                <w:sz w:val="24"/>
                <w:szCs w:val="24"/>
                <w:vertAlign w:val="superscript"/>
              </w:rPr>
              <w:t>a</w:t>
            </w:r>
          </w:p>
        </w:tc>
      </w:tr>
      <w:tr w:rsidR="0001783C" w:rsidRPr="0001783C" w14:paraId="755956B2"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11AE004A"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N</w:t>
            </w:r>
          </w:p>
        </w:tc>
        <w:tc>
          <w:tcPr>
            <w:tcW w:w="1843" w:type="dxa"/>
            <w:hideMark/>
          </w:tcPr>
          <w:p w14:paraId="5B4DCD0E"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0.42</w:t>
            </w:r>
            <w:r w:rsidRPr="0001783C">
              <w:rPr>
                <w:rFonts w:ascii="Times New Roman" w:hAnsi="Times New Roman"/>
                <w:sz w:val="24"/>
                <w:szCs w:val="24"/>
                <w:vertAlign w:val="superscript"/>
              </w:rPr>
              <w:t>a</w:t>
            </w:r>
          </w:p>
        </w:tc>
        <w:tc>
          <w:tcPr>
            <w:tcW w:w="1701" w:type="dxa"/>
            <w:hideMark/>
          </w:tcPr>
          <w:p w14:paraId="52C07870"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0.40</w:t>
            </w:r>
            <w:r w:rsidRPr="0001783C">
              <w:rPr>
                <w:rFonts w:ascii="Times New Roman" w:hAnsi="Times New Roman"/>
                <w:sz w:val="24"/>
                <w:szCs w:val="24"/>
                <w:vertAlign w:val="superscript"/>
              </w:rPr>
              <w:t>a</w:t>
            </w:r>
          </w:p>
        </w:tc>
        <w:tc>
          <w:tcPr>
            <w:tcW w:w="2126" w:type="dxa"/>
            <w:hideMark/>
          </w:tcPr>
          <w:p w14:paraId="3CD93F2C"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0.55</w:t>
            </w:r>
            <w:r w:rsidRPr="0001783C">
              <w:rPr>
                <w:rFonts w:ascii="Times New Roman" w:hAnsi="Times New Roman"/>
                <w:sz w:val="24"/>
                <w:szCs w:val="24"/>
                <w:vertAlign w:val="superscript"/>
              </w:rPr>
              <w:t>a</w:t>
            </w:r>
          </w:p>
        </w:tc>
      </w:tr>
      <w:tr w:rsidR="0001783C" w:rsidRPr="0001783C" w14:paraId="5953B319"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7F5FD116"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P</w:t>
            </w:r>
          </w:p>
        </w:tc>
        <w:tc>
          <w:tcPr>
            <w:tcW w:w="1843" w:type="dxa"/>
            <w:hideMark/>
          </w:tcPr>
          <w:p w14:paraId="19E544E3"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0.40</w:t>
            </w:r>
            <w:r w:rsidRPr="0001783C">
              <w:rPr>
                <w:rFonts w:ascii="Times New Roman" w:hAnsi="Times New Roman"/>
                <w:sz w:val="24"/>
                <w:szCs w:val="24"/>
                <w:vertAlign w:val="superscript"/>
              </w:rPr>
              <w:t>a</w:t>
            </w:r>
          </w:p>
        </w:tc>
        <w:tc>
          <w:tcPr>
            <w:tcW w:w="1701" w:type="dxa"/>
            <w:hideMark/>
          </w:tcPr>
          <w:p w14:paraId="0B9070BD"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0.35</w:t>
            </w:r>
            <w:r w:rsidRPr="0001783C">
              <w:rPr>
                <w:rFonts w:ascii="Times New Roman" w:hAnsi="Times New Roman"/>
                <w:sz w:val="24"/>
                <w:szCs w:val="24"/>
                <w:vertAlign w:val="superscript"/>
              </w:rPr>
              <w:t>a</w:t>
            </w:r>
          </w:p>
        </w:tc>
        <w:tc>
          <w:tcPr>
            <w:tcW w:w="2126" w:type="dxa"/>
            <w:hideMark/>
          </w:tcPr>
          <w:p w14:paraId="3F41C5F2"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0.45</w:t>
            </w:r>
            <w:r w:rsidRPr="0001783C">
              <w:rPr>
                <w:rFonts w:ascii="Times New Roman" w:hAnsi="Times New Roman"/>
                <w:sz w:val="24"/>
                <w:szCs w:val="24"/>
                <w:vertAlign w:val="superscript"/>
              </w:rPr>
              <w:t>a</w:t>
            </w:r>
          </w:p>
        </w:tc>
      </w:tr>
      <w:tr w:rsidR="0001783C" w:rsidRPr="0001783C" w14:paraId="21CA0C26"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7B0AAC48"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K</w:t>
            </w:r>
          </w:p>
        </w:tc>
        <w:tc>
          <w:tcPr>
            <w:tcW w:w="1843" w:type="dxa"/>
            <w:hideMark/>
          </w:tcPr>
          <w:p w14:paraId="63803D11"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0.007</w:t>
            </w:r>
            <w:r w:rsidRPr="0001783C">
              <w:rPr>
                <w:rFonts w:ascii="Times New Roman" w:hAnsi="Times New Roman"/>
                <w:sz w:val="24"/>
                <w:szCs w:val="24"/>
                <w:vertAlign w:val="superscript"/>
              </w:rPr>
              <w:t>a</w:t>
            </w:r>
          </w:p>
        </w:tc>
        <w:tc>
          <w:tcPr>
            <w:tcW w:w="1701" w:type="dxa"/>
            <w:hideMark/>
          </w:tcPr>
          <w:p w14:paraId="49B39934"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0.130</w:t>
            </w:r>
            <w:r w:rsidRPr="0001783C">
              <w:rPr>
                <w:rFonts w:ascii="Times New Roman" w:hAnsi="Times New Roman"/>
                <w:sz w:val="24"/>
                <w:szCs w:val="24"/>
                <w:vertAlign w:val="superscript"/>
              </w:rPr>
              <w:t>a</w:t>
            </w:r>
          </w:p>
        </w:tc>
        <w:tc>
          <w:tcPr>
            <w:tcW w:w="2126" w:type="dxa"/>
            <w:hideMark/>
          </w:tcPr>
          <w:p w14:paraId="0A094C8A"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0.011</w:t>
            </w:r>
            <w:r w:rsidRPr="0001783C">
              <w:rPr>
                <w:rFonts w:ascii="Times New Roman" w:hAnsi="Times New Roman"/>
                <w:sz w:val="24"/>
                <w:szCs w:val="24"/>
                <w:vertAlign w:val="superscript"/>
              </w:rPr>
              <w:t>a</w:t>
            </w:r>
          </w:p>
        </w:tc>
      </w:tr>
      <w:tr w:rsidR="0001783C" w:rsidRPr="0001783C" w14:paraId="55210246"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5F40C241"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CaCO</w:t>
            </w:r>
            <w:r w:rsidRPr="0001783C">
              <w:rPr>
                <w:rFonts w:ascii="Times New Roman" w:hAnsi="Times New Roman"/>
                <w:sz w:val="24"/>
                <w:szCs w:val="24"/>
                <w:vertAlign w:val="subscript"/>
              </w:rPr>
              <w:t>3</w:t>
            </w:r>
          </w:p>
        </w:tc>
        <w:tc>
          <w:tcPr>
            <w:tcW w:w="1843" w:type="dxa"/>
            <w:hideMark/>
          </w:tcPr>
          <w:p w14:paraId="52691725"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0.01</w:t>
            </w:r>
            <w:r w:rsidRPr="0001783C">
              <w:rPr>
                <w:rFonts w:ascii="Times New Roman" w:hAnsi="Times New Roman"/>
                <w:sz w:val="24"/>
                <w:szCs w:val="24"/>
                <w:vertAlign w:val="superscript"/>
              </w:rPr>
              <w:t>a</w:t>
            </w:r>
          </w:p>
        </w:tc>
        <w:tc>
          <w:tcPr>
            <w:tcW w:w="1701" w:type="dxa"/>
            <w:hideMark/>
          </w:tcPr>
          <w:p w14:paraId="24A9D6FC"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0.01</w:t>
            </w:r>
            <w:r w:rsidRPr="0001783C">
              <w:rPr>
                <w:rFonts w:ascii="Times New Roman" w:hAnsi="Times New Roman"/>
                <w:sz w:val="24"/>
                <w:szCs w:val="24"/>
                <w:vertAlign w:val="superscript"/>
              </w:rPr>
              <w:t>a</w:t>
            </w:r>
          </w:p>
        </w:tc>
        <w:tc>
          <w:tcPr>
            <w:tcW w:w="2126" w:type="dxa"/>
            <w:hideMark/>
          </w:tcPr>
          <w:p w14:paraId="22A954A5"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0.01</w:t>
            </w:r>
            <w:r w:rsidRPr="0001783C">
              <w:rPr>
                <w:rFonts w:ascii="Times New Roman" w:hAnsi="Times New Roman"/>
                <w:sz w:val="24"/>
                <w:szCs w:val="24"/>
                <w:vertAlign w:val="superscript"/>
              </w:rPr>
              <w:t>a</w:t>
            </w:r>
          </w:p>
        </w:tc>
      </w:tr>
      <w:tr w:rsidR="0001783C" w:rsidRPr="0001783C" w14:paraId="1E4DAACC"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6E612A71"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OC</w:t>
            </w:r>
          </w:p>
        </w:tc>
        <w:tc>
          <w:tcPr>
            <w:tcW w:w="1843" w:type="dxa"/>
            <w:hideMark/>
          </w:tcPr>
          <w:p w14:paraId="20A62A49"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1.74</w:t>
            </w:r>
            <w:r w:rsidRPr="0001783C">
              <w:rPr>
                <w:rFonts w:ascii="Times New Roman" w:hAnsi="Times New Roman"/>
                <w:sz w:val="24"/>
                <w:szCs w:val="24"/>
                <w:vertAlign w:val="superscript"/>
              </w:rPr>
              <w:t>a</w:t>
            </w:r>
          </w:p>
        </w:tc>
        <w:tc>
          <w:tcPr>
            <w:tcW w:w="1701" w:type="dxa"/>
            <w:hideMark/>
          </w:tcPr>
          <w:p w14:paraId="21B10877"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1.75</w:t>
            </w:r>
            <w:r w:rsidRPr="0001783C">
              <w:rPr>
                <w:rFonts w:ascii="Times New Roman" w:hAnsi="Times New Roman"/>
                <w:sz w:val="24"/>
                <w:szCs w:val="24"/>
                <w:vertAlign w:val="superscript"/>
              </w:rPr>
              <w:t>a</w:t>
            </w:r>
          </w:p>
        </w:tc>
        <w:tc>
          <w:tcPr>
            <w:tcW w:w="2126" w:type="dxa"/>
            <w:hideMark/>
          </w:tcPr>
          <w:p w14:paraId="1F9E7DD2"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1.80</w:t>
            </w:r>
            <w:r w:rsidRPr="0001783C">
              <w:rPr>
                <w:rFonts w:ascii="Times New Roman" w:hAnsi="Times New Roman"/>
                <w:sz w:val="24"/>
                <w:szCs w:val="24"/>
                <w:vertAlign w:val="superscript"/>
              </w:rPr>
              <w:t>b</w:t>
            </w:r>
          </w:p>
        </w:tc>
      </w:tr>
      <w:tr w:rsidR="0001783C" w:rsidRPr="0001783C" w14:paraId="6B1774F3"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249E0EDB"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OM</w:t>
            </w:r>
          </w:p>
        </w:tc>
        <w:tc>
          <w:tcPr>
            <w:tcW w:w="1843" w:type="dxa"/>
            <w:hideMark/>
          </w:tcPr>
          <w:p w14:paraId="5EACAA9E"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3.01</w:t>
            </w:r>
            <w:r w:rsidRPr="0001783C">
              <w:rPr>
                <w:rFonts w:ascii="Times New Roman" w:hAnsi="Times New Roman"/>
                <w:sz w:val="24"/>
                <w:szCs w:val="24"/>
                <w:vertAlign w:val="superscript"/>
              </w:rPr>
              <w:t>a</w:t>
            </w:r>
          </w:p>
        </w:tc>
        <w:tc>
          <w:tcPr>
            <w:tcW w:w="1701" w:type="dxa"/>
            <w:hideMark/>
          </w:tcPr>
          <w:p w14:paraId="211A5F0B"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3.01</w:t>
            </w:r>
            <w:r w:rsidRPr="0001783C">
              <w:rPr>
                <w:rFonts w:ascii="Times New Roman" w:hAnsi="Times New Roman"/>
                <w:sz w:val="24"/>
                <w:szCs w:val="24"/>
                <w:vertAlign w:val="superscript"/>
              </w:rPr>
              <w:t>a</w:t>
            </w:r>
          </w:p>
        </w:tc>
        <w:tc>
          <w:tcPr>
            <w:tcW w:w="2126" w:type="dxa"/>
            <w:hideMark/>
          </w:tcPr>
          <w:p w14:paraId="0BBCF534"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3.10</w:t>
            </w:r>
            <w:r w:rsidRPr="0001783C">
              <w:rPr>
                <w:rFonts w:ascii="Times New Roman" w:hAnsi="Times New Roman"/>
                <w:sz w:val="24"/>
                <w:szCs w:val="24"/>
                <w:vertAlign w:val="superscript"/>
              </w:rPr>
              <w:t>b</w:t>
            </w:r>
          </w:p>
        </w:tc>
      </w:tr>
      <w:tr w:rsidR="0001783C" w:rsidRPr="0001783C" w14:paraId="55964D20"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7DEE7CCB"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Sand</w:t>
            </w:r>
          </w:p>
        </w:tc>
        <w:tc>
          <w:tcPr>
            <w:tcW w:w="1843" w:type="dxa"/>
            <w:hideMark/>
          </w:tcPr>
          <w:p w14:paraId="413674F4"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87.40</w:t>
            </w:r>
            <w:r w:rsidRPr="0001783C">
              <w:rPr>
                <w:rFonts w:ascii="Times New Roman" w:hAnsi="Times New Roman"/>
                <w:sz w:val="24"/>
                <w:szCs w:val="24"/>
                <w:vertAlign w:val="superscript"/>
              </w:rPr>
              <w:t>b</w:t>
            </w:r>
          </w:p>
        </w:tc>
        <w:tc>
          <w:tcPr>
            <w:tcW w:w="1701" w:type="dxa"/>
            <w:hideMark/>
          </w:tcPr>
          <w:p w14:paraId="61317C32"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86.40</w:t>
            </w:r>
            <w:r w:rsidRPr="0001783C">
              <w:rPr>
                <w:rFonts w:ascii="Times New Roman" w:hAnsi="Times New Roman"/>
                <w:sz w:val="24"/>
                <w:szCs w:val="24"/>
                <w:vertAlign w:val="superscript"/>
              </w:rPr>
              <w:t>b</w:t>
            </w:r>
          </w:p>
        </w:tc>
        <w:tc>
          <w:tcPr>
            <w:tcW w:w="2126" w:type="dxa"/>
            <w:hideMark/>
          </w:tcPr>
          <w:p w14:paraId="427675E9"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84.80</w:t>
            </w:r>
            <w:r w:rsidRPr="0001783C">
              <w:rPr>
                <w:rFonts w:ascii="Times New Roman" w:hAnsi="Times New Roman"/>
                <w:sz w:val="24"/>
                <w:szCs w:val="24"/>
                <w:vertAlign w:val="superscript"/>
              </w:rPr>
              <w:t>a</w:t>
            </w:r>
          </w:p>
        </w:tc>
      </w:tr>
      <w:tr w:rsidR="0001783C" w:rsidRPr="0001783C" w14:paraId="06FA798F"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0219AA88"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Silt</w:t>
            </w:r>
          </w:p>
        </w:tc>
        <w:tc>
          <w:tcPr>
            <w:tcW w:w="1843" w:type="dxa"/>
            <w:hideMark/>
          </w:tcPr>
          <w:p w14:paraId="2DAFD815"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5.58</w:t>
            </w:r>
            <w:r w:rsidRPr="0001783C">
              <w:rPr>
                <w:rFonts w:ascii="Times New Roman" w:hAnsi="Times New Roman"/>
                <w:sz w:val="24"/>
                <w:szCs w:val="24"/>
                <w:vertAlign w:val="superscript"/>
              </w:rPr>
              <w:t>a</w:t>
            </w:r>
          </w:p>
        </w:tc>
        <w:tc>
          <w:tcPr>
            <w:tcW w:w="1701" w:type="dxa"/>
            <w:hideMark/>
          </w:tcPr>
          <w:p w14:paraId="4E016BB5"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5.76</w:t>
            </w:r>
            <w:r w:rsidRPr="0001783C">
              <w:rPr>
                <w:rFonts w:ascii="Times New Roman" w:hAnsi="Times New Roman"/>
                <w:sz w:val="24"/>
                <w:szCs w:val="24"/>
                <w:vertAlign w:val="superscript"/>
              </w:rPr>
              <w:t>b</w:t>
            </w:r>
          </w:p>
        </w:tc>
        <w:tc>
          <w:tcPr>
            <w:tcW w:w="2126" w:type="dxa"/>
            <w:hideMark/>
          </w:tcPr>
          <w:p w14:paraId="278DD393"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5.40</w:t>
            </w:r>
            <w:r w:rsidRPr="0001783C">
              <w:rPr>
                <w:rFonts w:ascii="Times New Roman" w:hAnsi="Times New Roman"/>
                <w:sz w:val="24"/>
                <w:szCs w:val="24"/>
                <w:vertAlign w:val="superscript"/>
              </w:rPr>
              <w:t>a</w:t>
            </w:r>
          </w:p>
        </w:tc>
      </w:tr>
      <w:tr w:rsidR="0001783C" w:rsidRPr="0001783C" w14:paraId="393264BE"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52161D8B"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Clay</w:t>
            </w:r>
          </w:p>
        </w:tc>
        <w:tc>
          <w:tcPr>
            <w:tcW w:w="1843" w:type="dxa"/>
            <w:hideMark/>
          </w:tcPr>
          <w:p w14:paraId="357838FC"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8.62</w:t>
            </w:r>
            <w:r w:rsidRPr="0001783C">
              <w:rPr>
                <w:rFonts w:ascii="Times New Roman" w:hAnsi="Times New Roman"/>
                <w:sz w:val="24"/>
                <w:szCs w:val="24"/>
                <w:vertAlign w:val="superscript"/>
              </w:rPr>
              <w:t>a</w:t>
            </w:r>
          </w:p>
        </w:tc>
        <w:tc>
          <w:tcPr>
            <w:tcW w:w="1701" w:type="dxa"/>
            <w:hideMark/>
          </w:tcPr>
          <w:p w14:paraId="602EED11"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9.02</w:t>
            </w:r>
            <w:r w:rsidRPr="0001783C">
              <w:rPr>
                <w:rFonts w:ascii="Times New Roman" w:hAnsi="Times New Roman"/>
                <w:sz w:val="24"/>
                <w:szCs w:val="24"/>
                <w:vertAlign w:val="superscript"/>
              </w:rPr>
              <w:t>a</w:t>
            </w:r>
          </w:p>
        </w:tc>
        <w:tc>
          <w:tcPr>
            <w:tcW w:w="2126" w:type="dxa"/>
            <w:hideMark/>
          </w:tcPr>
          <w:p w14:paraId="034996FF"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10.60</w:t>
            </w:r>
            <w:r w:rsidRPr="0001783C">
              <w:rPr>
                <w:rFonts w:ascii="Times New Roman" w:hAnsi="Times New Roman"/>
                <w:sz w:val="24"/>
                <w:szCs w:val="24"/>
                <w:vertAlign w:val="superscript"/>
              </w:rPr>
              <w:t>a</w:t>
            </w:r>
          </w:p>
        </w:tc>
      </w:tr>
      <w:tr w:rsidR="0001783C" w:rsidRPr="0001783C" w14:paraId="30BC0F63"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5D4F9807"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MC</w:t>
            </w:r>
          </w:p>
        </w:tc>
        <w:tc>
          <w:tcPr>
            <w:tcW w:w="1843" w:type="dxa"/>
            <w:hideMark/>
          </w:tcPr>
          <w:p w14:paraId="51882E91"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4.74</w:t>
            </w:r>
            <w:r w:rsidRPr="0001783C">
              <w:rPr>
                <w:rFonts w:ascii="Times New Roman" w:hAnsi="Times New Roman"/>
                <w:sz w:val="24"/>
                <w:szCs w:val="24"/>
                <w:vertAlign w:val="superscript"/>
              </w:rPr>
              <w:t>a</w:t>
            </w:r>
          </w:p>
        </w:tc>
        <w:tc>
          <w:tcPr>
            <w:tcW w:w="1701" w:type="dxa"/>
            <w:hideMark/>
          </w:tcPr>
          <w:p w14:paraId="706F4B56"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4.76</w:t>
            </w:r>
            <w:r w:rsidRPr="0001783C">
              <w:rPr>
                <w:rFonts w:ascii="Times New Roman" w:hAnsi="Times New Roman"/>
                <w:sz w:val="24"/>
                <w:szCs w:val="24"/>
                <w:vertAlign w:val="superscript"/>
              </w:rPr>
              <w:t>a</w:t>
            </w:r>
          </w:p>
        </w:tc>
        <w:tc>
          <w:tcPr>
            <w:tcW w:w="2126" w:type="dxa"/>
            <w:hideMark/>
          </w:tcPr>
          <w:p w14:paraId="78AA1A33"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4.57</w:t>
            </w:r>
            <w:r w:rsidRPr="0001783C">
              <w:rPr>
                <w:rFonts w:ascii="Times New Roman" w:hAnsi="Times New Roman"/>
                <w:sz w:val="24"/>
                <w:szCs w:val="24"/>
                <w:vertAlign w:val="superscript"/>
              </w:rPr>
              <w:t>a</w:t>
            </w:r>
          </w:p>
        </w:tc>
      </w:tr>
      <w:tr w:rsidR="0001783C" w:rsidRPr="0001783C" w14:paraId="59C38EAA"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39A7225B" w14:textId="77777777" w:rsidR="0001783C" w:rsidRPr="0001783C" w:rsidRDefault="0001783C" w:rsidP="0001783C">
            <w:pPr>
              <w:spacing w:line="360" w:lineRule="auto"/>
              <w:jc w:val="center"/>
              <w:rPr>
                <w:rFonts w:ascii="Times New Roman" w:hAnsi="Times New Roman"/>
                <w:sz w:val="24"/>
                <w:szCs w:val="24"/>
              </w:rPr>
            </w:pPr>
            <w:proofErr w:type="spellStart"/>
            <w:r w:rsidRPr="0001783C">
              <w:rPr>
                <w:rFonts w:ascii="Times New Roman" w:hAnsi="Times New Roman"/>
                <w:sz w:val="24"/>
                <w:szCs w:val="24"/>
              </w:rPr>
              <w:t>Glp</w:t>
            </w:r>
            <w:proofErr w:type="spellEnd"/>
          </w:p>
        </w:tc>
        <w:tc>
          <w:tcPr>
            <w:tcW w:w="1843" w:type="dxa"/>
            <w:hideMark/>
          </w:tcPr>
          <w:p w14:paraId="5BDDCB48"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1.08</w:t>
            </w:r>
            <w:r w:rsidRPr="0001783C">
              <w:rPr>
                <w:rFonts w:ascii="Times New Roman" w:hAnsi="Times New Roman"/>
                <w:sz w:val="24"/>
                <w:szCs w:val="24"/>
                <w:vertAlign w:val="superscript"/>
              </w:rPr>
              <w:t>b</w:t>
            </w:r>
          </w:p>
        </w:tc>
        <w:tc>
          <w:tcPr>
            <w:tcW w:w="1701" w:type="dxa"/>
            <w:hideMark/>
          </w:tcPr>
          <w:p w14:paraId="66CC7B45"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1.01a</w:t>
            </w:r>
            <w:r w:rsidRPr="0001783C">
              <w:rPr>
                <w:rFonts w:ascii="Times New Roman" w:hAnsi="Times New Roman"/>
                <w:sz w:val="24"/>
                <w:szCs w:val="24"/>
                <w:vertAlign w:val="superscript"/>
              </w:rPr>
              <w:t>b</w:t>
            </w:r>
          </w:p>
        </w:tc>
        <w:tc>
          <w:tcPr>
            <w:tcW w:w="2126" w:type="dxa"/>
            <w:hideMark/>
          </w:tcPr>
          <w:p w14:paraId="4DA1F868"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0.75</w:t>
            </w:r>
            <w:r w:rsidRPr="0001783C">
              <w:rPr>
                <w:rFonts w:ascii="Times New Roman" w:hAnsi="Times New Roman"/>
                <w:sz w:val="24"/>
                <w:szCs w:val="24"/>
                <w:vertAlign w:val="superscript"/>
              </w:rPr>
              <w:t>a</w:t>
            </w:r>
          </w:p>
        </w:tc>
      </w:tr>
      <w:tr w:rsidR="0001783C" w:rsidRPr="0001783C" w14:paraId="319D9827"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3E44E447" w14:textId="77777777" w:rsidR="0001783C" w:rsidRPr="0001783C" w:rsidRDefault="0001783C" w:rsidP="0001783C">
            <w:pPr>
              <w:spacing w:line="360" w:lineRule="auto"/>
              <w:jc w:val="center"/>
              <w:rPr>
                <w:rFonts w:ascii="Times New Roman" w:hAnsi="Times New Roman"/>
                <w:sz w:val="24"/>
                <w:szCs w:val="24"/>
              </w:rPr>
            </w:pPr>
            <w:proofErr w:type="spellStart"/>
            <w:r w:rsidRPr="0001783C">
              <w:rPr>
                <w:rFonts w:ascii="Times New Roman" w:hAnsi="Times New Roman"/>
                <w:sz w:val="24"/>
                <w:szCs w:val="24"/>
              </w:rPr>
              <w:t>Pqt</w:t>
            </w:r>
            <w:proofErr w:type="spellEnd"/>
          </w:p>
        </w:tc>
        <w:tc>
          <w:tcPr>
            <w:tcW w:w="1843" w:type="dxa"/>
            <w:hideMark/>
          </w:tcPr>
          <w:p w14:paraId="73F64D6F"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0.71</w:t>
            </w:r>
            <w:r w:rsidRPr="0001783C">
              <w:rPr>
                <w:rFonts w:ascii="Times New Roman" w:hAnsi="Times New Roman"/>
                <w:sz w:val="24"/>
                <w:szCs w:val="24"/>
                <w:vertAlign w:val="superscript"/>
              </w:rPr>
              <w:t>b</w:t>
            </w:r>
          </w:p>
        </w:tc>
        <w:tc>
          <w:tcPr>
            <w:tcW w:w="1701" w:type="dxa"/>
            <w:hideMark/>
          </w:tcPr>
          <w:p w14:paraId="4B058CC4"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0.77</w:t>
            </w:r>
            <w:r w:rsidRPr="0001783C">
              <w:rPr>
                <w:rFonts w:ascii="Times New Roman" w:hAnsi="Times New Roman"/>
                <w:sz w:val="24"/>
                <w:szCs w:val="24"/>
                <w:vertAlign w:val="superscript"/>
              </w:rPr>
              <w:t>b</w:t>
            </w:r>
          </w:p>
        </w:tc>
        <w:tc>
          <w:tcPr>
            <w:tcW w:w="2126" w:type="dxa"/>
            <w:hideMark/>
          </w:tcPr>
          <w:p w14:paraId="2EF61558"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0.55</w:t>
            </w:r>
            <w:r w:rsidRPr="0001783C">
              <w:rPr>
                <w:rFonts w:ascii="Times New Roman" w:hAnsi="Times New Roman"/>
                <w:sz w:val="24"/>
                <w:szCs w:val="24"/>
                <w:vertAlign w:val="superscript"/>
              </w:rPr>
              <w:t>a</w:t>
            </w:r>
          </w:p>
        </w:tc>
      </w:tr>
      <w:tr w:rsidR="0001783C" w:rsidRPr="0001783C" w14:paraId="51FE06F0"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05E2D914"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Cu</w:t>
            </w:r>
          </w:p>
        </w:tc>
        <w:tc>
          <w:tcPr>
            <w:tcW w:w="1843" w:type="dxa"/>
            <w:hideMark/>
          </w:tcPr>
          <w:p w14:paraId="6AAE7DA0"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0.54</w:t>
            </w:r>
            <w:r w:rsidRPr="0001783C">
              <w:rPr>
                <w:rFonts w:ascii="Times New Roman" w:hAnsi="Times New Roman"/>
                <w:sz w:val="24"/>
                <w:szCs w:val="24"/>
                <w:vertAlign w:val="superscript"/>
              </w:rPr>
              <w:t>a</w:t>
            </w:r>
          </w:p>
        </w:tc>
        <w:tc>
          <w:tcPr>
            <w:tcW w:w="1701" w:type="dxa"/>
            <w:hideMark/>
          </w:tcPr>
          <w:p w14:paraId="43164728"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0.46</w:t>
            </w:r>
            <w:r w:rsidRPr="0001783C">
              <w:rPr>
                <w:rFonts w:ascii="Times New Roman" w:hAnsi="Times New Roman"/>
                <w:sz w:val="24"/>
                <w:szCs w:val="24"/>
                <w:vertAlign w:val="superscript"/>
              </w:rPr>
              <w:t>a</w:t>
            </w:r>
          </w:p>
        </w:tc>
        <w:tc>
          <w:tcPr>
            <w:tcW w:w="2126" w:type="dxa"/>
            <w:hideMark/>
          </w:tcPr>
          <w:p w14:paraId="48B48FD0"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0.34</w:t>
            </w:r>
            <w:r w:rsidRPr="0001783C">
              <w:rPr>
                <w:rFonts w:ascii="Times New Roman" w:hAnsi="Times New Roman"/>
                <w:sz w:val="24"/>
                <w:szCs w:val="24"/>
                <w:vertAlign w:val="superscript"/>
              </w:rPr>
              <w:t>a</w:t>
            </w:r>
          </w:p>
        </w:tc>
      </w:tr>
      <w:tr w:rsidR="0001783C" w:rsidRPr="0001783C" w14:paraId="22674449"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195D0001"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lastRenderedPageBreak/>
              <w:t>Fe</w:t>
            </w:r>
          </w:p>
        </w:tc>
        <w:tc>
          <w:tcPr>
            <w:tcW w:w="1843" w:type="dxa"/>
            <w:hideMark/>
          </w:tcPr>
          <w:p w14:paraId="1FD5DF89"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0.58</w:t>
            </w:r>
            <w:r w:rsidRPr="0001783C">
              <w:rPr>
                <w:rFonts w:ascii="Times New Roman" w:hAnsi="Times New Roman"/>
                <w:sz w:val="24"/>
                <w:szCs w:val="24"/>
                <w:vertAlign w:val="superscript"/>
              </w:rPr>
              <w:t>a</w:t>
            </w:r>
          </w:p>
        </w:tc>
        <w:tc>
          <w:tcPr>
            <w:tcW w:w="1701" w:type="dxa"/>
            <w:hideMark/>
          </w:tcPr>
          <w:p w14:paraId="6AED54F2"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0.31</w:t>
            </w:r>
            <w:r w:rsidRPr="0001783C">
              <w:rPr>
                <w:rFonts w:ascii="Times New Roman" w:hAnsi="Times New Roman"/>
                <w:sz w:val="24"/>
                <w:szCs w:val="24"/>
                <w:vertAlign w:val="superscript"/>
              </w:rPr>
              <w:t>a</w:t>
            </w:r>
          </w:p>
        </w:tc>
        <w:tc>
          <w:tcPr>
            <w:tcW w:w="2126" w:type="dxa"/>
            <w:hideMark/>
          </w:tcPr>
          <w:p w14:paraId="2DE0C160"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0.54</w:t>
            </w:r>
            <w:r w:rsidRPr="0001783C">
              <w:rPr>
                <w:rFonts w:ascii="Times New Roman" w:hAnsi="Times New Roman"/>
                <w:sz w:val="24"/>
                <w:szCs w:val="24"/>
                <w:vertAlign w:val="superscript"/>
              </w:rPr>
              <w:t>a</w:t>
            </w:r>
          </w:p>
        </w:tc>
      </w:tr>
      <w:tr w:rsidR="0001783C" w:rsidRPr="0001783C" w14:paraId="1A58F1F2"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6EB37823"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Mg</w:t>
            </w:r>
          </w:p>
        </w:tc>
        <w:tc>
          <w:tcPr>
            <w:tcW w:w="1843" w:type="dxa"/>
            <w:hideMark/>
          </w:tcPr>
          <w:p w14:paraId="7614CBD3"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0.61</w:t>
            </w:r>
            <w:r w:rsidRPr="0001783C">
              <w:rPr>
                <w:rFonts w:ascii="Times New Roman" w:hAnsi="Times New Roman"/>
                <w:sz w:val="24"/>
                <w:szCs w:val="24"/>
                <w:vertAlign w:val="superscript"/>
              </w:rPr>
              <w:t>a</w:t>
            </w:r>
          </w:p>
        </w:tc>
        <w:tc>
          <w:tcPr>
            <w:tcW w:w="1701" w:type="dxa"/>
            <w:hideMark/>
          </w:tcPr>
          <w:p w14:paraId="16DC5A43"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0.39</w:t>
            </w:r>
            <w:r w:rsidRPr="0001783C">
              <w:rPr>
                <w:rFonts w:ascii="Times New Roman" w:hAnsi="Times New Roman"/>
                <w:sz w:val="24"/>
                <w:szCs w:val="24"/>
                <w:vertAlign w:val="superscript"/>
              </w:rPr>
              <w:t>a</w:t>
            </w:r>
          </w:p>
        </w:tc>
        <w:tc>
          <w:tcPr>
            <w:tcW w:w="2126" w:type="dxa"/>
            <w:hideMark/>
          </w:tcPr>
          <w:p w14:paraId="1E7F7284"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0.36</w:t>
            </w:r>
            <w:r w:rsidRPr="0001783C">
              <w:rPr>
                <w:rFonts w:ascii="Times New Roman" w:hAnsi="Times New Roman"/>
                <w:sz w:val="24"/>
                <w:szCs w:val="24"/>
                <w:vertAlign w:val="superscript"/>
              </w:rPr>
              <w:t>a</w:t>
            </w:r>
          </w:p>
        </w:tc>
      </w:tr>
      <w:tr w:rsidR="0001783C" w:rsidRPr="0001783C" w14:paraId="239EC938"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61468909"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Cd</w:t>
            </w:r>
          </w:p>
        </w:tc>
        <w:tc>
          <w:tcPr>
            <w:tcW w:w="1843" w:type="dxa"/>
            <w:hideMark/>
          </w:tcPr>
          <w:p w14:paraId="6A03F9FB"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0.01</w:t>
            </w:r>
            <w:r w:rsidRPr="0001783C">
              <w:rPr>
                <w:rFonts w:ascii="Times New Roman" w:hAnsi="Times New Roman"/>
                <w:sz w:val="24"/>
                <w:szCs w:val="24"/>
                <w:vertAlign w:val="superscript"/>
              </w:rPr>
              <w:t>a</w:t>
            </w:r>
          </w:p>
        </w:tc>
        <w:tc>
          <w:tcPr>
            <w:tcW w:w="1701" w:type="dxa"/>
            <w:hideMark/>
          </w:tcPr>
          <w:p w14:paraId="3599F89D"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0.01</w:t>
            </w:r>
            <w:r w:rsidRPr="0001783C">
              <w:rPr>
                <w:rFonts w:ascii="Times New Roman" w:hAnsi="Times New Roman"/>
                <w:sz w:val="24"/>
                <w:szCs w:val="24"/>
                <w:vertAlign w:val="superscript"/>
              </w:rPr>
              <w:t>a</w:t>
            </w:r>
          </w:p>
        </w:tc>
        <w:tc>
          <w:tcPr>
            <w:tcW w:w="2126" w:type="dxa"/>
            <w:hideMark/>
          </w:tcPr>
          <w:p w14:paraId="6EE35E1F"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0.32</w:t>
            </w:r>
            <w:r w:rsidRPr="0001783C">
              <w:rPr>
                <w:rFonts w:ascii="Times New Roman" w:hAnsi="Times New Roman"/>
                <w:sz w:val="24"/>
                <w:szCs w:val="24"/>
                <w:vertAlign w:val="superscript"/>
              </w:rPr>
              <w:t>b</w:t>
            </w:r>
          </w:p>
        </w:tc>
      </w:tr>
      <w:tr w:rsidR="0001783C" w:rsidRPr="0001783C" w14:paraId="0150B65A"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1D9A29DC"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Ni</w:t>
            </w:r>
          </w:p>
        </w:tc>
        <w:tc>
          <w:tcPr>
            <w:tcW w:w="1843" w:type="dxa"/>
            <w:hideMark/>
          </w:tcPr>
          <w:p w14:paraId="3E449F75"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0.30</w:t>
            </w:r>
            <w:r w:rsidRPr="0001783C">
              <w:rPr>
                <w:rFonts w:ascii="Times New Roman" w:hAnsi="Times New Roman"/>
                <w:sz w:val="24"/>
                <w:szCs w:val="24"/>
                <w:vertAlign w:val="superscript"/>
              </w:rPr>
              <w:t>b</w:t>
            </w:r>
          </w:p>
        </w:tc>
        <w:tc>
          <w:tcPr>
            <w:tcW w:w="1701" w:type="dxa"/>
            <w:hideMark/>
          </w:tcPr>
          <w:p w14:paraId="69A630BB"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0.01</w:t>
            </w:r>
            <w:r w:rsidRPr="0001783C">
              <w:rPr>
                <w:rFonts w:ascii="Times New Roman" w:hAnsi="Times New Roman"/>
                <w:sz w:val="24"/>
                <w:szCs w:val="24"/>
                <w:vertAlign w:val="superscript"/>
              </w:rPr>
              <w:t>a</w:t>
            </w:r>
          </w:p>
        </w:tc>
        <w:tc>
          <w:tcPr>
            <w:tcW w:w="2126" w:type="dxa"/>
            <w:hideMark/>
          </w:tcPr>
          <w:p w14:paraId="27A85EFC"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0.01</w:t>
            </w:r>
            <w:r w:rsidRPr="0001783C">
              <w:rPr>
                <w:rFonts w:ascii="Times New Roman" w:hAnsi="Times New Roman"/>
                <w:sz w:val="24"/>
                <w:szCs w:val="24"/>
                <w:vertAlign w:val="superscript"/>
              </w:rPr>
              <w:t>a</w:t>
            </w:r>
          </w:p>
        </w:tc>
      </w:tr>
      <w:tr w:rsidR="0001783C" w:rsidRPr="0001783C" w14:paraId="3E9D2038"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10705525"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Cr</w:t>
            </w:r>
          </w:p>
        </w:tc>
        <w:tc>
          <w:tcPr>
            <w:tcW w:w="1843" w:type="dxa"/>
            <w:hideMark/>
          </w:tcPr>
          <w:p w14:paraId="407F13A1"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0.20</w:t>
            </w:r>
            <w:r w:rsidRPr="0001783C">
              <w:rPr>
                <w:rFonts w:ascii="Times New Roman" w:hAnsi="Times New Roman"/>
                <w:sz w:val="24"/>
                <w:szCs w:val="24"/>
                <w:vertAlign w:val="superscript"/>
              </w:rPr>
              <w:t>b</w:t>
            </w:r>
          </w:p>
        </w:tc>
        <w:tc>
          <w:tcPr>
            <w:tcW w:w="1701" w:type="dxa"/>
            <w:hideMark/>
          </w:tcPr>
          <w:p w14:paraId="6620ECC0"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0.02</w:t>
            </w:r>
            <w:r w:rsidRPr="0001783C">
              <w:rPr>
                <w:rFonts w:ascii="Times New Roman" w:hAnsi="Times New Roman"/>
                <w:sz w:val="24"/>
                <w:szCs w:val="24"/>
                <w:vertAlign w:val="superscript"/>
              </w:rPr>
              <w:t>a</w:t>
            </w:r>
          </w:p>
        </w:tc>
        <w:tc>
          <w:tcPr>
            <w:tcW w:w="2126" w:type="dxa"/>
            <w:hideMark/>
          </w:tcPr>
          <w:p w14:paraId="1827816E"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0.02</w:t>
            </w:r>
            <w:r w:rsidRPr="0001783C">
              <w:rPr>
                <w:rFonts w:ascii="Times New Roman" w:hAnsi="Times New Roman"/>
                <w:sz w:val="24"/>
                <w:szCs w:val="24"/>
                <w:vertAlign w:val="superscript"/>
              </w:rPr>
              <w:t>b</w:t>
            </w:r>
          </w:p>
        </w:tc>
      </w:tr>
      <w:tr w:rsidR="0001783C" w:rsidRPr="0001783C" w14:paraId="3777B7FE" w14:textId="77777777" w:rsidTr="00820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2CE9D438"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Pb</w:t>
            </w:r>
          </w:p>
        </w:tc>
        <w:tc>
          <w:tcPr>
            <w:tcW w:w="1843" w:type="dxa"/>
            <w:hideMark/>
          </w:tcPr>
          <w:p w14:paraId="217F33F3"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15.75</w:t>
            </w:r>
            <w:r w:rsidRPr="0001783C">
              <w:rPr>
                <w:rFonts w:ascii="Times New Roman" w:hAnsi="Times New Roman"/>
                <w:sz w:val="24"/>
                <w:szCs w:val="24"/>
                <w:vertAlign w:val="superscript"/>
              </w:rPr>
              <w:t>c</w:t>
            </w:r>
          </w:p>
        </w:tc>
        <w:tc>
          <w:tcPr>
            <w:tcW w:w="1701" w:type="dxa"/>
            <w:hideMark/>
          </w:tcPr>
          <w:p w14:paraId="27F8AF52"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8.83</w:t>
            </w:r>
            <w:r w:rsidRPr="0001783C">
              <w:rPr>
                <w:rFonts w:ascii="Times New Roman" w:hAnsi="Times New Roman"/>
                <w:sz w:val="24"/>
                <w:szCs w:val="24"/>
                <w:vertAlign w:val="superscript"/>
              </w:rPr>
              <w:t>a</w:t>
            </w:r>
          </w:p>
        </w:tc>
        <w:tc>
          <w:tcPr>
            <w:tcW w:w="2126" w:type="dxa"/>
            <w:hideMark/>
          </w:tcPr>
          <w:p w14:paraId="0A6A9F8E" w14:textId="77777777" w:rsidR="0001783C" w:rsidRPr="0001783C" w:rsidRDefault="0001783C" w:rsidP="000178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14.17</w:t>
            </w:r>
            <w:r w:rsidRPr="0001783C">
              <w:rPr>
                <w:rFonts w:ascii="Times New Roman" w:hAnsi="Times New Roman"/>
                <w:sz w:val="24"/>
                <w:szCs w:val="24"/>
                <w:vertAlign w:val="superscript"/>
              </w:rPr>
              <w:t>b</w:t>
            </w:r>
          </w:p>
        </w:tc>
      </w:tr>
      <w:tr w:rsidR="0001783C" w:rsidRPr="0001783C" w14:paraId="7D4F7E64" w14:textId="77777777" w:rsidTr="008202E3">
        <w:tc>
          <w:tcPr>
            <w:cnfStyle w:val="001000000000" w:firstRow="0" w:lastRow="0" w:firstColumn="1" w:lastColumn="0" w:oddVBand="0" w:evenVBand="0" w:oddHBand="0" w:evenHBand="0" w:firstRowFirstColumn="0" w:firstRowLastColumn="0" w:lastRowFirstColumn="0" w:lastRowLastColumn="0"/>
            <w:tcW w:w="2682" w:type="dxa"/>
            <w:hideMark/>
          </w:tcPr>
          <w:p w14:paraId="06DA67F7" w14:textId="77777777" w:rsidR="0001783C" w:rsidRPr="0001783C" w:rsidRDefault="0001783C" w:rsidP="0001783C">
            <w:pPr>
              <w:spacing w:line="360" w:lineRule="auto"/>
              <w:jc w:val="center"/>
              <w:rPr>
                <w:rFonts w:ascii="Times New Roman" w:hAnsi="Times New Roman"/>
                <w:sz w:val="24"/>
                <w:szCs w:val="24"/>
              </w:rPr>
            </w:pPr>
            <w:r w:rsidRPr="0001783C">
              <w:rPr>
                <w:rFonts w:ascii="Times New Roman" w:hAnsi="Times New Roman"/>
                <w:sz w:val="24"/>
                <w:szCs w:val="24"/>
              </w:rPr>
              <w:t>Zn</w:t>
            </w:r>
          </w:p>
        </w:tc>
        <w:tc>
          <w:tcPr>
            <w:tcW w:w="1843" w:type="dxa"/>
            <w:hideMark/>
          </w:tcPr>
          <w:p w14:paraId="03D3164C"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16.34</w:t>
            </w:r>
            <w:r w:rsidRPr="0001783C">
              <w:rPr>
                <w:rFonts w:ascii="Times New Roman" w:hAnsi="Times New Roman"/>
                <w:sz w:val="24"/>
                <w:szCs w:val="24"/>
                <w:vertAlign w:val="superscript"/>
              </w:rPr>
              <w:t>a</w:t>
            </w:r>
          </w:p>
        </w:tc>
        <w:tc>
          <w:tcPr>
            <w:tcW w:w="1701" w:type="dxa"/>
            <w:hideMark/>
          </w:tcPr>
          <w:p w14:paraId="540B117D"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14.60</w:t>
            </w:r>
            <w:r w:rsidRPr="0001783C">
              <w:rPr>
                <w:rFonts w:ascii="Times New Roman" w:hAnsi="Times New Roman"/>
                <w:sz w:val="24"/>
                <w:szCs w:val="24"/>
                <w:vertAlign w:val="superscript"/>
              </w:rPr>
              <w:t>a</w:t>
            </w:r>
          </w:p>
        </w:tc>
        <w:tc>
          <w:tcPr>
            <w:tcW w:w="2126" w:type="dxa"/>
            <w:hideMark/>
          </w:tcPr>
          <w:p w14:paraId="47AAC4DF" w14:textId="77777777" w:rsidR="0001783C" w:rsidRPr="0001783C" w:rsidRDefault="0001783C" w:rsidP="000178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1783C">
              <w:rPr>
                <w:rFonts w:ascii="Times New Roman" w:hAnsi="Times New Roman"/>
                <w:sz w:val="24"/>
                <w:szCs w:val="24"/>
              </w:rPr>
              <w:t>14.70</w:t>
            </w:r>
            <w:r w:rsidRPr="0001783C">
              <w:rPr>
                <w:rFonts w:ascii="Times New Roman" w:hAnsi="Times New Roman"/>
                <w:sz w:val="24"/>
                <w:szCs w:val="24"/>
                <w:vertAlign w:val="superscript"/>
              </w:rPr>
              <w:t>a</w:t>
            </w:r>
          </w:p>
        </w:tc>
      </w:tr>
    </w:tbl>
    <w:p w14:paraId="6DB0CB4B" w14:textId="77777777" w:rsidR="0001783C" w:rsidRPr="0001783C" w:rsidRDefault="0001783C" w:rsidP="0001783C">
      <w:pPr>
        <w:spacing w:line="480" w:lineRule="auto"/>
        <w:ind w:left="567"/>
        <w:jc w:val="both"/>
        <w:rPr>
          <w:rFonts w:ascii="Times New Roman" w:eastAsia="Times New Roman" w:hAnsi="Times New Roman" w:cs="Times New Roman"/>
          <w:sz w:val="24"/>
          <w:szCs w:val="24"/>
        </w:rPr>
      </w:pPr>
      <w:r w:rsidRPr="0001783C">
        <w:rPr>
          <w:rFonts w:ascii="Times New Roman" w:eastAsia="Times New Roman" w:hAnsi="Times New Roman" w:cs="Times New Roman"/>
          <w:sz w:val="24"/>
          <w:szCs w:val="24"/>
        </w:rPr>
        <w:t>Key: Nasarawa North (NN); Nasarawa West (NW) and Nasarawa South (NS)</w:t>
      </w:r>
    </w:p>
    <w:p w14:paraId="3273FDF3" w14:textId="77777777" w:rsidR="0001783C" w:rsidRDefault="0001783C" w:rsidP="0001783C">
      <w:pPr>
        <w:spacing w:line="480" w:lineRule="auto"/>
        <w:ind w:left="567"/>
        <w:jc w:val="both"/>
        <w:rPr>
          <w:rFonts w:ascii="Times New Roman" w:eastAsia="Times New Roman" w:hAnsi="Times New Roman" w:cs="Times New Roman"/>
          <w:sz w:val="24"/>
          <w:szCs w:val="24"/>
        </w:rPr>
      </w:pPr>
    </w:p>
    <w:p w14:paraId="45FE20EF" w14:textId="77777777" w:rsidR="004E49AC" w:rsidRDefault="004E49AC" w:rsidP="0001783C">
      <w:pPr>
        <w:spacing w:line="480" w:lineRule="auto"/>
        <w:ind w:left="567"/>
        <w:jc w:val="both"/>
        <w:rPr>
          <w:rFonts w:ascii="Times New Roman" w:eastAsia="Times New Roman" w:hAnsi="Times New Roman" w:cs="Times New Roman"/>
          <w:sz w:val="24"/>
          <w:szCs w:val="24"/>
        </w:rPr>
      </w:pPr>
    </w:p>
    <w:p w14:paraId="269ED449" w14:textId="77777777" w:rsidR="004E49AC" w:rsidRDefault="004E49AC" w:rsidP="0001783C">
      <w:pPr>
        <w:spacing w:line="480" w:lineRule="auto"/>
        <w:ind w:left="567"/>
        <w:jc w:val="both"/>
        <w:rPr>
          <w:rFonts w:ascii="Times New Roman" w:eastAsia="Times New Roman" w:hAnsi="Times New Roman" w:cs="Times New Roman"/>
          <w:sz w:val="24"/>
          <w:szCs w:val="24"/>
        </w:rPr>
      </w:pPr>
    </w:p>
    <w:p w14:paraId="3A1EE62D" w14:textId="77777777" w:rsidR="004E49AC" w:rsidRDefault="004E49AC" w:rsidP="0001783C">
      <w:pPr>
        <w:spacing w:line="480" w:lineRule="auto"/>
        <w:ind w:left="567"/>
        <w:jc w:val="both"/>
        <w:rPr>
          <w:rFonts w:ascii="Times New Roman" w:eastAsia="Times New Roman" w:hAnsi="Times New Roman" w:cs="Times New Roman"/>
          <w:sz w:val="24"/>
          <w:szCs w:val="24"/>
        </w:rPr>
      </w:pPr>
    </w:p>
    <w:p w14:paraId="62F01258" w14:textId="77777777" w:rsidR="004E49AC" w:rsidRDefault="004E49AC" w:rsidP="0001783C">
      <w:pPr>
        <w:spacing w:line="480" w:lineRule="auto"/>
        <w:ind w:left="567"/>
        <w:jc w:val="both"/>
        <w:rPr>
          <w:rFonts w:ascii="Times New Roman" w:eastAsia="Times New Roman" w:hAnsi="Times New Roman" w:cs="Times New Roman"/>
          <w:sz w:val="24"/>
          <w:szCs w:val="24"/>
        </w:rPr>
      </w:pPr>
    </w:p>
    <w:p w14:paraId="2E2BF66E" w14:textId="77777777" w:rsidR="004E49AC" w:rsidRDefault="004E49AC" w:rsidP="0001783C">
      <w:pPr>
        <w:spacing w:line="480" w:lineRule="auto"/>
        <w:ind w:left="567"/>
        <w:jc w:val="both"/>
        <w:rPr>
          <w:rFonts w:ascii="Times New Roman" w:eastAsia="Times New Roman" w:hAnsi="Times New Roman" w:cs="Times New Roman"/>
          <w:sz w:val="24"/>
          <w:szCs w:val="24"/>
        </w:rPr>
      </w:pPr>
    </w:p>
    <w:p w14:paraId="0A1E647E" w14:textId="77777777" w:rsidR="004E49AC" w:rsidRDefault="004E49AC" w:rsidP="0001783C">
      <w:pPr>
        <w:spacing w:line="480" w:lineRule="auto"/>
        <w:ind w:left="567"/>
        <w:jc w:val="both"/>
        <w:rPr>
          <w:rFonts w:ascii="Times New Roman" w:eastAsia="Times New Roman" w:hAnsi="Times New Roman" w:cs="Times New Roman"/>
          <w:sz w:val="24"/>
          <w:szCs w:val="24"/>
        </w:rPr>
      </w:pPr>
    </w:p>
    <w:p w14:paraId="2144861C" w14:textId="77777777" w:rsidR="004E49AC" w:rsidRDefault="004E49AC" w:rsidP="0001783C">
      <w:pPr>
        <w:spacing w:line="480" w:lineRule="auto"/>
        <w:ind w:left="567"/>
        <w:jc w:val="both"/>
        <w:rPr>
          <w:rFonts w:ascii="Times New Roman" w:eastAsia="Times New Roman" w:hAnsi="Times New Roman" w:cs="Times New Roman"/>
          <w:sz w:val="24"/>
          <w:szCs w:val="24"/>
        </w:rPr>
      </w:pPr>
    </w:p>
    <w:p w14:paraId="227233EF" w14:textId="77777777" w:rsidR="004E49AC" w:rsidRDefault="004E49AC" w:rsidP="0001783C">
      <w:pPr>
        <w:spacing w:line="480" w:lineRule="auto"/>
        <w:ind w:left="567"/>
        <w:jc w:val="both"/>
        <w:rPr>
          <w:rFonts w:ascii="Times New Roman" w:eastAsia="Times New Roman" w:hAnsi="Times New Roman" w:cs="Times New Roman"/>
          <w:sz w:val="24"/>
          <w:szCs w:val="24"/>
        </w:rPr>
      </w:pPr>
    </w:p>
    <w:p w14:paraId="1C3905C1" w14:textId="77777777" w:rsidR="004E49AC" w:rsidRDefault="004E49AC" w:rsidP="0001783C">
      <w:pPr>
        <w:spacing w:line="480" w:lineRule="auto"/>
        <w:ind w:left="567"/>
        <w:jc w:val="both"/>
        <w:rPr>
          <w:rFonts w:ascii="Times New Roman" w:eastAsia="Times New Roman" w:hAnsi="Times New Roman" w:cs="Times New Roman"/>
          <w:sz w:val="24"/>
          <w:szCs w:val="24"/>
        </w:rPr>
      </w:pPr>
    </w:p>
    <w:p w14:paraId="239FBF0A" w14:textId="77777777" w:rsidR="004E49AC" w:rsidRDefault="004E49AC" w:rsidP="0001783C">
      <w:pPr>
        <w:spacing w:line="480" w:lineRule="auto"/>
        <w:ind w:left="567"/>
        <w:jc w:val="both"/>
        <w:rPr>
          <w:rFonts w:ascii="Times New Roman" w:eastAsia="Times New Roman" w:hAnsi="Times New Roman" w:cs="Times New Roman"/>
          <w:sz w:val="24"/>
          <w:szCs w:val="24"/>
        </w:rPr>
      </w:pPr>
    </w:p>
    <w:p w14:paraId="4C9B945F" w14:textId="7BE3D0C3" w:rsidR="004E49AC" w:rsidRPr="004E49AC" w:rsidRDefault="004E49AC" w:rsidP="004E49AC">
      <w:pPr>
        <w:spacing w:after="160" w:line="480" w:lineRule="auto"/>
        <w:jc w:val="both"/>
        <w:rPr>
          <w:rFonts w:ascii="Times New Roman" w:eastAsia="Times New Roman" w:hAnsi="Times New Roman" w:cs="Times New Roman"/>
          <w:sz w:val="24"/>
          <w:szCs w:val="24"/>
        </w:rPr>
      </w:pPr>
      <w:r w:rsidRPr="004E49AC">
        <w:rPr>
          <w:rFonts w:ascii="Times New Roman" w:eastAsia="Calibri" w:hAnsi="Times New Roman" w:cs="Times New Roman"/>
          <w:b/>
          <w:sz w:val="24"/>
          <w:szCs w:val="24"/>
        </w:rPr>
        <w:t xml:space="preserve">Table </w:t>
      </w:r>
      <w:r w:rsidR="00F7323F">
        <w:rPr>
          <w:rFonts w:ascii="Times New Roman" w:eastAsia="Calibri" w:hAnsi="Times New Roman" w:cs="Times New Roman"/>
          <w:b/>
          <w:sz w:val="24"/>
          <w:szCs w:val="24"/>
        </w:rPr>
        <w:t>5</w:t>
      </w:r>
      <w:r w:rsidRPr="004E49AC">
        <w:rPr>
          <w:rFonts w:ascii="Times New Roman" w:eastAsia="Calibri" w:hAnsi="Times New Roman" w:cs="Times New Roman"/>
          <w:sz w:val="24"/>
          <w:szCs w:val="24"/>
        </w:rPr>
        <w:t xml:space="preserve"> rotation sums of squared loading </w:t>
      </w:r>
    </w:p>
    <w:tbl>
      <w:tblPr>
        <w:tblStyle w:val="PlainTable2"/>
        <w:tblW w:w="0" w:type="auto"/>
        <w:tblLook w:val="04A0" w:firstRow="1" w:lastRow="0" w:firstColumn="1" w:lastColumn="0" w:noHBand="0" w:noVBand="1"/>
      </w:tblPr>
      <w:tblGrid>
        <w:gridCol w:w="1593"/>
        <w:gridCol w:w="1593"/>
        <w:gridCol w:w="1593"/>
        <w:gridCol w:w="1593"/>
      </w:tblGrid>
      <w:tr w:rsidR="004E49AC" w:rsidRPr="004E49AC" w14:paraId="1CE03DD6" w14:textId="77777777" w:rsidTr="00CF085B">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593" w:type="dxa"/>
            <w:hideMark/>
          </w:tcPr>
          <w:p w14:paraId="0797D6D5" w14:textId="77777777" w:rsidR="004E49AC" w:rsidRPr="004E49AC" w:rsidRDefault="004E49AC" w:rsidP="004E49AC">
            <w:pPr>
              <w:spacing w:after="160" w:line="480" w:lineRule="auto"/>
              <w:jc w:val="both"/>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lastRenderedPageBreak/>
              <w:t>Components</w:t>
            </w:r>
          </w:p>
        </w:tc>
        <w:tc>
          <w:tcPr>
            <w:tcW w:w="1593" w:type="dxa"/>
            <w:hideMark/>
          </w:tcPr>
          <w:p w14:paraId="67196672" w14:textId="77777777" w:rsidR="004E49AC" w:rsidRPr="004E49AC" w:rsidRDefault="004E49AC" w:rsidP="004E49AC">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Total</w:t>
            </w:r>
          </w:p>
        </w:tc>
        <w:tc>
          <w:tcPr>
            <w:tcW w:w="1593" w:type="dxa"/>
            <w:hideMark/>
          </w:tcPr>
          <w:p w14:paraId="547BFEAD" w14:textId="77777777" w:rsidR="004E49AC" w:rsidRPr="004E49AC" w:rsidRDefault="004E49AC" w:rsidP="004E49AC">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 of variance</w:t>
            </w:r>
          </w:p>
        </w:tc>
        <w:tc>
          <w:tcPr>
            <w:tcW w:w="1593" w:type="dxa"/>
            <w:hideMark/>
          </w:tcPr>
          <w:p w14:paraId="33E615D4" w14:textId="77777777" w:rsidR="004E49AC" w:rsidRPr="004E49AC" w:rsidRDefault="004E49AC" w:rsidP="004E49AC">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Cumulative %</w:t>
            </w:r>
          </w:p>
        </w:tc>
      </w:tr>
      <w:tr w:rsidR="004E49AC" w:rsidRPr="004E49AC" w14:paraId="26ECD847" w14:textId="77777777" w:rsidTr="00CF085B">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593" w:type="dxa"/>
            <w:hideMark/>
          </w:tcPr>
          <w:p w14:paraId="61B0E9B8" w14:textId="77777777" w:rsidR="004E49AC" w:rsidRPr="004E49AC" w:rsidRDefault="004E49AC" w:rsidP="004E49AC">
            <w:pPr>
              <w:spacing w:after="160" w:line="480" w:lineRule="auto"/>
              <w:jc w:val="both"/>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1</w:t>
            </w:r>
          </w:p>
        </w:tc>
        <w:tc>
          <w:tcPr>
            <w:tcW w:w="1593" w:type="dxa"/>
            <w:hideMark/>
          </w:tcPr>
          <w:p w14:paraId="5B0333C6" w14:textId="77777777" w:rsidR="004E49AC" w:rsidRPr="004E49AC" w:rsidRDefault="004E49AC" w:rsidP="004E49AC">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4.514</w:t>
            </w:r>
          </w:p>
        </w:tc>
        <w:tc>
          <w:tcPr>
            <w:tcW w:w="1593" w:type="dxa"/>
            <w:hideMark/>
          </w:tcPr>
          <w:p w14:paraId="24E61D68" w14:textId="77777777" w:rsidR="004E49AC" w:rsidRPr="004E49AC" w:rsidRDefault="004E49AC" w:rsidP="004E49AC">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20.517</w:t>
            </w:r>
          </w:p>
        </w:tc>
        <w:tc>
          <w:tcPr>
            <w:tcW w:w="1593" w:type="dxa"/>
            <w:hideMark/>
          </w:tcPr>
          <w:p w14:paraId="2B02D688" w14:textId="77777777" w:rsidR="004E49AC" w:rsidRPr="004E49AC" w:rsidRDefault="004E49AC" w:rsidP="004E49AC">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20.517</w:t>
            </w:r>
          </w:p>
        </w:tc>
      </w:tr>
      <w:tr w:rsidR="004E49AC" w:rsidRPr="004E49AC" w14:paraId="65D8107F" w14:textId="77777777" w:rsidTr="00CF085B">
        <w:trPr>
          <w:trHeight w:val="434"/>
        </w:trPr>
        <w:tc>
          <w:tcPr>
            <w:cnfStyle w:val="001000000000" w:firstRow="0" w:lastRow="0" w:firstColumn="1" w:lastColumn="0" w:oddVBand="0" w:evenVBand="0" w:oddHBand="0" w:evenHBand="0" w:firstRowFirstColumn="0" w:firstRowLastColumn="0" w:lastRowFirstColumn="0" w:lastRowLastColumn="0"/>
            <w:tcW w:w="1593" w:type="dxa"/>
            <w:hideMark/>
          </w:tcPr>
          <w:p w14:paraId="6731F076" w14:textId="77777777" w:rsidR="004E49AC" w:rsidRPr="004E49AC" w:rsidRDefault="004E49AC" w:rsidP="004E49AC">
            <w:pPr>
              <w:spacing w:after="160" w:line="480" w:lineRule="auto"/>
              <w:jc w:val="both"/>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2</w:t>
            </w:r>
          </w:p>
        </w:tc>
        <w:tc>
          <w:tcPr>
            <w:tcW w:w="1593" w:type="dxa"/>
            <w:hideMark/>
          </w:tcPr>
          <w:p w14:paraId="01E2C273" w14:textId="77777777" w:rsidR="004E49AC" w:rsidRPr="004E49AC" w:rsidRDefault="004E49AC" w:rsidP="004E49AC">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3.712</w:t>
            </w:r>
          </w:p>
        </w:tc>
        <w:tc>
          <w:tcPr>
            <w:tcW w:w="1593" w:type="dxa"/>
            <w:hideMark/>
          </w:tcPr>
          <w:p w14:paraId="734A789C" w14:textId="77777777" w:rsidR="004E49AC" w:rsidRPr="004E49AC" w:rsidRDefault="004E49AC" w:rsidP="004E49AC">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16.871</w:t>
            </w:r>
          </w:p>
        </w:tc>
        <w:tc>
          <w:tcPr>
            <w:tcW w:w="1593" w:type="dxa"/>
            <w:hideMark/>
          </w:tcPr>
          <w:p w14:paraId="0B01F9C7" w14:textId="77777777" w:rsidR="004E49AC" w:rsidRPr="004E49AC" w:rsidRDefault="004E49AC" w:rsidP="004E49AC">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37.389</w:t>
            </w:r>
          </w:p>
        </w:tc>
      </w:tr>
      <w:tr w:rsidR="004E49AC" w:rsidRPr="004E49AC" w14:paraId="3D359440" w14:textId="77777777" w:rsidTr="00CF085B">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593" w:type="dxa"/>
            <w:hideMark/>
          </w:tcPr>
          <w:p w14:paraId="2CFDC3BC" w14:textId="77777777" w:rsidR="004E49AC" w:rsidRPr="004E49AC" w:rsidRDefault="004E49AC" w:rsidP="004E49AC">
            <w:pPr>
              <w:spacing w:after="160" w:line="480" w:lineRule="auto"/>
              <w:jc w:val="both"/>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3</w:t>
            </w:r>
          </w:p>
        </w:tc>
        <w:tc>
          <w:tcPr>
            <w:tcW w:w="1593" w:type="dxa"/>
            <w:hideMark/>
          </w:tcPr>
          <w:p w14:paraId="1E4AD6D8" w14:textId="77777777" w:rsidR="004E49AC" w:rsidRPr="004E49AC" w:rsidRDefault="004E49AC" w:rsidP="004E49AC">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3.084</w:t>
            </w:r>
          </w:p>
        </w:tc>
        <w:tc>
          <w:tcPr>
            <w:tcW w:w="1593" w:type="dxa"/>
            <w:hideMark/>
          </w:tcPr>
          <w:p w14:paraId="3820E440" w14:textId="77777777" w:rsidR="004E49AC" w:rsidRPr="004E49AC" w:rsidRDefault="004E49AC" w:rsidP="004E49AC">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14.020</w:t>
            </w:r>
          </w:p>
        </w:tc>
        <w:tc>
          <w:tcPr>
            <w:tcW w:w="1593" w:type="dxa"/>
            <w:hideMark/>
          </w:tcPr>
          <w:p w14:paraId="60E14589" w14:textId="77777777" w:rsidR="004E49AC" w:rsidRPr="004E49AC" w:rsidRDefault="004E49AC" w:rsidP="004E49AC">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51.408</w:t>
            </w:r>
          </w:p>
        </w:tc>
      </w:tr>
      <w:tr w:rsidR="004E49AC" w:rsidRPr="004E49AC" w14:paraId="4564F86B" w14:textId="77777777" w:rsidTr="00CF085B">
        <w:trPr>
          <w:trHeight w:val="437"/>
        </w:trPr>
        <w:tc>
          <w:tcPr>
            <w:cnfStyle w:val="001000000000" w:firstRow="0" w:lastRow="0" w:firstColumn="1" w:lastColumn="0" w:oddVBand="0" w:evenVBand="0" w:oddHBand="0" w:evenHBand="0" w:firstRowFirstColumn="0" w:firstRowLastColumn="0" w:lastRowFirstColumn="0" w:lastRowLastColumn="0"/>
            <w:tcW w:w="1593" w:type="dxa"/>
            <w:hideMark/>
          </w:tcPr>
          <w:p w14:paraId="4B854247" w14:textId="77777777" w:rsidR="004E49AC" w:rsidRPr="004E49AC" w:rsidRDefault="004E49AC" w:rsidP="004E49AC">
            <w:pPr>
              <w:spacing w:after="160" w:line="480" w:lineRule="auto"/>
              <w:jc w:val="both"/>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4</w:t>
            </w:r>
          </w:p>
        </w:tc>
        <w:tc>
          <w:tcPr>
            <w:tcW w:w="1593" w:type="dxa"/>
            <w:hideMark/>
          </w:tcPr>
          <w:p w14:paraId="524C6E44" w14:textId="77777777" w:rsidR="004E49AC" w:rsidRPr="004E49AC" w:rsidRDefault="004E49AC" w:rsidP="004E49AC">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2.584</w:t>
            </w:r>
          </w:p>
        </w:tc>
        <w:tc>
          <w:tcPr>
            <w:tcW w:w="1593" w:type="dxa"/>
            <w:hideMark/>
          </w:tcPr>
          <w:p w14:paraId="592F03B0" w14:textId="77777777" w:rsidR="004E49AC" w:rsidRPr="004E49AC" w:rsidRDefault="004E49AC" w:rsidP="004E49AC">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11.747</w:t>
            </w:r>
          </w:p>
        </w:tc>
        <w:tc>
          <w:tcPr>
            <w:tcW w:w="1593" w:type="dxa"/>
            <w:hideMark/>
          </w:tcPr>
          <w:p w14:paraId="7BAD60BC" w14:textId="77777777" w:rsidR="004E49AC" w:rsidRPr="004E49AC" w:rsidRDefault="004E49AC" w:rsidP="004E49AC">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63.155</w:t>
            </w:r>
          </w:p>
        </w:tc>
      </w:tr>
      <w:tr w:rsidR="004E49AC" w:rsidRPr="004E49AC" w14:paraId="0BA953F3" w14:textId="77777777" w:rsidTr="00CF085B">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593" w:type="dxa"/>
            <w:hideMark/>
          </w:tcPr>
          <w:p w14:paraId="4D9AFEE8" w14:textId="3B934A2B" w:rsidR="004E49AC" w:rsidRPr="004E49AC" w:rsidRDefault="00A976CF" w:rsidP="004E49AC">
            <w:pPr>
              <w:spacing w:after="160" w:line="48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w:t>
            </w:r>
            <w:r w:rsidR="004E49AC" w:rsidRPr="004E49AC">
              <w:rPr>
                <w:rFonts w:ascii="Times New Roman" w:hAnsi="Times New Roman" w:cs="Times New Roman"/>
                <w:color w:val="000000" w:themeColor="text1" w:themeShade="BF"/>
                <w:sz w:val="24"/>
                <w:szCs w:val="24"/>
              </w:rPr>
              <w:t>5</w:t>
            </w:r>
          </w:p>
        </w:tc>
        <w:tc>
          <w:tcPr>
            <w:tcW w:w="1593" w:type="dxa"/>
            <w:hideMark/>
          </w:tcPr>
          <w:p w14:paraId="4E31E28C" w14:textId="77777777" w:rsidR="004E49AC" w:rsidRPr="004E49AC" w:rsidRDefault="004E49AC" w:rsidP="004E49AC">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2.154</w:t>
            </w:r>
          </w:p>
        </w:tc>
        <w:tc>
          <w:tcPr>
            <w:tcW w:w="1593" w:type="dxa"/>
            <w:hideMark/>
          </w:tcPr>
          <w:p w14:paraId="6ACCEDA6" w14:textId="77777777" w:rsidR="004E49AC" w:rsidRPr="004E49AC" w:rsidRDefault="004E49AC" w:rsidP="004E49AC">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9.793</w:t>
            </w:r>
          </w:p>
        </w:tc>
        <w:tc>
          <w:tcPr>
            <w:tcW w:w="1593" w:type="dxa"/>
            <w:hideMark/>
          </w:tcPr>
          <w:p w14:paraId="52C5DC82" w14:textId="77777777" w:rsidR="004E49AC" w:rsidRPr="004E49AC" w:rsidRDefault="004E49AC" w:rsidP="004E49AC">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72.948</w:t>
            </w:r>
          </w:p>
        </w:tc>
      </w:tr>
      <w:tr w:rsidR="004E49AC" w:rsidRPr="004E49AC" w14:paraId="3253F40F" w14:textId="77777777" w:rsidTr="00CF085B">
        <w:trPr>
          <w:trHeight w:val="434"/>
        </w:trPr>
        <w:tc>
          <w:tcPr>
            <w:cnfStyle w:val="001000000000" w:firstRow="0" w:lastRow="0" w:firstColumn="1" w:lastColumn="0" w:oddVBand="0" w:evenVBand="0" w:oddHBand="0" w:evenHBand="0" w:firstRowFirstColumn="0" w:firstRowLastColumn="0" w:lastRowFirstColumn="0" w:lastRowLastColumn="0"/>
            <w:tcW w:w="1593" w:type="dxa"/>
            <w:hideMark/>
          </w:tcPr>
          <w:p w14:paraId="7A065A41" w14:textId="77777777" w:rsidR="004E49AC" w:rsidRPr="004E49AC" w:rsidRDefault="004E49AC" w:rsidP="004E49AC">
            <w:pPr>
              <w:spacing w:after="160" w:line="480" w:lineRule="auto"/>
              <w:jc w:val="both"/>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6</w:t>
            </w:r>
          </w:p>
        </w:tc>
        <w:tc>
          <w:tcPr>
            <w:tcW w:w="1593" w:type="dxa"/>
            <w:hideMark/>
          </w:tcPr>
          <w:p w14:paraId="60C16CAB" w14:textId="77777777" w:rsidR="004E49AC" w:rsidRPr="004E49AC" w:rsidRDefault="004E49AC" w:rsidP="004E49AC">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2.125</w:t>
            </w:r>
          </w:p>
        </w:tc>
        <w:tc>
          <w:tcPr>
            <w:tcW w:w="1593" w:type="dxa"/>
            <w:hideMark/>
          </w:tcPr>
          <w:p w14:paraId="7772BC1A" w14:textId="77777777" w:rsidR="004E49AC" w:rsidRPr="004E49AC" w:rsidRDefault="004E49AC" w:rsidP="004E49AC">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9.657</w:t>
            </w:r>
          </w:p>
        </w:tc>
        <w:tc>
          <w:tcPr>
            <w:tcW w:w="1593" w:type="dxa"/>
            <w:hideMark/>
          </w:tcPr>
          <w:p w14:paraId="07A72570" w14:textId="77777777" w:rsidR="004E49AC" w:rsidRPr="004E49AC" w:rsidRDefault="004E49AC" w:rsidP="004E49AC">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4E49AC">
              <w:rPr>
                <w:rFonts w:ascii="Times New Roman" w:hAnsi="Times New Roman" w:cs="Times New Roman"/>
                <w:color w:val="000000" w:themeColor="text1" w:themeShade="BF"/>
                <w:sz w:val="24"/>
                <w:szCs w:val="24"/>
              </w:rPr>
              <w:t>82.606</w:t>
            </w:r>
          </w:p>
        </w:tc>
      </w:tr>
    </w:tbl>
    <w:p w14:paraId="74BCDC05" w14:textId="77777777" w:rsidR="004E49AC" w:rsidRDefault="004E49AC" w:rsidP="0001783C">
      <w:pPr>
        <w:spacing w:line="480" w:lineRule="auto"/>
        <w:ind w:left="567"/>
        <w:jc w:val="both"/>
        <w:rPr>
          <w:rFonts w:ascii="Times New Roman" w:eastAsia="Times New Roman" w:hAnsi="Times New Roman" w:cs="Times New Roman"/>
          <w:sz w:val="24"/>
          <w:szCs w:val="24"/>
        </w:rPr>
      </w:pPr>
    </w:p>
    <w:p w14:paraId="3524236C" w14:textId="77777777" w:rsidR="004E49AC" w:rsidRDefault="004E49AC" w:rsidP="0001783C">
      <w:pPr>
        <w:spacing w:line="480" w:lineRule="auto"/>
        <w:ind w:left="567"/>
        <w:jc w:val="both"/>
        <w:rPr>
          <w:rFonts w:ascii="Times New Roman" w:eastAsia="Times New Roman" w:hAnsi="Times New Roman" w:cs="Times New Roman"/>
          <w:sz w:val="24"/>
          <w:szCs w:val="24"/>
        </w:rPr>
      </w:pPr>
    </w:p>
    <w:p w14:paraId="4762137F" w14:textId="77777777" w:rsidR="004E49AC" w:rsidRPr="0001783C" w:rsidRDefault="004E49AC" w:rsidP="0001783C">
      <w:pPr>
        <w:spacing w:line="480" w:lineRule="auto"/>
        <w:ind w:left="567"/>
        <w:jc w:val="both"/>
        <w:rPr>
          <w:rFonts w:ascii="Times New Roman" w:eastAsia="Times New Roman" w:hAnsi="Times New Roman" w:cs="Times New Roman"/>
          <w:sz w:val="24"/>
          <w:szCs w:val="24"/>
        </w:rPr>
      </w:pPr>
    </w:p>
    <w:p w14:paraId="03F69806" w14:textId="77777777" w:rsidR="0001783C" w:rsidRPr="00872186" w:rsidRDefault="0001783C"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27346F9F" w14:textId="77777777" w:rsidR="00186131" w:rsidRPr="00872186" w:rsidRDefault="00186131" w:rsidP="00186131">
      <w:pPr>
        <w:rPr>
          <w:rFonts w:ascii="Times New Roman" w:eastAsia="Times New Roman" w:hAnsi="Times New Roman" w:cs="Times New Roman"/>
          <w:sz w:val="24"/>
          <w:szCs w:val="24"/>
        </w:rPr>
      </w:pPr>
      <w:r w:rsidRPr="00872186">
        <w:rPr>
          <w:rFonts w:ascii="Times New Roman" w:eastAsia="Calibri" w:hAnsi="Times New Roman" w:cs="Times New Roman"/>
          <w:b/>
          <w:noProof/>
          <w:sz w:val="24"/>
          <w:szCs w:val="24"/>
        </w:rPr>
        <w:drawing>
          <wp:inline distT="0" distB="0" distL="114300" distR="114300" wp14:anchorId="28767DB2" wp14:editId="073DCB5B">
            <wp:extent cx="5641258" cy="2655570"/>
            <wp:effectExtent l="0" t="0" r="17145" b="11430"/>
            <wp:docPr id="104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AAEACC" w14:textId="77777777" w:rsidR="00186131" w:rsidRPr="00872186" w:rsidRDefault="00186131" w:rsidP="00186131">
      <w:pPr>
        <w:rPr>
          <w:rFonts w:ascii="Times New Roman" w:eastAsia="Times New Roman" w:hAnsi="Times New Roman" w:cs="Times New Roman"/>
          <w:sz w:val="24"/>
          <w:szCs w:val="24"/>
        </w:rPr>
      </w:pPr>
    </w:p>
    <w:p w14:paraId="2B66AD2C" w14:textId="3F5101D4" w:rsidR="00BF0097" w:rsidRPr="00872186" w:rsidRDefault="00BF0097" w:rsidP="00BF0097">
      <w:pPr>
        <w:shd w:val="clear" w:color="auto" w:fill="FFFFFF"/>
        <w:spacing w:before="240" w:after="240" w:line="480" w:lineRule="auto"/>
        <w:rPr>
          <w:rFonts w:ascii="Times New Roman" w:eastAsia="Times New Roman" w:hAnsi="Times New Roman" w:cs="Times New Roman"/>
          <w:sz w:val="24"/>
          <w:szCs w:val="24"/>
        </w:rPr>
      </w:pPr>
      <w:r w:rsidRPr="00872186">
        <w:rPr>
          <w:rFonts w:ascii="Times New Roman" w:eastAsia="Calibri" w:hAnsi="Times New Roman" w:cs="Times New Roman"/>
          <w:b/>
          <w:noProof/>
          <w:sz w:val="24"/>
          <w:szCs w:val="24"/>
        </w:rPr>
        <w:drawing>
          <wp:inline distT="0" distB="0" distL="114300" distR="114300" wp14:anchorId="21C000CD" wp14:editId="15540B42">
            <wp:extent cx="5615448" cy="2820035"/>
            <wp:effectExtent l="0" t="0" r="4445" b="18415"/>
            <wp:docPr id="105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0E2FED" w14:textId="46010DE3" w:rsidR="00BF0097" w:rsidRPr="00872186" w:rsidRDefault="00BF0097" w:rsidP="00BF0097">
      <w:pPr>
        <w:shd w:val="clear" w:color="auto" w:fill="FFFFFF"/>
        <w:spacing w:before="240" w:after="240" w:line="480" w:lineRule="auto"/>
        <w:ind w:left="720"/>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 xml:space="preserve">Figure </w:t>
      </w:r>
      <w:r w:rsidR="004F3ED3">
        <w:rPr>
          <w:rFonts w:ascii="Times New Roman" w:eastAsia="Times New Roman" w:hAnsi="Times New Roman" w:cs="Times New Roman"/>
          <w:b/>
          <w:bCs/>
          <w:sz w:val="24"/>
          <w:szCs w:val="24"/>
        </w:rPr>
        <w:t>2</w:t>
      </w:r>
      <w:r w:rsidRPr="00872186">
        <w:rPr>
          <w:rFonts w:ascii="Times New Roman" w:eastAsia="Times New Roman" w:hAnsi="Times New Roman" w:cs="Times New Roman"/>
          <w:b/>
          <w:bCs/>
          <w:sz w:val="24"/>
          <w:szCs w:val="24"/>
        </w:rPr>
        <w:t xml:space="preserve">: </w:t>
      </w:r>
      <w:r w:rsidRPr="00872186">
        <w:rPr>
          <w:rFonts w:ascii="Times New Roman" w:eastAsia="Times New Roman" w:hAnsi="Times New Roman" w:cs="Times New Roman"/>
          <w:sz w:val="24"/>
          <w:szCs w:val="24"/>
        </w:rPr>
        <w:t>Spatial Distributions of Physicochemical Parameters Across Sampling Areas</w:t>
      </w:r>
    </w:p>
    <w:p w14:paraId="34FE6B41" w14:textId="77777777" w:rsidR="00186131" w:rsidRPr="00872186" w:rsidRDefault="00186131" w:rsidP="00186131">
      <w:pPr>
        <w:rPr>
          <w:rFonts w:ascii="Times New Roman" w:eastAsia="Times New Roman" w:hAnsi="Times New Roman" w:cs="Times New Roman"/>
          <w:sz w:val="24"/>
          <w:szCs w:val="24"/>
        </w:rPr>
      </w:pPr>
    </w:p>
    <w:p w14:paraId="1F65599B" w14:textId="77777777" w:rsidR="00186131" w:rsidRPr="00872186" w:rsidRDefault="00186131" w:rsidP="00186131">
      <w:pPr>
        <w:rPr>
          <w:rFonts w:ascii="Times New Roman" w:eastAsia="Times New Roman" w:hAnsi="Times New Roman" w:cs="Times New Roman"/>
          <w:sz w:val="24"/>
          <w:szCs w:val="24"/>
        </w:rPr>
      </w:pPr>
    </w:p>
    <w:p w14:paraId="0D7055CA" w14:textId="77777777" w:rsidR="00BF0097" w:rsidRPr="00872186" w:rsidRDefault="00BF0097" w:rsidP="00BF0097">
      <w:pPr>
        <w:shd w:val="clear" w:color="auto" w:fill="FFFFFF"/>
        <w:spacing w:before="240" w:after="240" w:line="480" w:lineRule="auto"/>
        <w:ind w:left="720"/>
        <w:outlineLvl w:val="3"/>
        <w:rPr>
          <w:rFonts w:ascii="Times New Roman" w:eastAsia="Times New Roman" w:hAnsi="Times New Roman" w:cs="Times New Roman"/>
          <w:b/>
          <w:bCs/>
          <w:sz w:val="24"/>
          <w:szCs w:val="24"/>
        </w:rPr>
      </w:pPr>
      <w:r w:rsidRPr="00872186">
        <w:rPr>
          <w:rFonts w:ascii="Times New Roman" w:eastAsia="Calibri" w:hAnsi="Times New Roman" w:cs="Times New Roman"/>
          <w:b/>
          <w:noProof/>
          <w:sz w:val="24"/>
          <w:szCs w:val="24"/>
        </w:rPr>
        <w:drawing>
          <wp:inline distT="0" distB="0" distL="114300" distR="114300" wp14:anchorId="44A9DAC5" wp14:editId="1D7B918F">
            <wp:extent cx="5246370" cy="2982862"/>
            <wp:effectExtent l="0" t="0" r="11430" b="8255"/>
            <wp:docPr id="105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2B639B" w14:textId="197B27BA" w:rsidR="00186131" w:rsidRPr="00872186" w:rsidRDefault="00BF0097" w:rsidP="002120B7">
      <w:pPr>
        <w:shd w:val="clear" w:color="auto" w:fill="FFFFFF"/>
        <w:spacing w:before="240" w:after="240" w:line="480" w:lineRule="auto"/>
        <w:ind w:left="720"/>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 xml:space="preserve">Figure </w:t>
      </w:r>
      <w:r w:rsidR="005B6B82">
        <w:rPr>
          <w:rFonts w:ascii="Times New Roman" w:eastAsia="Times New Roman" w:hAnsi="Times New Roman" w:cs="Times New Roman"/>
          <w:b/>
          <w:bCs/>
          <w:sz w:val="24"/>
          <w:szCs w:val="24"/>
        </w:rPr>
        <w:t>3</w:t>
      </w:r>
      <w:r w:rsidRPr="00872186">
        <w:rPr>
          <w:rFonts w:ascii="Times New Roman" w:eastAsia="Times New Roman" w:hAnsi="Times New Roman" w:cs="Times New Roman"/>
          <w:b/>
          <w:bCs/>
          <w:sz w:val="24"/>
          <w:szCs w:val="24"/>
        </w:rPr>
        <w:t xml:space="preserve">: </w:t>
      </w:r>
      <w:r w:rsidRPr="00872186">
        <w:rPr>
          <w:rFonts w:ascii="Times New Roman" w:eastAsia="Times New Roman" w:hAnsi="Times New Roman" w:cs="Times New Roman"/>
          <w:sz w:val="24"/>
          <w:szCs w:val="24"/>
        </w:rPr>
        <w:t>Spatial Distributions of Macronutrients Across Sampling Areas</w:t>
      </w:r>
    </w:p>
    <w:p w14:paraId="3198F20C" w14:textId="77777777" w:rsidR="00186131" w:rsidRPr="00872186" w:rsidRDefault="00186131" w:rsidP="00186131">
      <w:pPr>
        <w:rPr>
          <w:rFonts w:ascii="Times New Roman" w:eastAsia="Times New Roman" w:hAnsi="Times New Roman" w:cs="Times New Roman"/>
          <w:sz w:val="24"/>
          <w:szCs w:val="24"/>
        </w:rPr>
      </w:pPr>
    </w:p>
    <w:p w14:paraId="538A8DCD" w14:textId="66059A8A" w:rsidR="00186131" w:rsidRPr="00872186" w:rsidRDefault="00BF0097" w:rsidP="00186131">
      <w:pPr>
        <w:rPr>
          <w:rFonts w:ascii="Times New Roman" w:eastAsia="Times New Roman" w:hAnsi="Times New Roman" w:cs="Times New Roman"/>
          <w:sz w:val="24"/>
          <w:szCs w:val="24"/>
        </w:rPr>
      </w:pPr>
      <w:r w:rsidRPr="00872186">
        <w:rPr>
          <w:rFonts w:ascii="Times New Roman" w:eastAsia="Calibri" w:hAnsi="Times New Roman" w:cs="Times New Roman"/>
          <w:b/>
          <w:noProof/>
          <w:sz w:val="24"/>
          <w:szCs w:val="24"/>
        </w:rPr>
        <w:drawing>
          <wp:inline distT="0" distB="0" distL="114300" distR="114300" wp14:anchorId="000699BF" wp14:editId="6FE9ABCB">
            <wp:extent cx="5133360" cy="2805430"/>
            <wp:effectExtent l="0" t="0" r="10160" b="13970"/>
            <wp:docPr id="105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869DC1" w14:textId="0090DE3F" w:rsidR="00186131" w:rsidRPr="00872186" w:rsidRDefault="00186131" w:rsidP="00131656">
      <w:pPr>
        <w:shd w:val="clear" w:color="auto" w:fill="FFFFFF"/>
        <w:spacing w:before="240" w:after="240" w:line="480" w:lineRule="auto"/>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 xml:space="preserve">Figure </w:t>
      </w:r>
      <w:r w:rsidR="00650D70">
        <w:rPr>
          <w:rFonts w:ascii="Times New Roman" w:eastAsia="Times New Roman" w:hAnsi="Times New Roman" w:cs="Times New Roman"/>
          <w:b/>
          <w:bCs/>
          <w:sz w:val="24"/>
          <w:szCs w:val="24"/>
        </w:rPr>
        <w:t>4</w:t>
      </w:r>
      <w:r w:rsidRPr="00872186">
        <w:rPr>
          <w:rFonts w:ascii="Times New Roman" w:eastAsia="Times New Roman" w:hAnsi="Times New Roman" w:cs="Times New Roman"/>
          <w:b/>
          <w:bCs/>
          <w:sz w:val="24"/>
          <w:szCs w:val="24"/>
        </w:rPr>
        <w:t xml:space="preserve">: </w:t>
      </w:r>
      <w:r w:rsidRPr="00872186">
        <w:rPr>
          <w:rFonts w:ascii="Times New Roman" w:eastAsia="Times New Roman" w:hAnsi="Times New Roman" w:cs="Times New Roman"/>
          <w:sz w:val="24"/>
          <w:szCs w:val="24"/>
        </w:rPr>
        <w:t>Spatial Distributions of Heavy Metals Across Sampling Areas</w:t>
      </w:r>
    </w:p>
    <w:p w14:paraId="395EBA33" w14:textId="77777777" w:rsidR="00186131" w:rsidRPr="00872186" w:rsidRDefault="00186131" w:rsidP="00186131">
      <w:pPr>
        <w:shd w:val="clear" w:color="auto" w:fill="FFFFFF"/>
        <w:spacing w:before="240" w:after="240" w:line="480" w:lineRule="auto"/>
        <w:ind w:left="720"/>
        <w:jc w:val="both"/>
        <w:rPr>
          <w:rFonts w:ascii="Times New Roman" w:eastAsia="Times New Roman" w:hAnsi="Times New Roman" w:cs="Times New Roman"/>
          <w:sz w:val="24"/>
          <w:szCs w:val="24"/>
        </w:rPr>
      </w:pPr>
      <w:r w:rsidRPr="00872186">
        <w:rPr>
          <w:rFonts w:ascii="Times New Roman" w:eastAsia="Calibri" w:hAnsi="Times New Roman" w:cs="Times New Roman"/>
          <w:b/>
          <w:noProof/>
          <w:sz w:val="24"/>
          <w:szCs w:val="24"/>
        </w:rPr>
        <w:drawing>
          <wp:inline distT="0" distB="0" distL="114300" distR="114300" wp14:anchorId="01944823" wp14:editId="3057BF08">
            <wp:extent cx="5276850" cy="3063977"/>
            <wp:effectExtent l="0" t="0" r="0" b="3175"/>
            <wp:docPr id="105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19FC24" w14:textId="42C347BA" w:rsidR="00186131" w:rsidRPr="00872186" w:rsidRDefault="00186131" w:rsidP="00186131">
      <w:pPr>
        <w:shd w:val="clear" w:color="auto" w:fill="FFFFFF"/>
        <w:spacing w:before="240" w:after="240" w:line="480" w:lineRule="auto"/>
        <w:ind w:left="720"/>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 xml:space="preserve">Figure </w:t>
      </w:r>
      <w:r w:rsidR="00650D70">
        <w:rPr>
          <w:rFonts w:ascii="Times New Roman" w:eastAsia="Times New Roman" w:hAnsi="Times New Roman" w:cs="Times New Roman"/>
          <w:b/>
          <w:bCs/>
          <w:sz w:val="24"/>
          <w:szCs w:val="24"/>
        </w:rPr>
        <w:t>5</w:t>
      </w:r>
      <w:r w:rsidRPr="00872186">
        <w:rPr>
          <w:rFonts w:ascii="Times New Roman" w:eastAsia="Times New Roman" w:hAnsi="Times New Roman" w:cs="Times New Roman"/>
          <w:b/>
          <w:bCs/>
          <w:sz w:val="24"/>
          <w:szCs w:val="24"/>
        </w:rPr>
        <w:t xml:space="preserve">: </w:t>
      </w:r>
      <w:r w:rsidRPr="00872186">
        <w:rPr>
          <w:rFonts w:ascii="Times New Roman" w:eastAsia="Times New Roman" w:hAnsi="Times New Roman" w:cs="Times New Roman"/>
          <w:sz w:val="24"/>
          <w:szCs w:val="24"/>
        </w:rPr>
        <w:t>Spatial Distributions of Herbicides, Lead and Zinc Across Sampling Areas</w:t>
      </w:r>
    </w:p>
    <w:p w14:paraId="3F7302B9" w14:textId="77777777" w:rsidR="00B34938" w:rsidRDefault="00A854A5" w:rsidP="00354649">
      <w:pPr>
        <w:spacing w:before="100" w:beforeAutospacing="1" w:after="100" w:afterAutospacing="1" w:line="240" w:lineRule="auto"/>
        <w:outlineLvl w:val="2"/>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 xml:space="preserve">         </w:t>
      </w:r>
      <w:r w:rsidR="00341F1B" w:rsidRPr="00872186">
        <w:rPr>
          <w:rFonts w:ascii="Times New Roman" w:eastAsia="Times New Roman" w:hAnsi="Times New Roman" w:cs="Times New Roman"/>
          <w:b/>
          <w:bCs/>
          <w:sz w:val="24"/>
          <w:szCs w:val="24"/>
        </w:rPr>
        <w:t xml:space="preserve">  </w:t>
      </w:r>
    </w:p>
    <w:p w14:paraId="10975391" w14:textId="644829A8" w:rsidR="00131656" w:rsidRPr="00872186" w:rsidRDefault="00B7493C" w:rsidP="00354649">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DISCUSSION</w:t>
      </w:r>
    </w:p>
    <w:p w14:paraId="2D9E5A6E" w14:textId="223FC12D" w:rsidR="00354649" w:rsidRPr="00872186" w:rsidRDefault="00354649" w:rsidP="00354649">
      <w:pPr>
        <w:spacing w:before="100" w:beforeAutospacing="1" w:after="100" w:afterAutospacing="1" w:line="240" w:lineRule="auto"/>
        <w:outlineLvl w:val="2"/>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Soil Physicochemical Variability</w:t>
      </w:r>
    </w:p>
    <w:p w14:paraId="7A33C8E6" w14:textId="7AD5FC17" w:rsidR="0061441C" w:rsidRPr="00872186" w:rsidRDefault="0061441C" w:rsidP="0061441C">
      <w:pPr>
        <w:shd w:val="clear" w:color="auto" w:fill="FFFFFF"/>
        <w:spacing w:after="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Physicochemical Parameters, Heavy Metals Concentrations and Pesticides in the Soil</w:t>
      </w:r>
    </w:p>
    <w:p w14:paraId="2FAF20F5" w14:textId="77777777" w:rsidR="0061441C" w:rsidRPr="00872186" w:rsidRDefault="0061441C" w:rsidP="00B34938">
      <w:pPr>
        <w:spacing w:after="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pH:</w:t>
      </w:r>
      <w:r w:rsidRPr="00872186">
        <w:rPr>
          <w:rFonts w:ascii="Times New Roman" w:eastAsia="Times New Roman" w:hAnsi="Times New Roman" w:cs="Times New Roman"/>
          <w:sz w:val="24"/>
          <w:szCs w:val="24"/>
        </w:rPr>
        <w:t xml:space="preserve"> The pH ranged from 6.82 – 6.88 across the sampling area with a mean pH of 6.86 ± 0.05. The highest pH was recorded at Kokona (6.88) while the least values were obtained Awe (6. 82) and Nasarawa </w:t>
      </w:r>
      <w:proofErr w:type="spellStart"/>
      <w:r w:rsidRPr="00872186">
        <w:rPr>
          <w:rFonts w:ascii="Times New Roman" w:eastAsia="Times New Roman" w:hAnsi="Times New Roman" w:cs="Times New Roman"/>
          <w:sz w:val="24"/>
          <w:szCs w:val="24"/>
        </w:rPr>
        <w:t>Eggon</w:t>
      </w:r>
      <w:proofErr w:type="spellEnd"/>
      <w:r w:rsidRPr="00872186">
        <w:rPr>
          <w:rFonts w:ascii="Times New Roman" w:eastAsia="Times New Roman" w:hAnsi="Times New Roman" w:cs="Times New Roman"/>
          <w:sz w:val="24"/>
          <w:szCs w:val="24"/>
        </w:rPr>
        <w:t xml:space="preserve"> (6.82). This implies that soils highly suitable for most crops. The results of pH obtained concurred with a number of studies within Nigerian savanna soils of slightly acidic to near-neutral because of moderate rainfall, seasonal leaching, and silicate-dominated parent materials (</w:t>
      </w:r>
      <w:proofErr w:type="spellStart"/>
      <w:r w:rsidRPr="00872186">
        <w:rPr>
          <w:rFonts w:ascii="Times New Roman" w:eastAsia="Times New Roman" w:hAnsi="Times New Roman" w:cs="Times New Roman"/>
          <w:sz w:val="24"/>
          <w:szCs w:val="24"/>
        </w:rPr>
        <w:t>Azimzadeh</w:t>
      </w:r>
      <w:proofErr w:type="spellEnd"/>
      <w:r w:rsidRPr="00872186">
        <w:rPr>
          <w:rFonts w:ascii="Times New Roman" w:eastAsia="Times New Roman" w:hAnsi="Times New Roman" w:cs="Times New Roman"/>
          <w:sz w:val="24"/>
          <w:szCs w:val="24"/>
        </w:rPr>
        <w:t xml:space="preserve"> </w:t>
      </w:r>
      <w:r w:rsidRPr="00872186">
        <w:rPr>
          <w:rFonts w:ascii="Times New Roman" w:eastAsia="Times New Roman" w:hAnsi="Times New Roman" w:cs="Times New Roman"/>
          <w:i/>
          <w:iCs/>
          <w:sz w:val="24"/>
          <w:szCs w:val="24"/>
        </w:rPr>
        <w:t>et al.,</w:t>
      </w:r>
      <w:r w:rsidRPr="00872186">
        <w:rPr>
          <w:rFonts w:ascii="Times New Roman" w:eastAsia="Times New Roman" w:hAnsi="Times New Roman" w:cs="Times New Roman"/>
          <w:sz w:val="24"/>
          <w:szCs w:val="24"/>
        </w:rPr>
        <w:t xml:space="preserve"> 2024; Swoboda </w:t>
      </w:r>
      <w:r w:rsidRPr="00872186">
        <w:rPr>
          <w:rFonts w:ascii="Times New Roman" w:eastAsia="Times New Roman" w:hAnsi="Times New Roman" w:cs="Times New Roman"/>
          <w:i/>
          <w:iCs/>
          <w:sz w:val="24"/>
          <w:szCs w:val="24"/>
        </w:rPr>
        <w:t>et al</w:t>
      </w:r>
      <w:r w:rsidRPr="00872186">
        <w:rPr>
          <w:rFonts w:ascii="Times New Roman" w:eastAsia="Times New Roman" w:hAnsi="Times New Roman" w:cs="Times New Roman"/>
          <w:sz w:val="24"/>
          <w:szCs w:val="24"/>
        </w:rPr>
        <w:t xml:space="preserve">., 2022. Liu </w:t>
      </w:r>
      <w:r w:rsidRPr="00872186">
        <w:rPr>
          <w:rFonts w:ascii="Times New Roman" w:eastAsia="Times New Roman" w:hAnsi="Times New Roman" w:cs="Times New Roman"/>
          <w:i/>
          <w:iCs/>
          <w:sz w:val="24"/>
          <w:szCs w:val="24"/>
        </w:rPr>
        <w:t>et al</w:t>
      </w:r>
      <w:r w:rsidRPr="00872186">
        <w:rPr>
          <w:rFonts w:ascii="Times New Roman" w:eastAsia="Times New Roman" w:hAnsi="Times New Roman" w:cs="Times New Roman"/>
          <w:sz w:val="24"/>
          <w:szCs w:val="24"/>
        </w:rPr>
        <w:t xml:space="preserve">., 2025; Wei </w:t>
      </w:r>
      <w:r w:rsidRPr="00872186">
        <w:rPr>
          <w:rFonts w:ascii="Times New Roman" w:eastAsia="Times New Roman" w:hAnsi="Times New Roman" w:cs="Times New Roman"/>
          <w:i/>
          <w:iCs/>
          <w:sz w:val="24"/>
          <w:szCs w:val="24"/>
        </w:rPr>
        <w:t>et al.,</w:t>
      </w:r>
      <w:r w:rsidRPr="00872186">
        <w:rPr>
          <w:rFonts w:ascii="Times New Roman" w:eastAsia="Times New Roman" w:hAnsi="Times New Roman" w:cs="Times New Roman"/>
          <w:sz w:val="24"/>
          <w:szCs w:val="24"/>
        </w:rPr>
        <w:t xml:space="preserve"> 2020;</w:t>
      </w:r>
      <w:r w:rsidRPr="00872186">
        <w:rPr>
          <w:rFonts w:ascii="Times New Roman" w:eastAsia="Calibri" w:hAnsi="Times New Roman" w:cs="Times New Roman"/>
          <w:sz w:val="24"/>
          <w:szCs w:val="24"/>
        </w:rPr>
        <w:t xml:space="preserve"> </w:t>
      </w:r>
      <w:r w:rsidRPr="00872186">
        <w:rPr>
          <w:rFonts w:ascii="Times New Roman" w:eastAsia="Times New Roman" w:hAnsi="Times New Roman" w:cs="Times New Roman"/>
          <w:sz w:val="24"/>
          <w:szCs w:val="24"/>
        </w:rPr>
        <w:t xml:space="preserve">Gambo </w:t>
      </w:r>
      <w:r w:rsidRPr="00872186">
        <w:rPr>
          <w:rFonts w:ascii="Times New Roman" w:eastAsia="Times New Roman" w:hAnsi="Times New Roman" w:cs="Times New Roman"/>
          <w:i/>
          <w:iCs/>
          <w:sz w:val="24"/>
          <w:szCs w:val="24"/>
        </w:rPr>
        <w:t>et al.</w:t>
      </w:r>
      <w:r w:rsidRPr="00872186">
        <w:rPr>
          <w:rFonts w:ascii="Times New Roman" w:eastAsia="Times New Roman" w:hAnsi="Times New Roman" w:cs="Times New Roman"/>
          <w:sz w:val="24"/>
          <w:szCs w:val="24"/>
        </w:rPr>
        <w:t xml:space="preserve">, 2025). This range of pH is generally accepted as the best range of pH where nutrients can be available and where microbial activities can be most useful. The spatial homogeneity of pH also compares with the results of Awoonor </w:t>
      </w:r>
      <w:r w:rsidRPr="00872186">
        <w:rPr>
          <w:rFonts w:ascii="Times New Roman" w:eastAsia="Times New Roman" w:hAnsi="Times New Roman" w:cs="Times New Roman"/>
          <w:i/>
          <w:iCs/>
          <w:sz w:val="24"/>
          <w:szCs w:val="24"/>
        </w:rPr>
        <w:t>et al</w:t>
      </w:r>
      <w:r w:rsidRPr="00872186">
        <w:rPr>
          <w:rFonts w:ascii="Times New Roman" w:eastAsia="Times New Roman" w:hAnsi="Times New Roman" w:cs="Times New Roman"/>
          <w:sz w:val="24"/>
          <w:szCs w:val="24"/>
        </w:rPr>
        <w:t xml:space="preserve">. (2024), Silva </w:t>
      </w:r>
      <w:r w:rsidRPr="00872186">
        <w:rPr>
          <w:rFonts w:ascii="Times New Roman" w:eastAsia="Times New Roman" w:hAnsi="Times New Roman" w:cs="Times New Roman"/>
          <w:i/>
          <w:iCs/>
          <w:sz w:val="24"/>
          <w:szCs w:val="24"/>
        </w:rPr>
        <w:t>et al</w:t>
      </w:r>
      <w:r w:rsidRPr="00872186">
        <w:rPr>
          <w:rFonts w:ascii="Times New Roman" w:eastAsia="Times New Roman" w:hAnsi="Times New Roman" w:cs="Times New Roman"/>
          <w:sz w:val="24"/>
          <w:szCs w:val="24"/>
        </w:rPr>
        <w:t xml:space="preserve">. (2024) and Wang </w:t>
      </w:r>
      <w:r w:rsidRPr="00872186">
        <w:rPr>
          <w:rFonts w:ascii="Times New Roman" w:eastAsia="Times New Roman" w:hAnsi="Times New Roman" w:cs="Times New Roman"/>
          <w:i/>
          <w:iCs/>
          <w:sz w:val="24"/>
          <w:szCs w:val="24"/>
        </w:rPr>
        <w:t>et al</w:t>
      </w:r>
      <w:r w:rsidRPr="00872186">
        <w:rPr>
          <w:rFonts w:ascii="Times New Roman" w:eastAsia="Times New Roman" w:hAnsi="Times New Roman" w:cs="Times New Roman"/>
          <w:sz w:val="24"/>
          <w:szCs w:val="24"/>
        </w:rPr>
        <w:t>. (2025), who contended that the effect of micro-scale land-use on the acidity of soil in savanna ecosystems is frequently neutralized by the similar effect of regional climatic control.</w:t>
      </w:r>
    </w:p>
    <w:p w14:paraId="6C902527" w14:textId="77777777" w:rsidR="0061441C" w:rsidRPr="00872186" w:rsidRDefault="0061441C" w:rsidP="00444D7A">
      <w:pPr>
        <w:spacing w:after="0" w:line="480" w:lineRule="auto"/>
        <w:jc w:val="both"/>
        <w:rPr>
          <w:rFonts w:ascii="Times New Roman" w:eastAsia="Times New Roman" w:hAnsi="Times New Roman" w:cs="Times New Roman"/>
          <w:sz w:val="24"/>
          <w:szCs w:val="24"/>
        </w:rPr>
      </w:pPr>
      <w:r w:rsidRPr="00872186">
        <w:rPr>
          <w:rFonts w:ascii="Times New Roman" w:eastAsia="Calibri" w:hAnsi="Times New Roman" w:cs="Times New Roman"/>
          <w:b/>
          <w:bCs/>
          <w:sz w:val="24"/>
          <w:szCs w:val="24"/>
        </w:rPr>
        <w:t>Electrical conductivity (EC)</w:t>
      </w:r>
      <w:r w:rsidRPr="00872186">
        <w:rPr>
          <w:rFonts w:ascii="Times New Roman" w:eastAsia="Times New Roman" w:hAnsi="Times New Roman" w:cs="Times New Roman"/>
          <w:b/>
          <w:bCs/>
          <w:sz w:val="24"/>
          <w:szCs w:val="24"/>
        </w:rPr>
        <w:t>:</w:t>
      </w:r>
      <w:r w:rsidRPr="00872186">
        <w:rPr>
          <w:rFonts w:ascii="Times New Roman" w:eastAsia="Times New Roman" w:hAnsi="Times New Roman" w:cs="Times New Roman"/>
          <w:sz w:val="24"/>
          <w:szCs w:val="24"/>
        </w:rPr>
        <w:t xml:space="preserve"> The EC ranged from 1.11 – 1.17</w:t>
      </w:r>
      <w:r w:rsidRPr="00872186">
        <w:rPr>
          <w:rFonts w:ascii="Times New Roman" w:eastAsia="Calibri" w:hAnsi="Times New Roman" w:cs="Times New Roman"/>
          <w:sz w:val="24"/>
          <w:szCs w:val="24"/>
        </w:rPr>
        <w:t xml:space="preserve"> </w:t>
      </w:r>
      <w:proofErr w:type="spellStart"/>
      <w:r w:rsidRPr="00872186">
        <w:rPr>
          <w:rFonts w:ascii="Times New Roman" w:eastAsia="Calibri" w:hAnsi="Times New Roman" w:cs="Times New Roman"/>
          <w:sz w:val="24"/>
          <w:szCs w:val="24"/>
        </w:rPr>
        <w:t>dS</w:t>
      </w:r>
      <w:proofErr w:type="spellEnd"/>
      <w:r w:rsidRPr="00872186">
        <w:rPr>
          <w:rFonts w:ascii="Times New Roman" w:eastAsia="Calibri" w:hAnsi="Times New Roman" w:cs="Times New Roman"/>
          <w:sz w:val="24"/>
          <w:szCs w:val="24"/>
        </w:rPr>
        <w:t>/m</w:t>
      </w:r>
      <w:r w:rsidRPr="00872186">
        <w:rPr>
          <w:rFonts w:ascii="Times New Roman" w:eastAsia="Times New Roman" w:hAnsi="Times New Roman" w:cs="Times New Roman"/>
          <w:sz w:val="24"/>
          <w:szCs w:val="24"/>
        </w:rPr>
        <w:t xml:space="preserve"> across the sampling area with a mean EC of 1.13 ± 0.20. The highest EC was recorded at Nasarawa </w:t>
      </w:r>
      <w:proofErr w:type="spellStart"/>
      <w:r w:rsidRPr="00872186">
        <w:rPr>
          <w:rFonts w:ascii="Times New Roman" w:eastAsia="Times New Roman" w:hAnsi="Times New Roman" w:cs="Times New Roman"/>
          <w:sz w:val="24"/>
          <w:szCs w:val="24"/>
        </w:rPr>
        <w:t>Eggon</w:t>
      </w:r>
      <w:proofErr w:type="spellEnd"/>
      <w:r w:rsidRPr="00872186">
        <w:rPr>
          <w:rFonts w:ascii="Times New Roman" w:eastAsia="Times New Roman" w:hAnsi="Times New Roman" w:cs="Times New Roman"/>
          <w:sz w:val="24"/>
          <w:szCs w:val="24"/>
        </w:rPr>
        <w:t xml:space="preserve"> (1.17 </w:t>
      </w:r>
      <w:proofErr w:type="spellStart"/>
      <w:r w:rsidRPr="00872186">
        <w:rPr>
          <w:rFonts w:ascii="Times New Roman" w:eastAsia="Times New Roman" w:hAnsi="Times New Roman" w:cs="Times New Roman"/>
          <w:sz w:val="24"/>
          <w:szCs w:val="24"/>
        </w:rPr>
        <w:t>dS</w:t>
      </w:r>
      <w:proofErr w:type="spellEnd"/>
      <w:r w:rsidRPr="00872186">
        <w:rPr>
          <w:rFonts w:ascii="Times New Roman" w:eastAsia="Times New Roman" w:hAnsi="Times New Roman" w:cs="Times New Roman"/>
          <w:sz w:val="24"/>
          <w:szCs w:val="24"/>
        </w:rPr>
        <w:t xml:space="preserve">/m) while the least values were obtained at </w:t>
      </w:r>
      <w:proofErr w:type="spellStart"/>
      <w:r w:rsidRPr="00872186">
        <w:rPr>
          <w:rFonts w:ascii="Times New Roman" w:eastAsia="Times New Roman" w:hAnsi="Times New Roman" w:cs="Times New Roman"/>
          <w:sz w:val="24"/>
          <w:szCs w:val="24"/>
        </w:rPr>
        <w:t>Kokona</w:t>
      </w:r>
      <w:proofErr w:type="spellEnd"/>
      <w:r w:rsidRPr="00872186">
        <w:rPr>
          <w:rFonts w:ascii="Times New Roman" w:eastAsia="Times New Roman" w:hAnsi="Times New Roman" w:cs="Times New Roman"/>
          <w:sz w:val="24"/>
          <w:szCs w:val="24"/>
        </w:rPr>
        <w:t xml:space="preserve"> (1.11 </w:t>
      </w:r>
      <w:proofErr w:type="spellStart"/>
      <w:r w:rsidRPr="00872186">
        <w:rPr>
          <w:rFonts w:ascii="Times New Roman" w:eastAsia="Times New Roman" w:hAnsi="Times New Roman" w:cs="Times New Roman"/>
          <w:sz w:val="24"/>
          <w:szCs w:val="24"/>
        </w:rPr>
        <w:t>dS</w:t>
      </w:r>
      <w:proofErr w:type="spellEnd"/>
      <w:r w:rsidRPr="00872186">
        <w:rPr>
          <w:rFonts w:ascii="Times New Roman" w:eastAsia="Times New Roman" w:hAnsi="Times New Roman" w:cs="Times New Roman"/>
          <w:sz w:val="24"/>
          <w:szCs w:val="24"/>
        </w:rPr>
        <w:t xml:space="preserve">/m). The mean </w:t>
      </w:r>
      <w:r w:rsidRPr="00872186">
        <w:rPr>
          <w:rFonts w:ascii="Times New Roman" w:eastAsia="Calibri" w:hAnsi="Times New Roman" w:cs="Times New Roman"/>
          <w:sz w:val="24"/>
          <w:szCs w:val="24"/>
        </w:rPr>
        <w:t>EC obtained in this research is low, which implies the low salt buildup which is good for most crops and also an indication of sandy/ dry soil. However, if it is too low, the soil might be starved of essential ions like K</w:t>
      </w:r>
      <w:r w:rsidRPr="00872186">
        <w:rPr>
          <w:rFonts w:ascii="Times New Roman" w:eastAsia="Calibri" w:hAnsi="Times New Roman" w:cs="Times New Roman"/>
          <w:sz w:val="24"/>
          <w:szCs w:val="24"/>
          <w:vertAlign w:val="superscript"/>
        </w:rPr>
        <w:t>+</w:t>
      </w:r>
      <w:r w:rsidRPr="00872186">
        <w:rPr>
          <w:rFonts w:ascii="Times New Roman" w:eastAsia="Calibri" w:hAnsi="Times New Roman" w:cs="Times New Roman"/>
          <w:sz w:val="24"/>
          <w:szCs w:val="24"/>
        </w:rPr>
        <w:t>, Ca</w:t>
      </w:r>
      <w:r w:rsidRPr="00872186">
        <w:rPr>
          <w:rFonts w:ascii="Times New Roman" w:eastAsia="Calibri" w:hAnsi="Times New Roman" w:cs="Times New Roman"/>
          <w:sz w:val="24"/>
          <w:szCs w:val="24"/>
          <w:vertAlign w:val="superscript"/>
        </w:rPr>
        <w:t>2+</w:t>
      </w:r>
      <w:r w:rsidRPr="00872186">
        <w:rPr>
          <w:rFonts w:ascii="Times New Roman" w:eastAsia="Calibri" w:hAnsi="Times New Roman" w:cs="Times New Roman"/>
          <w:sz w:val="24"/>
          <w:szCs w:val="24"/>
        </w:rPr>
        <w:t xml:space="preserve"> and NO</w:t>
      </w:r>
      <w:r w:rsidRPr="00872186">
        <w:rPr>
          <w:rFonts w:ascii="Times New Roman" w:eastAsia="Calibri" w:hAnsi="Times New Roman" w:cs="Times New Roman"/>
          <w:sz w:val="24"/>
          <w:szCs w:val="24"/>
          <w:vertAlign w:val="subscript"/>
        </w:rPr>
        <w:t>3</w:t>
      </w:r>
      <w:r w:rsidRPr="00872186">
        <w:rPr>
          <w:rFonts w:ascii="Times New Roman" w:eastAsia="Calibri" w:hAnsi="Times New Roman" w:cs="Times New Roman"/>
          <w:sz w:val="24"/>
          <w:szCs w:val="24"/>
          <w:vertAlign w:val="superscript"/>
        </w:rPr>
        <w:t xml:space="preserve">– </w:t>
      </w:r>
      <w:r w:rsidRPr="00872186">
        <w:rPr>
          <w:rFonts w:ascii="Times New Roman" w:eastAsia="Calibri" w:hAnsi="Times New Roman" w:cs="Times New Roman"/>
          <w:sz w:val="24"/>
          <w:szCs w:val="24"/>
        </w:rPr>
        <w:t xml:space="preserve">meaning that the plants get hungry fast. Thereby slow the plant growth, shows yellowish leaves and reduced plant yield due to poor root uptake. Notwithstanding, the result obtained agrees with the literatures as reported by Nwagbara and </w:t>
      </w:r>
      <w:proofErr w:type="spellStart"/>
      <w:r w:rsidRPr="00872186">
        <w:rPr>
          <w:rFonts w:ascii="Times New Roman" w:eastAsia="Calibri" w:hAnsi="Times New Roman" w:cs="Times New Roman"/>
          <w:sz w:val="24"/>
          <w:szCs w:val="24"/>
        </w:rPr>
        <w:t>Ibe</w:t>
      </w:r>
      <w:proofErr w:type="spellEnd"/>
      <w:r w:rsidRPr="00872186">
        <w:rPr>
          <w:rFonts w:ascii="Times New Roman" w:eastAsia="Calibri" w:hAnsi="Times New Roman" w:cs="Times New Roman"/>
          <w:sz w:val="24"/>
          <w:szCs w:val="24"/>
        </w:rPr>
        <w:t xml:space="preserve"> (2015), </w:t>
      </w:r>
      <w:proofErr w:type="spellStart"/>
      <w:r w:rsidRPr="00872186">
        <w:rPr>
          <w:rFonts w:ascii="Times New Roman" w:eastAsia="Calibri" w:hAnsi="Times New Roman" w:cs="Times New Roman"/>
          <w:sz w:val="24"/>
          <w:szCs w:val="24"/>
        </w:rPr>
        <w:t>Agegnehu</w:t>
      </w:r>
      <w:proofErr w:type="spellEnd"/>
      <w:r w:rsidRPr="00872186">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lastRenderedPageBreak/>
        <w:t xml:space="preserve">and </w:t>
      </w:r>
      <w:proofErr w:type="spellStart"/>
      <w:r w:rsidRPr="00872186">
        <w:rPr>
          <w:rFonts w:ascii="Times New Roman" w:eastAsia="Calibri" w:hAnsi="Times New Roman" w:cs="Times New Roman"/>
          <w:sz w:val="24"/>
          <w:szCs w:val="24"/>
        </w:rPr>
        <w:t>Amede</w:t>
      </w:r>
      <w:proofErr w:type="spellEnd"/>
      <w:r w:rsidRPr="00872186">
        <w:rPr>
          <w:rFonts w:ascii="Times New Roman" w:eastAsia="Calibri" w:hAnsi="Times New Roman" w:cs="Times New Roman"/>
          <w:sz w:val="24"/>
          <w:szCs w:val="24"/>
        </w:rPr>
        <w:t xml:space="preserve"> (2017), Okafor </w:t>
      </w:r>
      <w:r w:rsidRPr="00872186">
        <w:rPr>
          <w:rFonts w:ascii="Times New Roman" w:eastAsia="Calibri" w:hAnsi="Times New Roman" w:cs="Times New Roman"/>
          <w:i/>
          <w:iCs/>
          <w:sz w:val="24"/>
          <w:szCs w:val="24"/>
        </w:rPr>
        <w:t>et al</w:t>
      </w:r>
      <w:r w:rsidRPr="00872186">
        <w:rPr>
          <w:rFonts w:ascii="Times New Roman" w:eastAsia="Calibri" w:hAnsi="Times New Roman" w:cs="Times New Roman"/>
          <w:sz w:val="24"/>
          <w:szCs w:val="24"/>
        </w:rPr>
        <w:t xml:space="preserve">. (2021) and Aliyu </w:t>
      </w:r>
      <w:r w:rsidRPr="00872186">
        <w:rPr>
          <w:rFonts w:ascii="Times New Roman" w:eastAsia="Calibri" w:hAnsi="Times New Roman" w:cs="Times New Roman"/>
          <w:i/>
          <w:iCs/>
          <w:sz w:val="24"/>
          <w:szCs w:val="24"/>
        </w:rPr>
        <w:t>et al.</w:t>
      </w:r>
      <w:r w:rsidRPr="00872186">
        <w:rPr>
          <w:rFonts w:ascii="Times New Roman" w:eastAsia="Calibri" w:hAnsi="Times New Roman" w:cs="Times New Roman"/>
          <w:sz w:val="24"/>
          <w:szCs w:val="24"/>
        </w:rPr>
        <w:t xml:space="preserve"> (2024). Statistical analysis showed that there were no significant relationships between the sampling area in terms of electrical conductivity.</w:t>
      </w:r>
    </w:p>
    <w:p w14:paraId="70EE3450" w14:textId="77777777" w:rsidR="0061441C" w:rsidRPr="00872186" w:rsidRDefault="0061441C" w:rsidP="00444D7A">
      <w:pPr>
        <w:spacing w:after="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Organic Carbon (OC):</w:t>
      </w:r>
      <w:r w:rsidRPr="00872186">
        <w:rPr>
          <w:rFonts w:ascii="Times New Roman" w:eastAsia="Times New Roman" w:hAnsi="Times New Roman" w:cs="Times New Roman"/>
          <w:sz w:val="24"/>
          <w:szCs w:val="24"/>
        </w:rPr>
        <w:t xml:space="preserve"> The OC ranged from 1.74 – 1.80 % across the sampling area with a mean EC of 1.77 ± 0.03 %. The highest EC was recorded at Awe (1.80 %) while the least values were obtained at Kokona (1.74 %). </w:t>
      </w:r>
      <w:r w:rsidRPr="00872186">
        <w:rPr>
          <w:rFonts w:ascii="Times New Roman" w:eastAsia="Calibri" w:hAnsi="Times New Roman" w:cs="Times New Roman"/>
          <w:sz w:val="24"/>
          <w:szCs w:val="24"/>
        </w:rPr>
        <w:t xml:space="preserve">The organic carbon (OC) was moderate, especially at Nasarawa South, which denotes slightly high soil fertility of this location. Sidi </w:t>
      </w:r>
      <w:r w:rsidRPr="00872186">
        <w:rPr>
          <w:rFonts w:ascii="Times New Roman" w:eastAsia="Calibri" w:hAnsi="Times New Roman" w:cs="Times New Roman"/>
          <w:i/>
          <w:iCs/>
          <w:sz w:val="24"/>
          <w:szCs w:val="24"/>
        </w:rPr>
        <w:t>et al.</w:t>
      </w:r>
      <w:r w:rsidRPr="00872186">
        <w:rPr>
          <w:rFonts w:ascii="Times New Roman" w:eastAsia="Calibri" w:hAnsi="Times New Roman" w:cs="Times New Roman"/>
          <w:sz w:val="24"/>
          <w:szCs w:val="24"/>
        </w:rPr>
        <w:t xml:space="preserve"> (2023) reported OC (0.44 – 1.72 %) in sediments collected from wetlands in Central Bida Basin, Nigeria. </w:t>
      </w:r>
      <w:proofErr w:type="spellStart"/>
      <w:r w:rsidRPr="00872186">
        <w:rPr>
          <w:rFonts w:ascii="Times New Roman" w:eastAsia="Calibri" w:hAnsi="Times New Roman" w:cs="Times New Roman"/>
          <w:sz w:val="24"/>
          <w:szCs w:val="24"/>
        </w:rPr>
        <w:t>Ebido</w:t>
      </w:r>
      <w:proofErr w:type="spellEnd"/>
      <w:r w:rsidRPr="00872186">
        <w:rPr>
          <w:rFonts w:ascii="Times New Roman" w:eastAsia="Calibri" w:hAnsi="Times New Roman" w:cs="Times New Roman"/>
          <w:sz w:val="24"/>
          <w:szCs w:val="24"/>
        </w:rPr>
        <w:t xml:space="preserve"> </w:t>
      </w:r>
      <w:r w:rsidRPr="00872186">
        <w:rPr>
          <w:rFonts w:ascii="Times New Roman" w:eastAsia="Calibri" w:hAnsi="Times New Roman" w:cs="Times New Roman"/>
          <w:i/>
          <w:iCs/>
          <w:sz w:val="24"/>
          <w:szCs w:val="24"/>
        </w:rPr>
        <w:t>et al.</w:t>
      </w:r>
      <w:r w:rsidRPr="00872186">
        <w:rPr>
          <w:rFonts w:ascii="Times New Roman" w:eastAsia="Calibri" w:hAnsi="Times New Roman" w:cs="Times New Roman"/>
          <w:sz w:val="24"/>
          <w:szCs w:val="24"/>
        </w:rPr>
        <w:t xml:space="preserve"> (2021) demonstrated that adding biochar increased soil organic carbon by 7 – 11 % in low-fertility sandy soils. This implies that the result obtained in this work is within the literature values reported in Nigeria soils. Statistical analysis showed that there were no significant relationships between the sampling area in terms of organic carbon.</w:t>
      </w:r>
    </w:p>
    <w:p w14:paraId="7D59D7AC" w14:textId="77777777" w:rsidR="0061441C" w:rsidRPr="00872186" w:rsidRDefault="0061441C" w:rsidP="00444D7A">
      <w:pPr>
        <w:spacing w:after="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Organic Matter (OM):</w:t>
      </w:r>
      <w:r w:rsidRPr="00872186">
        <w:rPr>
          <w:rFonts w:ascii="Times New Roman" w:eastAsia="Times New Roman" w:hAnsi="Times New Roman" w:cs="Times New Roman"/>
          <w:sz w:val="24"/>
          <w:szCs w:val="24"/>
        </w:rPr>
        <w:t xml:space="preserve"> The OM ranged from 3.01 – 3.10 % across the sampling area with a mean OM of 3. 05 ± 0.06 %. The highest OM was recorded at Nasarawa </w:t>
      </w:r>
      <w:proofErr w:type="spellStart"/>
      <w:r w:rsidRPr="00872186">
        <w:rPr>
          <w:rFonts w:ascii="Times New Roman" w:eastAsia="Times New Roman" w:hAnsi="Times New Roman" w:cs="Times New Roman"/>
          <w:sz w:val="24"/>
          <w:szCs w:val="24"/>
        </w:rPr>
        <w:t>Eggon</w:t>
      </w:r>
      <w:proofErr w:type="spellEnd"/>
      <w:r w:rsidRPr="00872186">
        <w:rPr>
          <w:rFonts w:ascii="Times New Roman" w:eastAsia="Times New Roman" w:hAnsi="Times New Roman" w:cs="Times New Roman"/>
          <w:sz w:val="24"/>
          <w:szCs w:val="24"/>
        </w:rPr>
        <w:t xml:space="preserve"> (3.10 %) while the least values were obtained at Awe (3.01 %) and Kokona (3.01 %). </w:t>
      </w:r>
      <w:r w:rsidRPr="00872186">
        <w:rPr>
          <w:rFonts w:ascii="Times New Roman" w:eastAsia="Calibri" w:hAnsi="Times New Roman" w:cs="Times New Roman"/>
          <w:sz w:val="24"/>
          <w:szCs w:val="24"/>
        </w:rPr>
        <w:t xml:space="preserve">The organic matter (OM) in the study area were generally moderate, means good nutrient-holding capacity, good soil structure and less erosion risk, hence denotes high soil fertility. Sidi </w:t>
      </w:r>
      <w:r w:rsidRPr="00872186">
        <w:rPr>
          <w:rFonts w:ascii="Times New Roman" w:eastAsia="Calibri" w:hAnsi="Times New Roman" w:cs="Times New Roman"/>
          <w:i/>
          <w:iCs/>
          <w:sz w:val="24"/>
          <w:szCs w:val="24"/>
        </w:rPr>
        <w:t>et al.</w:t>
      </w:r>
      <w:r w:rsidRPr="00872186">
        <w:rPr>
          <w:rFonts w:ascii="Times New Roman" w:eastAsia="Calibri" w:hAnsi="Times New Roman" w:cs="Times New Roman"/>
          <w:sz w:val="24"/>
          <w:szCs w:val="24"/>
        </w:rPr>
        <w:t xml:space="preserve"> (2023) reported OM in sediments collected from wetlands in Central Bida Basin, Nigeria as </w:t>
      </w:r>
      <w:proofErr w:type="spellStart"/>
      <w:r w:rsidRPr="00872186">
        <w:rPr>
          <w:rFonts w:ascii="Times New Roman" w:eastAsia="Calibri" w:hAnsi="Times New Roman" w:cs="Times New Roman"/>
          <w:sz w:val="24"/>
          <w:szCs w:val="24"/>
        </w:rPr>
        <w:t>Egbako</w:t>
      </w:r>
      <w:proofErr w:type="spellEnd"/>
      <w:r w:rsidRPr="00872186">
        <w:rPr>
          <w:rFonts w:ascii="Times New Roman" w:eastAsia="Calibri" w:hAnsi="Times New Roman" w:cs="Times New Roman"/>
          <w:sz w:val="24"/>
          <w:szCs w:val="24"/>
        </w:rPr>
        <w:t xml:space="preserve"> (1.98 %) and Bida (2.98 %). Akpa </w:t>
      </w:r>
      <w:r w:rsidRPr="00872186">
        <w:rPr>
          <w:rFonts w:ascii="Times New Roman" w:eastAsia="Calibri" w:hAnsi="Times New Roman" w:cs="Times New Roman"/>
          <w:i/>
          <w:iCs/>
          <w:sz w:val="24"/>
          <w:szCs w:val="24"/>
        </w:rPr>
        <w:t>et al</w:t>
      </w:r>
      <w:r w:rsidRPr="00872186">
        <w:rPr>
          <w:rFonts w:ascii="Times New Roman" w:eastAsia="Calibri" w:hAnsi="Times New Roman" w:cs="Times New Roman"/>
          <w:sz w:val="24"/>
          <w:szCs w:val="24"/>
        </w:rPr>
        <w:t xml:space="preserve">. (2016) reported 0.5 1.5 % OM in many southern Nigeria soils. </w:t>
      </w:r>
      <w:proofErr w:type="spellStart"/>
      <w:r w:rsidRPr="00872186">
        <w:rPr>
          <w:rFonts w:ascii="Times New Roman" w:eastAsia="Calibri" w:hAnsi="Times New Roman" w:cs="Times New Roman"/>
          <w:sz w:val="24"/>
          <w:szCs w:val="24"/>
        </w:rPr>
        <w:t>Ebido</w:t>
      </w:r>
      <w:proofErr w:type="spellEnd"/>
      <w:r w:rsidRPr="00872186">
        <w:rPr>
          <w:rFonts w:ascii="Times New Roman" w:eastAsia="Calibri" w:hAnsi="Times New Roman" w:cs="Times New Roman"/>
          <w:sz w:val="24"/>
          <w:szCs w:val="24"/>
        </w:rPr>
        <w:t xml:space="preserve"> </w:t>
      </w:r>
      <w:r w:rsidRPr="00872186">
        <w:rPr>
          <w:rFonts w:ascii="Times New Roman" w:eastAsia="Calibri" w:hAnsi="Times New Roman" w:cs="Times New Roman"/>
          <w:i/>
          <w:iCs/>
          <w:sz w:val="24"/>
          <w:szCs w:val="24"/>
        </w:rPr>
        <w:t>et al.</w:t>
      </w:r>
      <w:r w:rsidRPr="00872186">
        <w:rPr>
          <w:rFonts w:ascii="Times New Roman" w:eastAsia="Calibri" w:hAnsi="Times New Roman" w:cs="Times New Roman"/>
          <w:sz w:val="24"/>
          <w:szCs w:val="24"/>
        </w:rPr>
        <w:t xml:space="preserve"> (2021) demonstrated that adding biochar increased soil organic matter by 12.1 – 19.0 % in low-fertility sandy soils. This implies that the result obtained in this work is within the literature values reported in Nigeria soils. Statistical analysis showed that there were no significant relationships between the sampling area in terms of organic matter.</w:t>
      </w:r>
    </w:p>
    <w:p w14:paraId="5F3F8D34" w14:textId="6B2E63BE" w:rsidR="0061441C" w:rsidRPr="00872186" w:rsidRDefault="0061441C" w:rsidP="00444D7A">
      <w:pPr>
        <w:spacing w:line="480" w:lineRule="auto"/>
        <w:jc w:val="both"/>
        <w:rPr>
          <w:rFonts w:ascii="Times New Roman" w:eastAsia="Calibri" w:hAnsi="Times New Roman" w:cs="Times New Roman"/>
          <w:b/>
          <w:sz w:val="24"/>
          <w:szCs w:val="24"/>
        </w:rPr>
      </w:pPr>
      <w:r w:rsidRPr="00872186">
        <w:rPr>
          <w:rFonts w:ascii="Times New Roman" w:eastAsia="Times New Roman" w:hAnsi="Times New Roman" w:cs="Times New Roman"/>
          <w:b/>
          <w:bCs/>
          <w:sz w:val="24"/>
          <w:szCs w:val="24"/>
        </w:rPr>
        <w:lastRenderedPageBreak/>
        <w:t>Moisture Content (MC):</w:t>
      </w:r>
      <w:r w:rsidRPr="00872186">
        <w:rPr>
          <w:rFonts w:ascii="Times New Roman" w:eastAsia="Times New Roman" w:hAnsi="Times New Roman" w:cs="Times New Roman"/>
          <w:sz w:val="24"/>
          <w:szCs w:val="24"/>
        </w:rPr>
        <w:t xml:space="preserve"> The MC ranged from 4.58 – 4.76 % across the sampling area with a mean OM of 4.69 ± 0.48 %. The highest MC was recorded at Nasarawa </w:t>
      </w:r>
      <w:proofErr w:type="spellStart"/>
      <w:r w:rsidRPr="00872186">
        <w:rPr>
          <w:rFonts w:ascii="Times New Roman" w:eastAsia="Times New Roman" w:hAnsi="Times New Roman" w:cs="Times New Roman"/>
          <w:sz w:val="24"/>
          <w:szCs w:val="24"/>
        </w:rPr>
        <w:t>Eggon</w:t>
      </w:r>
      <w:proofErr w:type="spellEnd"/>
      <w:r w:rsidRPr="00872186">
        <w:rPr>
          <w:rFonts w:ascii="Times New Roman" w:eastAsia="Times New Roman" w:hAnsi="Times New Roman" w:cs="Times New Roman"/>
          <w:sz w:val="24"/>
          <w:szCs w:val="24"/>
        </w:rPr>
        <w:t xml:space="preserve"> (4.76 %) while the least values was obtained at Awe (4.58 %). T</w:t>
      </w:r>
      <w:r w:rsidRPr="00872186">
        <w:rPr>
          <w:rFonts w:ascii="Times New Roman" w:eastAsia="Calibri" w:hAnsi="Times New Roman" w:cs="Times New Roman"/>
          <w:sz w:val="24"/>
          <w:szCs w:val="24"/>
        </w:rPr>
        <w:t>hough the variation of moisture content is not significant, which implies uniform moisture content of the soil across the study location and also it prevents nutrient lock-up and supports microbial life. Hence, the soils are fertile in the study area are well-structured and sustainable to the growth of plants. Statistical analysis showed that there were no significant relationships between the sampling area in terms of organic matter.</w:t>
      </w:r>
    </w:p>
    <w:p w14:paraId="2418F1D0" w14:textId="72C486EA" w:rsidR="0061441C" w:rsidRPr="00872186" w:rsidRDefault="00964CE5" w:rsidP="0061441C">
      <w:pPr>
        <w:spacing w:after="0" w:line="480" w:lineRule="auto"/>
        <w:jc w:val="both"/>
        <w:outlineLvl w:val="2"/>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 xml:space="preserve"> </w:t>
      </w:r>
      <w:r w:rsidR="0061441C" w:rsidRPr="00872186">
        <w:rPr>
          <w:rFonts w:ascii="Times New Roman" w:eastAsia="Times New Roman" w:hAnsi="Times New Roman" w:cs="Times New Roman"/>
          <w:b/>
          <w:bCs/>
          <w:sz w:val="24"/>
          <w:szCs w:val="24"/>
        </w:rPr>
        <w:t>Macronutrients heterogeneity and fertility implications</w:t>
      </w:r>
    </w:p>
    <w:p w14:paraId="6C017DF2" w14:textId="77777777" w:rsidR="0061441C" w:rsidRPr="00872186" w:rsidRDefault="0061441C" w:rsidP="00964CE5">
      <w:pPr>
        <w:spacing w:after="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Nitrogen (N):</w:t>
      </w:r>
      <w:r w:rsidRPr="00872186">
        <w:rPr>
          <w:rFonts w:ascii="Times New Roman" w:eastAsia="Times New Roman" w:hAnsi="Times New Roman" w:cs="Times New Roman"/>
          <w:sz w:val="24"/>
          <w:szCs w:val="24"/>
        </w:rPr>
        <w:t xml:space="preserve"> The nitrogen ranged from 0.404 – 0.556 % across the sampling area with a mean nitrogen of 0.460 ± 0.25 %. The highest nitrogen was recorded at Awe (0.556 %) while the least values were obtained at Nasarawa </w:t>
      </w:r>
      <w:proofErr w:type="spellStart"/>
      <w:r w:rsidRPr="00872186">
        <w:rPr>
          <w:rFonts w:ascii="Times New Roman" w:eastAsia="Times New Roman" w:hAnsi="Times New Roman" w:cs="Times New Roman"/>
          <w:sz w:val="24"/>
          <w:szCs w:val="24"/>
        </w:rPr>
        <w:t>Eggon</w:t>
      </w:r>
      <w:proofErr w:type="spellEnd"/>
      <w:r w:rsidRPr="00872186">
        <w:rPr>
          <w:rFonts w:ascii="Times New Roman" w:eastAsia="Times New Roman" w:hAnsi="Times New Roman" w:cs="Times New Roman"/>
          <w:sz w:val="24"/>
          <w:szCs w:val="24"/>
        </w:rPr>
        <w:t xml:space="preserve"> (0.404 %). Although, Nigeria soil is generally low in nitrogen which necessitates the addition fertilizers to boost yields. </w:t>
      </w:r>
      <w:r w:rsidRPr="00872186">
        <w:rPr>
          <w:rFonts w:ascii="Times New Roman" w:eastAsia="Calibri" w:hAnsi="Times New Roman" w:cs="Times New Roman"/>
          <w:sz w:val="24"/>
          <w:szCs w:val="24"/>
        </w:rPr>
        <w:t>The result obtained in this work is within the literature values reported in Nigeria soils. Statistical analysis showed that there was no significant difference in the sampling area in terms of nitrogen content. The order of abundance for nitrogen content in the soils obtained from the study locations are: NS &gt; NW &gt; NN.</w:t>
      </w:r>
    </w:p>
    <w:p w14:paraId="10498E66" w14:textId="77777777" w:rsidR="0061441C" w:rsidRPr="00872186" w:rsidRDefault="0061441C" w:rsidP="00964CE5">
      <w:pPr>
        <w:spacing w:after="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Phosphorus (P):</w:t>
      </w:r>
      <w:r w:rsidRPr="00872186">
        <w:rPr>
          <w:rFonts w:ascii="Times New Roman" w:eastAsia="Times New Roman" w:hAnsi="Times New Roman" w:cs="Times New Roman"/>
          <w:sz w:val="24"/>
          <w:szCs w:val="24"/>
        </w:rPr>
        <w:t xml:space="preserve"> The phosphorus content ranged from 0.355 – 0.453 mg/kg across the sampling area with a mean nitrogen of 0.403 ± 0.097mg/kg. The highest phosphorus content was recorded at Awe (0.453 mg/kg) while the least values were obtained at Nasarawa </w:t>
      </w:r>
      <w:proofErr w:type="spellStart"/>
      <w:r w:rsidRPr="00872186">
        <w:rPr>
          <w:rFonts w:ascii="Times New Roman" w:eastAsia="Times New Roman" w:hAnsi="Times New Roman" w:cs="Times New Roman"/>
          <w:sz w:val="24"/>
          <w:szCs w:val="24"/>
        </w:rPr>
        <w:t>Eggon</w:t>
      </w:r>
      <w:proofErr w:type="spellEnd"/>
      <w:r w:rsidRPr="00872186">
        <w:rPr>
          <w:rFonts w:ascii="Times New Roman" w:eastAsia="Times New Roman" w:hAnsi="Times New Roman" w:cs="Times New Roman"/>
          <w:sz w:val="24"/>
          <w:szCs w:val="24"/>
        </w:rPr>
        <w:t xml:space="preserve"> (0.355 mg/kg). Although, Nigeria soil is generally low in phosphorus which necessitates the addition fertilizers to boost yields. Although, Nigeria soil is generally low in phosphorus which necessitates the addition fertilizers to boost yields</w:t>
      </w:r>
      <w:r w:rsidRPr="00872186">
        <w:rPr>
          <w:rFonts w:ascii="Times New Roman" w:eastAsia="Calibri" w:hAnsi="Times New Roman" w:cs="Times New Roman"/>
          <w:sz w:val="24"/>
          <w:szCs w:val="24"/>
        </w:rPr>
        <w:t xml:space="preserve"> Statistical analysis showed that there was no significant difference in the sampling area in terms of nitrogen content. The result obtained in this work is </w:t>
      </w:r>
      <w:r w:rsidRPr="00872186">
        <w:rPr>
          <w:rFonts w:ascii="Times New Roman" w:eastAsia="Calibri" w:hAnsi="Times New Roman" w:cs="Times New Roman"/>
          <w:sz w:val="24"/>
          <w:szCs w:val="24"/>
        </w:rPr>
        <w:lastRenderedPageBreak/>
        <w:t>within the literature values reported in Nigeria soils. The order of abundance for phosphorus content in the soils obtained from the study locations are: NS &gt; NW &gt; NN.</w:t>
      </w:r>
    </w:p>
    <w:p w14:paraId="70E89EAB" w14:textId="77777777" w:rsidR="0061441C" w:rsidRPr="00872186" w:rsidRDefault="0061441C" w:rsidP="00964CE5">
      <w:pPr>
        <w:spacing w:after="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Potassium (K):</w:t>
      </w:r>
      <w:r w:rsidRPr="00872186">
        <w:rPr>
          <w:rFonts w:ascii="Times New Roman" w:eastAsia="Times New Roman" w:hAnsi="Times New Roman" w:cs="Times New Roman"/>
          <w:sz w:val="24"/>
          <w:szCs w:val="24"/>
        </w:rPr>
        <w:t xml:space="preserve"> The potassium content ranged from 0.007 – 0.130 mg/kg across the sampling area with a mean potassium of 0.0500 ± 0.16 mg/kg. The highest potassium was recorded at Nasarawa </w:t>
      </w:r>
      <w:proofErr w:type="spellStart"/>
      <w:r w:rsidRPr="00872186">
        <w:rPr>
          <w:rFonts w:ascii="Times New Roman" w:eastAsia="Times New Roman" w:hAnsi="Times New Roman" w:cs="Times New Roman"/>
          <w:sz w:val="24"/>
          <w:szCs w:val="24"/>
        </w:rPr>
        <w:t>Eggon</w:t>
      </w:r>
      <w:proofErr w:type="spellEnd"/>
      <w:r w:rsidRPr="00872186">
        <w:rPr>
          <w:rFonts w:ascii="Times New Roman" w:eastAsia="Times New Roman" w:hAnsi="Times New Roman" w:cs="Times New Roman"/>
          <w:sz w:val="24"/>
          <w:szCs w:val="24"/>
        </w:rPr>
        <w:t xml:space="preserve"> (0.130 mg/kg) while the least values was obtained at Kokona (0.007 mg/kg). T</w:t>
      </w:r>
      <w:r w:rsidRPr="00872186">
        <w:rPr>
          <w:rFonts w:ascii="Times New Roman" w:eastAsia="Calibri" w:hAnsi="Times New Roman" w:cs="Times New Roman"/>
          <w:sz w:val="24"/>
          <w:szCs w:val="24"/>
        </w:rPr>
        <w:t xml:space="preserve">here was a very significant variation of potassium content across the study location. </w:t>
      </w:r>
      <w:r w:rsidRPr="00872186">
        <w:rPr>
          <w:rFonts w:ascii="Times New Roman" w:eastAsia="Times New Roman" w:hAnsi="Times New Roman" w:cs="Times New Roman"/>
          <w:sz w:val="24"/>
          <w:szCs w:val="24"/>
        </w:rPr>
        <w:t xml:space="preserve">Although, Nigeria soil is generally low in potassium except in the Jos Plateau where total potassium ranges from 0.619 – 1.21 mg/kg across different slope positions. </w:t>
      </w:r>
      <w:r w:rsidRPr="00872186">
        <w:rPr>
          <w:rFonts w:ascii="Times New Roman" w:eastAsia="Calibri" w:hAnsi="Times New Roman" w:cs="Times New Roman"/>
          <w:sz w:val="24"/>
          <w:szCs w:val="24"/>
        </w:rPr>
        <w:t>The result obtained in this work is within the literature values reported in Nigeria soils.  The order of abundance for potassium ion in the soils obtained from the study locations are: NN &gt; NS &gt; NW. Statistical analysis showed that there was significant difference in the sampling area in terms of potassium content.</w:t>
      </w:r>
    </w:p>
    <w:p w14:paraId="271BE821" w14:textId="77777777" w:rsidR="0061441C" w:rsidRPr="00872186" w:rsidRDefault="0061441C" w:rsidP="00964CE5">
      <w:pPr>
        <w:spacing w:after="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Calcium (Ca):</w:t>
      </w:r>
      <w:r w:rsidRPr="00872186">
        <w:rPr>
          <w:rFonts w:ascii="Times New Roman" w:eastAsia="Times New Roman" w:hAnsi="Times New Roman" w:cs="Times New Roman"/>
          <w:sz w:val="24"/>
          <w:szCs w:val="24"/>
        </w:rPr>
        <w:t xml:space="preserve"> The calcium content ranged from 0.007 – 0.130 mg/kg across the sampling area with a mean potassium of 0.0500 ± 0.16 mg/kg. The highest potassium was recorded at Nasarawa </w:t>
      </w:r>
      <w:proofErr w:type="spellStart"/>
      <w:r w:rsidRPr="00872186">
        <w:rPr>
          <w:rFonts w:ascii="Times New Roman" w:eastAsia="Times New Roman" w:hAnsi="Times New Roman" w:cs="Times New Roman"/>
          <w:sz w:val="24"/>
          <w:szCs w:val="24"/>
        </w:rPr>
        <w:t>Eggon</w:t>
      </w:r>
      <w:proofErr w:type="spellEnd"/>
      <w:r w:rsidRPr="00872186">
        <w:rPr>
          <w:rFonts w:ascii="Times New Roman" w:eastAsia="Times New Roman" w:hAnsi="Times New Roman" w:cs="Times New Roman"/>
          <w:sz w:val="24"/>
          <w:szCs w:val="24"/>
        </w:rPr>
        <w:t xml:space="preserve"> (0.130 mg/kg) while the least values was obtained at Kokona (0.007 mg/kg). T</w:t>
      </w:r>
      <w:r w:rsidRPr="00872186">
        <w:rPr>
          <w:rFonts w:ascii="Times New Roman" w:eastAsia="Calibri" w:hAnsi="Times New Roman" w:cs="Times New Roman"/>
          <w:sz w:val="24"/>
          <w:szCs w:val="24"/>
        </w:rPr>
        <w:t xml:space="preserve">here was a very significant variation of potassium content across the study location. </w:t>
      </w:r>
      <w:r w:rsidRPr="00872186">
        <w:rPr>
          <w:rFonts w:ascii="Times New Roman" w:eastAsia="Times New Roman" w:hAnsi="Times New Roman" w:cs="Times New Roman"/>
          <w:sz w:val="24"/>
          <w:szCs w:val="24"/>
        </w:rPr>
        <w:t xml:space="preserve">Although, Nigeria soil is generally low in calcium except in the Jos Plateau (volcanic/bas alt-derived) where exchangeable calcium ion ranges from 2.0 – 6.0 mg/kg across different slope positions and often high calcium from weathered basal; hence more fertile. </w:t>
      </w:r>
      <w:r w:rsidRPr="00872186">
        <w:rPr>
          <w:rFonts w:ascii="Times New Roman" w:eastAsia="Calibri" w:hAnsi="Times New Roman" w:cs="Times New Roman"/>
          <w:sz w:val="24"/>
          <w:szCs w:val="24"/>
        </w:rPr>
        <w:t>The order of abundance for potassium ion in the soils obtained from the study locations are: NN &gt; NW &gt; NS. Statistical analysis showed that there was significant difference in the sampling area in terms of potassium content.</w:t>
      </w:r>
    </w:p>
    <w:p w14:paraId="74A503F1" w14:textId="77777777" w:rsidR="0061441C" w:rsidRPr="00872186" w:rsidRDefault="0061441C" w:rsidP="00964CE5">
      <w:pPr>
        <w:spacing w:after="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Magnesium (Mg):</w:t>
      </w:r>
      <w:r w:rsidRPr="00872186">
        <w:rPr>
          <w:rFonts w:ascii="Times New Roman" w:eastAsia="Times New Roman" w:hAnsi="Times New Roman" w:cs="Times New Roman"/>
          <w:sz w:val="24"/>
          <w:szCs w:val="24"/>
        </w:rPr>
        <w:t xml:space="preserve"> The magnesium content ranged from 0.360 – 0.617 mg/kg across the sampling area with a mean magnesium of 0.459 ± 0.39 mg/kg. The highest calcium was recorded </w:t>
      </w:r>
      <w:r w:rsidRPr="00872186">
        <w:rPr>
          <w:rFonts w:ascii="Times New Roman" w:eastAsia="Times New Roman" w:hAnsi="Times New Roman" w:cs="Times New Roman"/>
          <w:sz w:val="24"/>
          <w:szCs w:val="24"/>
        </w:rPr>
        <w:lastRenderedPageBreak/>
        <w:t>at Kokona (0.617 mg/kg) while the least values was obtained at Awe (0.360 mg/kg). T</w:t>
      </w:r>
      <w:r w:rsidRPr="00872186">
        <w:rPr>
          <w:rFonts w:ascii="Times New Roman" w:eastAsia="Calibri" w:hAnsi="Times New Roman" w:cs="Times New Roman"/>
          <w:sz w:val="24"/>
          <w:szCs w:val="24"/>
        </w:rPr>
        <w:t xml:space="preserve">here was a significant variation of magnesium content across the study location. </w:t>
      </w:r>
      <w:r w:rsidRPr="00872186">
        <w:rPr>
          <w:rFonts w:ascii="Times New Roman" w:eastAsia="Times New Roman" w:hAnsi="Times New Roman" w:cs="Times New Roman"/>
          <w:sz w:val="24"/>
          <w:szCs w:val="24"/>
        </w:rPr>
        <w:t xml:space="preserve">Generally, Nigeria soil has varied status from very low to very high in term magnesium content, but in the Jos Plateau where total exchangeable magnesium ranges from 0.8 – 2.5 mg/kg (moderate to high basalt derived) across different slope positions. In coastal region and delta soils, 01 – 04 (very low, sandy, leached) have been reported. </w:t>
      </w:r>
      <w:r w:rsidRPr="00872186">
        <w:rPr>
          <w:rFonts w:ascii="Times New Roman" w:eastAsia="Calibri" w:hAnsi="Times New Roman" w:cs="Times New Roman"/>
          <w:sz w:val="24"/>
          <w:szCs w:val="24"/>
        </w:rPr>
        <w:t>The result obtained in this work is within the literature values reported in Nigeria soils.  The order of abundance for magnesium ion in the soils obtained from the study locations are: NW &gt; NN &gt; NS. Statistical analysis showed that there was significant difference in the sampling area in terms of magnesium content.</w:t>
      </w:r>
    </w:p>
    <w:p w14:paraId="7995191A" w14:textId="77777777" w:rsidR="0061441C" w:rsidRPr="00872186" w:rsidRDefault="0061441C" w:rsidP="00964CE5">
      <w:pPr>
        <w:spacing w:after="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Cadmium (Cd):</w:t>
      </w:r>
      <w:r w:rsidRPr="00872186">
        <w:rPr>
          <w:rFonts w:ascii="Times New Roman" w:eastAsia="Times New Roman" w:hAnsi="Times New Roman" w:cs="Times New Roman"/>
          <w:sz w:val="24"/>
          <w:szCs w:val="24"/>
        </w:rPr>
        <w:t xml:space="preserve"> Cadmium levels in soil vary widely depending on location and human activity. The cadmium levels ranged from 0.01 – 0.32 mg/kg across the sampling area with a mean cadmium level of 0.117 ± 0.16 mg/kg. The highest cadmium level was recorded at Nasarawa </w:t>
      </w:r>
      <w:proofErr w:type="spellStart"/>
      <w:r w:rsidRPr="00872186">
        <w:rPr>
          <w:rFonts w:ascii="Times New Roman" w:eastAsia="Times New Roman" w:hAnsi="Times New Roman" w:cs="Times New Roman"/>
          <w:sz w:val="24"/>
          <w:szCs w:val="24"/>
        </w:rPr>
        <w:t>Eggon</w:t>
      </w:r>
      <w:proofErr w:type="spellEnd"/>
      <w:r w:rsidRPr="00872186">
        <w:rPr>
          <w:rFonts w:ascii="Times New Roman" w:eastAsia="Times New Roman" w:hAnsi="Times New Roman" w:cs="Times New Roman"/>
          <w:sz w:val="24"/>
          <w:szCs w:val="24"/>
        </w:rPr>
        <w:t xml:space="preserve"> (0.32 mg/kg) while the least values was obtained at Awe and Kokona (0.01 mg/kg). </w:t>
      </w:r>
      <w:r w:rsidRPr="00872186">
        <w:rPr>
          <w:rFonts w:ascii="Times New Roman" w:eastAsia="Calibri" w:hAnsi="Times New Roman" w:cs="Times New Roman"/>
          <w:sz w:val="24"/>
          <w:szCs w:val="24"/>
        </w:rPr>
        <w:t>There was a significant variation of cadmium levels across the study locations.</w:t>
      </w:r>
      <w:r w:rsidRPr="00872186">
        <w:rPr>
          <w:rFonts w:ascii="Times New Roman" w:eastAsia="Times New Roman" w:hAnsi="Times New Roman" w:cs="Times New Roman"/>
          <w:sz w:val="24"/>
          <w:szCs w:val="24"/>
        </w:rPr>
        <w:t xml:space="preserve"> The background level in the U S and Europe usually set at 0.1 – 1.0 mg/kg. T</w:t>
      </w:r>
      <w:r w:rsidRPr="00872186">
        <w:rPr>
          <w:rFonts w:ascii="Times New Roman" w:eastAsia="Calibri" w:hAnsi="Times New Roman" w:cs="Times New Roman"/>
          <w:sz w:val="24"/>
          <w:szCs w:val="24"/>
        </w:rPr>
        <w:t>he risks thresholds are often set around 1.0 mg/kg for agricultural land, beyond which crop uptake and food safety become concerns. The result obtained in this work is within the standard limits set EPA and Europe in Agricultural soils. Although, concentrations of cadmium can rise, especially near, mines, smelters, industrial zones with some areas reporting levels above 1.0 mg/kg.  The order of abundance for cadmium ion in the soils obtained from the study locations are: NN &gt; NW ≈ NS. Statistical analysis showed that there was significant difference in the sampling area in terms of cadmium concentration.</w:t>
      </w:r>
    </w:p>
    <w:p w14:paraId="67F0F1A7" w14:textId="77777777" w:rsidR="0061441C" w:rsidRPr="00872186" w:rsidRDefault="0061441C" w:rsidP="00964CE5">
      <w:pPr>
        <w:spacing w:after="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lastRenderedPageBreak/>
        <w:t>Copper (Cu):</w:t>
      </w:r>
      <w:r w:rsidRPr="00872186">
        <w:rPr>
          <w:rFonts w:ascii="Times New Roman" w:eastAsia="Times New Roman" w:hAnsi="Times New Roman" w:cs="Times New Roman"/>
          <w:sz w:val="24"/>
          <w:szCs w:val="24"/>
        </w:rPr>
        <w:t xml:space="preserve"> Copper levels in agricultural soil vary widely depending on land use, soil type and farming practices. The copper levels ranged from 0.34 – 0.54 mg/kg across the sampling area with a mean copper level of 0.451 ± 0.33 mg/kg. The highest copper level was recorded at Kokona (0.54 mg/kg) while the least values was obtained at Nasarawa </w:t>
      </w:r>
      <w:proofErr w:type="spellStart"/>
      <w:r w:rsidRPr="00872186">
        <w:rPr>
          <w:rFonts w:ascii="Times New Roman" w:eastAsia="Times New Roman" w:hAnsi="Times New Roman" w:cs="Times New Roman"/>
          <w:sz w:val="24"/>
          <w:szCs w:val="24"/>
        </w:rPr>
        <w:t>Eggon</w:t>
      </w:r>
      <w:proofErr w:type="spellEnd"/>
      <w:r w:rsidRPr="00872186">
        <w:rPr>
          <w:rFonts w:ascii="Times New Roman" w:eastAsia="Times New Roman" w:hAnsi="Times New Roman" w:cs="Times New Roman"/>
          <w:sz w:val="24"/>
          <w:szCs w:val="24"/>
        </w:rPr>
        <w:t xml:space="preserve"> (0.34 mg/kg). </w:t>
      </w:r>
      <w:r w:rsidRPr="00872186">
        <w:rPr>
          <w:rFonts w:ascii="Times New Roman" w:eastAsia="Calibri" w:hAnsi="Times New Roman" w:cs="Times New Roman"/>
          <w:sz w:val="24"/>
          <w:szCs w:val="24"/>
        </w:rPr>
        <w:t>There was a significant variation of copper levels across the study locations.</w:t>
      </w:r>
      <w:r w:rsidRPr="00872186">
        <w:rPr>
          <w:rFonts w:ascii="Times New Roman" w:eastAsia="Times New Roman" w:hAnsi="Times New Roman" w:cs="Times New Roman"/>
          <w:sz w:val="24"/>
          <w:szCs w:val="24"/>
        </w:rPr>
        <w:t xml:space="preserve">  In European croplands, the average cooper concentration is between 5 – 20 mg/kg. Regions like Croatia’s Zadar County, copper concentrations range from 0.15 to 290 mg/kg. </w:t>
      </w:r>
      <w:r w:rsidRPr="00872186">
        <w:rPr>
          <w:rFonts w:ascii="Times New Roman" w:eastAsia="Calibri" w:hAnsi="Times New Roman" w:cs="Times New Roman"/>
          <w:sz w:val="24"/>
          <w:szCs w:val="24"/>
        </w:rPr>
        <w:t>Although, copper is an essential micronutrient for plants, concentrations above 100 mg/kg are often flagged as potential toxic, particularly for sensitive crops and soil microorganism.  Studies suggested that soil properties like pH, clay content and organic matter strongly influence copper availability and mobility. The result obtained in this work is within the standard limits set EPA and Europe in Agricultural soils. The order of abundance for copper ion in the soils obtained from the study locations are: NW &gt; NS &gt; NN. Statistical analysis showed that there was significant difference in the sampling area in terms of copper concentration.</w:t>
      </w:r>
    </w:p>
    <w:p w14:paraId="21739393" w14:textId="77777777" w:rsidR="0061441C" w:rsidRPr="00872186" w:rsidRDefault="0061441C" w:rsidP="00964CE5">
      <w:pPr>
        <w:spacing w:after="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Chromium (Cr</w:t>
      </w:r>
      <w:r w:rsidRPr="00872186">
        <w:rPr>
          <w:rFonts w:ascii="Times New Roman" w:eastAsia="Times New Roman" w:hAnsi="Times New Roman" w:cs="Times New Roman"/>
          <w:sz w:val="24"/>
          <w:szCs w:val="24"/>
        </w:rPr>
        <w:t xml:space="preserve">): Chromium levels in soil vary widely depending on location and anthropogenic activity. The chromium levels slightly ranged from 0.022 – 0.204 mg/kg across the sampling area with a mean chromium level of 0.143 ± 0.110 mg/kg. The highest chromium level was recorded at Nasarawa </w:t>
      </w:r>
      <w:proofErr w:type="spellStart"/>
      <w:r w:rsidRPr="00872186">
        <w:rPr>
          <w:rFonts w:ascii="Times New Roman" w:eastAsia="Times New Roman" w:hAnsi="Times New Roman" w:cs="Times New Roman"/>
          <w:sz w:val="24"/>
          <w:szCs w:val="24"/>
        </w:rPr>
        <w:t>Eggon</w:t>
      </w:r>
      <w:proofErr w:type="spellEnd"/>
      <w:r w:rsidRPr="00872186">
        <w:rPr>
          <w:rFonts w:ascii="Times New Roman" w:eastAsia="Times New Roman" w:hAnsi="Times New Roman" w:cs="Times New Roman"/>
          <w:sz w:val="24"/>
          <w:szCs w:val="24"/>
        </w:rPr>
        <w:t xml:space="preserve"> (0.204 mg/kg) while the least values was obtained at Awe (0.022 mg/kg). </w:t>
      </w:r>
      <w:r w:rsidRPr="00872186">
        <w:rPr>
          <w:rFonts w:ascii="Times New Roman" w:eastAsia="Calibri" w:hAnsi="Times New Roman" w:cs="Times New Roman"/>
          <w:sz w:val="24"/>
          <w:szCs w:val="24"/>
        </w:rPr>
        <w:t>There was a significant variation of chromium levels across the study locations.</w:t>
      </w:r>
      <w:r w:rsidRPr="00872186">
        <w:rPr>
          <w:rFonts w:ascii="Times New Roman" w:eastAsia="Times New Roman" w:hAnsi="Times New Roman" w:cs="Times New Roman"/>
          <w:sz w:val="24"/>
          <w:szCs w:val="24"/>
        </w:rPr>
        <w:t xml:space="preserve"> In unpolluted natural soil, chromium usually set between 10.0 – 50.0 mg/kg. But in the areas with industries, mining, or heavy sewage irrigation, the concentration can increase. The background level in the U S and Europe usually set at 0.100 – 1.00 mg/kg. </w:t>
      </w:r>
      <w:r w:rsidRPr="00872186">
        <w:rPr>
          <w:rFonts w:ascii="Times New Roman" w:eastAsia="Calibri" w:hAnsi="Times New Roman" w:cs="Times New Roman"/>
          <w:sz w:val="24"/>
          <w:szCs w:val="24"/>
        </w:rPr>
        <w:t xml:space="preserve">The result obtained in this work is within the standard limits set EPA and Europe in Agricultural soils. The order of abundance for </w:t>
      </w:r>
      <w:r w:rsidRPr="00872186">
        <w:rPr>
          <w:rFonts w:ascii="Times New Roman" w:eastAsia="Calibri" w:hAnsi="Times New Roman" w:cs="Times New Roman"/>
          <w:sz w:val="24"/>
          <w:szCs w:val="24"/>
        </w:rPr>
        <w:lastRenderedPageBreak/>
        <w:t>cadmium ion in the soils obtained from the study locations are: NN &gt; NW &gt; NS. Statistical analysis showed that there was significant difference in the sampling area in terms of cadmium concentration.</w:t>
      </w:r>
    </w:p>
    <w:p w14:paraId="69F12433" w14:textId="77777777" w:rsidR="0061441C" w:rsidRPr="00872186" w:rsidRDefault="0061441C" w:rsidP="00964CE5">
      <w:pPr>
        <w:spacing w:after="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Iron (Fe):</w:t>
      </w:r>
      <w:r w:rsidRPr="00872186">
        <w:rPr>
          <w:rFonts w:ascii="Times New Roman" w:eastAsia="Times New Roman" w:hAnsi="Times New Roman" w:cs="Times New Roman"/>
          <w:sz w:val="24"/>
          <w:szCs w:val="24"/>
        </w:rPr>
        <w:t xml:space="preserve"> Iron levels in soil vary widely depending on location and human activity. The Iron levels ranged from 0.310 – 0.580 mg/kg across the sampling area with a mean iron level of 0.482 ± 0.39 mg/kg. The highest iron level was recorded at Kokona (0.580 mg/kg) while the least values was obtained at Awe (0.310 mg/kg). </w:t>
      </w:r>
      <w:r w:rsidRPr="00872186">
        <w:rPr>
          <w:rFonts w:ascii="Times New Roman" w:eastAsia="Calibri" w:hAnsi="Times New Roman" w:cs="Times New Roman"/>
          <w:sz w:val="24"/>
          <w:szCs w:val="24"/>
        </w:rPr>
        <w:t>There was a significant variation of iron levels across the study locations.</w:t>
      </w:r>
      <w:r w:rsidRPr="00872186">
        <w:rPr>
          <w:rFonts w:ascii="Times New Roman" w:eastAsia="Times New Roman" w:hAnsi="Times New Roman" w:cs="Times New Roman"/>
          <w:sz w:val="24"/>
          <w:szCs w:val="24"/>
        </w:rPr>
        <w:t xml:space="preserve"> Plant – available iron range 2 – 50 mg/kg; less than 2 mg/kg often triggers chlorosis in sensitive crops. In Nigeria soils, total iron usually high but available Fe can low due acidity, leaching and low organic matter. </w:t>
      </w:r>
      <w:r w:rsidRPr="00872186">
        <w:rPr>
          <w:rFonts w:ascii="Times New Roman" w:eastAsia="Calibri" w:hAnsi="Times New Roman" w:cs="Times New Roman"/>
          <w:sz w:val="24"/>
          <w:szCs w:val="24"/>
        </w:rPr>
        <w:t>The result obtained in this work showed low iron concentration due to, competing ions, waterlogging, pH (&gt; 5.5) and low organic matter. The order of abundance for iron ion in the soils obtained from the study locations are: NW &gt; NN &gt; NS. Statistical analysis showed that there was significant difference in the sampling area in terms of iron concentration.</w:t>
      </w:r>
    </w:p>
    <w:p w14:paraId="6306A266" w14:textId="77777777" w:rsidR="0061441C" w:rsidRPr="00872186" w:rsidRDefault="0061441C" w:rsidP="00071F82">
      <w:pPr>
        <w:spacing w:after="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Lead (Pb):</w:t>
      </w:r>
      <w:r w:rsidRPr="00872186">
        <w:rPr>
          <w:rFonts w:ascii="Times New Roman" w:eastAsia="Times New Roman" w:hAnsi="Times New Roman" w:cs="Times New Roman"/>
          <w:sz w:val="24"/>
          <w:szCs w:val="24"/>
        </w:rPr>
        <w:t xml:space="preserve"> Lead levels in soil vary widely depending on location and human activity. The Pb levels ranged from 8.83 –15.8 mg/kg across the sampling area with a mean Pb level of 12.9 ± 3.2 mg/kg. The highest Pb level was recorded at Kokona (15.8 mg/kg) while the least value was obtained at Awe (8.83 mg/kg). </w:t>
      </w:r>
      <w:r w:rsidRPr="00872186">
        <w:rPr>
          <w:rFonts w:ascii="Times New Roman" w:eastAsia="Calibri" w:hAnsi="Times New Roman" w:cs="Times New Roman"/>
          <w:sz w:val="24"/>
          <w:szCs w:val="24"/>
        </w:rPr>
        <w:t>There was a significant variation of Pb levels across the study locations.</w:t>
      </w:r>
      <w:r w:rsidRPr="00872186">
        <w:rPr>
          <w:rFonts w:ascii="Times New Roman" w:eastAsia="Times New Roman" w:hAnsi="Times New Roman" w:cs="Times New Roman"/>
          <w:sz w:val="24"/>
          <w:szCs w:val="24"/>
        </w:rPr>
        <w:t xml:space="preserve"> Lead in farm soils usually set between 15 – 40 mg/kg in unpolluted areas, that is the background level globally. </w:t>
      </w:r>
      <w:r w:rsidRPr="00872186">
        <w:rPr>
          <w:rFonts w:ascii="Times New Roman" w:eastAsia="Calibri" w:hAnsi="Times New Roman" w:cs="Times New Roman"/>
          <w:sz w:val="24"/>
          <w:szCs w:val="24"/>
        </w:rPr>
        <w:t xml:space="preserve">The result obtained in this work is within the standard limits set EPA and Europe in Agricultural soils. Although, concentrations of Pb can rise, especially near, mines, smelters, industrial zones with some areas reporting levels above 100 mg/kg.  The order of abundance for Pb ion in the soils obtained from the study locations are: NW &gt; NN &gt; NS. </w:t>
      </w:r>
      <w:r w:rsidRPr="00872186">
        <w:rPr>
          <w:rFonts w:ascii="Times New Roman" w:eastAsia="Calibri" w:hAnsi="Times New Roman" w:cs="Times New Roman"/>
          <w:sz w:val="24"/>
          <w:szCs w:val="24"/>
        </w:rPr>
        <w:lastRenderedPageBreak/>
        <w:t>Statistical analysis showed that there was significant difference in the sampling area in terms of Pb concentration.</w:t>
      </w:r>
    </w:p>
    <w:p w14:paraId="10911626" w14:textId="77777777" w:rsidR="0061441C" w:rsidRPr="00872186" w:rsidRDefault="0061441C" w:rsidP="00071F82">
      <w:pPr>
        <w:spacing w:after="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Nickel (Ni):</w:t>
      </w:r>
      <w:r w:rsidRPr="00872186">
        <w:rPr>
          <w:rFonts w:ascii="Times New Roman" w:eastAsia="Times New Roman" w:hAnsi="Times New Roman" w:cs="Times New Roman"/>
          <w:sz w:val="24"/>
          <w:szCs w:val="24"/>
        </w:rPr>
        <w:t xml:space="preserve"> Nickel is a micronutrient needed in tiny amounts in plant and levels in soil vary widely depending on location and human activity. The nickel levels ranged from 0.0150 – 0.300 mg/kg across the sampling area with a mean Ni level of 0.111 ± 0.15 mg/kg. The highest nickel level was recorded at Kokona (0.300 mg/kg) while the least values was obtained at Awe (0.0150 mg/kg). </w:t>
      </w:r>
      <w:r w:rsidRPr="00872186">
        <w:rPr>
          <w:rFonts w:ascii="Times New Roman" w:eastAsia="Calibri" w:hAnsi="Times New Roman" w:cs="Times New Roman"/>
          <w:sz w:val="24"/>
          <w:szCs w:val="24"/>
        </w:rPr>
        <w:t>There was a significant variation of nickel levels across the study locations.</w:t>
      </w:r>
      <w:r w:rsidRPr="00872186">
        <w:rPr>
          <w:rFonts w:ascii="Times New Roman" w:eastAsia="Times New Roman" w:hAnsi="Times New Roman" w:cs="Times New Roman"/>
          <w:sz w:val="24"/>
          <w:szCs w:val="24"/>
        </w:rPr>
        <w:t xml:space="preserve"> The total amount of Ni 5 – 30 mg/kg in Nigerian soils and about 0.1 – 3.0 bioavailability of Ni to crops. </w:t>
      </w:r>
      <w:r w:rsidRPr="00872186">
        <w:rPr>
          <w:rFonts w:ascii="Times New Roman" w:eastAsia="Calibri" w:hAnsi="Times New Roman" w:cs="Times New Roman"/>
          <w:sz w:val="24"/>
          <w:szCs w:val="24"/>
        </w:rPr>
        <w:t>The result obtained in this work is within the standard limits set EPA and Europe in Agricultural soils. Although, concentrations of Ni can rise reach 100 – 300 mg/kg in Jos Plateau where serpentine soils dominate.  The order of abundance for nickel ion in the soils obtained from the study locations are: NW &gt; NN &gt; NS. Statistical analysis showed that there was significant difference in the sampling area in terms of nickel concentration.</w:t>
      </w:r>
    </w:p>
    <w:p w14:paraId="34EC92D4" w14:textId="6DB57086" w:rsidR="0061441C" w:rsidRPr="00872186" w:rsidRDefault="0061441C" w:rsidP="00071F82">
      <w:pPr>
        <w:spacing w:after="0" w:line="480" w:lineRule="auto"/>
        <w:jc w:val="both"/>
        <w:rPr>
          <w:rFonts w:ascii="Times New Roman" w:eastAsia="Calibri" w:hAnsi="Times New Roman" w:cs="Times New Roman"/>
          <w:sz w:val="24"/>
          <w:szCs w:val="24"/>
        </w:rPr>
      </w:pPr>
      <w:r w:rsidRPr="00872186">
        <w:rPr>
          <w:rFonts w:ascii="Times New Roman" w:eastAsia="Times New Roman" w:hAnsi="Times New Roman" w:cs="Times New Roman"/>
          <w:b/>
          <w:bCs/>
          <w:sz w:val="24"/>
          <w:szCs w:val="24"/>
        </w:rPr>
        <w:t>Zinc (Zn):</w:t>
      </w:r>
      <w:r w:rsidRPr="00872186">
        <w:rPr>
          <w:rFonts w:ascii="Times New Roman" w:eastAsia="Times New Roman" w:hAnsi="Times New Roman" w:cs="Times New Roman"/>
          <w:sz w:val="24"/>
          <w:szCs w:val="24"/>
        </w:rPr>
        <w:t xml:space="preserve"> Zinc is one those quietly essential micronutrients required by crops in a tiny quantity. The zinc levels ranged from 14.6 – 16.4 mg/kg across the sampling area with a mean cadmium level of 15.2 ± 2.7 mg/kg. The highest zinc level was recorded at Kokona (16.4 mg/kg) while the least values was obtained at Awe (14.6 mg/kg). </w:t>
      </w:r>
      <w:r w:rsidRPr="00872186">
        <w:rPr>
          <w:rFonts w:ascii="Times New Roman" w:eastAsia="Calibri" w:hAnsi="Times New Roman" w:cs="Times New Roman"/>
          <w:sz w:val="24"/>
          <w:szCs w:val="24"/>
        </w:rPr>
        <w:t>There was a significant variation of cadmium levels across the study locations.</w:t>
      </w:r>
      <w:r w:rsidRPr="00872186">
        <w:rPr>
          <w:rFonts w:ascii="Times New Roman" w:eastAsia="Times New Roman" w:hAnsi="Times New Roman" w:cs="Times New Roman"/>
          <w:sz w:val="24"/>
          <w:szCs w:val="24"/>
        </w:rPr>
        <w:t xml:space="preserve"> The total amount of Zn 10 – 300 mg/kg in Nigerian soils and about 0.1 – 2.0 mg/kg is bioavailable to crops. </w:t>
      </w:r>
      <w:r w:rsidRPr="00872186">
        <w:rPr>
          <w:rFonts w:ascii="Times New Roman" w:eastAsia="Calibri" w:hAnsi="Times New Roman" w:cs="Times New Roman"/>
          <w:sz w:val="24"/>
          <w:szCs w:val="24"/>
        </w:rPr>
        <w:t>The result obtained in this work is within the standard limits set EPA and Europe in Agricultural soils. The order of abundance for nickel ion in the soils obtained from the study locations are: NW &gt; NN &gt; NS. Statistical analysis showed that there was significant difference in the sampling area in terms of nickel concentration.</w:t>
      </w:r>
    </w:p>
    <w:p w14:paraId="7CBFBEA8" w14:textId="54070DD3" w:rsidR="0061441C" w:rsidRPr="00504949" w:rsidRDefault="0061441C" w:rsidP="0061441C">
      <w:pPr>
        <w:spacing w:before="100" w:beforeAutospacing="1" w:after="100" w:afterAutospacing="1" w:line="480" w:lineRule="auto"/>
        <w:jc w:val="both"/>
        <w:outlineLvl w:val="2"/>
        <w:rPr>
          <w:rFonts w:ascii="Times New Roman" w:eastAsia="Calibri" w:hAnsi="Times New Roman" w:cs="Times New Roman"/>
          <w:sz w:val="24"/>
          <w:szCs w:val="24"/>
        </w:rPr>
      </w:pPr>
      <w:r w:rsidRPr="00872186">
        <w:rPr>
          <w:rFonts w:ascii="Times New Roman" w:eastAsia="Times New Roman" w:hAnsi="Times New Roman" w:cs="Times New Roman"/>
          <w:b/>
          <w:bCs/>
          <w:sz w:val="24"/>
          <w:szCs w:val="24"/>
        </w:rPr>
        <w:t>Spatial Distribution of parameters</w:t>
      </w:r>
    </w:p>
    <w:p w14:paraId="63023A46" w14:textId="6FBFAB9E" w:rsidR="0061441C" w:rsidRPr="00872186" w:rsidRDefault="0061441C" w:rsidP="00071F82">
      <w:pPr>
        <w:spacing w:before="100" w:beforeAutospacing="1" w:after="100" w:afterAutospacing="1"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lastRenderedPageBreak/>
        <w:t xml:space="preserve">Figure </w:t>
      </w:r>
      <w:r w:rsidR="00CA59A1">
        <w:rPr>
          <w:rFonts w:ascii="Times New Roman" w:eastAsia="Times New Roman" w:hAnsi="Times New Roman" w:cs="Times New Roman"/>
          <w:sz w:val="24"/>
          <w:szCs w:val="24"/>
        </w:rPr>
        <w:t xml:space="preserve">1 </w:t>
      </w:r>
      <w:r w:rsidR="00CA59A1" w:rsidRPr="00872186">
        <w:rPr>
          <w:rFonts w:ascii="Times New Roman" w:eastAsia="Times New Roman" w:hAnsi="Times New Roman" w:cs="Times New Roman"/>
          <w:sz w:val="24"/>
          <w:szCs w:val="24"/>
        </w:rPr>
        <w:t>showed</w:t>
      </w:r>
      <w:r w:rsidRPr="00872186">
        <w:rPr>
          <w:rFonts w:ascii="Times New Roman" w:eastAsia="Times New Roman" w:hAnsi="Times New Roman" w:cs="Times New Roman"/>
          <w:sz w:val="24"/>
          <w:szCs w:val="24"/>
        </w:rPr>
        <w:t xml:space="preserve"> the average spatial occurrence of the soil textural fractions sand, silt and clay distribution over three sampling areas in Nasarawa State (NN, NW and NS). The findings indicate some homogenous textural structure as sand is the dominant textural constituent with silt and clay as minor components in all the sites. In all the three zones, the percentage content of sand is extremely high (≈ 90 %), signifying that soils are, nevertheless, sandy regardless of the geographic space. This implies that there are great similarities in parent material and pedogenic processes within the state. The sand content is relatively high (≈ 10 %) and exhibits only a small degree of spatial variability among NW, NN and NS. The very low silt fraction indicates little alluvial input or little depositional action that normally increases the alluvial soils with particles that are of intermediate size. The clay fraction, although marginally larger than silt, in most places (13 – 15 %), is quite low in general. The low clay content means that the soil is not well aggregated, the cation exchange capacity (CEC) is low, and the ability to retain nutrients is low. Compared to the other sites, the clay content in NS is slightly higher than in other sites, which could be explained by the fact that weathering intensity, landscape location, or microenvironment on this site were slightly different than in other regions.</w:t>
      </w:r>
    </w:p>
    <w:p w14:paraId="67828A63" w14:textId="2F74A725" w:rsidR="0061441C" w:rsidRPr="00872186" w:rsidRDefault="0061441C" w:rsidP="00C23351">
      <w:pPr>
        <w:shd w:val="clear" w:color="auto" w:fill="FFFFFF"/>
        <w:spacing w:before="240" w:after="240" w:line="480" w:lineRule="auto"/>
        <w:jc w:val="both"/>
        <w:outlineLvl w:val="3"/>
        <w:rPr>
          <w:rFonts w:ascii="Times New Roman" w:eastAsia="Times New Roman" w:hAnsi="Times New Roman" w:cs="Times New Roman"/>
          <w:b/>
          <w:bCs/>
          <w:sz w:val="24"/>
          <w:szCs w:val="24"/>
        </w:rPr>
      </w:pPr>
      <w:r w:rsidRPr="003D61C4">
        <w:rPr>
          <w:rFonts w:ascii="Times New Roman" w:eastAsia="Times New Roman" w:hAnsi="Times New Roman" w:cs="Times New Roman"/>
          <w:sz w:val="24"/>
          <w:szCs w:val="24"/>
        </w:rPr>
        <w:t>T</w:t>
      </w:r>
      <w:r w:rsidRPr="00872186">
        <w:rPr>
          <w:rFonts w:ascii="Times New Roman" w:eastAsia="Times New Roman" w:hAnsi="Times New Roman" w:cs="Times New Roman"/>
          <w:sz w:val="24"/>
          <w:szCs w:val="24"/>
        </w:rPr>
        <w:t>he spatial distribution of main physicochemical parameters (</w:t>
      </w:r>
      <w:r w:rsidR="003D61C4" w:rsidRPr="00872186">
        <w:rPr>
          <w:rFonts w:ascii="Times New Roman" w:eastAsia="Times New Roman" w:hAnsi="Times New Roman" w:cs="Times New Roman"/>
          <w:sz w:val="24"/>
          <w:szCs w:val="24"/>
        </w:rPr>
        <w:t>pH, EC</w:t>
      </w:r>
      <w:r w:rsidRPr="00872186">
        <w:rPr>
          <w:rFonts w:ascii="Times New Roman" w:eastAsia="Times New Roman" w:hAnsi="Times New Roman" w:cs="Times New Roman"/>
          <w:sz w:val="24"/>
          <w:szCs w:val="24"/>
        </w:rPr>
        <w:t xml:space="preserve">, OC, OM, and MC) at the three sampling sites (NW, NN, and NS) was presented in Figure </w:t>
      </w:r>
      <w:r w:rsidR="009A55C3">
        <w:rPr>
          <w:rFonts w:ascii="Times New Roman" w:eastAsia="Times New Roman" w:hAnsi="Times New Roman" w:cs="Times New Roman"/>
          <w:sz w:val="24"/>
          <w:szCs w:val="24"/>
        </w:rPr>
        <w:t>2</w:t>
      </w:r>
      <w:r w:rsidRPr="00872186">
        <w:rPr>
          <w:rFonts w:ascii="Times New Roman" w:eastAsia="Times New Roman" w:hAnsi="Times New Roman" w:cs="Times New Roman"/>
          <w:sz w:val="24"/>
          <w:szCs w:val="24"/>
        </w:rPr>
        <w:t xml:space="preserve">. The site pH values are more stable with a range of slightly acidic to slightly near-neutral (6.8 - 6.9), which means that there is not much spatial change in the acidity of soil. EC reflects slight differences between the locations as well, which affirms the fact of low salinity levels in the entire area of the study, and organic carbon and organic matter reflect a slightly higher value in NS which may indicate a slightly higher organic input or decomposition activity in this place. The moisture content shows the same trend with the highest value of NW and the lowest value of NS, but the spatial differences </w:t>
      </w:r>
      <w:r w:rsidRPr="00872186">
        <w:rPr>
          <w:rFonts w:ascii="Times New Roman" w:eastAsia="Times New Roman" w:hAnsi="Times New Roman" w:cs="Times New Roman"/>
          <w:sz w:val="24"/>
          <w:szCs w:val="24"/>
        </w:rPr>
        <w:lastRenderedPageBreak/>
        <w:t>are not very large indicating that the soils of the three sites have quite similar physicochemical properties, and only slight differences can be observed.</w:t>
      </w:r>
    </w:p>
    <w:p w14:paraId="1603D494" w14:textId="3C6E06DE" w:rsidR="0061441C" w:rsidRPr="00872186" w:rsidRDefault="0061441C" w:rsidP="00C23351">
      <w:pPr>
        <w:spacing w:before="100" w:beforeAutospacing="1" w:after="100" w:afterAutospacing="1"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 xml:space="preserve">The spatial distribution of the main parameters of the macronutrients: nitrogen, phosphorus, potassium, calcium and magnesium at the three sampling points (NW, NN and NS) is shown in Figure </w:t>
      </w:r>
      <w:r w:rsidR="00CA59A1">
        <w:rPr>
          <w:rFonts w:ascii="Times New Roman" w:eastAsia="Times New Roman" w:hAnsi="Times New Roman" w:cs="Times New Roman"/>
          <w:sz w:val="24"/>
          <w:szCs w:val="24"/>
        </w:rPr>
        <w:t>3</w:t>
      </w:r>
      <w:r w:rsidRPr="00872186">
        <w:rPr>
          <w:rFonts w:ascii="Times New Roman" w:eastAsia="Times New Roman" w:hAnsi="Times New Roman" w:cs="Times New Roman"/>
          <w:sz w:val="24"/>
          <w:szCs w:val="24"/>
        </w:rPr>
        <w:t>. The findings reveal vivid yet diverse nutrient patterns that depict the difference in the soil fertility status across the sites. The amount of nitrogen and phosphorus is also the highest in NS which implies that there is more nutrient available or higher organic matter mineralization in this place. The relatively similar values of N and P are expressed in NW and NN, whereas potassium has a significant spatial variation, with NN having the highest concentration of K, and NW and NS having considerably lower levels, which can indicate the possibility of either depleting N and P or stronger leaching in these regions. The level of CaCO</w:t>
      </w:r>
      <w:r w:rsidRPr="00872186">
        <w:rPr>
          <w:rFonts w:ascii="Times New Roman" w:eastAsia="Times New Roman" w:hAnsi="Times New Roman" w:cs="Times New Roman"/>
          <w:sz w:val="24"/>
          <w:szCs w:val="24"/>
          <w:vertAlign w:val="subscript"/>
        </w:rPr>
        <w:t>3</w:t>
      </w:r>
      <w:r w:rsidRPr="00872186">
        <w:rPr>
          <w:rFonts w:ascii="Times New Roman" w:eastAsia="Times New Roman" w:hAnsi="Times New Roman" w:cs="Times New Roman"/>
          <w:sz w:val="24"/>
          <w:szCs w:val="24"/>
        </w:rPr>
        <w:t xml:space="preserve"> is also maintained at low levels throughout the sites, which means that the soils did not have a significant contribution of calcareous. The concentration of magnesium is highest in NW, then NN and NS, which reflects the differences in the parent material or the capacity to store cations, N and P have the highest concentration in NW, NN and NS is only enriched in K, whereas NW has the best levels of Mg which indicates a difference in the fertility characteristics and the distribution patterns of the nutrients across the sampling sites.</w:t>
      </w:r>
    </w:p>
    <w:p w14:paraId="2BFEF8B9" w14:textId="1971DCD3" w:rsidR="0061441C" w:rsidRPr="00872186" w:rsidRDefault="0061441C" w:rsidP="002679D5">
      <w:pPr>
        <w:shd w:val="clear" w:color="auto" w:fill="FFFFFF"/>
        <w:spacing w:before="240" w:after="24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 xml:space="preserve">The mean concentrations of the selected heavy metals in soils at NN, NW and NS with different spatial distribution of metals are presented in Table 3. There is a possible variation in geological or anthropogenic sources like agricultural chemicals or waste deposition for most of the metals especially Cu and Fe. However, the situation is quite different with Cd where NS has a much higher level of Cd (0.322 mg/kg) compared to the level in NN and NW (0.015-0.014mg/kg). this </w:t>
      </w:r>
      <w:r w:rsidRPr="00872186">
        <w:rPr>
          <w:rFonts w:ascii="Times New Roman" w:eastAsia="Times New Roman" w:hAnsi="Times New Roman" w:cs="Times New Roman"/>
          <w:sz w:val="24"/>
          <w:szCs w:val="24"/>
        </w:rPr>
        <w:lastRenderedPageBreak/>
        <w:t xml:space="preserve">could be due to localized contamination, which could be fertilizers or pesticide residues. Cr levels are significantly elevated in NW and NS (0.202 0.204mg/kg) than the very low level of NN (0.022mg/kg) indicating stronger lithogenic activity or high exposure of the two regions to Cr-bearing inputs. Nickel (Ni) also shows a strong spatial gradient at NW (0.300 mg/kg) and lowest at NN and NS due to the probability of varying parent material or environmental contributions at NW. In general, according to the heavy metal profile, it is possible to state that NW bears the most of the overall metal burden, NS has a unique high level of cadmium, and NN has a rather lower metal concentration, which reflects a combination of both natural and anthropogenic factors, which differ in all sampling sites. Figure </w:t>
      </w:r>
      <w:r w:rsidR="002679D5">
        <w:rPr>
          <w:rFonts w:ascii="Times New Roman" w:eastAsia="Times New Roman" w:hAnsi="Times New Roman" w:cs="Times New Roman"/>
          <w:sz w:val="24"/>
          <w:szCs w:val="24"/>
        </w:rPr>
        <w:t xml:space="preserve">4 </w:t>
      </w:r>
      <w:r w:rsidRPr="00872186">
        <w:rPr>
          <w:rFonts w:ascii="Times New Roman" w:eastAsia="Times New Roman" w:hAnsi="Times New Roman" w:cs="Times New Roman"/>
          <w:sz w:val="24"/>
          <w:szCs w:val="24"/>
        </w:rPr>
        <w:t>showed the geographical spread of the chosen heavy metals (Cu, Fe, Cd, Ni and Cr) within the three sampling points (NW, NN and NS). There is obvious variability in the concentrations, which implies that there was a difference in geochemical composition and may be anthropogenic. Copper and iron are the most abundant in NW and NN respectively and the least in NS indicating that the metal is more enriched in the western zone or there is parent material effect. A clear pattern is observed with cadmium with the highest level being in NS, suggesting that there is localized contamination or that Cd is more mobile in the southern soils. The significantly greater NI value in NW compared to NN and NS is another argument of the existence of Ni-rich geological structures or contributions specific to this area. The spatial differences in mineral content or exposure to the sources of Cr lead to notable differences in chromium in NW and NS, but not in NN, and indicate that some areas have the highest overall burden of metals, others are uniquely high in cadmium, and the rest are generally lower than the others in Cr.</w:t>
      </w:r>
    </w:p>
    <w:p w14:paraId="35980634" w14:textId="71A146B3" w:rsidR="0077011E" w:rsidRPr="00872186" w:rsidRDefault="0061441C" w:rsidP="00BB6D1F">
      <w:pPr>
        <w:shd w:val="clear" w:color="auto" w:fill="FFFFFF"/>
        <w:spacing w:after="0" w:line="480" w:lineRule="auto"/>
        <w:jc w:val="both"/>
        <w:outlineLvl w:val="3"/>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 xml:space="preserve">Figure </w:t>
      </w:r>
      <w:r w:rsidR="00BB6D1F">
        <w:rPr>
          <w:rFonts w:ascii="Times New Roman" w:eastAsia="Times New Roman" w:hAnsi="Times New Roman" w:cs="Times New Roman"/>
          <w:sz w:val="24"/>
          <w:szCs w:val="24"/>
        </w:rPr>
        <w:t xml:space="preserve">5 </w:t>
      </w:r>
      <w:r w:rsidRPr="00872186">
        <w:rPr>
          <w:rFonts w:ascii="Times New Roman" w:eastAsia="Times New Roman" w:hAnsi="Times New Roman" w:cs="Times New Roman"/>
          <w:sz w:val="24"/>
          <w:szCs w:val="24"/>
        </w:rPr>
        <w:t xml:space="preserve">represents the spatial distribution of glyphosate (GLP), paraquat (PQT), lead (Pb), and zinc (Zn) in the three sampling sites (NW, NN, and NS). The levels of herbicide residues (GLP </w:t>
      </w:r>
      <w:r w:rsidRPr="00872186">
        <w:rPr>
          <w:rFonts w:ascii="Times New Roman" w:eastAsia="Times New Roman" w:hAnsi="Times New Roman" w:cs="Times New Roman"/>
          <w:sz w:val="24"/>
          <w:szCs w:val="24"/>
        </w:rPr>
        <w:lastRenderedPageBreak/>
        <w:t>and PQT) are not very high, but there is a considerable difference between sites. GLP occurred in the highest concentration in NN and NW, whereas the lowest concentrations were in NS, which suggests the possibility of variations in the intensity of herbicide applications or degradation rates. Paraquat is of a similar pattern, with NW and NN much more concentrated compared to NS. Conversely, the concentrations of lead and zinc are much higher and more spatially diverse. Pb concentration is highest in NW, then NS, and the lowest in NN indicating that there are certain location specific inputs in the form of agricultural chemicals, traffic, or lithogenic. Zn also has large values in NW indicating that NN and NS have moderate values indicating the fluctuating levels of contamination pressures and soil retention in the sampled areas.</w:t>
      </w:r>
    </w:p>
    <w:p w14:paraId="515A406E" w14:textId="112F727F" w:rsidR="0077011E" w:rsidRPr="00872186" w:rsidRDefault="00353FAE" w:rsidP="002A6A4C">
      <w:pPr>
        <w:spacing w:before="100" w:beforeAutospacing="1" w:after="100" w:afterAutospacing="1" w:line="240" w:lineRule="auto"/>
        <w:outlineLvl w:val="2"/>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 xml:space="preserve"> CONCLUSION</w:t>
      </w:r>
    </w:p>
    <w:p w14:paraId="19AFD6ED" w14:textId="0F206D87" w:rsidR="002375FF" w:rsidRPr="00872186" w:rsidRDefault="002375FF" w:rsidP="00B34938">
      <w:pPr>
        <w:shd w:val="clear" w:color="auto" w:fill="FFFFFF"/>
        <w:spacing w:after="0" w:line="480" w:lineRule="auto"/>
        <w:jc w:val="both"/>
        <w:outlineLvl w:val="3"/>
        <w:rPr>
          <w:rFonts w:ascii="Times New Roman" w:eastAsia="Times New Roman" w:hAnsi="Times New Roman" w:cs="Times New Roman"/>
          <w:sz w:val="24"/>
          <w:szCs w:val="24"/>
        </w:rPr>
      </w:pPr>
      <w:r w:rsidRPr="00872186">
        <w:rPr>
          <w:rFonts w:ascii="Times New Roman" w:eastAsia="Times New Roman" w:hAnsi="Times New Roman" w:cs="Times New Roman"/>
          <w:bCs/>
          <w:sz w:val="24"/>
          <w:szCs w:val="24"/>
        </w:rPr>
        <w:t>The soils at the three locations were slightly acidic to near-neutral, non-salty, and moderately fertile typical of typical tropical savanna, and there was a high degree of spatial heterogeneity, which had a strong influence on the accumulation and dynamics of metals and herbicides, with the soils in Nasarawa South exhibiting the highest concentrations of organic carbon, organic matter, nitrogen and clay, allowing sorption and retention of contaminants, and in Nasarawa North soils being relatively coarse-textured and having lower phosphorus availability that enhanced Reorganization of the regional mean heavy metal concentrations showed local signatures with Nasarawa North showing the trend: Zn &gt; Pb &gt;&gt; Mg ≈ Cu ≈ Fe &gt; Cr &gt; Ni &gt; Cd and with the major contributors being Zn and Pb where the high Pb and low Cd and Ni indicating non-geogenic sources, e.g., agrochemical residues, vehicle emissions, and local garbage disposal, and the high sand content and low organic matter indicating that the immobilization is retarded such that high Pb can be bioavailable and be mobilized.</w:t>
      </w:r>
      <w:r w:rsidRPr="00872186">
        <w:rPr>
          <w:rFonts w:ascii="Times New Roman" w:hAnsi="Times New Roman" w:cs="Times New Roman"/>
          <w:color w:val="0F1115"/>
          <w:sz w:val="24"/>
          <w:szCs w:val="24"/>
          <w:shd w:val="clear" w:color="auto" w:fill="FFFFFF"/>
        </w:rPr>
        <w:t xml:space="preserve">;  In Order of </w:t>
      </w:r>
      <w:proofErr w:type="spellStart"/>
      <w:r w:rsidRPr="00872186">
        <w:rPr>
          <w:rFonts w:ascii="Times New Roman" w:hAnsi="Times New Roman" w:cs="Times New Roman"/>
          <w:color w:val="0F1115"/>
          <w:sz w:val="24"/>
          <w:szCs w:val="24"/>
          <w:shd w:val="clear" w:color="auto" w:fill="FFFFFF"/>
        </w:rPr>
        <w:t>occurance</w:t>
      </w:r>
      <w:proofErr w:type="spellEnd"/>
      <w:r w:rsidRPr="00872186">
        <w:rPr>
          <w:rFonts w:ascii="Times New Roman" w:hAnsi="Times New Roman" w:cs="Times New Roman"/>
          <w:color w:val="0F1115"/>
          <w:sz w:val="24"/>
          <w:szCs w:val="24"/>
          <w:shd w:val="clear" w:color="auto" w:fill="FFFFFF"/>
        </w:rPr>
        <w:t xml:space="preserve">, Pb &gt; Zn &gt;&gt; Fe &gt; Mg &gt; Cu &gt; Cr &gt; Cd &gt; Ni (high Pb and Zn, strongly increased Cd) Nasarawa South exhibited a </w:t>
      </w:r>
      <w:r w:rsidRPr="00872186">
        <w:rPr>
          <w:rFonts w:ascii="Times New Roman" w:hAnsi="Times New Roman" w:cs="Times New Roman"/>
          <w:color w:val="0F1115"/>
          <w:sz w:val="24"/>
          <w:szCs w:val="24"/>
          <w:shd w:val="clear" w:color="auto" w:fill="FFFFFF"/>
        </w:rPr>
        <w:lastRenderedPageBreak/>
        <w:t xml:space="preserve">high surface complexation and cation exchange with Fe and Mg, with very high organic matter and clay contents, which are prime conditions to enrich the surface with phosphate fertilizers, herbicide impurities and intensive agricultural use, which leads to high Pb and Zn and a very high Cd concentration.; The order of West Nasarawa showed Pb &gt; Zn &gt;&gt; Fe &gt; Mg &gt; Cu &gt; Ni &gt; Cr &gt; Cd and the highest concentration of Pb in all the regions, which indicated that it was the most Pb-impacted zone, and high Ni indicated the presence of other anthropogenic source(s) of Pb whether it was mechanical activities, fuel combustion or agro-industrial and moderate organic matter with high sand content led to mixed retention-mobility </w:t>
      </w:r>
      <w:proofErr w:type="spellStart"/>
      <w:r w:rsidRPr="00872186">
        <w:rPr>
          <w:rFonts w:ascii="Times New Roman" w:hAnsi="Times New Roman" w:cs="Times New Roman"/>
          <w:color w:val="0F1115"/>
          <w:sz w:val="24"/>
          <w:szCs w:val="24"/>
          <w:shd w:val="clear" w:color="auto" w:fill="FFFFFF"/>
        </w:rPr>
        <w:t>behaviour</w:t>
      </w:r>
      <w:proofErr w:type="spellEnd"/>
      <w:r w:rsidRPr="00872186">
        <w:rPr>
          <w:rFonts w:ascii="Times New Roman" w:hAnsi="Times New Roman" w:cs="Times New Roman"/>
          <w:color w:val="0F1115"/>
          <w:sz w:val="24"/>
          <w:szCs w:val="24"/>
          <w:shd w:val="clear" w:color="auto" w:fill="FFFFFF"/>
        </w:rPr>
        <w:t>. This research work has also provided evidence of a close relationship between metal contamination and herbicide fate with glyphosate being intermediate, pH-sensitive and semi-reversible adsorbed, which was most mobile in Nasarawa North soils owing to its coarse texture and low organic matter and paraquat being strongly adsorbed, which is almost irreversible across all soils, through electrostatic cation exchange, and with little desorption; in the case of metal-enriched Nasarawa South soils</w:t>
      </w:r>
      <w:r w:rsidR="006155DE">
        <w:rPr>
          <w:rFonts w:ascii="Times New Roman" w:hAnsi="Times New Roman" w:cs="Times New Roman"/>
          <w:color w:val="0F1115"/>
          <w:sz w:val="24"/>
          <w:szCs w:val="24"/>
          <w:shd w:val="clear" w:color="auto" w:fill="FFFFFF"/>
        </w:rPr>
        <w:t>.</w:t>
      </w:r>
    </w:p>
    <w:p w14:paraId="5853C0E2" w14:textId="3B3FCD32" w:rsidR="00D14711" w:rsidRDefault="00D14711" w:rsidP="00D14711">
      <w:pPr>
        <w:shd w:val="clear" w:color="auto" w:fill="FFFFFF"/>
        <w:spacing w:after="240" w:line="510" w:lineRule="atLeast"/>
        <w:outlineLvl w:val="0"/>
        <w:rPr>
          <w:rFonts w:ascii="Times New Roman" w:eastAsia="Times New Roman" w:hAnsi="Times New Roman" w:cs="Times New Roman"/>
          <w:b/>
          <w:bCs/>
          <w:color w:val="0F1115"/>
          <w:kern w:val="36"/>
          <w:sz w:val="24"/>
          <w:szCs w:val="24"/>
        </w:rPr>
      </w:pPr>
      <w:r w:rsidRPr="00872186">
        <w:rPr>
          <w:rFonts w:ascii="Times New Roman" w:eastAsia="Times New Roman" w:hAnsi="Times New Roman" w:cs="Times New Roman"/>
          <w:b/>
          <w:bCs/>
          <w:color w:val="0F1115"/>
          <w:kern w:val="36"/>
          <w:sz w:val="24"/>
          <w:szCs w:val="24"/>
        </w:rPr>
        <w:t>References</w:t>
      </w:r>
    </w:p>
    <w:p w14:paraId="6C697254" w14:textId="77777777" w:rsidR="000539CA" w:rsidRDefault="000539CA" w:rsidP="00B1531F">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Attah, J. E., Daret, J. T., Mundi, A. A., Idris, M. M., Soja, J. R., &amp; Dawuk, D. N. (2024). Assessment of heavy metals concentration and health hazard indices in soil and plants from Kokona Local Government Area of Nasarawa State, Nigeria. </w:t>
      </w:r>
      <w:r>
        <w:rPr>
          <w:rStyle w:val="Emphasis"/>
          <w:rFonts w:ascii="Segoe UI" w:hAnsi="Segoe UI" w:cs="Segoe UI"/>
          <w:color w:val="0F1115"/>
        </w:rPr>
        <w:t>Dutse Journal of Pure and Applied Sciences, 10</w:t>
      </w:r>
      <w:r>
        <w:rPr>
          <w:rFonts w:ascii="Segoe UI" w:hAnsi="Segoe UI" w:cs="Segoe UI"/>
          <w:color w:val="0F1115"/>
        </w:rPr>
        <w:t>(3a). </w:t>
      </w:r>
      <w:hyperlink r:id="rId15" w:tgtFrame="_blank" w:history="1">
        <w:r>
          <w:rPr>
            <w:rStyle w:val="Hyperlink"/>
            <w:rFonts w:ascii="Segoe UI" w:hAnsi="Segoe UI" w:cs="Segoe UI"/>
            <w:color w:val="3964FE"/>
            <w:u w:val="none"/>
            <w:bdr w:val="single" w:sz="12" w:space="0" w:color="auto" w:frame="1"/>
          </w:rPr>
          <w:t>https://www.ajol.info/index.php/dujopas/article/view/281265</w:t>
        </w:r>
      </w:hyperlink>
    </w:p>
    <w:p w14:paraId="2453ED9D" w14:textId="77777777" w:rsidR="000539CA" w:rsidRDefault="000539CA" w:rsidP="00B1531F">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Bian, J., Peng, N., Zhou, Z., Yang, J., &amp; Wang, X. (2024). A critical review of co-pollution of microplastics and heavy metals in agricultural soil environments. </w:t>
      </w:r>
      <w:r>
        <w:rPr>
          <w:rStyle w:val="Emphasis"/>
          <w:rFonts w:ascii="Segoe UI" w:hAnsi="Segoe UI" w:cs="Segoe UI"/>
          <w:color w:val="0F1115"/>
        </w:rPr>
        <w:t>Ecotoxicology and Environmental Safety, 286</w:t>
      </w:r>
      <w:r>
        <w:rPr>
          <w:rFonts w:ascii="Segoe UI" w:hAnsi="Segoe UI" w:cs="Segoe UI"/>
          <w:color w:val="0F1115"/>
        </w:rPr>
        <w:t>, 117248. </w:t>
      </w:r>
      <w:hyperlink r:id="rId16" w:tgtFrame="_blank" w:history="1">
        <w:r>
          <w:rPr>
            <w:rStyle w:val="Hyperlink"/>
            <w:rFonts w:ascii="Segoe UI" w:hAnsi="Segoe UI" w:cs="Segoe UI"/>
            <w:color w:val="3964FE"/>
            <w:u w:val="none"/>
            <w:bdr w:val="single" w:sz="12" w:space="0" w:color="auto" w:frame="1"/>
          </w:rPr>
          <w:t>https://doi.org/10.1016/j.ecoenv.2024.117248</w:t>
        </w:r>
      </w:hyperlink>
    </w:p>
    <w:p w14:paraId="42CF657E" w14:textId="77777777" w:rsidR="000539CA" w:rsidRDefault="000539CA" w:rsidP="00B1531F">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Isong, I. A., Olim, D. M., Nwachukwu, O. I., Onwuka, M. I., Afu, S. M., Otie, V. O., Oko, P. E., Heung, B., &amp; John, K. (2025). Delineating soil management zones for site-specific nutrient management in cocoa cultivation areas with a long history of pesticide usage. </w:t>
      </w:r>
      <w:r>
        <w:rPr>
          <w:rStyle w:val="Emphasis"/>
          <w:rFonts w:ascii="Segoe UI" w:hAnsi="Segoe UI" w:cs="Segoe UI"/>
          <w:color w:val="0F1115"/>
        </w:rPr>
        <w:t>Land, 14</w:t>
      </w:r>
      <w:r>
        <w:rPr>
          <w:rFonts w:ascii="Segoe UI" w:hAnsi="Segoe UI" w:cs="Segoe UI"/>
          <w:color w:val="0F1115"/>
        </w:rPr>
        <w:t>(7), 1366. </w:t>
      </w:r>
      <w:hyperlink r:id="rId17" w:tgtFrame="_blank" w:history="1">
        <w:r>
          <w:rPr>
            <w:rStyle w:val="Hyperlink"/>
            <w:rFonts w:ascii="Segoe UI" w:hAnsi="Segoe UI" w:cs="Segoe UI"/>
            <w:color w:val="3964FE"/>
            <w:u w:val="none"/>
            <w:bdr w:val="single" w:sz="12" w:space="0" w:color="auto" w:frame="1"/>
          </w:rPr>
          <w:t>https://www.mdpi.com/2073-445X/14/7/1366</w:t>
        </w:r>
      </w:hyperlink>
    </w:p>
    <w:p w14:paraId="29757B3A" w14:textId="77777777" w:rsidR="000539CA" w:rsidRDefault="000539CA" w:rsidP="00B1531F">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lastRenderedPageBreak/>
        <w:t>Joseph, I., &amp; Christopher, D. B. (2024). Impact of waste vehicle tyres incineration and heavy metals contamination of soil in some locations in Lafia, Nasarawa State. </w:t>
      </w:r>
      <w:r>
        <w:rPr>
          <w:rStyle w:val="Emphasis"/>
          <w:rFonts w:ascii="Segoe UI" w:hAnsi="Segoe UI" w:cs="Segoe UI"/>
          <w:color w:val="0F1115"/>
        </w:rPr>
        <w:t>African Journal of Environmental Science and Technology</w:t>
      </w:r>
      <w:r>
        <w:rPr>
          <w:rFonts w:ascii="Segoe UI" w:hAnsi="Segoe UI" w:cs="Segoe UI"/>
          <w:color w:val="0F1115"/>
        </w:rPr>
        <w:t>, 1-5. </w:t>
      </w:r>
      <w:hyperlink r:id="rId18" w:tgtFrame="_blank" w:history="1">
        <w:r>
          <w:rPr>
            <w:rStyle w:val="Hyperlink"/>
            <w:rFonts w:ascii="Segoe UI" w:hAnsi="Segoe UI" w:cs="Segoe UI"/>
            <w:color w:val="3964FE"/>
            <w:u w:val="none"/>
            <w:bdr w:val="single" w:sz="12" w:space="0" w:color="auto" w:frame="1"/>
          </w:rPr>
          <w:t>https://ouci.dntb.gov.ua/en/works/9jKvVmo7/</w:t>
        </w:r>
      </w:hyperlink>
    </w:p>
    <w:p w14:paraId="1B051B7E" w14:textId="77777777" w:rsidR="000539CA" w:rsidRDefault="000539CA" w:rsidP="00B1531F">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Liang, Y., Chen, H., Xu, J., Wang, M., &amp; Tan, W. (2025). Review of the structural properties and interfacial reactions of Al-substituted goethite, hematite and ferrihydrite. </w:t>
      </w:r>
      <w:r>
        <w:rPr>
          <w:rStyle w:val="Emphasis"/>
          <w:rFonts w:ascii="Segoe UI" w:hAnsi="Segoe UI" w:cs="Segoe UI"/>
          <w:color w:val="0F1115"/>
        </w:rPr>
        <w:t>Pedosphere, 35</w:t>
      </w:r>
      <w:r>
        <w:rPr>
          <w:rFonts w:ascii="Segoe UI" w:hAnsi="Segoe UI" w:cs="Segoe UI"/>
          <w:color w:val="0F1115"/>
        </w:rPr>
        <w:t>(1), 42-52. </w:t>
      </w:r>
      <w:hyperlink r:id="rId19" w:tgtFrame="_blank" w:history="1">
        <w:r>
          <w:rPr>
            <w:rStyle w:val="Hyperlink"/>
            <w:rFonts w:ascii="Segoe UI" w:hAnsi="Segoe UI" w:cs="Segoe UI"/>
            <w:color w:val="3964FE"/>
            <w:u w:val="none"/>
            <w:bdr w:val="single" w:sz="12" w:space="0" w:color="auto" w:frame="1"/>
          </w:rPr>
          <w:t>http://pedosphere.issas.ac.cn/trqen/ch/reader/view_abstract.aspx?file_no=20250108</w:t>
        </w:r>
      </w:hyperlink>
    </w:p>
    <w:p w14:paraId="2DFC65D3" w14:textId="77777777" w:rsidR="000539CA" w:rsidRDefault="000539CA" w:rsidP="00B1531F">
      <w:pPr>
        <w:pStyle w:val="ds-markdown-paragraph"/>
        <w:shd w:val="clear" w:color="auto" w:fill="FFFFFF"/>
        <w:spacing w:before="240" w:beforeAutospacing="0" w:after="240" w:afterAutospacing="0"/>
      </w:pPr>
      <w:r>
        <w:rPr>
          <w:rFonts w:ascii="Segoe UI" w:hAnsi="Segoe UI" w:cs="Segoe UI"/>
          <w:color w:val="0F1115"/>
        </w:rPr>
        <w:t>Nie, X., Huang, X., Li, M., Lu, Z., &amp; Ling, X. (2024). Advances in soil amendments for remediation of heavy metal-contaminated soils: Mechanisms, impact, and future prospects. </w:t>
      </w:r>
      <w:r>
        <w:rPr>
          <w:rStyle w:val="Emphasis"/>
          <w:rFonts w:ascii="Segoe UI" w:hAnsi="Segoe UI" w:cs="Segoe UI"/>
          <w:color w:val="0F1115"/>
        </w:rPr>
        <w:t>Toxics, 12</w:t>
      </w:r>
      <w:r>
        <w:rPr>
          <w:rFonts w:ascii="Segoe UI" w:hAnsi="Segoe UI" w:cs="Segoe UI"/>
          <w:color w:val="0F1115"/>
        </w:rPr>
        <w:t>(12), 872. </w:t>
      </w:r>
      <w:hyperlink r:id="rId20" w:tgtFrame="_blank" w:history="1">
        <w:r>
          <w:rPr>
            <w:rStyle w:val="Hyperlink"/>
            <w:rFonts w:ascii="Segoe UI" w:hAnsi="Segoe UI" w:cs="Segoe UI"/>
            <w:color w:val="3964FE"/>
            <w:u w:val="none"/>
            <w:bdr w:val="single" w:sz="12" w:space="0" w:color="auto" w:frame="1"/>
          </w:rPr>
          <w:t>https://doi.org/10.3390/toxics12120872</w:t>
        </w:r>
      </w:hyperlink>
    </w:p>
    <w:p w14:paraId="3A5CABCD" w14:textId="77777777" w:rsidR="009C69DE" w:rsidRDefault="009C69DE" w:rsidP="00B1531F">
      <w:pPr>
        <w:pStyle w:val="ds-markdown-paragraph"/>
        <w:shd w:val="clear" w:color="auto" w:fill="FFFFFF"/>
        <w:spacing w:before="240" w:beforeAutospacing="0" w:after="240" w:afterAutospacing="0"/>
      </w:pPr>
    </w:p>
    <w:p w14:paraId="0C4D488E"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r>
        <w:rPr>
          <w:rFonts w:ascii="Segoe UI" w:hAnsi="Segoe UI" w:cs="Segoe UI"/>
          <w:color w:val="0F1115"/>
        </w:rPr>
        <w:t>Nie </w:t>
      </w:r>
      <w:r>
        <w:rPr>
          <w:rStyle w:val="Emphasis"/>
          <w:rFonts w:ascii="Segoe UI" w:hAnsi="Segoe UI" w:cs="Segoe UI"/>
          <w:color w:val="0F1115"/>
        </w:rPr>
        <w:t>et al</w:t>
      </w:r>
      <w:r>
        <w:rPr>
          <w:rFonts w:ascii="Segoe UI" w:hAnsi="Segoe UI" w:cs="Segoe UI"/>
          <w:color w:val="0F1115"/>
        </w:rPr>
        <w:t>., 2024 – Nie, X., Huang, X., Li, M., Lu, Z., &amp; Ling, X. (2024). Advances in soil amendments for remediation of heavy metal-contaminated soils: Mechanisms, impact, and future prospects. </w:t>
      </w:r>
      <w:r>
        <w:rPr>
          <w:rStyle w:val="Emphasis"/>
          <w:rFonts w:ascii="Segoe UI" w:hAnsi="Segoe UI" w:cs="Segoe UI"/>
          <w:color w:val="0F1115"/>
        </w:rPr>
        <w:t>Toxics</w:t>
      </w:r>
      <w:r>
        <w:rPr>
          <w:rFonts w:ascii="Segoe UI" w:hAnsi="Segoe UI" w:cs="Segoe UI"/>
          <w:color w:val="0F1115"/>
        </w:rPr>
        <w:t>, *12*(12), 872.</w:t>
      </w:r>
    </w:p>
    <w:p w14:paraId="5A824831"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p>
    <w:p w14:paraId="0BE5374C"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r>
        <w:rPr>
          <w:rFonts w:ascii="Segoe UI" w:hAnsi="Segoe UI" w:cs="Segoe UI"/>
          <w:color w:val="0F1115"/>
        </w:rPr>
        <w:t>Bian </w:t>
      </w:r>
      <w:r>
        <w:rPr>
          <w:rStyle w:val="Emphasis"/>
          <w:rFonts w:ascii="Segoe UI" w:hAnsi="Segoe UI" w:cs="Segoe UI"/>
          <w:color w:val="0F1115"/>
        </w:rPr>
        <w:t>et al</w:t>
      </w:r>
      <w:r>
        <w:rPr>
          <w:rFonts w:ascii="Segoe UI" w:hAnsi="Segoe UI" w:cs="Segoe UI"/>
          <w:color w:val="0F1115"/>
        </w:rPr>
        <w:t>., 2024 – Bian, J., Peng, N., Zhou, Z., Yang, J., &amp; Wang, X. (2024). A critical review of co-pollution of microplastics and heavy metals in agricultural soil environments. </w:t>
      </w:r>
      <w:r>
        <w:rPr>
          <w:rStyle w:val="Emphasis"/>
          <w:rFonts w:ascii="Segoe UI" w:hAnsi="Segoe UI" w:cs="Segoe UI"/>
          <w:color w:val="0F1115"/>
        </w:rPr>
        <w:t>Ecotoxicology and Environmental Safety, 286</w:t>
      </w:r>
      <w:r>
        <w:rPr>
          <w:rFonts w:ascii="Segoe UI" w:hAnsi="Segoe UI" w:cs="Segoe UI"/>
          <w:color w:val="0F1115"/>
        </w:rPr>
        <w:t>, 117248.</w:t>
      </w:r>
    </w:p>
    <w:p w14:paraId="73870B90"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r>
        <w:rPr>
          <w:rFonts w:ascii="Segoe UI" w:hAnsi="Segoe UI" w:cs="Segoe UI"/>
          <w:color w:val="0F1115"/>
        </w:rPr>
        <w:t>Isong </w:t>
      </w:r>
      <w:r>
        <w:rPr>
          <w:rStyle w:val="Emphasis"/>
          <w:rFonts w:ascii="Segoe UI" w:hAnsi="Segoe UI" w:cs="Segoe UI"/>
          <w:color w:val="0F1115"/>
        </w:rPr>
        <w:t>et al</w:t>
      </w:r>
      <w:r>
        <w:rPr>
          <w:rFonts w:ascii="Segoe UI" w:hAnsi="Segoe UI" w:cs="Segoe UI"/>
          <w:color w:val="0F1115"/>
        </w:rPr>
        <w:t>., 2025 – Eneji, A. E., Otie, V., Isong, A., Aki, E., Akpan, J., Adamu, M., Offiong, R., &amp; An, P. (2025). Delineation of field management zones based on soil properties in the Sudan and Sahel savannas of northern Nigeria. </w:t>
      </w:r>
      <w:r>
        <w:rPr>
          <w:rStyle w:val="Emphasis"/>
          <w:rFonts w:ascii="Segoe UI" w:hAnsi="Segoe UI" w:cs="Segoe UI"/>
          <w:color w:val="0F1115"/>
        </w:rPr>
        <w:t>Journal of Agriculture and Food Research</w:t>
      </w:r>
      <w:r>
        <w:rPr>
          <w:rFonts w:ascii="Segoe UI" w:hAnsi="Segoe UI" w:cs="Segoe UI"/>
          <w:color w:val="0F1115"/>
        </w:rPr>
        <w:t>, *21*, 101812.</w:t>
      </w:r>
    </w:p>
    <w:p w14:paraId="68283AC4"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p>
    <w:p w14:paraId="1ED392EB"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r>
        <w:rPr>
          <w:rFonts w:ascii="Segoe UI" w:hAnsi="Segoe UI" w:cs="Segoe UI"/>
          <w:color w:val="0F1115"/>
        </w:rPr>
        <w:t>Alvarenga </w:t>
      </w:r>
      <w:r>
        <w:rPr>
          <w:rStyle w:val="Emphasis"/>
          <w:rFonts w:ascii="Segoe UI" w:hAnsi="Segoe UI" w:cs="Segoe UI"/>
          <w:color w:val="0F1115"/>
        </w:rPr>
        <w:t>et al</w:t>
      </w:r>
      <w:r>
        <w:rPr>
          <w:rFonts w:ascii="Segoe UI" w:hAnsi="Segoe UI" w:cs="Segoe UI"/>
          <w:color w:val="0F1115"/>
        </w:rPr>
        <w:t>., 2022 – Alvarenga, P., Mourinha, C., Palma, P., Cruz, N., &amp; Rodrigues, S. M. (2022). Assessment of soil physicochemical characteristics and As, Cu, Pb and Zn contamination in non-active mines at the Portuguese sector of the Iberian Pyrite Belt. </w:t>
      </w:r>
      <w:r>
        <w:rPr>
          <w:rStyle w:val="Emphasis"/>
          <w:rFonts w:ascii="Segoe UI" w:hAnsi="Segoe UI" w:cs="Segoe UI"/>
          <w:color w:val="0F1115"/>
        </w:rPr>
        <w:t>Environments</w:t>
      </w:r>
      <w:r>
        <w:rPr>
          <w:rFonts w:ascii="Segoe UI" w:hAnsi="Segoe UI" w:cs="Segoe UI"/>
          <w:color w:val="0F1115"/>
        </w:rPr>
        <w:t>, *9*(8), 105.</w:t>
      </w:r>
    </w:p>
    <w:p w14:paraId="00A9DAFF"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p>
    <w:p w14:paraId="35B801BC"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r>
        <w:rPr>
          <w:rFonts w:ascii="Segoe UI" w:hAnsi="Segoe UI" w:cs="Segoe UI"/>
          <w:color w:val="0F1115"/>
        </w:rPr>
        <w:t>Filintas, 2025 – Filintas, A. (2025). Driplines layout designs comparison of moisture distribution in clayey soils, using soil analysis, calibrated time domain reflectometry sensors, and precision agriculture geostatistical imaging for environmental irrigation engineering. </w:t>
      </w:r>
      <w:r>
        <w:rPr>
          <w:rStyle w:val="Emphasis"/>
          <w:rFonts w:ascii="Segoe UI" w:hAnsi="Segoe UI" w:cs="Segoe UI"/>
          <w:color w:val="0F1115"/>
        </w:rPr>
        <w:t>AgriEngineering</w:t>
      </w:r>
      <w:r>
        <w:rPr>
          <w:rFonts w:ascii="Segoe UI" w:hAnsi="Segoe UI" w:cs="Segoe UI"/>
          <w:color w:val="0F1115"/>
        </w:rPr>
        <w:t>, *7*(7), 229.</w:t>
      </w:r>
    </w:p>
    <w:p w14:paraId="1C9A5636"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p>
    <w:p w14:paraId="6F276442"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r>
        <w:rPr>
          <w:rFonts w:ascii="Segoe UI" w:hAnsi="Segoe UI" w:cs="Segoe UI"/>
          <w:color w:val="0F1115"/>
        </w:rPr>
        <w:t>Azimzadeh </w:t>
      </w:r>
      <w:r>
        <w:rPr>
          <w:rStyle w:val="Emphasis"/>
          <w:rFonts w:ascii="Segoe UI" w:hAnsi="Segoe UI" w:cs="Segoe UI"/>
          <w:color w:val="0F1115"/>
        </w:rPr>
        <w:t>et al</w:t>
      </w:r>
      <w:r>
        <w:rPr>
          <w:rFonts w:ascii="Segoe UI" w:hAnsi="Segoe UI" w:cs="Segoe UI"/>
          <w:color w:val="0F1115"/>
        </w:rPr>
        <w:t>., 2024 – Azimzadeh, B., Nicholson, L. K., &amp; Martínez, C. E. (2024). In the presence of the other: How glyphosate and peptide molecules alter the dynamics of sorption on goethite. </w:t>
      </w:r>
      <w:r>
        <w:rPr>
          <w:rStyle w:val="Emphasis"/>
          <w:rFonts w:ascii="Segoe UI" w:hAnsi="Segoe UI" w:cs="Segoe UI"/>
          <w:color w:val="0F1115"/>
        </w:rPr>
        <w:t>Science of The Total Environment</w:t>
      </w:r>
      <w:r>
        <w:rPr>
          <w:rFonts w:ascii="Segoe UI" w:hAnsi="Segoe UI" w:cs="Segoe UI"/>
          <w:color w:val="0F1115"/>
        </w:rPr>
        <w:t>, *912*, 169264.</w:t>
      </w:r>
    </w:p>
    <w:p w14:paraId="1A13AC51"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p>
    <w:p w14:paraId="553E2572"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r>
        <w:rPr>
          <w:rFonts w:ascii="Segoe UI" w:hAnsi="Segoe UI" w:cs="Segoe UI"/>
          <w:color w:val="0F1115"/>
        </w:rPr>
        <w:t>Swoboda </w:t>
      </w:r>
      <w:r>
        <w:rPr>
          <w:rStyle w:val="Emphasis"/>
          <w:rFonts w:ascii="Segoe UI" w:hAnsi="Segoe UI" w:cs="Segoe UI"/>
          <w:color w:val="0F1115"/>
        </w:rPr>
        <w:t>et al</w:t>
      </w:r>
      <w:r>
        <w:rPr>
          <w:rFonts w:ascii="Segoe UI" w:hAnsi="Segoe UI" w:cs="Segoe UI"/>
          <w:color w:val="0F1115"/>
        </w:rPr>
        <w:t>., 2022 – Swoboda, P., Döring, T. F., &amp; Hamer, M. (2022). Remineralizing soils? The agricultural usage of silicate rock powders: A review. </w:t>
      </w:r>
      <w:r>
        <w:rPr>
          <w:rStyle w:val="Emphasis"/>
          <w:rFonts w:ascii="Segoe UI" w:hAnsi="Segoe UI" w:cs="Segoe UI"/>
          <w:color w:val="0F1115"/>
        </w:rPr>
        <w:t>Science of The Total Environment</w:t>
      </w:r>
      <w:r>
        <w:rPr>
          <w:rFonts w:ascii="Segoe UI" w:hAnsi="Segoe UI" w:cs="Segoe UI"/>
          <w:color w:val="0F1115"/>
        </w:rPr>
        <w:t>, *807*, 150976.</w:t>
      </w:r>
    </w:p>
    <w:p w14:paraId="7A18EF0A"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p>
    <w:p w14:paraId="52BA1632"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r>
        <w:rPr>
          <w:rFonts w:ascii="Segoe UI" w:hAnsi="Segoe UI" w:cs="Segoe UI"/>
          <w:color w:val="0F1115"/>
        </w:rPr>
        <w:t>Wei </w:t>
      </w:r>
      <w:r>
        <w:rPr>
          <w:rStyle w:val="Emphasis"/>
          <w:rFonts w:ascii="Segoe UI" w:hAnsi="Segoe UI" w:cs="Segoe UI"/>
          <w:color w:val="0F1115"/>
        </w:rPr>
        <w:t>et al</w:t>
      </w:r>
      <w:r>
        <w:rPr>
          <w:rFonts w:ascii="Segoe UI" w:hAnsi="Segoe UI" w:cs="Segoe UI"/>
          <w:color w:val="0F1115"/>
        </w:rPr>
        <w:t>., 2020 – Wei, H., Liu, Y., Xiang, H., Zhang, J., Li, S., &amp; Yang, J. (2020). Soil pH Responses to Simulated Acid Rain Leaching in Three Agricultural Soils. In </w:t>
      </w:r>
      <w:r>
        <w:rPr>
          <w:rStyle w:val="Emphasis"/>
          <w:rFonts w:ascii="Segoe UI" w:hAnsi="Segoe UI" w:cs="Segoe UI"/>
          <w:color w:val="0F1115"/>
        </w:rPr>
        <w:t>Sustainability</w:t>
      </w:r>
      <w:r>
        <w:rPr>
          <w:rFonts w:ascii="Segoe UI" w:hAnsi="Segoe UI" w:cs="Segoe UI"/>
          <w:color w:val="0F1115"/>
        </w:rPr>
        <w:t> (Vol. 12, Issue 1, p. 280).</w:t>
      </w:r>
    </w:p>
    <w:p w14:paraId="27F70073"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p>
    <w:p w14:paraId="47F25BB3"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r>
        <w:rPr>
          <w:rFonts w:ascii="Segoe UI" w:hAnsi="Segoe UI" w:cs="Segoe UI"/>
          <w:color w:val="0F1115"/>
        </w:rPr>
        <w:t>Gambo </w:t>
      </w:r>
      <w:r>
        <w:rPr>
          <w:rStyle w:val="Emphasis"/>
          <w:rFonts w:ascii="Segoe UI" w:hAnsi="Segoe UI" w:cs="Segoe UI"/>
          <w:color w:val="0F1115"/>
        </w:rPr>
        <w:t>et al</w:t>
      </w:r>
      <w:r>
        <w:rPr>
          <w:rFonts w:ascii="Segoe UI" w:hAnsi="Segoe UI" w:cs="Segoe UI"/>
          <w:color w:val="0F1115"/>
        </w:rPr>
        <w:t>., 2025 – Gambo, A., Fullen, M. A., &amp; Baldwin, T. C. (2025). Characterization and classification of soils on a toposequence around Dutse Jigawa State, Nigeria. </w:t>
      </w:r>
      <w:r>
        <w:rPr>
          <w:rStyle w:val="Emphasis"/>
          <w:rFonts w:ascii="Segoe UI" w:hAnsi="Segoe UI" w:cs="Segoe UI"/>
          <w:color w:val="0F1115"/>
        </w:rPr>
        <w:t>Discover Soil</w:t>
      </w:r>
      <w:r>
        <w:rPr>
          <w:rFonts w:ascii="Segoe UI" w:hAnsi="Segoe UI" w:cs="Segoe UI"/>
          <w:color w:val="0F1115"/>
        </w:rPr>
        <w:t>, *2*(1), 97.</w:t>
      </w:r>
    </w:p>
    <w:p w14:paraId="2727EB32"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p>
    <w:p w14:paraId="37B4AC35"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r>
        <w:rPr>
          <w:rFonts w:ascii="Segoe UI" w:hAnsi="Segoe UI" w:cs="Segoe UI"/>
          <w:color w:val="0F1115"/>
        </w:rPr>
        <w:t>Awoonor </w:t>
      </w:r>
      <w:r>
        <w:rPr>
          <w:rStyle w:val="Emphasis"/>
          <w:rFonts w:ascii="Segoe UI" w:hAnsi="Segoe UI" w:cs="Segoe UI"/>
          <w:color w:val="0F1115"/>
        </w:rPr>
        <w:t>et al</w:t>
      </w:r>
      <w:r>
        <w:rPr>
          <w:rFonts w:ascii="Segoe UI" w:hAnsi="Segoe UI" w:cs="Segoe UI"/>
          <w:color w:val="0F1115"/>
        </w:rPr>
        <w:t>. (2024) – Awoonor, J. K., Amoako, E. E., Dogbey, B. F., &amp; Wiredu, I. (2024). Quantitative analysis of soil degradation in response to land use change in the Guinea savanna zone of Ghana. </w:t>
      </w:r>
      <w:r>
        <w:rPr>
          <w:rStyle w:val="Emphasis"/>
          <w:rFonts w:ascii="Segoe UI" w:hAnsi="Segoe UI" w:cs="Segoe UI"/>
          <w:color w:val="0F1115"/>
        </w:rPr>
        <w:t>Geoderma Regional</w:t>
      </w:r>
      <w:r>
        <w:rPr>
          <w:rFonts w:ascii="Segoe UI" w:hAnsi="Segoe UI" w:cs="Segoe UI"/>
          <w:color w:val="0F1115"/>
        </w:rPr>
        <w:t>, *37*, e00779.</w:t>
      </w:r>
    </w:p>
    <w:p w14:paraId="7DE5263F"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p>
    <w:p w14:paraId="293F405A"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r>
        <w:rPr>
          <w:rFonts w:ascii="Segoe UI" w:hAnsi="Segoe UI" w:cs="Segoe UI"/>
          <w:color w:val="0F1115"/>
        </w:rPr>
        <w:t>Silva </w:t>
      </w:r>
      <w:r>
        <w:rPr>
          <w:rStyle w:val="Emphasis"/>
          <w:rFonts w:ascii="Segoe UI" w:hAnsi="Segoe UI" w:cs="Segoe UI"/>
          <w:color w:val="0F1115"/>
        </w:rPr>
        <w:t>et al</w:t>
      </w:r>
      <w:r>
        <w:rPr>
          <w:rFonts w:ascii="Segoe UI" w:hAnsi="Segoe UI" w:cs="Segoe UI"/>
          <w:color w:val="0F1115"/>
        </w:rPr>
        <w:t>. (2024) – Silva, L. A., Sano, E. E., Parreiras, T. C., Bolfe, É. L., Espírito-Santo, M. M., Filgueiras, R., Souza, C. M., Silva, C. R., &amp; Leite, M. E. (2024). Climate Change Effects on Land Use and Land Cover Suitability in the Southern Brazilian Semiarid Region. In </w:t>
      </w:r>
      <w:r>
        <w:rPr>
          <w:rStyle w:val="Emphasis"/>
          <w:rFonts w:ascii="Segoe UI" w:hAnsi="Segoe UI" w:cs="Segoe UI"/>
          <w:color w:val="0F1115"/>
        </w:rPr>
        <w:t>Land</w:t>
      </w:r>
      <w:r>
        <w:rPr>
          <w:rFonts w:ascii="Segoe UI" w:hAnsi="Segoe UI" w:cs="Segoe UI"/>
          <w:color w:val="0F1115"/>
        </w:rPr>
        <w:t> (Vol. 13, Issue 12, p. 2008).</w:t>
      </w:r>
    </w:p>
    <w:p w14:paraId="7A948107" w14:textId="77777777" w:rsidR="009C69DE" w:rsidRDefault="009C69DE" w:rsidP="009C69DE">
      <w:pPr>
        <w:pStyle w:val="ds-markdown-paragraph"/>
        <w:shd w:val="clear" w:color="auto" w:fill="FFFFFF"/>
        <w:spacing w:before="0" w:beforeAutospacing="0" w:after="0" w:afterAutospacing="0"/>
        <w:rPr>
          <w:rFonts w:ascii="Segoe UI" w:hAnsi="Segoe UI" w:cs="Segoe UI"/>
          <w:color w:val="0F1115"/>
        </w:rPr>
      </w:pPr>
      <w:r>
        <w:rPr>
          <w:rFonts w:ascii="Segoe UI" w:hAnsi="Segoe UI" w:cs="Segoe UI"/>
          <w:color w:val="0F1115"/>
        </w:rPr>
        <w:t>Wang </w:t>
      </w:r>
      <w:r>
        <w:rPr>
          <w:rStyle w:val="Emphasis"/>
          <w:rFonts w:ascii="Segoe UI" w:hAnsi="Segoe UI" w:cs="Segoe UI"/>
          <w:color w:val="0F1115"/>
        </w:rPr>
        <w:t>et al</w:t>
      </w:r>
      <w:r>
        <w:rPr>
          <w:rFonts w:ascii="Segoe UI" w:hAnsi="Segoe UI" w:cs="Segoe UI"/>
          <w:color w:val="0F1115"/>
        </w:rPr>
        <w:t>. (2025) – Wang, J., Qiu, M., Shen, Z., Chen, L., &amp; Ge, Y. (2025). Microbial modulation of soil pH: A self-benefiting mechanism exemplified by Bacillus. </w:t>
      </w:r>
      <w:r>
        <w:rPr>
          <w:rStyle w:val="Emphasis"/>
          <w:rFonts w:ascii="Segoe UI" w:hAnsi="Segoe UI" w:cs="Segoe UI"/>
          <w:color w:val="0F1115"/>
        </w:rPr>
        <w:t>Soil Biology and Biochemistry</w:t>
      </w:r>
      <w:r>
        <w:rPr>
          <w:rFonts w:ascii="Segoe UI" w:hAnsi="Segoe UI" w:cs="Segoe UI"/>
          <w:color w:val="0F1115"/>
        </w:rPr>
        <w:t>, *210*, 109949.</w:t>
      </w:r>
    </w:p>
    <w:p w14:paraId="2E26DC8F" w14:textId="77777777" w:rsidR="009C69DE" w:rsidRDefault="009C69DE" w:rsidP="009C69DE"/>
    <w:p w14:paraId="446352AE" w14:textId="77777777" w:rsidR="009C69DE" w:rsidRDefault="009C69DE" w:rsidP="00B1531F">
      <w:pPr>
        <w:pStyle w:val="ds-markdown-paragraph"/>
        <w:shd w:val="clear" w:color="auto" w:fill="FFFFFF"/>
        <w:spacing w:before="240" w:beforeAutospacing="0" w:after="240" w:afterAutospacing="0"/>
        <w:rPr>
          <w:rFonts w:ascii="Segoe UI" w:hAnsi="Segoe UI" w:cs="Segoe UI"/>
          <w:color w:val="0F1115"/>
        </w:rPr>
      </w:pPr>
    </w:p>
    <w:p w14:paraId="7FC92138" w14:textId="77777777" w:rsidR="00B1531F" w:rsidRPr="00872186" w:rsidRDefault="00B1531F" w:rsidP="00D14711">
      <w:pPr>
        <w:shd w:val="clear" w:color="auto" w:fill="FFFFFF"/>
        <w:spacing w:after="240" w:line="510" w:lineRule="atLeast"/>
        <w:outlineLvl w:val="0"/>
        <w:rPr>
          <w:rFonts w:ascii="Times New Roman" w:eastAsia="Times New Roman" w:hAnsi="Times New Roman" w:cs="Times New Roman"/>
          <w:b/>
          <w:bCs/>
          <w:color w:val="0F1115"/>
          <w:kern w:val="36"/>
          <w:sz w:val="24"/>
          <w:szCs w:val="24"/>
        </w:rPr>
      </w:pPr>
    </w:p>
    <w:sectPr w:rsidR="00B1531F" w:rsidRPr="0087218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72B3B" w14:textId="77777777" w:rsidR="00BB1D64" w:rsidRDefault="00BB1D64" w:rsidP="000E01CB">
      <w:pPr>
        <w:spacing w:after="0" w:line="240" w:lineRule="auto"/>
      </w:pPr>
      <w:r>
        <w:separator/>
      </w:r>
    </w:p>
  </w:endnote>
  <w:endnote w:type="continuationSeparator" w:id="0">
    <w:p w14:paraId="51DCA566" w14:textId="77777777" w:rsidR="00BB1D64" w:rsidRDefault="00BB1D64" w:rsidP="000E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78F45" w14:textId="77777777" w:rsidR="000E01CB" w:rsidRDefault="000E0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FA0FB" w14:textId="77777777" w:rsidR="000E01CB" w:rsidRDefault="000E0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B8BD" w14:textId="77777777" w:rsidR="000E01CB" w:rsidRDefault="000E0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850EF" w14:textId="77777777" w:rsidR="00BB1D64" w:rsidRDefault="00BB1D64" w:rsidP="000E01CB">
      <w:pPr>
        <w:spacing w:after="0" w:line="240" w:lineRule="auto"/>
      </w:pPr>
      <w:r>
        <w:separator/>
      </w:r>
    </w:p>
  </w:footnote>
  <w:footnote w:type="continuationSeparator" w:id="0">
    <w:p w14:paraId="57F34B44" w14:textId="77777777" w:rsidR="00BB1D64" w:rsidRDefault="00BB1D64" w:rsidP="000E0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DC74" w14:textId="21D8DEDB" w:rsidR="000E01CB" w:rsidRDefault="000E01CB">
    <w:pPr>
      <w:pStyle w:val="Header"/>
    </w:pPr>
    <w:r>
      <w:rPr>
        <w:noProof/>
      </w:rPr>
      <w:pict w14:anchorId="48453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02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C688" w14:textId="35179D75" w:rsidR="000E01CB" w:rsidRDefault="000E01CB">
    <w:pPr>
      <w:pStyle w:val="Header"/>
    </w:pPr>
    <w:r>
      <w:rPr>
        <w:noProof/>
      </w:rPr>
      <w:pict w14:anchorId="1BCA2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02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DB426" w14:textId="14E8F836" w:rsidR="000E01CB" w:rsidRDefault="000E01CB">
    <w:pPr>
      <w:pStyle w:val="Header"/>
    </w:pPr>
    <w:r>
      <w:rPr>
        <w:noProof/>
      </w:rPr>
      <w:pict w14:anchorId="71D86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02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B5387"/>
    <w:multiLevelType w:val="multilevel"/>
    <w:tmpl w:val="3FD6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F74E6"/>
    <w:multiLevelType w:val="multilevel"/>
    <w:tmpl w:val="DA30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A53F0"/>
    <w:multiLevelType w:val="multilevel"/>
    <w:tmpl w:val="E212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5279B"/>
    <w:multiLevelType w:val="multilevel"/>
    <w:tmpl w:val="45F2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57E64"/>
    <w:multiLevelType w:val="multilevel"/>
    <w:tmpl w:val="24A2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033CA"/>
    <w:multiLevelType w:val="multilevel"/>
    <w:tmpl w:val="24B6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A61AF"/>
    <w:multiLevelType w:val="multilevel"/>
    <w:tmpl w:val="6F0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649"/>
    <w:rsid w:val="000038D7"/>
    <w:rsid w:val="00005107"/>
    <w:rsid w:val="000143A6"/>
    <w:rsid w:val="00016CC6"/>
    <w:rsid w:val="0001783C"/>
    <w:rsid w:val="000250CE"/>
    <w:rsid w:val="000539CA"/>
    <w:rsid w:val="00064AF4"/>
    <w:rsid w:val="00071F82"/>
    <w:rsid w:val="000A0A97"/>
    <w:rsid w:val="000A4B18"/>
    <w:rsid w:val="000E01CB"/>
    <w:rsid w:val="000F06C3"/>
    <w:rsid w:val="00113293"/>
    <w:rsid w:val="00131656"/>
    <w:rsid w:val="001341FE"/>
    <w:rsid w:val="00134FFA"/>
    <w:rsid w:val="00157B57"/>
    <w:rsid w:val="00186131"/>
    <w:rsid w:val="001C4400"/>
    <w:rsid w:val="001D7A2C"/>
    <w:rsid w:val="001E1C6D"/>
    <w:rsid w:val="001F42B9"/>
    <w:rsid w:val="002068FC"/>
    <w:rsid w:val="002120B7"/>
    <w:rsid w:val="00226C2B"/>
    <w:rsid w:val="002375FF"/>
    <w:rsid w:val="002679D5"/>
    <w:rsid w:val="002A6A4C"/>
    <w:rsid w:val="00341F1B"/>
    <w:rsid w:val="00351DA8"/>
    <w:rsid w:val="00353FAE"/>
    <w:rsid w:val="00354649"/>
    <w:rsid w:val="003733B0"/>
    <w:rsid w:val="00394D46"/>
    <w:rsid w:val="003A3F77"/>
    <w:rsid w:val="003A4BFD"/>
    <w:rsid w:val="003B5A4D"/>
    <w:rsid w:val="003D5AE7"/>
    <w:rsid w:val="003D61C4"/>
    <w:rsid w:val="003F374F"/>
    <w:rsid w:val="004026A0"/>
    <w:rsid w:val="004119C7"/>
    <w:rsid w:val="00436415"/>
    <w:rsid w:val="004411FF"/>
    <w:rsid w:val="00444D7A"/>
    <w:rsid w:val="00447DE2"/>
    <w:rsid w:val="00467A63"/>
    <w:rsid w:val="004A3AFD"/>
    <w:rsid w:val="004E49AC"/>
    <w:rsid w:val="004F3ED3"/>
    <w:rsid w:val="00502BCD"/>
    <w:rsid w:val="00504949"/>
    <w:rsid w:val="005278B5"/>
    <w:rsid w:val="00532E37"/>
    <w:rsid w:val="0057449D"/>
    <w:rsid w:val="00581BC0"/>
    <w:rsid w:val="005A654A"/>
    <w:rsid w:val="005A7160"/>
    <w:rsid w:val="005B6B82"/>
    <w:rsid w:val="005D4F5F"/>
    <w:rsid w:val="005E13C3"/>
    <w:rsid w:val="0061441C"/>
    <w:rsid w:val="006155DE"/>
    <w:rsid w:val="0062347D"/>
    <w:rsid w:val="00650D70"/>
    <w:rsid w:val="0069228F"/>
    <w:rsid w:val="006967E5"/>
    <w:rsid w:val="006A5835"/>
    <w:rsid w:val="006A6C1A"/>
    <w:rsid w:val="006D7932"/>
    <w:rsid w:val="006F6733"/>
    <w:rsid w:val="00737979"/>
    <w:rsid w:val="0074022A"/>
    <w:rsid w:val="0074738C"/>
    <w:rsid w:val="0077011E"/>
    <w:rsid w:val="00784E98"/>
    <w:rsid w:val="00787366"/>
    <w:rsid w:val="007A5419"/>
    <w:rsid w:val="007B24D5"/>
    <w:rsid w:val="007B3727"/>
    <w:rsid w:val="007F2CED"/>
    <w:rsid w:val="00815308"/>
    <w:rsid w:val="008176A2"/>
    <w:rsid w:val="008320FB"/>
    <w:rsid w:val="0083589A"/>
    <w:rsid w:val="008561B7"/>
    <w:rsid w:val="008572B2"/>
    <w:rsid w:val="00872186"/>
    <w:rsid w:val="00877697"/>
    <w:rsid w:val="008A1D80"/>
    <w:rsid w:val="008D0415"/>
    <w:rsid w:val="008E32AD"/>
    <w:rsid w:val="008F7204"/>
    <w:rsid w:val="00913CAE"/>
    <w:rsid w:val="00935496"/>
    <w:rsid w:val="00954E73"/>
    <w:rsid w:val="00957FA5"/>
    <w:rsid w:val="00964CE5"/>
    <w:rsid w:val="0099750C"/>
    <w:rsid w:val="009A55C3"/>
    <w:rsid w:val="009C69DE"/>
    <w:rsid w:val="009C7109"/>
    <w:rsid w:val="009C7D0D"/>
    <w:rsid w:val="009E645D"/>
    <w:rsid w:val="00A15461"/>
    <w:rsid w:val="00A27A89"/>
    <w:rsid w:val="00A77B52"/>
    <w:rsid w:val="00A854A5"/>
    <w:rsid w:val="00A866B9"/>
    <w:rsid w:val="00A976CF"/>
    <w:rsid w:val="00AA22C9"/>
    <w:rsid w:val="00AF3D6E"/>
    <w:rsid w:val="00B1531F"/>
    <w:rsid w:val="00B171F1"/>
    <w:rsid w:val="00B34938"/>
    <w:rsid w:val="00B46385"/>
    <w:rsid w:val="00B7493C"/>
    <w:rsid w:val="00B83752"/>
    <w:rsid w:val="00BA41C6"/>
    <w:rsid w:val="00BB1D64"/>
    <w:rsid w:val="00BB232B"/>
    <w:rsid w:val="00BB5DD9"/>
    <w:rsid w:val="00BB6D1F"/>
    <w:rsid w:val="00BF0097"/>
    <w:rsid w:val="00BF5069"/>
    <w:rsid w:val="00C01474"/>
    <w:rsid w:val="00C23351"/>
    <w:rsid w:val="00C8162F"/>
    <w:rsid w:val="00C925A9"/>
    <w:rsid w:val="00C93990"/>
    <w:rsid w:val="00C97824"/>
    <w:rsid w:val="00CA59A1"/>
    <w:rsid w:val="00CF085B"/>
    <w:rsid w:val="00D02D86"/>
    <w:rsid w:val="00D14711"/>
    <w:rsid w:val="00D21731"/>
    <w:rsid w:val="00D23687"/>
    <w:rsid w:val="00D26470"/>
    <w:rsid w:val="00DB5655"/>
    <w:rsid w:val="00DF19F3"/>
    <w:rsid w:val="00E75E76"/>
    <w:rsid w:val="00E81883"/>
    <w:rsid w:val="00E974AE"/>
    <w:rsid w:val="00EA1EF3"/>
    <w:rsid w:val="00EB2AB1"/>
    <w:rsid w:val="00F02A9C"/>
    <w:rsid w:val="00F13DAF"/>
    <w:rsid w:val="00F7323F"/>
    <w:rsid w:val="00F94BE3"/>
    <w:rsid w:val="00FA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EE732"/>
  <w15:docId w15:val="{0F60EC56-9913-4D66-B610-23DAC107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64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5464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5464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5464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5464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54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64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5464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5464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5464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5464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54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649"/>
    <w:rPr>
      <w:rFonts w:eastAsiaTheme="majorEastAsia" w:cstheme="majorBidi"/>
      <w:color w:val="272727" w:themeColor="text1" w:themeTint="D8"/>
    </w:rPr>
  </w:style>
  <w:style w:type="paragraph" w:styleId="Title">
    <w:name w:val="Title"/>
    <w:basedOn w:val="Normal"/>
    <w:next w:val="Normal"/>
    <w:link w:val="TitleChar"/>
    <w:uiPriority w:val="10"/>
    <w:qFormat/>
    <w:rsid w:val="00354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6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6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4649"/>
    <w:rPr>
      <w:i/>
      <w:iCs/>
      <w:color w:val="404040" w:themeColor="text1" w:themeTint="BF"/>
    </w:rPr>
  </w:style>
  <w:style w:type="paragraph" w:styleId="ListParagraph">
    <w:name w:val="List Paragraph"/>
    <w:basedOn w:val="Normal"/>
    <w:uiPriority w:val="34"/>
    <w:qFormat/>
    <w:rsid w:val="00354649"/>
    <w:pPr>
      <w:ind w:left="720"/>
      <w:contextualSpacing/>
    </w:pPr>
  </w:style>
  <w:style w:type="character" w:styleId="IntenseEmphasis">
    <w:name w:val="Intense Emphasis"/>
    <w:basedOn w:val="DefaultParagraphFont"/>
    <w:uiPriority w:val="21"/>
    <w:qFormat/>
    <w:rsid w:val="00354649"/>
    <w:rPr>
      <w:i/>
      <w:iCs/>
      <w:color w:val="365F91" w:themeColor="accent1" w:themeShade="BF"/>
    </w:rPr>
  </w:style>
  <w:style w:type="paragraph" w:styleId="IntenseQuote">
    <w:name w:val="Intense Quote"/>
    <w:basedOn w:val="Normal"/>
    <w:next w:val="Normal"/>
    <w:link w:val="IntenseQuoteChar"/>
    <w:uiPriority w:val="30"/>
    <w:qFormat/>
    <w:rsid w:val="003546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54649"/>
    <w:rPr>
      <w:i/>
      <w:iCs/>
      <w:color w:val="365F91" w:themeColor="accent1" w:themeShade="BF"/>
    </w:rPr>
  </w:style>
  <w:style w:type="character" w:styleId="IntenseReference">
    <w:name w:val="Intense Reference"/>
    <w:basedOn w:val="DefaultParagraphFont"/>
    <w:uiPriority w:val="32"/>
    <w:qFormat/>
    <w:rsid w:val="00354649"/>
    <w:rPr>
      <w:b/>
      <w:bCs/>
      <w:smallCaps/>
      <w:color w:val="365F91" w:themeColor="accent1" w:themeShade="BF"/>
      <w:spacing w:val="5"/>
    </w:rPr>
  </w:style>
  <w:style w:type="paragraph" w:customStyle="1" w:styleId="ds-markdown-paragraph">
    <w:name w:val="ds-markdown-paragraph"/>
    <w:basedOn w:val="Normal"/>
    <w:rsid w:val="00A866B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21">
    <w:name w:val="Plain Table 21"/>
    <w:basedOn w:val="TableNormal"/>
    <w:uiPriority w:val="42"/>
    <w:rsid w:val="009C7109"/>
    <w:pPr>
      <w:spacing w:after="0" w:line="240" w:lineRule="auto"/>
    </w:pPr>
    <w:rPr>
      <w:rFonts w:ascii="Calibri" w:eastAsia="Calibri" w:hAnsi="Calibri" w:cs="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B1531F"/>
    <w:rPr>
      <w:i/>
      <w:iCs/>
    </w:rPr>
  </w:style>
  <w:style w:type="character" w:styleId="Hyperlink">
    <w:name w:val="Hyperlink"/>
    <w:basedOn w:val="DefaultParagraphFont"/>
    <w:uiPriority w:val="99"/>
    <w:unhideWhenUsed/>
    <w:rsid w:val="00B1531F"/>
    <w:rPr>
      <w:color w:val="0000FF"/>
      <w:u w:val="single"/>
    </w:rPr>
  </w:style>
  <w:style w:type="character" w:styleId="CommentReference">
    <w:name w:val="annotation reference"/>
    <w:basedOn w:val="DefaultParagraphFont"/>
    <w:uiPriority w:val="99"/>
    <w:semiHidden/>
    <w:unhideWhenUsed/>
    <w:rsid w:val="004026A0"/>
    <w:rPr>
      <w:sz w:val="16"/>
      <w:szCs w:val="16"/>
    </w:rPr>
  </w:style>
  <w:style w:type="paragraph" w:styleId="CommentText">
    <w:name w:val="annotation text"/>
    <w:basedOn w:val="Normal"/>
    <w:link w:val="CommentTextChar"/>
    <w:uiPriority w:val="99"/>
    <w:unhideWhenUsed/>
    <w:rsid w:val="004026A0"/>
    <w:pPr>
      <w:spacing w:line="240" w:lineRule="auto"/>
    </w:pPr>
    <w:rPr>
      <w:sz w:val="20"/>
      <w:szCs w:val="20"/>
    </w:rPr>
  </w:style>
  <w:style w:type="character" w:customStyle="1" w:styleId="CommentTextChar">
    <w:name w:val="Comment Text Char"/>
    <w:basedOn w:val="DefaultParagraphFont"/>
    <w:link w:val="CommentText"/>
    <w:uiPriority w:val="99"/>
    <w:rsid w:val="004026A0"/>
    <w:rPr>
      <w:sz w:val="20"/>
      <w:szCs w:val="20"/>
    </w:rPr>
  </w:style>
  <w:style w:type="paragraph" w:styleId="CommentSubject">
    <w:name w:val="annotation subject"/>
    <w:basedOn w:val="CommentText"/>
    <w:next w:val="CommentText"/>
    <w:link w:val="CommentSubjectChar"/>
    <w:uiPriority w:val="99"/>
    <w:semiHidden/>
    <w:unhideWhenUsed/>
    <w:rsid w:val="004026A0"/>
    <w:rPr>
      <w:b/>
      <w:bCs/>
    </w:rPr>
  </w:style>
  <w:style w:type="character" w:customStyle="1" w:styleId="CommentSubjectChar">
    <w:name w:val="Comment Subject Char"/>
    <w:basedOn w:val="CommentTextChar"/>
    <w:link w:val="CommentSubject"/>
    <w:uiPriority w:val="99"/>
    <w:semiHidden/>
    <w:rsid w:val="004026A0"/>
    <w:rPr>
      <w:b/>
      <w:bCs/>
      <w:sz w:val="20"/>
      <w:szCs w:val="20"/>
    </w:rPr>
  </w:style>
  <w:style w:type="paragraph" w:styleId="BalloonText">
    <w:name w:val="Balloon Text"/>
    <w:basedOn w:val="Normal"/>
    <w:link w:val="BalloonTextChar"/>
    <w:uiPriority w:val="99"/>
    <w:semiHidden/>
    <w:unhideWhenUsed/>
    <w:rsid w:val="003A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F77"/>
    <w:rPr>
      <w:rFonts w:ascii="Tahoma" w:hAnsi="Tahoma" w:cs="Tahoma"/>
      <w:sz w:val="16"/>
      <w:szCs w:val="16"/>
    </w:rPr>
  </w:style>
  <w:style w:type="table" w:styleId="PlainTable2">
    <w:name w:val="Plain Table 2"/>
    <w:basedOn w:val="TableNormal"/>
    <w:uiPriority w:val="42"/>
    <w:rsid w:val="00877697"/>
    <w:pPr>
      <w:spacing w:after="0" w:line="240" w:lineRule="auto"/>
    </w:pPr>
    <w:rPr>
      <w:rFonts w:ascii="Calibri" w:eastAsia="Calibri" w:hAnsi="Calibri" w:cs="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semiHidden/>
    <w:unhideWhenUsed/>
    <w:rsid w:val="004E49AC"/>
    <w:pPr>
      <w:spacing w:after="0" w:line="240" w:lineRule="auto"/>
    </w:pPr>
    <w:rPr>
      <w:rFonts w:ascii="Calibri" w:eastAsia="Calibri" w:hAnsi="Calibri" w:cs="Times New Roman"/>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064AF4"/>
    <w:rPr>
      <w:color w:val="605E5C"/>
      <w:shd w:val="clear" w:color="auto" w:fill="E1DFDD"/>
    </w:rPr>
  </w:style>
  <w:style w:type="paragraph" w:styleId="Header">
    <w:name w:val="header"/>
    <w:basedOn w:val="Normal"/>
    <w:link w:val="HeaderChar"/>
    <w:uiPriority w:val="99"/>
    <w:unhideWhenUsed/>
    <w:rsid w:val="000E0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1CB"/>
  </w:style>
  <w:style w:type="paragraph" w:styleId="Footer">
    <w:name w:val="footer"/>
    <w:basedOn w:val="Normal"/>
    <w:link w:val="FooterChar"/>
    <w:uiPriority w:val="99"/>
    <w:unhideWhenUsed/>
    <w:rsid w:val="000E0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hart" Target="charts/chart4.xml"/><Relationship Id="rId18" Type="http://schemas.openxmlformats.org/officeDocument/2006/relationships/hyperlink" Target="https://ouci.dntb.gov.ua/en/works/9jKvVmo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yperlink" Target="https://www.mdpi.com/2073-445X/14/7/1366"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ecoenv.2024.117248" TargetMode="External"/><Relationship Id="rId20" Type="http://schemas.openxmlformats.org/officeDocument/2006/relationships/hyperlink" Target="https://doi.org/10.3390/toxics121208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jol.info/index.php/dujopas/article/view/28126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pedosphere.issas.ac.cn/trqen/ch/reader/view_abstract.aspx?file_no=20250108"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hart" Target="charts/chart5.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US" sz="1100" b="1">
                <a:latin typeface="Times New Roman" panose="02020603050405020304" pitchFamily="18" charset="0"/>
                <a:cs typeface="Times New Roman" panose="02020603050405020304" pitchFamily="18" charset="0"/>
              </a:rPr>
              <a:t>Figure 1: </a:t>
            </a:r>
            <a:r>
              <a:rPr lang="en-US" sz="1100" b="0">
                <a:latin typeface="Times New Roman" panose="02020603050405020304" pitchFamily="18" charset="0"/>
                <a:cs typeface="Times New Roman" panose="02020603050405020304" pitchFamily="18" charset="0"/>
              </a:rPr>
              <a:t>Mean Spatial Variations in Soil Texture Across Sampling Locations </a:t>
            </a:r>
          </a:p>
        </c:rich>
      </c:tx>
      <c:layout>
        <c:manualLayout>
          <c:xMode val="edge"/>
          <c:yMode val="edge"/>
          <c:x val="0.15611814345991559"/>
          <c:y val="0.85992395604637473"/>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8.3850279584617229E-2"/>
          <c:y val="2.8252405949256338E-2"/>
          <c:w val="0.91614972041538323"/>
          <c:h val="0.69754392850426372"/>
        </c:manualLayout>
      </c:layout>
      <c:bar3DChart>
        <c:barDir val="col"/>
        <c:grouping val="clustered"/>
        <c:varyColors val="0"/>
        <c:ser>
          <c:idx val="0"/>
          <c:order val="0"/>
          <c:tx>
            <c:strRef>
              <c:f>Sheet1!$B$18</c:f>
              <c:strCache>
                <c:ptCount val="1"/>
                <c:pt idx="0">
                  <c:v>Sand</c:v>
                </c:pt>
              </c:strCache>
            </c:strRef>
          </c:tx>
          <c:invertIfNegative val="0"/>
          <c:cat>
            <c:strRef>
              <c:f>Sheet1!$C$17:$E$17</c:f>
              <c:strCache>
                <c:ptCount val="3"/>
                <c:pt idx="0">
                  <c:v>NW</c:v>
                </c:pt>
                <c:pt idx="1">
                  <c:v>NN</c:v>
                </c:pt>
                <c:pt idx="2">
                  <c:v>NS</c:v>
                </c:pt>
              </c:strCache>
            </c:strRef>
          </c:cat>
          <c:val>
            <c:numRef>
              <c:f>Sheet1!$C$18:$E$18</c:f>
              <c:numCache>
                <c:formatCode>General</c:formatCode>
                <c:ptCount val="3"/>
                <c:pt idx="0">
                  <c:v>87.4</c:v>
                </c:pt>
                <c:pt idx="1">
                  <c:v>86.4</c:v>
                </c:pt>
                <c:pt idx="2">
                  <c:v>84.8</c:v>
                </c:pt>
              </c:numCache>
            </c:numRef>
          </c:val>
          <c:extLst>
            <c:ext xmlns:c16="http://schemas.microsoft.com/office/drawing/2014/chart" uri="{C3380CC4-5D6E-409C-BE32-E72D297353CC}">
              <c16:uniqueId val="{00000000-3A9A-43FE-A63E-BB55ECA513DD}"/>
            </c:ext>
          </c:extLst>
        </c:ser>
        <c:ser>
          <c:idx val="1"/>
          <c:order val="1"/>
          <c:tx>
            <c:strRef>
              <c:f>Sheet1!$B$19</c:f>
              <c:strCache>
                <c:ptCount val="1"/>
                <c:pt idx="0">
                  <c:v>Silt</c:v>
                </c:pt>
              </c:strCache>
            </c:strRef>
          </c:tx>
          <c:invertIfNegative val="0"/>
          <c:cat>
            <c:strRef>
              <c:f>Sheet1!$C$17:$E$17</c:f>
              <c:strCache>
                <c:ptCount val="3"/>
                <c:pt idx="0">
                  <c:v>NW</c:v>
                </c:pt>
                <c:pt idx="1">
                  <c:v>NN</c:v>
                </c:pt>
                <c:pt idx="2">
                  <c:v>NS</c:v>
                </c:pt>
              </c:strCache>
            </c:strRef>
          </c:cat>
          <c:val>
            <c:numRef>
              <c:f>Sheet1!$C$19:$E$19</c:f>
              <c:numCache>
                <c:formatCode>General</c:formatCode>
                <c:ptCount val="3"/>
                <c:pt idx="0">
                  <c:v>5.58</c:v>
                </c:pt>
                <c:pt idx="1">
                  <c:v>5.76</c:v>
                </c:pt>
                <c:pt idx="2">
                  <c:v>5.4</c:v>
                </c:pt>
              </c:numCache>
            </c:numRef>
          </c:val>
          <c:extLst>
            <c:ext xmlns:c16="http://schemas.microsoft.com/office/drawing/2014/chart" uri="{C3380CC4-5D6E-409C-BE32-E72D297353CC}">
              <c16:uniqueId val="{00000001-3A9A-43FE-A63E-BB55ECA513DD}"/>
            </c:ext>
          </c:extLst>
        </c:ser>
        <c:ser>
          <c:idx val="2"/>
          <c:order val="2"/>
          <c:tx>
            <c:strRef>
              <c:f>Sheet1!$B$20</c:f>
              <c:strCache>
                <c:ptCount val="1"/>
                <c:pt idx="0">
                  <c:v>Clay</c:v>
                </c:pt>
              </c:strCache>
            </c:strRef>
          </c:tx>
          <c:invertIfNegative val="0"/>
          <c:cat>
            <c:strRef>
              <c:f>Sheet1!$C$17:$E$17</c:f>
              <c:strCache>
                <c:ptCount val="3"/>
                <c:pt idx="0">
                  <c:v>NW</c:v>
                </c:pt>
                <c:pt idx="1">
                  <c:v>NN</c:v>
                </c:pt>
                <c:pt idx="2">
                  <c:v>NS</c:v>
                </c:pt>
              </c:strCache>
            </c:strRef>
          </c:cat>
          <c:val>
            <c:numRef>
              <c:f>Sheet1!$C$20:$E$20</c:f>
              <c:numCache>
                <c:formatCode>General</c:formatCode>
                <c:ptCount val="3"/>
                <c:pt idx="0">
                  <c:v>8.6199999999999992</c:v>
                </c:pt>
                <c:pt idx="1">
                  <c:v>9.02</c:v>
                </c:pt>
                <c:pt idx="2">
                  <c:v>10.6</c:v>
                </c:pt>
              </c:numCache>
            </c:numRef>
          </c:val>
          <c:extLst>
            <c:ext xmlns:c16="http://schemas.microsoft.com/office/drawing/2014/chart" uri="{C3380CC4-5D6E-409C-BE32-E72D297353CC}">
              <c16:uniqueId val="{00000002-3A9A-43FE-A63E-BB55ECA513DD}"/>
            </c:ext>
          </c:extLst>
        </c:ser>
        <c:dLbls>
          <c:showLegendKey val="0"/>
          <c:showVal val="0"/>
          <c:showCatName val="0"/>
          <c:showSerName val="0"/>
          <c:showPercent val="0"/>
          <c:showBubbleSize val="0"/>
        </c:dLbls>
        <c:gapWidth val="150"/>
        <c:shape val="cylinder"/>
        <c:axId val="156702208"/>
        <c:axId val="156704128"/>
        <c:axId val="0"/>
      </c:bar3DChart>
      <c:catAx>
        <c:axId val="156702208"/>
        <c:scaling>
          <c:orientation val="minMax"/>
        </c:scaling>
        <c:delete val="0"/>
        <c:axPos val="b"/>
        <c:title>
          <c:tx>
            <c:rich>
              <a:bodyPr/>
              <a:lstStyle/>
              <a:p>
                <a:pPr>
                  <a:defRPr/>
                </a:pPr>
                <a:r>
                  <a:rPr lang="en-US"/>
                  <a:t>Sampling locations</a:t>
                </a:r>
              </a:p>
            </c:rich>
          </c:tx>
          <c:overlay val="0"/>
        </c:title>
        <c:numFmt formatCode="General" sourceLinked="0"/>
        <c:majorTickMark val="out"/>
        <c:minorTickMark val="none"/>
        <c:tickLblPos val="nextTo"/>
        <c:crossAx val="156704128"/>
        <c:crosses val="autoZero"/>
        <c:auto val="1"/>
        <c:lblAlgn val="ctr"/>
        <c:lblOffset val="100"/>
        <c:noMultiLvlLbl val="0"/>
      </c:catAx>
      <c:valAx>
        <c:axId val="156704128"/>
        <c:scaling>
          <c:orientation val="minMax"/>
        </c:scaling>
        <c:delete val="0"/>
        <c:axPos val="l"/>
        <c:title>
          <c:tx>
            <c:rich>
              <a:bodyPr rot="-5400000" vert="horz"/>
              <a:lstStyle/>
              <a:p>
                <a:pPr>
                  <a:defRPr/>
                </a:pPr>
                <a:r>
                  <a:rPr lang="en-US"/>
                  <a:t>Sand, Silt &amp; Clay (%)</a:t>
                </a:r>
              </a:p>
            </c:rich>
          </c:tx>
          <c:overlay val="0"/>
        </c:title>
        <c:numFmt formatCode="General" sourceLinked="1"/>
        <c:majorTickMark val="out"/>
        <c:minorTickMark val="none"/>
        <c:tickLblPos val="nextTo"/>
        <c:crossAx val="156702208"/>
        <c:crosses val="autoZero"/>
        <c:crossBetween val="between"/>
      </c:valAx>
    </c:plotArea>
    <c:legend>
      <c:legendPos val="r"/>
      <c:layout>
        <c:manualLayout>
          <c:xMode val="edge"/>
          <c:yMode val="edge"/>
          <c:x val="0.68644585187721097"/>
          <c:y val="3.2316988413831457E-3"/>
          <c:w val="0.25522090988626456"/>
          <c:h val="9.3744167395742414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7.0421206574270451E-2"/>
          <c:y val="2.6785221078134493E-2"/>
          <c:w val="0.92957879342572969"/>
          <c:h val="0.69214746618211287"/>
        </c:manualLayout>
      </c:layout>
      <c:bar3DChart>
        <c:barDir val="col"/>
        <c:grouping val="clustered"/>
        <c:varyColors val="0"/>
        <c:ser>
          <c:idx val="0"/>
          <c:order val="0"/>
          <c:tx>
            <c:strRef>
              <c:f>Sheet1!$C$2</c:f>
              <c:strCache>
                <c:ptCount val="1"/>
                <c:pt idx="0">
                  <c:v>NW</c:v>
                </c:pt>
              </c:strCache>
            </c:strRef>
          </c:tx>
          <c:invertIfNegative val="0"/>
          <c:cat>
            <c:strRef>
              <c:f>Sheet1!$B$3:$B$7</c:f>
              <c:strCache>
                <c:ptCount val="5"/>
                <c:pt idx="0">
                  <c:v>pH</c:v>
                </c:pt>
                <c:pt idx="1">
                  <c:v>EC</c:v>
                </c:pt>
                <c:pt idx="2">
                  <c:v>OC</c:v>
                </c:pt>
                <c:pt idx="3">
                  <c:v>OM</c:v>
                </c:pt>
                <c:pt idx="4">
                  <c:v>MC</c:v>
                </c:pt>
              </c:strCache>
            </c:strRef>
          </c:cat>
          <c:val>
            <c:numRef>
              <c:f>Sheet1!$C$3:$C$7</c:f>
              <c:numCache>
                <c:formatCode>General</c:formatCode>
                <c:ptCount val="5"/>
                <c:pt idx="0">
                  <c:v>6.88</c:v>
                </c:pt>
                <c:pt idx="1">
                  <c:v>1.1080000000000001</c:v>
                </c:pt>
                <c:pt idx="2">
                  <c:v>1.748</c:v>
                </c:pt>
                <c:pt idx="3">
                  <c:v>3.0139999999999998</c:v>
                </c:pt>
                <c:pt idx="4">
                  <c:v>4.74</c:v>
                </c:pt>
              </c:numCache>
            </c:numRef>
          </c:val>
          <c:extLst>
            <c:ext xmlns:c16="http://schemas.microsoft.com/office/drawing/2014/chart" uri="{C3380CC4-5D6E-409C-BE32-E72D297353CC}">
              <c16:uniqueId val="{00000000-104A-46F3-8749-50224C55C2DB}"/>
            </c:ext>
          </c:extLst>
        </c:ser>
        <c:ser>
          <c:idx val="1"/>
          <c:order val="1"/>
          <c:tx>
            <c:strRef>
              <c:f>Sheet1!$D$2</c:f>
              <c:strCache>
                <c:ptCount val="1"/>
                <c:pt idx="0">
                  <c:v>NN</c:v>
                </c:pt>
              </c:strCache>
            </c:strRef>
          </c:tx>
          <c:invertIfNegative val="0"/>
          <c:cat>
            <c:strRef>
              <c:f>Sheet1!$B$3:$B$7</c:f>
              <c:strCache>
                <c:ptCount val="5"/>
                <c:pt idx="0">
                  <c:v>pH</c:v>
                </c:pt>
                <c:pt idx="1">
                  <c:v>EC</c:v>
                </c:pt>
                <c:pt idx="2">
                  <c:v>OC</c:v>
                </c:pt>
                <c:pt idx="3">
                  <c:v>OM</c:v>
                </c:pt>
                <c:pt idx="4">
                  <c:v>MC</c:v>
                </c:pt>
              </c:strCache>
            </c:strRef>
          </c:cat>
          <c:val>
            <c:numRef>
              <c:f>Sheet1!$D$3:$D$7</c:f>
              <c:numCache>
                <c:formatCode>General</c:formatCode>
                <c:ptCount val="5"/>
                <c:pt idx="0">
                  <c:v>6.88</c:v>
                </c:pt>
                <c:pt idx="1">
                  <c:v>1.1659999999999999</c:v>
                </c:pt>
                <c:pt idx="2">
                  <c:v>1.752</c:v>
                </c:pt>
                <c:pt idx="3">
                  <c:v>3.0179999999999998</c:v>
                </c:pt>
                <c:pt idx="4">
                  <c:v>4.7619999999999996</c:v>
                </c:pt>
              </c:numCache>
            </c:numRef>
          </c:val>
          <c:extLst>
            <c:ext xmlns:c16="http://schemas.microsoft.com/office/drawing/2014/chart" uri="{C3380CC4-5D6E-409C-BE32-E72D297353CC}">
              <c16:uniqueId val="{00000001-104A-46F3-8749-50224C55C2DB}"/>
            </c:ext>
          </c:extLst>
        </c:ser>
        <c:ser>
          <c:idx val="2"/>
          <c:order val="2"/>
          <c:tx>
            <c:strRef>
              <c:f>Sheet1!$E$2</c:f>
              <c:strCache>
                <c:ptCount val="1"/>
                <c:pt idx="0">
                  <c:v>NS</c:v>
                </c:pt>
              </c:strCache>
            </c:strRef>
          </c:tx>
          <c:invertIfNegative val="0"/>
          <c:cat>
            <c:strRef>
              <c:f>Sheet1!$B$3:$B$7</c:f>
              <c:strCache>
                <c:ptCount val="5"/>
                <c:pt idx="0">
                  <c:v>pH</c:v>
                </c:pt>
                <c:pt idx="1">
                  <c:v>EC</c:v>
                </c:pt>
                <c:pt idx="2">
                  <c:v>OC</c:v>
                </c:pt>
                <c:pt idx="3">
                  <c:v>OM</c:v>
                </c:pt>
                <c:pt idx="4">
                  <c:v>MC</c:v>
                </c:pt>
              </c:strCache>
            </c:strRef>
          </c:cat>
          <c:val>
            <c:numRef>
              <c:f>Sheet1!$E$3:$E$7</c:f>
              <c:numCache>
                <c:formatCode>General</c:formatCode>
                <c:ptCount val="5"/>
                <c:pt idx="0">
                  <c:v>6.82</c:v>
                </c:pt>
                <c:pt idx="1">
                  <c:v>1.1200000000000001</c:v>
                </c:pt>
                <c:pt idx="2">
                  <c:v>1.804</c:v>
                </c:pt>
                <c:pt idx="3">
                  <c:v>3.1080000000000001</c:v>
                </c:pt>
                <c:pt idx="4">
                  <c:v>4.5780000000000003</c:v>
                </c:pt>
              </c:numCache>
            </c:numRef>
          </c:val>
          <c:extLst>
            <c:ext xmlns:c16="http://schemas.microsoft.com/office/drawing/2014/chart" uri="{C3380CC4-5D6E-409C-BE32-E72D297353CC}">
              <c16:uniqueId val="{00000002-104A-46F3-8749-50224C55C2DB}"/>
            </c:ext>
          </c:extLst>
        </c:ser>
        <c:dLbls>
          <c:showLegendKey val="0"/>
          <c:showVal val="0"/>
          <c:showCatName val="0"/>
          <c:showSerName val="0"/>
          <c:showPercent val="0"/>
          <c:showBubbleSize val="0"/>
        </c:dLbls>
        <c:gapWidth val="150"/>
        <c:shape val="cylinder"/>
        <c:axId val="157318144"/>
        <c:axId val="157320320"/>
        <c:axId val="0"/>
      </c:bar3DChart>
      <c:catAx>
        <c:axId val="157318144"/>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157320320"/>
        <c:crosses val="autoZero"/>
        <c:auto val="1"/>
        <c:lblAlgn val="ctr"/>
        <c:lblOffset val="100"/>
        <c:noMultiLvlLbl val="0"/>
      </c:catAx>
      <c:valAx>
        <c:axId val="157320320"/>
        <c:scaling>
          <c:orientation val="minMax"/>
        </c:scaling>
        <c:delete val="0"/>
        <c:axPos val="l"/>
        <c:title>
          <c:tx>
            <c:rich>
              <a:bodyPr rot="-5400000" vert="horz"/>
              <a:lstStyle/>
              <a:p>
                <a:pPr>
                  <a:defRPr/>
                </a:pPr>
                <a:r>
                  <a:rPr lang="en-US"/>
                  <a:t>pH/EC (</a:t>
                </a:r>
                <a:r>
                  <a:rPr lang="en-US">
                    <a:latin typeface="Calibri"/>
                    <a:cs typeface="Calibri"/>
                  </a:rPr>
                  <a:t>µ</a:t>
                </a:r>
                <a:r>
                  <a:rPr lang="en-US"/>
                  <a:t>S/cm)/OC, OM, MC (%)</a:t>
                </a:r>
              </a:p>
            </c:rich>
          </c:tx>
          <c:overlay val="0"/>
        </c:title>
        <c:numFmt formatCode="General" sourceLinked="1"/>
        <c:majorTickMark val="out"/>
        <c:minorTickMark val="none"/>
        <c:tickLblPos val="nextTo"/>
        <c:crossAx val="157318144"/>
        <c:crosses val="autoZero"/>
        <c:crossBetween val="between"/>
      </c:valAx>
    </c:plotArea>
    <c:legend>
      <c:legendPos val="r"/>
      <c:layout>
        <c:manualLayout>
          <c:xMode val="edge"/>
          <c:yMode val="edge"/>
          <c:x val="0.60184864391951221"/>
          <c:y val="2.7201808107320046E-2"/>
          <c:w val="0.32315135608048995"/>
          <c:h val="9.3744167395742595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9.3107149757088406E-2"/>
          <c:y val="2.4882852946134026E-2"/>
          <c:w val="0.90689285024291177"/>
          <c:h val="0.70400378851726031"/>
        </c:manualLayout>
      </c:layout>
      <c:bar3DChart>
        <c:barDir val="col"/>
        <c:grouping val="clustered"/>
        <c:varyColors val="0"/>
        <c:ser>
          <c:idx val="0"/>
          <c:order val="0"/>
          <c:tx>
            <c:strRef>
              <c:f>Sheet1!$C$2</c:f>
              <c:strCache>
                <c:ptCount val="1"/>
                <c:pt idx="0">
                  <c:v>NW</c:v>
                </c:pt>
              </c:strCache>
            </c:strRef>
          </c:tx>
          <c:invertIfNegative val="0"/>
          <c:cat>
            <c:strRef>
              <c:f>Sheet1!$B$3:$B$7</c:f>
              <c:strCache>
                <c:ptCount val="5"/>
                <c:pt idx="0">
                  <c:v>N</c:v>
                </c:pt>
                <c:pt idx="1">
                  <c:v>P</c:v>
                </c:pt>
                <c:pt idx="2">
                  <c:v>K</c:v>
                </c:pt>
                <c:pt idx="3">
                  <c:v>CaCO3</c:v>
                </c:pt>
                <c:pt idx="4">
                  <c:v>Mg</c:v>
                </c:pt>
              </c:strCache>
            </c:strRef>
          </c:cat>
          <c:val>
            <c:numRef>
              <c:f>Sheet1!$C$3:$C$7</c:f>
              <c:numCache>
                <c:formatCode>General</c:formatCode>
                <c:ptCount val="5"/>
                <c:pt idx="0">
                  <c:v>0.42</c:v>
                </c:pt>
                <c:pt idx="1">
                  <c:v>0.40060000000000001</c:v>
                </c:pt>
                <c:pt idx="2">
                  <c:v>8.0000000000000106E-3</c:v>
                </c:pt>
                <c:pt idx="3">
                  <c:v>1.6E-2</c:v>
                </c:pt>
                <c:pt idx="4">
                  <c:v>0.61719999999999997</c:v>
                </c:pt>
              </c:numCache>
            </c:numRef>
          </c:val>
          <c:extLst>
            <c:ext xmlns:c16="http://schemas.microsoft.com/office/drawing/2014/chart" uri="{C3380CC4-5D6E-409C-BE32-E72D297353CC}">
              <c16:uniqueId val="{00000000-F54A-4225-9383-ACE6CB7093C5}"/>
            </c:ext>
          </c:extLst>
        </c:ser>
        <c:ser>
          <c:idx val="1"/>
          <c:order val="1"/>
          <c:tx>
            <c:strRef>
              <c:f>Sheet1!$D$2</c:f>
              <c:strCache>
                <c:ptCount val="1"/>
                <c:pt idx="0">
                  <c:v>NN</c:v>
                </c:pt>
              </c:strCache>
            </c:strRef>
          </c:tx>
          <c:invertIfNegative val="0"/>
          <c:cat>
            <c:strRef>
              <c:f>Sheet1!$B$3:$B$7</c:f>
              <c:strCache>
                <c:ptCount val="5"/>
                <c:pt idx="0">
                  <c:v>N</c:v>
                </c:pt>
                <c:pt idx="1">
                  <c:v>P</c:v>
                </c:pt>
                <c:pt idx="2">
                  <c:v>K</c:v>
                </c:pt>
                <c:pt idx="3">
                  <c:v>CaCO3</c:v>
                </c:pt>
                <c:pt idx="4">
                  <c:v>Mg</c:v>
                </c:pt>
              </c:strCache>
            </c:strRef>
          </c:cat>
          <c:val>
            <c:numRef>
              <c:f>Sheet1!$D$3:$D$7</c:f>
              <c:numCache>
                <c:formatCode>General</c:formatCode>
                <c:ptCount val="5"/>
                <c:pt idx="0">
                  <c:v>0.40400000000000003</c:v>
                </c:pt>
                <c:pt idx="1">
                  <c:v>0.35499999999999998</c:v>
                </c:pt>
                <c:pt idx="2">
                  <c:v>0.13059999999999999</c:v>
                </c:pt>
                <c:pt idx="3">
                  <c:v>1.1339999999999999E-2</c:v>
                </c:pt>
                <c:pt idx="4">
                  <c:v>0.39800000000000002</c:v>
                </c:pt>
              </c:numCache>
            </c:numRef>
          </c:val>
          <c:extLst>
            <c:ext xmlns:c16="http://schemas.microsoft.com/office/drawing/2014/chart" uri="{C3380CC4-5D6E-409C-BE32-E72D297353CC}">
              <c16:uniqueId val="{00000001-F54A-4225-9383-ACE6CB7093C5}"/>
            </c:ext>
          </c:extLst>
        </c:ser>
        <c:ser>
          <c:idx val="2"/>
          <c:order val="2"/>
          <c:tx>
            <c:strRef>
              <c:f>Sheet1!$E$2</c:f>
              <c:strCache>
                <c:ptCount val="1"/>
                <c:pt idx="0">
                  <c:v>NS</c:v>
                </c:pt>
              </c:strCache>
            </c:strRef>
          </c:tx>
          <c:invertIfNegative val="0"/>
          <c:cat>
            <c:strRef>
              <c:f>Sheet1!$B$3:$B$7</c:f>
              <c:strCache>
                <c:ptCount val="5"/>
                <c:pt idx="0">
                  <c:v>N</c:v>
                </c:pt>
                <c:pt idx="1">
                  <c:v>P</c:v>
                </c:pt>
                <c:pt idx="2">
                  <c:v>K</c:v>
                </c:pt>
                <c:pt idx="3">
                  <c:v>CaCO3</c:v>
                </c:pt>
                <c:pt idx="4">
                  <c:v>Mg</c:v>
                </c:pt>
              </c:strCache>
            </c:strRef>
          </c:cat>
          <c:val>
            <c:numRef>
              <c:f>Sheet1!$E$3:$E$7</c:f>
              <c:numCache>
                <c:formatCode>General</c:formatCode>
                <c:ptCount val="5"/>
                <c:pt idx="0">
                  <c:v>0.55600000000000005</c:v>
                </c:pt>
                <c:pt idx="1">
                  <c:v>0.45300000000000001</c:v>
                </c:pt>
                <c:pt idx="2">
                  <c:v>1.1039999999999999E-2</c:v>
                </c:pt>
                <c:pt idx="3">
                  <c:v>1.4E-2</c:v>
                </c:pt>
                <c:pt idx="4">
                  <c:v>0.36059999999999998</c:v>
                </c:pt>
              </c:numCache>
            </c:numRef>
          </c:val>
          <c:extLst>
            <c:ext xmlns:c16="http://schemas.microsoft.com/office/drawing/2014/chart" uri="{C3380CC4-5D6E-409C-BE32-E72D297353CC}">
              <c16:uniqueId val="{00000002-F54A-4225-9383-ACE6CB7093C5}"/>
            </c:ext>
          </c:extLst>
        </c:ser>
        <c:dLbls>
          <c:showLegendKey val="0"/>
          <c:showVal val="0"/>
          <c:showCatName val="0"/>
          <c:showSerName val="0"/>
          <c:showPercent val="0"/>
          <c:showBubbleSize val="0"/>
        </c:dLbls>
        <c:gapWidth val="150"/>
        <c:shape val="cylinder"/>
        <c:axId val="157340032"/>
        <c:axId val="157341952"/>
        <c:axId val="0"/>
      </c:bar3DChart>
      <c:catAx>
        <c:axId val="157340032"/>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157341952"/>
        <c:crosses val="autoZero"/>
        <c:auto val="1"/>
        <c:lblAlgn val="ctr"/>
        <c:lblOffset val="100"/>
        <c:noMultiLvlLbl val="0"/>
      </c:catAx>
      <c:valAx>
        <c:axId val="157341952"/>
        <c:scaling>
          <c:orientation val="minMax"/>
        </c:scaling>
        <c:delete val="0"/>
        <c:axPos val="l"/>
        <c:title>
          <c:tx>
            <c:rich>
              <a:bodyPr rot="-5400000" vert="horz"/>
              <a:lstStyle/>
              <a:p>
                <a:pPr>
                  <a:defRPr/>
                </a:pPr>
                <a:r>
                  <a:rPr lang="en-US"/>
                  <a:t>N (%)/P, CaCO</a:t>
                </a:r>
                <a:r>
                  <a:rPr lang="en-US" baseline="-25000"/>
                  <a:t>3</a:t>
                </a:r>
                <a:r>
                  <a:rPr lang="en-US"/>
                  <a:t> (ppm)/K, Mg (Cmol/kg)</a:t>
                </a:r>
              </a:p>
            </c:rich>
          </c:tx>
          <c:overlay val="0"/>
        </c:title>
        <c:numFmt formatCode="General" sourceLinked="1"/>
        <c:majorTickMark val="out"/>
        <c:minorTickMark val="none"/>
        <c:tickLblPos val="nextTo"/>
        <c:crossAx val="157340032"/>
        <c:crosses val="autoZero"/>
        <c:crossBetween val="between"/>
      </c:valAx>
    </c:plotArea>
    <c:legend>
      <c:legendPos val="r"/>
      <c:layout>
        <c:manualLayout>
          <c:xMode val="edge"/>
          <c:yMode val="edge"/>
          <c:x val="0.63296776412822719"/>
          <c:y val="2.7201808107320018E-2"/>
          <c:w val="0.29203221231098381"/>
          <c:h val="9.3744167395742525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986351706036745"/>
          <c:y val="5.1400554097404488E-2"/>
          <c:w val="0.8901364829396321"/>
          <c:h val="0.63060914260717527"/>
        </c:manualLayout>
      </c:layout>
      <c:bar3DChart>
        <c:barDir val="col"/>
        <c:grouping val="clustered"/>
        <c:varyColors val="0"/>
        <c:ser>
          <c:idx val="0"/>
          <c:order val="0"/>
          <c:tx>
            <c:strRef>
              <c:f>Sheet1!$C$2</c:f>
              <c:strCache>
                <c:ptCount val="1"/>
                <c:pt idx="0">
                  <c:v>NW</c:v>
                </c:pt>
              </c:strCache>
            </c:strRef>
          </c:tx>
          <c:invertIfNegative val="0"/>
          <c:cat>
            <c:strRef>
              <c:f>Sheet1!$B$3:$B$7</c:f>
              <c:strCache>
                <c:ptCount val="5"/>
                <c:pt idx="0">
                  <c:v>Cu</c:v>
                </c:pt>
                <c:pt idx="1">
                  <c:v>Fe</c:v>
                </c:pt>
                <c:pt idx="2">
                  <c:v>Cd</c:v>
                </c:pt>
                <c:pt idx="3">
                  <c:v>Ni</c:v>
                </c:pt>
                <c:pt idx="4">
                  <c:v>Cr</c:v>
                </c:pt>
              </c:strCache>
            </c:strRef>
          </c:cat>
          <c:val>
            <c:numRef>
              <c:f>Sheet1!$C$3:$C$7</c:f>
              <c:numCache>
                <c:formatCode>General</c:formatCode>
                <c:ptCount val="5"/>
                <c:pt idx="0">
                  <c:v>0.54659999999999997</c:v>
                </c:pt>
                <c:pt idx="1">
                  <c:v>0.58540000000000003</c:v>
                </c:pt>
                <c:pt idx="2">
                  <c:v>0.14199999999999999</c:v>
                </c:pt>
                <c:pt idx="3">
                  <c:v>0.3</c:v>
                </c:pt>
                <c:pt idx="4">
                  <c:v>0.20200000000000001</c:v>
                </c:pt>
              </c:numCache>
            </c:numRef>
          </c:val>
          <c:extLst>
            <c:ext xmlns:c16="http://schemas.microsoft.com/office/drawing/2014/chart" uri="{C3380CC4-5D6E-409C-BE32-E72D297353CC}">
              <c16:uniqueId val="{00000000-D37E-480D-9BF0-8C368C14FBB6}"/>
            </c:ext>
          </c:extLst>
        </c:ser>
        <c:ser>
          <c:idx val="1"/>
          <c:order val="1"/>
          <c:tx>
            <c:strRef>
              <c:f>Sheet1!$D$2</c:f>
              <c:strCache>
                <c:ptCount val="1"/>
                <c:pt idx="0">
                  <c:v>NN</c:v>
                </c:pt>
              </c:strCache>
            </c:strRef>
          </c:tx>
          <c:invertIfNegative val="0"/>
          <c:cat>
            <c:strRef>
              <c:f>Sheet1!$B$3:$B$7</c:f>
              <c:strCache>
                <c:ptCount val="5"/>
                <c:pt idx="0">
                  <c:v>Cu</c:v>
                </c:pt>
                <c:pt idx="1">
                  <c:v>Fe</c:v>
                </c:pt>
                <c:pt idx="2">
                  <c:v>Cd</c:v>
                </c:pt>
                <c:pt idx="3">
                  <c:v>Ni</c:v>
                </c:pt>
                <c:pt idx="4">
                  <c:v>Cr</c:v>
                </c:pt>
              </c:strCache>
            </c:strRef>
          </c:cat>
          <c:val>
            <c:numRef>
              <c:f>Sheet1!$D$3:$D$7</c:f>
              <c:numCache>
                <c:formatCode>General</c:formatCode>
                <c:ptCount val="5"/>
                <c:pt idx="0">
                  <c:v>0.46560000000000001</c:v>
                </c:pt>
                <c:pt idx="1">
                  <c:v>0.31359999999999999</c:v>
                </c:pt>
                <c:pt idx="2">
                  <c:v>0.15</c:v>
                </c:pt>
                <c:pt idx="3">
                  <c:v>1.84E-2</c:v>
                </c:pt>
                <c:pt idx="4">
                  <c:v>2.1999999999999999E-2</c:v>
                </c:pt>
              </c:numCache>
            </c:numRef>
          </c:val>
          <c:extLst>
            <c:ext xmlns:c16="http://schemas.microsoft.com/office/drawing/2014/chart" uri="{C3380CC4-5D6E-409C-BE32-E72D297353CC}">
              <c16:uniqueId val="{00000001-D37E-480D-9BF0-8C368C14FBB6}"/>
            </c:ext>
          </c:extLst>
        </c:ser>
        <c:ser>
          <c:idx val="2"/>
          <c:order val="2"/>
          <c:tx>
            <c:strRef>
              <c:f>Sheet1!$E$2</c:f>
              <c:strCache>
                <c:ptCount val="1"/>
                <c:pt idx="0">
                  <c:v>NS</c:v>
                </c:pt>
              </c:strCache>
            </c:strRef>
          </c:tx>
          <c:invertIfNegative val="0"/>
          <c:cat>
            <c:strRef>
              <c:f>Sheet1!$B$3:$B$7</c:f>
              <c:strCache>
                <c:ptCount val="5"/>
                <c:pt idx="0">
                  <c:v>Cu</c:v>
                </c:pt>
                <c:pt idx="1">
                  <c:v>Fe</c:v>
                </c:pt>
                <c:pt idx="2">
                  <c:v>Cd</c:v>
                </c:pt>
                <c:pt idx="3">
                  <c:v>Ni</c:v>
                </c:pt>
                <c:pt idx="4">
                  <c:v>Cr</c:v>
                </c:pt>
              </c:strCache>
            </c:strRef>
          </c:cat>
          <c:val>
            <c:numRef>
              <c:f>Sheet1!$E$3:$E$7</c:f>
              <c:numCache>
                <c:formatCode>General</c:formatCode>
                <c:ptCount val="5"/>
                <c:pt idx="0">
                  <c:v>0.34179999999999999</c:v>
                </c:pt>
                <c:pt idx="1">
                  <c:v>0.5484</c:v>
                </c:pt>
                <c:pt idx="2">
                  <c:v>0.32200000000000001</c:v>
                </c:pt>
                <c:pt idx="3">
                  <c:v>1.4999999999999999E-2</c:v>
                </c:pt>
                <c:pt idx="4">
                  <c:v>0.20399999999999999</c:v>
                </c:pt>
              </c:numCache>
            </c:numRef>
          </c:val>
          <c:extLst>
            <c:ext xmlns:c16="http://schemas.microsoft.com/office/drawing/2014/chart" uri="{C3380CC4-5D6E-409C-BE32-E72D297353CC}">
              <c16:uniqueId val="{00000002-D37E-480D-9BF0-8C368C14FBB6}"/>
            </c:ext>
          </c:extLst>
        </c:ser>
        <c:dLbls>
          <c:showLegendKey val="0"/>
          <c:showVal val="0"/>
          <c:showCatName val="0"/>
          <c:showSerName val="0"/>
          <c:showPercent val="0"/>
          <c:showBubbleSize val="0"/>
        </c:dLbls>
        <c:gapWidth val="150"/>
        <c:shape val="cylinder"/>
        <c:axId val="157386240"/>
        <c:axId val="157388160"/>
        <c:axId val="0"/>
      </c:bar3DChart>
      <c:catAx>
        <c:axId val="157386240"/>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157388160"/>
        <c:crosses val="autoZero"/>
        <c:auto val="1"/>
        <c:lblAlgn val="ctr"/>
        <c:lblOffset val="100"/>
        <c:noMultiLvlLbl val="0"/>
      </c:catAx>
      <c:valAx>
        <c:axId val="157388160"/>
        <c:scaling>
          <c:orientation val="minMax"/>
        </c:scaling>
        <c:delete val="0"/>
        <c:axPos val="l"/>
        <c:title>
          <c:tx>
            <c:rich>
              <a:bodyPr rot="-5400000" vert="horz"/>
              <a:lstStyle/>
              <a:p>
                <a:pPr>
                  <a:defRPr/>
                </a:pPr>
                <a:r>
                  <a:rPr lang="en-US"/>
                  <a:t>Cu, Fe, Cd, Ni &amp; Cr (mg/kg)</a:t>
                </a:r>
              </a:p>
            </c:rich>
          </c:tx>
          <c:overlay val="0"/>
        </c:title>
        <c:numFmt formatCode="General" sourceLinked="1"/>
        <c:majorTickMark val="out"/>
        <c:minorTickMark val="none"/>
        <c:tickLblPos val="nextTo"/>
        <c:crossAx val="157386240"/>
        <c:crosses val="autoZero"/>
        <c:crossBetween val="between"/>
      </c:valAx>
    </c:plotArea>
    <c:legend>
      <c:legendPos val="r"/>
      <c:layout>
        <c:manualLayout>
          <c:xMode val="edge"/>
          <c:yMode val="edge"/>
          <c:x val="0.60184864391951098"/>
          <c:y val="2.720180810731997E-2"/>
          <c:w val="0.32315135608048995"/>
          <c:h val="9.3744167395742345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9.6316441457476046E-2"/>
          <c:y val="5.1400554097404488E-2"/>
          <c:w val="0.89719886280037775"/>
          <c:h val="0.65375729075532263"/>
        </c:manualLayout>
      </c:layout>
      <c:bar3DChart>
        <c:barDir val="col"/>
        <c:grouping val="clustered"/>
        <c:varyColors val="0"/>
        <c:ser>
          <c:idx val="0"/>
          <c:order val="0"/>
          <c:tx>
            <c:strRef>
              <c:f>Sheet1!$C$33</c:f>
              <c:strCache>
                <c:ptCount val="1"/>
                <c:pt idx="0">
                  <c:v>NW</c:v>
                </c:pt>
              </c:strCache>
            </c:strRef>
          </c:tx>
          <c:invertIfNegative val="0"/>
          <c:cat>
            <c:strRef>
              <c:f>Sheet1!$B$34:$B$37</c:f>
              <c:strCache>
                <c:ptCount val="4"/>
                <c:pt idx="0">
                  <c:v>GLP</c:v>
                </c:pt>
                <c:pt idx="1">
                  <c:v>PQT</c:v>
                </c:pt>
                <c:pt idx="2">
                  <c:v>Pb</c:v>
                </c:pt>
                <c:pt idx="3">
                  <c:v>Zn</c:v>
                </c:pt>
              </c:strCache>
            </c:strRef>
          </c:cat>
          <c:val>
            <c:numRef>
              <c:f>Sheet1!$C$34:$C$37</c:f>
              <c:numCache>
                <c:formatCode>General</c:formatCode>
                <c:ptCount val="4"/>
                <c:pt idx="0">
                  <c:v>1.0833999999999999</c:v>
                </c:pt>
                <c:pt idx="1">
                  <c:v>0.71379999999999999</c:v>
                </c:pt>
                <c:pt idx="2">
                  <c:v>15.756</c:v>
                </c:pt>
                <c:pt idx="3">
                  <c:v>16.34</c:v>
                </c:pt>
              </c:numCache>
            </c:numRef>
          </c:val>
          <c:extLst>
            <c:ext xmlns:c16="http://schemas.microsoft.com/office/drawing/2014/chart" uri="{C3380CC4-5D6E-409C-BE32-E72D297353CC}">
              <c16:uniqueId val="{00000000-19E8-437E-B46F-196D4E058760}"/>
            </c:ext>
          </c:extLst>
        </c:ser>
        <c:ser>
          <c:idx val="1"/>
          <c:order val="1"/>
          <c:tx>
            <c:strRef>
              <c:f>Sheet1!$D$33</c:f>
              <c:strCache>
                <c:ptCount val="1"/>
                <c:pt idx="0">
                  <c:v>NN</c:v>
                </c:pt>
              </c:strCache>
            </c:strRef>
          </c:tx>
          <c:invertIfNegative val="0"/>
          <c:cat>
            <c:strRef>
              <c:f>Sheet1!$B$34:$B$37</c:f>
              <c:strCache>
                <c:ptCount val="4"/>
                <c:pt idx="0">
                  <c:v>GLP</c:v>
                </c:pt>
                <c:pt idx="1">
                  <c:v>PQT</c:v>
                </c:pt>
                <c:pt idx="2">
                  <c:v>Pb</c:v>
                </c:pt>
                <c:pt idx="3">
                  <c:v>Zn</c:v>
                </c:pt>
              </c:strCache>
            </c:strRef>
          </c:cat>
          <c:val>
            <c:numRef>
              <c:f>Sheet1!$D$34:$D$37</c:f>
              <c:numCache>
                <c:formatCode>General</c:formatCode>
                <c:ptCount val="4"/>
                <c:pt idx="0">
                  <c:v>1.0169999999999999</c:v>
                </c:pt>
                <c:pt idx="1">
                  <c:v>0.77739999999999998</c:v>
                </c:pt>
                <c:pt idx="2">
                  <c:v>8.8320000000000007</c:v>
                </c:pt>
                <c:pt idx="3">
                  <c:v>14.6</c:v>
                </c:pt>
              </c:numCache>
            </c:numRef>
          </c:val>
          <c:extLst>
            <c:ext xmlns:c16="http://schemas.microsoft.com/office/drawing/2014/chart" uri="{C3380CC4-5D6E-409C-BE32-E72D297353CC}">
              <c16:uniqueId val="{00000001-19E8-437E-B46F-196D4E058760}"/>
            </c:ext>
          </c:extLst>
        </c:ser>
        <c:ser>
          <c:idx val="2"/>
          <c:order val="2"/>
          <c:tx>
            <c:strRef>
              <c:f>Sheet1!$E$33</c:f>
              <c:strCache>
                <c:ptCount val="1"/>
                <c:pt idx="0">
                  <c:v>NS</c:v>
                </c:pt>
              </c:strCache>
            </c:strRef>
          </c:tx>
          <c:invertIfNegative val="0"/>
          <c:cat>
            <c:strRef>
              <c:f>Sheet1!$B$34:$B$37</c:f>
              <c:strCache>
                <c:ptCount val="4"/>
                <c:pt idx="0">
                  <c:v>GLP</c:v>
                </c:pt>
                <c:pt idx="1">
                  <c:v>PQT</c:v>
                </c:pt>
                <c:pt idx="2">
                  <c:v>Pb</c:v>
                </c:pt>
                <c:pt idx="3">
                  <c:v>Zn</c:v>
                </c:pt>
              </c:strCache>
            </c:strRef>
          </c:cat>
          <c:val>
            <c:numRef>
              <c:f>Sheet1!$E$34:$E$37</c:f>
              <c:numCache>
                <c:formatCode>General</c:formatCode>
                <c:ptCount val="4"/>
                <c:pt idx="0">
                  <c:v>0.75660000000000005</c:v>
                </c:pt>
                <c:pt idx="1">
                  <c:v>0.55420000000000003</c:v>
                </c:pt>
                <c:pt idx="2">
                  <c:v>14.172000000000001</c:v>
                </c:pt>
                <c:pt idx="3">
                  <c:v>14.7</c:v>
                </c:pt>
              </c:numCache>
            </c:numRef>
          </c:val>
          <c:extLst>
            <c:ext xmlns:c16="http://schemas.microsoft.com/office/drawing/2014/chart" uri="{C3380CC4-5D6E-409C-BE32-E72D297353CC}">
              <c16:uniqueId val="{00000002-19E8-437E-B46F-196D4E058760}"/>
            </c:ext>
          </c:extLst>
        </c:ser>
        <c:dLbls>
          <c:showLegendKey val="0"/>
          <c:showVal val="0"/>
          <c:showCatName val="0"/>
          <c:showSerName val="0"/>
          <c:showPercent val="0"/>
          <c:showBubbleSize val="0"/>
        </c:dLbls>
        <c:gapWidth val="150"/>
        <c:shape val="cylinder"/>
        <c:axId val="184904320"/>
        <c:axId val="186639104"/>
        <c:axId val="0"/>
      </c:bar3DChart>
      <c:catAx>
        <c:axId val="184904320"/>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186639104"/>
        <c:crosses val="autoZero"/>
        <c:auto val="1"/>
        <c:lblAlgn val="ctr"/>
        <c:lblOffset val="100"/>
        <c:noMultiLvlLbl val="0"/>
      </c:catAx>
      <c:valAx>
        <c:axId val="186639104"/>
        <c:scaling>
          <c:orientation val="minMax"/>
        </c:scaling>
        <c:delete val="0"/>
        <c:axPos val="l"/>
        <c:title>
          <c:tx>
            <c:rich>
              <a:bodyPr rot="-5400000" vert="horz"/>
              <a:lstStyle/>
              <a:p>
                <a:pPr>
                  <a:defRPr/>
                </a:pPr>
                <a:r>
                  <a:rPr lang="en-US"/>
                  <a:t>Glyphosphate, Paraquat, P, &amp; Zn (mg/kg)</a:t>
                </a:r>
              </a:p>
            </c:rich>
          </c:tx>
          <c:overlay val="0"/>
        </c:title>
        <c:numFmt formatCode="General" sourceLinked="1"/>
        <c:majorTickMark val="out"/>
        <c:minorTickMark val="none"/>
        <c:tickLblPos val="nextTo"/>
        <c:crossAx val="184904320"/>
        <c:crosses val="autoZero"/>
        <c:crossBetween val="between"/>
      </c:valAx>
    </c:plotArea>
    <c:legend>
      <c:legendPos val="r"/>
      <c:layout>
        <c:manualLayout>
          <c:xMode val="edge"/>
          <c:yMode val="edge"/>
          <c:x val="0.69907086614173264"/>
          <c:y val="8.6832895888014211E-3"/>
          <c:w val="0.24537357830271217"/>
          <c:h val="8.9114537766112556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444</TotalTime>
  <Pages>36</Pages>
  <Words>9937</Words>
  <Characters>56641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dc:creator>
  <cp:keywords/>
  <dc:description/>
  <cp:lastModifiedBy>SDI 1166</cp:lastModifiedBy>
  <cp:revision>129</cp:revision>
  <dcterms:created xsi:type="dcterms:W3CDTF">2026-02-22T21:10:00Z</dcterms:created>
  <dcterms:modified xsi:type="dcterms:W3CDTF">2026-04-07T10:42:00Z</dcterms:modified>
</cp:coreProperties>
</file>