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F1B014" w14:textId="77777777" w:rsidR="00490675" w:rsidRDefault="009B469C">
      <w:pPr>
        <w:widowControl/>
        <w:topLinePunct/>
        <w:rPr>
          <w:rFonts w:ascii="Arial" w:eastAsia="Times New Roman" w:hAnsi="Arial" w:cs="Arial"/>
          <w:b/>
          <w:bCs/>
          <w:iCs/>
          <w:spacing w:val="-20"/>
          <w:kern w:val="28"/>
          <w:sz w:val="36"/>
          <w:szCs w:val="20"/>
          <w:lang w:eastAsia="en-US"/>
        </w:rPr>
      </w:pPr>
      <w:r>
        <w:rPr>
          <w:rFonts w:ascii="Arial" w:eastAsia="Times New Roman" w:hAnsi="Arial" w:cs="Arial" w:hint="eastAsia"/>
          <w:b/>
          <w:bCs/>
          <w:iCs/>
          <w:spacing w:val="-20"/>
          <w:kern w:val="28"/>
          <w:sz w:val="36"/>
          <w:szCs w:val="20"/>
          <w:lang w:eastAsia="en-US"/>
        </w:rPr>
        <w:t>Regional Disparities in the Level of Rural</w:t>
      </w:r>
      <w:r>
        <w:rPr>
          <w:rFonts w:ascii="Arial" w:eastAsia="SimSun" w:hAnsi="Arial" w:cs="Arial" w:hint="eastAsia"/>
          <w:b/>
          <w:bCs/>
          <w:iCs/>
          <w:spacing w:val="-20"/>
          <w:kern w:val="28"/>
          <w:sz w:val="36"/>
          <w:szCs w:val="20"/>
        </w:rPr>
        <w:t xml:space="preserve"> </w:t>
      </w:r>
      <w:r>
        <w:rPr>
          <w:rFonts w:ascii="Arial" w:eastAsia="Times New Roman" w:hAnsi="Arial" w:cs="Arial" w:hint="eastAsia"/>
          <w:b/>
          <w:bCs/>
          <w:iCs/>
          <w:spacing w:val="-20"/>
          <w:kern w:val="28"/>
          <w:sz w:val="36"/>
          <w:szCs w:val="20"/>
          <w:lang w:eastAsia="en-US"/>
        </w:rPr>
        <w:t>Industrial Revitalization in Jiangsu Province</w:t>
      </w:r>
    </w:p>
    <w:p w14:paraId="19FCE98D" w14:textId="77777777" w:rsidR="00490675" w:rsidRDefault="00490675">
      <w:pPr>
        <w:widowControl/>
        <w:topLinePunct/>
        <w:rPr>
          <w:rFonts w:ascii="Arial" w:eastAsia="Times New Roman" w:hAnsi="Arial" w:cs="Arial"/>
          <w:b/>
          <w:bCs/>
          <w:iCs/>
          <w:spacing w:val="-20"/>
          <w:kern w:val="28"/>
          <w:sz w:val="24"/>
          <w:lang w:eastAsia="en-US"/>
        </w:rPr>
      </w:pPr>
    </w:p>
    <w:p w14:paraId="05798424" w14:textId="2FE01F1B" w:rsidR="00415FB4" w:rsidRDefault="009B469C" w:rsidP="009A1F21">
      <w:pPr>
        <w:widowControl/>
        <w:topLinePunct/>
        <w:rPr>
          <w:rFonts w:ascii="Arial" w:eastAsia="Times New Roman" w:hAnsi="Arial" w:cs="Arial"/>
          <w:i/>
          <w:kern w:val="0"/>
          <w:sz w:val="20"/>
          <w:szCs w:val="20"/>
        </w:rPr>
      </w:pPr>
      <w:r>
        <w:rPr>
          <w:rFonts w:ascii="Arial" w:eastAsia="Times New Roman" w:hAnsi="Arial" w:cs="Arial" w:hint="eastAsia"/>
          <w:b/>
          <w:kern w:val="0"/>
          <w:sz w:val="24"/>
          <w:szCs w:val="20"/>
        </w:rPr>
        <w:t xml:space="preserve"> </w:t>
      </w:r>
    </w:p>
    <w:p w14:paraId="4555174A" w14:textId="77777777" w:rsidR="00490675" w:rsidRDefault="00490675">
      <w:pPr>
        <w:rPr>
          <w:rFonts w:ascii="Arial" w:hAnsi="Arial" w:cs="Arial"/>
          <w:sz w:val="22"/>
          <w:szCs w:val="22"/>
        </w:rPr>
      </w:pPr>
    </w:p>
    <w:p w14:paraId="6C6B4653" w14:textId="77777777" w:rsidR="00490675" w:rsidRDefault="009B469C">
      <w:pPr>
        <w:widowControl/>
        <w:topLinePunct/>
        <w:rPr>
          <w:rFonts w:ascii="Arial" w:hAnsi="Arial" w:cs="Arial"/>
          <w:b/>
          <w:bCs/>
          <w:sz w:val="22"/>
          <w:szCs w:val="22"/>
        </w:rPr>
      </w:pPr>
      <w:r>
        <w:rPr>
          <w:rFonts w:ascii="Arial" w:hAnsi="Arial" w:cs="Arial"/>
          <w:b/>
          <w:bCs/>
          <w:sz w:val="22"/>
          <w:szCs w:val="22"/>
        </w:rPr>
        <w:t>ABSTRACT</w:t>
      </w:r>
    </w:p>
    <w:p w14:paraId="6A75D330" w14:textId="77777777" w:rsidR="00490675" w:rsidRDefault="00490675">
      <w:pPr>
        <w:widowControl/>
        <w:topLinePunct/>
        <w:rPr>
          <w:rFonts w:ascii="Times New Roman" w:hAnsi="Times New Roman" w:cs="Times New Roman"/>
          <w:b/>
          <w:bCs/>
          <w:sz w:val="22"/>
          <w:szCs w:val="22"/>
        </w:rPr>
      </w:pPr>
    </w:p>
    <w:p w14:paraId="4533CE26" w14:textId="77777777" w:rsidR="00490675" w:rsidRDefault="009B469C">
      <w:pPr>
        <w:widowControl/>
        <w:pBdr>
          <w:top w:val="single" w:sz="4" w:space="1" w:color="auto"/>
          <w:left w:val="single" w:sz="4" w:space="4" w:color="auto"/>
          <w:bottom w:val="single" w:sz="4" w:space="1" w:color="auto"/>
          <w:right w:val="single" w:sz="4" w:space="4" w:color="auto"/>
        </w:pBdr>
        <w:topLinePunct/>
        <w:rPr>
          <w:rFonts w:ascii="Arial" w:eastAsia="Calibri" w:hAnsi="Arial" w:cs="Arial"/>
          <w:kern w:val="0"/>
          <w:sz w:val="20"/>
          <w:szCs w:val="22"/>
        </w:rPr>
      </w:pPr>
      <w:r>
        <w:rPr>
          <w:rFonts w:ascii="Arial" w:eastAsia="Calibri" w:hAnsi="Arial" w:cs="Arial"/>
          <w:b/>
          <w:bCs/>
          <w:kern w:val="0"/>
          <w:sz w:val="20"/>
          <w:szCs w:val="22"/>
        </w:rPr>
        <w:t>Aims:</w:t>
      </w:r>
      <w:r>
        <w:rPr>
          <w:rFonts w:ascii="Arial" w:eastAsia="Calibri" w:hAnsi="Arial" w:cs="Arial"/>
          <w:kern w:val="0"/>
          <w:sz w:val="20"/>
          <w:szCs w:val="22"/>
        </w:rPr>
        <w:t xml:space="preserve"> To investigate the spatiotemporal evolution and regional disparities of rural industrial revitalization in Jiangsu Province, and to provide empirical evidence for agricultural policy coordination and rural development in agriculturally advanced regions.</w:t>
      </w:r>
    </w:p>
    <w:p w14:paraId="6F786F5A" w14:textId="77777777" w:rsidR="00490675" w:rsidRDefault="009B469C">
      <w:pPr>
        <w:widowControl/>
        <w:pBdr>
          <w:top w:val="single" w:sz="4" w:space="1" w:color="auto"/>
          <w:left w:val="single" w:sz="4" w:space="4" w:color="auto"/>
          <w:bottom w:val="single" w:sz="4" w:space="1" w:color="auto"/>
          <w:right w:val="single" w:sz="4" w:space="4" w:color="auto"/>
        </w:pBdr>
        <w:topLinePunct/>
        <w:rPr>
          <w:rFonts w:ascii="Arial" w:eastAsia="Calibri" w:hAnsi="Arial" w:cs="Arial"/>
          <w:kern w:val="0"/>
          <w:sz w:val="20"/>
          <w:szCs w:val="22"/>
        </w:rPr>
      </w:pPr>
      <w:r>
        <w:rPr>
          <w:rFonts w:ascii="Arial" w:eastAsia="Calibri" w:hAnsi="Arial" w:cs="Arial"/>
          <w:b/>
          <w:bCs/>
          <w:kern w:val="0"/>
          <w:sz w:val="20"/>
          <w:szCs w:val="22"/>
        </w:rPr>
        <w:t>S</w:t>
      </w:r>
      <w:r>
        <w:rPr>
          <w:rFonts w:ascii="Arial" w:eastAsia="Calibri" w:hAnsi="Arial" w:cs="Arial"/>
          <w:b/>
          <w:bCs/>
          <w:kern w:val="0"/>
          <w:sz w:val="20"/>
          <w:szCs w:val="22"/>
        </w:rPr>
        <w:t xml:space="preserve">tudy design: </w:t>
      </w:r>
      <w:r>
        <w:rPr>
          <w:rFonts w:ascii="Arial" w:eastAsia="Calibri" w:hAnsi="Arial" w:cs="Arial"/>
          <w:kern w:val="0"/>
          <w:sz w:val="20"/>
          <w:szCs w:val="22"/>
        </w:rPr>
        <w:t>A quantitative, longitudinal study based on panel data from 13 prefecture-level cities.</w:t>
      </w:r>
    </w:p>
    <w:p w14:paraId="7A54D0F2" w14:textId="77777777" w:rsidR="00490675" w:rsidRDefault="009B469C">
      <w:pPr>
        <w:widowControl/>
        <w:pBdr>
          <w:top w:val="single" w:sz="4" w:space="1" w:color="auto"/>
          <w:left w:val="single" w:sz="4" w:space="4" w:color="auto"/>
          <w:bottom w:val="single" w:sz="4" w:space="1" w:color="auto"/>
          <w:right w:val="single" w:sz="4" w:space="4" w:color="auto"/>
        </w:pBdr>
        <w:topLinePunct/>
        <w:rPr>
          <w:rFonts w:ascii="Arial" w:eastAsia="Calibri" w:hAnsi="Arial" w:cs="Arial"/>
          <w:kern w:val="0"/>
          <w:sz w:val="20"/>
          <w:szCs w:val="22"/>
        </w:rPr>
      </w:pPr>
      <w:r>
        <w:rPr>
          <w:rFonts w:ascii="Arial" w:eastAsia="Calibri" w:hAnsi="Arial" w:cs="Arial"/>
          <w:b/>
          <w:bCs/>
          <w:kern w:val="0"/>
          <w:sz w:val="20"/>
          <w:szCs w:val="22"/>
        </w:rPr>
        <w:t xml:space="preserve">Place and Duration of Study: </w:t>
      </w:r>
      <w:r>
        <w:rPr>
          <w:rFonts w:ascii="Arial" w:eastAsia="Calibri" w:hAnsi="Arial" w:cs="Arial"/>
          <w:kern w:val="0"/>
          <w:sz w:val="20"/>
          <w:szCs w:val="22"/>
        </w:rPr>
        <w:t>Jiangsu Province, China (13 prefecture-level cities divided into Southern, Central, and Northern Jiangsu), from 2013 to 2024.</w:t>
      </w:r>
    </w:p>
    <w:p w14:paraId="22E0BA7E" w14:textId="77777777" w:rsidR="00490675" w:rsidRDefault="009B469C">
      <w:pPr>
        <w:widowControl/>
        <w:pBdr>
          <w:top w:val="single" w:sz="4" w:space="1" w:color="auto"/>
          <w:left w:val="single" w:sz="4" w:space="4" w:color="auto"/>
          <w:bottom w:val="single" w:sz="4" w:space="1" w:color="auto"/>
          <w:right w:val="single" w:sz="4" w:space="4" w:color="auto"/>
        </w:pBdr>
        <w:topLinePunct/>
        <w:rPr>
          <w:rFonts w:ascii="Arial" w:eastAsia="Calibri" w:hAnsi="Arial" w:cs="Arial"/>
          <w:kern w:val="0"/>
          <w:sz w:val="20"/>
          <w:szCs w:val="22"/>
        </w:rPr>
      </w:pPr>
      <w:r>
        <w:rPr>
          <w:rFonts w:ascii="Arial" w:eastAsia="Calibri" w:hAnsi="Arial" w:cs="Arial"/>
          <w:b/>
          <w:bCs/>
          <w:kern w:val="0"/>
          <w:sz w:val="20"/>
          <w:szCs w:val="22"/>
        </w:rPr>
        <w:t>Methodology:</w:t>
      </w:r>
      <w:r>
        <w:rPr>
          <w:rFonts w:ascii="Arial" w:eastAsia="Calibri" w:hAnsi="Arial" w:cs="Arial"/>
          <w:kern w:val="0"/>
          <w:sz w:val="20"/>
          <w:szCs w:val="22"/>
        </w:rPr>
        <w:t xml:space="preserve"> A three-dimensional evaluation system covering agricultural competitiveness, green support capacity, and livelihood prosperity was </w:t>
      </w:r>
      <w:proofErr w:type="spellStart"/>
      <w:proofErr w:type="gramStart"/>
      <w:r>
        <w:rPr>
          <w:rFonts w:ascii="Arial" w:eastAsia="Calibri" w:hAnsi="Arial" w:cs="Arial"/>
          <w:kern w:val="0"/>
          <w:sz w:val="20"/>
          <w:szCs w:val="22"/>
        </w:rPr>
        <w:t>constructed</w:t>
      </w:r>
      <w:r>
        <w:rPr>
          <w:rFonts w:ascii="Arial" w:eastAsia="Calibri" w:hAnsi="Arial" w:cs="Arial" w:hint="eastAsia"/>
          <w:kern w:val="0"/>
          <w:sz w:val="20"/>
          <w:szCs w:val="22"/>
        </w:rPr>
        <w:t>.</w:t>
      </w:r>
      <w:r>
        <w:rPr>
          <w:rFonts w:ascii="Arial" w:eastAsia="Calibri" w:hAnsi="Arial" w:cs="Arial"/>
          <w:kern w:val="0"/>
          <w:sz w:val="20"/>
          <w:szCs w:val="22"/>
        </w:rPr>
        <w:t>The</w:t>
      </w:r>
      <w:proofErr w:type="spellEnd"/>
      <w:proofErr w:type="gramEnd"/>
      <w:r>
        <w:rPr>
          <w:rFonts w:ascii="Arial" w:eastAsia="Calibri" w:hAnsi="Arial" w:cs="Arial"/>
          <w:kern w:val="0"/>
          <w:sz w:val="20"/>
          <w:szCs w:val="22"/>
        </w:rPr>
        <w:t xml:space="preserve"> Entropy-TOPSIS method was used to measure the development level of rural industrial revitalizati</w:t>
      </w:r>
      <w:r>
        <w:rPr>
          <w:rFonts w:ascii="Arial" w:eastAsia="Calibri" w:hAnsi="Arial" w:cs="Arial"/>
          <w:kern w:val="0"/>
          <w:sz w:val="20"/>
          <w:szCs w:val="22"/>
        </w:rPr>
        <w:t xml:space="preserve">on. The </w:t>
      </w:r>
      <w:proofErr w:type="spellStart"/>
      <w:r>
        <w:rPr>
          <w:rFonts w:ascii="Arial" w:eastAsia="Calibri" w:hAnsi="Arial" w:cs="Arial"/>
          <w:kern w:val="0"/>
          <w:sz w:val="20"/>
          <w:szCs w:val="22"/>
        </w:rPr>
        <w:t>Dagum</w:t>
      </w:r>
      <w:proofErr w:type="spellEnd"/>
      <w:r>
        <w:rPr>
          <w:rFonts w:ascii="Arial" w:eastAsia="Calibri" w:hAnsi="Arial" w:cs="Arial"/>
          <w:kern w:val="0"/>
          <w:sz w:val="20"/>
          <w:szCs w:val="22"/>
        </w:rPr>
        <w:t xml:space="preserve"> Gini coefficient decomposition was applied to identify sources of regional disparities, and kernel density estimation was employed to characterize dynamic evolution.</w:t>
      </w:r>
    </w:p>
    <w:p w14:paraId="225F40E0" w14:textId="77777777" w:rsidR="00490675" w:rsidRDefault="009B469C">
      <w:pPr>
        <w:widowControl/>
        <w:pBdr>
          <w:top w:val="single" w:sz="4" w:space="1" w:color="auto"/>
          <w:left w:val="single" w:sz="4" w:space="4" w:color="auto"/>
          <w:bottom w:val="single" w:sz="4" w:space="1" w:color="auto"/>
          <w:right w:val="single" w:sz="4" w:space="4" w:color="auto"/>
        </w:pBdr>
        <w:topLinePunct/>
        <w:rPr>
          <w:rFonts w:ascii="Arial" w:eastAsia="Calibri" w:hAnsi="Arial" w:cs="Arial"/>
          <w:kern w:val="0"/>
          <w:sz w:val="20"/>
          <w:szCs w:val="22"/>
        </w:rPr>
      </w:pPr>
      <w:r>
        <w:rPr>
          <w:rFonts w:ascii="Arial" w:eastAsia="Calibri" w:hAnsi="Arial" w:cs="Arial"/>
          <w:b/>
          <w:bCs/>
          <w:kern w:val="0"/>
          <w:sz w:val="20"/>
          <w:szCs w:val="22"/>
        </w:rPr>
        <w:t>Results:</w:t>
      </w:r>
      <w:r>
        <w:rPr>
          <w:rFonts w:ascii="Arial" w:eastAsia="Calibri" w:hAnsi="Arial" w:cs="Arial"/>
          <w:kern w:val="0"/>
          <w:sz w:val="20"/>
          <w:szCs w:val="22"/>
        </w:rPr>
        <w:t xml:space="preserve"> (1) The provincial rural industrial revitalization index increased </w:t>
      </w:r>
      <w:r>
        <w:rPr>
          <w:rFonts w:ascii="Arial" w:eastAsia="Calibri" w:hAnsi="Arial" w:cs="Arial"/>
          <w:kern w:val="0"/>
          <w:sz w:val="20"/>
          <w:szCs w:val="22"/>
        </w:rPr>
        <w:t>from 0.2680 to 0.5435, a cumulative growth of 102.80%, with the driving force shifting from policy</w:t>
      </w:r>
      <w:r>
        <w:rPr>
          <w:rFonts w:ascii="Arial" w:eastAsia="Calibri" w:hAnsi="Arial" w:cs="Arial" w:hint="eastAsia"/>
          <w:kern w:val="0"/>
          <w:sz w:val="20"/>
          <w:szCs w:val="22"/>
        </w:rPr>
        <w:t>-</w:t>
      </w:r>
      <w:r>
        <w:rPr>
          <w:rFonts w:ascii="Arial" w:eastAsia="Calibri" w:hAnsi="Arial" w:cs="Arial"/>
          <w:kern w:val="0"/>
          <w:sz w:val="20"/>
          <w:szCs w:val="22"/>
        </w:rPr>
        <w:t>driven to endogenous growth. (2) A “high in the south, low in the north” spatial pattern persisted, but regional disparities narrowed significantly, and nort</w:t>
      </w:r>
      <w:r>
        <w:rPr>
          <w:rFonts w:ascii="Arial" w:eastAsia="Calibri" w:hAnsi="Arial" w:cs="Arial"/>
          <w:kern w:val="0"/>
          <w:sz w:val="20"/>
          <w:szCs w:val="22"/>
        </w:rPr>
        <w:t>hern Jiangsu showed a strong late</w:t>
      </w:r>
      <w:r>
        <w:rPr>
          <w:rFonts w:ascii="Arial" w:eastAsia="Calibri" w:hAnsi="Arial" w:cs="Arial" w:hint="eastAsia"/>
          <w:kern w:val="0"/>
          <w:sz w:val="20"/>
          <w:szCs w:val="22"/>
        </w:rPr>
        <w:t>-</w:t>
      </w:r>
      <w:r>
        <w:rPr>
          <w:rFonts w:ascii="Arial" w:eastAsia="Calibri" w:hAnsi="Arial" w:cs="Arial"/>
          <w:kern w:val="0"/>
          <w:sz w:val="20"/>
          <w:szCs w:val="22"/>
        </w:rPr>
        <w:t>mover advantage. (3) Among subsystems, agricultural competitiveness grew fastest, green support achieved the highest overall level, and livelihood prosperity steadily improved. (4) The overall Gini coefficient declined fro</w:t>
      </w:r>
      <w:r>
        <w:rPr>
          <w:rFonts w:ascii="Arial" w:eastAsia="Calibri" w:hAnsi="Arial" w:cs="Arial"/>
          <w:kern w:val="0"/>
          <w:sz w:val="20"/>
          <w:szCs w:val="22"/>
        </w:rPr>
        <w:t>m 0.1682 to 0.0897, with inter</w:t>
      </w:r>
      <w:r>
        <w:rPr>
          <w:rFonts w:ascii="Arial" w:eastAsia="Calibri" w:hAnsi="Arial" w:cs="Arial" w:hint="eastAsia"/>
          <w:kern w:val="0"/>
          <w:sz w:val="20"/>
          <w:szCs w:val="22"/>
        </w:rPr>
        <w:t>-</w:t>
      </w:r>
      <w:r>
        <w:rPr>
          <w:rFonts w:ascii="Arial" w:eastAsia="Calibri" w:hAnsi="Arial" w:cs="Arial"/>
          <w:kern w:val="0"/>
          <w:sz w:val="20"/>
          <w:szCs w:val="22"/>
        </w:rPr>
        <w:t>group disparity becoming the primary source of regional differences. (5) Kernel density estimation revealed a dynamic evolution toward a high</w:t>
      </w:r>
      <w:r>
        <w:rPr>
          <w:rFonts w:ascii="Arial" w:eastAsia="Calibri" w:hAnsi="Arial" w:cs="Arial" w:hint="eastAsia"/>
          <w:kern w:val="0"/>
          <w:sz w:val="20"/>
          <w:szCs w:val="22"/>
        </w:rPr>
        <w:t>-</w:t>
      </w:r>
      <w:r>
        <w:rPr>
          <w:rFonts w:ascii="Arial" w:eastAsia="Calibri" w:hAnsi="Arial" w:cs="Arial"/>
          <w:kern w:val="0"/>
          <w:sz w:val="20"/>
          <w:szCs w:val="22"/>
        </w:rPr>
        <w:t>level equilibrium without multipolar polarization.</w:t>
      </w:r>
    </w:p>
    <w:p w14:paraId="3B48A7B1" w14:textId="77777777" w:rsidR="00490675" w:rsidRDefault="009B469C">
      <w:pPr>
        <w:widowControl/>
        <w:pBdr>
          <w:top w:val="single" w:sz="4" w:space="1" w:color="auto"/>
          <w:left w:val="single" w:sz="4" w:space="4" w:color="auto"/>
          <w:bottom w:val="single" w:sz="4" w:space="1" w:color="auto"/>
          <w:right w:val="single" w:sz="4" w:space="4" w:color="auto"/>
        </w:pBdr>
        <w:topLinePunct/>
        <w:rPr>
          <w:rFonts w:ascii="Arial" w:eastAsia="Calibri" w:hAnsi="Arial" w:cs="Arial"/>
          <w:kern w:val="0"/>
          <w:sz w:val="20"/>
          <w:szCs w:val="22"/>
        </w:rPr>
      </w:pPr>
      <w:r>
        <w:rPr>
          <w:rFonts w:ascii="Arial" w:eastAsia="Calibri" w:hAnsi="Arial" w:cs="Arial"/>
          <w:b/>
          <w:bCs/>
          <w:kern w:val="0"/>
          <w:sz w:val="20"/>
          <w:szCs w:val="22"/>
        </w:rPr>
        <w:t xml:space="preserve">Conclusion: </w:t>
      </w:r>
      <w:r>
        <w:rPr>
          <w:rFonts w:ascii="Arial" w:eastAsia="Calibri" w:hAnsi="Arial" w:cs="Arial"/>
          <w:kern w:val="0"/>
          <w:sz w:val="20"/>
          <w:szCs w:val="22"/>
        </w:rPr>
        <w:t>These findings provi</w:t>
      </w:r>
      <w:r>
        <w:rPr>
          <w:rFonts w:ascii="Arial" w:eastAsia="Calibri" w:hAnsi="Arial" w:cs="Arial"/>
          <w:kern w:val="0"/>
          <w:sz w:val="20"/>
          <w:szCs w:val="22"/>
        </w:rPr>
        <w:t>de empirical evidence for narrowing the north</w:t>
      </w:r>
      <w:r>
        <w:rPr>
          <w:rFonts w:ascii="Arial" w:eastAsia="Calibri" w:hAnsi="Arial" w:cs="Arial" w:hint="eastAsia"/>
          <w:kern w:val="0"/>
          <w:sz w:val="20"/>
          <w:szCs w:val="22"/>
        </w:rPr>
        <w:t>-</w:t>
      </w:r>
      <w:r>
        <w:rPr>
          <w:rFonts w:ascii="Arial" w:eastAsia="Calibri" w:hAnsi="Arial" w:cs="Arial"/>
          <w:kern w:val="0"/>
          <w:sz w:val="20"/>
          <w:szCs w:val="22"/>
        </w:rPr>
        <w:t xml:space="preserve">south agricultural development gap and promoting coordinated rural </w:t>
      </w:r>
      <w:proofErr w:type="spellStart"/>
      <w:proofErr w:type="gramStart"/>
      <w:r>
        <w:rPr>
          <w:rFonts w:ascii="Arial" w:eastAsia="Calibri" w:hAnsi="Arial" w:cs="Arial"/>
          <w:kern w:val="0"/>
          <w:sz w:val="20"/>
          <w:szCs w:val="22"/>
        </w:rPr>
        <w:t>revitalization</w:t>
      </w:r>
      <w:r>
        <w:rPr>
          <w:rFonts w:ascii="Arial" w:eastAsia="Calibri" w:hAnsi="Arial" w:cs="Arial" w:hint="eastAsia"/>
          <w:kern w:val="0"/>
          <w:sz w:val="20"/>
          <w:szCs w:val="22"/>
        </w:rPr>
        <w:t>.</w:t>
      </w:r>
      <w:r>
        <w:rPr>
          <w:rFonts w:ascii="Arial" w:eastAsia="Calibri" w:hAnsi="Arial" w:cs="Arial"/>
          <w:kern w:val="0"/>
          <w:sz w:val="20"/>
          <w:szCs w:val="22"/>
        </w:rPr>
        <w:t>Policy</w:t>
      </w:r>
      <w:proofErr w:type="spellEnd"/>
      <w:proofErr w:type="gramEnd"/>
      <w:r>
        <w:rPr>
          <w:rFonts w:ascii="Arial" w:eastAsia="Calibri" w:hAnsi="Arial" w:cs="Arial"/>
          <w:kern w:val="0"/>
          <w:sz w:val="20"/>
          <w:szCs w:val="22"/>
        </w:rPr>
        <w:t xml:space="preserve"> implications include provincial</w:t>
      </w:r>
      <w:r>
        <w:rPr>
          <w:rFonts w:ascii="Arial" w:eastAsia="Calibri" w:hAnsi="Arial" w:cs="Arial" w:hint="eastAsia"/>
          <w:kern w:val="0"/>
          <w:sz w:val="20"/>
          <w:szCs w:val="22"/>
        </w:rPr>
        <w:t>-</w:t>
      </w:r>
      <w:r>
        <w:rPr>
          <w:rFonts w:ascii="Arial" w:eastAsia="Calibri" w:hAnsi="Arial" w:cs="Arial"/>
          <w:kern w:val="0"/>
          <w:sz w:val="20"/>
          <w:szCs w:val="22"/>
        </w:rPr>
        <w:t>level coordination, region</w:t>
      </w:r>
      <w:r>
        <w:rPr>
          <w:rFonts w:ascii="Arial" w:eastAsia="Calibri" w:hAnsi="Arial" w:cs="Arial" w:hint="eastAsia"/>
          <w:kern w:val="0"/>
          <w:sz w:val="20"/>
          <w:szCs w:val="22"/>
        </w:rPr>
        <w:t>-</w:t>
      </w:r>
      <w:r>
        <w:rPr>
          <w:rFonts w:ascii="Arial" w:eastAsia="Calibri" w:hAnsi="Arial" w:cs="Arial"/>
          <w:kern w:val="0"/>
          <w:sz w:val="20"/>
          <w:szCs w:val="22"/>
        </w:rPr>
        <w:t xml:space="preserve">specific agricultural </w:t>
      </w:r>
      <w:proofErr w:type="spellStart"/>
      <w:r>
        <w:rPr>
          <w:rFonts w:ascii="Arial" w:eastAsia="Calibri" w:hAnsi="Arial" w:cs="Arial"/>
          <w:kern w:val="0"/>
          <w:sz w:val="20"/>
          <w:szCs w:val="22"/>
        </w:rPr>
        <w:t>strategies</w:t>
      </w:r>
      <w:r>
        <w:rPr>
          <w:rFonts w:ascii="Arial" w:eastAsia="Calibri" w:hAnsi="Arial" w:cs="Arial" w:hint="eastAsia"/>
          <w:kern w:val="0"/>
          <w:sz w:val="20"/>
          <w:szCs w:val="22"/>
        </w:rPr>
        <w:t>,</w:t>
      </w:r>
      <w:r>
        <w:rPr>
          <w:rFonts w:ascii="Arial" w:eastAsia="Calibri" w:hAnsi="Arial" w:cs="Arial"/>
          <w:kern w:val="0"/>
          <w:sz w:val="20"/>
          <w:szCs w:val="22"/>
        </w:rPr>
        <w:t>and</w:t>
      </w:r>
      <w:proofErr w:type="spellEnd"/>
      <w:r>
        <w:rPr>
          <w:rFonts w:ascii="Arial" w:eastAsia="Calibri" w:hAnsi="Arial" w:cs="Arial"/>
          <w:kern w:val="0"/>
          <w:sz w:val="20"/>
          <w:szCs w:val="22"/>
        </w:rPr>
        <w:t xml:space="preserve"> targeted support for gree</w:t>
      </w:r>
      <w:r>
        <w:rPr>
          <w:rFonts w:ascii="Arial" w:eastAsia="Calibri" w:hAnsi="Arial" w:cs="Arial"/>
          <w:kern w:val="0"/>
          <w:sz w:val="20"/>
          <w:szCs w:val="22"/>
        </w:rPr>
        <w:t>n and competitive agriculture.</w:t>
      </w:r>
    </w:p>
    <w:p w14:paraId="6D5614BA" w14:textId="77777777" w:rsidR="00490675" w:rsidRDefault="00490675">
      <w:pPr>
        <w:widowControl/>
        <w:topLinePunct/>
        <w:rPr>
          <w:rFonts w:ascii="Arial" w:hAnsi="Arial" w:cs="Arial"/>
          <w:i/>
          <w:sz w:val="20"/>
          <w:szCs w:val="20"/>
        </w:rPr>
      </w:pPr>
    </w:p>
    <w:p w14:paraId="1A662533" w14:textId="77777777" w:rsidR="00490675" w:rsidRDefault="009B469C">
      <w:pPr>
        <w:rPr>
          <w:rFonts w:ascii="Arial" w:hAnsi="Arial" w:cs="Arial"/>
          <w:i/>
          <w:sz w:val="20"/>
          <w:szCs w:val="20"/>
        </w:rPr>
      </w:pPr>
      <w:r>
        <w:rPr>
          <w:rFonts w:ascii="Arial" w:hAnsi="Arial" w:cs="Arial"/>
          <w:i/>
          <w:sz w:val="20"/>
          <w:szCs w:val="20"/>
        </w:rPr>
        <w:t>Keywords:</w:t>
      </w:r>
      <w:r>
        <w:rPr>
          <w:rFonts w:ascii="Arial" w:hAnsi="Arial" w:cs="Arial" w:hint="eastAsia"/>
          <w:i/>
          <w:sz w:val="20"/>
          <w:szCs w:val="20"/>
        </w:rPr>
        <w:t xml:space="preserve"> </w:t>
      </w:r>
      <w:r>
        <w:rPr>
          <w:rFonts w:ascii="Arial" w:hAnsi="Arial" w:cs="Arial" w:hint="eastAsia"/>
          <w:i/>
          <w:sz w:val="20"/>
          <w:szCs w:val="20"/>
          <w:lang w:eastAsia="en-US"/>
        </w:rPr>
        <w:t>Rural</w:t>
      </w:r>
      <w:r>
        <w:rPr>
          <w:rFonts w:ascii="Arial" w:hAnsi="Arial" w:cs="Arial" w:hint="eastAsia"/>
          <w:i/>
          <w:sz w:val="20"/>
          <w:szCs w:val="20"/>
        </w:rPr>
        <w:t xml:space="preserve"> </w:t>
      </w:r>
      <w:r>
        <w:rPr>
          <w:rFonts w:ascii="Arial" w:hAnsi="Arial" w:cs="Arial" w:hint="eastAsia"/>
          <w:i/>
          <w:sz w:val="20"/>
          <w:szCs w:val="20"/>
          <w:lang w:eastAsia="en-US"/>
        </w:rPr>
        <w:t>Industrial Revitalization</w:t>
      </w:r>
      <w:r>
        <w:rPr>
          <w:rFonts w:ascii="Arial" w:hAnsi="Arial" w:cs="Arial" w:hint="eastAsia"/>
          <w:i/>
          <w:sz w:val="20"/>
          <w:szCs w:val="20"/>
        </w:rPr>
        <w:t xml:space="preserve">; Entropy-TOPSIS </w:t>
      </w:r>
      <w:r>
        <w:rPr>
          <w:rFonts w:ascii="Arial" w:eastAsia="Calibri" w:hAnsi="Arial" w:cs="Arial"/>
          <w:i/>
          <w:kern w:val="0"/>
          <w:sz w:val="20"/>
          <w:szCs w:val="22"/>
        </w:rPr>
        <w:t>method</w:t>
      </w:r>
      <w:r>
        <w:rPr>
          <w:rFonts w:ascii="Arial" w:hAnsi="Arial" w:cs="Arial" w:hint="eastAsia"/>
          <w:i/>
          <w:sz w:val="20"/>
          <w:szCs w:val="20"/>
        </w:rPr>
        <w:t xml:space="preserve">; </w:t>
      </w:r>
      <w:proofErr w:type="spellStart"/>
      <w:r>
        <w:rPr>
          <w:rFonts w:ascii="Arial" w:hAnsi="Arial" w:cs="Arial" w:hint="eastAsia"/>
          <w:i/>
          <w:sz w:val="20"/>
          <w:szCs w:val="20"/>
        </w:rPr>
        <w:t>Dagum</w:t>
      </w:r>
      <w:proofErr w:type="spellEnd"/>
      <w:r>
        <w:rPr>
          <w:rFonts w:ascii="Arial" w:hAnsi="Arial" w:cs="Arial" w:hint="eastAsia"/>
          <w:i/>
          <w:sz w:val="20"/>
          <w:szCs w:val="20"/>
        </w:rPr>
        <w:t xml:space="preserve"> Gini coefficient; kernel density estimation; regional disparity; Jiangsu Province</w:t>
      </w:r>
    </w:p>
    <w:p w14:paraId="5BADD24B" w14:textId="77777777" w:rsidR="00490675" w:rsidRDefault="009B469C">
      <w:pPr>
        <w:widowControl/>
        <w:topLinePunct/>
        <w:rPr>
          <w:rFonts w:ascii="Arial" w:hAnsi="Arial" w:cs="Arial"/>
          <w:b/>
          <w:bCs/>
          <w:sz w:val="22"/>
          <w:szCs w:val="22"/>
        </w:rPr>
      </w:pPr>
      <w:r>
        <w:rPr>
          <w:rFonts w:ascii="Arial" w:hAnsi="Arial" w:cs="Arial"/>
          <w:b/>
          <w:bCs/>
          <w:sz w:val="22"/>
          <w:szCs w:val="22"/>
        </w:rPr>
        <w:t>1. INTRODUCTION</w:t>
      </w:r>
    </w:p>
    <w:p w14:paraId="36696D00" w14:textId="77777777" w:rsidR="00490675" w:rsidRDefault="00490675">
      <w:pPr>
        <w:rPr>
          <w:rFonts w:ascii="Arial" w:hAnsi="Arial" w:cs="Arial"/>
          <w:i/>
          <w:sz w:val="20"/>
          <w:szCs w:val="20"/>
        </w:rPr>
      </w:pPr>
    </w:p>
    <w:p w14:paraId="0587661B" w14:textId="77777777" w:rsidR="00490675" w:rsidRDefault="009B469C">
      <w:pPr>
        <w:rPr>
          <w:rFonts w:ascii="Arial" w:hAnsi="Arial" w:cs="Arial"/>
          <w:sz w:val="20"/>
          <w:szCs w:val="20"/>
        </w:rPr>
      </w:pPr>
      <w:r>
        <w:rPr>
          <w:rFonts w:ascii="Arial" w:hAnsi="Arial" w:cs="Arial"/>
          <w:sz w:val="20"/>
          <w:szCs w:val="20"/>
        </w:rPr>
        <w:t xml:space="preserve">In the current era, addressing the challenges facing </w:t>
      </w:r>
      <w:r>
        <w:rPr>
          <w:rFonts w:ascii="Arial" w:hAnsi="Arial" w:cs="Arial"/>
          <w:sz w:val="20"/>
          <w:szCs w:val="20"/>
        </w:rPr>
        <w:t>agriculture, rural areas, and farmers requires placing rural industrial revitalization at the core of agricultural transformation. As a nationally renowned agricultural region often called the "land of milk and honey," Jiangsu Province benefits from its lo</w:t>
      </w:r>
      <w:r>
        <w:rPr>
          <w:rFonts w:ascii="Arial" w:hAnsi="Arial" w:cs="Arial"/>
          <w:sz w:val="20"/>
          <w:szCs w:val="20"/>
        </w:rPr>
        <w:t xml:space="preserve">cation within the Yangtze River Delta integrated development zone. Its total agricultural output, contribution rate of agricultural scientific and technological progress, </w:t>
      </w:r>
      <w:r>
        <w:rPr>
          <w:rFonts w:ascii="Arial" w:hAnsi="Arial" w:cs="Arial"/>
          <w:sz w:val="20"/>
          <w:szCs w:val="20"/>
        </w:rPr>
        <w:lastRenderedPageBreak/>
        <w:t>and mechanization level are among the highest in China, making it one of the most dyn</w:t>
      </w:r>
      <w:r>
        <w:rPr>
          <w:rFonts w:ascii="Arial" w:hAnsi="Arial" w:cs="Arial"/>
          <w:sz w:val="20"/>
          <w:szCs w:val="20"/>
        </w:rPr>
        <w:t>amic regions in terms of agricultural economy and urban-rural integration. Analyzing the spatiotemporal patterns and regional differences in rural industrial revitalization in Jiangsu is therefore crucial for advancing agricultural modernization and promot</w:t>
      </w:r>
      <w:r>
        <w:rPr>
          <w:rFonts w:ascii="Arial" w:hAnsi="Arial" w:cs="Arial"/>
          <w:sz w:val="20"/>
          <w:szCs w:val="20"/>
        </w:rPr>
        <w:t>ing shared prosperity.</w:t>
      </w:r>
    </w:p>
    <w:p w14:paraId="3664C9C3" w14:textId="77777777" w:rsidR="00490675" w:rsidRDefault="00490675">
      <w:pPr>
        <w:rPr>
          <w:rFonts w:ascii="Arial" w:hAnsi="Arial" w:cs="Arial"/>
          <w:sz w:val="20"/>
          <w:szCs w:val="20"/>
        </w:rPr>
      </w:pPr>
    </w:p>
    <w:p w14:paraId="539D2145" w14:textId="77777777" w:rsidR="00490675" w:rsidRDefault="009B469C">
      <w:pPr>
        <w:rPr>
          <w:rFonts w:ascii="Arial" w:hAnsi="Arial" w:cs="Arial"/>
          <w:sz w:val="20"/>
          <w:szCs w:val="20"/>
        </w:rPr>
      </w:pPr>
      <w:r>
        <w:rPr>
          <w:rFonts w:ascii="Arial" w:hAnsi="Arial" w:cs="Arial"/>
          <w:sz w:val="20"/>
          <w:szCs w:val="20"/>
        </w:rPr>
        <w:t>Existing research on rural industrial revitalization falls into three main categories. The first focuses on conceptual definitions, emphasizing a multi-level logic rooted in agriculture, with farmers as the main actors and integrati</w:t>
      </w:r>
      <w:r>
        <w:rPr>
          <w:rFonts w:ascii="Arial" w:hAnsi="Arial" w:cs="Arial"/>
          <w:sz w:val="20"/>
          <w:szCs w:val="20"/>
        </w:rPr>
        <w:t>on as the pathway toward modernization, green development, and efficiency (Wang, 2024). The second category develops measurement frameworks. Some studies adopt firm-level indicators such as long-term stability, scale quality, and industrial competitiveness</w:t>
      </w:r>
      <w:r>
        <w:rPr>
          <w:rFonts w:ascii="Arial" w:hAnsi="Arial" w:cs="Arial" w:hint="eastAsia"/>
          <w:sz w:val="20"/>
          <w:szCs w:val="20"/>
        </w:rPr>
        <w:t xml:space="preserve"> </w:t>
      </w:r>
      <w:r>
        <w:rPr>
          <w:rFonts w:ascii="Arial" w:hAnsi="Arial" w:cs="Arial"/>
          <w:sz w:val="20"/>
          <w:szCs w:val="20"/>
        </w:rPr>
        <w:t>(Song et</w:t>
      </w:r>
      <w:r>
        <w:rPr>
          <w:rFonts w:ascii="Arial" w:hAnsi="Arial" w:cs="Arial" w:hint="eastAsia"/>
          <w:sz w:val="20"/>
          <w:szCs w:val="20"/>
        </w:rPr>
        <w:t xml:space="preserve"> </w:t>
      </w:r>
      <w:r>
        <w:rPr>
          <w:rFonts w:ascii="Arial" w:hAnsi="Arial" w:cs="Arial"/>
          <w:sz w:val="20"/>
          <w:szCs w:val="20"/>
        </w:rPr>
        <w:t>al., 2023), while others emphasize industrial integration across production, processing, and service functions (Huang et al., 2025). Following the introduction of China's dual</w:t>
      </w:r>
      <w:r>
        <w:rPr>
          <w:rFonts w:ascii="Arial" w:hAnsi="Arial" w:cs="Arial" w:hint="eastAsia"/>
          <w:sz w:val="20"/>
          <w:szCs w:val="20"/>
        </w:rPr>
        <w:t>-</w:t>
      </w:r>
      <w:r>
        <w:rPr>
          <w:rFonts w:ascii="Arial" w:hAnsi="Arial" w:cs="Arial"/>
          <w:sz w:val="20"/>
          <w:szCs w:val="20"/>
        </w:rPr>
        <w:t>carbon goals, ecological indicators (Cao, 2025) and green total factor</w:t>
      </w:r>
      <w:r>
        <w:rPr>
          <w:rFonts w:ascii="Arial" w:hAnsi="Arial" w:cs="Arial"/>
          <w:sz w:val="20"/>
          <w:szCs w:val="20"/>
        </w:rPr>
        <w:t xml:space="preserve"> productivity (Liang &amp; Chen, 2024) have been increasingly incorporated. The third category examines influencing factors. Human capital, including new rural elites (Zhang &amp; Zhang, 2025) and policy entrepreneurs (Hou et al., 2025), plays a critical role by m</w:t>
      </w:r>
      <w:r>
        <w:rPr>
          <w:rFonts w:ascii="Arial" w:hAnsi="Arial" w:cs="Arial"/>
          <w:sz w:val="20"/>
          <w:szCs w:val="20"/>
        </w:rPr>
        <w:t xml:space="preserve">obilizing policy resources and social forces. When human capital exceeds a critical threshold, the digital economy can significantly boost rural industrial revitalization (Liang, 2023). Cultural and tourism development also stimulates rural growth through </w:t>
      </w:r>
      <w:r>
        <w:rPr>
          <w:rFonts w:ascii="Arial" w:hAnsi="Arial" w:cs="Arial"/>
          <w:sz w:val="20"/>
          <w:szCs w:val="20"/>
        </w:rPr>
        <w:t>branding, industrial chain extension, and spatial agglomeration.</w:t>
      </w:r>
    </w:p>
    <w:p w14:paraId="4E122F54" w14:textId="77777777" w:rsidR="00490675" w:rsidRDefault="00490675">
      <w:pPr>
        <w:rPr>
          <w:rFonts w:ascii="Arial" w:hAnsi="Arial" w:cs="Arial"/>
          <w:sz w:val="20"/>
          <w:szCs w:val="20"/>
        </w:rPr>
      </w:pPr>
    </w:p>
    <w:p w14:paraId="2AAE8C7F" w14:textId="77777777" w:rsidR="00490675" w:rsidRDefault="009B469C">
      <w:pPr>
        <w:rPr>
          <w:rFonts w:ascii="Arial" w:hAnsi="Arial" w:cs="Arial"/>
          <w:sz w:val="20"/>
          <w:szCs w:val="20"/>
        </w:rPr>
      </w:pPr>
      <w:r>
        <w:rPr>
          <w:rFonts w:ascii="Arial" w:hAnsi="Arial" w:cs="Arial"/>
          <w:sz w:val="20"/>
          <w:szCs w:val="20"/>
        </w:rPr>
        <w:t>Despite these contributions, three research gaps remain. First, existing measurements are often macro-level and static, paying insufficient attention to intra-provincial spatial heterogeneit</w:t>
      </w:r>
      <w:r>
        <w:rPr>
          <w:rFonts w:ascii="Arial" w:hAnsi="Arial" w:cs="Arial"/>
          <w:sz w:val="20"/>
          <w:szCs w:val="20"/>
        </w:rPr>
        <w:t xml:space="preserve">y and dynamic evolution. Second, decomposition methods are relatively limited; few studies combine </w:t>
      </w:r>
      <w:proofErr w:type="spellStart"/>
      <w:r>
        <w:rPr>
          <w:rFonts w:ascii="Arial" w:hAnsi="Arial" w:cs="Arial"/>
          <w:sz w:val="20"/>
          <w:szCs w:val="20"/>
        </w:rPr>
        <w:t>Dagum</w:t>
      </w:r>
      <w:proofErr w:type="spellEnd"/>
      <w:r>
        <w:rPr>
          <w:rFonts w:ascii="Arial" w:hAnsi="Arial" w:cs="Arial"/>
          <w:sz w:val="20"/>
          <w:szCs w:val="20"/>
        </w:rPr>
        <w:t xml:space="preserve"> Gini coefficient decomposition with kernel density estimation to reveal the sources of disparities and their distributional dynamics over time. Third, </w:t>
      </w:r>
      <w:r>
        <w:rPr>
          <w:rFonts w:ascii="Arial" w:hAnsi="Arial" w:cs="Arial"/>
          <w:sz w:val="20"/>
          <w:szCs w:val="20"/>
        </w:rPr>
        <w:t>policy recommendations tend to be generic, lacking differentiated collaborative pathways tailored to the distinct endowments of different regions within Jiangsu Province.</w:t>
      </w:r>
    </w:p>
    <w:p w14:paraId="0550BBF5" w14:textId="77777777" w:rsidR="00490675" w:rsidRDefault="00490675">
      <w:pPr>
        <w:rPr>
          <w:rFonts w:ascii="Arial" w:hAnsi="Arial" w:cs="Arial"/>
          <w:sz w:val="20"/>
          <w:szCs w:val="20"/>
        </w:rPr>
      </w:pPr>
    </w:p>
    <w:p w14:paraId="054754FD" w14:textId="77777777" w:rsidR="00490675" w:rsidRDefault="009B469C">
      <w:pPr>
        <w:rPr>
          <w:rFonts w:ascii="Arial" w:hAnsi="Arial" w:cs="Arial"/>
          <w:sz w:val="20"/>
          <w:szCs w:val="20"/>
        </w:rPr>
      </w:pPr>
      <w:r>
        <w:rPr>
          <w:rFonts w:ascii="Arial" w:hAnsi="Arial" w:cs="Arial"/>
          <w:sz w:val="20"/>
          <w:szCs w:val="20"/>
        </w:rPr>
        <w:t>To address these gaps, this study uses panel data from 13 prefecture-level cities in</w:t>
      </w:r>
      <w:r>
        <w:rPr>
          <w:rFonts w:ascii="Arial" w:hAnsi="Arial" w:cs="Arial"/>
          <w:sz w:val="20"/>
          <w:szCs w:val="20"/>
        </w:rPr>
        <w:t xml:space="preserve"> Jiangsu Province from 2013 to 2024. We construct a three-dimensional evaluation system comprising agricultural competitiveness, green support capacity, and livelihood prosperity. The Entropy-TOPSIS method is used to measure the development level of rural </w:t>
      </w:r>
      <w:r>
        <w:rPr>
          <w:rFonts w:ascii="Arial" w:hAnsi="Arial" w:cs="Arial"/>
          <w:sz w:val="20"/>
          <w:szCs w:val="20"/>
        </w:rPr>
        <w:t xml:space="preserve">industrial revitalization, the </w:t>
      </w:r>
      <w:proofErr w:type="spellStart"/>
      <w:r>
        <w:rPr>
          <w:rFonts w:ascii="Arial" w:hAnsi="Arial" w:cs="Arial"/>
          <w:sz w:val="20"/>
          <w:szCs w:val="20"/>
        </w:rPr>
        <w:t>Dagum</w:t>
      </w:r>
      <w:proofErr w:type="spellEnd"/>
      <w:r>
        <w:rPr>
          <w:rFonts w:ascii="Arial" w:hAnsi="Arial" w:cs="Arial"/>
          <w:sz w:val="20"/>
          <w:szCs w:val="20"/>
        </w:rPr>
        <w:t xml:space="preserve"> Gini coefficient to decompose the sources of regional differences, and kernel density estimation to characterize dynamic evolution. This study answers three key questions: (1) What are the temporal evolution characteris</w:t>
      </w:r>
      <w:r>
        <w:rPr>
          <w:rFonts w:ascii="Arial" w:hAnsi="Arial" w:cs="Arial"/>
          <w:sz w:val="20"/>
          <w:szCs w:val="20"/>
        </w:rPr>
        <w:t>tics and spatial distribution patterns of rural industrial revitalization in Jiangsu? (2) How do overall, intra-regional, and inter-regional disparities change over time? (3) What are the key drivers of convergence and divergence in regional disparities?</w:t>
      </w:r>
    </w:p>
    <w:p w14:paraId="1C941D1E" w14:textId="77777777" w:rsidR="00490675" w:rsidRDefault="00490675">
      <w:pPr>
        <w:rPr>
          <w:rFonts w:ascii="Arial" w:hAnsi="Arial" w:cs="Arial"/>
          <w:sz w:val="20"/>
          <w:szCs w:val="20"/>
        </w:rPr>
      </w:pPr>
    </w:p>
    <w:p w14:paraId="792DCC01" w14:textId="77777777" w:rsidR="00490675" w:rsidRDefault="009B469C">
      <w:pPr>
        <w:widowControl/>
        <w:topLinePunct/>
        <w:rPr>
          <w:rFonts w:ascii="Arial" w:hAnsi="Arial" w:cs="Arial"/>
          <w:b/>
          <w:bCs/>
          <w:sz w:val="22"/>
          <w:szCs w:val="22"/>
        </w:rPr>
      </w:pPr>
      <w:r>
        <w:rPr>
          <w:rFonts w:ascii="Arial" w:hAnsi="Arial" w:cs="Arial" w:hint="eastAsia"/>
          <w:b/>
          <w:bCs/>
          <w:sz w:val="22"/>
          <w:szCs w:val="22"/>
        </w:rPr>
        <w:t>2. MATERIALS AND METHODS</w:t>
      </w:r>
    </w:p>
    <w:p w14:paraId="6CF846D6" w14:textId="77777777" w:rsidR="00490675" w:rsidRDefault="009B469C">
      <w:pPr>
        <w:widowControl/>
        <w:topLinePunct/>
        <w:spacing w:line="480" w:lineRule="auto"/>
        <w:rPr>
          <w:rFonts w:ascii="Arial" w:hAnsi="Arial" w:cs="Arial"/>
          <w:b/>
          <w:bCs/>
          <w:sz w:val="22"/>
          <w:szCs w:val="22"/>
        </w:rPr>
      </w:pPr>
      <w:r>
        <w:rPr>
          <w:rFonts w:ascii="Arial" w:hAnsi="Arial" w:cs="Arial" w:hint="eastAsia"/>
          <w:b/>
          <w:bCs/>
          <w:sz w:val="22"/>
          <w:szCs w:val="22"/>
        </w:rPr>
        <w:t>2.1</w:t>
      </w:r>
      <w:r>
        <w:rPr>
          <w:rFonts w:ascii="Arial" w:hAnsi="Arial" w:cs="Arial"/>
          <w:b/>
          <w:bCs/>
          <w:sz w:val="22"/>
          <w:szCs w:val="22"/>
        </w:rPr>
        <w:t xml:space="preserve"> Study Area</w:t>
      </w:r>
    </w:p>
    <w:p w14:paraId="0BC25EFB" w14:textId="77777777" w:rsidR="00490675" w:rsidRDefault="009B469C">
      <w:pPr>
        <w:widowControl/>
        <w:topLinePunct/>
        <w:rPr>
          <w:rFonts w:ascii="Arial" w:hAnsi="Arial" w:cs="Arial"/>
          <w:sz w:val="20"/>
          <w:szCs w:val="20"/>
        </w:rPr>
      </w:pPr>
      <w:r>
        <w:rPr>
          <w:rFonts w:ascii="Arial" w:hAnsi="Arial" w:cs="Arial"/>
          <w:sz w:val="20"/>
          <w:szCs w:val="20"/>
        </w:rPr>
        <w:lastRenderedPageBreak/>
        <w:t>This study uses panel data from 2013 to 2024 for 13 prefecture-level cities in Jiangsu Province as the research sample. Located at the lower reaches of the Yangtze and Huai Rivers, Jiangsu Province features a predomi</w:t>
      </w:r>
      <w:r>
        <w:rPr>
          <w:rFonts w:ascii="Arial" w:hAnsi="Arial" w:cs="Arial"/>
          <w:sz w:val="20"/>
          <w:szCs w:val="20"/>
        </w:rPr>
        <w:t>nantly flat terrain and an advantageous geographical location, making it one of China’s most economically developed and modernized regions. The region boasts a well-developed water system, including the country’s third and fourth largest freshwater lakes (</w:t>
      </w:r>
      <w:r>
        <w:rPr>
          <w:rFonts w:ascii="Arial" w:hAnsi="Arial" w:cs="Arial"/>
          <w:sz w:val="20"/>
          <w:szCs w:val="20"/>
        </w:rPr>
        <w:t xml:space="preserve">Lake Tai and Lake </w:t>
      </w:r>
      <w:proofErr w:type="spellStart"/>
      <w:r>
        <w:rPr>
          <w:rFonts w:ascii="Arial" w:hAnsi="Arial" w:cs="Arial"/>
          <w:sz w:val="20"/>
          <w:szCs w:val="20"/>
        </w:rPr>
        <w:t>Hongze</w:t>
      </w:r>
      <w:proofErr w:type="spellEnd"/>
      <w:r>
        <w:rPr>
          <w:rFonts w:ascii="Arial" w:hAnsi="Arial" w:cs="Arial"/>
          <w:sz w:val="20"/>
          <w:szCs w:val="20"/>
        </w:rPr>
        <w:t>), as well as relatively concentrated and fertile land, providing excellent natural conditions for agricultural development. Based on their geographical locations and development patterns within Jiangsu Province, the 13 prefecture-l</w:t>
      </w:r>
      <w:r>
        <w:rPr>
          <w:rFonts w:ascii="Arial" w:hAnsi="Arial" w:cs="Arial"/>
          <w:sz w:val="20"/>
          <w:szCs w:val="20"/>
        </w:rPr>
        <w:t>evel cities are divided into three major regions: Southern Jiangsu (Suzhou, Wuxi, Changzhou, Nanjing, Zhenjiang), Central Jiangsu (Yangzhou, Taizhou, Nantong), and Northern Jiangsu (Xuzhou, Huai’an, Suqian, Yancheng, Lianyungang) (Fig. 1).</w:t>
      </w:r>
    </w:p>
    <w:p w14:paraId="3AC27191" w14:textId="77777777" w:rsidR="00490675" w:rsidRDefault="009B469C">
      <w:pPr>
        <w:widowControl/>
        <w:topLinePunct/>
        <w:rPr>
          <w:rFonts w:ascii="SimSun" w:eastAsia="SimSun" w:hAnsi="SimSun" w:cs="SimSun"/>
          <w:bCs/>
          <w:color w:val="4874CB" w:themeColor="accent1"/>
          <w:sz w:val="24"/>
        </w:rPr>
      </w:pPr>
      <w:r>
        <w:rPr>
          <w:rFonts w:ascii="SimSun" w:eastAsia="SimSun" w:hAnsi="SimSun" w:cs="SimSun" w:hint="eastAsia"/>
          <w:bCs/>
          <w:noProof/>
          <w:color w:val="4874CB" w:themeColor="accent1"/>
          <w:sz w:val="24"/>
        </w:rPr>
        <w:drawing>
          <wp:inline distT="0" distB="0" distL="114300" distR="114300" wp14:anchorId="04A5EEDA" wp14:editId="6CC8DF29">
            <wp:extent cx="5141595" cy="4071620"/>
            <wp:effectExtent l="0" t="0" r="9525" b="12700"/>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6"/>
                    <a:stretch>
                      <a:fillRect/>
                    </a:stretch>
                  </pic:blipFill>
                  <pic:spPr>
                    <a:xfrm>
                      <a:off x="0" y="0"/>
                      <a:ext cx="5141595" cy="4071620"/>
                    </a:xfrm>
                    <a:prstGeom prst="rect">
                      <a:avLst/>
                    </a:prstGeom>
                  </pic:spPr>
                </pic:pic>
              </a:graphicData>
            </a:graphic>
          </wp:inline>
        </w:drawing>
      </w:r>
    </w:p>
    <w:p w14:paraId="508B8BDC" w14:textId="77777777" w:rsidR="00490675" w:rsidRDefault="009B469C">
      <w:pPr>
        <w:widowControl/>
        <w:topLinePunct/>
        <w:rPr>
          <w:rFonts w:ascii="Arial" w:hAnsi="Arial" w:cs="Arial"/>
          <w:b/>
          <w:bCs/>
          <w:sz w:val="20"/>
          <w:szCs w:val="20"/>
        </w:rPr>
      </w:pPr>
      <w:r>
        <w:rPr>
          <w:rFonts w:ascii="Arial" w:hAnsi="Arial" w:cs="Arial"/>
          <w:b/>
          <w:bCs/>
          <w:sz w:val="20"/>
          <w:szCs w:val="20"/>
        </w:rPr>
        <w:t xml:space="preserve">Fig. 1. </w:t>
      </w:r>
      <w:r>
        <w:rPr>
          <w:sz w:val="20"/>
          <w:szCs w:val="20"/>
        </w:rPr>
        <w:t xml:space="preserve"> </w:t>
      </w:r>
      <w:r>
        <w:rPr>
          <w:rFonts w:ascii="Arial" w:hAnsi="Arial" w:cs="Arial"/>
          <w:b/>
          <w:bCs/>
          <w:sz w:val="20"/>
          <w:szCs w:val="20"/>
        </w:rPr>
        <w:t>Study</w:t>
      </w:r>
      <w:r>
        <w:rPr>
          <w:rFonts w:ascii="Arial" w:hAnsi="Arial" w:cs="Arial"/>
          <w:b/>
          <w:bCs/>
          <w:sz w:val="20"/>
          <w:szCs w:val="20"/>
        </w:rPr>
        <w:t xml:space="preserve"> Area and Regional Division</w:t>
      </w:r>
    </w:p>
    <w:p w14:paraId="14815C01" w14:textId="77777777" w:rsidR="00490675" w:rsidRDefault="00490675">
      <w:pPr>
        <w:widowControl/>
        <w:topLinePunct/>
        <w:rPr>
          <w:rFonts w:ascii="Arial" w:hAnsi="Arial" w:cs="Arial"/>
          <w:b/>
          <w:bCs/>
          <w:sz w:val="22"/>
          <w:szCs w:val="22"/>
        </w:rPr>
      </w:pPr>
    </w:p>
    <w:p w14:paraId="41B3471D" w14:textId="77777777" w:rsidR="00490675" w:rsidRDefault="009B469C">
      <w:pPr>
        <w:widowControl/>
        <w:topLinePunct/>
        <w:rPr>
          <w:rFonts w:ascii="Arial" w:hAnsi="Arial" w:cs="Arial"/>
          <w:b/>
          <w:bCs/>
          <w:sz w:val="22"/>
          <w:szCs w:val="22"/>
        </w:rPr>
      </w:pPr>
      <w:r>
        <w:rPr>
          <w:rFonts w:ascii="Arial" w:hAnsi="Arial" w:cs="Arial"/>
          <w:b/>
          <w:bCs/>
          <w:sz w:val="22"/>
          <w:szCs w:val="22"/>
        </w:rPr>
        <w:t>2.2 Indicator System Construction</w:t>
      </w:r>
    </w:p>
    <w:p w14:paraId="15BBF895" w14:textId="77777777" w:rsidR="00490675" w:rsidRDefault="00490675">
      <w:pPr>
        <w:widowControl/>
        <w:topLinePunct/>
        <w:rPr>
          <w:rFonts w:ascii="Arial" w:hAnsi="Arial" w:cs="Arial"/>
          <w:sz w:val="20"/>
          <w:szCs w:val="20"/>
        </w:rPr>
      </w:pPr>
    </w:p>
    <w:p w14:paraId="673C25D2" w14:textId="77777777" w:rsidR="00490675" w:rsidRDefault="009B469C">
      <w:pPr>
        <w:widowControl/>
        <w:topLinePunct/>
        <w:rPr>
          <w:rFonts w:ascii="Arial" w:hAnsi="Arial" w:cs="Arial"/>
          <w:sz w:val="20"/>
          <w:szCs w:val="20"/>
        </w:rPr>
      </w:pPr>
      <w:r>
        <w:rPr>
          <w:rFonts w:ascii="Arial" w:hAnsi="Arial" w:cs="Arial"/>
          <w:sz w:val="20"/>
          <w:szCs w:val="20"/>
        </w:rPr>
        <w:t>Based on the theoretical framework of rural industrial revitalization and the "Guidelines on Promoting Rural Industrial Revitalization" issued by the State Council, and drawing on the research</w:t>
      </w:r>
      <w:r>
        <w:rPr>
          <w:rFonts w:ascii="Arial" w:hAnsi="Arial" w:cs="Arial"/>
          <w:sz w:val="20"/>
          <w:szCs w:val="20"/>
        </w:rPr>
        <w:t xml:space="preserve"> findings of Cao Liping (Cao, 2025), this paper constructs three main indicators - industrial competitiveness, green support capability, and livelihood prosperity - to measure the level of rural industrial revitalization in Jiangsu Province. At the same ti</w:t>
      </w:r>
      <w:r>
        <w:rPr>
          <w:rFonts w:ascii="Arial" w:hAnsi="Arial" w:cs="Arial"/>
          <w:sz w:val="20"/>
          <w:szCs w:val="20"/>
        </w:rPr>
        <w:t xml:space="preserve">me, the </w:t>
      </w:r>
      <w:proofErr w:type="spellStart"/>
      <w:r>
        <w:rPr>
          <w:rFonts w:ascii="Arial" w:hAnsi="Arial" w:cs="Arial"/>
          <w:sz w:val="20"/>
          <w:szCs w:val="20"/>
        </w:rPr>
        <w:t>scientificity</w:t>
      </w:r>
      <w:proofErr w:type="spellEnd"/>
      <w:r>
        <w:rPr>
          <w:rFonts w:ascii="Arial" w:hAnsi="Arial" w:cs="Arial"/>
          <w:sz w:val="20"/>
          <w:szCs w:val="20"/>
        </w:rPr>
        <w:t>, rigor, comprehensiveness, as well as the availability and comparability of the data of the indicators are comprehensively considered. Industrial competitiveness includes labor productivity, land productivity, grain labor productivity</w:t>
      </w:r>
      <w:r>
        <w:rPr>
          <w:rFonts w:ascii="Arial" w:hAnsi="Arial" w:cs="Arial"/>
          <w:sz w:val="20"/>
          <w:szCs w:val="20"/>
        </w:rPr>
        <w:t xml:space="preserve">, the degree of industrial structure </w:t>
      </w:r>
      <w:r>
        <w:rPr>
          <w:rFonts w:ascii="Arial" w:hAnsi="Arial" w:cs="Arial"/>
          <w:sz w:val="20"/>
          <w:szCs w:val="20"/>
        </w:rPr>
        <w:lastRenderedPageBreak/>
        <w:t>optimization, and mechanization level; green support capability includes the intensity of fertilizer and pesticide use and the comprehensive utilization rate of livestock manure; livelihood prosperity includes the incom</w:t>
      </w:r>
      <w:r>
        <w:rPr>
          <w:rFonts w:ascii="Arial" w:hAnsi="Arial" w:cs="Arial"/>
          <w:sz w:val="20"/>
          <w:szCs w:val="20"/>
        </w:rPr>
        <w:t>e level of rural residents, the urban-rural income ratio, and the rural consumption structure. The specific measurement methods of the secondary indicators are shown in Table 1.</w:t>
      </w:r>
    </w:p>
    <w:p w14:paraId="0983E440" w14:textId="77777777" w:rsidR="00490675" w:rsidRDefault="00490675">
      <w:pPr>
        <w:widowControl/>
        <w:tabs>
          <w:tab w:val="left" w:pos="1080"/>
        </w:tabs>
        <w:rPr>
          <w:rFonts w:ascii="Arial" w:hAnsi="Arial"/>
          <w:b/>
        </w:rPr>
      </w:pPr>
    </w:p>
    <w:p w14:paraId="23D82180" w14:textId="77777777" w:rsidR="00490675" w:rsidRDefault="009B469C">
      <w:pPr>
        <w:widowControl/>
        <w:tabs>
          <w:tab w:val="left" w:pos="1080"/>
        </w:tabs>
        <w:rPr>
          <w:rFonts w:ascii="Arial" w:eastAsia="Times New Roman" w:hAnsi="Arial" w:cs="Times New Roman"/>
          <w:b/>
          <w:kern w:val="0"/>
          <w:sz w:val="20"/>
          <w:szCs w:val="20"/>
        </w:rPr>
      </w:pPr>
      <w:r>
        <w:rPr>
          <w:rFonts w:ascii="Arial" w:hAnsi="Arial"/>
          <w:b/>
        </w:rPr>
        <w:t>Table 1.</w:t>
      </w:r>
      <w:r>
        <w:rPr>
          <w:rFonts w:ascii="Arial" w:hAnsi="Arial" w:hint="eastAsia"/>
          <w:b/>
        </w:rPr>
        <w:t xml:space="preserve"> </w:t>
      </w:r>
      <w:r>
        <w:rPr>
          <w:rFonts w:ascii="Arial" w:eastAsia="Times New Roman" w:hAnsi="Arial" w:cs="Times New Roman" w:hint="eastAsia"/>
          <w:b/>
          <w:kern w:val="0"/>
          <w:sz w:val="20"/>
          <w:szCs w:val="20"/>
        </w:rPr>
        <w:t xml:space="preserve"> </w:t>
      </w:r>
      <w:r>
        <w:rPr>
          <w:rFonts w:ascii="Arial" w:eastAsia="Times New Roman" w:hAnsi="Arial" w:cs="Times New Roman"/>
          <w:b/>
          <w:kern w:val="0"/>
          <w:sz w:val="20"/>
          <w:szCs w:val="20"/>
        </w:rPr>
        <w:t>Indicator System for Rural Industry Revitalization Level</w:t>
      </w:r>
    </w:p>
    <w:tbl>
      <w:tblPr>
        <w:tblStyle w:val="TableGrid"/>
        <w:tblW w:w="8498" w:type="dxa"/>
        <w:jc w:val="center"/>
        <w:tblCellMar>
          <w:top w:w="45" w:type="dxa"/>
          <w:left w:w="96" w:type="dxa"/>
          <w:bottom w:w="45" w:type="dxa"/>
          <w:right w:w="96" w:type="dxa"/>
        </w:tblCellMar>
        <w:tblLook w:val="04A0" w:firstRow="1" w:lastRow="0" w:firstColumn="1" w:lastColumn="0" w:noHBand="0" w:noVBand="1"/>
      </w:tblPr>
      <w:tblGrid>
        <w:gridCol w:w="1875"/>
        <w:gridCol w:w="2185"/>
        <w:gridCol w:w="3088"/>
        <w:gridCol w:w="1350"/>
      </w:tblGrid>
      <w:tr w:rsidR="00490675" w14:paraId="5634AABD" w14:textId="77777777">
        <w:trPr>
          <w:tblHeader/>
          <w:jc w:val="center"/>
        </w:trPr>
        <w:tc>
          <w:tcPr>
            <w:tcW w:w="0" w:type="auto"/>
            <w:tcBorders>
              <w:top w:val="single" w:sz="12" w:space="0" w:color="auto"/>
              <w:left w:val="nil"/>
              <w:bottom w:val="single" w:sz="4" w:space="0" w:color="auto"/>
              <w:right w:val="nil"/>
            </w:tcBorders>
            <w:vAlign w:val="center"/>
          </w:tcPr>
          <w:p w14:paraId="3589F275" w14:textId="77777777" w:rsidR="00490675" w:rsidRDefault="009B469C">
            <w:pPr>
              <w:pStyle w:val="a"/>
              <w:adjustRightInd w:val="0"/>
              <w:snapToGrid w:val="0"/>
              <w:spacing w:line="480" w:lineRule="auto"/>
              <w:ind w:firstLineChars="0" w:firstLine="0"/>
              <w:rPr>
                <w:rFonts w:ascii="Arial"/>
                <w:b/>
                <w:sz w:val="20"/>
                <w:szCs w:val="21"/>
              </w:rPr>
            </w:pPr>
            <w:r>
              <w:rPr>
                <w:rFonts w:ascii="Arial" w:hAnsi="Arial" w:cs="Arial"/>
                <w:b/>
                <w:bCs/>
                <w:kern w:val="2"/>
                <w:sz w:val="20"/>
              </w:rPr>
              <w:t>Primary In</w:t>
            </w:r>
            <w:r>
              <w:rPr>
                <w:rFonts w:ascii="Arial" w:hAnsi="Arial" w:cs="Arial"/>
                <w:b/>
                <w:bCs/>
                <w:kern w:val="2"/>
                <w:sz w:val="20"/>
              </w:rPr>
              <w:t>dicator</w:t>
            </w:r>
          </w:p>
        </w:tc>
        <w:tc>
          <w:tcPr>
            <w:tcW w:w="0" w:type="auto"/>
            <w:tcBorders>
              <w:top w:val="single" w:sz="12" w:space="0" w:color="auto"/>
              <w:left w:val="nil"/>
              <w:bottom w:val="single" w:sz="4" w:space="0" w:color="auto"/>
              <w:right w:val="nil"/>
            </w:tcBorders>
            <w:vAlign w:val="center"/>
          </w:tcPr>
          <w:p w14:paraId="08274CDF" w14:textId="77777777" w:rsidR="00490675" w:rsidRDefault="009B469C">
            <w:pPr>
              <w:pStyle w:val="a"/>
              <w:adjustRightInd w:val="0"/>
              <w:snapToGrid w:val="0"/>
              <w:spacing w:line="480" w:lineRule="auto"/>
              <w:ind w:firstLineChars="0" w:firstLine="0"/>
              <w:rPr>
                <w:rFonts w:ascii="Arial" w:hAnsi="Arial" w:cs="Arial"/>
                <w:b/>
                <w:bCs/>
                <w:kern w:val="2"/>
                <w:sz w:val="20"/>
              </w:rPr>
            </w:pPr>
            <w:r>
              <w:rPr>
                <w:rFonts w:ascii="Arial" w:hAnsi="Arial" w:cs="Arial" w:hint="eastAsia"/>
                <w:b/>
                <w:bCs/>
                <w:kern w:val="2"/>
                <w:sz w:val="20"/>
              </w:rPr>
              <w:t>Secondary Indicator</w:t>
            </w:r>
          </w:p>
        </w:tc>
        <w:tc>
          <w:tcPr>
            <w:tcW w:w="0" w:type="auto"/>
            <w:tcBorders>
              <w:top w:val="single" w:sz="12" w:space="0" w:color="auto"/>
              <w:left w:val="nil"/>
              <w:bottom w:val="single" w:sz="4" w:space="0" w:color="auto"/>
              <w:right w:val="nil"/>
            </w:tcBorders>
            <w:vAlign w:val="center"/>
          </w:tcPr>
          <w:p w14:paraId="66BCBCBC" w14:textId="77777777" w:rsidR="00490675" w:rsidRDefault="009B469C">
            <w:pPr>
              <w:pStyle w:val="a"/>
              <w:tabs>
                <w:tab w:val="left" w:pos="2388"/>
              </w:tabs>
              <w:adjustRightInd w:val="0"/>
              <w:snapToGrid w:val="0"/>
              <w:spacing w:line="480" w:lineRule="auto"/>
              <w:ind w:firstLineChars="0" w:firstLine="0"/>
              <w:rPr>
                <w:rFonts w:ascii="Arial" w:hAnsi="Arial"/>
                <w:b/>
                <w:sz w:val="20"/>
              </w:rPr>
            </w:pPr>
            <w:r>
              <w:rPr>
                <w:rFonts w:ascii="Arial" w:hAnsi="Arial"/>
                <w:b/>
                <w:sz w:val="20"/>
              </w:rPr>
              <w:t>Calculation Method</w:t>
            </w:r>
          </w:p>
        </w:tc>
        <w:tc>
          <w:tcPr>
            <w:tcW w:w="1350" w:type="dxa"/>
            <w:tcBorders>
              <w:top w:val="single" w:sz="12" w:space="0" w:color="auto"/>
              <w:left w:val="nil"/>
              <w:bottom w:val="single" w:sz="4" w:space="0" w:color="auto"/>
              <w:right w:val="nil"/>
            </w:tcBorders>
            <w:vAlign w:val="center"/>
          </w:tcPr>
          <w:p w14:paraId="71A15B33" w14:textId="77777777" w:rsidR="00490675" w:rsidRDefault="009B469C">
            <w:pPr>
              <w:pStyle w:val="a"/>
              <w:adjustRightInd w:val="0"/>
              <w:snapToGrid w:val="0"/>
              <w:spacing w:line="480" w:lineRule="auto"/>
              <w:ind w:firstLineChars="0" w:firstLine="0"/>
              <w:rPr>
                <w:rFonts w:ascii="Arial"/>
                <w:b/>
                <w:sz w:val="20"/>
                <w:szCs w:val="21"/>
              </w:rPr>
            </w:pPr>
            <w:r>
              <w:rPr>
                <w:rFonts w:ascii="Arial" w:hAnsi="Arial"/>
                <w:b/>
                <w:sz w:val="20"/>
              </w:rPr>
              <w:t>Unit</w:t>
            </w:r>
          </w:p>
        </w:tc>
      </w:tr>
      <w:tr w:rsidR="00490675" w14:paraId="1AF207AC" w14:textId="77777777">
        <w:trPr>
          <w:jc w:val="center"/>
        </w:trPr>
        <w:tc>
          <w:tcPr>
            <w:tcW w:w="0" w:type="auto"/>
            <w:tcBorders>
              <w:top w:val="single" w:sz="4" w:space="0" w:color="auto"/>
              <w:left w:val="nil"/>
              <w:bottom w:val="nil"/>
              <w:right w:val="nil"/>
            </w:tcBorders>
          </w:tcPr>
          <w:p w14:paraId="3D86EE33"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Industrial Competitiveness</w:t>
            </w:r>
          </w:p>
        </w:tc>
        <w:tc>
          <w:tcPr>
            <w:tcW w:w="0" w:type="auto"/>
            <w:tcBorders>
              <w:top w:val="single" w:sz="4" w:space="0" w:color="auto"/>
              <w:left w:val="nil"/>
              <w:bottom w:val="nil"/>
              <w:right w:val="nil"/>
            </w:tcBorders>
          </w:tcPr>
          <w:p w14:paraId="7C6CF6B0"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Labor Productivity (+)</w:t>
            </w:r>
          </w:p>
        </w:tc>
        <w:tc>
          <w:tcPr>
            <w:tcW w:w="0" w:type="auto"/>
            <w:tcBorders>
              <w:top w:val="single" w:sz="4" w:space="0" w:color="auto"/>
              <w:left w:val="nil"/>
              <w:bottom w:val="nil"/>
              <w:right w:val="nil"/>
            </w:tcBorders>
          </w:tcPr>
          <w:p w14:paraId="7B40A7CF"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Added value of agriculture, forestry, animal husbandry and fishery / Number of employees in the primary industry</w:t>
            </w:r>
          </w:p>
        </w:tc>
        <w:tc>
          <w:tcPr>
            <w:tcW w:w="1350" w:type="dxa"/>
            <w:tcBorders>
              <w:top w:val="single" w:sz="4" w:space="0" w:color="auto"/>
              <w:left w:val="nil"/>
              <w:bottom w:val="nil"/>
              <w:right w:val="nil"/>
            </w:tcBorders>
          </w:tcPr>
          <w:p w14:paraId="7A72A35C"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yuan/person</w:t>
            </w:r>
          </w:p>
        </w:tc>
      </w:tr>
      <w:tr w:rsidR="00490675" w14:paraId="30C971B5" w14:textId="77777777">
        <w:trPr>
          <w:jc w:val="center"/>
        </w:trPr>
        <w:tc>
          <w:tcPr>
            <w:tcW w:w="0" w:type="auto"/>
            <w:tcBorders>
              <w:top w:val="nil"/>
              <w:left w:val="nil"/>
              <w:bottom w:val="nil"/>
              <w:right w:val="nil"/>
            </w:tcBorders>
          </w:tcPr>
          <w:p w14:paraId="521CFFB7" w14:textId="77777777" w:rsidR="00490675" w:rsidRDefault="00490675">
            <w:pPr>
              <w:pStyle w:val="a"/>
              <w:adjustRightInd w:val="0"/>
              <w:snapToGrid w:val="0"/>
              <w:spacing w:line="480" w:lineRule="auto"/>
              <w:ind w:firstLineChars="0" w:firstLine="0"/>
              <w:rPr>
                <w:rFonts w:ascii="Arial" w:eastAsiaTheme="minorEastAsia" w:hAnsi="Arial" w:cs="Arial"/>
                <w:kern w:val="2"/>
                <w:sz w:val="20"/>
              </w:rPr>
            </w:pPr>
          </w:p>
        </w:tc>
        <w:tc>
          <w:tcPr>
            <w:tcW w:w="0" w:type="auto"/>
            <w:tcBorders>
              <w:top w:val="nil"/>
              <w:left w:val="nil"/>
              <w:bottom w:val="nil"/>
              <w:right w:val="nil"/>
            </w:tcBorders>
          </w:tcPr>
          <w:p w14:paraId="3D8AEC18"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Land Productivity (+)</w:t>
            </w:r>
          </w:p>
        </w:tc>
        <w:tc>
          <w:tcPr>
            <w:tcW w:w="0" w:type="auto"/>
            <w:tcBorders>
              <w:top w:val="nil"/>
              <w:left w:val="nil"/>
              <w:bottom w:val="nil"/>
              <w:right w:val="nil"/>
            </w:tcBorders>
          </w:tcPr>
          <w:p w14:paraId="15901BAE"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Total agricultural output value / Sown area of crops</w:t>
            </w:r>
          </w:p>
        </w:tc>
        <w:tc>
          <w:tcPr>
            <w:tcW w:w="1350" w:type="dxa"/>
            <w:tcBorders>
              <w:top w:val="nil"/>
              <w:left w:val="nil"/>
              <w:bottom w:val="nil"/>
              <w:right w:val="nil"/>
            </w:tcBorders>
          </w:tcPr>
          <w:p w14:paraId="54829636"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yuan/hectare</w:t>
            </w:r>
          </w:p>
        </w:tc>
      </w:tr>
      <w:tr w:rsidR="00490675" w14:paraId="6833E783" w14:textId="77777777">
        <w:trPr>
          <w:jc w:val="center"/>
        </w:trPr>
        <w:tc>
          <w:tcPr>
            <w:tcW w:w="0" w:type="auto"/>
            <w:tcBorders>
              <w:top w:val="nil"/>
              <w:left w:val="nil"/>
              <w:bottom w:val="nil"/>
              <w:right w:val="nil"/>
            </w:tcBorders>
          </w:tcPr>
          <w:p w14:paraId="3B1BE94C" w14:textId="77777777" w:rsidR="00490675" w:rsidRDefault="00490675">
            <w:pPr>
              <w:pStyle w:val="a"/>
              <w:adjustRightInd w:val="0"/>
              <w:snapToGrid w:val="0"/>
              <w:spacing w:line="480" w:lineRule="auto"/>
              <w:ind w:firstLineChars="0" w:firstLine="0"/>
              <w:rPr>
                <w:rFonts w:ascii="Arial" w:eastAsiaTheme="minorEastAsia" w:hAnsi="Arial" w:cs="Arial"/>
                <w:kern w:val="2"/>
                <w:sz w:val="20"/>
              </w:rPr>
            </w:pPr>
          </w:p>
        </w:tc>
        <w:tc>
          <w:tcPr>
            <w:tcW w:w="0" w:type="auto"/>
            <w:tcBorders>
              <w:top w:val="nil"/>
              <w:left w:val="nil"/>
              <w:bottom w:val="nil"/>
              <w:right w:val="nil"/>
            </w:tcBorders>
          </w:tcPr>
          <w:p w14:paraId="38D1D975"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Grain Labor Productivity (+)</w:t>
            </w:r>
          </w:p>
        </w:tc>
        <w:tc>
          <w:tcPr>
            <w:tcW w:w="0" w:type="auto"/>
            <w:tcBorders>
              <w:top w:val="nil"/>
              <w:left w:val="nil"/>
              <w:bottom w:val="nil"/>
              <w:right w:val="nil"/>
            </w:tcBorders>
          </w:tcPr>
          <w:p w14:paraId="659036F7"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Grain output / Number of employees in the primary industry</w:t>
            </w:r>
          </w:p>
        </w:tc>
        <w:tc>
          <w:tcPr>
            <w:tcW w:w="1350" w:type="dxa"/>
            <w:tcBorders>
              <w:top w:val="nil"/>
              <w:left w:val="nil"/>
              <w:bottom w:val="nil"/>
              <w:right w:val="nil"/>
            </w:tcBorders>
          </w:tcPr>
          <w:p w14:paraId="68999D49"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ton/person</w:t>
            </w:r>
          </w:p>
        </w:tc>
      </w:tr>
      <w:tr w:rsidR="00490675" w14:paraId="7C8A7F01" w14:textId="77777777">
        <w:trPr>
          <w:jc w:val="center"/>
        </w:trPr>
        <w:tc>
          <w:tcPr>
            <w:tcW w:w="0" w:type="auto"/>
            <w:tcBorders>
              <w:top w:val="nil"/>
              <w:left w:val="nil"/>
              <w:bottom w:val="nil"/>
              <w:right w:val="nil"/>
            </w:tcBorders>
          </w:tcPr>
          <w:p w14:paraId="2A457F4F" w14:textId="77777777" w:rsidR="00490675" w:rsidRDefault="00490675">
            <w:pPr>
              <w:pStyle w:val="a"/>
              <w:adjustRightInd w:val="0"/>
              <w:snapToGrid w:val="0"/>
              <w:spacing w:line="480" w:lineRule="auto"/>
              <w:ind w:firstLineChars="0" w:firstLine="0"/>
              <w:rPr>
                <w:rFonts w:ascii="Arial" w:eastAsiaTheme="minorEastAsia" w:hAnsi="Arial" w:cs="Arial"/>
                <w:kern w:val="2"/>
                <w:sz w:val="20"/>
              </w:rPr>
            </w:pPr>
          </w:p>
        </w:tc>
        <w:tc>
          <w:tcPr>
            <w:tcW w:w="0" w:type="auto"/>
            <w:tcBorders>
              <w:top w:val="nil"/>
              <w:left w:val="nil"/>
              <w:bottom w:val="nil"/>
              <w:right w:val="nil"/>
            </w:tcBorders>
          </w:tcPr>
          <w:p w14:paraId="4731B0B2"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Industrial Structure Optimization Degree (+)</w:t>
            </w:r>
          </w:p>
        </w:tc>
        <w:tc>
          <w:tcPr>
            <w:tcW w:w="0" w:type="auto"/>
            <w:tcBorders>
              <w:top w:val="nil"/>
              <w:left w:val="nil"/>
              <w:bottom w:val="nil"/>
              <w:right w:val="nil"/>
            </w:tcBorders>
          </w:tcPr>
          <w:p w14:paraId="585482F1"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 xml:space="preserve">Output value of agriculture, forestry, </w:t>
            </w:r>
            <w:r>
              <w:rPr>
                <w:rFonts w:ascii="Arial" w:eastAsiaTheme="minorEastAsia" w:hAnsi="Arial" w:cs="Arial"/>
                <w:kern w:val="2"/>
                <w:sz w:val="20"/>
              </w:rPr>
              <w:t>animal husbandry and fishery services / Total output value of agriculture, forestry, animal husbandry and fishery</w:t>
            </w:r>
          </w:p>
        </w:tc>
        <w:tc>
          <w:tcPr>
            <w:tcW w:w="1350" w:type="dxa"/>
            <w:tcBorders>
              <w:top w:val="nil"/>
              <w:left w:val="nil"/>
              <w:bottom w:val="nil"/>
              <w:right w:val="nil"/>
            </w:tcBorders>
          </w:tcPr>
          <w:p w14:paraId="3D302F11"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w:t>
            </w:r>
          </w:p>
        </w:tc>
      </w:tr>
      <w:tr w:rsidR="00490675" w14:paraId="45B276A1" w14:textId="77777777">
        <w:trPr>
          <w:jc w:val="center"/>
        </w:trPr>
        <w:tc>
          <w:tcPr>
            <w:tcW w:w="0" w:type="auto"/>
            <w:tcBorders>
              <w:top w:val="nil"/>
              <w:left w:val="nil"/>
              <w:bottom w:val="nil"/>
              <w:right w:val="nil"/>
            </w:tcBorders>
          </w:tcPr>
          <w:p w14:paraId="683755C7" w14:textId="77777777" w:rsidR="00490675" w:rsidRDefault="00490675">
            <w:pPr>
              <w:pStyle w:val="a"/>
              <w:adjustRightInd w:val="0"/>
              <w:snapToGrid w:val="0"/>
              <w:spacing w:line="480" w:lineRule="auto"/>
              <w:ind w:firstLineChars="0" w:firstLine="0"/>
              <w:rPr>
                <w:rFonts w:ascii="Arial" w:eastAsiaTheme="minorEastAsia" w:hAnsi="Arial" w:cs="Arial"/>
                <w:kern w:val="2"/>
                <w:sz w:val="20"/>
              </w:rPr>
            </w:pPr>
          </w:p>
        </w:tc>
        <w:tc>
          <w:tcPr>
            <w:tcW w:w="0" w:type="auto"/>
            <w:tcBorders>
              <w:top w:val="nil"/>
              <w:left w:val="nil"/>
              <w:bottom w:val="nil"/>
              <w:right w:val="nil"/>
            </w:tcBorders>
          </w:tcPr>
          <w:p w14:paraId="2DE29C6B"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Mechanization Level (+)</w:t>
            </w:r>
          </w:p>
        </w:tc>
        <w:tc>
          <w:tcPr>
            <w:tcW w:w="0" w:type="auto"/>
            <w:tcBorders>
              <w:top w:val="nil"/>
              <w:left w:val="nil"/>
              <w:bottom w:val="nil"/>
              <w:right w:val="nil"/>
            </w:tcBorders>
          </w:tcPr>
          <w:p w14:paraId="699788A4"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Total power of agricultural machinery / Number of employees in the primary industry</w:t>
            </w:r>
          </w:p>
        </w:tc>
        <w:tc>
          <w:tcPr>
            <w:tcW w:w="1350" w:type="dxa"/>
            <w:tcBorders>
              <w:top w:val="nil"/>
              <w:left w:val="nil"/>
              <w:bottom w:val="nil"/>
              <w:right w:val="nil"/>
            </w:tcBorders>
          </w:tcPr>
          <w:p w14:paraId="7561D843"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kW/person</w:t>
            </w:r>
          </w:p>
        </w:tc>
      </w:tr>
      <w:tr w:rsidR="00490675" w14:paraId="09763570" w14:textId="77777777">
        <w:trPr>
          <w:jc w:val="center"/>
        </w:trPr>
        <w:tc>
          <w:tcPr>
            <w:tcW w:w="0" w:type="auto"/>
            <w:tcBorders>
              <w:top w:val="nil"/>
              <w:left w:val="nil"/>
              <w:bottom w:val="nil"/>
              <w:right w:val="nil"/>
            </w:tcBorders>
          </w:tcPr>
          <w:p w14:paraId="6A7DD4BA"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Green Support Capac</w:t>
            </w:r>
            <w:r>
              <w:rPr>
                <w:rFonts w:ascii="Arial" w:eastAsiaTheme="minorEastAsia" w:hAnsi="Arial" w:cs="Arial"/>
                <w:kern w:val="2"/>
                <w:sz w:val="20"/>
              </w:rPr>
              <w:t>ity</w:t>
            </w:r>
          </w:p>
        </w:tc>
        <w:tc>
          <w:tcPr>
            <w:tcW w:w="0" w:type="auto"/>
            <w:tcBorders>
              <w:top w:val="nil"/>
              <w:left w:val="nil"/>
              <w:bottom w:val="nil"/>
              <w:right w:val="nil"/>
            </w:tcBorders>
          </w:tcPr>
          <w:p w14:paraId="7856E664"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Chemical Fertilizer and Pesticide Use Intensity (-)</w:t>
            </w:r>
          </w:p>
        </w:tc>
        <w:tc>
          <w:tcPr>
            <w:tcW w:w="0" w:type="auto"/>
            <w:tcBorders>
              <w:top w:val="nil"/>
              <w:left w:val="nil"/>
              <w:bottom w:val="nil"/>
              <w:right w:val="nil"/>
            </w:tcBorders>
          </w:tcPr>
          <w:p w14:paraId="38D19013"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Input of chemical fertilizers and pesticides / Sown area of crops</w:t>
            </w:r>
          </w:p>
        </w:tc>
        <w:tc>
          <w:tcPr>
            <w:tcW w:w="1350" w:type="dxa"/>
            <w:tcBorders>
              <w:top w:val="nil"/>
              <w:left w:val="nil"/>
              <w:bottom w:val="nil"/>
              <w:right w:val="nil"/>
            </w:tcBorders>
          </w:tcPr>
          <w:p w14:paraId="5A910B95"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ton/hectare</w:t>
            </w:r>
          </w:p>
        </w:tc>
      </w:tr>
      <w:tr w:rsidR="00490675" w14:paraId="667D3F06" w14:textId="77777777">
        <w:trPr>
          <w:jc w:val="center"/>
        </w:trPr>
        <w:tc>
          <w:tcPr>
            <w:tcW w:w="0" w:type="auto"/>
            <w:tcBorders>
              <w:top w:val="nil"/>
              <w:left w:val="nil"/>
              <w:bottom w:val="nil"/>
              <w:right w:val="nil"/>
            </w:tcBorders>
          </w:tcPr>
          <w:p w14:paraId="16ECC928" w14:textId="77777777" w:rsidR="00490675" w:rsidRDefault="00490675">
            <w:pPr>
              <w:pStyle w:val="a"/>
              <w:adjustRightInd w:val="0"/>
              <w:snapToGrid w:val="0"/>
              <w:spacing w:line="480" w:lineRule="auto"/>
              <w:ind w:firstLineChars="0" w:firstLine="0"/>
              <w:rPr>
                <w:rFonts w:ascii="Arial" w:eastAsiaTheme="minorEastAsia" w:hAnsi="Arial" w:cs="Arial"/>
                <w:kern w:val="2"/>
                <w:sz w:val="20"/>
              </w:rPr>
            </w:pPr>
          </w:p>
        </w:tc>
        <w:tc>
          <w:tcPr>
            <w:tcW w:w="0" w:type="auto"/>
            <w:tcBorders>
              <w:top w:val="nil"/>
              <w:left w:val="nil"/>
              <w:bottom w:val="nil"/>
              <w:right w:val="nil"/>
            </w:tcBorders>
          </w:tcPr>
          <w:p w14:paraId="14EDB13E"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 xml:space="preserve">Comprehensive </w:t>
            </w:r>
            <w:r>
              <w:rPr>
                <w:rFonts w:ascii="Arial" w:eastAsiaTheme="minorEastAsia" w:hAnsi="Arial" w:cs="Arial"/>
                <w:kern w:val="2"/>
                <w:sz w:val="20"/>
              </w:rPr>
              <w:lastRenderedPageBreak/>
              <w:t>Utilization Rate of Livestock and Poultry Manure (+)</w:t>
            </w:r>
          </w:p>
        </w:tc>
        <w:tc>
          <w:tcPr>
            <w:tcW w:w="0" w:type="auto"/>
            <w:tcBorders>
              <w:top w:val="nil"/>
              <w:left w:val="nil"/>
              <w:bottom w:val="nil"/>
              <w:right w:val="nil"/>
            </w:tcBorders>
          </w:tcPr>
          <w:p w14:paraId="7DB5435A"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lastRenderedPageBreak/>
              <w:t xml:space="preserve">Comprehensive utilization rate of </w:t>
            </w:r>
            <w:r>
              <w:rPr>
                <w:rFonts w:ascii="Arial" w:eastAsiaTheme="minorEastAsia" w:hAnsi="Arial" w:cs="Arial"/>
                <w:kern w:val="2"/>
                <w:sz w:val="20"/>
              </w:rPr>
              <w:lastRenderedPageBreak/>
              <w:t>livestock and poult</w:t>
            </w:r>
            <w:r>
              <w:rPr>
                <w:rFonts w:ascii="Arial" w:eastAsiaTheme="minorEastAsia" w:hAnsi="Arial" w:cs="Arial"/>
                <w:kern w:val="2"/>
                <w:sz w:val="20"/>
              </w:rPr>
              <w:t>ry manure</w:t>
            </w:r>
          </w:p>
        </w:tc>
        <w:tc>
          <w:tcPr>
            <w:tcW w:w="1350" w:type="dxa"/>
            <w:tcBorders>
              <w:top w:val="nil"/>
              <w:left w:val="nil"/>
              <w:bottom w:val="nil"/>
              <w:right w:val="nil"/>
            </w:tcBorders>
          </w:tcPr>
          <w:p w14:paraId="2DE5DDDD"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lastRenderedPageBreak/>
              <w:t>%</w:t>
            </w:r>
          </w:p>
        </w:tc>
      </w:tr>
      <w:tr w:rsidR="00490675" w14:paraId="21FEB804" w14:textId="77777777">
        <w:trPr>
          <w:jc w:val="center"/>
        </w:trPr>
        <w:tc>
          <w:tcPr>
            <w:tcW w:w="0" w:type="auto"/>
            <w:tcBorders>
              <w:top w:val="nil"/>
              <w:left w:val="nil"/>
              <w:bottom w:val="nil"/>
              <w:right w:val="nil"/>
            </w:tcBorders>
          </w:tcPr>
          <w:p w14:paraId="6DE7BDEA"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Livelihood and Prosperity Capacity</w:t>
            </w:r>
          </w:p>
        </w:tc>
        <w:tc>
          <w:tcPr>
            <w:tcW w:w="0" w:type="auto"/>
            <w:tcBorders>
              <w:top w:val="nil"/>
              <w:left w:val="nil"/>
              <w:bottom w:val="nil"/>
              <w:right w:val="nil"/>
            </w:tcBorders>
          </w:tcPr>
          <w:p w14:paraId="6E6DBA0F"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Income Level of Rural Residents (+)</w:t>
            </w:r>
          </w:p>
        </w:tc>
        <w:tc>
          <w:tcPr>
            <w:tcW w:w="0" w:type="auto"/>
            <w:tcBorders>
              <w:top w:val="nil"/>
              <w:left w:val="nil"/>
              <w:bottom w:val="nil"/>
              <w:right w:val="nil"/>
            </w:tcBorders>
          </w:tcPr>
          <w:p w14:paraId="0287BBA0"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Per capita disposable income of rural households</w:t>
            </w:r>
          </w:p>
        </w:tc>
        <w:tc>
          <w:tcPr>
            <w:tcW w:w="1350" w:type="dxa"/>
            <w:tcBorders>
              <w:top w:val="nil"/>
              <w:left w:val="nil"/>
              <w:bottom w:val="nil"/>
              <w:right w:val="nil"/>
            </w:tcBorders>
          </w:tcPr>
          <w:p w14:paraId="2C35AB70"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yuan</w:t>
            </w:r>
          </w:p>
        </w:tc>
      </w:tr>
      <w:tr w:rsidR="00490675" w14:paraId="453D5839" w14:textId="77777777">
        <w:trPr>
          <w:jc w:val="center"/>
        </w:trPr>
        <w:tc>
          <w:tcPr>
            <w:tcW w:w="0" w:type="auto"/>
            <w:tcBorders>
              <w:top w:val="nil"/>
              <w:left w:val="nil"/>
              <w:bottom w:val="nil"/>
              <w:right w:val="nil"/>
            </w:tcBorders>
          </w:tcPr>
          <w:p w14:paraId="43E63124" w14:textId="77777777" w:rsidR="00490675" w:rsidRDefault="00490675">
            <w:pPr>
              <w:pStyle w:val="a"/>
              <w:adjustRightInd w:val="0"/>
              <w:snapToGrid w:val="0"/>
              <w:spacing w:line="480" w:lineRule="auto"/>
              <w:ind w:firstLineChars="0" w:firstLine="0"/>
              <w:rPr>
                <w:rFonts w:ascii="Arial" w:eastAsiaTheme="minorEastAsia" w:hAnsi="Arial" w:cs="Arial"/>
                <w:kern w:val="2"/>
                <w:sz w:val="20"/>
              </w:rPr>
            </w:pPr>
          </w:p>
        </w:tc>
        <w:tc>
          <w:tcPr>
            <w:tcW w:w="0" w:type="auto"/>
            <w:tcBorders>
              <w:top w:val="nil"/>
              <w:left w:val="nil"/>
              <w:bottom w:val="nil"/>
              <w:right w:val="nil"/>
            </w:tcBorders>
          </w:tcPr>
          <w:p w14:paraId="70F81B0D"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Urban-Rural Income Ratio (-)</w:t>
            </w:r>
          </w:p>
        </w:tc>
        <w:tc>
          <w:tcPr>
            <w:tcW w:w="0" w:type="auto"/>
            <w:tcBorders>
              <w:top w:val="nil"/>
              <w:left w:val="nil"/>
              <w:bottom w:val="nil"/>
              <w:right w:val="nil"/>
            </w:tcBorders>
          </w:tcPr>
          <w:p w14:paraId="7932ADEA"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Per capita disposable income of urban residents / Per capita disposable income of rural</w:t>
            </w:r>
            <w:r>
              <w:rPr>
                <w:rFonts w:ascii="Arial" w:eastAsiaTheme="minorEastAsia" w:hAnsi="Arial" w:cs="Arial"/>
                <w:kern w:val="2"/>
                <w:sz w:val="20"/>
              </w:rPr>
              <w:t xml:space="preserve"> residents</w:t>
            </w:r>
          </w:p>
        </w:tc>
        <w:tc>
          <w:tcPr>
            <w:tcW w:w="1350" w:type="dxa"/>
            <w:tcBorders>
              <w:top w:val="nil"/>
              <w:left w:val="nil"/>
              <w:bottom w:val="nil"/>
              <w:right w:val="nil"/>
            </w:tcBorders>
          </w:tcPr>
          <w:p w14:paraId="2846F54D"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w:t>
            </w:r>
          </w:p>
        </w:tc>
      </w:tr>
      <w:tr w:rsidR="00490675" w14:paraId="5F7F2149" w14:textId="77777777">
        <w:trPr>
          <w:jc w:val="center"/>
        </w:trPr>
        <w:tc>
          <w:tcPr>
            <w:tcW w:w="1875" w:type="dxa"/>
            <w:tcBorders>
              <w:top w:val="nil"/>
              <w:left w:val="nil"/>
              <w:bottom w:val="single" w:sz="12" w:space="0" w:color="auto"/>
              <w:right w:val="nil"/>
            </w:tcBorders>
          </w:tcPr>
          <w:p w14:paraId="5D6E66F6" w14:textId="77777777" w:rsidR="00490675" w:rsidRDefault="00490675">
            <w:pPr>
              <w:pStyle w:val="a"/>
              <w:adjustRightInd w:val="0"/>
              <w:snapToGrid w:val="0"/>
              <w:spacing w:line="480" w:lineRule="auto"/>
              <w:ind w:firstLineChars="0" w:firstLine="0"/>
              <w:rPr>
                <w:rFonts w:ascii="Arial" w:eastAsiaTheme="minorEastAsia" w:hAnsi="Arial" w:cs="Arial"/>
                <w:kern w:val="2"/>
                <w:sz w:val="20"/>
              </w:rPr>
            </w:pPr>
          </w:p>
        </w:tc>
        <w:tc>
          <w:tcPr>
            <w:tcW w:w="2185" w:type="dxa"/>
            <w:tcBorders>
              <w:top w:val="nil"/>
              <w:left w:val="nil"/>
              <w:bottom w:val="single" w:sz="12" w:space="0" w:color="auto"/>
              <w:right w:val="nil"/>
            </w:tcBorders>
          </w:tcPr>
          <w:p w14:paraId="6F70C68D"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Rural Consumption Structure (-)</w:t>
            </w:r>
          </w:p>
        </w:tc>
        <w:tc>
          <w:tcPr>
            <w:tcW w:w="3088" w:type="dxa"/>
            <w:tcBorders>
              <w:top w:val="nil"/>
              <w:left w:val="nil"/>
              <w:bottom w:val="single" w:sz="12" w:space="0" w:color="auto"/>
              <w:right w:val="nil"/>
            </w:tcBorders>
          </w:tcPr>
          <w:p w14:paraId="547E1199"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Engel's coefficient of rural residents</w:t>
            </w:r>
          </w:p>
        </w:tc>
        <w:tc>
          <w:tcPr>
            <w:tcW w:w="1350" w:type="dxa"/>
            <w:tcBorders>
              <w:top w:val="nil"/>
              <w:left w:val="nil"/>
              <w:bottom w:val="single" w:sz="12" w:space="0" w:color="auto"/>
              <w:right w:val="nil"/>
            </w:tcBorders>
          </w:tcPr>
          <w:p w14:paraId="0375F686"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w:t>
            </w:r>
          </w:p>
        </w:tc>
      </w:tr>
    </w:tbl>
    <w:p w14:paraId="2B2CC69C" w14:textId="77777777" w:rsidR="00490675" w:rsidRDefault="00490675">
      <w:pPr>
        <w:widowControl/>
        <w:topLinePunct/>
        <w:rPr>
          <w:rFonts w:ascii="Arial" w:hAnsi="Arial" w:cs="Arial"/>
          <w:b/>
          <w:bCs/>
          <w:sz w:val="22"/>
          <w:szCs w:val="22"/>
        </w:rPr>
      </w:pPr>
    </w:p>
    <w:p w14:paraId="6FCC2762" w14:textId="77777777" w:rsidR="00490675" w:rsidRDefault="009B469C">
      <w:pPr>
        <w:widowControl/>
        <w:topLinePunct/>
        <w:rPr>
          <w:rFonts w:ascii="Arial" w:hAnsi="Arial" w:cs="Arial"/>
          <w:b/>
          <w:bCs/>
          <w:sz w:val="22"/>
          <w:szCs w:val="22"/>
        </w:rPr>
      </w:pPr>
      <w:r>
        <w:rPr>
          <w:rFonts w:ascii="Arial" w:hAnsi="Arial" w:cs="Arial"/>
          <w:b/>
          <w:bCs/>
          <w:sz w:val="22"/>
          <w:szCs w:val="22"/>
        </w:rPr>
        <w:t>2.3 Entropy-TOPSIS Method</w:t>
      </w:r>
    </w:p>
    <w:p w14:paraId="060FDD35" w14:textId="77777777" w:rsidR="00490675" w:rsidRDefault="00490675">
      <w:pPr>
        <w:widowControl/>
        <w:topLinePunct/>
        <w:rPr>
          <w:rFonts w:ascii="Arial" w:hAnsi="Arial" w:cs="Arial"/>
          <w:b/>
          <w:bCs/>
          <w:sz w:val="22"/>
          <w:szCs w:val="22"/>
        </w:rPr>
      </w:pPr>
    </w:p>
    <w:p w14:paraId="29A5DE72" w14:textId="77777777" w:rsidR="00490675" w:rsidRDefault="009B469C">
      <w:pPr>
        <w:widowControl/>
        <w:topLinePunct/>
        <w:rPr>
          <w:rFonts w:ascii="Arial" w:hAnsi="Arial" w:cs="Arial"/>
          <w:sz w:val="20"/>
          <w:szCs w:val="20"/>
        </w:rPr>
      </w:pPr>
      <w:r>
        <w:rPr>
          <w:rFonts w:ascii="Arial" w:hAnsi="Arial" w:cs="Arial"/>
          <w:sz w:val="20"/>
          <w:szCs w:val="20"/>
        </w:rPr>
        <w:t>This study uses the entropy-TOPSIS method for evaluation. The entropy method calculates objective weights for the 10 evaluation indicators,</w:t>
      </w:r>
      <w:r>
        <w:rPr>
          <w:rFonts w:ascii="Arial" w:hAnsi="Arial" w:cs="Arial"/>
          <w:sz w:val="20"/>
          <w:szCs w:val="20"/>
        </w:rPr>
        <w:t xml:space="preserve"> avoiding subjective weighting bias (</w:t>
      </w:r>
      <w:proofErr w:type="spellStart"/>
      <w:r>
        <w:rPr>
          <w:rFonts w:ascii="Arial" w:hAnsi="Arial" w:cs="Arial"/>
          <w:sz w:val="20"/>
          <w:szCs w:val="20"/>
        </w:rPr>
        <w:t>Dagum</w:t>
      </w:r>
      <w:proofErr w:type="spellEnd"/>
      <w:r>
        <w:rPr>
          <w:rFonts w:ascii="Arial" w:hAnsi="Arial" w:cs="Arial"/>
          <w:sz w:val="20"/>
          <w:szCs w:val="20"/>
        </w:rPr>
        <w:t>, 1997; Silverman, 1986). The calculation steps are as follows:</w:t>
      </w:r>
    </w:p>
    <w:p w14:paraId="5B538AFD" w14:textId="77777777" w:rsidR="00490675" w:rsidRDefault="009B469C">
      <w:pPr>
        <w:widowControl/>
        <w:topLinePunct/>
        <w:rPr>
          <w:rFonts w:ascii="Arial" w:hAnsi="Arial" w:cs="Arial"/>
          <w:sz w:val="20"/>
          <w:szCs w:val="20"/>
        </w:rPr>
      </w:pPr>
      <w:r>
        <w:rPr>
          <w:rFonts w:ascii="Arial" w:hAnsi="Arial" w:cs="Arial"/>
          <w:sz w:val="20"/>
          <w:szCs w:val="20"/>
        </w:rPr>
        <w:t>Step 1: Data standardization</w:t>
      </w:r>
    </w:p>
    <w:p w14:paraId="2F07E201" w14:textId="77777777" w:rsidR="00490675" w:rsidRDefault="009B469C">
      <w:pPr>
        <w:widowControl/>
        <w:topLinePunct/>
        <w:rPr>
          <w:rFonts w:ascii="Arial" w:hAnsi="Arial" w:cs="Arial"/>
          <w:sz w:val="20"/>
          <w:szCs w:val="20"/>
        </w:rPr>
      </w:pPr>
      <w:r>
        <w:rPr>
          <w:rFonts w:ascii="Arial" w:hAnsi="Arial" w:cs="Arial"/>
          <w:sz w:val="20"/>
          <w:szCs w:val="20"/>
        </w:rPr>
        <w:t>Positive indicators:</w:t>
      </w:r>
      <w:r>
        <w:rPr>
          <w:rFonts w:ascii="Arial" w:hAnsi="Arial" w:cs="Arial"/>
          <w:sz w:val="20"/>
          <w:szCs w:val="20"/>
        </w:rPr>
        <w:br/>
      </w:r>
      <m:oMathPara>
        <m:oMathParaPr>
          <m:jc m:val="right"/>
        </m:oMathParaPr>
        <m:oMath>
          <m:sSubSup>
            <m:sSubSupPr>
              <m:ctrlPr>
                <w:rPr>
                  <w:rFonts w:ascii="Cambria Math" w:hAnsi="Cambria Math" w:cs="Arial"/>
                  <w:sz w:val="20"/>
                </w:rPr>
              </m:ctrlPr>
            </m:sSubSupPr>
            <m:e>
              <m:r>
                <m:rPr>
                  <m:sty m:val="p"/>
                </m:rPr>
                <w:rPr>
                  <w:rFonts w:ascii="Cambria Math" w:hAnsi="Cambria Math" w:cs="Arial"/>
                  <w:sz w:val="20"/>
                </w:rPr>
                <m:t>X</m:t>
              </m:r>
            </m:e>
            <m:sub>
              <m:r>
                <m:rPr>
                  <m:sty m:val="p"/>
                </m:rPr>
                <w:rPr>
                  <w:rFonts w:ascii="Cambria Math" w:hAnsi="Cambria Math" w:cs="Arial"/>
                  <w:sz w:val="20"/>
                </w:rPr>
                <m:t>ij</m:t>
              </m:r>
            </m:sub>
            <m:sup>
              <m:r>
                <m:rPr>
                  <m:sty m:val="p"/>
                </m:rPr>
                <w:rPr>
                  <w:rFonts w:ascii="Cambria Math" w:hAnsi="Cambria Math" w:cs="Arial"/>
                  <w:sz w:val="20"/>
                </w:rPr>
                <m:t>'</m:t>
              </m:r>
            </m:sup>
          </m:sSubSup>
          <m:r>
            <m:rPr>
              <m:sty m:val="p"/>
            </m:rPr>
            <w:rPr>
              <w:rFonts w:ascii="Cambria Math" w:hAnsi="Cambria Math" w:cs="Arial"/>
              <w:sz w:val="20"/>
            </w:rPr>
            <m:t>=</m:t>
          </m:r>
          <m:f>
            <m:fPr>
              <m:ctrlPr>
                <w:rPr>
                  <w:rFonts w:ascii="Cambria Math" w:hAnsi="Cambria Math" w:cs="Arial"/>
                  <w:i/>
                  <w:sz w:val="20"/>
                </w:rPr>
              </m:ctrlPr>
            </m:fPr>
            <m:num>
              <m:sSub>
                <m:sSubPr>
                  <m:ctrlPr>
                    <w:rPr>
                      <w:rFonts w:ascii="Cambria Math" w:hAnsi="Cambria Math" w:cs="Arial"/>
                      <w:sz w:val="20"/>
                    </w:rPr>
                  </m:ctrlPr>
                </m:sSubPr>
                <m:e>
                  <m:r>
                    <m:rPr>
                      <m:sty m:val="p"/>
                    </m:rPr>
                    <w:rPr>
                      <w:rFonts w:ascii="Cambria Math" w:hAnsi="Cambria Math" w:cs="Arial"/>
                      <w:sz w:val="20"/>
                    </w:rPr>
                    <m:t>X</m:t>
                  </m:r>
                </m:e>
                <m:sub>
                  <m:r>
                    <m:rPr>
                      <m:sty m:val="p"/>
                    </m:rPr>
                    <w:rPr>
                      <w:rFonts w:ascii="Cambria Math" w:hAnsi="Cambria Math" w:cs="Arial"/>
                      <w:sz w:val="20"/>
                    </w:rPr>
                    <m:t>ij</m:t>
                  </m:r>
                </m:sub>
              </m:sSub>
              <m:r>
                <m:rPr>
                  <m:sty m:val="p"/>
                </m:rPr>
                <w:rPr>
                  <w:rFonts w:ascii="Cambria Math" w:hAnsi="Cambria Math" w:cs="Arial"/>
                  <w:sz w:val="20"/>
                </w:rPr>
                <m:t>-</m:t>
              </m:r>
              <m:r>
                <m:rPr>
                  <m:sty m:val="p"/>
                </m:rPr>
                <w:rPr>
                  <w:rFonts w:ascii="Cambria Math" w:hAnsi="Cambria Math" w:cs="Arial"/>
                  <w:sz w:val="20"/>
                </w:rPr>
                <m:t>min</m:t>
              </m:r>
              <m:d>
                <m:dPr>
                  <m:ctrlPr>
                    <w:rPr>
                      <w:rFonts w:ascii="Cambria Math" w:hAnsi="Cambria Math" w:cs="Arial"/>
                      <w:sz w:val="20"/>
                    </w:rPr>
                  </m:ctrlPr>
                </m:dPr>
                <m:e>
                  <m:sSub>
                    <m:sSubPr>
                      <m:ctrlPr>
                        <w:rPr>
                          <w:rFonts w:ascii="Cambria Math" w:hAnsi="Cambria Math" w:cs="Arial"/>
                          <w:sz w:val="20"/>
                        </w:rPr>
                      </m:ctrlPr>
                    </m:sSubPr>
                    <m:e>
                      <m:r>
                        <m:rPr>
                          <m:sty m:val="p"/>
                        </m:rPr>
                        <w:rPr>
                          <w:rFonts w:ascii="Cambria Math" w:hAnsi="Cambria Math" w:cs="Arial"/>
                          <w:sz w:val="20"/>
                        </w:rPr>
                        <m:t>X</m:t>
                      </m:r>
                    </m:e>
                    <m:sub>
                      <m:r>
                        <m:rPr>
                          <m:sty m:val="p"/>
                        </m:rPr>
                        <w:rPr>
                          <w:rFonts w:ascii="Cambria Math" w:hAnsi="Cambria Math" w:cs="Arial"/>
                          <w:sz w:val="20"/>
                        </w:rPr>
                        <m:t>ij</m:t>
                      </m:r>
                    </m:sub>
                  </m:sSub>
                </m:e>
              </m:d>
              <m:ctrlPr>
                <w:rPr>
                  <w:rFonts w:ascii="Cambria Math" w:hAnsi="Cambria Math" w:cs="Arial"/>
                  <w:sz w:val="20"/>
                </w:rPr>
              </m:ctrlPr>
            </m:num>
            <m:den>
              <m:r>
                <m:rPr>
                  <m:sty m:val="p"/>
                </m:rPr>
                <w:rPr>
                  <w:rFonts w:ascii="Cambria Math" w:hAnsi="Cambria Math" w:cs="Arial"/>
                  <w:sz w:val="20"/>
                </w:rPr>
                <m:t>max</m:t>
              </m:r>
              <m:d>
                <m:dPr>
                  <m:ctrlPr>
                    <w:rPr>
                      <w:rFonts w:ascii="Cambria Math" w:hAnsi="Cambria Math" w:cs="Arial"/>
                      <w:sz w:val="20"/>
                    </w:rPr>
                  </m:ctrlPr>
                </m:dPr>
                <m:e>
                  <m:sSub>
                    <m:sSubPr>
                      <m:ctrlPr>
                        <w:rPr>
                          <w:rFonts w:ascii="Cambria Math" w:hAnsi="Cambria Math" w:cs="Arial"/>
                          <w:sz w:val="20"/>
                        </w:rPr>
                      </m:ctrlPr>
                    </m:sSubPr>
                    <m:e>
                      <m:r>
                        <m:rPr>
                          <m:sty m:val="p"/>
                        </m:rPr>
                        <w:rPr>
                          <w:rFonts w:ascii="Cambria Math" w:hAnsi="Cambria Math" w:cs="Arial"/>
                          <w:sz w:val="20"/>
                        </w:rPr>
                        <m:t>X</m:t>
                      </m:r>
                    </m:e>
                    <m:sub>
                      <m:r>
                        <m:rPr>
                          <m:sty m:val="p"/>
                        </m:rPr>
                        <w:rPr>
                          <w:rFonts w:ascii="Cambria Math" w:hAnsi="Cambria Math" w:cs="Arial"/>
                          <w:sz w:val="20"/>
                        </w:rPr>
                        <m:t>ij</m:t>
                      </m:r>
                    </m:sub>
                  </m:sSub>
                </m:e>
              </m:d>
              <m:r>
                <m:rPr>
                  <m:sty m:val="p"/>
                </m:rPr>
                <w:rPr>
                  <w:rFonts w:ascii="Cambria Math" w:hAnsi="Cambria Math" w:cs="Arial"/>
                  <w:sz w:val="20"/>
                </w:rPr>
                <m:t>-</m:t>
              </m:r>
              <m:r>
                <m:rPr>
                  <m:sty m:val="p"/>
                </m:rPr>
                <w:rPr>
                  <w:rFonts w:ascii="Cambria Math" w:hAnsi="Cambria Math" w:cs="Arial"/>
                  <w:sz w:val="20"/>
                </w:rPr>
                <m:t>min</m:t>
              </m:r>
              <m:d>
                <m:dPr>
                  <m:ctrlPr>
                    <w:rPr>
                      <w:rFonts w:ascii="Cambria Math" w:hAnsi="Cambria Math" w:cs="Arial"/>
                      <w:sz w:val="20"/>
                    </w:rPr>
                  </m:ctrlPr>
                </m:dPr>
                <m:e>
                  <m:sSub>
                    <m:sSubPr>
                      <m:ctrlPr>
                        <w:rPr>
                          <w:rFonts w:ascii="Cambria Math" w:hAnsi="Cambria Math" w:cs="Arial"/>
                          <w:sz w:val="20"/>
                        </w:rPr>
                      </m:ctrlPr>
                    </m:sSubPr>
                    <m:e>
                      <m:r>
                        <m:rPr>
                          <m:sty m:val="p"/>
                        </m:rPr>
                        <w:rPr>
                          <w:rFonts w:ascii="Cambria Math" w:hAnsi="Cambria Math" w:cs="Arial"/>
                          <w:sz w:val="20"/>
                        </w:rPr>
                        <m:t>X</m:t>
                      </m:r>
                    </m:e>
                    <m:sub>
                      <m:r>
                        <m:rPr>
                          <m:sty m:val="p"/>
                        </m:rPr>
                        <w:rPr>
                          <w:rFonts w:ascii="Cambria Math" w:hAnsi="Cambria Math" w:cs="Arial"/>
                          <w:sz w:val="20"/>
                        </w:rPr>
                        <m:t>ij</m:t>
                      </m:r>
                    </m:sub>
                  </m:sSub>
                </m:e>
              </m:d>
              <m:ctrlPr>
                <w:rPr>
                  <w:rFonts w:ascii="Cambria Math" w:hAnsi="Cambria Math" w:cs="Arial"/>
                  <w:sz w:val="20"/>
                </w:rPr>
              </m:ctrlPr>
            </m:den>
          </m:f>
          <m:r>
            <m:rPr>
              <m:sty m:val="p"/>
            </m:rPr>
            <w:rPr>
              <w:rFonts w:ascii="Cambria Math" w:hAnsi="Cambria Math"/>
              <w:sz w:val="20"/>
            </w:rPr>
            <m:t xml:space="preserve">                                            (2-1)</m:t>
          </m:r>
        </m:oMath>
      </m:oMathPara>
    </w:p>
    <w:p w14:paraId="5C760EE3" w14:textId="77777777" w:rsidR="00490675" w:rsidRDefault="009B469C">
      <w:pPr>
        <w:widowControl/>
        <w:topLinePunct/>
        <w:rPr>
          <w:rFonts w:ascii="Arial" w:hAnsi="Arial" w:cs="Arial"/>
          <w:sz w:val="20"/>
          <w:szCs w:val="20"/>
        </w:rPr>
      </w:pPr>
      <w:r>
        <w:rPr>
          <w:rFonts w:ascii="Arial" w:hAnsi="Arial" w:cs="Arial"/>
          <w:sz w:val="20"/>
          <w:szCs w:val="20"/>
        </w:rPr>
        <w:t>Negative indicators:</w:t>
      </w:r>
    </w:p>
    <w:p w14:paraId="38260217" w14:textId="77777777" w:rsidR="00490675" w:rsidRDefault="009B469C">
      <w:pPr>
        <w:widowControl/>
        <w:topLinePunct/>
        <w:rPr>
          <w:rFonts w:ascii="Arial" w:hAnsi="Arial" w:cs="Arial"/>
          <w:sz w:val="20"/>
          <w:szCs w:val="20"/>
        </w:rPr>
      </w:pPr>
      <m:oMathPara>
        <m:oMathParaPr>
          <m:jc m:val="right"/>
        </m:oMathParaPr>
        <m:oMath>
          <m:sSubSup>
            <m:sSubSupPr>
              <m:ctrlPr>
                <w:rPr>
                  <w:rFonts w:ascii="Cambria Math" w:hAnsi="Cambria Math"/>
                  <w:sz w:val="20"/>
                </w:rPr>
              </m:ctrlPr>
            </m:sSubSupPr>
            <m:e>
              <m:r>
                <m:rPr>
                  <m:sty m:val="p"/>
                </m:rPr>
                <w:rPr>
                  <w:rFonts w:ascii="Cambria Math" w:hAnsi="Cambria Math"/>
                  <w:sz w:val="20"/>
                </w:rPr>
                <m:t>X</m:t>
              </m:r>
            </m:e>
            <m:sub>
              <m:r>
                <m:rPr>
                  <m:sty m:val="p"/>
                </m:rPr>
                <w:rPr>
                  <w:rFonts w:ascii="Cambria Math" w:hAnsi="Cambria Math"/>
                  <w:sz w:val="20"/>
                </w:rPr>
                <m:t>ij</m:t>
              </m:r>
            </m:sub>
            <m:sup>
              <m:r>
                <m:rPr>
                  <m:sty m:val="p"/>
                </m:rPr>
                <w:rPr>
                  <w:rFonts w:ascii="Cambria Math" w:hAnsi="Cambria Math"/>
                  <w:sz w:val="20"/>
                </w:rPr>
                <m:t>'</m:t>
              </m:r>
            </m:sup>
          </m:sSubSup>
          <m:r>
            <m:rPr>
              <m:sty m:val="p"/>
            </m:rPr>
            <w:rPr>
              <w:rFonts w:ascii="Cambria Math" w:hAnsi="Cambria Math"/>
              <w:sz w:val="20"/>
            </w:rPr>
            <m:t>=</m:t>
          </m:r>
          <m:f>
            <m:fPr>
              <m:ctrlPr>
                <w:rPr>
                  <w:rFonts w:ascii="Cambria Math" w:hAnsi="Cambria Math"/>
                  <w:i/>
                  <w:sz w:val="20"/>
                </w:rPr>
              </m:ctrlPr>
            </m:fPr>
            <m:num>
              <m:r>
                <m:rPr>
                  <m:sty m:val="p"/>
                </m:rPr>
                <w:rPr>
                  <w:rFonts w:ascii="Cambria Math" w:hAnsi="Cambria Math"/>
                  <w:sz w:val="20"/>
                </w:rPr>
                <m:t>max</m:t>
              </m:r>
              <m:d>
                <m:dPr>
                  <m:ctrlPr>
                    <w:rPr>
                      <w:rFonts w:ascii="Cambria Math" w:hAnsi="Cambria Math"/>
                      <w:sz w:val="20"/>
                    </w:rPr>
                  </m:ctrlPr>
                </m:dPr>
                <m:e>
                  <m:sSub>
                    <m:sSubPr>
                      <m:ctrlPr>
                        <w:rPr>
                          <w:rFonts w:ascii="Cambria Math" w:hAnsi="Cambria Math"/>
                          <w:sz w:val="20"/>
                        </w:rPr>
                      </m:ctrlPr>
                    </m:sSubPr>
                    <m:e>
                      <m:r>
                        <m:rPr>
                          <m:sty m:val="p"/>
                        </m:rPr>
                        <w:rPr>
                          <w:rFonts w:ascii="Cambria Math" w:hAnsi="Cambria Math"/>
                          <w:sz w:val="20"/>
                        </w:rPr>
                        <m:t>X</m:t>
                      </m:r>
                    </m:e>
                    <m:sub>
                      <m:r>
                        <m:rPr>
                          <m:sty m:val="p"/>
                        </m:rPr>
                        <w:rPr>
                          <w:rFonts w:ascii="Cambria Math" w:hAnsi="Cambria Math"/>
                          <w:sz w:val="20"/>
                        </w:rPr>
                        <m:t>ij</m:t>
                      </m:r>
                    </m:sub>
                  </m:sSub>
                </m:e>
              </m:d>
              <m:r>
                <m:rPr>
                  <m:sty m:val="p"/>
                </m:rPr>
                <w:rPr>
                  <w:rFonts w:ascii="Cambria Math" w:hAnsi="Cambria Math"/>
                  <w:sz w:val="20"/>
                </w:rPr>
                <m:t>-</m:t>
              </m:r>
              <m:sSub>
                <m:sSubPr>
                  <m:ctrlPr>
                    <w:rPr>
                      <w:rFonts w:ascii="Cambria Math" w:hAnsi="Cambria Math"/>
                      <w:sz w:val="20"/>
                    </w:rPr>
                  </m:ctrlPr>
                </m:sSubPr>
                <m:e>
                  <m:r>
                    <m:rPr>
                      <m:sty m:val="p"/>
                    </m:rPr>
                    <w:rPr>
                      <w:rFonts w:ascii="Cambria Math" w:hAnsi="Cambria Math"/>
                      <w:sz w:val="20"/>
                    </w:rPr>
                    <m:t>X</m:t>
                  </m:r>
                </m:e>
                <m:sub>
                  <m:r>
                    <m:rPr>
                      <m:sty m:val="p"/>
                    </m:rPr>
                    <w:rPr>
                      <w:rFonts w:ascii="Cambria Math" w:hAnsi="Cambria Math"/>
                      <w:sz w:val="20"/>
                    </w:rPr>
                    <m:t>ij</m:t>
                  </m:r>
                </m:sub>
              </m:sSub>
              <m:ctrlPr>
                <w:rPr>
                  <w:rFonts w:ascii="Cambria Math" w:hAnsi="Cambria Math"/>
                  <w:sz w:val="20"/>
                </w:rPr>
              </m:ctrlPr>
            </m:num>
            <m:den>
              <m:r>
                <m:rPr>
                  <m:sty m:val="p"/>
                </m:rPr>
                <w:rPr>
                  <w:rFonts w:ascii="Cambria Math" w:hAnsi="Cambria Math"/>
                  <w:sz w:val="20"/>
                </w:rPr>
                <m:t>max</m:t>
              </m:r>
              <m:d>
                <m:dPr>
                  <m:ctrlPr>
                    <w:rPr>
                      <w:rFonts w:ascii="Cambria Math" w:hAnsi="Cambria Math"/>
                      <w:sz w:val="20"/>
                    </w:rPr>
                  </m:ctrlPr>
                </m:dPr>
                <m:e>
                  <m:sSub>
                    <m:sSubPr>
                      <m:ctrlPr>
                        <w:rPr>
                          <w:rFonts w:ascii="Cambria Math" w:hAnsi="Cambria Math"/>
                          <w:sz w:val="20"/>
                        </w:rPr>
                      </m:ctrlPr>
                    </m:sSubPr>
                    <m:e>
                      <m:r>
                        <m:rPr>
                          <m:sty m:val="p"/>
                        </m:rPr>
                        <w:rPr>
                          <w:rFonts w:ascii="Cambria Math" w:hAnsi="Cambria Math"/>
                          <w:sz w:val="20"/>
                        </w:rPr>
                        <m:t>X</m:t>
                      </m:r>
                    </m:e>
                    <m:sub>
                      <m:r>
                        <m:rPr>
                          <m:sty m:val="p"/>
                        </m:rPr>
                        <w:rPr>
                          <w:rFonts w:ascii="Cambria Math" w:hAnsi="Cambria Math"/>
                          <w:sz w:val="20"/>
                        </w:rPr>
                        <m:t>ij</m:t>
                      </m:r>
                    </m:sub>
                  </m:sSub>
                </m:e>
              </m:d>
              <m:r>
                <m:rPr>
                  <m:sty m:val="p"/>
                </m:rPr>
                <w:rPr>
                  <w:rFonts w:ascii="Cambria Math" w:hAnsi="Cambria Math"/>
                  <w:sz w:val="20"/>
                </w:rPr>
                <m:t>-</m:t>
              </m:r>
              <m:r>
                <m:rPr>
                  <m:sty m:val="p"/>
                </m:rPr>
                <w:rPr>
                  <w:rFonts w:ascii="Cambria Math" w:hAnsi="Cambria Math"/>
                  <w:sz w:val="20"/>
                </w:rPr>
                <m:t>min</m:t>
              </m:r>
              <m:d>
                <m:dPr>
                  <m:ctrlPr>
                    <w:rPr>
                      <w:rFonts w:ascii="Cambria Math" w:hAnsi="Cambria Math"/>
                      <w:sz w:val="20"/>
                    </w:rPr>
                  </m:ctrlPr>
                </m:dPr>
                <m:e>
                  <m:sSub>
                    <m:sSubPr>
                      <m:ctrlPr>
                        <w:rPr>
                          <w:rFonts w:ascii="Cambria Math" w:hAnsi="Cambria Math"/>
                          <w:sz w:val="20"/>
                        </w:rPr>
                      </m:ctrlPr>
                    </m:sSubPr>
                    <m:e>
                      <m:r>
                        <m:rPr>
                          <m:sty m:val="p"/>
                        </m:rPr>
                        <w:rPr>
                          <w:rFonts w:ascii="Cambria Math" w:hAnsi="Cambria Math"/>
                          <w:sz w:val="20"/>
                        </w:rPr>
                        <m:t>X</m:t>
                      </m:r>
                    </m:e>
                    <m:sub>
                      <m:r>
                        <m:rPr>
                          <m:sty m:val="p"/>
                        </m:rPr>
                        <w:rPr>
                          <w:rFonts w:ascii="Cambria Math" w:hAnsi="Cambria Math"/>
                          <w:sz w:val="20"/>
                        </w:rPr>
                        <m:t>ij</m:t>
                      </m:r>
                    </m:sub>
                  </m:sSub>
                </m:e>
              </m:d>
              <m:ctrlPr>
                <w:rPr>
                  <w:rFonts w:ascii="Cambria Math" w:hAnsi="Cambria Math"/>
                  <w:sz w:val="20"/>
                </w:rPr>
              </m:ctrlPr>
            </m:den>
          </m:f>
          <m:r>
            <m:rPr>
              <m:sty m:val="p"/>
            </m:rPr>
            <w:rPr>
              <w:rFonts w:ascii="Cambria Math" w:hAnsi="Cambria Math"/>
              <w:sz w:val="20"/>
            </w:rPr>
            <m:t xml:space="preserve">                                             (2-2)</m:t>
          </m:r>
        </m:oMath>
      </m:oMathPara>
    </w:p>
    <w:p w14:paraId="252B0E37" w14:textId="77777777" w:rsidR="00490675" w:rsidRDefault="009B469C">
      <w:pPr>
        <w:widowControl/>
        <w:topLinePunct/>
        <w:rPr>
          <w:rFonts w:ascii="Arial" w:hAnsi="Arial" w:cs="Arial"/>
          <w:sz w:val="20"/>
          <w:szCs w:val="20"/>
        </w:rPr>
      </w:pPr>
      <w:proofErr w:type="spellStart"/>
      <w:r>
        <w:rPr>
          <w:rFonts w:ascii="Arial" w:hAnsi="Arial" w:cs="Arial"/>
          <w:sz w:val="20"/>
          <w:szCs w:val="20"/>
        </w:rPr>
        <w:t>X</w:t>
      </w:r>
      <w:r>
        <w:rPr>
          <w:rFonts w:ascii="Arial" w:hAnsi="Arial" w:cs="Arial"/>
          <w:sz w:val="20"/>
          <w:szCs w:val="20"/>
          <w:vertAlign w:val="subscript"/>
        </w:rPr>
        <w:t>ij</w:t>
      </w:r>
      <w:proofErr w:type="spellEnd"/>
      <w:r>
        <w:rPr>
          <w:rFonts w:ascii="Arial" w:hAnsi="Arial" w:cs="Arial" w:hint="eastAsia"/>
          <w:sz w:val="20"/>
          <w:szCs w:val="20"/>
        </w:rPr>
        <w:t xml:space="preserve"> </w:t>
      </w:r>
      <w:r>
        <w:rPr>
          <w:rFonts w:ascii="Arial" w:hAnsi="Arial" w:cs="Arial"/>
          <w:sz w:val="20"/>
          <w:szCs w:val="20"/>
        </w:rPr>
        <w:t xml:space="preserve">is the value of the </w:t>
      </w:r>
      <w:proofErr w:type="spellStart"/>
      <w:r>
        <w:rPr>
          <w:rFonts w:ascii="Arial" w:hAnsi="Arial" w:cs="Arial"/>
          <w:sz w:val="20"/>
          <w:szCs w:val="20"/>
        </w:rPr>
        <w:t>j</w:t>
      </w:r>
      <w:r>
        <w:rPr>
          <w:rFonts w:ascii="Arial" w:hAnsi="Arial" w:cs="Arial"/>
          <w:sz w:val="20"/>
          <w:szCs w:val="20"/>
          <w:vertAlign w:val="subscript"/>
        </w:rPr>
        <w:t>th</w:t>
      </w:r>
      <w:proofErr w:type="spellEnd"/>
      <w:r>
        <w:rPr>
          <w:rFonts w:ascii="Arial" w:hAnsi="Arial" w:cs="Arial"/>
          <w:sz w:val="20"/>
          <w:szCs w:val="20"/>
        </w:rPr>
        <w:t xml:space="preserve"> metric for the </w:t>
      </w:r>
      <w:proofErr w:type="spellStart"/>
      <w:r>
        <w:rPr>
          <w:rFonts w:ascii="Arial" w:hAnsi="Arial" w:cs="Arial"/>
          <w:sz w:val="20"/>
          <w:szCs w:val="20"/>
        </w:rPr>
        <w:t>i-th</w:t>
      </w:r>
      <w:proofErr w:type="spellEnd"/>
      <w:r>
        <w:rPr>
          <w:rFonts w:ascii="Arial" w:hAnsi="Arial" w:cs="Arial"/>
          <w:sz w:val="20"/>
          <w:szCs w:val="20"/>
        </w:rPr>
        <w:t xml:space="preserve"> sample, where </w:t>
      </w:r>
      <w:proofErr w:type="spellStart"/>
      <w:r>
        <w:rPr>
          <w:rFonts w:ascii="Arial" w:hAnsi="Arial" w:cs="Arial"/>
          <w:sz w:val="20"/>
          <w:szCs w:val="20"/>
        </w:rPr>
        <w:t>i</w:t>
      </w:r>
      <w:proofErr w:type="spellEnd"/>
      <w:r>
        <w:rPr>
          <w:rFonts w:ascii="Arial" w:hAnsi="Arial" w:cs="Arial"/>
          <w:sz w:val="20"/>
          <w:szCs w:val="20"/>
        </w:rPr>
        <w:t xml:space="preserve"> = 1, 2, 3, …, n and j = 1, 2, 3, …, m</w:t>
      </w:r>
    </w:p>
    <w:p w14:paraId="7FCD0FFF" w14:textId="77777777" w:rsidR="00490675" w:rsidRDefault="009B469C">
      <w:pPr>
        <w:widowControl/>
        <w:topLinePunct/>
        <w:rPr>
          <w:rFonts w:ascii="Arial" w:hAnsi="Arial" w:cs="Arial"/>
          <w:sz w:val="20"/>
          <w:szCs w:val="20"/>
        </w:rPr>
      </w:pPr>
      <w:r>
        <w:rPr>
          <w:rFonts w:ascii="Arial" w:hAnsi="Arial" w:cs="Arial"/>
          <w:sz w:val="20"/>
          <w:szCs w:val="20"/>
        </w:rPr>
        <w:t>Step 2: Calculate the weights of the samples</w:t>
      </w:r>
    </w:p>
    <w:p w14:paraId="78EB966E" w14:textId="77777777" w:rsidR="00490675" w:rsidRDefault="009B469C">
      <w:pPr>
        <w:widowControl/>
        <w:topLinePunct/>
        <w:rPr>
          <w:rFonts w:ascii="Arial" w:hAnsi="Arial" w:cs="Arial"/>
          <w:sz w:val="20"/>
          <w:szCs w:val="20"/>
        </w:rPr>
      </w:pPr>
      <m:oMathPara>
        <m:oMathParaPr>
          <m:jc m:val="right"/>
        </m:oMathParaPr>
        <m:oMath>
          <m:sSub>
            <m:sSubPr>
              <m:ctrlPr>
                <w:rPr>
                  <w:rFonts w:ascii="Cambria Math" w:hAnsi="Cambria Math"/>
                  <w:sz w:val="20"/>
                </w:rPr>
              </m:ctrlPr>
            </m:sSubPr>
            <m:e>
              <m:r>
                <m:rPr>
                  <m:sty m:val="p"/>
                </m:rPr>
                <w:rPr>
                  <w:rFonts w:ascii="Cambria Math" w:hAnsi="Cambria Math"/>
                  <w:sz w:val="20"/>
                </w:rPr>
                <m:t>P</m:t>
              </m:r>
            </m:e>
            <m:sub>
              <m:r>
                <m:rPr>
                  <m:sty m:val="p"/>
                </m:rPr>
                <w:rPr>
                  <w:rFonts w:ascii="Cambria Math" w:hAnsi="Cambria Math"/>
                  <w:sz w:val="20"/>
                </w:rPr>
                <m:t>ij</m:t>
              </m:r>
            </m:sub>
          </m:sSub>
          <m:r>
            <m:rPr>
              <m:sty m:val="p"/>
            </m:rPr>
            <w:rPr>
              <w:rFonts w:ascii="Cambria Math" w:hAnsi="Cambria Math"/>
              <w:sz w:val="20"/>
            </w:rPr>
            <m:t>=</m:t>
          </m:r>
          <m:f>
            <m:fPr>
              <m:ctrlPr>
                <w:rPr>
                  <w:rFonts w:ascii="Cambria Math" w:hAnsi="Cambria Math"/>
                  <w:sz w:val="20"/>
                </w:rPr>
              </m:ctrlPr>
            </m:fPr>
            <m:num>
              <m:sSub>
                <m:sSubPr>
                  <m:ctrlPr>
                    <w:rPr>
                      <w:rFonts w:ascii="Cambria Math" w:hAnsi="Cambria Math"/>
                      <w:sz w:val="20"/>
                    </w:rPr>
                  </m:ctrlPr>
                </m:sSubPr>
                <m:e>
                  <m:r>
                    <m:rPr>
                      <m:sty m:val="p"/>
                    </m:rPr>
                    <w:rPr>
                      <w:rFonts w:ascii="Cambria Math" w:hAnsi="Cambria Math"/>
                      <w:sz w:val="20"/>
                    </w:rPr>
                    <m:t>X</m:t>
                  </m:r>
                </m:e>
                <m:sub>
                  <m:r>
                    <m:rPr>
                      <m:sty m:val="p"/>
                    </m:rPr>
                    <w:rPr>
                      <w:rFonts w:ascii="Cambria Math" w:hAnsi="Cambria Math"/>
                      <w:sz w:val="20"/>
                    </w:rPr>
                    <m:t>ij</m:t>
                  </m:r>
                </m:sub>
              </m:sSub>
            </m:num>
            <m:den>
              <m:nary>
                <m:naryPr>
                  <m:chr m:val="∑"/>
                  <m:limLoc m:val="undOvr"/>
                  <m:ctrlPr>
                    <w:rPr>
                      <w:rFonts w:ascii="Cambria Math" w:hAnsi="Cambria Math"/>
                      <w:sz w:val="20"/>
                    </w:rPr>
                  </m:ctrlPr>
                </m:naryPr>
                <m:sub>
                  <m:r>
                    <m:rPr>
                      <m:sty m:val="p"/>
                    </m:rPr>
                    <w:rPr>
                      <w:rFonts w:ascii="Cambria Math" w:hAnsi="Cambria Math"/>
                      <w:sz w:val="20"/>
                    </w:rPr>
                    <m:t>i=1</m:t>
                  </m:r>
                </m:sub>
                <m:sup>
                  <m:r>
                    <m:rPr>
                      <m:sty m:val="p"/>
                    </m:rPr>
                    <w:rPr>
                      <w:rFonts w:ascii="Cambria Math" w:hAnsi="Cambria Math"/>
                      <w:sz w:val="20"/>
                    </w:rPr>
                    <m:t>n</m:t>
                  </m:r>
                </m:sup>
                <m:e>
                  <m:sSub>
                    <m:sSubPr>
                      <m:ctrlPr>
                        <w:rPr>
                          <w:rFonts w:ascii="Cambria Math" w:hAnsi="Cambria Math"/>
                          <w:sz w:val="20"/>
                        </w:rPr>
                      </m:ctrlPr>
                    </m:sSubPr>
                    <m:e>
                      <m:r>
                        <m:rPr>
                          <m:sty m:val="p"/>
                        </m:rPr>
                        <w:rPr>
                          <w:rFonts w:ascii="Cambria Math" w:hAnsi="Cambria Math"/>
                          <w:sz w:val="20"/>
                        </w:rPr>
                        <m:t>X</m:t>
                      </m:r>
                    </m:e>
                    <m:sub>
                      <m:r>
                        <m:rPr>
                          <m:sty m:val="p"/>
                        </m:rPr>
                        <w:rPr>
                          <w:rFonts w:ascii="Cambria Math" w:hAnsi="Cambria Math"/>
                          <w:sz w:val="20"/>
                        </w:rPr>
                        <m:t>ij</m:t>
                      </m:r>
                    </m:sub>
                  </m:sSub>
                </m:e>
              </m:nary>
            </m:den>
          </m:f>
          <m:r>
            <m:rPr>
              <m:sty m:val="p"/>
            </m:rPr>
            <w:rPr>
              <w:rFonts w:ascii="Cambria Math" w:hAnsi="Cambria Math"/>
              <w:sz w:val="20"/>
            </w:rPr>
            <m:t xml:space="preserve">                 </m:t>
          </m:r>
          <m:r>
            <m:rPr>
              <m:sty m:val="p"/>
            </m:rPr>
            <w:rPr>
              <w:rFonts w:ascii="Cambria Math" w:hAnsi="Cambria Math"/>
              <w:sz w:val="20"/>
            </w:rPr>
            <m:t xml:space="preserve">                                         (2-3)</m:t>
          </m:r>
        </m:oMath>
      </m:oMathPara>
    </w:p>
    <w:p w14:paraId="00F6F047" w14:textId="77777777" w:rsidR="00490675" w:rsidRDefault="009B469C">
      <w:pPr>
        <w:widowControl/>
        <w:topLinePunct/>
        <w:rPr>
          <w:rFonts w:ascii="Arial" w:hAnsi="Arial" w:cs="Arial"/>
          <w:sz w:val="20"/>
          <w:szCs w:val="20"/>
        </w:rPr>
      </w:pPr>
      <w:r>
        <w:rPr>
          <w:rFonts w:ascii="Arial" w:hAnsi="Arial" w:cs="Arial"/>
          <w:sz w:val="20"/>
          <w:szCs w:val="20"/>
        </w:rPr>
        <w:t xml:space="preserve">Step 3: Calculate the entropy value of the </w:t>
      </w:r>
      <w:proofErr w:type="spellStart"/>
      <w:r>
        <w:rPr>
          <w:rFonts w:ascii="Arial" w:hAnsi="Arial" w:cs="Arial"/>
          <w:sz w:val="20"/>
          <w:szCs w:val="20"/>
        </w:rPr>
        <w:t>jth</w:t>
      </w:r>
      <w:proofErr w:type="spellEnd"/>
      <w:r>
        <w:rPr>
          <w:rFonts w:ascii="Arial" w:hAnsi="Arial" w:cs="Arial"/>
          <w:sz w:val="20"/>
          <w:szCs w:val="20"/>
        </w:rPr>
        <w:t xml:space="preserve"> metric</w:t>
      </w:r>
    </w:p>
    <w:p w14:paraId="1C6C8014" w14:textId="77777777" w:rsidR="00490675" w:rsidRDefault="009B469C">
      <w:pPr>
        <w:widowControl/>
        <w:topLinePunct/>
        <w:rPr>
          <w:rFonts w:ascii="Arial" w:hAnsi="Arial" w:cs="Arial"/>
          <w:sz w:val="20"/>
          <w:szCs w:val="20"/>
        </w:rPr>
      </w:pPr>
      <m:oMathPara>
        <m:oMathParaPr>
          <m:jc m:val="right"/>
        </m:oMathParaPr>
        <m:oMath>
          <m:sSub>
            <m:sSubPr>
              <m:ctrlPr>
                <w:rPr>
                  <w:rFonts w:ascii="Cambria Math" w:hAnsi="Cambria Math"/>
                  <w:sz w:val="20"/>
                </w:rPr>
              </m:ctrlPr>
            </m:sSubPr>
            <m:e>
              <m:r>
                <m:rPr>
                  <m:sty m:val="p"/>
                </m:rPr>
                <w:rPr>
                  <w:rFonts w:ascii="Cambria Math" w:hAnsi="Cambria Math"/>
                  <w:sz w:val="20"/>
                </w:rPr>
                <m:t>e</m:t>
              </m:r>
            </m:e>
            <m:sub>
              <m:r>
                <m:rPr>
                  <m:sty m:val="p"/>
                </m:rPr>
                <w:rPr>
                  <w:rFonts w:ascii="Cambria Math" w:hAnsi="Cambria Math"/>
                  <w:sz w:val="20"/>
                </w:rPr>
                <m:t>j</m:t>
              </m:r>
            </m:sub>
          </m:sSub>
          <m:r>
            <m:rPr>
              <m:sty m:val="p"/>
            </m:rPr>
            <w:rPr>
              <w:rFonts w:ascii="Cambria Math" w:hAnsi="Cambria Math"/>
              <w:sz w:val="20"/>
            </w:rPr>
            <m:t>=-k</m:t>
          </m:r>
          <m:nary>
            <m:naryPr>
              <m:chr m:val="∑"/>
              <m:limLoc m:val="undOvr"/>
              <m:ctrlPr>
                <w:rPr>
                  <w:rFonts w:ascii="Cambria Math" w:hAnsi="Cambria Math"/>
                  <w:sz w:val="20"/>
                </w:rPr>
              </m:ctrlPr>
            </m:naryPr>
            <m:sub>
              <m:r>
                <m:rPr>
                  <m:sty m:val="p"/>
                </m:rPr>
                <w:rPr>
                  <w:rFonts w:ascii="Cambria Math" w:hAnsi="Cambria Math"/>
                  <w:sz w:val="20"/>
                </w:rPr>
                <m:t>i=1</m:t>
              </m:r>
            </m:sub>
            <m:sup>
              <m:r>
                <m:rPr>
                  <m:sty m:val="p"/>
                </m:rPr>
                <w:rPr>
                  <w:rFonts w:ascii="Cambria Math" w:hAnsi="Cambria Math"/>
                  <w:sz w:val="20"/>
                </w:rPr>
                <m:t>n</m:t>
              </m:r>
            </m:sup>
            <m:e>
              <m:sSub>
                <m:sSubPr>
                  <m:ctrlPr>
                    <w:rPr>
                      <w:rFonts w:ascii="Cambria Math" w:hAnsi="Cambria Math"/>
                      <w:sz w:val="20"/>
                    </w:rPr>
                  </m:ctrlPr>
                </m:sSubPr>
                <m:e>
                  <m:r>
                    <m:rPr>
                      <m:sty m:val="p"/>
                    </m:rPr>
                    <w:rPr>
                      <w:rFonts w:ascii="Cambria Math" w:hAnsi="Cambria Math"/>
                      <w:sz w:val="20"/>
                    </w:rPr>
                    <m:t>P</m:t>
                  </m:r>
                </m:e>
                <m:sub>
                  <m:r>
                    <m:rPr>
                      <m:sty m:val="p"/>
                    </m:rPr>
                    <w:rPr>
                      <w:rFonts w:ascii="Cambria Math" w:hAnsi="Cambria Math"/>
                      <w:sz w:val="20"/>
                    </w:rPr>
                    <m:t>ij</m:t>
                  </m:r>
                </m:sub>
              </m:sSub>
              <m:r>
                <m:rPr>
                  <m:sty m:val="p"/>
                </m:rPr>
                <w:rPr>
                  <w:rFonts w:ascii="Cambria Math" w:hAnsi="Cambria Math"/>
                  <w:sz w:val="20"/>
                </w:rPr>
                <m:t>×ln</m:t>
              </m:r>
              <m:sSub>
                <m:sSubPr>
                  <m:ctrlPr>
                    <w:rPr>
                      <w:rFonts w:ascii="Cambria Math" w:hAnsi="Cambria Math"/>
                      <w:sz w:val="20"/>
                    </w:rPr>
                  </m:ctrlPr>
                </m:sSubPr>
                <m:e>
                  <m:r>
                    <m:rPr>
                      <m:sty m:val="p"/>
                    </m:rPr>
                    <w:rPr>
                      <w:rFonts w:ascii="Cambria Math" w:hAnsi="Cambria Math"/>
                      <w:sz w:val="20"/>
                    </w:rPr>
                    <m:t>P</m:t>
                  </m:r>
                </m:e>
                <m:sub>
                  <m:r>
                    <m:rPr>
                      <m:sty m:val="p"/>
                    </m:rPr>
                    <w:rPr>
                      <w:rFonts w:ascii="Cambria Math" w:hAnsi="Cambria Math"/>
                      <w:sz w:val="20"/>
                    </w:rPr>
                    <m:t>ij</m:t>
                  </m:r>
                </m:sub>
              </m:sSub>
            </m:e>
          </m:nary>
          <m:r>
            <m:rPr>
              <m:sty m:val="p"/>
            </m:rPr>
            <w:rPr>
              <w:rFonts w:ascii="Cambria Math" w:hAnsi="Cambria Math"/>
              <w:sz w:val="20"/>
            </w:rPr>
            <m:t xml:space="preserve">                                               (2-4)</m:t>
          </m:r>
        </m:oMath>
      </m:oMathPara>
    </w:p>
    <w:p w14:paraId="097A4029" w14:textId="77777777" w:rsidR="00490675" w:rsidRDefault="009B469C">
      <w:r>
        <w:rPr>
          <w:rFonts w:hint="eastAsia"/>
        </w:rPr>
        <w:t xml:space="preserve">where </w:t>
      </w:r>
      <w:proofErr w:type="spellStart"/>
      <w:r>
        <w:rPr>
          <w:rFonts w:ascii="Arial" w:hAnsi="Arial" w:cs="Arial"/>
          <w:sz w:val="20"/>
          <w:szCs w:val="20"/>
        </w:rPr>
        <w:t>e</w:t>
      </w:r>
      <w:r>
        <w:rPr>
          <w:rFonts w:ascii="Arial" w:hAnsi="Arial" w:cs="Arial"/>
          <w:sz w:val="20"/>
          <w:szCs w:val="20"/>
          <w:vertAlign w:val="subscript"/>
        </w:rPr>
        <w:t>j</w:t>
      </w:r>
      <w:proofErr w:type="spellEnd"/>
      <w:r>
        <w:rPr>
          <w:rFonts w:hint="eastAsia"/>
          <w:vertAlign w:val="subscript"/>
        </w:rPr>
        <w:t xml:space="preserve"> </w:t>
      </w:r>
      <w:r>
        <w:rPr>
          <w:rFonts w:hint="eastAsia"/>
        </w:rPr>
        <w:t>lies between 0 and 1.</w:t>
      </w:r>
    </w:p>
    <w:p w14:paraId="31FC090C" w14:textId="77777777" w:rsidR="00490675" w:rsidRDefault="009B469C">
      <w:pPr>
        <w:widowControl/>
        <w:topLinePunct/>
        <w:rPr>
          <w:rFonts w:ascii="Arial" w:hAnsi="Arial" w:cs="Arial"/>
          <w:sz w:val="20"/>
          <w:szCs w:val="20"/>
        </w:rPr>
      </w:pPr>
      <w:r>
        <w:rPr>
          <w:rFonts w:ascii="Arial" w:hAnsi="Arial" w:cs="Arial"/>
          <w:sz w:val="20"/>
          <w:szCs w:val="20"/>
        </w:rPr>
        <w:t>Step 4: Calculate the difference index</w:t>
      </w:r>
    </w:p>
    <w:p w14:paraId="2CF3F0A2" w14:textId="77777777" w:rsidR="00490675" w:rsidRDefault="009B469C">
      <w:pPr>
        <w:widowControl/>
        <w:topLinePunct/>
        <w:rPr>
          <w:rFonts w:ascii="Arial" w:hAnsi="Arial" w:cs="Arial"/>
          <w:sz w:val="20"/>
          <w:szCs w:val="20"/>
        </w:rPr>
      </w:pPr>
      <m:oMathPara>
        <m:oMathParaPr>
          <m:jc m:val="right"/>
        </m:oMathParaPr>
        <m:oMath>
          <m:sSub>
            <m:sSubPr>
              <m:ctrlPr>
                <w:rPr>
                  <w:rFonts w:ascii="Cambria Math" w:hAnsi="Cambria Math"/>
                  <w:sz w:val="20"/>
                </w:rPr>
              </m:ctrlPr>
            </m:sSubPr>
            <m:e>
              <m:r>
                <m:rPr>
                  <m:sty m:val="p"/>
                </m:rPr>
                <w:rPr>
                  <w:rFonts w:ascii="Cambria Math" w:hAnsi="Cambria Math"/>
                  <w:sz w:val="20"/>
                </w:rPr>
                <m:t>g</m:t>
              </m:r>
            </m:e>
            <m:sub>
              <m:r>
                <m:rPr>
                  <m:sty m:val="p"/>
                </m:rPr>
                <w:rPr>
                  <w:rFonts w:ascii="Cambria Math" w:hAnsi="Cambria Math"/>
                  <w:sz w:val="20"/>
                </w:rPr>
                <m:t>j</m:t>
              </m:r>
            </m:sub>
          </m:sSub>
          <m:r>
            <m:rPr>
              <m:sty m:val="p"/>
            </m:rPr>
            <w:rPr>
              <w:rFonts w:ascii="Cambria Math" w:hAnsi="Cambria Math"/>
              <w:sz w:val="20"/>
            </w:rPr>
            <m:t>=1-</m:t>
          </m:r>
          <m:sSub>
            <m:sSubPr>
              <m:ctrlPr>
                <w:rPr>
                  <w:rFonts w:ascii="Cambria Math" w:hAnsi="Cambria Math"/>
                  <w:sz w:val="20"/>
                </w:rPr>
              </m:ctrlPr>
            </m:sSubPr>
            <m:e>
              <m:r>
                <m:rPr>
                  <m:sty m:val="p"/>
                </m:rPr>
                <w:rPr>
                  <w:rFonts w:ascii="Cambria Math" w:hAnsi="Cambria Math"/>
                  <w:sz w:val="20"/>
                </w:rPr>
                <m:t>e</m:t>
              </m:r>
            </m:e>
            <m:sub>
              <m:r>
                <m:rPr>
                  <m:sty m:val="p"/>
                </m:rPr>
                <w:rPr>
                  <w:rFonts w:ascii="Cambria Math" w:hAnsi="Cambria Math"/>
                  <w:sz w:val="20"/>
                </w:rPr>
                <m:t>j</m:t>
              </m:r>
            </m:sub>
          </m:sSub>
          <m:r>
            <m:rPr>
              <m:sty m:val="p"/>
            </m:rPr>
            <w:rPr>
              <w:rFonts w:ascii="Cambria Math" w:hAnsi="Cambria Math"/>
              <w:sz w:val="20"/>
            </w:rPr>
            <m:t xml:space="preserve">                                                               (2-5)</m:t>
          </m:r>
        </m:oMath>
      </m:oMathPara>
    </w:p>
    <w:p w14:paraId="25633BD3" w14:textId="77777777" w:rsidR="00490675" w:rsidRDefault="009B469C">
      <w:pPr>
        <w:widowControl/>
        <w:topLinePunct/>
        <w:rPr>
          <w:rFonts w:ascii="Arial" w:hAnsi="Arial" w:cs="Arial"/>
          <w:sz w:val="20"/>
          <w:szCs w:val="20"/>
        </w:rPr>
      </w:pPr>
      <w:r>
        <w:rPr>
          <w:rFonts w:ascii="Arial" w:hAnsi="Arial" w:cs="Arial"/>
          <w:sz w:val="20"/>
          <w:szCs w:val="20"/>
        </w:rPr>
        <w:lastRenderedPageBreak/>
        <w:t>Step 5: Calculate the weight coefficients</w:t>
      </w:r>
    </w:p>
    <w:p w14:paraId="6AFADBFD" w14:textId="77777777" w:rsidR="00490675" w:rsidRDefault="009B469C">
      <w:pPr>
        <w:widowControl/>
        <w:topLinePunct/>
        <w:rPr>
          <w:rFonts w:ascii="Arial" w:hAnsi="Arial" w:cs="Arial"/>
          <w:sz w:val="20"/>
          <w:szCs w:val="20"/>
        </w:rPr>
      </w:pPr>
      <m:oMathPara>
        <m:oMathParaPr>
          <m:jc m:val="right"/>
        </m:oMathParaPr>
        <m:oMath>
          <m:sSub>
            <m:sSubPr>
              <m:ctrlPr>
                <w:rPr>
                  <w:rFonts w:ascii="Cambria Math" w:hAnsi="Cambria Math"/>
                  <w:sz w:val="20"/>
                </w:rPr>
              </m:ctrlPr>
            </m:sSubPr>
            <m:e>
              <m:r>
                <m:rPr>
                  <m:sty m:val="p"/>
                </m:rPr>
                <w:rPr>
                  <w:rFonts w:ascii="Cambria Math" w:hAnsi="Cambria Math"/>
                  <w:sz w:val="20"/>
                </w:rPr>
                <m:t>W</m:t>
              </m:r>
            </m:e>
            <m:sub>
              <m:r>
                <m:rPr>
                  <m:sty m:val="p"/>
                </m:rPr>
                <w:rPr>
                  <w:rFonts w:ascii="Cambria Math" w:hAnsi="Cambria Math"/>
                  <w:sz w:val="20"/>
                </w:rPr>
                <m:t>j</m:t>
              </m:r>
            </m:sub>
          </m:sSub>
          <m:r>
            <m:rPr>
              <m:sty m:val="p"/>
            </m:rPr>
            <w:rPr>
              <w:rFonts w:ascii="Cambria Math" w:hAnsi="Cambria Math"/>
              <w:sz w:val="20"/>
            </w:rPr>
            <m:t>=</m:t>
          </m:r>
          <m:f>
            <m:fPr>
              <m:ctrlPr>
                <w:rPr>
                  <w:rFonts w:ascii="Cambria Math" w:hAnsi="Cambria Math"/>
                  <w:sz w:val="20"/>
                </w:rPr>
              </m:ctrlPr>
            </m:fPr>
            <m:num>
              <m:r>
                <m:rPr>
                  <m:sty m:val="p"/>
                </m:rPr>
                <w:rPr>
                  <w:rFonts w:ascii="Cambria Math" w:hAnsi="Cambria Math"/>
                  <w:sz w:val="20"/>
                </w:rPr>
                <m:t>1-</m:t>
              </m:r>
              <m:sSub>
                <m:sSubPr>
                  <m:ctrlPr>
                    <w:rPr>
                      <w:rFonts w:ascii="Cambria Math" w:hAnsi="Cambria Math"/>
                      <w:sz w:val="20"/>
                    </w:rPr>
                  </m:ctrlPr>
                </m:sSubPr>
                <m:e>
                  <m:r>
                    <m:rPr>
                      <m:sty m:val="p"/>
                    </m:rPr>
                    <w:rPr>
                      <w:rFonts w:ascii="Cambria Math" w:hAnsi="Cambria Math"/>
                      <w:sz w:val="20"/>
                    </w:rPr>
                    <m:t>e</m:t>
                  </m:r>
                </m:e>
                <m:sub>
                  <m:r>
                    <m:rPr>
                      <m:sty m:val="p"/>
                    </m:rPr>
                    <w:rPr>
                      <w:rFonts w:ascii="Cambria Math" w:hAnsi="Cambria Math"/>
                      <w:sz w:val="20"/>
                    </w:rPr>
                    <m:t>j</m:t>
                  </m:r>
                </m:sub>
              </m:sSub>
            </m:num>
            <m:den>
              <m:nary>
                <m:naryPr>
                  <m:chr m:val="∑"/>
                  <m:limLoc m:val="undOvr"/>
                  <m:ctrlPr>
                    <w:rPr>
                      <w:rFonts w:ascii="Cambria Math" w:hAnsi="Cambria Math"/>
                      <w:sz w:val="20"/>
                    </w:rPr>
                  </m:ctrlPr>
                </m:naryPr>
                <m:sub>
                  <m:r>
                    <m:rPr>
                      <m:sty m:val="p"/>
                    </m:rPr>
                    <w:rPr>
                      <w:rFonts w:ascii="Cambria Math" w:hAnsi="Cambria Math"/>
                      <w:sz w:val="20"/>
                    </w:rPr>
                    <m:t>j=1</m:t>
                  </m:r>
                </m:sub>
                <m:sup>
                  <m:r>
                    <m:rPr>
                      <m:sty m:val="p"/>
                    </m:rPr>
                    <w:rPr>
                      <w:rFonts w:ascii="Cambria Math" w:hAnsi="Cambria Math"/>
                      <w:sz w:val="20"/>
                    </w:rPr>
                    <m:t>m</m:t>
                  </m:r>
                </m:sup>
                <m:e>
                  <m:r>
                    <m:rPr>
                      <m:sty m:val="p"/>
                    </m:rPr>
                    <w:rPr>
                      <w:rFonts w:ascii="Cambria Math" w:hAnsi="Cambria Math"/>
                      <w:sz w:val="20"/>
                    </w:rPr>
                    <m:t>1-</m:t>
                  </m:r>
                  <m:sSub>
                    <m:sSubPr>
                      <m:ctrlPr>
                        <w:rPr>
                          <w:rFonts w:ascii="Cambria Math" w:hAnsi="Cambria Math"/>
                          <w:sz w:val="20"/>
                        </w:rPr>
                      </m:ctrlPr>
                    </m:sSubPr>
                    <m:e>
                      <m:r>
                        <m:rPr>
                          <m:sty m:val="p"/>
                        </m:rPr>
                        <w:rPr>
                          <w:rFonts w:ascii="Cambria Math" w:hAnsi="Cambria Math"/>
                          <w:sz w:val="20"/>
                        </w:rPr>
                        <m:t>e</m:t>
                      </m:r>
                    </m:e>
                    <m:sub>
                      <m:r>
                        <m:rPr>
                          <m:sty m:val="p"/>
                        </m:rPr>
                        <w:rPr>
                          <w:rFonts w:ascii="Cambria Math" w:hAnsi="Cambria Math"/>
                          <w:sz w:val="20"/>
                        </w:rPr>
                        <m:t>j</m:t>
                      </m:r>
                    </m:sub>
                  </m:sSub>
                </m:e>
              </m:nary>
            </m:den>
          </m:f>
          <m:r>
            <m:rPr>
              <m:sty m:val="p"/>
            </m:rPr>
            <w:rPr>
              <w:rFonts w:ascii="Cambria Math" w:hAnsi="Cambria Math"/>
              <w:sz w:val="20"/>
            </w:rPr>
            <m:t>=</m:t>
          </m:r>
          <m:f>
            <m:fPr>
              <m:ctrlPr>
                <w:rPr>
                  <w:rFonts w:ascii="Cambria Math" w:hAnsi="Cambria Math"/>
                  <w:sz w:val="20"/>
                </w:rPr>
              </m:ctrlPr>
            </m:fPr>
            <m:num>
              <m:sSub>
                <m:sSubPr>
                  <m:ctrlPr>
                    <w:rPr>
                      <w:rFonts w:ascii="Cambria Math" w:hAnsi="Cambria Math"/>
                      <w:sz w:val="20"/>
                    </w:rPr>
                  </m:ctrlPr>
                </m:sSubPr>
                <m:e>
                  <m:r>
                    <m:rPr>
                      <m:sty m:val="p"/>
                    </m:rPr>
                    <w:rPr>
                      <w:rFonts w:ascii="Cambria Math" w:hAnsi="Cambria Math"/>
                      <w:sz w:val="20"/>
                    </w:rPr>
                    <m:t>g</m:t>
                  </m:r>
                </m:e>
                <m:sub>
                  <m:r>
                    <m:rPr>
                      <m:sty m:val="p"/>
                    </m:rPr>
                    <w:rPr>
                      <w:rFonts w:ascii="Cambria Math" w:hAnsi="Cambria Math"/>
                      <w:sz w:val="20"/>
                    </w:rPr>
                    <m:t>j</m:t>
                  </m:r>
                </m:sub>
              </m:sSub>
            </m:num>
            <m:den>
              <m:nary>
                <m:naryPr>
                  <m:chr m:val="∑"/>
                  <m:limLoc m:val="undOvr"/>
                  <m:ctrlPr>
                    <w:rPr>
                      <w:rFonts w:ascii="Cambria Math" w:hAnsi="Cambria Math"/>
                      <w:sz w:val="20"/>
                    </w:rPr>
                  </m:ctrlPr>
                </m:naryPr>
                <m:sub>
                  <m:r>
                    <m:rPr>
                      <m:sty m:val="p"/>
                    </m:rPr>
                    <w:rPr>
                      <w:rFonts w:ascii="Cambria Math" w:hAnsi="Cambria Math"/>
                      <w:sz w:val="20"/>
                    </w:rPr>
                    <m:t>j=1</m:t>
                  </m:r>
                </m:sub>
                <m:sup>
                  <m:r>
                    <m:rPr>
                      <m:sty m:val="p"/>
                    </m:rPr>
                    <w:rPr>
                      <w:rFonts w:ascii="Cambria Math" w:hAnsi="Cambria Math"/>
                      <w:sz w:val="20"/>
                    </w:rPr>
                    <m:t>m</m:t>
                  </m:r>
                </m:sup>
                <m:e>
                  <m:sSub>
                    <m:sSubPr>
                      <m:ctrlPr>
                        <w:rPr>
                          <w:rFonts w:ascii="Cambria Math" w:hAnsi="Cambria Math"/>
                          <w:sz w:val="20"/>
                        </w:rPr>
                      </m:ctrlPr>
                    </m:sSubPr>
                    <m:e>
                      <m:r>
                        <m:rPr>
                          <m:sty m:val="p"/>
                        </m:rPr>
                        <w:rPr>
                          <w:rFonts w:ascii="Cambria Math" w:hAnsi="Cambria Math"/>
                          <w:sz w:val="20"/>
                        </w:rPr>
                        <m:t>g</m:t>
                      </m:r>
                    </m:e>
                    <m:sub>
                      <m:r>
                        <m:rPr>
                          <m:sty m:val="p"/>
                        </m:rPr>
                        <w:rPr>
                          <w:rFonts w:ascii="Cambria Math" w:hAnsi="Cambria Math"/>
                          <w:sz w:val="20"/>
                        </w:rPr>
                        <m:t>j</m:t>
                      </m:r>
                    </m:sub>
                  </m:sSub>
                </m:e>
              </m:nary>
            </m:den>
          </m:f>
          <m:r>
            <m:rPr>
              <m:sty m:val="p"/>
            </m:rPr>
            <w:rPr>
              <w:rFonts w:ascii="Cambria Math" w:hAnsi="Cambria Math"/>
              <w:sz w:val="20"/>
            </w:rPr>
            <m:t xml:space="preserve">                                                 (2-6)</m:t>
          </m:r>
        </m:oMath>
      </m:oMathPara>
    </w:p>
    <w:p w14:paraId="34D6624C" w14:textId="77777777" w:rsidR="00490675" w:rsidRDefault="009B469C">
      <w:pPr>
        <w:widowControl/>
        <w:topLinePunct/>
        <w:rPr>
          <w:rFonts w:ascii="Arial" w:hAnsi="Arial" w:cs="Arial"/>
          <w:sz w:val="20"/>
          <w:szCs w:val="20"/>
        </w:rPr>
      </w:pPr>
      <w:r>
        <w:rPr>
          <w:rFonts w:ascii="Arial" w:hAnsi="Arial" w:cs="Arial"/>
          <w:sz w:val="20"/>
          <w:szCs w:val="20"/>
        </w:rPr>
        <w:t>Step 6: Calculate the sample’s composite score</w:t>
      </w:r>
    </w:p>
    <w:p w14:paraId="1F85D6B4" w14:textId="77777777" w:rsidR="00490675" w:rsidRDefault="009B469C">
      <w:pPr>
        <w:widowControl/>
        <w:topLinePunct/>
        <w:rPr>
          <w:rFonts w:ascii="Arial" w:hAnsi="Arial" w:cs="Arial"/>
          <w:sz w:val="20"/>
          <w:szCs w:val="20"/>
        </w:rPr>
      </w:pPr>
      <m:oMathPara>
        <m:oMathParaPr>
          <m:jc m:val="right"/>
        </m:oMathParaPr>
        <m:oMath>
          <m:sSub>
            <m:sSubPr>
              <m:ctrlPr>
                <w:rPr>
                  <w:rFonts w:ascii="Cambria Math" w:hAnsi="Cambria Math"/>
                  <w:sz w:val="20"/>
                </w:rPr>
              </m:ctrlPr>
            </m:sSubPr>
            <m:e>
              <m:r>
                <m:rPr>
                  <m:sty m:val="p"/>
                </m:rPr>
                <w:rPr>
                  <w:rFonts w:ascii="Cambria Math" w:hAnsi="Cambria Math"/>
                  <w:sz w:val="20"/>
                </w:rPr>
                <m:t>Z</m:t>
              </m:r>
            </m:e>
            <m:sub>
              <m:r>
                <m:rPr>
                  <m:sty m:val="p"/>
                </m:rPr>
                <w:rPr>
                  <w:rFonts w:ascii="Cambria Math" w:hAnsi="Cambria Math"/>
                  <w:sz w:val="20"/>
                </w:rPr>
                <m:t>i</m:t>
              </m:r>
            </m:sub>
          </m:sSub>
          <m:r>
            <m:rPr>
              <m:sty m:val="p"/>
            </m:rPr>
            <w:rPr>
              <w:rFonts w:ascii="Cambria Math" w:hAnsi="Cambria Math"/>
              <w:sz w:val="20"/>
            </w:rPr>
            <m:t>=</m:t>
          </m:r>
          <m:nary>
            <m:naryPr>
              <m:chr m:val="∑"/>
              <m:limLoc m:val="undOvr"/>
              <m:ctrlPr>
                <w:rPr>
                  <w:rFonts w:ascii="Cambria Math" w:hAnsi="Cambria Math"/>
                  <w:sz w:val="20"/>
                </w:rPr>
              </m:ctrlPr>
            </m:naryPr>
            <m:sub>
              <m:r>
                <m:rPr>
                  <m:sty m:val="p"/>
                </m:rPr>
                <w:rPr>
                  <w:rFonts w:ascii="Cambria Math" w:hAnsi="Cambria Math"/>
                  <w:sz w:val="20"/>
                </w:rPr>
                <m:t>j=1</m:t>
              </m:r>
            </m:sub>
            <m:sup>
              <m:r>
                <m:rPr>
                  <m:sty m:val="p"/>
                </m:rPr>
                <w:rPr>
                  <w:rFonts w:ascii="Cambria Math" w:hAnsi="Cambria Math"/>
                  <w:sz w:val="20"/>
                </w:rPr>
                <m:t>m</m:t>
              </m:r>
            </m:sup>
            <m:e>
              <m:sSub>
                <m:sSubPr>
                  <m:ctrlPr>
                    <w:rPr>
                      <w:rFonts w:ascii="Cambria Math" w:hAnsi="Cambria Math"/>
                      <w:sz w:val="20"/>
                    </w:rPr>
                  </m:ctrlPr>
                </m:sSubPr>
                <m:e>
                  <m:r>
                    <m:rPr>
                      <m:sty m:val="p"/>
                    </m:rPr>
                    <w:rPr>
                      <w:rFonts w:ascii="Cambria Math" w:hAnsi="Cambria Math"/>
                      <w:sz w:val="20"/>
                    </w:rPr>
                    <m:t>W</m:t>
                  </m:r>
                </m:e>
                <m:sub>
                  <m:r>
                    <m:rPr>
                      <m:sty m:val="p"/>
                    </m:rPr>
                    <w:rPr>
                      <w:rFonts w:ascii="Cambria Math" w:hAnsi="Cambria Math"/>
                      <w:sz w:val="20"/>
                    </w:rPr>
                    <m:t>j</m:t>
                  </m:r>
                </m:sub>
              </m:sSub>
              <m:r>
                <m:rPr>
                  <m:sty m:val="p"/>
                </m:rPr>
                <w:rPr>
                  <w:rFonts w:ascii="Cambria Math" w:hAnsi="Cambria Math"/>
                  <w:sz w:val="20"/>
                </w:rPr>
                <m:t>*</m:t>
              </m:r>
              <m:sSubSup>
                <m:sSubSupPr>
                  <m:ctrlPr>
                    <w:rPr>
                      <w:rFonts w:ascii="Cambria Math" w:hAnsi="Cambria Math"/>
                      <w:sz w:val="20"/>
                    </w:rPr>
                  </m:ctrlPr>
                </m:sSubSupPr>
                <m:e>
                  <m:r>
                    <m:rPr>
                      <m:sty m:val="p"/>
                    </m:rPr>
                    <w:rPr>
                      <w:rFonts w:ascii="Cambria Math" w:hAnsi="Cambria Math"/>
                      <w:sz w:val="20"/>
                    </w:rPr>
                    <m:t>X</m:t>
                  </m:r>
                </m:e>
                <m:sub>
                  <m:r>
                    <m:rPr>
                      <m:sty m:val="p"/>
                    </m:rPr>
                    <w:rPr>
                      <w:rFonts w:ascii="Cambria Math" w:hAnsi="Cambria Math"/>
                      <w:sz w:val="20"/>
                    </w:rPr>
                    <m:t>ij</m:t>
                  </m:r>
                </m:sub>
                <m:sup>
                  <m:r>
                    <m:rPr>
                      <m:sty m:val="p"/>
                    </m:rPr>
                    <w:rPr>
                      <w:rFonts w:ascii="Cambria Math" w:hAnsi="Cambria Math"/>
                      <w:sz w:val="20"/>
                    </w:rPr>
                    <m:t>'</m:t>
                  </m:r>
                </m:sup>
              </m:sSubSup>
            </m:e>
          </m:nary>
          <m:r>
            <m:rPr>
              <m:sty m:val="p"/>
            </m:rPr>
            <w:rPr>
              <w:rFonts w:ascii="Cambria Math" w:hAnsi="Cambria Math"/>
              <w:sz w:val="20"/>
            </w:rPr>
            <m:t xml:space="preserve">                                                         (2-7)</m:t>
          </m:r>
        </m:oMath>
      </m:oMathPara>
    </w:p>
    <w:p w14:paraId="6C8A69BD" w14:textId="77777777" w:rsidR="00490675" w:rsidRDefault="009B469C">
      <w:pPr>
        <w:widowControl/>
        <w:topLinePunct/>
      </w:pPr>
      <w:r>
        <w:rPr>
          <w:rFonts w:hint="eastAsia"/>
        </w:rPr>
        <w:t>For the TOPSIS method, the weighted standardization matrix is first constructed, then the positive and negative ideal solutions are identified. Euclidean distances are calculated, and the relat</w:t>
      </w:r>
      <w:r>
        <w:rPr>
          <w:rFonts w:hint="eastAsia"/>
        </w:rPr>
        <w:t>ive closeness C</w:t>
      </w:r>
      <w:r>
        <w:rPr>
          <w:rFonts w:hint="eastAsia"/>
          <w:vertAlign w:val="subscript"/>
        </w:rPr>
        <w:t>i</w:t>
      </w:r>
      <w:r>
        <w:rPr>
          <w:rFonts w:hint="eastAsia"/>
        </w:rPr>
        <w:t> (ranging from 0 to 1) represents the comprehensive level of rural industrial revitalization for each city.</w:t>
      </w:r>
    </w:p>
    <w:p w14:paraId="15077A43" w14:textId="77777777" w:rsidR="00490675" w:rsidRDefault="00490675">
      <w:pPr>
        <w:widowControl/>
        <w:topLinePunct/>
      </w:pPr>
    </w:p>
    <w:p w14:paraId="5AEA26E4" w14:textId="77777777" w:rsidR="00490675" w:rsidRDefault="009B469C">
      <w:pPr>
        <w:widowControl/>
        <w:topLinePunct/>
        <w:rPr>
          <w:rFonts w:ascii="Arial" w:hAnsi="Arial" w:cs="Arial"/>
          <w:b/>
          <w:bCs/>
          <w:sz w:val="22"/>
          <w:szCs w:val="22"/>
        </w:rPr>
      </w:pPr>
      <w:r>
        <w:rPr>
          <w:rFonts w:ascii="Arial" w:hAnsi="Arial" w:cs="Arial"/>
          <w:b/>
          <w:bCs/>
          <w:sz w:val="22"/>
          <w:szCs w:val="22"/>
        </w:rPr>
        <w:t>2.</w:t>
      </w:r>
      <w:r>
        <w:rPr>
          <w:rFonts w:ascii="Arial" w:hAnsi="Arial" w:cs="Arial" w:hint="eastAsia"/>
          <w:b/>
          <w:bCs/>
          <w:sz w:val="22"/>
          <w:szCs w:val="22"/>
        </w:rPr>
        <w:t xml:space="preserve">4 </w:t>
      </w:r>
      <w:proofErr w:type="spellStart"/>
      <w:r>
        <w:rPr>
          <w:rFonts w:ascii="Arial" w:hAnsi="Arial" w:cs="Arial"/>
          <w:b/>
          <w:bCs/>
          <w:sz w:val="22"/>
          <w:szCs w:val="22"/>
        </w:rPr>
        <w:t>Dagum</w:t>
      </w:r>
      <w:proofErr w:type="spellEnd"/>
      <w:r>
        <w:rPr>
          <w:rFonts w:ascii="Arial" w:hAnsi="Arial" w:cs="Arial"/>
          <w:b/>
          <w:bCs/>
          <w:sz w:val="22"/>
          <w:szCs w:val="22"/>
        </w:rPr>
        <w:t xml:space="preserve"> Gini Coefficient Decomposition</w:t>
      </w:r>
    </w:p>
    <w:p w14:paraId="63E2EEC3" w14:textId="77777777" w:rsidR="00490675" w:rsidRDefault="00490675">
      <w:pPr>
        <w:widowControl/>
        <w:topLinePunct/>
        <w:rPr>
          <w:rFonts w:ascii="Arial" w:hAnsi="Arial" w:cs="Arial"/>
          <w:b/>
          <w:bCs/>
          <w:sz w:val="22"/>
          <w:szCs w:val="22"/>
        </w:rPr>
      </w:pPr>
    </w:p>
    <w:p w14:paraId="13EEAB4C" w14:textId="77777777" w:rsidR="00490675" w:rsidRDefault="009B469C">
      <w:r>
        <w:rPr>
          <w:rFonts w:hint="eastAsia"/>
        </w:rPr>
        <w:t xml:space="preserve">The </w:t>
      </w:r>
      <w:proofErr w:type="spellStart"/>
      <w:r>
        <w:rPr>
          <w:rFonts w:hint="eastAsia"/>
        </w:rPr>
        <w:t>Dagum</w:t>
      </w:r>
      <w:proofErr w:type="spellEnd"/>
      <w:r>
        <w:rPr>
          <w:rFonts w:hint="eastAsia"/>
        </w:rPr>
        <w:t xml:space="preserve"> Gini coefficient is used to analyze overall disparities and their sources. This</w:t>
      </w:r>
      <w:r>
        <w:rPr>
          <w:rFonts w:hint="eastAsia"/>
        </w:rPr>
        <w:t xml:space="preserve"> method decomposes the overall Gini coefficient into three components</w:t>
      </w:r>
      <w:r>
        <w:rPr>
          <w:rFonts w:hint="eastAsia"/>
        </w:rPr>
        <w:t>—</w:t>
      </w:r>
      <w:r>
        <w:rPr>
          <w:rFonts w:hint="eastAsia"/>
        </w:rPr>
        <w:t>within-group disparity (</w:t>
      </w:r>
      <w:proofErr w:type="spellStart"/>
      <w:r>
        <w:rPr>
          <w:rFonts w:hint="eastAsia"/>
        </w:rPr>
        <w:t>G</w:t>
      </w:r>
      <w:r>
        <w:rPr>
          <w:rFonts w:hint="eastAsia"/>
          <w:vertAlign w:val="subscript"/>
        </w:rPr>
        <w:t>w</w:t>
      </w:r>
      <w:proofErr w:type="spellEnd"/>
      <w:r>
        <w:rPr>
          <w:rFonts w:hint="eastAsia"/>
        </w:rPr>
        <w:t>), net between-group disparity (</w:t>
      </w:r>
      <w:proofErr w:type="spellStart"/>
      <w:r>
        <w:rPr>
          <w:rFonts w:hint="eastAsia"/>
        </w:rPr>
        <w:t>G</w:t>
      </w:r>
      <w:r>
        <w:rPr>
          <w:rFonts w:hint="eastAsia"/>
          <w:vertAlign w:val="subscript"/>
        </w:rPr>
        <w:t>nb</w:t>
      </w:r>
      <w:proofErr w:type="spellEnd"/>
      <w:r>
        <w:rPr>
          <w:rFonts w:hint="eastAsia"/>
        </w:rPr>
        <w:t>), and super-variability density (G</w:t>
      </w:r>
      <w:r>
        <w:rPr>
          <w:rFonts w:hint="eastAsia"/>
          <w:vertAlign w:val="subscript"/>
        </w:rPr>
        <w:t>t</w:t>
      </w:r>
      <w:r>
        <w:rPr>
          <w:rFonts w:hint="eastAsia"/>
        </w:rPr>
        <w:t>)</w:t>
      </w:r>
      <w:r>
        <w:rPr>
          <w:rFonts w:hint="eastAsia"/>
        </w:rPr>
        <w:t>—</w:t>
      </w:r>
      <w:r>
        <w:rPr>
          <w:rFonts w:hint="eastAsia"/>
        </w:rPr>
        <w:t>without residuals (</w:t>
      </w:r>
      <w:proofErr w:type="spellStart"/>
      <w:r>
        <w:rPr>
          <w:rFonts w:hint="eastAsia"/>
        </w:rPr>
        <w:t>Dagum</w:t>
      </w:r>
      <w:proofErr w:type="spellEnd"/>
      <w:r>
        <w:rPr>
          <w:rFonts w:hint="eastAsia"/>
        </w:rPr>
        <w:t>, 1997; Silverman, 1986). The overall Gini coefficient is calcu</w:t>
      </w:r>
      <w:r>
        <w:rPr>
          <w:rFonts w:hint="eastAsia"/>
        </w:rPr>
        <w:t>lated as:</w:t>
      </w:r>
    </w:p>
    <w:p w14:paraId="462E5122" w14:textId="77777777" w:rsidR="00490675" w:rsidRDefault="009B469C">
      <w:pPr>
        <w:widowControl/>
        <w:topLinePunct/>
        <w:rPr>
          <w:rFonts w:ascii="Arial" w:hAnsi="Arial" w:cs="Arial"/>
          <w:sz w:val="20"/>
          <w:szCs w:val="20"/>
        </w:rPr>
      </w:pPr>
      <m:oMathPara>
        <m:oMathParaPr>
          <m:jc m:val="right"/>
        </m:oMathParaPr>
        <m:oMath>
          <m:r>
            <m:rPr>
              <m:sty m:val="p"/>
            </m:rPr>
            <w:rPr>
              <w:rFonts w:ascii="Cambria Math" w:hAnsi="Cambria Math" w:cs="Arial"/>
              <w:sz w:val="20"/>
              <w:szCs w:val="20"/>
            </w:rPr>
            <m:t>G=</m:t>
          </m:r>
          <m:f>
            <m:fPr>
              <m:ctrlPr>
                <w:rPr>
                  <w:rFonts w:ascii="Cambria Math" w:hAnsi="Cambria Math" w:cs="Arial"/>
                  <w:sz w:val="20"/>
                  <w:szCs w:val="20"/>
                </w:rPr>
              </m:ctrlPr>
            </m:fPr>
            <m:num>
              <m:nary>
                <m:naryPr>
                  <m:chr m:val="∑"/>
                  <m:limLoc m:val="subSup"/>
                  <m:ctrlPr>
                    <w:rPr>
                      <w:rFonts w:ascii="Cambria Math" w:hAnsi="Cambria Math" w:cs="Arial"/>
                      <w:sz w:val="20"/>
                      <w:szCs w:val="20"/>
                    </w:rPr>
                  </m:ctrlPr>
                </m:naryPr>
                <m:sub>
                  <m:r>
                    <m:rPr>
                      <m:nor/>
                    </m:rPr>
                    <w:rPr>
                      <w:rFonts w:ascii="Cambria Math" w:hAnsi="Cambria Math" w:cs="Arial"/>
                      <w:sz w:val="20"/>
                      <w:szCs w:val="20"/>
                    </w:rPr>
                    <m:t>j=1</m:t>
                  </m:r>
                </m:sub>
                <m:sup>
                  <m:r>
                    <m:rPr>
                      <m:nor/>
                    </m:rPr>
                    <w:rPr>
                      <w:rFonts w:ascii="Cambria Math" w:hAnsi="Cambria Math" w:cs="Arial"/>
                      <w:sz w:val="20"/>
                      <w:szCs w:val="20"/>
                    </w:rPr>
                    <m:t>k</m:t>
                  </m:r>
                </m:sup>
                <m:e>
                  <m:nary>
                    <m:naryPr>
                      <m:chr m:val="∑"/>
                      <m:limLoc m:val="subSup"/>
                      <m:ctrlPr>
                        <w:rPr>
                          <w:rFonts w:ascii="Cambria Math" w:hAnsi="Cambria Math" w:cs="Arial"/>
                          <w:sz w:val="20"/>
                          <w:szCs w:val="20"/>
                        </w:rPr>
                      </m:ctrlPr>
                    </m:naryPr>
                    <m:sub>
                      <m:r>
                        <m:rPr>
                          <m:nor/>
                        </m:rPr>
                        <w:rPr>
                          <w:rFonts w:ascii="Cambria Math" w:hAnsi="Cambria Math" w:cs="Arial"/>
                          <w:sz w:val="20"/>
                          <w:szCs w:val="20"/>
                        </w:rPr>
                        <m:t>h=1</m:t>
                      </m:r>
                    </m:sub>
                    <m:sup>
                      <m:r>
                        <m:rPr>
                          <m:nor/>
                        </m:rPr>
                        <w:rPr>
                          <w:rFonts w:ascii="Cambria Math" w:hAnsi="Cambria Math" w:cs="Arial"/>
                          <w:sz w:val="20"/>
                          <w:szCs w:val="20"/>
                        </w:rPr>
                        <m:t>k</m:t>
                      </m:r>
                    </m:sup>
                    <m:e>
                      <m:nary>
                        <m:naryPr>
                          <m:chr m:val="∑"/>
                          <m:limLoc m:val="subSup"/>
                          <m:ctrlPr>
                            <w:rPr>
                              <w:rFonts w:ascii="Cambria Math" w:hAnsi="Cambria Math" w:cs="Arial"/>
                              <w:sz w:val="20"/>
                              <w:szCs w:val="20"/>
                            </w:rPr>
                          </m:ctrlPr>
                        </m:naryPr>
                        <m:sub>
                          <m:r>
                            <m:rPr>
                              <m:nor/>
                            </m:rPr>
                            <w:rPr>
                              <w:rFonts w:ascii="Cambria Math" w:hAnsi="Cambria Math" w:cs="Arial"/>
                              <w:sz w:val="20"/>
                              <w:szCs w:val="20"/>
                            </w:rPr>
                            <m:t>i=1</m:t>
                          </m:r>
                        </m:sub>
                        <m:sup>
                          <m:r>
                            <m:rPr>
                              <m:nor/>
                            </m:rPr>
                            <w:rPr>
                              <w:rFonts w:ascii="Cambria Math" w:hAnsi="Cambria Math" w:cs="Arial"/>
                              <w:sz w:val="20"/>
                              <w:szCs w:val="20"/>
                            </w:rPr>
                            <m:t>nj</m:t>
                          </m:r>
                        </m:sup>
                        <m:e>
                          <m:nary>
                            <m:naryPr>
                              <m:chr m:val="∑"/>
                              <m:limLoc m:val="undOvr"/>
                              <m:ctrlPr>
                                <w:rPr>
                                  <w:rFonts w:ascii="Cambria Math" w:hAnsi="Cambria Math" w:cs="Arial"/>
                                  <w:sz w:val="20"/>
                                  <w:szCs w:val="20"/>
                                </w:rPr>
                              </m:ctrlPr>
                            </m:naryPr>
                            <m:sub>
                              <m:r>
                                <m:rPr>
                                  <m:nor/>
                                </m:rPr>
                                <w:rPr>
                                  <w:rFonts w:ascii="Cambria Math" w:hAnsi="Cambria Math" w:cs="Arial"/>
                                  <w:sz w:val="20"/>
                                  <w:szCs w:val="20"/>
                                </w:rPr>
                                <m:t>r=1</m:t>
                              </m:r>
                            </m:sub>
                            <m:sup>
                              <m:r>
                                <m:rPr>
                                  <m:nor/>
                                </m:rPr>
                                <w:rPr>
                                  <w:rFonts w:ascii="Cambria Math" w:hAnsi="Cambria Math" w:cs="Arial"/>
                                  <w:sz w:val="20"/>
                                  <w:szCs w:val="20"/>
                                </w:rPr>
                                <m:t>nh</m:t>
                              </m:r>
                            </m:sup>
                            <m:e>
                              <m:d>
                                <m:dPr>
                                  <m:begChr m:val="|"/>
                                  <m:endChr m:val="|"/>
                                  <m:ctrlPr>
                                    <w:rPr>
                                      <w:rFonts w:ascii="Cambria Math" w:hAnsi="Cambria Math" w:cs="Arial"/>
                                      <w:sz w:val="20"/>
                                      <w:szCs w:val="20"/>
                                    </w:rPr>
                                  </m:ctrlPr>
                                </m:dPr>
                                <m:e>
                                  <m:sSub>
                                    <m:sSubPr>
                                      <m:ctrlPr>
                                        <w:rPr>
                                          <w:rFonts w:ascii="Cambria Math" w:hAnsi="Cambria Math" w:cs="Arial"/>
                                          <w:sz w:val="20"/>
                                          <w:szCs w:val="20"/>
                                        </w:rPr>
                                      </m:ctrlPr>
                                    </m:sSubPr>
                                    <m:e>
                                      <m:r>
                                        <m:rPr>
                                          <m:nor/>
                                        </m:rPr>
                                        <w:rPr>
                                          <w:rFonts w:ascii="Cambria Math" w:hAnsi="Cambria Math" w:cs="Arial"/>
                                          <w:sz w:val="20"/>
                                          <w:szCs w:val="20"/>
                                        </w:rPr>
                                        <m:t>y</m:t>
                                      </m:r>
                                    </m:e>
                                    <m:sub>
                                      <m:r>
                                        <m:rPr>
                                          <m:nor/>
                                        </m:rPr>
                                        <w:rPr>
                                          <w:rFonts w:ascii="Cambria Math" w:hAnsi="Cambria Math" w:cs="Arial"/>
                                          <w:sz w:val="20"/>
                                          <w:szCs w:val="20"/>
                                        </w:rPr>
                                        <m:t>ji</m:t>
                                      </m:r>
                                    </m:sub>
                                  </m:sSub>
                                  <m:r>
                                    <m:rPr>
                                      <m:nor/>
                                    </m:rPr>
                                    <w:rPr>
                                      <w:rFonts w:ascii="Cambria Math" w:hAnsi="Cambria Math" w:cs="Arial"/>
                                      <w:sz w:val="20"/>
                                      <w:szCs w:val="20"/>
                                    </w:rPr>
                                    <m:t>-</m:t>
                                  </m:r>
                                  <m:sSub>
                                    <m:sSubPr>
                                      <m:ctrlPr>
                                        <w:rPr>
                                          <w:rFonts w:ascii="Cambria Math" w:hAnsi="Cambria Math" w:cs="Arial"/>
                                          <w:sz w:val="20"/>
                                          <w:szCs w:val="20"/>
                                        </w:rPr>
                                      </m:ctrlPr>
                                    </m:sSubPr>
                                    <m:e>
                                      <m:r>
                                        <m:rPr>
                                          <m:nor/>
                                        </m:rPr>
                                        <w:rPr>
                                          <w:rFonts w:ascii="Cambria Math" w:hAnsi="Cambria Math" w:cs="Arial"/>
                                          <w:sz w:val="20"/>
                                          <w:szCs w:val="20"/>
                                        </w:rPr>
                                        <m:t>y</m:t>
                                      </m:r>
                                    </m:e>
                                    <m:sub>
                                      <m:r>
                                        <m:rPr>
                                          <m:nor/>
                                        </m:rPr>
                                        <w:rPr>
                                          <w:rFonts w:ascii="Cambria Math" w:hAnsi="Cambria Math" w:cs="Arial"/>
                                          <w:sz w:val="20"/>
                                          <w:szCs w:val="20"/>
                                        </w:rPr>
                                        <m:t>hr</m:t>
                                      </m:r>
                                    </m:sub>
                                  </m:sSub>
                                </m:e>
                              </m:d>
                            </m:e>
                          </m:nary>
                        </m:e>
                      </m:nary>
                    </m:e>
                  </m:nary>
                </m:e>
              </m:nary>
            </m:num>
            <m:den>
              <m:r>
                <m:rPr>
                  <m:nor/>
                </m:rPr>
                <w:rPr>
                  <w:rFonts w:ascii="Cambria Math" w:hAnsi="Cambria Math" w:cs="Arial"/>
                  <w:sz w:val="20"/>
                  <w:szCs w:val="20"/>
                </w:rPr>
                <m:t>2</m:t>
              </m:r>
              <m:sSup>
                <m:sSupPr>
                  <m:ctrlPr>
                    <w:rPr>
                      <w:rFonts w:ascii="Cambria Math" w:hAnsi="Cambria Math" w:cs="Arial"/>
                      <w:sz w:val="20"/>
                      <w:szCs w:val="20"/>
                    </w:rPr>
                  </m:ctrlPr>
                </m:sSupPr>
                <m:e>
                  <m:r>
                    <m:rPr>
                      <m:nor/>
                    </m:rPr>
                    <w:rPr>
                      <w:rFonts w:ascii="Cambria Math" w:hAnsi="Cambria Math" w:cs="Arial"/>
                      <w:sz w:val="20"/>
                      <w:szCs w:val="20"/>
                    </w:rPr>
                    <m:t>n</m:t>
                  </m:r>
                </m:e>
                <m:sup>
                  <m:r>
                    <m:rPr>
                      <m:nor/>
                    </m:rPr>
                    <w:rPr>
                      <w:rFonts w:ascii="Cambria Math" w:hAnsi="Cambria Math" w:cs="Arial"/>
                      <w:sz w:val="20"/>
                      <w:szCs w:val="20"/>
                    </w:rPr>
                    <m:t>2</m:t>
                  </m:r>
                </m:sup>
              </m:sSup>
              <m:acc>
                <m:accPr>
                  <m:chr m:val="̅"/>
                  <m:ctrlPr>
                    <w:rPr>
                      <w:rFonts w:ascii="Cambria Math" w:hAnsi="Cambria Math" w:cs="Arial"/>
                      <w:sz w:val="20"/>
                      <w:szCs w:val="20"/>
                    </w:rPr>
                  </m:ctrlPr>
                </m:accPr>
                <m:e>
                  <m:r>
                    <m:rPr>
                      <m:nor/>
                    </m:rPr>
                    <w:rPr>
                      <w:rFonts w:ascii="Cambria Math" w:hAnsi="Cambria Math" w:cs="Arial"/>
                      <w:sz w:val="20"/>
                      <w:szCs w:val="20"/>
                    </w:rPr>
                    <m:t>y</m:t>
                  </m:r>
                </m:e>
              </m:acc>
            </m:den>
          </m:f>
          <m:r>
            <m:rPr>
              <m:nor/>
            </m:rPr>
            <w:rPr>
              <w:rFonts w:ascii="Cambria Math" w:hAnsi="Cambria Math" w:cs="Arial"/>
              <w:sz w:val="20"/>
              <w:szCs w:val="20"/>
            </w:rPr>
            <m:t xml:space="preserve">                                         (2-8)</m:t>
          </m:r>
        </m:oMath>
      </m:oMathPara>
    </w:p>
    <w:p w14:paraId="79EB6CF9" w14:textId="77777777" w:rsidR="00490675" w:rsidRDefault="009B469C">
      <w:r>
        <w:rPr>
          <w:rFonts w:hint="eastAsia"/>
        </w:rPr>
        <w:t>The decomposition gives:</w:t>
      </w:r>
    </w:p>
    <w:p w14:paraId="57C094AD" w14:textId="77777777" w:rsidR="00490675" w:rsidRDefault="009B469C">
      <w:pPr>
        <w:widowControl/>
        <w:topLinePunct/>
        <w:rPr>
          <w:rFonts w:ascii="Arial" w:hAnsi="Arial" w:cs="Arial"/>
          <w:sz w:val="20"/>
          <w:szCs w:val="20"/>
        </w:rPr>
      </w:pPr>
      <m:oMathPara>
        <m:oMathParaPr>
          <m:jc m:val="right"/>
        </m:oMathParaPr>
        <m:oMath>
          <m:sSub>
            <m:sSubPr>
              <m:ctrlPr>
                <w:rPr>
                  <w:rFonts w:ascii="Cambria Math" w:hAnsi="Cambria Math" w:cs="Arial"/>
                  <w:sz w:val="20"/>
                  <w:szCs w:val="20"/>
                </w:rPr>
              </m:ctrlPr>
            </m:sSubPr>
            <m:e>
              <m:r>
                <m:rPr>
                  <m:nor/>
                </m:rPr>
                <w:rPr>
                  <w:rFonts w:ascii="Cambria Math" w:hAnsi="Cambria Math" w:cs="Arial"/>
                  <w:sz w:val="20"/>
                  <w:szCs w:val="20"/>
                </w:rPr>
                <m:t>G</m:t>
              </m:r>
            </m:e>
            <m:sub>
              <m:r>
                <m:rPr>
                  <m:nor/>
                </m:rPr>
                <w:rPr>
                  <w:rFonts w:ascii="Cambria Math" w:hAnsi="Cambria Math" w:cs="Arial"/>
                  <w:sz w:val="20"/>
                  <w:szCs w:val="20"/>
                </w:rPr>
                <m:t>w</m:t>
              </m:r>
            </m:sub>
          </m:sSub>
          <m:r>
            <m:rPr>
              <m:nor/>
            </m:rPr>
            <w:rPr>
              <w:rFonts w:ascii="Cambria Math" w:hAnsi="Cambria Math" w:cs="Arial"/>
              <w:sz w:val="20"/>
              <w:szCs w:val="20"/>
            </w:rPr>
            <m:t>=</m:t>
          </m:r>
          <m:nary>
            <m:naryPr>
              <m:chr m:val="∑"/>
              <m:limLoc m:val="subSup"/>
              <m:ctrlPr>
                <w:rPr>
                  <w:rFonts w:ascii="Cambria Math" w:hAnsi="Cambria Math" w:cs="Arial"/>
                  <w:sz w:val="20"/>
                  <w:szCs w:val="20"/>
                </w:rPr>
              </m:ctrlPr>
            </m:naryPr>
            <m:sub>
              <m:r>
                <m:rPr>
                  <m:nor/>
                </m:rPr>
                <w:rPr>
                  <w:rFonts w:ascii="Cambria Math" w:hAnsi="Cambria Math" w:cs="Arial"/>
                  <w:sz w:val="20"/>
                  <w:szCs w:val="20"/>
                </w:rPr>
                <m:t>j=1</m:t>
              </m:r>
            </m:sub>
            <m:sup>
              <m:r>
                <m:rPr>
                  <m:nor/>
                </m:rPr>
                <w:rPr>
                  <w:rFonts w:ascii="Cambria Math" w:hAnsi="Cambria Math" w:cs="Arial"/>
                  <w:sz w:val="20"/>
                  <w:szCs w:val="20"/>
                </w:rPr>
                <m:t>3</m:t>
              </m:r>
            </m:sup>
            <m:e>
              <m:sSub>
                <m:sSubPr>
                  <m:ctrlPr>
                    <w:rPr>
                      <w:rFonts w:ascii="Cambria Math" w:hAnsi="Cambria Math" w:cs="Arial"/>
                      <w:sz w:val="20"/>
                      <w:szCs w:val="20"/>
                    </w:rPr>
                  </m:ctrlPr>
                </m:sSubPr>
                <m:e>
                  <m:r>
                    <m:rPr>
                      <m:nor/>
                    </m:rPr>
                    <w:rPr>
                      <w:rFonts w:ascii="Cambria Math" w:hAnsi="Cambria Math" w:cs="Arial"/>
                      <w:sz w:val="20"/>
                      <w:szCs w:val="20"/>
                    </w:rPr>
                    <m:t>G</m:t>
                  </m:r>
                </m:e>
                <m:sub>
                  <m:r>
                    <m:rPr>
                      <m:nor/>
                    </m:rPr>
                    <w:rPr>
                      <w:rFonts w:ascii="Cambria Math" w:hAnsi="Cambria Math" w:cs="Arial"/>
                      <w:sz w:val="20"/>
                      <w:szCs w:val="20"/>
                    </w:rPr>
                    <m:t>jj</m:t>
                  </m:r>
                </m:sub>
              </m:sSub>
              <m:sSub>
                <m:sSubPr>
                  <m:ctrlPr>
                    <w:rPr>
                      <w:rFonts w:ascii="Cambria Math" w:hAnsi="Cambria Math" w:cs="Arial"/>
                      <w:sz w:val="20"/>
                      <w:szCs w:val="20"/>
                    </w:rPr>
                  </m:ctrlPr>
                </m:sSubPr>
                <m:e>
                  <m:r>
                    <m:rPr>
                      <m:nor/>
                    </m:rPr>
                    <w:rPr>
                      <w:rFonts w:ascii="Cambria Math" w:hAnsi="Cambria Math" w:cs="Arial"/>
                      <w:sz w:val="20"/>
                      <w:szCs w:val="20"/>
                    </w:rPr>
                    <m:t>P</m:t>
                  </m:r>
                </m:e>
                <m:sub>
                  <m:r>
                    <m:rPr>
                      <m:nor/>
                    </m:rPr>
                    <w:rPr>
                      <w:rFonts w:ascii="Cambria Math" w:hAnsi="Cambria Math" w:cs="Arial"/>
                      <w:sz w:val="20"/>
                      <w:szCs w:val="20"/>
                    </w:rPr>
                    <m:t>j</m:t>
                  </m:r>
                </m:sub>
              </m:sSub>
              <m:sSub>
                <m:sSubPr>
                  <m:ctrlPr>
                    <w:rPr>
                      <w:rFonts w:ascii="Cambria Math" w:hAnsi="Cambria Math" w:cs="Arial"/>
                      <w:sz w:val="20"/>
                      <w:szCs w:val="20"/>
                    </w:rPr>
                  </m:ctrlPr>
                </m:sSubPr>
                <m:e>
                  <m:r>
                    <m:rPr>
                      <m:nor/>
                    </m:rPr>
                    <w:rPr>
                      <w:rFonts w:ascii="Cambria Math" w:hAnsi="Cambria Math" w:cs="Arial"/>
                      <w:sz w:val="20"/>
                      <w:szCs w:val="20"/>
                    </w:rPr>
                    <m:t>s</m:t>
                  </m:r>
                </m:e>
                <m:sub>
                  <m:r>
                    <m:rPr>
                      <m:nor/>
                    </m:rPr>
                    <w:rPr>
                      <w:rFonts w:ascii="Cambria Math" w:hAnsi="Cambria Math" w:cs="Arial"/>
                      <w:sz w:val="20"/>
                      <w:szCs w:val="20"/>
                    </w:rPr>
                    <m:t>j</m:t>
                  </m:r>
                </m:sub>
              </m:sSub>
              <m:r>
                <m:rPr>
                  <m:nor/>
                </m:rPr>
                <w:rPr>
                  <w:rFonts w:ascii="Cambria Math" w:hAnsi="Cambria Math" w:cs="Arial"/>
                  <w:sz w:val="20"/>
                  <w:szCs w:val="20"/>
                </w:rPr>
                <m:t xml:space="preserve">                                                             (2-9)</m:t>
              </m:r>
            </m:e>
          </m:nary>
        </m:oMath>
      </m:oMathPara>
    </w:p>
    <w:p w14:paraId="12149362" w14:textId="77777777" w:rsidR="00490675" w:rsidRDefault="009B469C">
      <w:pPr>
        <w:widowControl/>
        <w:topLinePunct/>
        <w:rPr>
          <w:rFonts w:ascii="Arial" w:hAnsi="Arial" w:cs="Arial"/>
          <w:sz w:val="20"/>
          <w:szCs w:val="20"/>
        </w:rPr>
      </w:pPr>
      <m:oMathPara>
        <m:oMathParaPr>
          <m:jc m:val="right"/>
        </m:oMathParaPr>
        <m:oMath>
          <m:sSub>
            <m:sSubPr>
              <m:ctrlPr>
                <w:rPr>
                  <w:rFonts w:ascii="Cambria Math" w:hAnsi="Cambria Math" w:cs="Arial"/>
                  <w:sz w:val="20"/>
                  <w:szCs w:val="20"/>
                </w:rPr>
              </m:ctrlPr>
            </m:sSubPr>
            <m:e>
              <m:r>
                <m:rPr>
                  <m:nor/>
                </m:rPr>
                <w:rPr>
                  <w:rFonts w:ascii="Cambria Math" w:hAnsi="Cambria Math" w:cs="Arial"/>
                  <w:sz w:val="20"/>
                  <w:szCs w:val="20"/>
                </w:rPr>
                <m:t>G</m:t>
              </m:r>
            </m:e>
            <m:sub>
              <m:r>
                <m:rPr>
                  <m:nor/>
                </m:rPr>
                <w:rPr>
                  <w:rFonts w:ascii="Cambria Math" w:hAnsi="Cambria Math" w:cs="Arial"/>
                  <w:sz w:val="20"/>
                  <w:szCs w:val="20"/>
                </w:rPr>
                <m:t>nb</m:t>
              </m:r>
            </m:sub>
          </m:sSub>
          <m:r>
            <m:rPr>
              <m:nor/>
            </m:rPr>
            <w:rPr>
              <w:rFonts w:ascii="Cambria Math" w:hAnsi="Cambria Math" w:cs="Arial"/>
              <w:sz w:val="20"/>
              <w:szCs w:val="20"/>
            </w:rPr>
            <m:t>=</m:t>
          </m:r>
          <m:nary>
            <m:naryPr>
              <m:chr m:val="∑"/>
              <m:limLoc m:val="subSup"/>
              <m:ctrlPr>
                <w:rPr>
                  <w:rFonts w:ascii="Cambria Math" w:hAnsi="Cambria Math" w:cs="Arial"/>
                  <w:sz w:val="20"/>
                  <w:szCs w:val="20"/>
                </w:rPr>
              </m:ctrlPr>
            </m:naryPr>
            <m:sub>
              <m:r>
                <m:rPr>
                  <m:nor/>
                </m:rPr>
                <w:rPr>
                  <w:rFonts w:ascii="Cambria Math" w:hAnsi="Cambria Math" w:cs="Arial"/>
                  <w:sz w:val="20"/>
                  <w:szCs w:val="20"/>
                </w:rPr>
                <m:t>j=2</m:t>
              </m:r>
            </m:sub>
            <m:sup>
              <m:r>
                <m:rPr>
                  <m:nor/>
                </m:rPr>
                <w:rPr>
                  <w:rFonts w:ascii="Cambria Math" w:hAnsi="Cambria Math" w:cs="Arial"/>
                  <w:sz w:val="20"/>
                  <w:szCs w:val="20"/>
                </w:rPr>
                <m:t>3</m:t>
              </m:r>
            </m:sup>
            <m:e>
              <m:nary>
                <m:naryPr>
                  <m:chr m:val="∑"/>
                  <m:limLoc m:val="subSup"/>
                  <m:ctrlPr>
                    <w:rPr>
                      <w:rFonts w:ascii="Cambria Math" w:hAnsi="Cambria Math" w:cs="Arial"/>
                      <w:sz w:val="20"/>
                      <w:szCs w:val="20"/>
                    </w:rPr>
                  </m:ctrlPr>
                </m:naryPr>
                <m:sub>
                  <m:r>
                    <m:rPr>
                      <m:nor/>
                    </m:rPr>
                    <w:rPr>
                      <w:rFonts w:ascii="Cambria Math" w:hAnsi="Cambria Math" w:cs="Arial"/>
                      <w:sz w:val="20"/>
                      <w:szCs w:val="20"/>
                    </w:rPr>
                    <m:t>h=1</m:t>
                  </m:r>
                </m:sub>
                <m:sup>
                  <m:r>
                    <m:rPr>
                      <m:nor/>
                    </m:rPr>
                    <w:rPr>
                      <w:rFonts w:ascii="Cambria Math" w:hAnsi="Cambria Math" w:cs="Arial"/>
                      <w:sz w:val="20"/>
                      <w:szCs w:val="20"/>
                    </w:rPr>
                    <m:t>j-1</m:t>
                  </m:r>
                </m:sup>
                <m:e>
                  <m:sSub>
                    <m:sSubPr>
                      <m:ctrlPr>
                        <w:rPr>
                          <w:rFonts w:ascii="Cambria Math" w:hAnsi="Cambria Math" w:cs="Arial"/>
                          <w:sz w:val="20"/>
                          <w:szCs w:val="20"/>
                        </w:rPr>
                      </m:ctrlPr>
                    </m:sSubPr>
                    <m:e>
                      <m:r>
                        <m:rPr>
                          <m:nor/>
                        </m:rPr>
                        <w:rPr>
                          <w:rFonts w:ascii="Cambria Math" w:hAnsi="Cambria Math" w:cs="Arial"/>
                          <w:sz w:val="20"/>
                          <w:szCs w:val="20"/>
                        </w:rPr>
                        <m:t>G</m:t>
                      </m:r>
                    </m:e>
                    <m:sub>
                      <m:r>
                        <m:rPr>
                          <m:nor/>
                        </m:rPr>
                        <w:rPr>
                          <w:rFonts w:ascii="Cambria Math" w:hAnsi="Cambria Math" w:cs="Arial"/>
                          <w:sz w:val="20"/>
                          <w:szCs w:val="20"/>
                        </w:rPr>
                        <m:t>jh</m:t>
                      </m:r>
                    </m:sub>
                  </m:sSub>
                  <m:r>
                    <m:rPr>
                      <m:nor/>
                    </m:rPr>
                    <w:rPr>
                      <w:rFonts w:ascii="Cambria Math" w:hAnsi="Cambria Math" w:cs="Arial"/>
                      <w:sz w:val="20"/>
                      <w:szCs w:val="20"/>
                    </w:rPr>
                    <m:t>(</m:t>
                  </m:r>
                  <m:sSub>
                    <m:sSubPr>
                      <m:ctrlPr>
                        <w:rPr>
                          <w:rFonts w:ascii="Cambria Math" w:hAnsi="Cambria Math" w:cs="Arial"/>
                          <w:sz w:val="20"/>
                          <w:szCs w:val="20"/>
                        </w:rPr>
                      </m:ctrlPr>
                    </m:sSubPr>
                    <m:e>
                      <m:r>
                        <m:rPr>
                          <m:nor/>
                        </m:rPr>
                        <w:rPr>
                          <w:rFonts w:ascii="Cambria Math" w:hAnsi="Cambria Math" w:cs="Arial"/>
                          <w:sz w:val="20"/>
                          <w:szCs w:val="20"/>
                        </w:rPr>
                        <m:t>P</m:t>
                      </m:r>
                    </m:e>
                    <m:sub>
                      <m:r>
                        <m:rPr>
                          <m:nor/>
                        </m:rPr>
                        <w:rPr>
                          <w:rFonts w:ascii="Cambria Math" w:hAnsi="Cambria Math" w:cs="Arial"/>
                          <w:sz w:val="20"/>
                          <w:szCs w:val="20"/>
                        </w:rPr>
                        <m:t>j</m:t>
                      </m:r>
                    </m:sub>
                  </m:sSub>
                  <m:sSub>
                    <m:sSubPr>
                      <m:ctrlPr>
                        <w:rPr>
                          <w:rFonts w:ascii="Cambria Math" w:hAnsi="Cambria Math" w:cs="Arial"/>
                          <w:sz w:val="20"/>
                          <w:szCs w:val="20"/>
                        </w:rPr>
                      </m:ctrlPr>
                    </m:sSubPr>
                    <m:e>
                      <m:r>
                        <m:rPr>
                          <m:nor/>
                        </m:rPr>
                        <w:rPr>
                          <w:rFonts w:ascii="Cambria Math" w:hAnsi="Cambria Math" w:cs="Arial"/>
                          <w:sz w:val="20"/>
                          <w:szCs w:val="20"/>
                        </w:rPr>
                        <m:t>s</m:t>
                      </m:r>
                    </m:e>
                    <m:sub>
                      <m:r>
                        <m:rPr>
                          <m:nor/>
                        </m:rPr>
                        <w:rPr>
                          <w:rFonts w:ascii="Cambria Math" w:hAnsi="Cambria Math" w:cs="Arial"/>
                          <w:sz w:val="20"/>
                          <w:szCs w:val="20"/>
                        </w:rPr>
                        <m:t>h</m:t>
                      </m:r>
                    </m:sub>
                  </m:sSub>
                  <m:r>
                    <m:rPr>
                      <m:nor/>
                    </m:rPr>
                    <w:rPr>
                      <w:rFonts w:ascii="Cambria Math" w:hAnsi="Cambria Math" w:cs="Arial"/>
                      <w:sz w:val="20"/>
                      <w:szCs w:val="20"/>
                    </w:rPr>
                    <m:t>)</m:t>
                  </m:r>
                  <m:sSub>
                    <m:sSubPr>
                      <m:ctrlPr>
                        <w:rPr>
                          <w:rFonts w:ascii="Cambria Math" w:hAnsi="Cambria Math" w:cs="Arial"/>
                          <w:sz w:val="20"/>
                          <w:szCs w:val="20"/>
                        </w:rPr>
                      </m:ctrlPr>
                    </m:sSubPr>
                    <m:e>
                      <m:r>
                        <m:rPr>
                          <m:nor/>
                        </m:rPr>
                        <w:rPr>
                          <w:rFonts w:ascii="Cambria Math" w:hAnsi="Cambria Math" w:cs="Arial"/>
                          <w:sz w:val="20"/>
                          <w:szCs w:val="20"/>
                        </w:rPr>
                        <m:t>D</m:t>
                      </m:r>
                    </m:e>
                    <m:sub>
                      <m:r>
                        <m:rPr>
                          <m:nor/>
                        </m:rPr>
                        <w:rPr>
                          <w:rFonts w:ascii="Cambria Math" w:hAnsi="Cambria Math" w:cs="Arial"/>
                          <w:sz w:val="20"/>
                          <w:szCs w:val="20"/>
                        </w:rPr>
                        <m:t>jh</m:t>
                      </m:r>
                    </m:sub>
                  </m:sSub>
                  <m:r>
                    <m:rPr>
                      <m:nor/>
                    </m:rPr>
                    <w:rPr>
                      <w:rFonts w:ascii="Cambria Math" w:hAnsi="Cambria Math" w:cs="Arial"/>
                      <w:sz w:val="20"/>
                      <w:szCs w:val="20"/>
                    </w:rPr>
                    <m:t xml:space="preserve">                                    </m:t>
                  </m:r>
                  <m:r>
                    <m:rPr>
                      <m:nor/>
                    </m:rPr>
                    <w:rPr>
                      <w:rFonts w:ascii="Cambria Math" w:hAnsi="Cambria Math" w:cs="Arial"/>
                      <w:sz w:val="20"/>
                      <w:szCs w:val="20"/>
                    </w:rPr>
                    <m:t>(2-10)</m:t>
                  </m:r>
                </m:e>
              </m:nary>
            </m:e>
          </m:nary>
        </m:oMath>
      </m:oMathPara>
    </w:p>
    <w:p w14:paraId="3A66C49C" w14:textId="77777777" w:rsidR="00490675" w:rsidRDefault="009B469C">
      <w:pPr>
        <w:widowControl/>
        <w:topLinePunct/>
        <w:rPr>
          <w:rFonts w:ascii="Arial" w:hAnsi="Arial" w:cs="Arial"/>
          <w:sz w:val="20"/>
          <w:szCs w:val="20"/>
        </w:rPr>
      </w:pPr>
      <m:oMathPara>
        <m:oMathParaPr>
          <m:jc m:val="right"/>
        </m:oMathParaPr>
        <m:oMath>
          <m:sSub>
            <m:sSubPr>
              <m:ctrlPr>
                <w:rPr>
                  <w:rFonts w:ascii="Cambria Math" w:hAnsi="Cambria Math" w:cs="Arial"/>
                  <w:sz w:val="20"/>
                  <w:szCs w:val="20"/>
                </w:rPr>
              </m:ctrlPr>
            </m:sSubPr>
            <m:e>
              <m:r>
                <m:rPr>
                  <m:nor/>
                </m:rPr>
                <w:rPr>
                  <w:rFonts w:ascii="Cambria Math" w:hAnsi="Cambria Math" w:cs="Arial"/>
                  <w:sz w:val="20"/>
                  <w:szCs w:val="20"/>
                </w:rPr>
                <m:t>G</m:t>
              </m:r>
            </m:e>
            <m:sub>
              <m:r>
                <m:rPr>
                  <m:nor/>
                </m:rPr>
                <w:rPr>
                  <w:rFonts w:ascii="Cambria Math" w:hAnsi="Cambria Math" w:cs="Arial"/>
                  <w:sz w:val="20"/>
                  <w:szCs w:val="20"/>
                </w:rPr>
                <m:t>t</m:t>
              </m:r>
            </m:sub>
          </m:sSub>
          <m:r>
            <m:rPr>
              <m:nor/>
            </m:rPr>
            <w:rPr>
              <w:rFonts w:ascii="Cambria Math" w:hAnsi="Cambria Math" w:cs="Arial"/>
              <w:sz w:val="20"/>
              <w:szCs w:val="20"/>
            </w:rPr>
            <m:t>=</m:t>
          </m:r>
          <m:nary>
            <m:naryPr>
              <m:chr m:val="∑"/>
              <m:limLoc m:val="subSup"/>
              <m:ctrlPr>
                <w:rPr>
                  <w:rFonts w:ascii="Cambria Math" w:hAnsi="Cambria Math" w:cs="Arial"/>
                  <w:sz w:val="20"/>
                  <w:szCs w:val="20"/>
                </w:rPr>
              </m:ctrlPr>
            </m:naryPr>
            <m:sub>
              <m:r>
                <m:rPr>
                  <m:nor/>
                </m:rPr>
                <w:rPr>
                  <w:rFonts w:ascii="Cambria Math" w:hAnsi="Cambria Math" w:cs="Arial"/>
                  <w:sz w:val="20"/>
                  <w:szCs w:val="20"/>
                </w:rPr>
                <m:t>j=2</m:t>
              </m:r>
            </m:sub>
            <m:sup>
              <m:r>
                <m:rPr>
                  <m:nor/>
                </m:rPr>
                <w:rPr>
                  <w:rFonts w:ascii="Cambria Math" w:hAnsi="Cambria Math" w:cs="Arial"/>
                  <w:sz w:val="20"/>
                  <w:szCs w:val="20"/>
                </w:rPr>
                <m:t>3</m:t>
              </m:r>
            </m:sup>
            <m:e>
              <m:nary>
                <m:naryPr>
                  <m:chr m:val="∑"/>
                  <m:limLoc m:val="subSup"/>
                  <m:ctrlPr>
                    <w:rPr>
                      <w:rFonts w:ascii="Cambria Math" w:hAnsi="Cambria Math" w:cs="Arial"/>
                      <w:sz w:val="20"/>
                      <w:szCs w:val="20"/>
                    </w:rPr>
                  </m:ctrlPr>
                </m:naryPr>
                <m:sub>
                  <m:r>
                    <m:rPr>
                      <m:nor/>
                    </m:rPr>
                    <w:rPr>
                      <w:rFonts w:ascii="Cambria Math" w:hAnsi="Cambria Math" w:cs="Arial"/>
                      <w:sz w:val="20"/>
                      <w:szCs w:val="20"/>
                    </w:rPr>
                    <m:t>h=1</m:t>
                  </m:r>
                </m:sub>
                <m:sup>
                  <m:r>
                    <m:rPr>
                      <m:nor/>
                    </m:rPr>
                    <w:rPr>
                      <w:rFonts w:ascii="Cambria Math" w:hAnsi="Cambria Math" w:cs="Arial"/>
                      <w:sz w:val="20"/>
                      <w:szCs w:val="20"/>
                    </w:rPr>
                    <m:t>j-1</m:t>
                  </m:r>
                </m:sup>
                <m:e>
                  <m:sSub>
                    <m:sSubPr>
                      <m:ctrlPr>
                        <w:rPr>
                          <w:rFonts w:ascii="Cambria Math" w:hAnsi="Cambria Math" w:cs="Arial"/>
                          <w:sz w:val="20"/>
                          <w:szCs w:val="20"/>
                        </w:rPr>
                      </m:ctrlPr>
                    </m:sSubPr>
                    <m:e>
                      <m:r>
                        <m:rPr>
                          <m:nor/>
                        </m:rPr>
                        <w:rPr>
                          <w:rFonts w:ascii="Cambria Math" w:hAnsi="Cambria Math" w:cs="Arial"/>
                          <w:sz w:val="20"/>
                          <w:szCs w:val="20"/>
                        </w:rPr>
                        <m:t>G</m:t>
                      </m:r>
                    </m:e>
                    <m:sub>
                      <m:r>
                        <m:rPr>
                          <m:nor/>
                        </m:rPr>
                        <w:rPr>
                          <w:rFonts w:ascii="Cambria Math" w:hAnsi="Cambria Math" w:cs="Arial"/>
                          <w:sz w:val="20"/>
                          <w:szCs w:val="20"/>
                        </w:rPr>
                        <m:t>jh</m:t>
                      </m:r>
                    </m:sub>
                  </m:sSub>
                  <m:r>
                    <m:rPr>
                      <m:nor/>
                    </m:rPr>
                    <w:rPr>
                      <w:rFonts w:ascii="Cambria Math" w:hAnsi="Cambria Math" w:cs="Arial"/>
                      <w:sz w:val="20"/>
                      <w:szCs w:val="20"/>
                    </w:rPr>
                    <m:t>(</m:t>
                  </m:r>
                  <m:sSub>
                    <m:sSubPr>
                      <m:ctrlPr>
                        <w:rPr>
                          <w:rFonts w:ascii="Cambria Math" w:hAnsi="Cambria Math" w:cs="Arial"/>
                          <w:sz w:val="20"/>
                          <w:szCs w:val="20"/>
                        </w:rPr>
                      </m:ctrlPr>
                    </m:sSubPr>
                    <m:e>
                      <m:r>
                        <m:rPr>
                          <m:nor/>
                        </m:rPr>
                        <w:rPr>
                          <w:rFonts w:ascii="Cambria Math" w:hAnsi="Cambria Math" w:cs="Arial"/>
                          <w:sz w:val="20"/>
                          <w:szCs w:val="20"/>
                        </w:rPr>
                        <m:t>P</m:t>
                      </m:r>
                    </m:e>
                    <m:sub>
                      <m:r>
                        <m:rPr>
                          <m:nor/>
                        </m:rPr>
                        <w:rPr>
                          <w:rFonts w:ascii="Cambria Math" w:hAnsi="Cambria Math" w:cs="Arial"/>
                          <w:sz w:val="20"/>
                          <w:szCs w:val="20"/>
                        </w:rPr>
                        <m:t>j</m:t>
                      </m:r>
                    </m:sub>
                  </m:sSub>
                  <m:sSub>
                    <m:sSubPr>
                      <m:ctrlPr>
                        <w:rPr>
                          <w:rFonts w:ascii="Cambria Math" w:hAnsi="Cambria Math" w:cs="Arial"/>
                          <w:sz w:val="20"/>
                          <w:szCs w:val="20"/>
                        </w:rPr>
                      </m:ctrlPr>
                    </m:sSubPr>
                    <m:e>
                      <m:r>
                        <m:rPr>
                          <m:nor/>
                        </m:rPr>
                        <w:rPr>
                          <w:rFonts w:ascii="Cambria Math" w:hAnsi="Cambria Math" w:cs="Arial"/>
                          <w:sz w:val="20"/>
                          <w:szCs w:val="20"/>
                        </w:rPr>
                        <m:t>s</m:t>
                      </m:r>
                    </m:e>
                    <m:sub>
                      <m:r>
                        <m:rPr>
                          <m:nor/>
                        </m:rPr>
                        <w:rPr>
                          <w:rFonts w:ascii="Cambria Math" w:hAnsi="Cambria Math" w:cs="Arial"/>
                          <w:sz w:val="20"/>
                          <w:szCs w:val="20"/>
                        </w:rPr>
                        <m:t>h</m:t>
                      </m:r>
                    </m:sub>
                  </m:sSub>
                </m:e>
              </m:nary>
              <m:r>
                <m:rPr>
                  <m:nor/>
                </m:rPr>
                <w:rPr>
                  <w:rFonts w:ascii="Cambria Math" w:hAnsi="Cambria Math" w:cs="Arial"/>
                  <w:sz w:val="20"/>
                  <w:szCs w:val="20"/>
                </w:rPr>
                <m:t>)(1-</m:t>
              </m:r>
              <m:sSub>
                <m:sSubPr>
                  <m:ctrlPr>
                    <w:rPr>
                      <w:rFonts w:ascii="Cambria Math" w:hAnsi="Cambria Math" w:cs="Arial"/>
                      <w:sz w:val="20"/>
                      <w:szCs w:val="20"/>
                    </w:rPr>
                  </m:ctrlPr>
                </m:sSubPr>
                <m:e>
                  <m:r>
                    <m:rPr>
                      <m:nor/>
                    </m:rPr>
                    <w:rPr>
                      <w:rFonts w:ascii="Cambria Math" w:hAnsi="Cambria Math" w:cs="Arial"/>
                      <w:sz w:val="20"/>
                      <w:szCs w:val="20"/>
                    </w:rPr>
                    <m:t>D</m:t>
                  </m:r>
                </m:e>
                <m:sub>
                  <m:r>
                    <m:rPr>
                      <m:nor/>
                    </m:rPr>
                    <w:rPr>
                      <w:rFonts w:ascii="Cambria Math" w:hAnsi="Cambria Math" w:cs="Arial"/>
                      <w:sz w:val="20"/>
                      <w:szCs w:val="20"/>
                    </w:rPr>
                    <m:t>jh</m:t>
                  </m:r>
                </m:sub>
              </m:sSub>
            </m:e>
          </m:nary>
          <m:r>
            <m:rPr>
              <m:nor/>
            </m:rPr>
            <w:rPr>
              <w:rFonts w:ascii="Cambria Math" w:hAnsi="Cambria Math" w:cs="Arial"/>
              <w:sz w:val="20"/>
              <w:szCs w:val="20"/>
            </w:rPr>
            <m:t>)                              (2-11)</m:t>
          </m:r>
        </m:oMath>
      </m:oMathPara>
    </w:p>
    <w:p w14:paraId="13915C62" w14:textId="77777777" w:rsidR="00490675" w:rsidRDefault="00490675">
      <w:pPr>
        <w:widowControl/>
        <w:topLinePunct/>
        <w:rPr>
          <w:rFonts w:ascii="Arial" w:hAnsi="Arial" w:cs="Arial"/>
          <w:b/>
          <w:bCs/>
          <w:sz w:val="22"/>
          <w:szCs w:val="22"/>
        </w:rPr>
      </w:pPr>
    </w:p>
    <w:p w14:paraId="4A91C88F" w14:textId="77777777" w:rsidR="00490675" w:rsidRDefault="009B469C">
      <w:pPr>
        <w:widowControl/>
        <w:topLinePunct/>
        <w:rPr>
          <w:rFonts w:ascii="Arial" w:hAnsi="Arial" w:cs="Arial"/>
          <w:b/>
          <w:bCs/>
          <w:sz w:val="22"/>
          <w:szCs w:val="22"/>
        </w:rPr>
      </w:pPr>
      <w:r>
        <w:rPr>
          <w:rFonts w:ascii="Arial" w:hAnsi="Arial" w:cs="Arial"/>
          <w:b/>
          <w:bCs/>
          <w:sz w:val="22"/>
          <w:szCs w:val="22"/>
        </w:rPr>
        <w:t>2.5 Kernel Density Estimation</w:t>
      </w:r>
    </w:p>
    <w:p w14:paraId="55C7EF30" w14:textId="77777777" w:rsidR="00490675" w:rsidRDefault="00490675">
      <w:pPr>
        <w:pStyle w:val="a"/>
        <w:keepNext/>
        <w:widowControl w:val="0"/>
        <w:adjustRightInd w:val="0"/>
        <w:snapToGrid w:val="0"/>
        <w:ind w:firstLineChars="0" w:firstLine="0"/>
        <w:rPr>
          <w:rFonts w:ascii="Arial" w:hAnsi="Arial" w:cs="Arial"/>
          <w:sz w:val="20"/>
        </w:rPr>
      </w:pPr>
    </w:p>
    <w:p w14:paraId="722FEB16" w14:textId="77777777" w:rsidR="00490675" w:rsidRDefault="009B469C">
      <w:pPr>
        <w:pStyle w:val="a"/>
        <w:keepNext/>
        <w:widowControl w:val="0"/>
        <w:adjustRightInd w:val="0"/>
        <w:ind w:firstLineChars="0" w:firstLine="0"/>
        <w:rPr>
          <w:rFonts w:ascii="Arial" w:hAnsi="Arial" w:cs="Arial"/>
          <w:sz w:val="20"/>
        </w:rPr>
      </w:pPr>
      <w:r>
        <w:rPr>
          <w:rFonts w:ascii="Arial" w:hAnsi="Arial" w:cs="Arial" w:hint="eastAsia"/>
          <w:sz w:val="20"/>
        </w:rPr>
        <w:t>Kernel density estimation (KDE) is employed to analyze the dynamic evolution of rural industrial revitalization in Jiangsu Province. As a nonparametric</w:t>
      </w:r>
      <w:r>
        <w:rPr>
          <w:rFonts w:ascii="Arial" w:hAnsi="Arial" w:cs="Arial" w:hint="eastAsia"/>
          <w:sz w:val="20"/>
        </w:rPr>
        <w:t xml:space="preserve"> method used to estimate the probability density function of data, KDE can mitigate the impact of model specification bias. Given an independent and identically distributed sample set X = x</w:t>
      </w:r>
      <w:r>
        <w:rPr>
          <w:rFonts w:ascii="Arial" w:hAnsi="Arial" w:cs="Arial" w:hint="eastAsia"/>
          <w:sz w:val="20"/>
        </w:rPr>
        <w:t>₁</w:t>
      </w:r>
      <w:r>
        <w:rPr>
          <w:rFonts w:ascii="Arial" w:hAnsi="Arial" w:cs="Arial" w:hint="eastAsia"/>
          <w:sz w:val="20"/>
        </w:rPr>
        <w:t>, x</w:t>
      </w:r>
      <w:r>
        <w:rPr>
          <w:rFonts w:ascii="Arial" w:hAnsi="Arial" w:cs="Arial" w:hint="eastAsia"/>
          <w:sz w:val="20"/>
        </w:rPr>
        <w:t>₂</w:t>
      </w:r>
      <w:r>
        <w:rPr>
          <w:rFonts w:ascii="Arial" w:hAnsi="Arial" w:cs="Arial" w:hint="eastAsia"/>
          <w:sz w:val="20"/>
        </w:rPr>
        <w:t xml:space="preserve">, ..., </w:t>
      </w:r>
      <w:proofErr w:type="spellStart"/>
      <w:r>
        <w:rPr>
          <w:rFonts w:ascii="Arial" w:hAnsi="Arial" w:cs="Arial" w:hint="eastAsia"/>
          <w:sz w:val="20"/>
        </w:rPr>
        <w:t>x</w:t>
      </w:r>
      <w:r>
        <w:rPr>
          <w:rFonts w:ascii="Arial" w:hAnsi="Arial" w:cs="Arial" w:hint="eastAsia"/>
          <w:sz w:val="20"/>
          <w:vertAlign w:val="subscript"/>
        </w:rPr>
        <w:t>n</w:t>
      </w:r>
      <w:proofErr w:type="spellEnd"/>
      <w:r>
        <w:rPr>
          <w:rFonts w:ascii="Arial" w:hAnsi="Arial" w:cs="Arial" w:hint="eastAsia"/>
          <w:sz w:val="20"/>
        </w:rPr>
        <w:t>, KDE smooths and weights each data point using the k</w:t>
      </w:r>
      <w:r>
        <w:rPr>
          <w:rFonts w:ascii="Arial" w:hAnsi="Arial" w:cs="Arial" w:hint="eastAsia"/>
          <w:sz w:val="20"/>
        </w:rPr>
        <w:t>ernel function K</w:t>
      </w:r>
      <w:r>
        <w:rPr>
          <w:rFonts w:ascii="Arial" w:hAnsi="Arial" w:cs="Arial" w:hint="eastAsia"/>
          <w:sz w:val="20"/>
          <w:vertAlign w:val="subscript"/>
        </w:rPr>
        <w:t>h</w:t>
      </w:r>
      <w:r>
        <w:rPr>
          <w:rFonts w:ascii="Arial" w:hAnsi="Arial" w:cs="Arial" w:hint="eastAsia"/>
          <w:sz w:val="20"/>
        </w:rPr>
        <w:t>(x) to estimate the probability density function:</w:t>
      </w:r>
    </w:p>
    <w:p w14:paraId="335AA55A" w14:textId="77777777" w:rsidR="00490675" w:rsidRDefault="009B469C">
      <w:pPr>
        <w:pStyle w:val="a"/>
        <w:keepNext/>
        <w:widowControl w:val="0"/>
        <w:adjustRightInd w:val="0"/>
        <w:ind w:firstLineChars="0" w:firstLine="0"/>
        <w:rPr>
          <w:rFonts w:hAnsi="Cambria Math" w:cs="Arial"/>
          <w:sz w:val="20"/>
        </w:rPr>
      </w:pPr>
      <m:oMathPara>
        <m:oMathParaPr>
          <m:jc m:val="right"/>
        </m:oMathParaPr>
        <m:oMath>
          <m:acc>
            <m:accPr>
              <m:ctrlPr>
                <w:rPr>
                  <w:rFonts w:ascii="Cambria Math" w:hAnsi="Cambria Math" w:cs="Arial"/>
                  <w:sz w:val="20"/>
                </w:rPr>
              </m:ctrlPr>
            </m:accPr>
            <m:e>
              <m:r>
                <m:rPr>
                  <m:nor/>
                </m:rPr>
                <w:rPr>
                  <w:rFonts w:ascii="Cambria Math" w:hAnsi="Cambria Math" w:cs="Arial"/>
                  <w:sz w:val="20"/>
                </w:rPr>
                <m:t>f</m:t>
              </m:r>
            </m:e>
          </m:acc>
          <m:r>
            <m:rPr>
              <m:nor/>
            </m:rPr>
            <w:rPr>
              <w:rFonts w:ascii="Cambria Math" w:hAnsi="Cambria Math" w:cs="Arial"/>
              <w:sz w:val="20"/>
            </w:rPr>
            <m:t>(x)=</m:t>
          </m:r>
          <m:f>
            <m:fPr>
              <m:ctrlPr>
                <w:rPr>
                  <w:rFonts w:ascii="Cambria Math" w:hAnsi="Cambria Math" w:cs="Arial"/>
                  <w:sz w:val="20"/>
                </w:rPr>
              </m:ctrlPr>
            </m:fPr>
            <m:num>
              <m:r>
                <m:rPr>
                  <m:nor/>
                </m:rPr>
                <w:rPr>
                  <w:rFonts w:ascii="Cambria Math" w:hAnsi="Cambria Math" w:cs="Arial"/>
                  <w:sz w:val="20"/>
                </w:rPr>
                <m:t>1</m:t>
              </m:r>
            </m:num>
            <m:den>
              <m:r>
                <m:rPr>
                  <m:nor/>
                </m:rPr>
                <w:rPr>
                  <w:rFonts w:ascii="Cambria Math" w:hAnsi="Cambria Math" w:cs="Arial"/>
                  <w:sz w:val="20"/>
                </w:rPr>
                <m:t>n</m:t>
              </m:r>
            </m:den>
          </m:f>
          <m:nary>
            <m:naryPr>
              <m:chr m:val="∑"/>
              <m:limLoc m:val="subSup"/>
              <m:ctrlPr>
                <w:rPr>
                  <w:rFonts w:ascii="Cambria Math" w:hAnsi="Cambria Math" w:cs="Arial"/>
                  <w:sz w:val="20"/>
                </w:rPr>
              </m:ctrlPr>
            </m:naryPr>
            <m:sub>
              <m:r>
                <m:rPr>
                  <m:nor/>
                </m:rPr>
                <w:rPr>
                  <w:rFonts w:ascii="Cambria Math" w:hAnsi="Cambria Math" w:cs="Arial"/>
                  <w:sz w:val="20"/>
                </w:rPr>
                <m:t>i=1</m:t>
              </m:r>
            </m:sub>
            <m:sup>
              <m:r>
                <m:rPr>
                  <m:nor/>
                </m:rPr>
                <w:rPr>
                  <w:rFonts w:ascii="Cambria Math" w:hAnsi="Cambria Math" w:cs="Arial"/>
                  <w:sz w:val="20"/>
                </w:rPr>
                <m:t>n</m:t>
              </m:r>
            </m:sup>
            <m:e>
              <m:sSub>
                <m:sSubPr>
                  <m:ctrlPr>
                    <w:rPr>
                      <w:rFonts w:ascii="Cambria Math" w:hAnsi="Cambria Math" w:cs="Arial"/>
                      <w:sz w:val="20"/>
                    </w:rPr>
                  </m:ctrlPr>
                </m:sSubPr>
                <m:e>
                  <m:r>
                    <m:rPr>
                      <m:nor/>
                    </m:rPr>
                    <w:rPr>
                      <w:rFonts w:ascii="Cambria Math" w:hAnsi="Cambria Math" w:cs="Arial"/>
                      <w:sz w:val="20"/>
                    </w:rPr>
                    <m:t>K</m:t>
                  </m:r>
                </m:e>
                <m:sub>
                  <m:r>
                    <m:rPr>
                      <m:nor/>
                    </m:rPr>
                    <w:rPr>
                      <w:rFonts w:ascii="Cambria Math" w:hAnsi="Cambria Math" w:cs="Arial"/>
                      <w:sz w:val="20"/>
                    </w:rPr>
                    <m:t>h</m:t>
                  </m:r>
                </m:sub>
              </m:sSub>
              <m:r>
                <m:rPr>
                  <m:nor/>
                </m:rPr>
                <w:rPr>
                  <w:rFonts w:ascii="Cambria Math" w:hAnsi="Cambria Math" w:cs="Arial"/>
                  <w:sz w:val="20"/>
                </w:rPr>
                <m:t>(x-</m:t>
              </m:r>
              <m:sSub>
                <m:sSubPr>
                  <m:ctrlPr>
                    <w:rPr>
                      <w:rFonts w:ascii="Cambria Math" w:hAnsi="Cambria Math" w:cs="Arial"/>
                      <w:sz w:val="20"/>
                    </w:rPr>
                  </m:ctrlPr>
                </m:sSubPr>
                <m:e>
                  <m:r>
                    <m:rPr>
                      <m:nor/>
                    </m:rPr>
                    <w:rPr>
                      <w:rFonts w:ascii="Cambria Math" w:hAnsi="Cambria Math" w:cs="Arial"/>
                      <w:sz w:val="20"/>
                    </w:rPr>
                    <m:t>x</m:t>
                  </m:r>
                </m:e>
                <m:sub>
                  <m:r>
                    <m:rPr>
                      <m:nor/>
                    </m:rPr>
                    <w:rPr>
                      <w:rFonts w:ascii="Cambria Math" w:hAnsi="Cambria Math" w:cs="Arial"/>
                      <w:sz w:val="20"/>
                    </w:rPr>
                    <m:t>i</m:t>
                  </m:r>
                </m:sub>
              </m:sSub>
              <m:r>
                <m:rPr>
                  <m:nor/>
                </m:rPr>
                <w:rPr>
                  <w:rFonts w:ascii="Cambria Math" w:hAnsi="Cambria Math" w:cs="Arial"/>
                  <w:sz w:val="20"/>
                </w:rPr>
                <m:t>)=</m:t>
              </m:r>
              <m:f>
                <m:fPr>
                  <m:ctrlPr>
                    <w:rPr>
                      <w:rFonts w:ascii="Cambria Math" w:hAnsi="Cambria Math" w:cs="Arial"/>
                      <w:sz w:val="20"/>
                    </w:rPr>
                  </m:ctrlPr>
                </m:fPr>
                <m:num>
                  <m:r>
                    <m:rPr>
                      <m:nor/>
                    </m:rPr>
                    <w:rPr>
                      <w:rFonts w:ascii="Cambria Math" w:hAnsi="Cambria Math" w:cs="Arial"/>
                      <w:sz w:val="20"/>
                    </w:rPr>
                    <m:t>1</m:t>
                  </m:r>
                </m:num>
                <m:den>
                  <m:r>
                    <m:rPr>
                      <m:nor/>
                    </m:rPr>
                    <w:rPr>
                      <w:rFonts w:ascii="Cambria Math" w:hAnsi="Cambria Math" w:cs="Arial"/>
                      <w:sz w:val="20"/>
                    </w:rPr>
                    <m:t>nh</m:t>
                  </m:r>
                </m:den>
              </m:f>
              <m:nary>
                <m:naryPr>
                  <m:chr m:val="∑"/>
                  <m:limLoc m:val="subSup"/>
                  <m:ctrlPr>
                    <w:rPr>
                      <w:rFonts w:ascii="Cambria Math" w:hAnsi="Cambria Math" w:cs="Arial"/>
                      <w:sz w:val="20"/>
                    </w:rPr>
                  </m:ctrlPr>
                </m:naryPr>
                <m:sub>
                  <m:r>
                    <m:rPr>
                      <m:nor/>
                    </m:rPr>
                    <w:rPr>
                      <w:rFonts w:ascii="Cambria Math" w:hAnsi="Cambria Math" w:cs="Arial"/>
                      <w:sz w:val="20"/>
                    </w:rPr>
                    <m:t>i=1</m:t>
                  </m:r>
                </m:sub>
                <m:sup>
                  <m:r>
                    <m:rPr>
                      <m:nor/>
                    </m:rPr>
                    <w:rPr>
                      <w:rFonts w:ascii="Cambria Math" w:hAnsi="Cambria Math" w:cs="Arial"/>
                      <w:sz w:val="20"/>
                    </w:rPr>
                    <m:t>n</m:t>
                  </m:r>
                </m:sup>
                <m:e>
                  <m:r>
                    <m:rPr>
                      <m:nor/>
                    </m:rPr>
                    <w:rPr>
                      <w:rFonts w:ascii="Cambria Math" w:hAnsi="Cambria Math" w:cs="Arial"/>
                      <w:sz w:val="20"/>
                    </w:rPr>
                    <m:t>K(</m:t>
                  </m:r>
                  <m:f>
                    <m:fPr>
                      <m:ctrlPr>
                        <w:rPr>
                          <w:rFonts w:ascii="Cambria Math" w:hAnsi="Cambria Math" w:cs="Arial"/>
                          <w:sz w:val="20"/>
                        </w:rPr>
                      </m:ctrlPr>
                    </m:fPr>
                    <m:num>
                      <m:r>
                        <m:rPr>
                          <m:nor/>
                        </m:rPr>
                        <w:rPr>
                          <w:rFonts w:ascii="Cambria Math" w:hAnsi="Cambria Math" w:cs="Arial"/>
                          <w:sz w:val="20"/>
                        </w:rPr>
                        <m:t>x-</m:t>
                      </m:r>
                      <m:sSub>
                        <m:sSubPr>
                          <m:ctrlPr>
                            <w:rPr>
                              <w:rFonts w:ascii="Cambria Math" w:hAnsi="Cambria Math" w:cs="Arial"/>
                              <w:sz w:val="20"/>
                            </w:rPr>
                          </m:ctrlPr>
                        </m:sSubPr>
                        <m:e>
                          <m:r>
                            <m:rPr>
                              <m:nor/>
                            </m:rPr>
                            <w:rPr>
                              <w:rFonts w:ascii="Cambria Math" w:hAnsi="Cambria Math" w:cs="Arial"/>
                              <w:sz w:val="20"/>
                            </w:rPr>
                            <m:t>x</m:t>
                          </m:r>
                        </m:e>
                        <m:sub>
                          <m:r>
                            <m:rPr>
                              <m:nor/>
                            </m:rPr>
                            <w:rPr>
                              <w:rFonts w:ascii="Cambria Math" w:hAnsi="Cambria Math" w:cs="Arial"/>
                              <w:sz w:val="20"/>
                            </w:rPr>
                            <m:t>i</m:t>
                          </m:r>
                        </m:sub>
                      </m:sSub>
                    </m:num>
                    <m:den>
                      <m:r>
                        <m:rPr>
                          <m:nor/>
                        </m:rPr>
                        <w:rPr>
                          <w:rFonts w:ascii="Cambria Math" w:hAnsi="Cambria Math" w:cs="Arial"/>
                          <w:sz w:val="20"/>
                        </w:rPr>
                        <m:t>h</m:t>
                      </m:r>
                    </m:den>
                  </m:f>
                  <m:r>
                    <m:rPr>
                      <m:nor/>
                    </m:rPr>
                    <w:rPr>
                      <w:rFonts w:ascii="Cambria Math" w:hAnsi="Cambria Math" w:cs="Arial"/>
                      <w:sz w:val="20"/>
                    </w:rPr>
                    <m:t>)                                             (2-12)</m:t>
                  </m:r>
                </m:e>
              </m:nary>
            </m:e>
          </m:nary>
        </m:oMath>
      </m:oMathPara>
    </w:p>
    <w:p w14:paraId="37863900" w14:textId="77777777" w:rsidR="00490675" w:rsidRDefault="009B469C">
      <w:pPr>
        <w:pStyle w:val="a"/>
        <w:keepNext/>
        <w:widowControl w:val="0"/>
        <w:adjustRightInd w:val="0"/>
        <w:ind w:firstLineChars="0" w:firstLine="0"/>
        <w:rPr>
          <w:rFonts w:ascii="Arial" w:hAnsi="Arial" w:cs="Arial"/>
          <w:sz w:val="20"/>
        </w:rPr>
      </w:pPr>
      <w:r>
        <w:rPr>
          <w:rFonts w:ascii="Arial" w:hAnsi="Arial" w:cs="Arial"/>
          <w:sz w:val="20"/>
        </w:rPr>
        <w:t xml:space="preserve">h denotes the bandwidth, control, and function width; </w:t>
      </w:r>
      <w:proofErr w:type="gramStart"/>
      <w:r>
        <w:rPr>
          <w:rFonts w:ascii="Arial" w:hAnsi="Arial" w:cs="Arial"/>
          <w:sz w:val="20"/>
        </w:rPr>
        <w:t>K(</w:t>
      </w:r>
      <w:proofErr w:type="gramEnd"/>
      <w:r>
        <w:rPr>
          <w:rFonts w:ascii="Arial" w:hAnsi="Arial" w:cs="Arial"/>
          <w:sz w:val="20"/>
        </w:rPr>
        <w:t>∙) denotes the kernel function, which satisfie</w:t>
      </w:r>
      <w:r>
        <w:rPr>
          <w:rFonts w:ascii="Arial" w:hAnsi="Arial" w:cs="Arial"/>
          <w:sz w:val="20"/>
        </w:rPr>
        <w:t>s the conditions of symmetry, non-negativity, and integral equal to 1.</w:t>
      </w:r>
    </w:p>
    <w:p w14:paraId="33457D88" w14:textId="77777777" w:rsidR="00490675" w:rsidRDefault="00490675">
      <w:pPr>
        <w:widowControl/>
        <w:topLinePunct/>
        <w:rPr>
          <w:rFonts w:ascii="Arial" w:hAnsi="Arial" w:cs="Arial"/>
          <w:b/>
          <w:bCs/>
          <w:sz w:val="22"/>
          <w:szCs w:val="22"/>
        </w:rPr>
      </w:pPr>
    </w:p>
    <w:p w14:paraId="0BED9DA8" w14:textId="77777777" w:rsidR="00490675" w:rsidRDefault="009B469C">
      <w:pPr>
        <w:widowControl/>
        <w:topLinePunct/>
        <w:rPr>
          <w:rFonts w:ascii="Arial" w:hAnsi="Arial" w:cs="Arial"/>
          <w:b/>
          <w:bCs/>
          <w:sz w:val="22"/>
          <w:szCs w:val="22"/>
        </w:rPr>
      </w:pPr>
      <w:r>
        <w:rPr>
          <w:rFonts w:ascii="Arial" w:hAnsi="Arial" w:cs="Arial"/>
          <w:b/>
          <w:bCs/>
          <w:sz w:val="22"/>
          <w:szCs w:val="22"/>
        </w:rPr>
        <w:t>2.6 Data Sources</w:t>
      </w:r>
    </w:p>
    <w:p w14:paraId="35C5E1F1" w14:textId="77777777" w:rsidR="00490675" w:rsidRDefault="00490675"/>
    <w:p w14:paraId="03799EF7" w14:textId="77777777" w:rsidR="00490675" w:rsidRDefault="009B469C">
      <w:r>
        <w:rPr>
          <w:rFonts w:hint="eastAsia"/>
        </w:rPr>
        <w:t>This study draws on the 2018 "Opinions on Implementing the Rural Revitalization Strategy," with the study period (2013-2024) chosen to compare outcomes before and aft</w:t>
      </w:r>
      <w:r>
        <w:rPr>
          <w:rFonts w:hint="eastAsia"/>
        </w:rPr>
        <w:t xml:space="preserve">er implementation. </w:t>
      </w:r>
      <w:r>
        <w:rPr>
          <w:rFonts w:hint="eastAsia"/>
        </w:rPr>
        <w:lastRenderedPageBreak/>
        <w:t>Data come from the Statistical Yearbooks of Jiangsu Province and its 13 prefecture-level cities (2014-2025), the China Rural Statistical Yearbook, the EPS data platform, and the China Economic Net database. Missing values were filled usi</w:t>
      </w:r>
      <w:r>
        <w:rPr>
          <w:rFonts w:hint="eastAsia"/>
        </w:rPr>
        <w:t>ng interpolation. GDP figures were deflated using the Consumer Price Index (CPI) with 2013 as the base year.</w:t>
      </w:r>
    </w:p>
    <w:p w14:paraId="6BD416FC" w14:textId="77777777" w:rsidR="00490675" w:rsidRDefault="00490675">
      <w:pPr>
        <w:widowControl/>
        <w:topLinePunct/>
        <w:rPr>
          <w:rFonts w:ascii="Arial" w:hAnsi="Arial" w:cs="Arial"/>
          <w:b/>
          <w:bCs/>
          <w:sz w:val="22"/>
          <w:szCs w:val="22"/>
        </w:rPr>
      </w:pPr>
    </w:p>
    <w:p w14:paraId="4282B6A9" w14:textId="77777777" w:rsidR="00490675" w:rsidRDefault="009B469C">
      <w:pPr>
        <w:widowControl/>
        <w:topLinePunct/>
        <w:rPr>
          <w:rFonts w:ascii="Arial" w:hAnsi="Arial" w:cs="Arial"/>
          <w:b/>
          <w:bCs/>
          <w:sz w:val="22"/>
          <w:szCs w:val="22"/>
        </w:rPr>
      </w:pPr>
      <w:r>
        <w:rPr>
          <w:rFonts w:ascii="Arial" w:hAnsi="Arial" w:cs="Arial"/>
          <w:b/>
          <w:bCs/>
          <w:sz w:val="22"/>
          <w:szCs w:val="22"/>
        </w:rPr>
        <w:t>3. RESULTS AND DISCUSSION</w:t>
      </w:r>
    </w:p>
    <w:p w14:paraId="2BA647A3" w14:textId="77777777" w:rsidR="00490675" w:rsidRDefault="00490675">
      <w:pPr>
        <w:widowControl/>
        <w:topLinePunct/>
        <w:rPr>
          <w:rFonts w:ascii="Arial" w:hAnsi="Arial" w:cs="Arial"/>
          <w:b/>
          <w:bCs/>
          <w:sz w:val="22"/>
          <w:szCs w:val="22"/>
        </w:rPr>
      </w:pPr>
    </w:p>
    <w:p w14:paraId="251714AE" w14:textId="77777777" w:rsidR="00490675" w:rsidRDefault="009B469C">
      <w:pPr>
        <w:widowControl/>
        <w:topLinePunct/>
        <w:rPr>
          <w:rFonts w:ascii="Arial" w:hAnsi="Arial" w:cs="Arial"/>
          <w:b/>
          <w:bCs/>
          <w:sz w:val="22"/>
          <w:szCs w:val="22"/>
        </w:rPr>
      </w:pPr>
      <w:r>
        <w:rPr>
          <w:rFonts w:ascii="Arial" w:hAnsi="Arial" w:cs="Arial" w:hint="eastAsia"/>
          <w:b/>
          <w:bCs/>
          <w:sz w:val="22"/>
          <w:szCs w:val="22"/>
        </w:rPr>
        <w:t>3.1 Temporal Characteristics</w:t>
      </w:r>
    </w:p>
    <w:p w14:paraId="0181103C" w14:textId="77777777" w:rsidR="00490675" w:rsidRDefault="00490675">
      <w:pPr>
        <w:widowControl/>
        <w:topLinePunct/>
        <w:rPr>
          <w:rFonts w:ascii="Arial" w:hAnsi="Arial" w:cs="Arial"/>
          <w:sz w:val="20"/>
          <w:szCs w:val="20"/>
        </w:rPr>
      </w:pPr>
    </w:p>
    <w:p w14:paraId="4F588A0A" w14:textId="77777777" w:rsidR="00490675" w:rsidRDefault="009B469C">
      <w:pPr>
        <w:widowControl/>
        <w:topLinePunct/>
        <w:rPr>
          <w:rFonts w:ascii="Arial" w:hAnsi="Arial" w:cs="Arial"/>
          <w:sz w:val="20"/>
          <w:szCs w:val="20"/>
        </w:rPr>
      </w:pPr>
      <w:r>
        <w:rPr>
          <w:rFonts w:ascii="Arial" w:hAnsi="Arial" w:cs="Arial"/>
          <w:sz w:val="20"/>
          <w:szCs w:val="20"/>
        </w:rPr>
        <w:t xml:space="preserve">Overall, the level of rural industrial revitalization in Jiangsu Province has shown a </w:t>
      </w:r>
      <w:r>
        <w:rPr>
          <w:rFonts w:ascii="Arial" w:hAnsi="Arial" w:cs="Arial"/>
          <w:sz w:val="20"/>
          <w:szCs w:val="20"/>
        </w:rPr>
        <w:t>year-on-year upward trend. The rural industrial revitalization index rose from 0.2680 in 2013 to 0.5435 in 2024, representing a cumulative increase of 102.80% and an average annual compound growth rate of 6.12%, thereby doubling over the study period.</w:t>
      </w:r>
    </w:p>
    <w:p w14:paraId="12B47CFA" w14:textId="77777777" w:rsidR="00490675" w:rsidRDefault="009B469C">
      <w:pPr>
        <w:widowControl/>
        <w:topLinePunct/>
        <w:spacing w:line="480" w:lineRule="auto"/>
        <w:rPr>
          <w:rFonts w:ascii="Arial" w:hAnsi="Arial"/>
          <w:b/>
          <w:sz w:val="20"/>
          <w:szCs w:val="20"/>
        </w:rPr>
      </w:pPr>
      <w:r>
        <w:rPr>
          <w:rFonts w:ascii="Arial" w:hAnsi="Arial"/>
          <w:b/>
          <w:sz w:val="20"/>
          <w:szCs w:val="20"/>
        </w:rPr>
        <w:t>Tabl</w:t>
      </w:r>
      <w:r>
        <w:rPr>
          <w:rFonts w:ascii="Arial" w:hAnsi="Arial"/>
          <w:b/>
          <w:sz w:val="20"/>
          <w:szCs w:val="20"/>
        </w:rPr>
        <w:t xml:space="preserve">e </w:t>
      </w:r>
      <w:r>
        <w:rPr>
          <w:rFonts w:ascii="Arial" w:hAnsi="Arial" w:hint="eastAsia"/>
          <w:b/>
          <w:sz w:val="20"/>
          <w:szCs w:val="20"/>
        </w:rPr>
        <w:t>2</w:t>
      </w:r>
      <w:r>
        <w:rPr>
          <w:rFonts w:ascii="Arial" w:hAnsi="Arial"/>
          <w:b/>
          <w:sz w:val="20"/>
          <w:szCs w:val="20"/>
        </w:rPr>
        <w:t>.</w:t>
      </w:r>
      <w:r>
        <w:rPr>
          <w:rFonts w:ascii="Arial" w:hAnsi="Arial" w:hint="eastAsia"/>
          <w:b/>
          <w:sz w:val="20"/>
          <w:szCs w:val="20"/>
        </w:rPr>
        <w:t xml:space="preserve"> Annual Trend of Rural Industry Revitalization Index in Jiangsu Province</w:t>
      </w:r>
    </w:p>
    <w:tbl>
      <w:tblPr>
        <w:tblStyle w:val="TableGrid"/>
        <w:tblW w:w="8520" w:type="dxa"/>
        <w:jc w:val="center"/>
        <w:tblLook w:val="04A0" w:firstRow="1" w:lastRow="0" w:firstColumn="1" w:lastColumn="0" w:noHBand="0" w:noVBand="1"/>
      </w:tblPr>
      <w:tblGrid>
        <w:gridCol w:w="893"/>
        <w:gridCol w:w="1072"/>
        <w:gridCol w:w="1192"/>
        <w:gridCol w:w="1192"/>
        <w:gridCol w:w="1192"/>
        <w:gridCol w:w="1549"/>
        <w:gridCol w:w="1430"/>
      </w:tblGrid>
      <w:tr w:rsidR="00490675" w14:paraId="51719074" w14:textId="77777777">
        <w:trPr>
          <w:tblHeader/>
          <w:jc w:val="center"/>
        </w:trPr>
        <w:tc>
          <w:tcPr>
            <w:tcW w:w="893" w:type="dxa"/>
            <w:tcBorders>
              <w:top w:val="single" w:sz="12" w:space="0" w:color="auto"/>
              <w:left w:val="nil"/>
              <w:bottom w:val="single" w:sz="4" w:space="0" w:color="auto"/>
              <w:right w:val="nil"/>
            </w:tcBorders>
          </w:tcPr>
          <w:p w14:paraId="312B2B82" w14:textId="77777777" w:rsidR="00490675" w:rsidRDefault="009B469C">
            <w:pPr>
              <w:pStyle w:val="a"/>
              <w:adjustRightInd w:val="0"/>
              <w:snapToGrid w:val="0"/>
              <w:spacing w:line="480" w:lineRule="auto"/>
              <w:ind w:firstLineChars="0" w:firstLine="0"/>
              <w:rPr>
                <w:rFonts w:ascii="Arial" w:eastAsiaTheme="minorEastAsia" w:hAnsi="Arial" w:cs="Arial"/>
                <w:b/>
                <w:bCs/>
                <w:kern w:val="2"/>
                <w:sz w:val="20"/>
              </w:rPr>
            </w:pPr>
            <w:r>
              <w:rPr>
                <w:rFonts w:ascii="Arial" w:eastAsiaTheme="minorEastAsia" w:hAnsi="Arial" w:cs="Arial" w:hint="eastAsia"/>
                <w:b/>
                <w:bCs/>
                <w:kern w:val="2"/>
                <w:sz w:val="20"/>
              </w:rPr>
              <w:t>year</w:t>
            </w:r>
          </w:p>
        </w:tc>
        <w:tc>
          <w:tcPr>
            <w:tcW w:w="1072" w:type="dxa"/>
            <w:tcBorders>
              <w:top w:val="single" w:sz="12" w:space="0" w:color="auto"/>
              <w:left w:val="nil"/>
              <w:bottom w:val="single" w:sz="4" w:space="0" w:color="auto"/>
              <w:right w:val="nil"/>
            </w:tcBorders>
          </w:tcPr>
          <w:p w14:paraId="6030E5E7" w14:textId="77777777" w:rsidR="00490675" w:rsidRDefault="009B469C">
            <w:pPr>
              <w:pStyle w:val="a"/>
              <w:adjustRightInd w:val="0"/>
              <w:snapToGrid w:val="0"/>
              <w:spacing w:line="480" w:lineRule="auto"/>
              <w:ind w:firstLineChars="0" w:firstLine="0"/>
              <w:rPr>
                <w:rFonts w:ascii="Arial" w:eastAsiaTheme="minorEastAsia" w:hAnsi="Arial" w:cs="Arial"/>
                <w:b/>
                <w:bCs/>
                <w:kern w:val="2"/>
                <w:sz w:val="20"/>
              </w:rPr>
            </w:pPr>
            <w:r>
              <w:rPr>
                <w:rFonts w:ascii="Arial" w:eastAsiaTheme="minorEastAsia" w:hAnsi="Arial" w:cs="Arial" w:hint="eastAsia"/>
                <w:b/>
                <w:bCs/>
                <w:kern w:val="2"/>
                <w:sz w:val="20"/>
              </w:rPr>
              <w:t xml:space="preserve">Mean </w:t>
            </w:r>
          </w:p>
        </w:tc>
        <w:tc>
          <w:tcPr>
            <w:tcW w:w="1192" w:type="dxa"/>
            <w:tcBorders>
              <w:top w:val="single" w:sz="12" w:space="0" w:color="auto"/>
              <w:left w:val="nil"/>
              <w:bottom w:val="single" w:sz="4" w:space="0" w:color="auto"/>
              <w:right w:val="nil"/>
            </w:tcBorders>
          </w:tcPr>
          <w:p w14:paraId="4EF0BA4A" w14:textId="77777777" w:rsidR="00490675" w:rsidRDefault="009B469C">
            <w:pPr>
              <w:pStyle w:val="a"/>
              <w:adjustRightInd w:val="0"/>
              <w:snapToGrid w:val="0"/>
              <w:spacing w:line="480" w:lineRule="auto"/>
              <w:ind w:firstLineChars="0" w:firstLine="0"/>
              <w:rPr>
                <w:rFonts w:ascii="Arial" w:eastAsiaTheme="minorEastAsia" w:hAnsi="Arial" w:cs="Arial"/>
                <w:b/>
                <w:bCs/>
                <w:kern w:val="2"/>
                <w:sz w:val="20"/>
              </w:rPr>
            </w:pPr>
            <w:r>
              <w:rPr>
                <w:rFonts w:ascii="Arial" w:eastAsiaTheme="minorEastAsia" w:hAnsi="Arial" w:cs="Arial" w:hint="eastAsia"/>
                <w:b/>
                <w:bCs/>
                <w:kern w:val="2"/>
                <w:sz w:val="20"/>
              </w:rPr>
              <w:t>Standard Deviation</w:t>
            </w:r>
          </w:p>
        </w:tc>
        <w:tc>
          <w:tcPr>
            <w:tcW w:w="1192" w:type="dxa"/>
            <w:tcBorders>
              <w:top w:val="single" w:sz="12" w:space="0" w:color="auto"/>
              <w:left w:val="nil"/>
              <w:bottom w:val="single" w:sz="4" w:space="0" w:color="auto"/>
              <w:right w:val="nil"/>
            </w:tcBorders>
          </w:tcPr>
          <w:p w14:paraId="04278DE4" w14:textId="77777777" w:rsidR="00490675" w:rsidRDefault="009B469C">
            <w:pPr>
              <w:pStyle w:val="a"/>
              <w:adjustRightInd w:val="0"/>
              <w:snapToGrid w:val="0"/>
              <w:spacing w:line="480" w:lineRule="auto"/>
              <w:ind w:firstLineChars="0" w:firstLine="0"/>
              <w:rPr>
                <w:rFonts w:ascii="Arial" w:eastAsiaTheme="minorEastAsia" w:hAnsi="Arial" w:cs="Arial"/>
                <w:b/>
                <w:bCs/>
                <w:kern w:val="2"/>
                <w:sz w:val="20"/>
              </w:rPr>
            </w:pPr>
            <w:r>
              <w:rPr>
                <w:rFonts w:ascii="Arial" w:eastAsiaTheme="minorEastAsia" w:hAnsi="Arial" w:cs="Arial" w:hint="eastAsia"/>
                <w:b/>
                <w:bCs/>
                <w:kern w:val="2"/>
                <w:sz w:val="20"/>
              </w:rPr>
              <w:t>Minimum</w:t>
            </w:r>
          </w:p>
        </w:tc>
        <w:tc>
          <w:tcPr>
            <w:tcW w:w="1192" w:type="dxa"/>
            <w:tcBorders>
              <w:top w:val="single" w:sz="12" w:space="0" w:color="auto"/>
              <w:left w:val="nil"/>
              <w:bottom w:val="single" w:sz="4" w:space="0" w:color="auto"/>
              <w:right w:val="nil"/>
            </w:tcBorders>
          </w:tcPr>
          <w:p w14:paraId="7C7B119B" w14:textId="77777777" w:rsidR="00490675" w:rsidRDefault="009B469C">
            <w:pPr>
              <w:pStyle w:val="a"/>
              <w:adjustRightInd w:val="0"/>
              <w:snapToGrid w:val="0"/>
              <w:spacing w:line="480" w:lineRule="auto"/>
              <w:ind w:firstLineChars="0" w:firstLine="0"/>
              <w:rPr>
                <w:rFonts w:ascii="Arial" w:eastAsiaTheme="minorEastAsia" w:hAnsi="Arial" w:cs="Arial"/>
                <w:b/>
                <w:bCs/>
                <w:kern w:val="2"/>
                <w:sz w:val="20"/>
              </w:rPr>
            </w:pPr>
            <w:r>
              <w:rPr>
                <w:rFonts w:ascii="Arial" w:eastAsiaTheme="minorEastAsia" w:hAnsi="Arial" w:cs="Arial" w:hint="eastAsia"/>
                <w:b/>
                <w:bCs/>
                <w:kern w:val="2"/>
                <w:sz w:val="20"/>
              </w:rPr>
              <w:t>Maximum</w:t>
            </w:r>
          </w:p>
        </w:tc>
        <w:tc>
          <w:tcPr>
            <w:tcW w:w="1549" w:type="dxa"/>
            <w:tcBorders>
              <w:top w:val="single" w:sz="12" w:space="0" w:color="auto"/>
              <w:left w:val="nil"/>
              <w:bottom w:val="single" w:sz="4" w:space="0" w:color="auto"/>
              <w:right w:val="nil"/>
            </w:tcBorders>
          </w:tcPr>
          <w:p w14:paraId="185F66D7" w14:textId="77777777" w:rsidR="00490675" w:rsidRDefault="009B469C">
            <w:pPr>
              <w:pStyle w:val="a"/>
              <w:adjustRightInd w:val="0"/>
              <w:snapToGrid w:val="0"/>
              <w:spacing w:line="480" w:lineRule="auto"/>
              <w:ind w:firstLineChars="0" w:firstLine="0"/>
              <w:rPr>
                <w:rFonts w:ascii="Arial" w:eastAsiaTheme="minorEastAsia" w:hAnsi="Arial" w:cs="Arial"/>
                <w:b/>
                <w:bCs/>
                <w:kern w:val="2"/>
                <w:sz w:val="20"/>
              </w:rPr>
            </w:pPr>
            <w:r>
              <w:rPr>
                <w:rFonts w:ascii="Arial" w:eastAsiaTheme="minorEastAsia" w:hAnsi="Arial" w:cs="Arial" w:hint="eastAsia"/>
                <w:b/>
                <w:bCs/>
                <w:kern w:val="2"/>
                <w:sz w:val="20"/>
              </w:rPr>
              <w:t xml:space="preserve">Growth </w:t>
            </w:r>
            <w:proofErr w:type="gramStart"/>
            <w:r>
              <w:rPr>
                <w:rFonts w:ascii="Arial" w:eastAsiaTheme="minorEastAsia" w:hAnsi="Arial" w:cs="Arial" w:hint="eastAsia"/>
                <w:b/>
                <w:bCs/>
                <w:kern w:val="2"/>
                <w:sz w:val="20"/>
              </w:rPr>
              <w:t>Rate(</w:t>
            </w:r>
            <w:proofErr w:type="gramEnd"/>
            <w:r>
              <w:rPr>
                <w:rFonts w:ascii="Arial" w:eastAsiaTheme="minorEastAsia" w:hAnsi="Arial" w:cs="Arial" w:hint="eastAsia"/>
                <w:b/>
                <w:bCs/>
                <w:kern w:val="2"/>
                <w:sz w:val="20"/>
              </w:rPr>
              <w:t>%)</w:t>
            </w:r>
          </w:p>
        </w:tc>
        <w:tc>
          <w:tcPr>
            <w:tcW w:w="1430" w:type="dxa"/>
            <w:tcBorders>
              <w:top w:val="single" w:sz="12" w:space="0" w:color="auto"/>
              <w:left w:val="nil"/>
              <w:bottom w:val="single" w:sz="4" w:space="0" w:color="auto"/>
              <w:right w:val="nil"/>
            </w:tcBorders>
          </w:tcPr>
          <w:p w14:paraId="1EF8FF94" w14:textId="77777777" w:rsidR="00490675" w:rsidRDefault="009B469C">
            <w:pPr>
              <w:pStyle w:val="a"/>
              <w:adjustRightInd w:val="0"/>
              <w:snapToGrid w:val="0"/>
              <w:spacing w:line="480" w:lineRule="auto"/>
              <w:ind w:firstLineChars="0" w:firstLine="0"/>
              <w:rPr>
                <w:rFonts w:ascii="Arial" w:eastAsiaTheme="minorEastAsia" w:hAnsi="Arial" w:cs="Arial"/>
                <w:b/>
                <w:bCs/>
                <w:kern w:val="2"/>
                <w:sz w:val="20"/>
              </w:rPr>
            </w:pPr>
            <w:r>
              <w:rPr>
                <w:rFonts w:ascii="Arial" w:eastAsiaTheme="minorEastAsia" w:hAnsi="Arial" w:cs="Arial" w:hint="eastAsia"/>
                <w:b/>
                <w:bCs/>
                <w:kern w:val="2"/>
                <w:sz w:val="20"/>
              </w:rPr>
              <w:t>Cumulative Increase</w:t>
            </w:r>
          </w:p>
        </w:tc>
      </w:tr>
      <w:tr w:rsidR="00490675" w14:paraId="5AFDFA5A" w14:textId="77777777">
        <w:trPr>
          <w:jc w:val="center"/>
        </w:trPr>
        <w:tc>
          <w:tcPr>
            <w:tcW w:w="893" w:type="dxa"/>
            <w:tcBorders>
              <w:top w:val="single" w:sz="4" w:space="0" w:color="auto"/>
              <w:left w:val="nil"/>
              <w:bottom w:val="nil"/>
              <w:right w:val="nil"/>
            </w:tcBorders>
          </w:tcPr>
          <w:p w14:paraId="0CBF9B1E"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2013</w:t>
            </w:r>
          </w:p>
        </w:tc>
        <w:tc>
          <w:tcPr>
            <w:tcW w:w="1072" w:type="dxa"/>
            <w:tcBorders>
              <w:top w:val="single" w:sz="4" w:space="0" w:color="auto"/>
              <w:left w:val="nil"/>
              <w:bottom w:val="nil"/>
              <w:right w:val="nil"/>
            </w:tcBorders>
          </w:tcPr>
          <w:p w14:paraId="2DAE93BC"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0.2680</w:t>
            </w:r>
          </w:p>
        </w:tc>
        <w:tc>
          <w:tcPr>
            <w:tcW w:w="1192" w:type="dxa"/>
            <w:tcBorders>
              <w:top w:val="single" w:sz="4" w:space="0" w:color="auto"/>
              <w:left w:val="nil"/>
              <w:bottom w:val="nil"/>
              <w:right w:val="nil"/>
            </w:tcBorders>
          </w:tcPr>
          <w:p w14:paraId="1D6651DD"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0.0891</w:t>
            </w:r>
          </w:p>
        </w:tc>
        <w:tc>
          <w:tcPr>
            <w:tcW w:w="1192" w:type="dxa"/>
            <w:tcBorders>
              <w:top w:val="single" w:sz="4" w:space="0" w:color="auto"/>
              <w:left w:val="nil"/>
              <w:bottom w:val="nil"/>
              <w:right w:val="nil"/>
            </w:tcBorders>
          </w:tcPr>
          <w:p w14:paraId="795F5875"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0.1602</w:t>
            </w:r>
          </w:p>
        </w:tc>
        <w:tc>
          <w:tcPr>
            <w:tcW w:w="1192" w:type="dxa"/>
            <w:tcBorders>
              <w:top w:val="single" w:sz="4" w:space="0" w:color="auto"/>
              <w:left w:val="nil"/>
              <w:bottom w:val="nil"/>
              <w:right w:val="nil"/>
            </w:tcBorders>
          </w:tcPr>
          <w:p w14:paraId="59D18427"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0.4318</w:t>
            </w:r>
          </w:p>
        </w:tc>
        <w:tc>
          <w:tcPr>
            <w:tcW w:w="1549" w:type="dxa"/>
            <w:tcBorders>
              <w:top w:val="single" w:sz="4" w:space="0" w:color="auto"/>
              <w:left w:val="nil"/>
              <w:bottom w:val="nil"/>
              <w:right w:val="nil"/>
            </w:tcBorders>
          </w:tcPr>
          <w:p w14:paraId="55C7AB8D"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w:t>
            </w:r>
          </w:p>
        </w:tc>
        <w:tc>
          <w:tcPr>
            <w:tcW w:w="1430" w:type="dxa"/>
            <w:tcBorders>
              <w:top w:val="single" w:sz="4" w:space="0" w:color="auto"/>
              <w:left w:val="nil"/>
              <w:bottom w:val="nil"/>
              <w:right w:val="nil"/>
            </w:tcBorders>
          </w:tcPr>
          <w:p w14:paraId="680D22D3"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w:t>
            </w:r>
          </w:p>
        </w:tc>
      </w:tr>
      <w:tr w:rsidR="00490675" w14:paraId="6222021C" w14:textId="77777777">
        <w:trPr>
          <w:jc w:val="center"/>
        </w:trPr>
        <w:tc>
          <w:tcPr>
            <w:tcW w:w="893" w:type="dxa"/>
            <w:tcBorders>
              <w:top w:val="nil"/>
              <w:left w:val="nil"/>
              <w:bottom w:val="nil"/>
              <w:right w:val="nil"/>
            </w:tcBorders>
          </w:tcPr>
          <w:p w14:paraId="5C7A38A4"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2014</w:t>
            </w:r>
          </w:p>
        </w:tc>
        <w:tc>
          <w:tcPr>
            <w:tcW w:w="1072" w:type="dxa"/>
            <w:tcBorders>
              <w:top w:val="nil"/>
              <w:left w:val="nil"/>
              <w:bottom w:val="nil"/>
              <w:right w:val="nil"/>
            </w:tcBorders>
          </w:tcPr>
          <w:p w14:paraId="57DBE5A3"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0.2937</w:t>
            </w:r>
          </w:p>
        </w:tc>
        <w:tc>
          <w:tcPr>
            <w:tcW w:w="1192" w:type="dxa"/>
            <w:tcBorders>
              <w:top w:val="nil"/>
              <w:left w:val="nil"/>
              <w:bottom w:val="nil"/>
              <w:right w:val="nil"/>
            </w:tcBorders>
          </w:tcPr>
          <w:p w14:paraId="2A0573EF"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0.0924</w:t>
            </w:r>
          </w:p>
        </w:tc>
        <w:tc>
          <w:tcPr>
            <w:tcW w:w="1192" w:type="dxa"/>
            <w:tcBorders>
              <w:top w:val="nil"/>
              <w:left w:val="nil"/>
              <w:bottom w:val="nil"/>
              <w:right w:val="nil"/>
            </w:tcBorders>
          </w:tcPr>
          <w:p w14:paraId="2E3D69DF"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0.1804</w:t>
            </w:r>
          </w:p>
        </w:tc>
        <w:tc>
          <w:tcPr>
            <w:tcW w:w="1192" w:type="dxa"/>
            <w:tcBorders>
              <w:top w:val="nil"/>
              <w:left w:val="nil"/>
              <w:bottom w:val="nil"/>
              <w:right w:val="nil"/>
            </w:tcBorders>
          </w:tcPr>
          <w:p w14:paraId="051365E2"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0.4674</w:t>
            </w:r>
          </w:p>
        </w:tc>
        <w:tc>
          <w:tcPr>
            <w:tcW w:w="1549" w:type="dxa"/>
            <w:tcBorders>
              <w:top w:val="nil"/>
              <w:left w:val="nil"/>
              <w:bottom w:val="nil"/>
              <w:right w:val="nil"/>
            </w:tcBorders>
          </w:tcPr>
          <w:p w14:paraId="543848B8"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9.59</w:t>
            </w:r>
          </w:p>
        </w:tc>
        <w:tc>
          <w:tcPr>
            <w:tcW w:w="1430" w:type="dxa"/>
            <w:tcBorders>
              <w:top w:val="nil"/>
              <w:left w:val="nil"/>
              <w:bottom w:val="nil"/>
              <w:right w:val="nil"/>
            </w:tcBorders>
          </w:tcPr>
          <w:p w14:paraId="0E4AAED6"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+9.59%</w:t>
            </w:r>
          </w:p>
        </w:tc>
      </w:tr>
      <w:tr w:rsidR="00490675" w14:paraId="313B980B" w14:textId="77777777">
        <w:trPr>
          <w:jc w:val="center"/>
        </w:trPr>
        <w:tc>
          <w:tcPr>
            <w:tcW w:w="893" w:type="dxa"/>
            <w:tcBorders>
              <w:top w:val="nil"/>
              <w:left w:val="nil"/>
              <w:bottom w:val="nil"/>
              <w:right w:val="nil"/>
            </w:tcBorders>
          </w:tcPr>
          <w:p w14:paraId="4DB7D91E"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2015</w:t>
            </w:r>
          </w:p>
        </w:tc>
        <w:tc>
          <w:tcPr>
            <w:tcW w:w="1072" w:type="dxa"/>
            <w:tcBorders>
              <w:top w:val="nil"/>
              <w:left w:val="nil"/>
              <w:bottom w:val="nil"/>
              <w:right w:val="nil"/>
            </w:tcBorders>
          </w:tcPr>
          <w:p w14:paraId="211131C9"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0.3173</w:t>
            </w:r>
          </w:p>
        </w:tc>
        <w:tc>
          <w:tcPr>
            <w:tcW w:w="1192" w:type="dxa"/>
            <w:tcBorders>
              <w:top w:val="nil"/>
              <w:left w:val="nil"/>
              <w:bottom w:val="nil"/>
              <w:right w:val="nil"/>
            </w:tcBorders>
          </w:tcPr>
          <w:p w14:paraId="2BAFB65A"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0.0976</w:t>
            </w:r>
          </w:p>
        </w:tc>
        <w:tc>
          <w:tcPr>
            <w:tcW w:w="1192" w:type="dxa"/>
            <w:tcBorders>
              <w:top w:val="nil"/>
              <w:left w:val="nil"/>
              <w:bottom w:val="nil"/>
              <w:right w:val="nil"/>
            </w:tcBorders>
          </w:tcPr>
          <w:p w14:paraId="0EF3555E"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0.1924</w:t>
            </w:r>
          </w:p>
        </w:tc>
        <w:tc>
          <w:tcPr>
            <w:tcW w:w="1192" w:type="dxa"/>
            <w:tcBorders>
              <w:top w:val="nil"/>
              <w:left w:val="nil"/>
              <w:bottom w:val="nil"/>
              <w:right w:val="nil"/>
            </w:tcBorders>
          </w:tcPr>
          <w:p w14:paraId="281EB33E"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0.5019</w:t>
            </w:r>
          </w:p>
        </w:tc>
        <w:tc>
          <w:tcPr>
            <w:tcW w:w="1549" w:type="dxa"/>
            <w:tcBorders>
              <w:top w:val="nil"/>
              <w:left w:val="nil"/>
              <w:bottom w:val="nil"/>
              <w:right w:val="nil"/>
            </w:tcBorders>
          </w:tcPr>
          <w:p w14:paraId="3CCF1EED"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8.03</w:t>
            </w:r>
          </w:p>
        </w:tc>
        <w:tc>
          <w:tcPr>
            <w:tcW w:w="1430" w:type="dxa"/>
            <w:tcBorders>
              <w:top w:val="nil"/>
              <w:left w:val="nil"/>
              <w:bottom w:val="nil"/>
              <w:right w:val="nil"/>
            </w:tcBorders>
          </w:tcPr>
          <w:p w14:paraId="70E235EC"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+18.40%</w:t>
            </w:r>
          </w:p>
        </w:tc>
      </w:tr>
      <w:tr w:rsidR="00490675" w14:paraId="0DC150E3" w14:textId="77777777">
        <w:trPr>
          <w:jc w:val="center"/>
        </w:trPr>
        <w:tc>
          <w:tcPr>
            <w:tcW w:w="893" w:type="dxa"/>
            <w:tcBorders>
              <w:top w:val="nil"/>
              <w:left w:val="nil"/>
              <w:bottom w:val="nil"/>
              <w:right w:val="nil"/>
            </w:tcBorders>
          </w:tcPr>
          <w:p w14:paraId="5644BAD5"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2016</w:t>
            </w:r>
          </w:p>
        </w:tc>
        <w:tc>
          <w:tcPr>
            <w:tcW w:w="1072" w:type="dxa"/>
            <w:tcBorders>
              <w:top w:val="nil"/>
              <w:left w:val="nil"/>
              <w:bottom w:val="nil"/>
              <w:right w:val="nil"/>
            </w:tcBorders>
          </w:tcPr>
          <w:p w14:paraId="25C0593E"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0.3331</w:t>
            </w:r>
          </w:p>
        </w:tc>
        <w:tc>
          <w:tcPr>
            <w:tcW w:w="1192" w:type="dxa"/>
            <w:tcBorders>
              <w:top w:val="nil"/>
              <w:left w:val="nil"/>
              <w:bottom w:val="nil"/>
              <w:right w:val="nil"/>
            </w:tcBorders>
          </w:tcPr>
          <w:p w14:paraId="5F2C6D86"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0.0961</w:t>
            </w:r>
          </w:p>
        </w:tc>
        <w:tc>
          <w:tcPr>
            <w:tcW w:w="1192" w:type="dxa"/>
            <w:tcBorders>
              <w:top w:val="nil"/>
              <w:left w:val="nil"/>
              <w:bottom w:val="nil"/>
              <w:right w:val="nil"/>
            </w:tcBorders>
          </w:tcPr>
          <w:p w14:paraId="46728AE4"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0.2275</w:t>
            </w:r>
          </w:p>
        </w:tc>
        <w:tc>
          <w:tcPr>
            <w:tcW w:w="1192" w:type="dxa"/>
            <w:tcBorders>
              <w:top w:val="nil"/>
              <w:left w:val="nil"/>
              <w:bottom w:val="nil"/>
              <w:right w:val="nil"/>
            </w:tcBorders>
          </w:tcPr>
          <w:p w14:paraId="3347252B"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0.5121</w:t>
            </w:r>
          </w:p>
        </w:tc>
        <w:tc>
          <w:tcPr>
            <w:tcW w:w="1549" w:type="dxa"/>
            <w:tcBorders>
              <w:top w:val="nil"/>
              <w:left w:val="nil"/>
              <w:bottom w:val="nil"/>
              <w:right w:val="nil"/>
            </w:tcBorders>
          </w:tcPr>
          <w:p w14:paraId="4B69C261"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4.98</w:t>
            </w:r>
          </w:p>
        </w:tc>
        <w:tc>
          <w:tcPr>
            <w:tcW w:w="1430" w:type="dxa"/>
            <w:tcBorders>
              <w:top w:val="nil"/>
              <w:left w:val="nil"/>
              <w:bottom w:val="nil"/>
              <w:right w:val="nil"/>
            </w:tcBorders>
          </w:tcPr>
          <w:p w14:paraId="3352E253"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+24.29%</w:t>
            </w:r>
          </w:p>
        </w:tc>
      </w:tr>
      <w:tr w:rsidR="00490675" w14:paraId="01D3D077" w14:textId="77777777">
        <w:trPr>
          <w:jc w:val="center"/>
        </w:trPr>
        <w:tc>
          <w:tcPr>
            <w:tcW w:w="893" w:type="dxa"/>
            <w:tcBorders>
              <w:top w:val="nil"/>
              <w:left w:val="nil"/>
              <w:bottom w:val="nil"/>
              <w:right w:val="nil"/>
            </w:tcBorders>
          </w:tcPr>
          <w:p w14:paraId="4C48D9EC"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2017</w:t>
            </w:r>
          </w:p>
        </w:tc>
        <w:tc>
          <w:tcPr>
            <w:tcW w:w="1072" w:type="dxa"/>
            <w:tcBorders>
              <w:top w:val="nil"/>
              <w:left w:val="nil"/>
              <w:bottom w:val="nil"/>
              <w:right w:val="nil"/>
            </w:tcBorders>
          </w:tcPr>
          <w:p w14:paraId="21DD1B30"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0.3671</w:t>
            </w:r>
          </w:p>
        </w:tc>
        <w:tc>
          <w:tcPr>
            <w:tcW w:w="1192" w:type="dxa"/>
            <w:tcBorders>
              <w:top w:val="nil"/>
              <w:left w:val="nil"/>
              <w:bottom w:val="nil"/>
              <w:right w:val="nil"/>
            </w:tcBorders>
          </w:tcPr>
          <w:p w14:paraId="3A68BBDB"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0.1004</w:t>
            </w:r>
          </w:p>
        </w:tc>
        <w:tc>
          <w:tcPr>
            <w:tcW w:w="1192" w:type="dxa"/>
            <w:tcBorders>
              <w:top w:val="nil"/>
              <w:left w:val="nil"/>
              <w:bottom w:val="nil"/>
              <w:right w:val="nil"/>
            </w:tcBorders>
          </w:tcPr>
          <w:p w14:paraId="5EFB9BF8"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0.2520</w:t>
            </w:r>
          </w:p>
        </w:tc>
        <w:tc>
          <w:tcPr>
            <w:tcW w:w="1192" w:type="dxa"/>
            <w:tcBorders>
              <w:top w:val="nil"/>
              <w:left w:val="nil"/>
              <w:bottom w:val="nil"/>
              <w:right w:val="nil"/>
            </w:tcBorders>
          </w:tcPr>
          <w:p w14:paraId="759B6A02"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0.5386</w:t>
            </w:r>
          </w:p>
        </w:tc>
        <w:tc>
          <w:tcPr>
            <w:tcW w:w="1549" w:type="dxa"/>
            <w:tcBorders>
              <w:top w:val="nil"/>
              <w:left w:val="nil"/>
              <w:bottom w:val="nil"/>
              <w:right w:val="nil"/>
            </w:tcBorders>
          </w:tcPr>
          <w:p w14:paraId="663EC4A9"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10.21</w:t>
            </w:r>
          </w:p>
        </w:tc>
        <w:tc>
          <w:tcPr>
            <w:tcW w:w="1430" w:type="dxa"/>
            <w:tcBorders>
              <w:top w:val="nil"/>
              <w:left w:val="nil"/>
              <w:bottom w:val="nil"/>
              <w:right w:val="nil"/>
            </w:tcBorders>
          </w:tcPr>
          <w:p w14:paraId="110B8401"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+36.98%</w:t>
            </w:r>
          </w:p>
        </w:tc>
      </w:tr>
      <w:tr w:rsidR="00490675" w14:paraId="1742F695" w14:textId="77777777">
        <w:trPr>
          <w:jc w:val="center"/>
        </w:trPr>
        <w:tc>
          <w:tcPr>
            <w:tcW w:w="893" w:type="dxa"/>
            <w:tcBorders>
              <w:top w:val="nil"/>
              <w:left w:val="nil"/>
              <w:bottom w:val="nil"/>
              <w:right w:val="nil"/>
            </w:tcBorders>
          </w:tcPr>
          <w:p w14:paraId="35F11E40"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2018</w:t>
            </w:r>
          </w:p>
        </w:tc>
        <w:tc>
          <w:tcPr>
            <w:tcW w:w="1072" w:type="dxa"/>
            <w:tcBorders>
              <w:top w:val="nil"/>
              <w:left w:val="nil"/>
              <w:bottom w:val="nil"/>
              <w:right w:val="nil"/>
            </w:tcBorders>
          </w:tcPr>
          <w:p w14:paraId="7E225FDB"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0.3829</w:t>
            </w:r>
          </w:p>
        </w:tc>
        <w:tc>
          <w:tcPr>
            <w:tcW w:w="1192" w:type="dxa"/>
            <w:tcBorders>
              <w:top w:val="nil"/>
              <w:left w:val="nil"/>
              <w:bottom w:val="nil"/>
              <w:right w:val="nil"/>
            </w:tcBorders>
          </w:tcPr>
          <w:p w14:paraId="07C446E7"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0.0983</w:t>
            </w:r>
          </w:p>
        </w:tc>
        <w:tc>
          <w:tcPr>
            <w:tcW w:w="1192" w:type="dxa"/>
            <w:tcBorders>
              <w:top w:val="nil"/>
              <w:left w:val="nil"/>
              <w:bottom w:val="nil"/>
              <w:right w:val="nil"/>
            </w:tcBorders>
          </w:tcPr>
          <w:p w14:paraId="0FE0C697"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0.2633</w:t>
            </w:r>
          </w:p>
        </w:tc>
        <w:tc>
          <w:tcPr>
            <w:tcW w:w="1192" w:type="dxa"/>
            <w:tcBorders>
              <w:top w:val="nil"/>
              <w:left w:val="nil"/>
              <w:bottom w:val="nil"/>
              <w:right w:val="nil"/>
            </w:tcBorders>
          </w:tcPr>
          <w:p w14:paraId="3D2F4AF3"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0.5416</w:t>
            </w:r>
          </w:p>
        </w:tc>
        <w:tc>
          <w:tcPr>
            <w:tcW w:w="1549" w:type="dxa"/>
            <w:tcBorders>
              <w:top w:val="nil"/>
              <w:left w:val="nil"/>
              <w:bottom w:val="nil"/>
              <w:right w:val="nil"/>
            </w:tcBorders>
          </w:tcPr>
          <w:p w14:paraId="5A5B19AD"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4.30</w:t>
            </w:r>
          </w:p>
        </w:tc>
        <w:tc>
          <w:tcPr>
            <w:tcW w:w="1430" w:type="dxa"/>
            <w:tcBorders>
              <w:top w:val="nil"/>
              <w:left w:val="nil"/>
              <w:bottom w:val="nil"/>
              <w:right w:val="nil"/>
            </w:tcBorders>
          </w:tcPr>
          <w:p w14:paraId="73F4F409"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+42.87%</w:t>
            </w:r>
          </w:p>
        </w:tc>
      </w:tr>
      <w:tr w:rsidR="00490675" w14:paraId="6A76CD06" w14:textId="77777777">
        <w:trPr>
          <w:jc w:val="center"/>
        </w:trPr>
        <w:tc>
          <w:tcPr>
            <w:tcW w:w="893" w:type="dxa"/>
            <w:tcBorders>
              <w:top w:val="nil"/>
              <w:left w:val="nil"/>
              <w:bottom w:val="nil"/>
              <w:right w:val="nil"/>
            </w:tcBorders>
          </w:tcPr>
          <w:p w14:paraId="7EFA6899"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2019</w:t>
            </w:r>
          </w:p>
        </w:tc>
        <w:tc>
          <w:tcPr>
            <w:tcW w:w="1072" w:type="dxa"/>
            <w:tcBorders>
              <w:top w:val="nil"/>
              <w:left w:val="nil"/>
              <w:bottom w:val="nil"/>
              <w:right w:val="nil"/>
            </w:tcBorders>
          </w:tcPr>
          <w:p w14:paraId="678BB7CE"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0.4128</w:t>
            </w:r>
          </w:p>
        </w:tc>
        <w:tc>
          <w:tcPr>
            <w:tcW w:w="1192" w:type="dxa"/>
            <w:tcBorders>
              <w:top w:val="nil"/>
              <w:left w:val="nil"/>
              <w:bottom w:val="nil"/>
              <w:right w:val="nil"/>
            </w:tcBorders>
          </w:tcPr>
          <w:p w14:paraId="76174E59"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0.1096</w:t>
            </w:r>
          </w:p>
        </w:tc>
        <w:tc>
          <w:tcPr>
            <w:tcW w:w="1192" w:type="dxa"/>
            <w:tcBorders>
              <w:top w:val="nil"/>
              <w:left w:val="nil"/>
              <w:bottom w:val="nil"/>
              <w:right w:val="nil"/>
            </w:tcBorders>
          </w:tcPr>
          <w:p w14:paraId="7725977A"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0.2805</w:t>
            </w:r>
          </w:p>
        </w:tc>
        <w:tc>
          <w:tcPr>
            <w:tcW w:w="1192" w:type="dxa"/>
            <w:tcBorders>
              <w:top w:val="nil"/>
              <w:left w:val="nil"/>
              <w:bottom w:val="nil"/>
              <w:right w:val="nil"/>
            </w:tcBorders>
          </w:tcPr>
          <w:p w14:paraId="783119EE"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0.6595</w:t>
            </w:r>
          </w:p>
        </w:tc>
        <w:tc>
          <w:tcPr>
            <w:tcW w:w="1549" w:type="dxa"/>
            <w:tcBorders>
              <w:top w:val="nil"/>
              <w:left w:val="nil"/>
              <w:bottom w:val="nil"/>
              <w:right w:val="nil"/>
            </w:tcBorders>
          </w:tcPr>
          <w:p w14:paraId="0EBCADFC"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7.80</w:t>
            </w:r>
          </w:p>
        </w:tc>
        <w:tc>
          <w:tcPr>
            <w:tcW w:w="1430" w:type="dxa"/>
            <w:tcBorders>
              <w:top w:val="nil"/>
              <w:left w:val="nil"/>
              <w:bottom w:val="nil"/>
              <w:right w:val="nil"/>
            </w:tcBorders>
          </w:tcPr>
          <w:p w14:paraId="776B4D06"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+54.03%</w:t>
            </w:r>
          </w:p>
        </w:tc>
      </w:tr>
      <w:tr w:rsidR="00490675" w14:paraId="7B915E6F" w14:textId="77777777">
        <w:trPr>
          <w:jc w:val="center"/>
        </w:trPr>
        <w:tc>
          <w:tcPr>
            <w:tcW w:w="893" w:type="dxa"/>
            <w:tcBorders>
              <w:top w:val="nil"/>
              <w:left w:val="nil"/>
              <w:bottom w:val="nil"/>
              <w:right w:val="nil"/>
            </w:tcBorders>
          </w:tcPr>
          <w:p w14:paraId="6AA4441B"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2020</w:t>
            </w:r>
          </w:p>
        </w:tc>
        <w:tc>
          <w:tcPr>
            <w:tcW w:w="1072" w:type="dxa"/>
            <w:tcBorders>
              <w:top w:val="nil"/>
              <w:left w:val="nil"/>
              <w:bottom w:val="nil"/>
              <w:right w:val="nil"/>
            </w:tcBorders>
          </w:tcPr>
          <w:p w14:paraId="3AD5B359"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0.4221</w:t>
            </w:r>
          </w:p>
        </w:tc>
        <w:tc>
          <w:tcPr>
            <w:tcW w:w="1192" w:type="dxa"/>
            <w:tcBorders>
              <w:top w:val="nil"/>
              <w:left w:val="nil"/>
              <w:bottom w:val="nil"/>
              <w:right w:val="nil"/>
            </w:tcBorders>
          </w:tcPr>
          <w:p w14:paraId="334E3A9E"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0.1009</w:t>
            </w:r>
          </w:p>
        </w:tc>
        <w:tc>
          <w:tcPr>
            <w:tcW w:w="1192" w:type="dxa"/>
            <w:tcBorders>
              <w:top w:val="nil"/>
              <w:left w:val="nil"/>
              <w:bottom w:val="nil"/>
              <w:right w:val="nil"/>
            </w:tcBorders>
          </w:tcPr>
          <w:p w14:paraId="5B2B9EB5"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0.3070</w:t>
            </w:r>
          </w:p>
        </w:tc>
        <w:tc>
          <w:tcPr>
            <w:tcW w:w="1192" w:type="dxa"/>
            <w:tcBorders>
              <w:top w:val="nil"/>
              <w:left w:val="nil"/>
              <w:bottom w:val="nil"/>
              <w:right w:val="nil"/>
            </w:tcBorders>
          </w:tcPr>
          <w:p w14:paraId="33746164"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0.5802</w:t>
            </w:r>
          </w:p>
        </w:tc>
        <w:tc>
          <w:tcPr>
            <w:tcW w:w="1549" w:type="dxa"/>
            <w:tcBorders>
              <w:top w:val="nil"/>
              <w:left w:val="nil"/>
              <w:bottom w:val="nil"/>
              <w:right w:val="nil"/>
            </w:tcBorders>
          </w:tcPr>
          <w:p w14:paraId="12C918CA"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2.25</w:t>
            </w:r>
          </w:p>
        </w:tc>
        <w:tc>
          <w:tcPr>
            <w:tcW w:w="1430" w:type="dxa"/>
            <w:tcBorders>
              <w:top w:val="nil"/>
              <w:left w:val="nil"/>
              <w:bottom w:val="nil"/>
              <w:right w:val="nil"/>
            </w:tcBorders>
          </w:tcPr>
          <w:p w14:paraId="47C8C098"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+57.50%</w:t>
            </w:r>
          </w:p>
        </w:tc>
      </w:tr>
      <w:tr w:rsidR="00490675" w14:paraId="03F5CC3E" w14:textId="77777777">
        <w:trPr>
          <w:jc w:val="center"/>
        </w:trPr>
        <w:tc>
          <w:tcPr>
            <w:tcW w:w="893" w:type="dxa"/>
            <w:tcBorders>
              <w:top w:val="nil"/>
              <w:left w:val="nil"/>
              <w:bottom w:val="nil"/>
              <w:right w:val="nil"/>
            </w:tcBorders>
          </w:tcPr>
          <w:p w14:paraId="12E0B2A7"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2021</w:t>
            </w:r>
          </w:p>
        </w:tc>
        <w:tc>
          <w:tcPr>
            <w:tcW w:w="1072" w:type="dxa"/>
            <w:tcBorders>
              <w:top w:val="nil"/>
              <w:left w:val="nil"/>
              <w:bottom w:val="nil"/>
              <w:right w:val="nil"/>
            </w:tcBorders>
          </w:tcPr>
          <w:p w14:paraId="51325A8D"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0.4622</w:t>
            </w:r>
          </w:p>
        </w:tc>
        <w:tc>
          <w:tcPr>
            <w:tcW w:w="1192" w:type="dxa"/>
            <w:tcBorders>
              <w:top w:val="nil"/>
              <w:left w:val="nil"/>
              <w:bottom w:val="nil"/>
              <w:right w:val="nil"/>
            </w:tcBorders>
          </w:tcPr>
          <w:p w14:paraId="13C8C1AC"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0.1042</w:t>
            </w:r>
          </w:p>
        </w:tc>
        <w:tc>
          <w:tcPr>
            <w:tcW w:w="1192" w:type="dxa"/>
            <w:tcBorders>
              <w:top w:val="nil"/>
              <w:left w:val="nil"/>
              <w:bottom w:val="nil"/>
              <w:right w:val="nil"/>
            </w:tcBorders>
          </w:tcPr>
          <w:p w14:paraId="17BA8CEC"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0.3406</w:t>
            </w:r>
          </w:p>
        </w:tc>
        <w:tc>
          <w:tcPr>
            <w:tcW w:w="1192" w:type="dxa"/>
            <w:tcBorders>
              <w:top w:val="nil"/>
              <w:left w:val="nil"/>
              <w:bottom w:val="nil"/>
              <w:right w:val="nil"/>
            </w:tcBorders>
          </w:tcPr>
          <w:p w14:paraId="6ABCFE5E"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0.6138</w:t>
            </w:r>
          </w:p>
        </w:tc>
        <w:tc>
          <w:tcPr>
            <w:tcW w:w="1549" w:type="dxa"/>
            <w:tcBorders>
              <w:top w:val="nil"/>
              <w:left w:val="nil"/>
              <w:bottom w:val="nil"/>
              <w:right w:val="nil"/>
            </w:tcBorders>
          </w:tcPr>
          <w:p w14:paraId="6F7744AC"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9.50</w:t>
            </w:r>
          </w:p>
        </w:tc>
        <w:tc>
          <w:tcPr>
            <w:tcW w:w="1430" w:type="dxa"/>
            <w:tcBorders>
              <w:top w:val="nil"/>
              <w:left w:val="nil"/>
              <w:bottom w:val="nil"/>
              <w:right w:val="nil"/>
            </w:tcBorders>
          </w:tcPr>
          <w:p w14:paraId="4D92633C"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+72.46%</w:t>
            </w:r>
          </w:p>
        </w:tc>
      </w:tr>
      <w:tr w:rsidR="00490675" w14:paraId="5D55D79B" w14:textId="77777777">
        <w:trPr>
          <w:jc w:val="center"/>
        </w:trPr>
        <w:tc>
          <w:tcPr>
            <w:tcW w:w="893" w:type="dxa"/>
            <w:tcBorders>
              <w:top w:val="nil"/>
              <w:left w:val="nil"/>
              <w:bottom w:val="nil"/>
              <w:right w:val="nil"/>
            </w:tcBorders>
          </w:tcPr>
          <w:p w14:paraId="07A91907"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2022</w:t>
            </w:r>
          </w:p>
        </w:tc>
        <w:tc>
          <w:tcPr>
            <w:tcW w:w="1072" w:type="dxa"/>
            <w:tcBorders>
              <w:top w:val="nil"/>
              <w:left w:val="nil"/>
              <w:bottom w:val="nil"/>
              <w:right w:val="nil"/>
            </w:tcBorders>
          </w:tcPr>
          <w:p w14:paraId="7D31E55A"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0.4857</w:t>
            </w:r>
          </w:p>
        </w:tc>
        <w:tc>
          <w:tcPr>
            <w:tcW w:w="1192" w:type="dxa"/>
            <w:tcBorders>
              <w:top w:val="nil"/>
              <w:left w:val="nil"/>
              <w:bottom w:val="nil"/>
              <w:right w:val="nil"/>
            </w:tcBorders>
          </w:tcPr>
          <w:p w14:paraId="7E38964B"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0.1013</w:t>
            </w:r>
          </w:p>
        </w:tc>
        <w:tc>
          <w:tcPr>
            <w:tcW w:w="1192" w:type="dxa"/>
            <w:tcBorders>
              <w:top w:val="nil"/>
              <w:left w:val="nil"/>
              <w:bottom w:val="nil"/>
              <w:right w:val="nil"/>
            </w:tcBorders>
          </w:tcPr>
          <w:p w14:paraId="5BEAAAF6"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0.3714</w:t>
            </w:r>
          </w:p>
        </w:tc>
        <w:tc>
          <w:tcPr>
            <w:tcW w:w="1192" w:type="dxa"/>
            <w:tcBorders>
              <w:top w:val="nil"/>
              <w:left w:val="nil"/>
              <w:bottom w:val="nil"/>
              <w:right w:val="nil"/>
            </w:tcBorders>
          </w:tcPr>
          <w:p w14:paraId="54AD98FA"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0.6303</w:t>
            </w:r>
          </w:p>
        </w:tc>
        <w:tc>
          <w:tcPr>
            <w:tcW w:w="1549" w:type="dxa"/>
            <w:tcBorders>
              <w:top w:val="nil"/>
              <w:left w:val="nil"/>
              <w:bottom w:val="nil"/>
              <w:right w:val="nil"/>
            </w:tcBorders>
          </w:tcPr>
          <w:p w14:paraId="22D28118"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5.08</w:t>
            </w:r>
          </w:p>
        </w:tc>
        <w:tc>
          <w:tcPr>
            <w:tcW w:w="1430" w:type="dxa"/>
            <w:tcBorders>
              <w:top w:val="nil"/>
              <w:left w:val="nil"/>
              <w:bottom w:val="nil"/>
              <w:right w:val="nil"/>
            </w:tcBorders>
          </w:tcPr>
          <w:p w14:paraId="00AF3A22"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+81.23%</w:t>
            </w:r>
          </w:p>
        </w:tc>
      </w:tr>
      <w:tr w:rsidR="00490675" w14:paraId="0B7ECD5F" w14:textId="77777777">
        <w:trPr>
          <w:jc w:val="center"/>
        </w:trPr>
        <w:tc>
          <w:tcPr>
            <w:tcW w:w="893" w:type="dxa"/>
            <w:tcBorders>
              <w:top w:val="nil"/>
              <w:left w:val="nil"/>
              <w:bottom w:val="nil"/>
              <w:right w:val="nil"/>
            </w:tcBorders>
          </w:tcPr>
          <w:p w14:paraId="413D4A6C"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2023</w:t>
            </w:r>
          </w:p>
        </w:tc>
        <w:tc>
          <w:tcPr>
            <w:tcW w:w="1072" w:type="dxa"/>
            <w:tcBorders>
              <w:top w:val="nil"/>
              <w:left w:val="nil"/>
              <w:bottom w:val="nil"/>
              <w:right w:val="nil"/>
            </w:tcBorders>
          </w:tcPr>
          <w:p w14:paraId="675CF2DD"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0.5108</w:t>
            </w:r>
          </w:p>
        </w:tc>
        <w:tc>
          <w:tcPr>
            <w:tcW w:w="1192" w:type="dxa"/>
            <w:tcBorders>
              <w:top w:val="nil"/>
              <w:left w:val="nil"/>
              <w:bottom w:val="nil"/>
              <w:right w:val="nil"/>
            </w:tcBorders>
          </w:tcPr>
          <w:p w14:paraId="73DDFC1F"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0.1039</w:t>
            </w:r>
          </w:p>
        </w:tc>
        <w:tc>
          <w:tcPr>
            <w:tcW w:w="1192" w:type="dxa"/>
            <w:tcBorders>
              <w:top w:val="nil"/>
              <w:left w:val="nil"/>
              <w:bottom w:val="nil"/>
              <w:right w:val="nil"/>
            </w:tcBorders>
          </w:tcPr>
          <w:p w14:paraId="261E2A6C"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0.3767</w:t>
            </w:r>
          </w:p>
        </w:tc>
        <w:tc>
          <w:tcPr>
            <w:tcW w:w="1192" w:type="dxa"/>
            <w:tcBorders>
              <w:top w:val="nil"/>
              <w:left w:val="nil"/>
              <w:bottom w:val="nil"/>
              <w:right w:val="nil"/>
            </w:tcBorders>
          </w:tcPr>
          <w:p w14:paraId="6E4E4022"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0.6444</w:t>
            </w:r>
          </w:p>
        </w:tc>
        <w:tc>
          <w:tcPr>
            <w:tcW w:w="1549" w:type="dxa"/>
            <w:tcBorders>
              <w:top w:val="nil"/>
              <w:left w:val="nil"/>
              <w:bottom w:val="nil"/>
              <w:right w:val="nil"/>
            </w:tcBorders>
          </w:tcPr>
          <w:p w14:paraId="4AFF3C75"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5.17</w:t>
            </w:r>
          </w:p>
        </w:tc>
        <w:tc>
          <w:tcPr>
            <w:tcW w:w="1430" w:type="dxa"/>
            <w:tcBorders>
              <w:top w:val="nil"/>
              <w:left w:val="nil"/>
              <w:bottom w:val="nil"/>
              <w:right w:val="nil"/>
            </w:tcBorders>
          </w:tcPr>
          <w:p w14:paraId="3CBF21C1"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+90.60%</w:t>
            </w:r>
          </w:p>
        </w:tc>
      </w:tr>
      <w:tr w:rsidR="00490675" w14:paraId="129B4F0D" w14:textId="77777777">
        <w:trPr>
          <w:jc w:val="center"/>
        </w:trPr>
        <w:tc>
          <w:tcPr>
            <w:tcW w:w="893" w:type="dxa"/>
            <w:tcBorders>
              <w:top w:val="nil"/>
              <w:left w:val="nil"/>
              <w:bottom w:val="single" w:sz="12" w:space="0" w:color="auto"/>
              <w:right w:val="nil"/>
            </w:tcBorders>
          </w:tcPr>
          <w:p w14:paraId="1A996A57"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2024</w:t>
            </w:r>
          </w:p>
        </w:tc>
        <w:tc>
          <w:tcPr>
            <w:tcW w:w="1072" w:type="dxa"/>
            <w:tcBorders>
              <w:top w:val="nil"/>
              <w:left w:val="nil"/>
              <w:bottom w:val="single" w:sz="12" w:space="0" w:color="auto"/>
              <w:right w:val="nil"/>
            </w:tcBorders>
          </w:tcPr>
          <w:p w14:paraId="0A914142"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0.5435</w:t>
            </w:r>
          </w:p>
        </w:tc>
        <w:tc>
          <w:tcPr>
            <w:tcW w:w="1192" w:type="dxa"/>
            <w:tcBorders>
              <w:top w:val="nil"/>
              <w:left w:val="nil"/>
              <w:bottom w:val="single" w:sz="12" w:space="0" w:color="auto"/>
              <w:right w:val="nil"/>
            </w:tcBorders>
          </w:tcPr>
          <w:p w14:paraId="0181368E"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0.1056</w:t>
            </w:r>
          </w:p>
        </w:tc>
        <w:tc>
          <w:tcPr>
            <w:tcW w:w="1192" w:type="dxa"/>
            <w:tcBorders>
              <w:top w:val="nil"/>
              <w:left w:val="nil"/>
              <w:bottom w:val="single" w:sz="12" w:space="0" w:color="auto"/>
              <w:right w:val="nil"/>
            </w:tcBorders>
          </w:tcPr>
          <w:p w14:paraId="55169431"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0.4035</w:t>
            </w:r>
          </w:p>
        </w:tc>
        <w:tc>
          <w:tcPr>
            <w:tcW w:w="1192" w:type="dxa"/>
            <w:tcBorders>
              <w:top w:val="nil"/>
              <w:left w:val="nil"/>
              <w:bottom w:val="single" w:sz="12" w:space="0" w:color="auto"/>
              <w:right w:val="nil"/>
            </w:tcBorders>
          </w:tcPr>
          <w:p w14:paraId="5E3FF4E4"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0.6971</w:t>
            </w:r>
          </w:p>
        </w:tc>
        <w:tc>
          <w:tcPr>
            <w:tcW w:w="1549" w:type="dxa"/>
            <w:tcBorders>
              <w:top w:val="nil"/>
              <w:left w:val="nil"/>
              <w:bottom w:val="single" w:sz="12" w:space="0" w:color="auto"/>
              <w:right w:val="nil"/>
            </w:tcBorders>
          </w:tcPr>
          <w:p w14:paraId="56A2B302"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6.40</w:t>
            </w:r>
          </w:p>
        </w:tc>
        <w:tc>
          <w:tcPr>
            <w:tcW w:w="1430" w:type="dxa"/>
            <w:tcBorders>
              <w:top w:val="nil"/>
              <w:left w:val="nil"/>
              <w:bottom w:val="single" w:sz="12" w:space="0" w:color="auto"/>
              <w:right w:val="nil"/>
            </w:tcBorders>
          </w:tcPr>
          <w:p w14:paraId="3ABA27F2"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+102.80%</w:t>
            </w:r>
          </w:p>
        </w:tc>
      </w:tr>
    </w:tbl>
    <w:p w14:paraId="6B345AEB" w14:textId="77777777" w:rsidR="00490675" w:rsidRDefault="00490675">
      <w:pPr>
        <w:widowControl/>
        <w:topLinePunct/>
        <w:rPr>
          <w:rFonts w:ascii="Arial" w:hAnsi="Arial" w:cs="Arial"/>
          <w:sz w:val="20"/>
          <w:szCs w:val="20"/>
        </w:rPr>
      </w:pPr>
    </w:p>
    <w:p w14:paraId="5290E839" w14:textId="77777777" w:rsidR="00490675" w:rsidRDefault="009B469C">
      <w:pPr>
        <w:widowControl/>
        <w:topLinePunct/>
        <w:rPr>
          <w:rFonts w:ascii="Arial" w:hAnsi="Arial" w:cs="Arial"/>
          <w:sz w:val="20"/>
          <w:szCs w:val="20"/>
        </w:rPr>
      </w:pPr>
      <w:r>
        <w:rPr>
          <w:rFonts w:ascii="Arial" w:hAnsi="Arial" w:cs="Arial"/>
          <w:sz w:val="20"/>
          <w:szCs w:val="20"/>
        </w:rPr>
        <w:t xml:space="preserve">The growth rate exhibited a pattern of three peaks </w:t>
      </w:r>
      <w:r>
        <w:rPr>
          <w:rFonts w:ascii="Arial" w:hAnsi="Arial" w:cs="Arial"/>
          <w:sz w:val="20"/>
          <w:szCs w:val="20"/>
        </w:rPr>
        <w:t>and two troughs. In 2017, the growth rate reached its first peak at 10.21%, coinciding with the launch of policies to revitalize rural industries; in 2020, the growth rate fell to 2.25%, likely due to the impact of the global public health crisis. Conseque</w:t>
      </w:r>
      <w:r>
        <w:rPr>
          <w:rFonts w:ascii="Arial" w:hAnsi="Arial" w:cs="Arial"/>
          <w:sz w:val="20"/>
          <w:szCs w:val="20"/>
        </w:rPr>
        <w:t>ntly, the rural industrial revitalization in Jiangsu Province from 2013 to 2024 can be divided into three phases: the Initial Exploration Phase (2013–2016), during which momentum for rural industrial revitalization was accumulated, with an average annual g</w:t>
      </w:r>
      <w:r>
        <w:rPr>
          <w:rFonts w:ascii="Arial" w:hAnsi="Arial" w:cs="Arial"/>
          <w:sz w:val="20"/>
          <w:szCs w:val="20"/>
        </w:rPr>
        <w:t xml:space="preserve">rowth rate of 7.53% but significant fluctuations; the Accelerated Growth Phase (2017–2020), a period of comprehensive advancement of rural industrial revitalization, with an average </w:t>
      </w:r>
      <w:r>
        <w:rPr>
          <w:rFonts w:ascii="Arial" w:hAnsi="Arial" w:cs="Arial"/>
          <w:sz w:val="20"/>
          <w:szCs w:val="20"/>
        </w:rPr>
        <w:lastRenderedPageBreak/>
        <w:t>annual growth rate of 4.87%; High-Quality Advancement Phase (2021–2024), c</w:t>
      </w:r>
      <w:r>
        <w:rPr>
          <w:rFonts w:ascii="Arial" w:hAnsi="Arial" w:cs="Arial"/>
          <w:sz w:val="20"/>
          <w:szCs w:val="20"/>
        </w:rPr>
        <w:t>haracterized by an average annual growth rate of 5.55% with diminishing volatility. This indicates that development during this phase prioritizes both quality and efficiency, with growth momentum shifting from policy-driven to endogenous-driven.</w:t>
      </w:r>
    </w:p>
    <w:p w14:paraId="1C29C07B" w14:textId="77777777" w:rsidR="00490675" w:rsidRDefault="009B469C">
      <w:pPr>
        <w:widowControl/>
        <w:topLinePunct/>
        <w:rPr>
          <w:rFonts w:ascii="Times New Roman" w:hAnsi="Times New Roman" w:cs="Times New Roman"/>
          <w:bCs/>
          <w:sz w:val="24"/>
        </w:rPr>
      </w:pPr>
      <w:r>
        <w:rPr>
          <w:rFonts w:ascii="Times New Roman" w:hAnsi="Times New Roman" w:cs="Times New Roman"/>
          <w:bCs/>
          <w:noProof/>
          <w:sz w:val="24"/>
        </w:rPr>
        <w:drawing>
          <wp:inline distT="0" distB="0" distL="114300" distR="114300" wp14:anchorId="71260A0C" wp14:editId="5B5C6CC3">
            <wp:extent cx="5266690" cy="3403600"/>
            <wp:effectExtent l="0" t="0" r="635" b="6350"/>
            <wp:docPr id="7" name="图片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
                    <pic:cNvPicPr>
                      <a:picLocks noChangeAspect="1"/>
                    </pic:cNvPicPr>
                  </pic:nvPicPr>
                  <pic:blipFill>
                    <a:blip r:embed="rId7"/>
                    <a:stretch>
                      <a:fillRect/>
                    </a:stretch>
                  </pic:blipFill>
                  <pic:spPr>
                    <a:xfrm>
                      <a:off x="0" y="0"/>
                      <a:ext cx="5266690" cy="3403600"/>
                    </a:xfrm>
                    <a:prstGeom prst="rect">
                      <a:avLst/>
                    </a:prstGeom>
                  </pic:spPr>
                </pic:pic>
              </a:graphicData>
            </a:graphic>
          </wp:inline>
        </w:drawing>
      </w:r>
    </w:p>
    <w:p w14:paraId="08C9E622" w14:textId="77777777" w:rsidR="00490675" w:rsidRDefault="009B469C">
      <w:pPr>
        <w:widowControl/>
        <w:topLinePunct/>
        <w:rPr>
          <w:rFonts w:ascii="Arial" w:hAnsi="Arial" w:cs="Arial"/>
          <w:b/>
          <w:bCs/>
          <w:sz w:val="20"/>
          <w:szCs w:val="20"/>
        </w:rPr>
      </w:pPr>
      <w:r>
        <w:rPr>
          <w:rFonts w:ascii="Arial" w:hAnsi="Arial" w:cs="Arial"/>
          <w:b/>
          <w:bCs/>
          <w:sz w:val="20"/>
          <w:szCs w:val="20"/>
        </w:rPr>
        <w:t xml:space="preserve">Fig. </w:t>
      </w:r>
      <w:r>
        <w:rPr>
          <w:rFonts w:ascii="Arial" w:hAnsi="Arial" w:cs="Arial" w:hint="eastAsia"/>
          <w:b/>
          <w:bCs/>
          <w:sz w:val="20"/>
          <w:szCs w:val="20"/>
        </w:rPr>
        <w:t>2</w:t>
      </w:r>
      <w:r>
        <w:rPr>
          <w:rFonts w:ascii="Arial" w:hAnsi="Arial" w:cs="Arial"/>
          <w:b/>
          <w:bCs/>
          <w:sz w:val="20"/>
          <w:szCs w:val="20"/>
        </w:rPr>
        <w:t>.</w:t>
      </w:r>
      <w:r>
        <w:rPr>
          <w:rFonts w:ascii="Arial" w:hAnsi="Arial" w:cs="Arial" w:hint="eastAsia"/>
          <w:b/>
          <w:bCs/>
          <w:sz w:val="20"/>
          <w:szCs w:val="20"/>
        </w:rPr>
        <w:t xml:space="preserve"> </w:t>
      </w:r>
      <w:r>
        <w:rPr>
          <w:rFonts w:ascii="Arial" w:hAnsi="Arial" w:cs="Arial"/>
          <w:b/>
          <w:bCs/>
          <w:sz w:val="20"/>
          <w:szCs w:val="20"/>
        </w:rPr>
        <w:t>Temporal Evolution of Rural Industry Revitalization Level in Jiangsu Province (2013-20</w:t>
      </w:r>
      <w:r>
        <w:rPr>
          <w:rFonts w:ascii="Arial" w:hAnsi="Arial" w:cs="Arial" w:hint="eastAsia"/>
          <w:b/>
          <w:bCs/>
          <w:sz w:val="20"/>
          <w:szCs w:val="20"/>
        </w:rPr>
        <w:t>2</w:t>
      </w:r>
      <w:r>
        <w:rPr>
          <w:rFonts w:ascii="Arial" w:hAnsi="Arial" w:cs="Arial"/>
          <w:b/>
          <w:bCs/>
          <w:sz w:val="20"/>
          <w:szCs w:val="20"/>
        </w:rPr>
        <w:t>4)</w:t>
      </w:r>
    </w:p>
    <w:p w14:paraId="448E69B6" w14:textId="77777777" w:rsidR="00490675" w:rsidRDefault="00490675">
      <w:pPr>
        <w:widowControl/>
        <w:topLinePunct/>
        <w:rPr>
          <w:rFonts w:ascii="Arial" w:hAnsi="Arial" w:cs="Arial"/>
          <w:sz w:val="20"/>
          <w:szCs w:val="20"/>
        </w:rPr>
      </w:pPr>
    </w:p>
    <w:p w14:paraId="267A5046" w14:textId="77777777" w:rsidR="00490675" w:rsidRDefault="009B469C">
      <w:pPr>
        <w:widowControl/>
        <w:topLinePunct/>
        <w:rPr>
          <w:rFonts w:ascii="Arial" w:hAnsi="Arial" w:cs="Arial"/>
          <w:sz w:val="20"/>
          <w:szCs w:val="20"/>
        </w:rPr>
      </w:pPr>
      <w:r>
        <w:rPr>
          <w:rFonts w:ascii="Arial" w:hAnsi="Arial" w:cs="Arial"/>
          <w:sz w:val="20"/>
          <w:szCs w:val="20"/>
        </w:rPr>
        <w:t>By region, the rural industrial revitalization index for all three major regions showed an upward trend from 2013 to 2024. The Southern Jiangsu region has consistent</w:t>
      </w:r>
      <w:r>
        <w:rPr>
          <w:rFonts w:ascii="Arial" w:hAnsi="Arial" w:cs="Arial"/>
          <w:sz w:val="20"/>
          <w:szCs w:val="20"/>
        </w:rPr>
        <w:t>ly led in terms of rural industrial revitalization, though its growth rate has slowed in recent years. Compared to Southern Jiangsu, the Northern Jiangsu region lags behind in rural industrial revitalization but has experienced faster growth. Further analy</w:t>
      </w:r>
      <w:r>
        <w:rPr>
          <w:rFonts w:ascii="Arial" w:hAnsi="Arial" w:cs="Arial"/>
          <w:sz w:val="20"/>
          <w:szCs w:val="20"/>
        </w:rPr>
        <w:t>sis reveals that the level of rural industrial revitalization in Jiangsu Province aligns with the economic development levels of each region. The Southern Jiangsu region has consistently maintained the highest average level of rural industrial revitalizati</w:t>
      </w:r>
      <w:r>
        <w:rPr>
          <w:rFonts w:ascii="Arial" w:hAnsi="Arial" w:cs="Arial"/>
          <w:sz w:val="20"/>
          <w:szCs w:val="20"/>
        </w:rPr>
        <w:t>on over the years; in terms of growth rate, the Northern Jiangsu region ranks first, followed by the Central Jiangsu and Southern Jiangsu regions. In terms of rankings for both average levels and growth rates, the Northern Jiangsu region, despite ranking l</w:t>
      </w:r>
      <w:r>
        <w:rPr>
          <w:rFonts w:ascii="Arial" w:hAnsi="Arial" w:cs="Arial"/>
          <w:sz w:val="20"/>
          <w:szCs w:val="20"/>
        </w:rPr>
        <w:t>ower, possesses a late-mover advantage; the Central Jiangsu region ranks in the middle for both average levels and growth rates; while the Southern Jiangsu region leads in average levels, its growth rate lags behind that of other regions.</w:t>
      </w:r>
    </w:p>
    <w:p w14:paraId="3D664926" w14:textId="77777777" w:rsidR="00490675" w:rsidRDefault="009B469C">
      <w:pPr>
        <w:widowControl/>
        <w:topLinePunct/>
        <w:spacing w:line="480" w:lineRule="auto"/>
        <w:rPr>
          <w:rFonts w:ascii="Arial" w:hAnsi="Arial"/>
          <w:b/>
          <w:sz w:val="20"/>
          <w:szCs w:val="20"/>
        </w:rPr>
      </w:pPr>
      <w:r>
        <w:rPr>
          <w:rFonts w:ascii="Arial" w:hAnsi="Arial"/>
          <w:b/>
          <w:sz w:val="20"/>
          <w:szCs w:val="20"/>
        </w:rPr>
        <w:t xml:space="preserve">Table </w:t>
      </w:r>
      <w:r>
        <w:rPr>
          <w:rFonts w:ascii="Arial" w:hAnsi="Arial" w:hint="eastAsia"/>
          <w:b/>
          <w:sz w:val="20"/>
          <w:szCs w:val="20"/>
        </w:rPr>
        <w:t>3</w:t>
      </w:r>
      <w:r>
        <w:rPr>
          <w:rFonts w:ascii="Arial" w:hAnsi="Arial"/>
          <w:b/>
          <w:sz w:val="20"/>
          <w:szCs w:val="20"/>
        </w:rPr>
        <w:t>.</w:t>
      </w:r>
      <w:r>
        <w:rPr>
          <w:rFonts w:ascii="Arial" w:hAnsi="Arial" w:hint="eastAsia"/>
          <w:b/>
          <w:sz w:val="20"/>
          <w:szCs w:val="20"/>
        </w:rPr>
        <w:t xml:space="preserve"> </w:t>
      </w:r>
      <w:r>
        <w:rPr>
          <w:rFonts w:ascii="Arial" w:hAnsi="Arial"/>
          <w:b/>
          <w:sz w:val="20"/>
          <w:szCs w:val="20"/>
        </w:rPr>
        <w:t>Regional</w:t>
      </w:r>
      <w:r>
        <w:rPr>
          <w:rFonts w:ascii="Arial" w:hAnsi="Arial"/>
          <w:b/>
          <w:sz w:val="20"/>
          <w:szCs w:val="20"/>
        </w:rPr>
        <w:t xml:space="preserve"> Ranking of Rural Industry Revitalization in Jiangsu Province: Mean Index and Growth Rate</w:t>
      </w:r>
    </w:p>
    <w:tbl>
      <w:tblPr>
        <w:tblStyle w:val="TableGrid"/>
        <w:tblW w:w="8232" w:type="dxa"/>
        <w:tblInd w:w="134" w:type="dxa"/>
        <w:tblLook w:val="04A0" w:firstRow="1" w:lastRow="0" w:firstColumn="1" w:lastColumn="0" w:noHBand="0" w:noVBand="1"/>
      </w:tblPr>
      <w:tblGrid>
        <w:gridCol w:w="1164"/>
        <w:gridCol w:w="924"/>
        <w:gridCol w:w="1512"/>
        <w:gridCol w:w="1596"/>
        <w:gridCol w:w="1680"/>
        <w:gridCol w:w="1356"/>
      </w:tblGrid>
      <w:tr w:rsidR="00490675" w14:paraId="72B2F3F6" w14:textId="77777777">
        <w:trPr>
          <w:tblHeader/>
        </w:trPr>
        <w:tc>
          <w:tcPr>
            <w:tcW w:w="1164" w:type="dxa"/>
            <w:tcBorders>
              <w:top w:val="single" w:sz="12" w:space="0" w:color="auto"/>
              <w:left w:val="nil"/>
              <w:bottom w:val="single" w:sz="4" w:space="0" w:color="auto"/>
              <w:right w:val="nil"/>
            </w:tcBorders>
            <w:vAlign w:val="center"/>
          </w:tcPr>
          <w:p w14:paraId="181107BB" w14:textId="77777777" w:rsidR="00490675" w:rsidRDefault="009B469C">
            <w:pPr>
              <w:pStyle w:val="a"/>
              <w:adjustRightInd w:val="0"/>
              <w:snapToGrid w:val="0"/>
              <w:spacing w:line="480" w:lineRule="auto"/>
              <w:ind w:firstLineChars="0" w:firstLine="0"/>
              <w:rPr>
                <w:rFonts w:ascii="Arial" w:eastAsiaTheme="minorEastAsia" w:hAnsi="Arial" w:cs="Arial"/>
                <w:b/>
                <w:bCs/>
                <w:kern w:val="2"/>
                <w:sz w:val="20"/>
              </w:rPr>
            </w:pPr>
            <w:r>
              <w:rPr>
                <w:rFonts w:ascii="Arial" w:eastAsiaTheme="minorEastAsia" w:hAnsi="Arial" w:cs="Arial" w:hint="eastAsia"/>
                <w:b/>
                <w:bCs/>
                <w:kern w:val="2"/>
                <w:sz w:val="20"/>
              </w:rPr>
              <w:lastRenderedPageBreak/>
              <w:t>Region</w:t>
            </w:r>
          </w:p>
        </w:tc>
        <w:tc>
          <w:tcPr>
            <w:tcW w:w="924" w:type="dxa"/>
            <w:tcBorders>
              <w:top w:val="single" w:sz="12" w:space="0" w:color="auto"/>
              <w:left w:val="nil"/>
              <w:bottom w:val="single" w:sz="4" w:space="0" w:color="auto"/>
              <w:right w:val="nil"/>
            </w:tcBorders>
            <w:vAlign w:val="center"/>
          </w:tcPr>
          <w:p w14:paraId="60624B00" w14:textId="77777777" w:rsidR="00490675" w:rsidRDefault="009B469C">
            <w:pPr>
              <w:pStyle w:val="a"/>
              <w:adjustRightInd w:val="0"/>
              <w:snapToGrid w:val="0"/>
              <w:spacing w:line="480" w:lineRule="auto"/>
              <w:ind w:firstLineChars="0" w:firstLine="0"/>
              <w:rPr>
                <w:rFonts w:ascii="Arial" w:eastAsiaTheme="minorEastAsia" w:hAnsi="Arial" w:cs="Arial"/>
                <w:b/>
                <w:bCs/>
                <w:kern w:val="2"/>
                <w:sz w:val="20"/>
              </w:rPr>
            </w:pPr>
            <w:r>
              <w:rPr>
                <w:rFonts w:ascii="Arial" w:eastAsiaTheme="minorEastAsia" w:hAnsi="Arial" w:cs="Arial" w:hint="eastAsia"/>
                <w:b/>
                <w:bCs/>
                <w:kern w:val="2"/>
                <w:sz w:val="20"/>
              </w:rPr>
              <w:t>Mean</w:t>
            </w:r>
          </w:p>
        </w:tc>
        <w:tc>
          <w:tcPr>
            <w:tcW w:w="1512" w:type="dxa"/>
            <w:tcBorders>
              <w:top w:val="single" w:sz="12" w:space="0" w:color="auto"/>
              <w:left w:val="nil"/>
              <w:bottom w:val="single" w:sz="4" w:space="0" w:color="auto"/>
              <w:right w:val="nil"/>
            </w:tcBorders>
            <w:vAlign w:val="center"/>
          </w:tcPr>
          <w:p w14:paraId="35E43670" w14:textId="77777777" w:rsidR="00490675" w:rsidRDefault="009B469C">
            <w:pPr>
              <w:pStyle w:val="a"/>
              <w:adjustRightInd w:val="0"/>
              <w:snapToGrid w:val="0"/>
              <w:spacing w:line="480" w:lineRule="auto"/>
              <w:ind w:firstLineChars="0" w:firstLine="0"/>
              <w:rPr>
                <w:rFonts w:ascii="Arial" w:eastAsiaTheme="minorEastAsia" w:hAnsi="Arial" w:cs="Arial"/>
                <w:b/>
                <w:bCs/>
                <w:kern w:val="2"/>
                <w:sz w:val="20"/>
              </w:rPr>
            </w:pPr>
            <w:r>
              <w:rPr>
                <w:rFonts w:ascii="Arial" w:eastAsiaTheme="minorEastAsia" w:hAnsi="Arial" w:cs="Arial" w:hint="eastAsia"/>
                <w:b/>
                <w:bCs/>
                <w:kern w:val="2"/>
                <w:sz w:val="20"/>
              </w:rPr>
              <w:t>Growth Rate</w:t>
            </w:r>
          </w:p>
          <w:p w14:paraId="0F092EB2" w14:textId="77777777" w:rsidR="00490675" w:rsidRDefault="009B469C">
            <w:pPr>
              <w:pStyle w:val="a"/>
              <w:adjustRightInd w:val="0"/>
              <w:snapToGrid w:val="0"/>
              <w:spacing w:line="480" w:lineRule="auto"/>
              <w:ind w:firstLineChars="0" w:firstLine="0"/>
              <w:rPr>
                <w:rFonts w:ascii="Arial" w:eastAsiaTheme="minorEastAsia" w:hAnsi="Arial" w:cs="Arial"/>
                <w:b/>
                <w:bCs/>
                <w:kern w:val="2"/>
                <w:sz w:val="20"/>
              </w:rPr>
            </w:pPr>
            <w:r>
              <w:rPr>
                <w:rFonts w:ascii="Arial" w:eastAsiaTheme="minorEastAsia" w:hAnsi="Arial" w:cs="Arial" w:hint="eastAsia"/>
                <w:b/>
                <w:bCs/>
                <w:kern w:val="2"/>
                <w:sz w:val="20"/>
              </w:rPr>
              <w:t>(%)</w:t>
            </w:r>
          </w:p>
        </w:tc>
        <w:tc>
          <w:tcPr>
            <w:tcW w:w="1596" w:type="dxa"/>
            <w:tcBorders>
              <w:top w:val="single" w:sz="12" w:space="0" w:color="auto"/>
              <w:left w:val="nil"/>
              <w:bottom w:val="single" w:sz="4" w:space="0" w:color="auto"/>
              <w:right w:val="nil"/>
            </w:tcBorders>
            <w:vAlign w:val="center"/>
          </w:tcPr>
          <w:p w14:paraId="6E512B7E" w14:textId="77777777" w:rsidR="00490675" w:rsidRDefault="009B469C">
            <w:pPr>
              <w:pStyle w:val="a"/>
              <w:adjustRightInd w:val="0"/>
              <w:snapToGrid w:val="0"/>
              <w:spacing w:line="480" w:lineRule="auto"/>
              <w:ind w:firstLineChars="0" w:firstLine="0"/>
              <w:rPr>
                <w:rFonts w:ascii="Arial" w:eastAsiaTheme="minorEastAsia" w:hAnsi="Arial" w:cs="Arial"/>
                <w:b/>
                <w:bCs/>
                <w:kern w:val="2"/>
                <w:sz w:val="20"/>
              </w:rPr>
            </w:pPr>
            <w:r>
              <w:rPr>
                <w:rFonts w:ascii="Arial" w:eastAsiaTheme="minorEastAsia" w:hAnsi="Arial" w:cs="Arial" w:hint="eastAsia"/>
                <w:b/>
                <w:bCs/>
                <w:kern w:val="2"/>
                <w:sz w:val="20"/>
              </w:rPr>
              <w:t>Rank by mean</w:t>
            </w:r>
          </w:p>
        </w:tc>
        <w:tc>
          <w:tcPr>
            <w:tcW w:w="1680" w:type="dxa"/>
            <w:tcBorders>
              <w:top w:val="single" w:sz="12" w:space="0" w:color="auto"/>
              <w:left w:val="nil"/>
              <w:bottom w:val="single" w:sz="4" w:space="0" w:color="auto"/>
              <w:right w:val="nil"/>
            </w:tcBorders>
            <w:vAlign w:val="center"/>
          </w:tcPr>
          <w:p w14:paraId="3AFE6FE5" w14:textId="77777777" w:rsidR="00490675" w:rsidRDefault="009B469C">
            <w:pPr>
              <w:pStyle w:val="a"/>
              <w:adjustRightInd w:val="0"/>
              <w:snapToGrid w:val="0"/>
              <w:spacing w:line="480" w:lineRule="auto"/>
              <w:ind w:firstLineChars="0" w:firstLine="0"/>
              <w:rPr>
                <w:rFonts w:ascii="Arial" w:eastAsiaTheme="minorEastAsia" w:hAnsi="Arial" w:cs="Arial"/>
                <w:b/>
                <w:bCs/>
                <w:kern w:val="2"/>
                <w:sz w:val="20"/>
              </w:rPr>
            </w:pPr>
            <w:r>
              <w:rPr>
                <w:rFonts w:ascii="Arial" w:eastAsiaTheme="minorEastAsia" w:hAnsi="Arial" w:cs="Arial" w:hint="eastAsia"/>
                <w:b/>
                <w:bCs/>
                <w:kern w:val="2"/>
                <w:sz w:val="20"/>
              </w:rPr>
              <w:t xml:space="preserve">Growth Rate Ranking </w:t>
            </w:r>
          </w:p>
        </w:tc>
        <w:tc>
          <w:tcPr>
            <w:tcW w:w="1356" w:type="dxa"/>
            <w:tcBorders>
              <w:top w:val="single" w:sz="12" w:space="0" w:color="auto"/>
              <w:left w:val="nil"/>
              <w:bottom w:val="single" w:sz="4" w:space="0" w:color="auto"/>
              <w:right w:val="nil"/>
            </w:tcBorders>
            <w:vAlign w:val="center"/>
          </w:tcPr>
          <w:p w14:paraId="4E17660E" w14:textId="77777777" w:rsidR="00490675" w:rsidRDefault="009B469C">
            <w:pPr>
              <w:pStyle w:val="a"/>
              <w:adjustRightInd w:val="0"/>
              <w:snapToGrid w:val="0"/>
              <w:spacing w:line="480" w:lineRule="auto"/>
              <w:ind w:firstLineChars="0" w:firstLine="0"/>
              <w:rPr>
                <w:rFonts w:ascii="Arial" w:eastAsiaTheme="minorEastAsia" w:hAnsi="Arial" w:cs="Arial"/>
                <w:b/>
                <w:bCs/>
                <w:kern w:val="2"/>
                <w:sz w:val="20"/>
              </w:rPr>
            </w:pPr>
            <w:r>
              <w:rPr>
                <w:rFonts w:ascii="Arial" w:eastAsiaTheme="minorEastAsia" w:hAnsi="Arial" w:cs="Arial" w:hint="eastAsia"/>
                <w:b/>
                <w:bCs/>
                <w:kern w:val="2"/>
                <w:sz w:val="20"/>
              </w:rPr>
              <w:t>Change</w:t>
            </w:r>
          </w:p>
        </w:tc>
      </w:tr>
      <w:tr w:rsidR="00490675" w14:paraId="7A36CB0E" w14:textId="77777777">
        <w:tc>
          <w:tcPr>
            <w:tcW w:w="1164" w:type="dxa"/>
            <w:tcBorders>
              <w:top w:val="single" w:sz="4" w:space="0" w:color="auto"/>
              <w:left w:val="nil"/>
              <w:bottom w:val="nil"/>
              <w:right w:val="nil"/>
            </w:tcBorders>
            <w:vAlign w:val="center"/>
          </w:tcPr>
          <w:p w14:paraId="56460C24"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Southern Jiangsu</w:t>
            </w:r>
          </w:p>
        </w:tc>
        <w:tc>
          <w:tcPr>
            <w:tcW w:w="924" w:type="dxa"/>
            <w:tcBorders>
              <w:top w:val="single" w:sz="4" w:space="0" w:color="auto"/>
              <w:left w:val="nil"/>
              <w:bottom w:val="nil"/>
              <w:right w:val="nil"/>
            </w:tcBorders>
            <w:vAlign w:val="center"/>
          </w:tcPr>
          <w:p w14:paraId="584CB0F2"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0.4925</w:t>
            </w:r>
          </w:p>
        </w:tc>
        <w:tc>
          <w:tcPr>
            <w:tcW w:w="1512" w:type="dxa"/>
            <w:tcBorders>
              <w:top w:val="single" w:sz="4" w:space="0" w:color="auto"/>
              <w:left w:val="nil"/>
              <w:bottom w:val="nil"/>
              <w:right w:val="nil"/>
            </w:tcBorders>
            <w:vAlign w:val="center"/>
          </w:tcPr>
          <w:p w14:paraId="112D1506"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0.7869</w:t>
            </w:r>
          </w:p>
        </w:tc>
        <w:tc>
          <w:tcPr>
            <w:tcW w:w="1596" w:type="dxa"/>
            <w:tcBorders>
              <w:top w:val="single" w:sz="4" w:space="0" w:color="auto"/>
              <w:left w:val="nil"/>
              <w:bottom w:val="nil"/>
              <w:right w:val="nil"/>
            </w:tcBorders>
            <w:vAlign w:val="center"/>
          </w:tcPr>
          <w:p w14:paraId="098C4A3F"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1</w:t>
            </w:r>
          </w:p>
        </w:tc>
        <w:tc>
          <w:tcPr>
            <w:tcW w:w="1680" w:type="dxa"/>
            <w:tcBorders>
              <w:top w:val="single" w:sz="4" w:space="0" w:color="auto"/>
              <w:left w:val="nil"/>
              <w:bottom w:val="nil"/>
              <w:right w:val="nil"/>
            </w:tcBorders>
            <w:vAlign w:val="center"/>
          </w:tcPr>
          <w:p w14:paraId="6608F5CD"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3</w:t>
            </w:r>
          </w:p>
        </w:tc>
        <w:tc>
          <w:tcPr>
            <w:tcW w:w="1356" w:type="dxa"/>
            <w:tcBorders>
              <w:top w:val="single" w:sz="4" w:space="0" w:color="auto"/>
              <w:left w:val="nil"/>
              <w:bottom w:val="nil"/>
              <w:right w:val="nil"/>
            </w:tcBorders>
            <w:vAlign w:val="center"/>
          </w:tcPr>
          <w:p w14:paraId="00CAAC0B"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w:t>
            </w:r>
          </w:p>
        </w:tc>
      </w:tr>
      <w:tr w:rsidR="00490675" w14:paraId="37D5AF91" w14:textId="77777777">
        <w:tc>
          <w:tcPr>
            <w:tcW w:w="1164" w:type="dxa"/>
            <w:tcBorders>
              <w:top w:val="nil"/>
              <w:left w:val="nil"/>
              <w:bottom w:val="nil"/>
              <w:right w:val="nil"/>
            </w:tcBorders>
            <w:vAlign w:val="center"/>
          </w:tcPr>
          <w:p w14:paraId="2318C69C"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 xml:space="preserve">Central </w:t>
            </w:r>
          </w:p>
          <w:p w14:paraId="08880AB1"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Jiangsu</w:t>
            </w:r>
          </w:p>
        </w:tc>
        <w:tc>
          <w:tcPr>
            <w:tcW w:w="924" w:type="dxa"/>
            <w:tcBorders>
              <w:top w:val="nil"/>
              <w:left w:val="nil"/>
              <w:bottom w:val="nil"/>
              <w:right w:val="nil"/>
            </w:tcBorders>
            <w:vAlign w:val="center"/>
          </w:tcPr>
          <w:p w14:paraId="660EEEBB"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0.3588</w:t>
            </w:r>
          </w:p>
        </w:tc>
        <w:tc>
          <w:tcPr>
            <w:tcW w:w="1512" w:type="dxa"/>
            <w:tcBorders>
              <w:top w:val="nil"/>
              <w:left w:val="nil"/>
              <w:bottom w:val="nil"/>
              <w:right w:val="nil"/>
            </w:tcBorders>
            <w:vAlign w:val="center"/>
          </w:tcPr>
          <w:p w14:paraId="65E9723E"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1.2148</w:t>
            </w:r>
          </w:p>
        </w:tc>
        <w:tc>
          <w:tcPr>
            <w:tcW w:w="1596" w:type="dxa"/>
            <w:tcBorders>
              <w:top w:val="nil"/>
              <w:left w:val="nil"/>
              <w:bottom w:val="nil"/>
              <w:right w:val="nil"/>
            </w:tcBorders>
            <w:vAlign w:val="center"/>
          </w:tcPr>
          <w:p w14:paraId="47D0AD75"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w:t>
            </w:r>
          </w:p>
        </w:tc>
        <w:tc>
          <w:tcPr>
            <w:tcW w:w="1680" w:type="dxa"/>
            <w:tcBorders>
              <w:top w:val="nil"/>
              <w:left w:val="nil"/>
              <w:bottom w:val="nil"/>
              <w:right w:val="nil"/>
            </w:tcBorders>
            <w:vAlign w:val="center"/>
          </w:tcPr>
          <w:p w14:paraId="2B9B41CA"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w:t>
            </w:r>
          </w:p>
        </w:tc>
        <w:tc>
          <w:tcPr>
            <w:tcW w:w="1356" w:type="dxa"/>
            <w:tcBorders>
              <w:top w:val="nil"/>
              <w:left w:val="nil"/>
              <w:bottom w:val="nil"/>
              <w:right w:val="nil"/>
            </w:tcBorders>
            <w:vAlign w:val="center"/>
          </w:tcPr>
          <w:p w14:paraId="7E37A584"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w:t>
            </w:r>
          </w:p>
        </w:tc>
      </w:tr>
      <w:tr w:rsidR="00490675" w14:paraId="51D9FFAF" w14:textId="77777777">
        <w:tc>
          <w:tcPr>
            <w:tcW w:w="1164" w:type="dxa"/>
            <w:tcBorders>
              <w:top w:val="nil"/>
              <w:left w:val="nil"/>
              <w:bottom w:val="single" w:sz="12" w:space="0" w:color="auto"/>
              <w:right w:val="nil"/>
            </w:tcBorders>
            <w:vAlign w:val="center"/>
          </w:tcPr>
          <w:p w14:paraId="1BBD15D6"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Northern Jiangsu</w:t>
            </w:r>
          </w:p>
        </w:tc>
        <w:tc>
          <w:tcPr>
            <w:tcW w:w="924" w:type="dxa"/>
            <w:tcBorders>
              <w:top w:val="nil"/>
              <w:left w:val="nil"/>
              <w:bottom w:val="single" w:sz="12" w:space="0" w:color="auto"/>
              <w:right w:val="nil"/>
            </w:tcBorders>
            <w:vAlign w:val="center"/>
          </w:tcPr>
          <w:p w14:paraId="3FFB6325"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0.3320</w:t>
            </w:r>
          </w:p>
        </w:tc>
        <w:tc>
          <w:tcPr>
            <w:tcW w:w="1512" w:type="dxa"/>
            <w:tcBorders>
              <w:top w:val="nil"/>
              <w:left w:val="nil"/>
              <w:bottom w:val="single" w:sz="12" w:space="0" w:color="auto"/>
              <w:right w:val="nil"/>
            </w:tcBorders>
            <w:vAlign w:val="center"/>
          </w:tcPr>
          <w:p w14:paraId="2A176952"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1.3248</w:t>
            </w:r>
          </w:p>
        </w:tc>
        <w:tc>
          <w:tcPr>
            <w:tcW w:w="1596" w:type="dxa"/>
            <w:tcBorders>
              <w:top w:val="nil"/>
              <w:left w:val="nil"/>
              <w:bottom w:val="single" w:sz="12" w:space="0" w:color="auto"/>
              <w:right w:val="nil"/>
            </w:tcBorders>
            <w:vAlign w:val="center"/>
          </w:tcPr>
          <w:p w14:paraId="5F303153"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3</w:t>
            </w:r>
          </w:p>
        </w:tc>
        <w:tc>
          <w:tcPr>
            <w:tcW w:w="1680" w:type="dxa"/>
            <w:tcBorders>
              <w:top w:val="nil"/>
              <w:left w:val="nil"/>
              <w:bottom w:val="single" w:sz="12" w:space="0" w:color="auto"/>
              <w:right w:val="nil"/>
            </w:tcBorders>
            <w:vAlign w:val="center"/>
          </w:tcPr>
          <w:p w14:paraId="56E12261"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1</w:t>
            </w:r>
          </w:p>
        </w:tc>
        <w:tc>
          <w:tcPr>
            <w:tcW w:w="1356" w:type="dxa"/>
            <w:tcBorders>
              <w:top w:val="nil"/>
              <w:left w:val="nil"/>
              <w:bottom w:val="single" w:sz="12" w:space="0" w:color="auto"/>
              <w:right w:val="nil"/>
            </w:tcBorders>
            <w:vAlign w:val="center"/>
          </w:tcPr>
          <w:p w14:paraId="15F0CC4A"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w:t>
            </w:r>
          </w:p>
        </w:tc>
      </w:tr>
    </w:tbl>
    <w:p w14:paraId="3332BD62" w14:textId="77777777" w:rsidR="00490675" w:rsidRDefault="00490675">
      <w:pPr>
        <w:widowControl/>
        <w:topLinePunct/>
        <w:rPr>
          <w:rFonts w:ascii="Arial" w:hAnsi="Arial"/>
          <w:b/>
          <w:sz w:val="22"/>
          <w:szCs w:val="22"/>
        </w:rPr>
      </w:pPr>
    </w:p>
    <w:p w14:paraId="3C982627" w14:textId="77777777" w:rsidR="00490675" w:rsidRDefault="009B469C">
      <w:pPr>
        <w:widowControl/>
        <w:topLinePunct/>
        <w:rPr>
          <w:rFonts w:ascii="Arial" w:hAnsi="Arial"/>
          <w:b/>
        </w:rPr>
      </w:pPr>
      <w:r>
        <w:rPr>
          <w:rFonts w:ascii="Arial" w:hAnsi="Arial"/>
          <w:b/>
          <w:sz w:val="22"/>
          <w:szCs w:val="22"/>
        </w:rPr>
        <w:t>3.2 Spatial Distribution Characteristics</w:t>
      </w:r>
    </w:p>
    <w:p w14:paraId="33FC7FEF" w14:textId="77777777" w:rsidR="00490675" w:rsidRDefault="00490675">
      <w:pPr>
        <w:widowControl/>
        <w:topLinePunct/>
        <w:rPr>
          <w:rFonts w:ascii="Arial" w:hAnsi="Arial" w:cs="Arial"/>
          <w:sz w:val="20"/>
          <w:szCs w:val="20"/>
        </w:rPr>
      </w:pPr>
    </w:p>
    <w:p w14:paraId="78C4BE86" w14:textId="77777777" w:rsidR="00490675" w:rsidRDefault="009B469C">
      <w:pPr>
        <w:widowControl/>
        <w:topLinePunct/>
        <w:rPr>
          <w:rFonts w:ascii="Arial" w:hAnsi="Arial" w:cs="Arial"/>
          <w:sz w:val="20"/>
          <w:szCs w:val="20"/>
        </w:rPr>
      </w:pPr>
      <w:r>
        <w:rPr>
          <w:rFonts w:ascii="Arial" w:hAnsi="Arial" w:cs="Arial"/>
          <w:sz w:val="20"/>
          <w:szCs w:val="20"/>
        </w:rPr>
        <w:t xml:space="preserve">To reveal the spatial disparities in rural industrial revitalization among prefecture-level cities, the rural industrial revitalization indices for 2013, 2017, 2021, and 2024 were selected. </w:t>
      </w:r>
      <w:r>
        <w:rPr>
          <w:rFonts w:ascii="Arial" w:hAnsi="Arial" w:cs="Arial"/>
          <w:sz w:val="20"/>
          <w:szCs w:val="20"/>
        </w:rPr>
        <w:t>Using the natural break method, the data were classified into three tiers and visualized using ArcGIS software (Figure 3). Overall, the spatial pattern across the 13 prefecture-level cities exhibits a north-low, south-high characteristic. Suzhou, Wuxi, and</w:t>
      </w:r>
      <w:r>
        <w:rPr>
          <w:rFonts w:ascii="Arial" w:hAnsi="Arial" w:cs="Arial"/>
          <w:sz w:val="20"/>
          <w:szCs w:val="20"/>
        </w:rPr>
        <w:t xml:space="preserve"> Zhenjiang have consistently remained core high-value zones, forming a contiguous high-value cluster. Low-value zones are concentrated in Taizhou, Huai’an, Suqian, and Lianyungang. Notably, Xuzhou has achieved a significant leap in its ranking, and regiona</w:t>
      </w:r>
      <w:r>
        <w:rPr>
          <w:rFonts w:ascii="Arial" w:hAnsi="Arial" w:cs="Arial"/>
          <w:sz w:val="20"/>
          <w:szCs w:val="20"/>
        </w:rPr>
        <w:t>l disparities are gradually narrowing.</w:t>
      </w:r>
    </w:p>
    <w:p w14:paraId="2ECE1E8E" w14:textId="77777777" w:rsidR="00490675" w:rsidRDefault="00490675">
      <w:pPr>
        <w:widowControl/>
        <w:topLinePunct/>
        <w:rPr>
          <w:rFonts w:ascii="Arial" w:hAnsi="Arial" w:cs="Arial"/>
          <w:sz w:val="20"/>
          <w:szCs w:val="20"/>
        </w:rPr>
      </w:pPr>
    </w:p>
    <w:p w14:paraId="3476FB70" w14:textId="77777777" w:rsidR="00490675" w:rsidRDefault="009B469C">
      <w:pPr>
        <w:widowControl/>
        <w:topLinePunct/>
        <w:rPr>
          <w:rFonts w:ascii="Arial" w:hAnsi="Arial" w:cs="Arial"/>
          <w:sz w:val="20"/>
          <w:szCs w:val="20"/>
        </w:rPr>
      </w:pPr>
      <w:r>
        <w:rPr>
          <w:rFonts w:ascii="Arial" w:hAnsi="Arial" w:cs="Arial"/>
          <w:sz w:val="20"/>
          <w:szCs w:val="20"/>
        </w:rPr>
        <w:t>From an intra-regional perspective, the Southern Jiangsu region exhibits a pattern of slow growth at a high level. This is primarily due to the scarcity of land resources and relatively high labor costs in the region</w:t>
      </w:r>
      <w:r>
        <w:rPr>
          <w:rFonts w:ascii="Arial" w:hAnsi="Arial" w:cs="Arial"/>
          <w:sz w:val="20"/>
          <w:szCs w:val="20"/>
        </w:rPr>
        <w:t>, which limit the scope for scale expansion and drive the transformation of agricultural development toward specialization and service-oriented models. As rural industries enter a phase of high-quality development, the returns on various factors of product</w:t>
      </w:r>
      <w:r>
        <w:rPr>
          <w:rFonts w:ascii="Arial" w:hAnsi="Arial" w:cs="Arial"/>
          <w:sz w:val="20"/>
          <w:szCs w:val="20"/>
        </w:rPr>
        <w:t>ion are diminishing, and the growth rate of the industry is stabilizing.</w:t>
      </w:r>
    </w:p>
    <w:p w14:paraId="5398C6F6" w14:textId="77777777" w:rsidR="00490675" w:rsidRDefault="00490675">
      <w:pPr>
        <w:widowControl/>
        <w:topLinePunct/>
        <w:rPr>
          <w:rFonts w:ascii="Arial" w:hAnsi="Arial" w:cs="Arial"/>
          <w:sz w:val="20"/>
          <w:szCs w:val="20"/>
        </w:rPr>
      </w:pPr>
    </w:p>
    <w:p w14:paraId="2715ABF4" w14:textId="77777777" w:rsidR="00490675" w:rsidRDefault="009B469C">
      <w:pPr>
        <w:widowControl/>
        <w:topLinePunct/>
        <w:rPr>
          <w:rFonts w:ascii="Arial" w:hAnsi="Arial" w:cs="Arial"/>
          <w:sz w:val="20"/>
          <w:szCs w:val="20"/>
        </w:rPr>
      </w:pPr>
      <w:r>
        <w:rPr>
          <w:rFonts w:ascii="Arial" w:hAnsi="Arial" w:cs="Arial"/>
          <w:sz w:val="20"/>
          <w:szCs w:val="20"/>
        </w:rPr>
        <w:t>In contrast to Southern Jiangsu, the Northern Jiangsu region demonstrates rapid growth at a low level. Abundant land resources and lower labor costs have created conditions for the l</w:t>
      </w:r>
      <w:r>
        <w:rPr>
          <w:rFonts w:ascii="Arial" w:hAnsi="Arial" w:cs="Arial"/>
          <w:sz w:val="20"/>
          <w:szCs w:val="20"/>
        </w:rPr>
        <w:t>arge-scale and mechanized development of agriculture. The region is currently in a critical phase of transition from factor-driven to efficiency-driven growth. Furthermore, supported by the sustained implementation of regional coordination policies such as</w:t>
      </w:r>
      <w:r>
        <w:rPr>
          <w:rFonts w:ascii="Arial" w:hAnsi="Arial" w:cs="Arial"/>
          <w:sz w:val="20"/>
          <w:szCs w:val="20"/>
        </w:rPr>
        <w:t xml:space="preserve"> the North-South Pairing Assistance Program and coastal development initiatives, infrastructure continues to improve, and the region’s advantages in industrial relocation have become increasingly evident. Policies and investments continue to play a strong </w:t>
      </w:r>
      <w:r>
        <w:rPr>
          <w:rFonts w:ascii="Arial" w:hAnsi="Arial" w:cs="Arial"/>
          <w:sz w:val="20"/>
          <w:szCs w:val="20"/>
        </w:rPr>
        <w:t>driving role, thereby rapidly advancing the revitalization of rural industries in Northern Jiangsu.</w:t>
      </w:r>
    </w:p>
    <w:p w14:paraId="0572684A" w14:textId="77777777" w:rsidR="00490675" w:rsidRDefault="009B469C">
      <w:pPr>
        <w:widowControl/>
        <w:topLinePunct/>
      </w:pPr>
      <w:r>
        <w:rPr>
          <w:noProof/>
        </w:rPr>
        <w:lastRenderedPageBreak/>
        <w:drawing>
          <wp:inline distT="0" distB="0" distL="114300" distR="114300" wp14:anchorId="03C55F2B" wp14:editId="45E09E6E">
            <wp:extent cx="5268595" cy="5163820"/>
            <wp:effectExtent l="0" t="0" r="8255" b="8255"/>
            <wp:docPr id="4" name="图片 4"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标题-1"/>
                    <pic:cNvPicPr>
                      <a:picLocks noChangeAspect="1"/>
                    </pic:cNvPicPr>
                  </pic:nvPicPr>
                  <pic:blipFill>
                    <a:blip r:embed="rId8"/>
                    <a:stretch>
                      <a:fillRect/>
                    </a:stretch>
                  </pic:blipFill>
                  <pic:spPr>
                    <a:xfrm>
                      <a:off x="0" y="0"/>
                      <a:ext cx="5268595" cy="5163820"/>
                    </a:xfrm>
                    <a:prstGeom prst="rect">
                      <a:avLst/>
                    </a:prstGeom>
                  </pic:spPr>
                </pic:pic>
              </a:graphicData>
            </a:graphic>
          </wp:inline>
        </w:drawing>
      </w:r>
    </w:p>
    <w:p w14:paraId="11179EA6" w14:textId="77777777" w:rsidR="00490675" w:rsidRDefault="009B469C">
      <w:pPr>
        <w:widowControl/>
        <w:topLinePunct/>
        <w:spacing w:line="480" w:lineRule="auto"/>
        <w:rPr>
          <w:rFonts w:ascii="Arial" w:hAnsi="Arial" w:cs="Arial"/>
          <w:b/>
          <w:bCs/>
          <w:sz w:val="20"/>
          <w:szCs w:val="20"/>
        </w:rPr>
      </w:pPr>
      <w:r>
        <w:rPr>
          <w:rFonts w:ascii="Arial" w:hAnsi="Arial" w:cs="Arial"/>
          <w:b/>
          <w:bCs/>
          <w:sz w:val="20"/>
          <w:szCs w:val="20"/>
        </w:rPr>
        <w:t xml:space="preserve">Fig. </w:t>
      </w:r>
      <w:r>
        <w:rPr>
          <w:rFonts w:ascii="Arial" w:hAnsi="Arial" w:cs="Arial" w:hint="eastAsia"/>
          <w:b/>
          <w:bCs/>
          <w:sz w:val="20"/>
          <w:szCs w:val="20"/>
        </w:rPr>
        <w:t xml:space="preserve">3.  </w:t>
      </w:r>
      <w:r>
        <w:rPr>
          <w:rFonts w:ascii="Arial" w:hAnsi="Arial" w:cs="Arial"/>
          <w:b/>
          <w:bCs/>
          <w:sz w:val="20"/>
          <w:szCs w:val="20"/>
        </w:rPr>
        <w:t>Spatial Distribution Map of Rural Industry Revitalization (2013-2024)</w:t>
      </w:r>
    </w:p>
    <w:p w14:paraId="522E0FE2" w14:textId="77777777" w:rsidR="00490675" w:rsidRDefault="009B469C">
      <w:pPr>
        <w:widowControl/>
        <w:topLinePunct/>
        <w:rPr>
          <w:rFonts w:ascii="Arial" w:hAnsi="Arial"/>
          <w:b/>
          <w:sz w:val="22"/>
          <w:szCs w:val="22"/>
        </w:rPr>
      </w:pPr>
      <w:r>
        <w:rPr>
          <w:rFonts w:ascii="Arial" w:hAnsi="Arial"/>
          <w:b/>
          <w:sz w:val="22"/>
          <w:szCs w:val="22"/>
        </w:rPr>
        <w:t>3.3 Analysis at the Subsystem Level</w:t>
      </w:r>
    </w:p>
    <w:p w14:paraId="4C24392D" w14:textId="77777777" w:rsidR="00490675" w:rsidRDefault="00490675">
      <w:pPr>
        <w:widowControl/>
        <w:topLinePunct/>
        <w:rPr>
          <w:rFonts w:ascii="Arial" w:hAnsi="Arial" w:cs="Arial"/>
          <w:sz w:val="20"/>
          <w:szCs w:val="20"/>
        </w:rPr>
      </w:pPr>
    </w:p>
    <w:p w14:paraId="24B258A7" w14:textId="77777777" w:rsidR="00490675" w:rsidRDefault="009B469C">
      <w:pPr>
        <w:widowControl/>
        <w:topLinePunct/>
        <w:rPr>
          <w:rFonts w:ascii="Arial" w:hAnsi="Arial" w:cs="Arial"/>
          <w:sz w:val="20"/>
          <w:szCs w:val="20"/>
        </w:rPr>
      </w:pPr>
      <w:r>
        <w:rPr>
          <w:rFonts w:ascii="Arial" w:hAnsi="Arial" w:cs="Arial"/>
          <w:sz w:val="20"/>
          <w:szCs w:val="20"/>
        </w:rPr>
        <w:t xml:space="preserve">To further investigate the causes and </w:t>
      </w:r>
      <w:r>
        <w:rPr>
          <w:rFonts w:ascii="Arial" w:hAnsi="Arial" w:cs="Arial"/>
          <w:sz w:val="20"/>
          <w:szCs w:val="20"/>
        </w:rPr>
        <w:t>systemic structure of regional disparities in rural industrial revitalization, the annual scores for the three primary indicators in the industrial revitalization index systems of different regions were averaged, yielding the results shown in Table 4. From</w:t>
      </w:r>
      <w:r>
        <w:rPr>
          <w:rFonts w:ascii="Arial" w:hAnsi="Arial" w:cs="Arial"/>
          <w:sz w:val="20"/>
          <w:szCs w:val="20"/>
        </w:rPr>
        <w:t xml:space="preserve"> a macro perspective in Jiangsu Province, the scores for the three subsystems show an upward trend, with the highest growth rate observed in industrial competitiveness, followed by green support capacity and livelihood prosperity. The leading factor behind</w:t>
      </w:r>
      <w:r>
        <w:rPr>
          <w:rFonts w:ascii="Arial" w:hAnsi="Arial" w:cs="Arial"/>
          <w:sz w:val="20"/>
          <w:szCs w:val="20"/>
        </w:rPr>
        <w:t xml:space="preserve"> the high score in industrial competitiveness is the accelerated process of agricultural modernization and the continuous improvement in mechanization levels, which have enhanced labor productivity. According to Jiangsu Province’s 14th Five-Year Plan for A</w:t>
      </w:r>
      <w:r>
        <w:rPr>
          <w:rFonts w:ascii="Arial" w:hAnsi="Arial" w:cs="Arial"/>
          <w:sz w:val="20"/>
          <w:szCs w:val="20"/>
        </w:rPr>
        <w:t>gricultural Mechanization, the province’s comprehensive mechanization rate for crop cultivation, planting, and harvesting reached 80%, with the mechanization rate for major grain crops reaching 93% (completing the construction of a demonstration province f</w:t>
      </w:r>
      <w:r>
        <w:rPr>
          <w:rFonts w:ascii="Arial" w:hAnsi="Arial" w:cs="Arial"/>
          <w:sz w:val="20"/>
          <w:szCs w:val="20"/>
        </w:rPr>
        <w:t xml:space="preserve">or full mechanization), and the mechanization rate for facility agriculture, animal husbandry, and </w:t>
      </w:r>
      <w:r>
        <w:rPr>
          <w:rFonts w:ascii="Arial" w:hAnsi="Arial" w:cs="Arial"/>
          <w:sz w:val="20"/>
          <w:szCs w:val="20"/>
        </w:rPr>
        <w:lastRenderedPageBreak/>
        <w:t>fisheries reaching 54%. This has facilitated labor transfer and strengthened the endogenous momentum of agricultural production and the rural economy. The en</w:t>
      </w:r>
      <w:r>
        <w:rPr>
          <w:rFonts w:ascii="Arial" w:hAnsi="Arial" w:cs="Arial"/>
          <w:sz w:val="20"/>
          <w:szCs w:val="20"/>
        </w:rPr>
        <w:t>hancement of green support stems from efforts to conserve resources, reduce the use of agricultural inputs, and recycle agricultural waste, guided by the principle of accelerating the comprehensive green transformation of agriculture to promote rural ecolo</w:t>
      </w:r>
      <w:r>
        <w:rPr>
          <w:rFonts w:ascii="Arial" w:hAnsi="Arial" w:cs="Arial"/>
          <w:sz w:val="20"/>
          <w:szCs w:val="20"/>
        </w:rPr>
        <w:t>gical revitalization. By 2024, Jiangsu’s provincial fertilizer and pesticide usage had decreased by 5.9% and 8.5%, respectively, compared to 2020, achieving the “14th Five-Year Plan” targets for fertilizer and pesticide reduction ahead of schedule. Since 2</w:t>
      </w:r>
      <w:r>
        <w:rPr>
          <w:rFonts w:ascii="Arial" w:hAnsi="Arial" w:cs="Arial"/>
          <w:sz w:val="20"/>
          <w:szCs w:val="20"/>
        </w:rPr>
        <w:t>021, Jiangsu has implemented pilot projects for green crop-livestock recycling agriculture for five consecutive years, continuously advancing the resource utilization of livestock manure to address manure management challenges. A total of 11.21 million ton</w:t>
      </w:r>
      <w:r>
        <w:rPr>
          <w:rFonts w:ascii="Arial" w:hAnsi="Arial" w:cs="Arial"/>
          <w:sz w:val="20"/>
          <w:szCs w:val="20"/>
        </w:rPr>
        <w:t>s of livestock manure has been processed, with 6.1 million mu of farmland receiving manure-based fertilizer. In pilot areas, the comprehensive utilization rate of livestock manure has remained stable at over 95%.</w:t>
      </w:r>
    </w:p>
    <w:p w14:paraId="68FFC852" w14:textId="77777777" w:rsidR="00490675" w:rsidRDefault="00490675">
      <w:pPr>
        <w:widowControl/>
        <w:topLinePunct/>
        <w:rPr>
          <w:rFonts w:ascii="Arial" w:hAnsi="Arial" w:cs="Arial"/>
          <w:sz w:val="20"/>
          <w:szCs w:val="20"/>
        </w:rPr>
      </w:pPr>
    </w:p>
    <w:p w14:paraId="37B4E0D5" w14:textId="77777777" w:rsidR="00490675" w:rsidRDefault="009B469C">
      <w:pPr>
        <w:widowControl/>
        <w:topLinePunct/>
        <w:rPr>
          <w:rFonts w:ascii="Arial" w:hAnsi="Arial" w:cs="Arial"/>
          <w:sz w:val="20"/>
          <w:szCs w:val="20"/>
        </w:rPr>
      </w:pPr>
      <w:r>
        <w:rPr>
          <w:rFonts w:ascii="Arial" w:hAnsi="Arial" w:cs="Arial"/>
          <w:sz w:val="20"/>
          <w:szCs w:val="20"/>
        </w:rPr>
        <w:t xml:space="preserve">Looking at growth trends across different </w:t>
      </w:r>
      <w:r>
        <w:rPr>
          <w:rFonts w:ascii="Arial" w:hAnsi="Arial" w:cs="Arial"/>
          <w:sz w:val="20"/>
          <w:szCs w:val="20"/>
        </w:rPr>
        <w:t>regions, the growth rates of subsystems in the Southern Jiangsu region, from highest to lowest, are: people’s livelihood and prosperity, industrial competitiveness, and green support capacity. In both Central and Northern Jiangsu, the order is Industrial C</w:t>
      </w:r>
      <w:r>
        <w:rPr>
          <w:rFonts w:ascii="Arial" w:hAnsi="Arial" w:cs="Arial"/>
          <w:sz w:val="20"/>
          <w:szCs w:val="20"/>
        </w:rPr>
        <w:t xml:space="preserve">ompetitiveness, Livelihood Prosperity, and Green Support. The primary difference stems from the fact that Southern Jiangsu has a higher level of economic development and a faster pace of urban-rural integration, resulting in significant increases in rural </w:t>
      </w:r>
      <w:r>
        <w:rPr>
          <w:rFonts w:ascii="Arial" w:hAnsi="Arial" w:cs="Arial"/>
          <w:sz w:val="20"/>
          <w:szCs w:val="20"/>
        </w:rPr>
        <w:t>residents’ income and consumption levels, as well as notable improvements in people’s livelihoods. In contrast, Central and Northern Jiangsu remain in a phase of rapid industrial development and structural adjustment, where improvements in industrial compe</w:t>
      </w:r>
      <w:r>
        <w:rPr>
          <w:rFonts w:ascii="Arial" w:hAnsi="Arial" w:cs="Arial"/>
          <w:sz w:val="20"/>
          <w:szCs w:val="20"/>
        </w:rPr>
        <w:t>titiveness are more pronounced, but growth in livelihood prosperity lags behind the pace of industrial development.</w:t>
      </w:r>
    </w:p>
    <w:p w14:paraId="31222C90" w14:textId="77777777" w:rsidR="00490675" w:rsidRDefault="009B469C">
      <w:pPr>
        <w:widowControl/>
        <w:topLinePunct/>
        <w:spacing w:line="480" w:lineRule="auto"/>
        <w:rPr>
          <w:rFonts w:ascii="Arial" w:hAnsi="Arial" w:cs="Arial"/>
          <w:sz w:val="20"/>
          <w:szCs w:val="20"/>
        </w:rPr>
      </w:pPr>
      <w:r>
        <w:rPr>
          <w:rFonts w:ascii="Arial" w:hAnsi="Arial"/>
          <w:b/>
          <w:sz w:val="20"/>
          <w:szCs w:val="20"/>
        </w:rPr>
        <w:t>Table 4</w:t>
      </w:r>
      <w:r>
        <w:rPr>
          <w:rFonts w:ascii="Arial" w:hAnsi="Arial" w:hint="eastAsia"/>
          <w:b/>
          <w:sz w:val="20"/>
          <w:szCs w:val="20"/>
        </w:rPr>
        <w:t>.</w:t>
      </w:r>
      <w:r>
        <w:rPr>
          <w:rFonts w:ascii="Arial" w:hAnsi="Arial"/>
          <w:b/>
          <w:sz w:val="20"/>
          <w:szCs w:val="20"/>
        </w:rPr>
        <w:t xml:space="preserve"> Comparison of Scores and Growth Rates of the Rural Industry Revitalization Subsystem</w:t>
      </w:r>
    </w:p>
    <w:tbl>
      <w:tblPr>
        <w:tblStyle w:val="TableGrid"/>
        <w:tblW w:w="8070" w:type="dxa"/>
        <w:jc w:val="right"/>
        <w:tblBorders>
          <w:top w:val="none" w:sz="4" w:space="0" w:color="auto"/>
          <w:left w:val="none" w:sz="4" w:space="0" w:color="auto"/>
          <w:bottom w:val="none" w:sz="4" w:space="0" w:color="auto"/>
          <w:right w:val="none" w:sz="4" w:space="0" w:color="auto"/>
          <w:insideH w:val="none" w:sz="4" w:space="0" w:color="auto"/>
          <w:insideV w:val="none" w:sz="4" w:space="0" w:color="auto"/>
        </w:tblBorders>
        <w:tblLook w:val="04A0" w:firstRow="1" w:lastRow="0" w:firstColumn="1" w:lastColumn="0" w:noHBand="0" w:noVBand="1"/>
      </w:tblPr>
      <w:tblGrid>
        <w:gridCol w:w="1356"/>
        <w:gridCol w:w="1416"/>
        <w:gridCol w:w="2088"/>
        <w:gridCol w:w="1688"/>
        <w:gridCol w:w="1522"/>
      </w:tblGrid>
      <w:tr w:rsidR="00490675" w14:paraId="3B39B577" w14:textId="77777777">
        <w:trPr>
          <w:tblHeader/>
          <w:jc w:val="right"/>
        </w:trPr>
        <w:tc>
          <w:tcPr>
            <w:tcW w:w="1356" w:type="dxa"/>
            <w:tcBorders>
              <w:top w:val="single" w:sz="12" w:space="0" w:color="auto"/>
              <w:left w:val="nil"/>
              <w:bottom w:val="single" w:sz="4" w:space="0" w:color="auto"/>
              <w:right w:val="nil"/>
            </w:tcBorders>
            <w:tcMar>
              <w:top w:w="-1" w:type="dxa"/>
              <w:left w:w="-1" w:type="dxa"/>
              <w:bottom w:w="-1" w:type="dxa"/>
              <w:right w:w="-1" w:type="dxa"/>
            </w:tcMar>
          </w:tcPr>
          <w:p w14:paraId="07145A58" w14:textId="77777777" w:rsidR="00490675" w:rsidRDefault="009B469C">
            <w:pPr>
              <w:pStyle w:val="a"/>
              <w:adjustRightInd w:val="0"/>
              <w:snapToGrid w:val="0"/>
              <w:spacing w:line="480" w:lineRule="auto"/>
              <w:ind w:firstLineChars="0" w:firstLine="0"/>
              <w:rPr>
                <w:sz w:val="20"/>
              </w:rPr>
            </w:pPr>
            <w:r>
              <w:rPr>
                <w:rFonts w:ascii="Arial" w:eastAsiaTheme="minorEastAsia" w:hAnsi="Arial" w:cs="Arial" w:hint="eastAsia"/>
                <w:b/>
                <w:bCs/>
                <w:kern w:val="2"/>
                <w:sz w:val="20"/>
              </w:rPr>
              <w:t>Region</w:t>
            </w:r>
          </w:p>
        </w:tc>
        <w:tc>
          <w:tcPr>
            <w:tcW w:w="1416" w:type="dxa"/>
            <w:tcBorders>
              <w:top w:val="single" w:sz="12" w:space="0" w:color="auto"/>
              <w:left w:val="nil"/>
              <w:bottom w:val="single" w:sz="4" w:space="0" w:color="auto"/>
              <w:right w:val="nil"/>
            </w:tcBorders>
            <w:tcMar>
              <w:top w:w="-1" w:type="dxa"/>
              <w:left w:w="-1" w:type="dxa"/>
              <w:bottom w:w="-1" w:type="dxa"/>
              <w:right w:w="-1" w:type="dxa"/>
            </w:tcMar>
          </w:tcPr>
          <w:p w14:paraId="32DAA721" w14:textId="77777777" w:rsidR="00490675" w:rsidRDefault="009B469C">
            <w:pPr>
              <w:pStyle w:val="a"/>
              <w:adjustRightInd w:val="0"/>
              <w:snapToGrid w:val="0"/>
              <w:spacing w:line="480" w:lineRule="auto"/>
              <w:ind w:firstLineChars="0" w:firstLine="0"/>
              <w:rPr>
                <w:sz w:val="20"/>
              </w:rPr>
            </w:pPr>
            <w:r>
              <w:rPr>
                <w:rFonts w:ascii="Arial" w:eastAsiaTheme="minorEastAsia" w:hAnsi="Arial" w:cs="Arial" w:hint="eastAsia"/>
                <w:b/>
                <w:bCs/>
                <w:kern w:val="2"/>
                <w:sz w:val="20"/>
              </w:rPr>
              <w:t>Indicator</w:t>
            </w:r>
          </w:p>
          <w:p w14:paraId="094A6992" w14:textId="77777777" w:rsidR="00490675" w:rsidRDefault="00490675">
            <w:pPr>
              <w:pStyle w:val="a"/>
              <w:adjustRightInd w:val="0"/>
              <w:snapToGrid w:val="0"/>
              <w:spacing w:line="480" w:lineRule="auto"/>
              <w:ind w:firstLineChars="0" w:firstLine="0"/>
              <w:rPr>
                <w:sz w:val="20"/>
              </w:rPr>
            </w:pPr>
          </w:p>
        </w:tc>
        <w:tc>
          <w:tcPr>
            <w:tcW w:w="2088" w:type="dxa"/>
            <w:tcBorders>
              <w:top w:val="single" w:sz="12" w:space="0" w:color="auto"/>
              <w:left w:val="nil"/>
              <w:bottom w:val="single" w:sz="4" w:space="0" w:color="auto"/>
              <w:right w:val="nil"/>
            </w:tcBorders>
            <w:tcMar>
              <w:top w:w="-1" w:type="dxa"/>
              <w:left w:w="-1" w:type="dxa"/>
              <w:bottom w:w="-1" w:type="dxa"/>
              <w:right w:w="-1" w:type="dxa"/>
            </w:tcMar>
          </w:tcPr>
          <w:p w14:paraId="06C0AB95" w14:textId="77777777" w:rsidR="00490675" w:rsidRDefault="009B469C">
            <w:pPr>
              <w:pStyle w:val="a"/>
              <w:adjustRightInd w:val="0"/>
              <w:snapToGrid w:val="0"/>
              <w:spacing w:line="480" w:lineRule="auto"/>
              <w:ind w:firstLineChars="0" w:firstLine="0"/>
              <w:rPr>
                <w:sz w:val="20"/>
              </w:rPr>
            </w:pPr>
            <w:r>
              <w:rPr>
                <w:rFonts w:ascii="Arial" w:eastAsiaTheme="minorEastAsia" w:hAnsi="Arial" w:cs="Arial"/>
                <w:b/>
                <w:bCs/>
                <w:kern w:val="2"/>
                <w:sz w:val="20"/>
              </w:rPr>
              <w:t>Industrial Competitiveness</w:t>
            </w:r>
          </w:p>
        </w:tc>
        <w:tc>
          <w:tcPr>
            <w:tcW w:w="1688" w:type="dxa"/>
            <w:tcBorders>
              <w:top w:val="single" w:sz="12" w:space="0" w:color="auto"/>
              <w:left w:val="nil"/>
              <w:bottom w:val="single" w:sz="4" w:space="0" w:color="auto"/>
              <w:right w:val="nil"/>
            </w:tcBorders>
            <w:tcMar>
              <w:top w:w="-1" w:type="dxa"/>
              <w:left w:w="-1" w:type="dxa"/>
              <w:bottom w:w="-1" w:type="dxa"/>
              <w:right w:w="-1" w:type="dxa"/>
            </w:tcMar>
          </w:tcPr>
          <w:p w14:paraId="288326AE" w14:textId="77777777" w:rsidR="00490675" w:rsidRDefault="009B469C">
            <w:pPr>
              <w:pStyle w:val="a"/>
              <w:adjustRightInd w:val="0"/>
              <w:snapToGrid w:val="0"/>
              <w:spacing w:line="480" w:lineRule="auto"/>
              <w:ind w:firstLineChars="0" w:firstLine="0"/>
              <w:rPr>
                <w:sz w:val="20"/>
              </w:rPr>
            </w:pPr>
            <w:r>
              <w:rPr>
                <w:rFonts w:ascii="Arial" w:eastAsiaTheme="minorEastAsia" w:hAnsi="Arial" w:cs="Arial"/>
                <w:b/>
                <w:bCs/>
                <w:kern w:val="2"/>
                <w:sz w:val="20"/>
              </w:rPr>
              <w:t>Green Support Capacity</w:t>
            </w:r>
          </w:p>
        </w:tc>
        <w:tc>
          <w:tcPr>
            <w:tcW w:w="1522" w:type="dxa"/>
            <w:tcBorders>
              <w:top w:val="single" w:sz="12" w:space="0" w:color="auto"/>
              <w:left w:val="nil"/>
              <w:bottom w:val="single" w:sz="4" w:space="0" w:color="auto"/>
              <w:right w:val="nil"/>
            </w:tcBorders>
            <w:tcMar>
              <w:top w:w="-1" w:type="dxa"/>
              <w:left w:w="-1" w:type="dxa"/>
              <w:bottom w:w="-1" w:type="dxa"/>
              <w:right w:w="-1" w:type="dxa"/>
            </w:tcMar>
          </w:tcPr>
          <w:p w14:paraId="4A6FB9DA" w14:textId="77777777" w:rsidR="00490675" w:rsidRDefault="009B469C">
            <w:pPr>
              <w:pStyle w:val="a"/>
              <w:adjustRightInd w:val="0"/>
              <w:snapToGrid w:val="0"/>
              <w:spacing w:line="480" w:lineRule="auto"/>
              <w:ind w:firstLineChars="0" w:firstLine="0"/>
              <w:rPr>
                <w:sz w:val="20"/>
              </w:rPr>
            </w:pPr>
            <w:r>
              <w:rPr>
                <w:rFonts w:ascii="Arial" w:eastAsiaTheme="minorEastAsia" w:hAnsi="Arial" w:cs="Arial"/>
                <w:b/>
                <w:bCs/>
                <w:kern w:val="2"/>
                <w:sz w:val="20"/>
              </w:rPr>
              <w:t>Livelihood and Prosperity Capacity</w:t>
            </w:r>
          </w:p>
        </w:tc>
      </w:tr>
      <w:tr w:rsidR="00490675" w14:paraId="5A58B9B4" w14:textId="77777777">
        <w:trPr>
          <w:tblHeader/>
          <w:jc w:val="right"/>
        </w:trPr>
        <w:tc>
          <w:tcPr>
            <w:tcW w:w="1356" w:type="dxa"/>
            <w:tcBorders>
              <w:top w:val="single" w:sz="4" w:space="0" w:color="auto"/>
              <w:left w:val="nil"/>
              <w:bottom w:val="nil"/>
              <w:right w:val="nil"/>
            </w:tcBorders>
            <w:tcMar>
              <w:top w:w="-1" w:type="dxa"/>
              <w:left w:w="-1" w:type="dxa"/>
              <w:bottom w:w="-1" w:type="dxa"/>
              <w:right w:w="-1" w:type="dxa"/>
            </w:tcMar>
          </w:tcPr>
          <w:p w14:paraId="2FF364D5" w14:textId="77777777" w:rsidR="00490675" w:rsidRDefault="009B469C">
            <w:pPr>
              <w:pStyle w:val="a"/>
              <w:adjustRightInd w:val="0"/>
              <w:snapToGrid w:val="0"/>
              <w:spacing w:line="480" w:lineRule="auto"/>
              <w:ind w:firstLineChars="0" w:firstLine="0"/>
              <w:rPr>
                <w:sz w:val="20"/>
              </w:rPr>
            </w:pPr>
            <w:r>
              <w:rPr>
                <w:rFonts w:ascii="Arial" w:eastAsiaTheme="minorEastAsia" w:hAnsi="Arial" w:cs="Arial" w:hint="eastAsia"/>
                <w:kern w:val="2"/>
                <w:sz w:val="20"/>
              </w:rPr>
              <w:t>Southern Jiangsu</w:t>
            </w:r>
          </w:p>
        </w:tc>
        <w:tc>
          <w:tcPr>
            <w:tcW w:w="1416" w:type="dxa"/>
            <w:tcBorders>
              <w:top w:val="single" w:sz="4" w:space="0" w:color="auto"/>
              <w:left w:val="nil"/>
              <w:bottom w:val="nil"/>
              <w:right w:val="nil"/>
            </w:tcBorders>
            <w:tcMar>
              <w:top w:w="-1" w:type="dxa"/>
              <w:left w:w="-1" w:type="dxa"/>
              <w:bottom w:w="-1" w:type="dxa"/>
              <w:right w:w="-1" w:type="dxa"/>
            </w:tcMar>
          </w:tcPr>
          <w:p w14:paraId="2770079D" w14:textId="77777777" w:rsidR="00490675" w:rsidRDefault="009B469C">
            <w:pPr>
              <w:pStyle w:val="a"/>
              <w:adjustRightInd w:val="0"/>
              <w:snapToGrid w:val="0"/>
              <w:spacing w:line="480" w:lineRule="auto"/>
              <w:ind w:firstLineChars="0" w:firstLine="0"/>
              <w:rPr>
                <w:sz w:val="20"/>
              </w:rPr>
            </w:pPr>
            <w:r>
              <w:rPr>
                <w:rFonts w:ascii="Arial" w:eastAsiaTheme="minorEastAsia" w:hAnsi="Arial" w:cs="Arial" w:hint="eastAsia"/>
                <w:kern w:val="2"/>
                <w:sz w:val="20"/>
              </w:rPr>
              <w:t>Mean</w:t>
            </w:r>
          </w:p>
        </w:tc>
        <w:tc>
          <w:tcPr>
            <w:tcW w:w="2088" w:type="dxa"/>
            <w:tcBorders>
              <w:top w:val="single" w:sz="4" w:space="0" w:color="auto"/>
              <w:left w:val="nil"/>
              <w:bottom w:val="nil"/>
              <w:right w:val="nil"/>
            </w:tcBorders>
            <w:tcMar>
              <w:top w:w="-1" w:type="dxa"/>
              <w:left w:w="-1" w:type="dxa"/>
              <w:bottom w:w="-1" w:type="dxa"/>
              <w:right w:w="-1" w:type="dxa"/>
            </w:tcMar>
          </w:tcPr>
          <w:p w14:paraId="0FE0C969" w14:textId="77777777" w:rsidR="00490675" w:rsidRDefault="009B469C">
            <w:pPr>
              <w:pStyle w:val="a"/>
              <w:adjustRightInd w:val="0"/>
              <w:snapToGrid w:val="0"/>
              <w:spacing w:line="480" w:lineRule="auto"/>
              <w:ind w:firstLineChars="0" w:firstLine="0"/>
              <w:rPr>
                <w:rFonts w:ascii="Arial" w:hAnsi="Arial" w:cs="Arial"/>
                <w:sz w:val="20"/>
              </w:rPr>
            </w:pPr>
            <w:r>
              <w:rPr>
                <w:rFonts w:ascii="Arial" w:hAnsi="Arial" w:cs="Arial"/>
                <w:sz w:val="20"/>
              </w:rPr>
              <w:t>0.4704</w:t>
            </w:r>
          </w:p>
        </w:tc>
        <w:tc>
          <w:tcPr>
            <w:tcW w:w="1688" w:type="dxa"/>
            <w:tcBorders>
              <w:top w:val="single" w:sz="4" w:space="0" w:color="auto"/>
              <w:left w:val="nil"/>
              <w:bottom w:val="nil"/>
              <w:right w:val="nil"/>
            </w:tcBorders>
            <w:tcMar>
              <w:top w:w="-1" w:type="dxa"/>
              <w:left w:w="-1" w:type="dxa"/>
              <w:bottom w:w="-1" w:type="dxa"/>
              <w:right w:w="-1" w:type="dxa"/>
            </w:tcMar>
          </w:tcPr>
          <w:p w14:paraId="3D9B7D8A" w14:textId="77777777" w:rsidR="00490675" w:rsidRDefault="009B469C">
            <w:pPr>
              <w:pStyle w:val="a"/>
              <w:adjustRightInd w:val="0"/>
              <w:snapToGrid w:val="0"/>
              <w:spacing w:line="480" w:lineRule="auto"/>
              <w:ind w:firstLineChars="0" w:firstLine="0"/>
              <w:rPr>
                <w:rFonts w:ascii="Arial" w:hAnsi="Arial" w:cs="Arial"/>
                <w:sz w:val="20"/>
              </w:rPr>
            </w:pPr>
            <w:r>
              <w:rPr>
                <w:rFonts w:ascii="Arial" w:hAnsi="Arial" w:cs="Arial"/>
                <w:sz w:val="20"/>
              </w:rPr>
              <w:t>0.4806</w:t>
            </w:r>
          </w:p>
        </w:tc>
        <w:tc>
          <w:tcPr>
            <w:tcW w:w="1522" w:type="dxa"/>
            <w:tcBorders>
              <w:top w:val="single" w:sz="4" w:space="0" w:color="auto"/>
              <w:left w:val="nil"/>
              <w:bottom w:val="nil"/>
              <w:right w:val="nil"/>
            </w:tcBorders>
            <w:tcMar>
              <w:top w:w="-1" w:type="dxa"/>
              <w:left w:w="-1" w:type="dxa"/>
              <w:bottom w:w="-1" w:type="dxa"/>
              <w:right w:w="-1" w:type="dxa"/>
            </w:tcMar>
          </w:tcPr>
          <w:p w14:paraId="112BDA0C" w14:textId="77777777" w:rsidR="00490675" w:rsidRDefault="009B469C">
            <w:pPr>
              <w:pStyle w:val="a"/>
              <w:adjustRightInd w:val="0"/>
              <w:snapToGrid w:val="0"/>
              <w:spacing w:line="480" w:lineRule="auto"/>
              <w:ind w:firstLineChars="0" w:firstLine="0"/>
              <w:rPr>
                <w:rFonts w:ascii="Arial" w:hAnsi="Arial" w:cs="Arial"/>
                <w:sz w:val="20"/>
              </w:rPr>
            </w:pPr>
            <w:r>
              <w:rPr>
                <w:rFonts w:ascii="Arial" w:hAnsi="Arial" w:cs="Arial"/>
                <w:sz w:val="20"/>
              </w:rPr>
              <w:t>0.4945</w:t>
            </w:r>
          </w:p>
        </w:tc>
      </w:tr>
      <w:tr w:rsidR="00490675" w14:paraId="1C85C8B9" w14:textId="77777777">
        <w:trPr>
          <w:trHeight w:val="688"/>
          <w:tblHeader/>
          <w:jc w:val="right"/>
        </w:trPr>
        <w:tc>
          <w:tcPr>
            <w:tcW w:w="1356" w:type="dxa"/>
            <w:tcBorders>
              <w:top w:val="nil"/>
              <w:left w:val="nil"/>
              <w:bottom w:val="single" w:sz="12" w:space="0" w:color="auto"/>
              <w:right w:val="nil"/>
            </w:tcBorders>
            <w:tcMar>
              <w:top w:w="-1" w:type="dxa"/>
              <w:left w:w="-1" w:type="dxa"/>
              <w:bottom w:w="-1" w:type="dxa"/>
              <w:right w:w="-1" w:type="dxa"/>
            </w:tcMar>
          </w:tcPr>
          <w:p w14:paraId="18D902D6" w14:textId="77777777" w:rsidR="00490675" w:rsidRDefault="00490675">
            <w:pPr>
              <w:pStyle w:val="a"/>
              <w:adjustRightInd w:val="0"/>
              <w:snapToGrid w:val="0"/>
              <w:spacing w:line="480" w:lineRule="auto"/>
              <w:ind w:firstLineChars="0" w:firstLine="0"/>
              <w:rPr>
                <w:sz w:val="20"/>
              </w:rPr>
            </w:pPr>
          </w:p>
        </w:tc>
        <w:tc>
          <w:tcPr>
            <w:tcW w:w="1416" w:type="dxa"/>
            <w:tcBorders>
              <w:top w:val="nil"/>
              <w:left w:val="nil"/>
              <w:bottom w:val="single" w:sz="12" w:space="0" w:color="auto"/>
              <w:right w:val="nil"/>
            </w:tcBorders>
            <w:tcMar>
              <w:top w:w="-1" w:type="dxa"/>
              <w:left w:w="-1" w:type="dxa"/>
              <w:bottom w:w="-1" w:type="dxa"/>
              <w:right w:w="-1" w:type="dxa"/>
            </w:tcMar>
          </w:tcPr>
          <w:p w14:paraId="584E9A6A"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Growth Rate (Times)</w:t>
            </w:r>
          </w:p>
          <w:p w14:paraId="5A86CA12" w14:textId="77777777" w:rsidR="00490675" w:rsidRDefault="00490675">
            <w:pPr>
              <w:pStyle w:val="a"/>
              <w:adjustRightInd w:val="0"/>
              <w:snapToGrid w:val="0"/>
              <w:spacing w:line="480" w:lineRule="auto"/>
              <w:ind w:firstLineChars="0" w:firstLine="0"/>
              <w:rPr>
                <w:sz w:val="20"/>
              </w:rPr>
            </w:pPr>
          </w:p>
        </w:tc>
        <w:tc>
          <w:tcPr>
            <w:tcW w:w="2088" w:type="dxa"/>
            <w:tcBorders>
              <w:top w:val="nil"/>
              <w:left w:val="nil"/>
              <w:bottom w:val="single" w:sz="12" w:space="0" w:color="auto"/>
              <w:right w:val="nil"/>
            </w:tcBorders>
            <w:tcMar>
              <w:top w:w="-1" w:type="dxa"/>
              <w:left w:w="-1" w:type="dxa"/>
              <w:bottom w:w="-1" w:type="dxa"/>
              <w:right w:w="-1" w:type="dxa"/>
            </w:tcMar>
          </w:tcPr>
          <w:p w14:paraId="0002EE28" w14:textId="77777777" w:rsidR="00490675" w:rsidRDefault="009B469C">
            <w:pPr>
              <w:pStyle w:val="a"/>
              <w:adjustRightInd w:val="0"/>
              <w:snapToGrid w:val="0"/>
              <w:spacing w:line="480" w:lineRule="auto"/>
              <w:ind w:firstLineChars="0" w:firstLine="0"/>
              <w:rPr>
                <w:rFonts w:ascii="Arial" w:hAnsi="Arial" w:cs="Arial"/>
                <w:sz w:val="20"/>
              </w:rPr>
            </w:pPr>
            <w:r>
              <w:rPr>
                <w:rFonts w:ascii="Arial" w:hAnsi="Arial" w:cs="Arial"/>
                <w:sz w:val="20"/>
              </w:rPr>
              <w:t>0.7068</w:t>
            </w:r>
          </w:p>
        </w:tc>
        <w:tc>
          <w:tcPr>
            <w:tcW w:w="1688" w:type="dxa"/>
            <w:tcBorders>
              <w:top w:val="nil"/>
              <w:left w:val="nil"/>
              <w:bottom w:val="single" w:sz="12" w:space="0" w:color="auto"/>
              <w:right w:val="nil"/>
            </w:tcBorders>
            <w:tcMar>
              <w:top w:w="-1" w:type="dxa"/>
              <w:left w:w="-1" w:type="dxa"/>
              <w:bottom w:w="-1" w:type="dxa"/>
              <w:right w:w="-1" w:type="dxa"/>
            </w:tcMar>
          </w:tcPr>
          <w:p w14:paraId="0B77314D" w14:textId="77777777" w:rsidR="00490675" w:rsidRDefault="009B469C">
            <w:pPr>
              <w:pStyle w:val="a"/>
              <w:adjustRightInd w:val="0"/>
              <w:snapToGrid w:val="0"/>
              <w:spacing w:line="480" w:lineRule="auto"/>
              <w:ind w:firstLineChars="0" w:firstLine="0"/>
              <w:rPr>
                <w:rFonts w:ascii="Arial" w:hAnsi="Arial" w:cs="Arial"/>
                <w:sz w:val="20"/>
              </w:rPr>
            </w:pPr>
            <w:r>
              <w:rPr>
                <w:rFonts w:ascii="Arial" w:hAnsi="Arial" w:cs="Arial"/>
                <w:sz w:val="20"/>
              </w:rPr>
              <w:t>0.3533</w:t>
            </w:r>
          </w:p>
        </w:tc>
        <w:tc>
          <w:tcPr>
            <w:tcW w:w="1522" w:type="dxa"/>
            <w:tcBorders>
              <w:top w:val="nil"/>
              <w:left w:val="nil"/>
              <w:bottom w:val="single" w:sz="12" w:space="0" w:color="auto"/>
              <w:right w:val="nil"/>
            </w:tcBorders>
            <w:tcMar>
              <w:top w:w="-1" w:type="dxa"/>
              <w:left w:w="-1" w:type="dxa"/>
              <w:bottom w:w="-1" w:type="dxa"/>
              <w:right w:w="-1" w:type="dxa"/>
            </w:tcMar>
          </w:tcPr>
          <w:p w14:paraId="76AB165C" w14:textId="77777777" w:rsidR="00490675" w:rsidRDefault="009B469C">
            <w:pPr>
              <w:pStyle w:val="a"/>
              <w:adjustRightInd w:val="0"/>
              <w:snapToGrid w:val="0"/>
              <w:spacing w:line="480" w:lineRule="auto"/>
              <w:ind w:firstLineChars="0" w:firstLine="0"/>
              <w:rPr>
                <w:rFonts w:ascii="Arial" w:hAnsi="Arial" w:cs="Arial"/>
                <w:sz w:val="20"/>
              </w:rPr>
            </w:pPr>
            <w:r>
              <w:rPr>
                <w:rFonts w:ascii="Arial" w:hAnsi="Arial" w:cs="Arial"/>
                <w:sz w:val="20"/>
              </w:rPr>
              <w:t>1.1477</w:t>
            </w:r>
          </w:p>
        </w:tc>
      </w:tr>
      <w:tr w:rsidR="00490675" w14:paraId="0EFE368A" w14:textId="77777777">
        <w:trPr>
          <w:tblHeader/>
          <w:jc w:val="right"/>
        </w:trPr>
        <w:tc>
          <w:tcPr>
            <w:tcW w:w="1356" w:type="dxa"/>
            <w:tcBorders>
              <w:top w:val="single" w:sz="12" w:space="0" w:color="auto"/>
              <w:left w:val="nil"/>
              <w:bottom w:val="single" w:sz="4" w:space="0" w:color="auto"/>
              <w:right w:val="nil"/>
            </w:tcBorders>
            <w:tcMar>
              <w:top w:w="-1" w:type="dxa"/>
              <w:left w:w="-1" w:type="dxa"/>
              <w:bottom w:w="-1" w:type="dxa"/>
              <w:right w:w="-1" w:type="dxa"/>
            </w:tcMar>
          </w:tcPr>
          <w:p w14:paraId="537220F8" w14:textId="77777777" w:rsidR="00490675" w:rsidRDefault="009B469C">
            <w:pPr>
              <w:pStyle w:val="a"/>
              <w:adjustRightInd w:val="0"/>
              <w:snapToGrid w:val="0"/>
              <w:spacing w:line="480" w:lineRule="auto"/>
              <w:ind w:firstLineChars="0" w:firstLine="0"/>
              <w:rPr>
                <w:rFonts w:ascii="Arial" w:eastAsiaTheme="minorEastAsia" w:hAnsi="Arial" w:cs="Arial"/>
                <w:b/>
                <w:bCs/>
                <w:kern w:val="2"/>
                <w:sz w:val="20"/>
              </w:rPr>
            </w:pPr>
            <w:r>
              <w:rPr>
                <w:rFonts w:ascii="Arial" w:eastAsiaTheme="minorEastAsia" w:hAnsi="Arial" w:cs="Arial" w:hint="eastAsia"/>
                <w:b/>
                <w:bCs/>
                <w:kern w:val="2"/>
                <w:sz w:val="20"/>
              </w:rPr>
              <w:lastRenderedPageBreak/>
              <w:t>Region</w:t>
            </w:r>
          </w:p>
        </w:tc>
        <w:tc>
          <w:tcPr>
            <w:tcW w:w="1416" w:type="dxa"/>
            <w:tcBorders>
              <w:top w:val="single" w:sz="12" w:space="0" w:color="auto"/>
              <w:left w:val="nil"/>
              <w:bottom w:val="single" w:sz="4" w:space="0" w:color="auto"/>
              <w:right w:val="nil"/>
            </w:tcBorders>
            <w:tcMar>
              <w:top w:w="-1" w:type="dxa"/>
              <w:left w:w="-1" w:type="dxa"/>
              <w:bottom w:w="-1" w:type="dxa"/>
              <w:right w:w="-1" w:type="dxa"/>
            </w:tcMar>
          </w:tcPr>
          <w:p w14:paraId="5C67BA09" w14:textId="77777777" w:rsidR="00490675" w:rsidRDefault="009B469C">
            <w:pPr>
              <w:pStyle w:val="a"/>
              <w:adjustRightInd w:val="0"/>
              <w:snapToGrid w:val="0"/>
              <w:spacing w:line="480" w:lineRule="auto"/>
              <w:ind w:firstLineChars="0" w:firstLine="0"/>
              <w:rPr>
                <w:rFonts w:ascii="Arial" w:eastAsiaTheme="minorEastAsia" w:hAnsi="Arial" w:cs="Arial"/>
                <w:b/>
                <w:bCs/>
                <w:kern w:val="2"/>
                <w:sz w:val="20"/>
              </w:rPr>
            </w:pPr>
            <w:r>
              <w:rPr>
                <w:rFonts w:ascii="Arial" w:eastAsiaTheme="minorEastAsia" w:hAnsi="Arial" w:cs="Arial" w:hint="eastAsia"/>
                <w:b/>
                <w:bCs/>
                <w:kern w:val="2"/>
                <w:sz w:val="20"/>
              </w:rPr>
              <w:t>Indicator</w:t>
            </w:r>
          </w:p>
          <w:p w14:paraId="1258D359" w14:textId="77777777" w:rsidR="00490675" w:rsidRDefault="00490675">
            <w:pPr>
              <w:pStyle w:val="a"/>
              <w:adjustRightInd w:val="0"/>
              <w:snapToGrid w:val="0"/>
              <w:spacing w:line="480" w:lineRule="auto"/>
              <w:ind w:firstLineChars="0" w:firstLine="0"/>
              <w:rPr>
                <w:rFonts w:ascii="Arial" w:eastAsiaTheme="minorEastAsia" w:hAnsi="Arial" w:cs="Arial"/>
                <w:b/>
                <w:bCs/>
                <w:kern w:val="2"/>
                <w:sz w:val="20"/>
              </w:rPr>
            </w:pPr>
          </w:p>
        </w:tc>
        <w:tc>
          <w:tcPr>
            <w:tcW w:w="2088" w:type="dxa"/>
            <w:tcBorders>
              <w:top w:val="single" w:sz="12" w:space="0" w:color="auto"/>
              <w:left w:val="nil"/>
              <w:bottom w:val="single" w:sz="4" w:space="0" w:color="auto"/>
              <w:right w:val="nil"/>
            </w:tcBorders>
            <w:tcMar>
              <w:top w:w="-1" w:type="dxa"/>
              <w:left w:w="-1" w:type="dxa"/>
              <w:bottom w:w="-1" w:type="dxa"/>
              <w:right w:w="-1" w:type="dxa"/>
            </w:tcMar>
          </w:tcPr>
          <w:p w14:paraId="74B0BC45" w14:textId="77777777" w:rsidR="00490675" w:rsidRDefault="009B469C">
            <w:pPr>
              <w:pStyle w:val="a"/>
              <w:adjustRightInd w:val="0"/>
              <w:snapToGrid w:val="0"/>
              <w:spacing w:line="480" w:lineRule="auto"/>
              <w:ind w:firstLineChars="0" w:firstLine="0"/>
              <w:rPr>
                <w:rFonts w:ascii="Arial" w:eastAsiaTheme="minorEastAsia" w:hAnsi="Arial" w:cs="Arial"/>
                <w:b/>
                <w:bCs/>
                <w:kern w:val="2"/>
                <w:sz w:val="20"/>
              </w:rPr>
            </w:pPr>
            <w:r>
              <w:rPr>
                <w:rFonts w:ascii="Arial" w:eastAsiaTheme="minorEastAsia" w:hAnsi="Arial" w:cs="Arial"/>
                <w:b/>
                <w:bCs/>
                <w:kern w:val="2"/>
                <w:sz w:val="20"/>
              </w:rPr>
              <w:t>Industrial Competitiveness</w:t>
            </w:r>
          </w:p>
        </w:tc>
        <w:tc>
          <w:tcPr>
            <w:tcW w:w="1688" w:type="dxa"/>
            <w:tcBorders>
              <w:top w:val="single" w:sz="12" w:space="0" w:color="auto"/>
              <w:left w:val="nil"/>
              <w:bottom w:val="single" w:sz="4" w:space="0" w:color="auto"/>
              <w:right w:val="nil"/>
            </w:tcBorders>
            <w:tcMar>
              <w:top w:w="-1" w:type="dxa"/>
              <w:left w:w="-1" w:type="dxa"/>
              <w:bottom w:w="-1" w:type="dxa"/>
              <w:right w:w="-1" w:type="dxa"/>
            </w:tcMar>
          </w:tcPr>
          <w:p w14:paraId="3B339316" w14:textId="77777777" w:rsidR="00490675" w:rsidRDefault="009B469C">
            <w:pPr>
              <w:pStyle w:val="a"/>
              <w:adjustRightInd w:val="0"/>
              <w:snapToGrid w:val="0"/>
              <w:spacing w:line="480" w:lineRule="auto"/>
              <w:ind w:firstLineChars="0" w:firstLine="0"/>
              <w:rPr>
                <w:rFonts w:ascii="Arial" w:eastAsiaTheme="minorEastAsia" w:hAnsi="Arial" w:cs="Arial"/>
                <w:b/>
                <w:bCs/>
                <w:kern w:val="2"/>
                <w:sz w:val="20"/>
              </w:rPr>
            </w:pPr>
            <w:r>
              <w:rPr>
                <w:rFonts w:ascii="Arial" w:eastAsiaTheme="minorEastAsia" w:hAnsi="Arial" w:cs="Arial"/>
                <w:b/>
                <w:bCs/>
                <w:kern w:val="2"/>
                <w:sz w:val="20"/>
              </w:rPr>
              <w:t>Green Support Capacity</w:t>
            </w:r>
          </w:p>
        </w:tc>
        <w:tc>
          <w:tcPr>
            <w:tcW w:w="1522" w:type="dxa"/>
            <w:tcBorders>
              <w:top w:val="single" w:sz="12" w:space="0" w:color="auto"/>
              <w:left w:val="nil"/>
              <w:bottom w:val="single" w:sz="4" w:space="0" w:color="auto"/>
              <w:right w:val="nil"/>
            </w:tcBorders>
            <w:tcMar>
              <w:top w:w="-1" w:type="dxa"/>
              <w:left w:w="-1" w:type="dxa"/>
              <w:bottom w:w="-1" w:type="dxa"/>
              <w:right w:w="-1" w:type="dxa"/>
            </w:tcMar>
          </w:tcPr>
          <w:p w14:paraId="449E7BBF" w14:textId="77777777" w:rsidR="00490675" w:rsidRDefault="009B469C">
            <w:pPr>
              <w:pStyle w:val="a"/>
              <w:adjustRightInd w:val="0"/>
              <w:snapToGrid w:val="0"/>
              <w:spacing w:line="480" w:lineRule="auto"/>
              <w:ind w:firstLineChars="0" w:firstLine="0"/>
              <w:rPr>
                <w:rFonts w:ascii="Arial" w:eastAsiaTheme="minorEastAsia" w:hAnsi="Arial" w:cs="Arial"/>
                <w:b/>
                <w:bCs/>
                <w:kern w:val="2"/>
                <w:sz w:val="20"/>
              </w:rPr>
            </w:pPr>
            <w:r>
              <w:rPr>
                <w:rFonts w:ascii="Arial" w:eastAsiaTheme="minorEastAsia" w:hAnsi="Arial" w:cs="Arial"/>
                <w:b/>
                <w:bCs/>
                <w:kern w:val="2"/>
                <w:sz w:val="20"/>
              </w:rPr>
              <w:t>Livelihood and Prosperity Capacity</w:t>
            </w:r>
          </w:p>
        </w:tc>
      </w:tr>
      <w:tr w:rsidR="00490675" w14:paraId="6AE56479" w14:textId="77777777">
        <w:trPr>
          <w:tblHeader/>
          <w:jc w:val="right"/>
        </w:trPr>
        <w:tc>
          <w:tcPr>
            <w:tcW w:w="1356" w:type="dxa"/>
            <w:tcBorders>
              <w:top w:val="single" w:sz="4" w:space="0" w:color="auto"/>
              <w:left w:val="nil"/>
              <w:bottom w:val="nil"/>
              <w:right w:val="nil"/>
            </w:tcBorders>
            <w:tcMar>
              <w:top w:w="-1" w:type="dxa"/>
              <w:left w:w="-1" w:type="dxa"/>
              <w:bottom w:w="-1" w:type="dxa"/>
              <w:right w:w="-1" w:type="dxa"/>
            </w:tcMar>
          </w:tcPr>
          <w:p w14:paraId="497F120A" w14:textId="77777777" w:rsidR="00490675" w:rsidRDefault="00490675">
            <w:pPr>
              <w:pStyle w:val="a"/>
              <w:adjustRightInd w:val="0"/>
              <w:snapToGrid w:val="0"/>
              <w:spacing w:line="480" w:lineRule="auto"/>
              <w:ind w:firstLineChars="0" w:firstLine="0"/>
              <w:rPr>
                <w:sz w:val="20"/>
              </w:rPr>
            </w:pPr>
          </w:p>
        </w:tc>
        <w:tc>
          <w:tcPr>
            <w:tcW w:w="1416" w:type="dxa"/>
            <w:tcBorders>
              <w:top w:val="single" w:sz="4" w:space="0" w:color="auto"/>
              <w:left w:val="nil"/>
              <w:bottom w:val="nil"/>
              <w:right w:val="nil"/>
            </w:tcBorders>
            <w:tcMar>
              <w:top w:w="-1" w:type="dxa"/>
              <w:left w:w="-1" w:type="dxa"/>
              <w:bottom w:w="-1" w:type="dxa"/>
              <w:right w:w="-1" w:type="dxa"/>
            </w:tcMar>
          </w:tcPr>
          <w:p w14:paraId="2AE3F588"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Growth Rate (Times)</w:t>
            </w:r>
          </w:p>
          <w:p w14:paraId="064F2B77" w14:textId="77777777" w:rsidR="00490675" w:rsidRDefault="00490675">
            <w:pPr>
              <w:pStyle w:val="a"/>
              <w:adjustRightInd w:val="0"/>
              <w:snapToGrid w:val="0"/>
              <w:spacing w:line="480" w:lineRule="auto"/>
              <w:ind w:firstLineChars="0" w:firstLine="0"/>
              <w:rPr>
                <w:sz w:val="20"/>
              </w:rPr>
            </w:pPr>
          </w:p>
        </w:tc>
        <w:tc>
          <w:tcPr>
            <w:tcW w:w="2088" w:type="dxa"/>
            <w:tcBorders>
              <w:top w:val="single" w:sz="4" w:space="0" w:color="auto"/>
              <w:left w:val="nil"/>
              <w:bottom w:val="nil"/>
              <w:right w:val="nil"/>
            </w:tcBorders>
            <w:tcMar>
              <w:top w:w="-1" w:type="dxa"/>
              <w:left w:w="-1" w:type="dxa"/>
              <w:bottom w:w="-1" w:type="dxa"/>
              <w:right w:w="-1" w:type="dxa"/>
            </w:tcMar>
          </w:tcPr>
          <w:p w14:paraId="26432B88" w14:textId="77777777" w:rsidR="00490675" w:rsidRDefault="009B469C">
            <w:pPr>
              <w:pStyle w:val="a"/>
              <w:adjustRightInd w:val="0"/>
              <w:snapToGrid w:val="0"/>
              <w:spacing w:line="480" w:lineRule="auto"/>
              <w:ind w:firstLineChars="0" w:firstLine="0"/>
              <w:rPr>
                <w:rFonts w:ascii="Arial" w:hAnsi="Arial" w:cs="Arial"/>
                <w:sz w:val="20"/>
              </w:rPr>
            </w:pPr>
            <w:r>
              <w:rPr>
                <w:rFonts w:ascii="Arial" w:hAnsi="Arial" w:cs="Arial"/>
                <w:sz w:val="20"/>
              </w:rPr>
              <w:t>1.9606</w:t>
            </w:r>
          </w:p>
        </w:tc>
        <w:tc>
          <w:tcPr>
            <w:tcW w:w="1688" w:type="dxa"/>
            <w:tcBorders>
              <w:top w:val="single" w:sz="4" w:space="0" w:color="auto"/>
              <w:left w:val="nil"/>
              <w:bottom w:val="nil"/>
              <w:right w:val="nil"/>
            </w:tcBorders>
            <w:tcMar>
              <w:top w:w="-1" w:type="dxa"/>
              <w:left w:w="-1" w:type="dxa"/>
              <w:bottom w:w="-1" w:type="dxa"/>
              <w:right w:w="-1" w:type="dxa"/>
            </w:tcMar>
          </w:tcPr>
          <w:p w14:paraId="79E9B5D4" w14:textId="77777777" w:rsidR="00490675" w:rsidRDefault="009B469C">
            <w:pPr>
              <w:pStyle w:val="a"/>
              <w:adjustRightInd w:val="0"/>
              <w:snapToGrid w:val="0"/>
              <w:spacing w:line="480" w:lineRule="auto"/>
              <w:ind w:firstLineChars="0" w:firstLine="0"/>
              <w:rPr>
                <w:rFonts w:ascii="Arial" w:hAnsi="Arial" w:cs="Arial"/>
                <w:sz w:val="20"/>
              </w:rPr>
            </w:pPr>
            <w:r>
              <w:rPr>
                <w:rFonts w:ascii="Arial" w:hAnsi="Arial" w:cs="Arial"/>
                <w:sz w:val="20"/>
              </w:rPr>
              <w:t>0.4253</w:t>
            </w:r>
          </w:p>
        </w:tc>
        <w:tc>
          <w:tcPr>
            <w:tcW w:w="1522" w:type="dxa"/>
            <w:tcBorders>
              <w:top w:val="single" w:sz="4" w:space="0" w:color="auto"/>
              <w:left w:val="nil"/>
              <w:bottom w:val="nil"/>
              <w:right w:val="nil"/>
            </w:tcBorders>
            <w:tcMar>
              <w:top w:w="-1" w:type="dxa"/>
              <w:left w:w="-1" w:type="dxa"/>
              <w:bottom w:w="-1" w:type="dxa"/>
              <w:right w:w="-1" w:type="dxa"/>
            </w:tcMar>
          </w:tcPr>
          <w:p w14:paraId="15F1736A" w14:textId="77777777" w:rsidR="00490675" w:rsidRDefault="009B469C">
            <w:pPr>
              <w:pStyle w:val="a"/>
              <w:adjustRightInd w:val="0"/>
              <w:snapToGrid w:val="0"/>
              <w:spacing w:line="480" w:lineRule="auto"/>
              <w:ind w:firstLineChars="0" w:firstLine="0"/>
              <w:rPr>
                <w:rFonts w:ascii="Arial" w:hAnsi="Arial" w:cs="Arial"/>
                <w:sz w:val="20"/>
              </w:rPr>
            </w:pPr>
            <w:r>
              <w:rPr>
                <w:rFonts w:ascii="Arial" w:hAnsi="Arial" w:cs="Arial"/>
                <w:sz w:val="20"/>
              </w:rPr>
              <w:t>1.1174</w:t>
            </w:r>
          </w:p>
        </w:tc>
      </w:tr>
      <w:tr w:rsidR="00490675" w14:paraId="2D4BCBC6" w14:textId="77777777">
        <w:trPr>
          <w:tblHeader/>
          <w:jc w:val="right"/>
        </w:trPr>
        <w:tc>
          <w:tcPr>
            <w:tcW w:w="1356" w:type="dxa"/>
            <w:tcBorders>
              <w:top w:val="nil"/>
              <w:left w:val="nil"/>
              <w:bottom w:val="nil"/>
              <w:right w:val="nil"/>
            </w:tcBorders>
            <w:tcMar>
              <w:top w:w="-1" w:type="dxa"/>
              <w:left w:w="-1" w:type="dxa"/>
              <w:bottom w:w="-1" w:type="dxa"/>
              <w:right w:w="-1" w:type="dxa"/>
            </w:tcMar>
            <w:vAlign w:val="center"/>
          </w:tcPr>
          <w:p w14:paraId="7D4C7448" w14:textId="77777777" w:rsidR="00490675" w:rsidRDefault="00490675">
            <w:pPr>
              <w:pStyle w:val="a"/>
              <w:adjustRightInd w:val="0"/>
              <w:snapToGrid w:val="0"/>
              <w:spacing w:line="480" w:lineRule="auto"/>
              <w:ind w:firstLineChars="0" w:firstLine="0"/>
              <w:rPr>
                <w:rFonts w:ascii="Arial" w:eastAsiaTheme="minorEastAsia" w:hAnsi="Arial" w:cs="Arial"/>
                <w:kern w:val="2"/>
                <w:sz w:val="20"/>
              </w:rPr>
            </w:pPr>
          </w:p>
          <w:p w14:paraId="7915F7F2" w14:textId="77777777" w:rsidR="00490675" w:rsidRDefault="009B469C">
            <w:pPr>
              <w:pStyle w:val="a"/>
              <w:adjustRightInd w:val="0"/>
              <w:snapToGrid w:val="0"/>
              <w:spacing w:line="480" w:lineRule="auto"/>
              <w:ind w:firstLineChars="0" w:firstLine="0"/>
              <w:rPr>
                <w:sz w:val="20"/>
              </w:rPr>
            </w:pPr>
            <w:r>
              <w:rPr>
                <w:rFonts w:ascii="Arial" w:eastAsiaTheme="minorEastAsia" w:hAnsi="Arial" w:cs="Arial" w:hint="eastAsia"/>
                <w:kern w:val="2"/>
                <w:sz w:val="20"/>
              </w:rPr>
              <w:t>Southern Jiangsu</w:t>
            </w:r>
          </w:p>
        </w:tc>
        <w:tc>
          <w:tcPr>
            <w:tcW w:w="1416" w:type="dxa"/>
            <w:tcBorders>
              <w:top w:val="nil"/>
              <w:left w:val="nil"/>
              <w:bottom w:val="nil"/>
              <w:right w:val="nil"/>
            </w:tcBorders>
            <w:tcMar>
              <w:top w:w="-1" w:type="dxa"/>
              <w:left w:w="-1" w:type="dxa"/>
              <w:bottom w:w="-1" w:type="dxa"/>
              <w:right w:w="-1" w:type="dxa"/>
            </w:tcMar>
          </w:tcPr>
          <w:p w14:paraId="5AD6009D" w14:textId="77777777" w:rsidR="00490675" w:rsidRDefault="009B469C">
            <w:pPr>
              <w:pStyle w:val="a"/>
              <w:adjustRightInd w:val="0"/>
              <w:snapToGrid w:val="0"/>
              <w:spacing w:line="480" w:lineRule="auto"/>
              <w:ind w:firstLineChars="0" w:firstLine="0"/>
              <w:rPr>
                <w:sz w:val="20"/>
              </w:rPr>
            </w:pPr>
            <w:r>
              <w:rPr>
                <w:rFonts w:ascii="Arial" w:eastAsiaTheme="minorEastAsia" w:hAnsi="Arial" w:cs="Arial" w:hint="eastAsia"/>
                <w:kern w:val="2"/>
                <w:sz w:val="20"/>
              </w:rPr>
              <w:t>Mean</w:t>
            </w:r>
          </w:p>
        </w:tc>
        <w:tc>
          <w:tcPr>
            <w:tcW w:w="2088" w:type="dxa"/>
            <w:tcBorders>
              <w:top w:val="nil"/>
              <w:left w:val="nil"/>
              <w:bottom w:val="nil"/>
              <w:right w:val="nil"/>
            </w:tcBorders>
            <w:tcMar>
              <w:top w:w="-1" w:type="dxa"/>
              <w:left w:w="-1" w:type="dxa"/>
              <w:bottom w:w="-1" w:type="dxa"/>
              <w:right w:w="-1" w:type="dxa"/>
            </w:tcMar>
          </w:tcPr>
          <w:p w14:paraId="5EE2710F" w14:textId="77777777" w:rsidR="00490675" w:rsidRDefault="009B469C">
            <w:pPr>
              <w:pStyle w:val="a"/>
              <w:adjustRightInd w:val="0"/>
              <w:snapToGrid w:val="0"/>
              <w:spacing w:line="480" w:lineRule="auto"/>
              <w:ind w:firstLineChars="0" w:firstLine="0"/>
              <w:rPr>
                <w:rFonts w:ascii="Arial" w:hAnsi="Arial" w:cs="Arial"/>
                <w:sz w:val="20"/>
              </w:rPr>
            </w:pPr>
            <w:r>
              <w:rPr>
                <w:rFonts w:ascii="Arial" w:hAnsi="Arial" w:cs="Arial"/>
                <w:sz w:val="20"/>
              </w:rPr>
              <w:t>0.3474</w:t>
            </w:r>
          </w:p>
        </w:tc>
        <w:tc>
          <w:tcPr>
            <w:tcW w:w="1688" w:type="dxa"/>
            <w:tcBorders>
              <w:top w:val="nil"/>
              <w:left w:val="nil"/>
              <w:bottom w:val="nil"/>
              <w:right w:val="nil"/>
            </w:tcBorders>
            <w:tcMar>
              <w:top w:w="-1" w:type="dxa"/>
              <w:left w:w="-1" w:type="dxa"/>
              <w:bottom w:w="-1" w:type="dxa"/>
              <w:right w:w="-1" w:type="dxa"/>
            </w:tcMar>
          </w:tcPr>
          <w:p w14:paraId="3018271D" w14:textId="77777777" w:rsidR="00490675" w:rsidRDefault="009B469C">
            <w:pPr>
              <w:pStyle w:val="a"/>
              <w:adjustRightInd w:val="0"/>
              <w:snapToGrid w:val="0"/>
              <w:spacing w:line="480" w:lineRule="auto"/>
              <w:ind w:firstLineChars="0" w:firstLine="0"/>
              <w:rPr>
                <w:rFonts w:ascii="Arial" w:hAnsi="Arial" w:cs="Arial"/>
                <w:sz w:val="20"/>
              </w:rPr>
            </w:pPr>
            <w:r>
              <w:rPr>
                <w:rFonts w:ascii="Arial" w:hAnsi="Arial" w:cs="Arial"/>
                <w:sz w:val="20"/>
              </w:rPr>
              <w:t>0.7136</w:t>
            </w:r>
          </w:p>
        </w:tc>
        <w:tc>
          <w:tcPr>
            <w:tcW w:w="1522" w:type="dxa"/>
            <w:tcBorders>
              <w:top w:val="nil"/>
              <w:left w:val="nil"/>
              <w:bottom w:val="nil"/>
              <w:right w:val="nil"/>
            </w:tcBorders>
            <w:tcMar>
              <w:top w:w="-1" w:type="dxa"/>
              <w:left w:w="-1" w:type="dxa"/>
              <w:bottom w:w="-1" w:type="dxa"/>
              <w:right w:w="-1" w:type="dxa"/>
            </w:tcMar>
          </w:tcPr>
          <w:p w14:paraId="29A15522" w14:textId="77777777" w:rsidR="00490675" w:rsidRDefault="009B469C">
            <w:pPr>
              <w:pStyle w:val="a"/>
              <w:adjustRightInd w:val="0"/>
              <w:snapToGrid w:val="0"/>
              <w:spacing w:line="480" w:lineRule="auto"/>
              <w:ind w:firstLineChars="0" w:firstLine="0"/>
              <w:rPr>
                <w:rFonts w:ascii="Arial" w:hAnsi="Arial" w:cs="Arial"/>
                <w:sz w:val="20"/>
              </w:rPr>
            </w:pPr>
            <w:r>
              <w:rPr>
                <w:rFonts w:ascii="Arial" w:hAnsi="Arial" w:cs="Arial"/>
                <w:sz w:val="20"/>
              </w:rPr>
              <w:t>0.3639</w:t>
            </w:r>
          </w:p>
        </w:tc>
      </w:tr>
      <w:tr w:rsidR="00490675" w14:paraId="61C4C030" w14:textId="77777777">
        <w:trPr>
          <w:tblHeader/>
          <w:jc w:val="right"/>
        </w:trPr>
        <w:tc>
          <w:tcPr>
            <w:tcW w:w="1356" w:type="dxa"/>
            <w:tcBorders>
              <w:top w:val="nil"/>
              <w:left w:val="nil"/>
              <w:bottom w:val="nil"/>
              <w:right w:val="nil"/>
            </w:tcBorders>
            <w:tcMar>
              <w:top w:w="-1" w:type="dxa"/>
              <w:left w:w="-1" w:type="dxa"/>
              <w:bottom w:w="-1" w:type="dxa"/>
              <w:right w:w="-1" w:type="dxa"/>
            </w:tcMar>
          </w:tcPr>
          <w:p w14:paraId="4FD53D46" w14:textId="77777777" w:rsidR="00490675" w:rsidRDefault="00490675">
            <w:pPr>
              <w:pStyle w:val="a"/>
              <w:adjustRightInd w:val="0"/>
              <w:snapToGrid w:val="0"/>
              <w:spacing w:line="480" w:lineRule="auto"/>
              <w:ind w:firstLineChars="0" w:firstLine="0"/>
              <w:rPr>
                <w:sz w:val="20"/>
              </w:rPr>
            </w:pPr>
          </w:p>
        </w:tc>
        <w:tc>
          <w:tcPr>
            <w:tcW w:w="1416" w:type="dxa"/>
            <w:tcBorders>
              <w:top w:val="nil"/>
              <w:left w:val="nil"/>
              <w:bottom w:val="nil"/>
              <w:right w:val="nil"/>
            </w:tcBorders>
            <w:tcMar>
              <w:top w:w="-1" w:type="dxa"/>
              <w:left w:w="-1" w:type="dxa"/>
              <w:bottom w:w="-1" w:type="dxa"/>
              <w:right w:w="-1" w:type="dxa"/>
            </w:tcMar>
          </w:tcPr>
          <w:p w14:paraId="429C982C" w14:textId="77777777" w:rsidR="00490675" w:rsidRDefault="009B469C">
            <w:pPr>
              <w:pStyle w:val="a"/>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kern w:val="2"/>
                <w:sz w:val="20"/>
              </w:rPr>
              <w:t>Growth Rate (Times)</w:t>
            </w:r>
          </w:p>
          <w:p w14:paraId="0C869F7D" w14:textId="77777777" w:rsidR="00490675" w:rsidRDefault="00490675">
            <w:pPr>
              <w:pStyle w:val="a"/>
              <w:adjustRightInd w:val="0"/>
              <w:snapToGrid w:val="0"/>
              <w:spacing w:line="480" w:lineRule="auto"/>
              <w:ind w:firstLineChars="0" w:firstLine="0"/>
              <w:rPr>
                <w:sz w:val="20"/>
              </w:rPr>
            </w:pPr>
          </w:p>
        </w:tc>
        <w:tc>
          <w:tcPr>
            <w:tcW w:w="2088" w:type="dxa"/>
            <w:tcBorders>
              <w:top w:val="nil"/>
              <w:left w:val="nil"/>
              <w:bottom w:val="nil"/>
              <w:right w:val="nil"/>
            </w:tcBorders>
            <w:tcMar>
              <w:top w:w="-1" w:type="dxa"/>
              <w:left w:w="-1" w:type="dxa"/>
              <w:bottom w:w="-1" w:type="dxa"/>
              <w:right w:w="-1" w:type="dxa"/>
            </w:tcMar>
          </w:tcPr>
          <w:p w14:paraId="23A1272C" w14:textId="77777777" w:rsidR="00490675" w:rsidRDefault="009B469C">
            <w:pPr>
              <w:pStyle w:val="a"/>
              <w:adjustRightInd w:val="0"/>
              <w:snapToGrid w:val="0"/>
              <w:spacing w:line="480" w:lineRule="auto"/>
              <w:ind w:firstLineChars="0" w:firstLine="0"/>
              <w:rPr>
                <w:rFonts w:ascii="Arial" w:hAnsi="Arial" w:cs="Arial"/>
                <w:sz w:val="20"/>
              </w:rPr>
            </w:pPr>
            <w:r>
              <w:rPr>
                <w:rFonts w:ascii="Arial" w:hAnsi="Arial" w:cs="Arial"/>
                <w:sz w:val="20"/>
              </w:rPr>
              <w:t>2.4777</w:t>
            </w:r>
          </w:p>
        </w:tc>
        <w:tc>
          <w:tcPr>
            <w:tcW w:w="1688" w:type="dxa"/>
            <w:tcBorders>
              <w:top w:val="nil"/>
              <w:left w:val="nil"/>
              <w:bottom w:val="nil"/>
              <w:right w:val="nil"/>
            </w:tcBorders>
            <w:tcMar>
              <w:top w:w="-1" w:type="dxa"/>
              <w:left w:w="-1" w:type="dxa"/>
              <w:bottom w:w="-1" w:type="dxa"/>
              <w:right w:w="-1" w:type="dxa"/>
            </w:tcMar>
          </w:tcPr>
          <w:p w14:paraId="786895A1" w14:textId="77777777" w:rsidR="00490675" w:rsidRDefault="009B469C">
            <w:pPr>
              <w:pStyle w:val="a"/>
              <w:adjustRightInd w:val="0"/>
              <w:snapToGrid w:val="0"/>
              <w:spacing w:line="480" w:lineRule="auto"/>
              <w:ind w:firstLineChars="0" w:firstLine="0"/>
              <w:rPr>
                <w:rFonts w:ascii="Arial" w:hAnsi="Arial" w:cs="Arial"/>
                <w:sz w:val="20"/>
              </w:rPr>
            </w:pPr>
            <w:r>
              <w:rPr>
                <w:rFonts w:ascii="Arial" w:hAnsi="Arial" w:cs="Arial"/>
                <w:sz w:val="20"/>
              </w:rPr>
              <w:t>0.3749</w:t>
            </w:r>
          </w:p>
        </w:tc>
        <w:tc>
          <w:tcPr>
            <w:tcW w:w="1522" w:type="dxa"/>
            <w:tcBorders>
              <w:top w:val="nil"/>
              <w:left w:val="nil"/>
              <w:bottom w:val="nil"/>
              <w:right w:val="nil"/>
            </w:tcBorders>
            <w:tcMar>
              <w:top w:w="-1" w:type="dxa"/>
              <w:left w:w="-1" w:type="dxa"/>
              <w:bottom w:w="-1" w:type="dxa"/>
              <w:right w:w="-1" w:type="dxa"/>
            </w:tcMar>
          </w:tcPr>
          <w:p w14:paraId="5F4128BD" w14:textId="77777777" w:rsidR="00490675" w:rsidRDefault="009B469C">
            <w:pPr>
              <w:pStyle w:val="a"/>
              <w:adjustRightInd w:val="0"/>
              <w:snapToGrid w:val="0"/>
              <w:spacing w:line="480" w:lineRule="auto"/>
              <w:ind w:firstLineChars="0" w:firstLine="0"/>
              <w:rPr>
                <w:rFonts w:ascii="Arial" w:hAnsi="Arial" w:cs="Arial"/>
                <w:sz w:val="20"/>
              </w:rPr>
            </w:pPr>
            <w:r>
              <w:rPr>
                <w:rFonts w:ascii="Arial" w:hAnsi="Arial" w:cs="Arial"/>
                <w:sz w:val="20"/>
              </w:rPr>
              <w:t>1.2365</w:t>
            </w:r>
          </w:p>
        </w:tc>
      </w:tr>
      <w:tr w:rsidR="00490675" w14:paraId="51D5C0FD" w14:textId="77777777">
        <w:trPr>
          <w:tblHeader/>
          <w:jc w:val="right"/>
        </w:trPr>
        <w:tc>
          <w:tcPr>
            <w:tcW w:w="1356" w:type="dxa"/>
            <w:tcBorders>
              <w:top w:val="nil"/>
              <w:left w:val="nil"/>
              <w:bottom w:val="nil"/>
              <w:right w:val="nil"/>
            </w:tcBorders>
            <w:tcMar>
              <w:top w:w="-1" w:type="dxa"/>
              <w:left w:w="-1" w:type="dxa"/>
              <w:bottom w:w="-1" w:type="dxa"/>
              <w:right w:w="-1" w:type="dxa"/>
            </w:tcMar>
          </w:tcPr>
          <w:p w14:paraId="540DCFFF" w14:textId="77777777" w:rsidR="00490675" w:rsidRDefault="009B469C">
            <w:pPr>
              <w:pStyle w:val="a"/>
              <w:adjustRightInd w:val="0"/>
              <w:snapToGrid w:val="0"/>
              <w:spacing w:line="480" w:lineRule="auto"/>
              <w:ind w:firstLineChars="0" w:firstLine="0"/>
              <w:rPr>
                <w:sz w:val="20"/>
              </w:rPr>
            </w:pPr>
            <w:r>
              <w:rPr>
                <w:rFonts w:ascii="Arial" w:eastAsiaTheme="minorEastAsia" w:hAnsi="Arial" w:cs="Arial" w:hint="eastAsia"/>
                <w:kern w:val="2"/>
                <w:sz w:val="20"/>
              </w:rPr>
              <w:t>Jiangsu</w:t>
            </w:r>
          </w:p>
        </w:tc>
        <w:tc>
          <w:tcPr>
            <w:tcW w:w="1416" w:type="dxa"/>
            <w:tcBorders>
              <w:top w:val="nil"/>
              <w:left w:val="nil"/>
              <w:bottom w:val="nil"/>
              <w:right w:val="nil"/>
            </w:tcBorders>
            <w:tcMar>
              <w:top w:w="-1" w:type="dxa"/>
              <w:left w:w="-1" w:type="dxa"/>
              <w:bottom w:w="-1" w:type="dxa"/>
              <w:right w:w="-1" w:type="dxa"/>
            </w:tcMar>
          </w:tcPr>
          <w:p w14:paraId="30F14C52" w14:textId="77777777" w:rsidR="00490675" w:rsidRDefault="009B469C">
            <w:pPr>
              <w:pStyle w:val="a"/>
              <w:adjustRightInd w:val="0"/>
              <w:snapToGrid w:val="0"/>
              <w:spacing w:line="480" w:lineRule="auto"/>
              <w:ind w:firstLineChars="0" w:firstLine="0"/>
              <w:rPr>
                <w:sz w:val="20"/>
              </w:rPr>
            </w:pPr>
            <w:r>
              <w:rPr>
                <w:rFonts w:ascii="Arial" w:eastAsiaTheme="minorEastAsia" w:hAnsi="Arial" w:cs="Arial" w:hint="eastAsia"/>
                <w:kern w:val="2"/>
                <w:sz w:val="20"/>
              </w:rPr>
              <w:t>Mean</w:t>
            </w:r>
          </w:p>
        </w:tc>
        <w:tc>
          <w:tcPr>
            <w:tcW w:w="2088" w:type="dxa"/>
            <w:tcBorders>
              <w:top w:val="nil"/>
              <w:left w:val="nil"/>
              <w:bottom w:val="nil"/>
              <w:right w:val="nil"/>
            </w:tcBorders>
            <w:tcMar>
              <w:top w:w="-1" w:type="dxa"/>
              <w:left w:w="-1" w:type="dxa"/>
              <w:bottom w:w="-1" w:type="dxa"/>
              <w:right w:w="-1" w:type="dxa"/>
            </w:tcMar>
          </w:tcPr>
          <w:p w14:paraId="3409A1BC" w14:textId="77777777" w:rsidR="00490675" w:rsidRDefault="009B469C">
            <w:pPr>
              <w:pStyle w:val="a"/>
              <w:adjustRightInd w:val="0"/>
              <w:snapToGrid w:val="0"/>
              <w:spacing w:line="480" w:lineRule="auto"/>
              <w:ind w:firstLineChars="0" w:firstLine="0"/>
              <w:rPr>
                <w:rFonts w:ascii="Arial" w:hAnsi="Arial" w:cs="Arial"/>
                <w:sz w:val="20"/>
              </w:rPr>
            </w:pPr>
            <w:r>
              <w:rPr>
                <w:rFonts w:ascii="Arial" w:hAnsi="Arial" w:cs="Arial"/>
                <w:sz w:val="20"/>
              </w:rPr>
              <w:t>0.3843</w:t>
            </w:r>
          </w:p>
        </w:tc>
        <w:tc>
          <w:tcPr>
            <w:tcW w:w="1688" w:type="dxa"/>
            <w:tcBorders>
              <w:top w:val="nil"/>
              <w:left w:val="nil"/>
              <w:bottom w:val="nil"/>
              <w:right w:val="nil"/>
            </w:tcBorders>
            <w:tcMar>
              <w:top w:w="-1" w:type="dxa"/>
              <w:left w:w="-1" w:type="dxa"/>
              <w:bottom w:w="-1" w:type="dxa"/>
              <w:right w:w="-1" w:type="dxa"/>
            </w:tcMar>
          </w:tcPr>
          <w:p w14:paraId="708E68C2" w14:textId="77777777" w:rsidR="00490675" w:rsidRDefault="009B469C">
            <w:pPr>
              <w:pStyle w:val="a"/>
              <w:adjustRightInd w:val="0"/>
              <w:snapToGrid w:val="0"/>
              <w:spacing w:line="480" w:lineRule="auto"/>
              <w:ind w:firstLineChars="0" w:firstLine="0"/>
              <w:rPr>
                <w:rFonts w:ascii="Arial" w:hAnsi="Arial" w:cs="Arial"/>
                <w:sz w:val="20"/>
              </w:rPr>
            </w:pPr>
            <w:r>
              <w:rPr>
                <w:rFonts w:ascii="Arial" w:hAnsi="Arial" w:cs="Arial"/>
                <w:sz w:val="20"/>
              </w:rPr>
              <w:t>0.5015</w:t>
            </w:r>
          </w:p>
        </w:tc>
        <w:tc>
          <w:tcPr>
            <w:tcW w:w="1522" w:type="dxa"/>
            <w:tcBorders>
              <w:top w:val="nil"/>
              <w:left w:val="nil"/>
              <w:bottom w:val="nil"/>
              <w:right w:val="nil"/>
            </w:tcBorders>
            <w:tcMar>
              <w:top w:w="-1" w:type="dxa"/>
              <w:left w:w="-1" w:type="dxa"/>
              <w:bottom w:w="-1" w:type="dxa"/>
              <w:right w:w="-1" w:type="dxa"/>
            </w:tcMar>
          </w:tcPr>
          <w:p w14:paraId="2255D4E9" w14:textId="77777777" w:rsidR="00490675" w:rsidRDefault="009B469C">
            <w:pPr>
              <w:pStyle w:val="a"/>
              <w:adjustRightInd w:val="0"/>
              <w:snapToGrid w:val="0"/>
              <w:spacing w:line="480" w:lineRule="auto"/>
              <w:ind w:firstLineChars="0" w:firstLine="0"/>
              <w:rPr>
                <w:rFonts w:ascii="Arial" w:hAnsi="Arial" w:cs="Arial"/>
                <w:sz w:val="20"/>
              </w:rPr>
            </w:pPr>
            <w:r>
              <w:rPr>
                <w:rFonts w:ascii="Arial" w:hAnsi="Arial" w:cs="Arial"/>
                <w:sz w:val="20"/>
              </w:rPr>
              <w:t>0.4247</w:t>
            </w:r>
          </w:p>
        </w:tc>
      </w:tr>
      <w:tr w:rsidR="00490675" w14:paraId="40E94CE9" w14:textId="77777777">
        <w:trPr>
          <w:tblHeader/>
          <w:jc w:val="right"/>
        </w:trPr>
        <w:tc>
          <w:tcPr>
            <w:tcW w:w="1356" w:type="dxa"/>
            <w:tcBorders>
              <w:top w:val="nil"/>
              <w:left w:val="nil"/>
              <w:bottom w:val="single" w:sz="12" w:space="0" w:color="auto"/>
              <w:right w:val="nil"/>
            </w:tcBorders>
            <w:tcMar>
              <w:top w:w="-1" w:type="dxa"/>
              <w:left w:w="-1" w:type="dxa"/>
              <w:bottom w:w="-1" w:type="dxa"/>
              <w:right w:w="-1" w:type="dxa"/>
            </w:tcMar>
          </w:tcPr>
          <w:p w14:paraId="10599BA8" w14:textId="77777777" w:rsidR="00490675" w:rsidRDefault="00490675">
            <w:pPr>
              <w:pStyle w:val="a"/>
              <w:adjustRightInd w:val="0"/>
              <w:snapToGrid w:val="0"/>
              <w:spacing w:line="480" w:lineRule="auto"/>
              <w:ind w:firstLineChars="0" w:firstLine="0"/>
              <w:rPr>
                <w:sz w:val="20"/>
              </w:rPr>
            </w:pPr>
          </w:p>
        </w:tc>
        <w:tc>
          <w:tcPr>
            <w:tcW w:w="1416" w:type="dxa"/>
            <w:tcBorders>
              <w:top w:val="nil"/>
              <w:left w:val="nil"/>
              <w:bottom w:val="single" w:sz="12" w:space="0" w:color="auto"/>
              <w:right w:val="nil"/>
            </w:tcBorders>
            <w:tcMar>
              <w:top w:w="-1" w:type="dxa"/>
              <w:left w:w="-1" w:type="dxa"/>
              <w:bottom w:w="-1" w:type="dxa"/>
              <w:right w:w="-1" w:type="dxa"/>
            </w:tcMar>
          </w:tcPr>
          <w:p w14:paraId="58B5252A" w14:textId="77777777" w:rsidR="00490675" w:rsidRDefault="009B469C">
            <w:pPr>
              <w:pStyle w:val="a"/>
              <w:adjustRightInd w:val="0"/>
              <w:snapToGrid w:val="0"/>
              <w:spacing w:line="480" w:lineRule="auto"/>
              <w:ind w:firstLineChars="0" w:firstLine="0"/>
              <w:rPr>
                <w:sz w:val="20"/>
              </w:rPr>
            </w:pPr>
            <w:r>
              <w:rPr>
                <w:rFonts w:ascii="Arial" w:eastAsiaTheme="minorEastAsia" w:hAnsi="Arial" w:cs="Arial"/>
                <w:kern w:val="2"/>
                <w:sz w:val="20"/>
              </w:rPr>
              <w:t>Growth Rate (Times)</w:t>
            </w:r>
          </w:p>
        </w:tc>
        <w:tc>
          <w:tcPr>
            <w:tcW w:w="2088" w:type="dxa"/>
            <w:tcBorders>
              <w:top w:val="nil"/>
              <w:left w:val="nil"/>
              <w:bottom w:val="single" w:sz="12" w:space="0" w:color="auto"/>
              <w:right w:val="nil"/>
            </w:tcBorders>
            <w:tcMar>
              <w:top w:w="-1" w:type="dxa"/>
              <w:left w:w="-1" w:type="dxa"/>
              <w:bottom w:w="-1" w:type="dxa"/>
              <w:right w:w="-1" w:type="dxa"/>
            </w:tcMar>
          </w:tcPr>
          <w:p w14:paraId="385FB1BF" w14:textId="77777777" w:rsidR="00490675" w:rsidRDefault="009B469C">
            <w:pPr>
              <w:pStyle w:val="a"/>
              <w:adjustRightInd w:val="0"/>
              <w:snapToGrid w:val="0"/>
              <w:spacing w:line="480" w:lineRule="auto"/>
              <w:ind w:firstLineChars="0" w:firstLine="0"/>
              <w:rPr>
                <w:rFonts w:ascii="Arial" w:hAnsi="Arial" w:cs="Arial"/>
                <w:sz w:val="20"/>
              </w:rPr>
            </w:pPr>
            <w:r>
              <w:rPr>
                <w:rFonts w:ascii="Arial" w:hAnsi="Arial" w:cs="Arial"/>
                <w:sz w:val="20"/>
              </w:rPr>
              <w:t>1.4172</w:t>
            </w:r>
          </w:p>
        </w:tc>
        <w:tc>
          <w:tcPr>
            <w:tcW w:w="1688" w:type="dxa"/>
            <w:tcBorders>
              <w:top w:val="nil"/>
              <w:left w:val="nil"/>
              <w:bottom w:val="single" w:sz="12" w:space="0" w:color="auto"/>
              <w:right w:val="nil"/>
            </w:tcBorders>
            <w:tcMar>
              <w:top w:w="-1" w:type="dxa"/>
              <w:left w:w="-1" w:type="dxa"/>
              <w:bottom w:w="-1" w:type="dxa"/>
              <w:right w:w="-1" w:type="dxa"/>
            </w:tcMar>
          </w:tcPr>
          <w:p w14:paraId="4A32BF08" w14:textId="77777777" w:rsidR="00490675" w:rsidRDefault="009B469C">
            <w:pPr>
              <w:pStyle w:val="a"/>
              <w:adjustRightInd w:val="0"/>
              <w:snapToGrid w:val="0"/>
              <w:spacing w:line="480" w:lineRule="auto"/>
              <w:ind w:firstLineChars="0" w:firstLine="0"/>
              <w:rPr>
                <w:rFonts w:ascii="Arial" w:hAnsi="Arial" w:cs="Arial"/>
                <w:sz w:val="20"/>
              </w:rPr>
            </w:pPr>
            <w:r>
              <w:rPr>
                <w:rFonts w:ascii="Arial" w:hAnsi="Arial" w:cs="Arial"/>
                <w:sz w:val="20"/>
              </w:rPr>
              <w:t>0.6837</w:t>
            </w:r>
          </w:p>
        </w:tc>
        <w:tc>
          <w:tcPr>
            <w:tcW w:w="1522" w:type="dxa"/>
            <w:tcBorders>
              <w:top w:val="nil"/>
              <w:left w:val="nil"/>
              <w:bottom w:val="single" w:sz="12" w:space="0" w:color="auto"/>
              <w:right w:val="nil"/>
            </w:tcBorders>
            <w:tcMar>
              <w:top w:w="-1" w:type="dxa"/>
              <w:left w:w="-1" w:type="dxa"/>
              <w:bottom w:w="-1" w:type="dxa"/>
              <w:right w:w="-1" w:type="dxa"/>
            </w:tcMar>
          </w:tcPr>
          <w:p w14:paraId="17D77D29" w14:textId="77777777" w:rsidR="00490675" w:rsidRDefault="009B469C">
            <w:pPr>
              <w:pStyle w:val="a"/>
              <w:adjustRightInd w:val="0"/>
              <w:snapToGrid w:val="0"/>
              <w:spacing w:line="480" w:lineRule="auto"/>
              <w:ind w:firstLineChars="0" w:firstLine="0"/>
              <w:rPr>
                <w:rFonts w:ascii="Arial" w:hAnsi="Arial" w:cs="Arial"/>
                <w:sz w:val="20"/>
              </w:rPr>
            </w:pPr>
            <w:r>
              <w:rPr>
                <w:rFonts w:ascii="Arial" w:hAnsi="Arial" w:cs="Arial"/>
                <w:sz w:val="20"/>
              </w:rPr>
              <w:t>0.5080</w:t>
            </w:r>
          </w:p>
        </w:tc>
      </w:tr>
    </w:tbl>
    <w:p w14:paraId="51385744" w14:textId="77777777" w:rsidR="00490675" w:rsidRDefault="00490675">
      <w:pPr>
        <w:widowControl/>
        <w:topLinePunct/>
        <w:rPr>
          <w:rFonts w:ascii="Arial" w:hAnsi="Arial"/>
          <w:b/>
          <w:sz w:val="22"/>
          <w:szCs w:val="22"/>
        </w:rPr>
      </w:pPr>
    </w:p>
    <w:p w14:paraId="7978B69F" w14:textId="77777777" w:rsidR="00490675" w:rsidRDefault="009B469C">
      <w:pPr>
        <w:widowControl/>
        <w:topLinePunct/>
        <w:rPr>
          <w:rFonts w:ascii="Arial" w:hAnsi="Arial"/>
          <w:b/>
          <w:sz w:val="22"/>
          <w:szCs w:val="22"/>
        </w:rPr>
      </w:pPr>
      <w:r>
        <w:rPr>
          <w:rFonts w:ascii="Arial" w:hAnsi="Arial" w:hint="eastAsia"/>
          <w:b/>
          <w:sz w:val="22"/>
          <w:szCs w:val="22"/>
        </w:rPr>
        <w:t>3.4 Regional Disparities</w:t>
      </w:r>
    </w:p>
    <w:p w14:paraId="2702F9AF" w14:textId="77777777" w:rsidR="00490675" w:rsidRDefault="00490675">
      <w:pPr>
        <w:widowControl/>
        <w:topLinePunct/>
        <w:rPr>
          <w:rFonts w:ascii="Arial" w:hAnsi="Arial" w:cs="Arial"/>
          <w:sz w:val="20"/>
          <w:szCs w:val="20"/>
        </w:rPr>
      </w:pPr>
    </w:p>
    <w:p w14:paraId="3831753B" w14:textId="77777777" w:rsidR="00490675" w:rsidRDefault="009B469C">
      <w:pPr>
        <w:widowControl/>
        <w:topLinePunct/>
        <w:rPr>
          <w:rFonts w:ascii="Arial" w:hAnsi="Arial"/>
          <w:b/>
        </w:rPr>
      </w:pPr>
      <w:r>
        <w:rPr>
          <w:rFonts w:ascii="Arial" w:hAnsi="Arial" w:cs="Arial" w:hint="eastAsia"/>
          <w:sz w:val="20"/>
          <w:szCs w:val="20"/>
        </w:rPr>
        <w:t>The overall Gini coefficient for rural industrial revitalization in Jiangsu Province from 2013 to 2024 showed a downward trend year by year, decreasing from 0.1682 in 2013 to 0.0897 in 2024, with a cumulative decline of 46.7%. Furthermore, the Gini coeffic</w:t>
      </w:r>
      <w:r>
        <w:rPr>
          <w:rFonts w:ascii="Arial" w:hAnsi="Arial" w:cs="Arial" w:hint="eastAsia"/>
          <w:sz w:val="20"/>
          <w:szCs w:val="20"/>
        </w:rPr>
        <w:t>ient for each year was less than 0.2, indicating relatively small overall disparities. This indicates that the overall regional disparities in rural industrial revitalization in Jiangsu Province continued to narrow during the sample period, demonstrating t</w:t>
      </w:r>
      <w:r>
        <w:rPr>
          <w:rFonts w:ascii="Arial" w:hAnsi="Arial" w:cs="Arial" w:hint="eastAsia"/>
          <w:sz w:val="20"/>
          <w:szCs w:val="20"/>
        </w:rPr>
        <w:t>he significant effectiveness of regional coordinated development policies and a sustained improvement in the spatial balance of rural industrial development.</w:t>
      </w:r>
    </w:p>
    <w:p w14:paraId="5C6B3D49" w14:textId="77777777" w:rsidR="00490675" w:rsidRDefault="009B469C">
      <w:pPr>
        <w:widowControl/>
        <w:topLinePunct/>
        <w:spacing w:line="480" w:lineRule="auto"/>
        <w:rPr>
          <w:rFonts w:ascii="Arial" w:hAnsi="Arial"/>
          <w:b/>
          <w:sz w:val="20"/>
          <w:szCs w:val="20"/>
        </w:rPr>
      </w:pPr>
      <w:r>
        <w:rPr>
          <w:rFonts w:ascii="Arial" w:hAnsi="Arial" w:hint="eastAsia"/>
          <w:b/>
          <w:sz w:val="20"/>
          <w:szCs w:val="20"/>
        </w:rPr>
        <w:t>Table 5 Decomposition Results of the Differences in Rural Industrial Revitalization Levels in Jian</w:t>
      </w:r>
      <w:r>
        <w:rPr>
          <w:rFonts w:ascii="Arial" w:hAnsi="Arial" w:hint="eastAsia"/>
          <w:b/>
          <w:sz w:val="20"/>
          <w:szCs w:val="20"/>
        </w:rPr>
        <w:t>gsu Province from 2013 to 2024</w:t>
      </w:r>
    </w:p>
    <w:tbl>
      <w:tblPr>
        <w:tblW w:w="8426" w:type="dxa"/>
        <w:jc w:val="center"/>
        <w:tblBorders>
          <w:top w:val="none" w:sz="12" w:space="0" w:color="000000" w:themeColor="text1"/>
          <w:bottom w:val="none" w:sz="12" w:space="0" w:color="000000" w:themeColor="text1"/>
        </w:tblBorders>
        <w:tblLayout w:type="fixed"/>
        <w:tblCellMar>
          <w:top w:w="15" w:type="dxa"/>
          <w:left w:w="15" w:type="dxa"/>
          <w:bottom w:w="15" w:type="dxa"/>
          <w:right w:w="15" w:type="dxa"/>
        </w:tblCellMar>
        <w:tblLook w:val="04A0" w:firstRow="1" w:lastRow="0" w:firstColumn="1" w:lastColumn="0" w:noHBand="0" w:noVBand="1"/>
      </w:tblPr>
      <w:tblGrid>
        <w:gridCol w:w="605"/>
        <w:gridCol w:w="792"/>
        <w:gridCol w:w="1197"/>
        <w:gridCol w:w="974"/>
        <w:gridCol w:w="1375"/>
        <w:gridCol w:w="1054"/>
        <w:gridCol w:w="1054"/>
        <w:gridCol w:w="1375"/>
      </w:tblGrid>
      <w:tr w:rsidR="00490675" w14:paraId="285C4BD9" w14:textId="77777777">
        <w:trPr>
          <w:tblHeader/>
          <w:jc w:val="center"/>
        </w:trPr>
        <w:tc>
          <w:tcPr>
            <w:tcW w:w="605" w:type="dxa"/>
            <w:tcBorders>
              <w:top w:val="single" w:sz="12" w:space="0" w:color="auto"/>
              <w:left w:val="nil"/>
              <w:bottom w:val="nil"/>
              <w:right w:val="nil"/>
              <w:tl2br w:val="nil"/>
              <w:tr2bl w:val="nil"/>
            </w:tcBorders>
            <w:tcMar>
              <w:top w:w="60" w:type="dxa"/>
              <w:left w:w="60" w:type="dxa"/>
              <w:bottom w:w="60" w:type="dxa"/>
              <w:right w:w="60" w:type="dxa"/>
            </w:tcMar>
            <w:vAlign w:val="center"/>
          </w:tcPr>
          <w:p w14:paraId="191B0618" w14:textId="77777777" w:rsidR="00490675" w:rsidRDefault="009B469C">
            <w:pPr>
              <w:pStyle w:val="a"/>
              <w:widowControl w:val="0"/>
              <w:adjustRightInd w:val="0"/>
              <w:snapToGrid w:val="0"/>
              <w:spacing w:line="480" w:lineRule="auto"/>
              <w:ind w:firstLineChars="0" w:firstLine="0"/>
              <w:rPr>
                <w:rFonts w:ascii="Arial" w:eastAsiaTheme="minorEastAsia" w:hAnsi="Arial" w:cs="Arial"/>
                <w:b/>
                <w:bCs/>
                <w:kern w:val="2"/>
                <w:sz w:val="20"/>
              </w:rPr>
            </w:pPr>
            <w:r>
              <w:rPr>
                <w:rFonts w:ascii="Arial" w:eastAsiaTheme="minorEastAsia" w:hAnsi="Arial" w:cs="Arial" w:hint="eastAsia"/>
                <w:b/>
                <w:bCs/>
                <w:kern w:val="2"/>
                <w:sz w:val="20"/>
              </w:rPr>
              <w:t>year</w:t>
            </w:r>
          </w:p>
        </w:tc>
        <w:tc>
          <w:tcPr>
            <w:tcW w:w="792" w:type="dxa"/>
            <w:tcBorders>
              <w:top w:val="single" w:sz="12" w:space="0" w:color="auto"/>
              <w:left w:val="nil"/>
              <w:bottom w:val="nil"/>
              <w:right w:val="nil"/>
              <w:tl2br w:val="nil"/>
              <w:tr2bl w:val="nil"/>
            </w:tcBorders>
            <w:tcMar>
              <w:top w:w="60" w:type="dxa"/>
              <w:left w:w="60" w:type="dxa"/>
              <w:bottom w:w="60" w:type="dxa"/>
              <w:right w:w="60" w:type="dxa"/>
            </w:tcMar>
            <w:vAlign w:val="center"/>
          </w:tcPr>
          <w:p w14:paraId="3CC581C3" w14:textId="77777777" w:rsidR="00490675" w:rsidRDefault="009B469C">
            <w:pPr>
              <w:pStyle w:val="a"/>
              <w:widowControl w:val="0"/>
              <w:adjustRightInd w:val="0"/>
              <w:snapToGrid w:val="0"/>
              <w:spacing w:line="480" w:lineRule="auto"/>
              <w:ind w:firstLineChars="0" w:firstLine="0"/>
              <w:rPr>
                <w:rFonts w:ascii="Arial" w:eastAsiaTheme="minorEastAsia" w:hAnsi="Arial" w:cs="Arial"/>
                <w:b/>
                <w:bCs/>
                <w:kern w:val="2"/>
                <w:sz w:val="20"/>
              </w:rPr>
            </w:pPr>
            <w:r>
              <w:rPr>
                <w:rFonts w:ascii="Arial" w:eastAsiaTheme="minorEastAsia" w:hAnsi="Arial" w:cs="Arial" w:hint="eastAsia"/>
                <w:b/>
                <w:bCs/>
                <w:kern w:val="2"/>
                <w:sz w:val="20"/>
              </w:rPr>
              <w:t>Overall Gini coefficient</w:t>
            </w:r>
          </w:p>
        </w:tc>
        <w:tc>
          <w:tcPr>
            <w:tcW w:w="1197" w:type="dxa"/>
            <w:tcBorders>
              <w:top w:val="single" w:sz="12" w:space="0" w:color="auto"/>
              <w:left w:val="nil"/>
              <w:bottom w:val="nil"/>
              <w:right w:val="nil"/>
              <w:tl2br w:val="nil"/>
              <w:tr2bl w:val="nil"/>
            </w:tcBorders>
            <w:tcMar>
              <w:top w:w="60" w:type="dxa"/>
              <w:left w:w="60" w:type="dxa"/>
              <w:bottom w:w="60" w:type="dxa"/>
              <w:right w:w="60" w:type="dxa"/>
            </w:tcMar>
            <w:vAlign w:val="center"/>
          </w:tcPr>
          <w:p w14:paraId="000FF4C7" w14:textId="77777777" w:rsidR="00490675" w:rsidRDefault="009B469C">
            <w:pPr>
              <w:pStyle w:val="a"/>
              <w:widowControl w:val="0"/>
              <w:adjustRightInd w:val="0"/>
              <w:snapToGrid w:val="0"/>
              <w:spacing w:line="480" w:lineRule="auto"/>
              <w:ind w:firstLineChars="0" w:firstLine="0"/>
              <w:rPr>
                <w:rFonts w:ascii="Arial" w:eastAsiaTheme="minorEastAsia" w:hAnsi="Arial" w:cs="Arial"/>
                <w:b/>
                <w:bCs/>
                <w:kern w:val="2"/>
                <w:sz w:val="20"/>
              </w:rPr>
            </w:pPr>
            <w:r>
              <w:rPr>
                <w:rFonts w:ascii="Arial" w:eastAsiaTheme="minorEastAsia" w:hAnsi="Arial" w:cs="Arial" w:hint="eastAsia"/>
                <w:b/>
                <w:bCs/>
                <w:kern w:val="2"/>
                <w:sz w:val="20"/>
              </w:rPr>
              <w:t>Intra-group disparity</w:t>
            </w:r>
          </w:p>
          <w:p w14:paraId="7F2E2F16" w14:textId="77777777" w:rsidR="00490675" w:rsidRDefault="009B469C">
            <w:pPr>
              <w:pStyle w:val="a"/>
              <w:widowControl w:val="0"/>
              <w:adjustRightInd w:val="0"/>
              <w:snapToGrid w:val="0"/>
              <w:spacing w:line="480" w:lineRule="auto"/>
              <w:ind w:firstLineChars="0" w:firstLine="0"/>
              <w:rPr>
                <w:rFonts w:ascii="Arial" w:eastAsiaTheme="minorEastAsia" w:hAnsi="Arial" w:cs="Arial"/>
                <w:b/>
                <w:bCs/>
                <w:kern w:val="2"/>
                <w:sz w:val="20"/>
              </w:rPr>
            </w:pPr>
            <w:proofErr w:type="spellStart"/>
            <w:r>
              <w:rPr>
                <w:rFonts w:ascii="Arial" w:eastAsiaTheme="minorEastAsia" w:hAnsi="Arial" w:cs="Arial" w:hint="eastAsia"/>
                <w:b/>
                <w:bCs/>
                <w:kern w:val="2"/>
                <w:sz w:val="20"/>
              </w:rPr>
              <w:t>Gw</w:t>
            </w:r>
            <w:proofErr w:type="spellEnd"/>
            <w:r>
              <w:rPr>
                <w:rFonts w:ascii="Arial" w:eastAsiaTheme="minorEastAsia" w:hAnsi="Arial" w:cs="Arial" w:hint="eastAsia"/>
                <w:b/>
                <w:bCs/>
                <w:kern w:val="2"/>
                <w:sz w:val="20"/>
              </w:rPr>
              <w:t>​</w:t>
            </w:r>
          </w:p>
        </w:tc>
        <w:tc>
          <w:tcPr>
            <w:tcW w:w="974" w:type="dxa"/>
            <w:tcBorders>
              <w:top w:val="single" w:sz="12" w:space="0" w:color="auto"/>
              <w:left w:val="nil"/>
              <w:bottom w:val="nil"/>
              <w:right w:val="nil"/>
              <w:tl2br w:val="nil"/>
              <w:tr2bl w:val="nil"/>
            </w:tcBorders>
            <w:tcMar>
              <w:top w:w="60" w:type="dxa"/>
              <w:left w:w="60" w:type="dxa"/>
              <w:bottom w:w="60" w:type="dxa"/>
              <w:right w:w="60" w:type="dxa"/>
            </w:tcMar>
            <w:vAlign w:val="center"/>
          </w:tcPr>
          <w:p w14:paraId="29D1530F" w14:textId="77777777" w:rsidR="00490675" w:rsidRDefault="009B469C">
            <w:pPr>
              <w:pStyle w:val="a"/>
              <w:widowControl w:val="0"/>
              <w:adjustRightInd w:val="0"/>
              <w:snapToGrid w:val="0"/>
              <w:spacing w:line="480" w:lineRule="auto"/>
              <w:ind w:firstLineChars="0" w:firstLine="0"/>
              <w:rPr>
                <w:rFonts w:ascii="Arial" w:eastAsiaTheme="minorEastAsia" w:hAnsi="Arial" w:cs="Arial"/>
                <w:b/>
                <w:bCs/>
                <w:kern w:val="2"/>
                <w:sz w:val="20"/>
              </w:rPr>
            </w:pPr>
            <w:r>
              <w:rPr>
                <w:rFonts w:ascii="Arial" w:eastAsiaTheme="minorEastAsia" w:hAnsi="Arial" w:cs="Arial" w:hint="eastAsia"/>
                <w:b/>
                <w:bCs/>
                <w:kern w:val="2"/>
                <w:sz w:val="20"/>
              </w:rPr>
              <w:t xml:space="preserve">Inter-group net disparity </w:t>
            </w:r>
            <w:proofErr w:type="spellStart"/>
            <w:r>
              <w:rPr>
                <w:rFonts w:ascii="Arial" w:eastAsiaTheme="minorEastAsia" w:hAnsi="Arial" w:cs="Arial" w:hint="eastAsia"/>
                <w:b/>
                <w:bCs/>
                <w:kern w:val="2"/>
                <w:sz w:val="20"/>
              </w:rPr>
              <w:t>Gnb</w:t>
            </w:r>
            <w:proofErr w:type="spellEnd"/>
            <w:r>
              <w:rPr>
                <w:rFonts w:ascii="Arial" w:eastAsiaTheme="minorEastAsia" w:hAnsi="Arial" w:cs="Arial" w:hint="eastAsia"/>
                <w:b/>
                <w:bCs/>
                <w:kern w:val="2"/>
                <w:sz w:val="20"/>
              </w:rPr>
              <w:t>​</w:t>
            </w:r>
          </w:p>
        </w:tc>
        <w:tc>
          <w:tcPr>
            <w:tcW w:w="1375" w:type="dxa"/>
            <w:tcBorders>
              <w:top w:val="single" w:sz="12" w:space="0" w:color="auto"/>
              <w:left w:val="nil"/>
              <w:bottom w:val="nil"/>
              <w:right w:val="nil"/>
              <w:tl2br w:val="nil"/>
              <w:tr2bl w:val="nil"/>
            </w:tcBorders>
            <w:tcMar>
              <w:top w:w="60" w:type="dxa"/>
              <w:left w:w="60" w:type="dxa"/>
              <w:bottom w:w="60" w:type="dxa"/>
              <w:right w:w="60" w:type="dxa"/>
            </w:tcMar>
            <w:vAlign w:val="center"/>
          </w:tcPr>
          <w:p w14:paraId="5E6C357F" w14:textId="77777777" w:rsidR="00490675" w:rsidRDefault="009B469C">
            <w:pPr>
              <w:pStyle w:val="a"/>
              <w:widowControl w:val="0"/>
              <w:adjustRightInd w:val="0"/>
              <w:snapToGrid w:val="0"/>
              <w:spacing w:line="480" w:lineRule="auto"/>
              <w:ind w:firstLineChars="0" w:firstLine="0"/>
              <w:rPr>
                <w:rFonts w:ascii="Arial" w:eastAsiaTheme="minorEastAsia" w:hAnsi="Arial" w:cs="Arial"/>
                <w:b/>
                <w:bCs/>
                <w:kern w:val="2"/>
                <w:sz w:val="20"/>
              </w:rPr>
            </w:pPr>
            <w:r>
              <w:rPr>
                <w:rFonts w:ascii="Arial" w:eastAsiaTheme="minorEastAsia" w:hAnsi="Arial" w:cs="Arial" w:hint="eastAsia"/>
                <w:b/>
                <w:bCs/>
                <w:kern w:val="2"/>
                <w:sz w:val="20"/>
              </w:rPr>
              <w:t>Hyper-variability density Gt</w:t>
            </w:r>
            <w:r>
              <w:rPr>
                <w:rFonts w:ascii="Arial" w:eastAsiaTheme="minorEastAsia" w:hAnsi="Arial" w:cs="Arial" w:hint="eastAsia"/>
                <w:b/>
                <w:bCs/>
                <w:kern w:val="2"/>
                <w:sz w:val="20"/>
              </w:rPr>
              <w:t>​</w:t>
            </w:r>
          </w:p>
        </w:tc>
        <w:tc>
          <w:tcPr>
            <w:tcW w:w="1054" w:type="dxa"/>
            <w:tcBorders>
              <w:top w:val="single" w:sz="12" w:space="0" w:color="auto"/>
              <w:left w:val="nil"/>
              <w:bottom w:val="nil"/>
              <w:right w:val="nil"/>
              <w:tl2br w:val="nil"/>
              <w:tr2bl w:val="nil"/>
            </w:tcBorders>
            <w:tcMar>
              <w:top w:w="60" w:type="dxa"/>
              <w:left w:w="60" w:type="dxa"/>
              <w:bottom w:w="60" w:type="dxa"/>
              <w:right w:w="60" w:type="dxa"/>
            </w:tcMar>
            <w:vAlign w:val="center"/>
          </w:tcPr>
          <w:p w14:paraId="784D3B2D" w14:textId="77777777" w:rsidR="00490675" w:rsidRDefault="009B469C">
            <w:pPr>
              <w:pStyle w:val="a"/>
              <w:widowControl w:val="0"/>
              <w:adjustRightInd w:val="0"/>
              <w:snapToGrid w:val="0"/>
              <w:spacing w:line="480" w:lineRule="auto"/>
              <w:ind w:firstLineChars="0" w:firstLine="0"/>
              <w:rPr>
                <w:rFonts w:ascii="Arial" w:eastAsiaTheme="minorEastAsia" w:hAnsi="Arial" w:cs="Arial"/>
                <w:b/>
                <w:bCs/>
                <w:kern w:val="2"/>
                <w:sz w:val="20"/>
              </w:rPr>
            </w:pPr>
            <w:r>
              <w:rPr>
                <w:rFonts w:ascii="Arial" w:eastAsiaTheme="minorEastAsia" w:hAnsi="Arial" w:cs="Arial" w:hint="eastAsia"/>
                <w:b/>
                <w:bCs/>
                <w:kern w:val="2"/>
                <w:sz w:val="20"/>
              </w:rPr>
              <w:t xml:space="preserve">Intra-group contribution rate </w:t>
            </w:r>
          </w:p>
        </w:tc>
        <w:tc>
          <w:tcPr>
            <w:tcW w:w="1054" w:type="dxa"/>
            <w:tcBorders>
              <w:top w:val="single" w:sz="12" w:space="0" w:color="auto"/>
              <w:left w:val="nil"/>
              <w:bottom w:val="nil"/>
              <w:right w:val="nil"/>
              <w:tl2br w:val="nil"/>
              <w:tr2bl w:val="nil"/>
            </w:tcBorders>
            <w:tcMar>
              <w:top w:w="60" w:type="dxa"/>
              <w:left w:w="60" w:type="dxa"/>
              <w:bottom w:w="60" w:type="dxa"/>
              <w:right w:w="60" w:type="dxa"/>
            </w:tcMar>
            <w:vAlign w:val="center"/>
          </w:tcPr>
          <w:p w14:paraId="45E418B8" w14:textId="77777777" w:rsidR="00490675" w:rsidRDefault="009B469C">
            <w:pPr>
              <w:pStyle w:val="a"/>
              <w:widowControl w:val="0"/>
              <w:adjustRightInd w:val="0"/>
              <w:snapToGrid w:val="0"/>
              <w:spacing w:line="480" w:lineRule="auto"/>
              <w:ind w:firstLineChars="0" w:firstLine="0"/>
              <w:rPr>
                <w:rFonts w:ascii="Arial" w:eastAsiaTheme="minorEastAsia" w:hAnsi="Arial" w:cs="Arial"/>
                <w:b/>
                <w:bCs/>
                <w:kern w:val="2"/>
                <w:sz w:val="20"/>
              </w:rPr>
            </w:pPr>
            <w:r>
              <w:rPr>
                <w:rFonts w:ascii="Arial" w:eastAsiaTheme="minorEastAsia" w:hAnsi="Arial" w:cs="Arial" w:hint="eastAsia"/>
                <w:b/>
                <w:bCs/>
                <w:kern w:val="2"/>
                <w:sz w:val="20"/>
              </w:rPr>
              <w:t xml:space="preserve">Inter-group contribution rate </w:t>
            </w:r>
          </w:p>
        </w:tc>
        <w:tc>
          <w:tcPr>
            <w:tcW w:w="1375" w:type="dxa"/>
            <w:tcBorders>
              <w:top w:val="single" w:sz="12" w:space="0" w:color="auto"/>
              <w:left w:val="nil"/>
              <w:bottom w:val="nil"/>
              <w:right w:val="nil"/>
              <w:tl2br w:val="nil"/>
              <w:tr2bl w:val="nil"/>
            </w:tcBorders>
            <w:tcMar>
              <w:top w:w="60" w:type="dxa"/>
              <w:left w:w="60" w:type="dxa"/>
              <w:bottom w:w="60" w:type="dxa"/>
              <w:right w:w="60" w:type="dxa"/>
            </w:tcMar>
            <w:vAlign w:val="center"/>
          </w:tcPr>
          <w:p w14:paraId="5A952FEC" w14:textId="77777777" w:rsidR="00490675" w:rsidRDefault="009B469C">
            <w:pPr>
              <w:pStyle w:val="a"/>
              <w:widowControl w:val="0"/>
              <w:adjustRightInd w:val="0"/>
              <w:snapToGrid w:val="0"/>
              <w:spacing w:line="480" w:lineRule="auto"/>
              <w:ind w:firstLineChars="0" w:firstLine="0"/>
              <w:rPr>
                <w:rFonts w:ascii="Arial" w:eastAsiaTheme="minorEastAsia" w:hAnsi="Arial" w:cs="Arial"/>
                <w:b/>
                <w:bCs/>
                <w:kern w:val="2"/>
                <w:sz w:val="20"/>
              </w:rPr>
            </w:pPr>
            <w:r>
              <w:rPr>
                <w:rFonts w:ascii="Arial" w:eastAsiaTheme="minorEastAsia" w:hAnsi="Arial" w:cs="Arial" w:hint="eastAsia"/>
                <w:b/>
                <w:bCs/>
                <w:kern w:val="2"/>
                <w:sz w:val="20"/>
              </w:rPr>
              <w:t>Hyper-variability density contribution rate</w:t>
            </w:r>
          </w:p>
        </w:tc>
      </w:tr>
      <w:tr w:rsidR="00490675" w14:paraId="2D2F5DC1" w14:textId="77777777">
        <w:trPr>
          <w:jc w:val="center"/>
        </w:trPr>
        <w:tc>
          <w:tcPr>
            <w:tcW w:w="605" w:type="dxa"/>
            <w:tcBorders>
              <w:top w:val="single" w:sz="4" w:space="0" w:color="auto"/>
              <w:left w:val="nil"/>
              <w:bottom w:val="nil"/>
              <w:right w:val="nil"/>
              <w:tl2br w:val="nil"/>
              <w:tr2bl w:val="nil"/>
            </w:tcBorders>
            <w:tcMar>
              <w:top w:w="60" w:type="dxa"/>
              <w:left w:w="60" w:type="dxa"/>
              <w:bottom w:w="60" w:type="dxa"/>
              <w:right w:w="60" w:type="dxa"/>
            </w:tcMar>
            <w:vAlign w:val="center"/>
          </w:tcPr>
          <w:p w14:paraId="77D698DF"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lastRenderedPageBreak/>
              <w:t>2013</w:t>
            </w:r>
          </w:p>
        </w:tc>
        <w:tc>
          <w:tcPr>
            <w:tcW w:w="792" w:type="dxa"/>
            <w:tcBorders>
              <w:top w:val="single" w:sz="4" w:space="0" w:color="auto"/>
              <w:left w:val="nil"/>
              <w:bottom w:val="nil"/>
              <w:right w:val="nil"/>
              <w:tl2br w:val="nil"/>
              <w:tr2bl w:val="nil"/>
            </w:tcBorders>
            <w:tcMar>
              <w:top w:w="60" w:type="dxa"/>
              <w:left w:w="60" w:type="dxa"/>
              <w:bottom w:w="60" w:type="dxa"/>
              <w:right w:w="60" w:type="dxa"/>
            </w:tcMar>
            <w:vAlign w:val="center"/>
          </w:tcPr>
          <w:p w14:paraId="7EB3A96E"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0.1682</w:t>
            </w:r>
          </w:p>
        </w:tc>
        <w:tc>
          <w:tcPr>
            <w:tcW w:w="1197" w:type="dxa"/>
            <w:tcBorders>
              <w:top w:val="single" w:sz="4" w:space="0" w:color="auto"/>
              <w:left w:val="nil"/>
              <w:bottom w:val="nil"/>
              <w:right w:val="nil"/>
              <w:tl2br w:val="nil"/>
              <w:tr2bl w:val="nil"/>
            </w:tcBorders>
            <w:tcMar>
              <w:top w:w="60" w:type="dxa"/>
              <w:left w:w="60" w:type="dxa"/>
              <w:bottom w:w="60" w:type="dxa"/>
              <w:right w:w="60" w:type="dxa"/>
            </w:tcMar>
            <w:vAlign w:val="center"/>
          </w:tcPr>
          <w:p w14:paraId="4D77DC11"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0.0711</w:t>
            </w:r>
          </w:p>
        </w:tc>
        <w:tc>
          <w:tcPr>
            <w:tcW w:w="974" w:type="dxa"/>
            <w:tcBorders>
              <w:top w:val="single" w:sz="4" w:space="0" w:color="auto"/>
              <w:left w:val="nil"/>
              <w:bottom w:val="nil"/>
              <w:right w:val="nil"/>
              <w:tl2br w:val="nil"/>
              <w:tr2bl w:val="nil"/>
            </w:tcBorders>
            <w:tcMar>
              <w:top w:w="60" w:type="dxa"/>
              <w:left w:w="60" w:type="dxa"/>
              <w:bottom w:w="60" w:type="dxa"/>
              <w:right w:w="60" w:type="dxa"/>
            </w:tcMar>
            <w:vAlign w:val="center"/>
          </w:tcPr>
          <w:p w14:paraId="0A4262CD"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0.0435</w:t>
            </w:r>
          </w:p>
        </w:tc>
        <w:tc>
          <w:tcPr>
            <w:tcW w:w="1375" w:type="dxa"/>
            <w:tcBorders>
              <w:top w:val="single" w:sz="4" w:space="0" w:color="auto"/>
              <w:left w:val="nil"/>
              <w:bottom w:val="nil"/>
              <w:right w:val="nil"/>
              <w:tl2br w:val="nil"/>
              <w:tr2bl w:val="nil"/>
            </w:tcBorders>
            <w:tcMar>
              <w:top w:w="60" w:type="dxa"/>
              <w:left w:w="60" w:type="dxa"/>
              <w:bottom w:w="60" w:type="dxa"/>
              <w:right w:w="60" w:type="dxa"/>
            </w:tcMar>
            <w:vAlign w:val="center"/>
          </w:tcPr>
          <w:p w14:paraId="2FD51828"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0.0536</w:t>
            </w:r>
          </w:p>
        </w:tc>
        <w:tc>
          <w:tcPr>
            <w:tcW w:w="1054" w:type="dxa"/>
            <w:tcBorders>
              <w:top w:val="single" w:sz="4" w:space="0" w:color="auto"/>
              <w:left w:val="nil"/>
              <w:bottom w:val="nil"/>
              <w:right w:val="nil"/>
              <w:tl2br w:val="nil"/>
              <w:tr2bl w:val="nil"/>
            </w:tcBorders>
            <w:tcMar>
              <w:top w:w="60" w:type="dxa"/>
              <w:left w:w="60" w:type="dxa"/>
              <w:bottom w:w="60" w:type="dxa"/>
              <w:right w:w="60" w:type="dxa"/>
            </w:tcMar>
            <w:vAlign w:val="center"/>
          </w:tcPr>
          <w:p w14:paraId="1D0C8D87"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0.4227</w:t>
            </w:r>
          </w:p>
        </w:tc>
        <w:tc>
          <w:tcPr>
            <w:tcW w:w="1054" w:type="dxa"/>
            <w:tcBorders>
              <w:top w:val="single" w:sz="4" w:space="0" w:color="auto"/>
              <w:left w:val="nil"/>
              <w:bottom w:val="nil"/>
              <w:right w:val="nil"/>
              <w:tl2br w:val="nil"/>
              <w:tr2bl w:val="nil"/>
            </w:tcBorders>
            <w:tcMar>
              <w:top w:w="60" w:type="dxa"/>
              <w:left w:w="60" w:type="dxa"/>
              <w:bottom w:w="60" w:type="dxa"/>
              <w:right w:w="60" w:type="dxa"/>
            </w:tcMar>
            <w:vAlign w:val="center"/>
          </w:tcPr>
          <w:p w14:paraId="059E231A"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0.2586</w:t>
            </w:r>
          </w:p>
        </w:tc>
        <w:tc>
          <w:tcPr>
            <w:tcW w:w="1375" w:type="dxa"/>
            <w:tcBorders>
              <w:top w:val="single" w:sz="4" w:space="0" w:color="auto"/>
              <w:left w:val="nil"/>
              <w:bottom w:val="nil"/>
              <w:right w:val="nil"/>
              <w:tl2br w:val="nil"/>
              <w:tr2bl w:val="nil"/>
            </w:tcBorders>
            <w:tcMar>
              <w:top w:w="60" w:type="dxa"/>
              <w:left w:w="60" w:type="dxa"/>
              <w:bottom w:w="60" w:type="dxa"/>
              <w:right w:w="60" w:type="dxa"/>
            </w:tcMar>
            <w:vAlign w:val="center"/>
          </w:tcPr>
          <w:p w14:paraId="1EB5529F"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0.3187</w:t>
            </w:r>
          </w:p>
        </w:tc>
      </w:tr>
      <w:tr w:rsidR="00490675" w14:paraId="039CDDC4" w14:textId="77777777">
        <w:trPr>
          <w:jc w:val="center"/>
        </w:trPr>
        <w:tc>
          <w:tcPr>
            <w:tcW w:w="605" w:type="dxa"/>
            <w:tcBorders>
              <w:top w:val="nil"/>
              <w:left w:val="nil"/>
              <w:bottom w:val="nil"/>
              <w:right w:val="nil"/>
              <w:tl2br w:val="nil"/>
              <w:tr2bl w:val="nil"/>
            </w:tcBorders>
            <w:tcMar>
              <w:top w:w="60" w:type="dxa"/>
              <w:left w:w="60" w:type="dxa"/>
              <w:bottom w:w="60" w:type="dxa"/>
              <w:right w:w="60" w:type="dxa"/>
            </w:tcMar>
            <w:vAlign w:val="center"/>
          </w:tcPr>
          <w:p w14:paraId="0D2C6D3D"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2014</w:t>
            </w:r>
          </w:p>
        </w:tc>
        <w:tc>
          <w:tcPr>
            <w:tcW w:w="792" w:type="dxa"/>
            <w:tcBorders>
              <w:top w:val="nil"/>
              <w:left w:val="nil"/>
              <w:bottom w:val="nil"/>
              <w:right w:val="nil"/>
              <w:tl2br w:val="nil"/>
              <w:tr2bl w:val="nil"/>
            </w:tcBorders>
            <w:tcMar>
              <w:top w:w="60" w:type="dxa"/>
              <w:left w:w="60" w:type="dxa"/>
              <w:bottom w:w="60" w:type="dxa"/>
              <w:right w:w="60" w:type="dxa"/>
            </w:tcMar>
            <w:vAlign w:val="center"/>
          </w:tcPr>
          <w:p w14:paraId="7C677281"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0.1641</w:t>
            </w:r>
          </w:p>
        </w:tc>
        <w:tc>
          <w:tcPr>
            <w:tcW w:w="1197" w:type="dxa"/>
            <w:tcBorders>
              <w:top w:val="nil"/>
              <w:left w:val="nil"/>
              <w:bottom w:val="nil"/>
              <w:right w:val="nil"/>
              <w:tl2br w:val="nil"/>
              <w:tr2bl w:val="nil"/>
            </w:tcBorders>
            <w:tcMar>
              <w:top w:w="60" w:type="dxa"/>
              <w:left w:w="60" w:type="dxa"/>
              <w:bottom w:w="60" w:type="dxa"/>
              <w:right w:w="60" w:type="dxa"/>
            </w:tcMar>
            <w:vAlign w:val="center"/>
          </w:tcPr>
          <w:p w14:paraId="27A0CBA8"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0.0694</w:t>
            </w:r>
          </w:p>
        </w:tc>
        <w:tc>
          <w:tcPr>
            <w:tcW w:w="974" w:type="dxa"/>
            <w:tcBorders>
              <w:top w:val="nil"/>
              <w:left w:val="nil"/>
              <w:bottom w:val="nil"/>
              <w:right w:val="nil"/>
              <w:tl2br w:val="nil"/>
              <w:tr2bl w:val="nil"/>
            </w:tcBorders>
            <w:tcMar>
              <w:top w:w="60" w:type="dxa"/>
              <w:left w:w="60" w:type="dxa"/>
              <w:bottom w:w="60" w:type="dxa"/>
              <w:right w:w="60" w:type="dxa"/>
            </w:tcMar>
            <w:vAlign w:val="center"/>
          </w:tcPr>
          <w:p w14:paraId="5EB1AB32"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0.0451</w:t>
            </w:r>
          </w:p>
        </w:tc>
        <w:tc>
          <w:tcPr>
            <w:tcW w:w="1375" w:type="dxa"/>
            <w:tcBorders>
              <w:top w:val="nil"/>
              <w:left w:val="nil"/>
              <w:bottom w:val="nil"/>
              <w:right w:val="nil"/>
              <w:tl2br w:val="nil"/>
              <w:tr2bl w:val="nil"/>
            </w:tcBorders>
            <w:tcMar>
              <w:top w:w="60" w:type="dxa"/>
              <w:left w:w="60" w:type="dxa"/>
              <w:bottom w:w="60" w:type="dxa"/>
              <w:right w:w="60" w:type="dxa"/>
            </w:tcMar>
            <w:vAlign w:val="center"/>
          </w:tcPr>
          <w:p w14:paraId="61017BB9"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0.0496</w:t>
            </w:r>
          </w:p>
        </w:tc>
        <w:tc>
          <w:tcPr>
            <w:tcW w:w="1054" w:type="dxa"/>
            <w:tcBorders>
              <w:top w:val="nil"/>
              <w:left w:val="nil"/>
              <w:bottom w:val="nil"/>
              <w:right w:val="nil"/>
              <w:tl2br w:val="nil"/>
              <w:tr2bl w:val="nil"/>
            </w:tcBorders>
            <w:tcMar>
              <w:top w:w="60" w:type="dxa"/>
              <w:left w:w="60" w:type="dxa"/>
              <w:bottom w:w="60" w:type="dxa"/>
              <w:right w:w="60" w:type="dxa"/>
            </w:tcMar>
            <w:vAlign w:val="center"/>
          </w:tcPr>
          <w:p w14:paraId="10F44AE4"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0.4229</w:t>
            </w:r>
          </w:p>
        </w:tc>
        <w:tc>
          <w:tcPr>
            <w:tcW w:w="1054" w:type="dxa"/>
            <w:tcBorders>
              <w:top w:val="nil"/>
              <w:left w:val="nil"/>
              <w:bottom w:val="nil"/>
              <w:right w:val="nil"/>
              <w:tl2br w:val="nil"/>
              <w:tr2bl w:val="nil"/>
            </w:tcBorders>
            <w:tcMar>
              <w:top w:w="60" w:type="dxa"/>
              <w:left w:w="60" w:type="dxa"/>
              <w:bottom w:w="60" w:type="dxa"/>
              <w:right w:w="60" w:type="dxa"/>
            </w:tcMar>
            <w:vAlign w:val="center"/>
          </w:tcPr>
          <w:p w14:paraId="06E9C8C6"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0.2748</w:t>
            </w:r>
          </w:p>
        </w:tc>
        <w:tc>
          <w:tcPr>
            <w:tcW w:w="1375" w:type="dxa"/>
            <w:tcBorders>
              <w:top w:val="nil"/>
              <w:left w:val="nil"/>
              <w:bottom w:val="nil"/>
              <w:right w:val="nil"/>
              <w:tl2br w:val="nil"/>
              <w:tr2bl w:val="nil"/>
            </w:tcBorders>
            <w:tcMar>
              <w:top w:w="60" w:type="dxa"/>
              <w:left w:w="60" w:type="dxa"/>
              <w:bottom w:w="60" w:type="dxa"/>
              <w:right w:w="60" w:type="dxa"/>
            </w:tcMar>
            <w:vAlign w:val="center"/>
          </w:tcPr>
          <w:p w14:paraId="51C81365"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0.3023</w:t>
            </w:r>
          </w:p>
        </w:tc>
      </w:tr>
      <w:tr w:rsidR="00490675" w14:paraId="048DAD7B" w14:textId="77777777">
        <w:trPr>
          <w:jc w:val="center"/>
        </w:trPr>
        <w:tc>
          <w:tcPr>
            <w:tcW w:w="605" w:type="dxa"/>
            <w:tcBorders>
              <w:top w:val="nil"/>
              <w:left w:val="nil"/>
              <w:bottom w:val="nil"/>
              <w:right w:val="nil"/>
              <w:tl2br w:val="nil"/>
              <w:tr2bl w:val="nil"/>
            </w:tcBorders>
            <w:tcMar>
              <w:top w:w="60" w:type="dxa"/>
              <w:left w:w="60" w:type="dxa"/>
              <w:bottom w:w="60" w:type="dxa"/>
              <w:right w:w="60" w:type="dxa"/>
            </w:tcMar>
            <w:vAlign w:val="center"/>
          </w:tcPr>
          <w:p w14:paraId="33F4540A"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2015</w:t>
            </w:r>
          </w:p>
        </w:tc>
        <w:tc>
          <w:tcPr>
            <w:tcW w:w="792" w:type="dxa"/>
            <w:tcBorders>
              <w:top w:val="nil"/>
              <w:left w:val="nil"/>
              <w:bottom w:val="nil"/>
              <w:right w:val="nil"/>
              <w:tl2br w:val="nil"/>
              <w:tr2bl w:val="nil"/>
            </w:tcBorders>
            <w:tcMar>
              <w:top w:w="60" w:type="dxa"/>
              <w:left w:w="60" w:type="dxa"/>
              <w:bottom w:w="60" w:type="dxa"/>
              <w:right w:w="60" w:type="dxa"/>
            </w:tcMar>
            <w:vAlign w:val="center"/>
          </w:tcPr>
          <w:p w14:paraId="3F48C113"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0.1554</w:t>
            </w:r>
          </w:p>
        </w:tc>
        <w:tc>
          <w:tcPr>
            <w:tcW w:w="1197" w:type="dxa"/>
            <w:tcBorders>
              <w:top w:val="nil"/>
              <w:left w:val="nil"/>
              <w:bottom w:val="nil"/>
              <w:right w:val="nil"/>
              <w:tl2br w:val="nil"/>
              <w:tr2bl w:val="nil"/>
            </w:tcBorders>
            <w:tcMar>
              <w:top w:w="60" w:type="dxa"/>
              <w:left w:w="60" w:type="dxa"/>
              <w:bottom w:w="60" w:type="dxa"/>
              <w:right w:w="60" w:type="dxa"/>
            </w:tcMar>
            <w:vAlign w:val="center"/>
          </w:tcPr>
          <w:p w14:paraId="6523CDA4"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0.0689</w:t>
            </w:r>
          </w:p>
        </w:tc>
        <w:tc>
          <w:tcPr>
            <w:tcW w:w="974" w:type="dxa"/>
            <w:tcBorders>
              <w:top w:val="nil"/>
              <w:left w:val="nil"/>
              <w:bottom w:val="nil"/>
              <w:right w:val="nil"/>
              <w:tl2br w:val="nil"/>
              <w:tr2bl w:val="nil"/>
            </w:tcBorders>
            <w:tcMar>
              <w:top w:w="60" w:type="dxa"/>
              <w:left w:w="60" w:type="dxa"/>
              <w:bottom w:w="60" w:type="dxa"/>
              <w:right w:w="60" w:type="dxa"/>
            </w:tcMar>
            <w:vAlign w:val="center"/>
          </w:tcPr>
          <w:p w14:paraId="29950151"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0.0472</w:t>
            </w:r>
          </w:p>
        </w:tc>
        <w:tc>
          <w:tcPr>
            <w:tcW w:w="1375" w:type="dxa"/>
            <w:tcBorders>
              <w:top w:val="nil"/>
              <w:left w:val="nil"/>
              <w:bottom w:val="nil"/>
              <w:right w:val="nil"/>
              <w:tl2br w:val="nil"/>
              <w:tr2bl w:val="nil"/>
            </w:tcBorders>
            <w:tcMar>
              <w:top w:w="60" w:type="dxa"/>
              <w:left w:w="60" w:type="dxa"/>
              <w:bottom w:w="60" w:type="dxa"/>
              <w:right w:w="60" w:type="dxa"/>
            </w:tcMar>
            <w:vAlign w:val="center"/>
          </w:tcPr>
          <w:p w14:paraId="54605A1D"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0.0393</w:t>
            </w:r>
          </w:p>
        </w:tc>
        <w:tc>
          <w:tcPr>
            <w:tcW w:w="1054" w:type="dxa"/>
            <w:tcBorders>
              <w:top w:val="nil"/>
              <w:left w:val="nil"/>
              <w:bottom w:val="nil"/>
              <w:right w:val="nil"/>
              <w:tl2br w:val="nil"/>
              <w:tr2bl w:val="nil"/>
            </w:tcBorders>
            <w:tcMar>
              <w:top w:w="60" w:type="dxa"/>
              <w:left w:w="60" w:type="dxa"/>
              <w:bottom w:w="60" w:type="dxa"/>
              <w:right w:w="60" w:type="dxa"/>
            </w:tcMar>
            <w:vAlign w:val="center"/>
          </w:tcPr>
          <w:p w14:paraId="0F6DF4A3"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0.4434</w:t>
            </w:r>
          </w:p>
        </w:tc>
        <w:tc>
          <w:tcPr>
            <w:tcW w:w="1054" w:type="dxa"/>
            <w:tcBorders>
              <w:top w:val="nil"/>
              <w:left w:val="nil"/>
              <w:bottom w:val="nil"/>
              <w:right w:val="nil"/>
              <w:tl2br w:val="nil"/>
              <w:tr2bl w:val="nil"/>
            </w:tcBorders>
            <w:tcMar>
              <w:top w:w="60" w:type="dxa"/>
              <w:left w:w="60" w:type="dxa"/>
              <w:bottom w:w="60" w:type="dxa"/>
              <w:right w:w="60" w:type="dxa"/>
            </w:tcMar>
            <w:vAlign w:val="center"/>
          </w:tcPr>
          <w:p w14:paraId="084ECC7D"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0.3037</w:t>
            </w:r>
          </w:p>
        </w:tc>
        <w:tc>
          <w:tcPr>
            <w:tcW w:w="1375" w:type="dxa"/>
            <w:tcBorders>
              <w:top w:val="nil"/>
              <w:left w:val="nil"/>
              <w:bottom w:val="nil"/>
              <w:right w:val="nil"/>
              <w:tl2br w:val="nil"/>
              <w:tr2bl w:val="nil"/>
            </w:tcBorders>
            <w:tcMar>
              <w:top w:w="60" w:type="dxa"/>
              <w:left w:w="60" w:type="dxa"/>
              <w:bottom w:w="60" w:type="dxa"/>
              <w:right w:w="60" w:type="dxa"/>
            </w:tcMar>
            <w:vAlign w:val="center"/>
          </w:tcPr>
          <w:p w14:paraId="52077E86"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0.2529</w:t>
            </w:r>
          </w:p>
        </w:tc>
      </w:tr>
      <w:tr w:rsidR="00490675" w14:paraId="28E1344D" w14:textId="77777777">
        <w:trPr>
          <w:jc w:val="center"/>
        </w:trPr>
        <w:tc>
          <w:tcPr>
            <w:tcW w:w="605" w:type="dxa"/>
            <w:tcBorders>
              <w:top w:val="nil"/>
              <w:left w:val="nil"/>
              <w:bottom w:val="nil"/>
              <w:right w:val="nil"/>
              <w:tl2br w:val="nil"/>
              <w:tr2bl w:val="nil"/>
            </w:tcBorders>
            <w:tcMar>
              <w:top w:w="60" w:type="dxa"/>
              <w:left w:w="60" w:type="dxa"/>
              <w:bottom w:w="60" w:type="dxa"/>
              <w:right w:w="60" w:type="dxa"/>
            </w:tcMar>
            <w:vAlign w:val="center"/>
          </w:tcPr>
          <w:p w14:paraId="4A44F025"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2016</w:t>
            </w:r>
          </w:p>
        </w:tc>
        <w:tc>
          <w:tcPr>
            <w:tcW w:w="792" w:type="dxa"/>
            <w:tcBorders>
              <w:top w:val="nil"/>
              <w:left w:val="nil"/>
              <w:bottom w:val="nil"/>
              <w:right w:val="nil"/>
              <w:tl2br w:val="nil"/>
              <w:tr2bl w:val="nil"/>
            </w:tcBorders>
            <w:tcMar>
              <w:top w:w="60" w:type="dxa"/>
              <w:left w:w="60" w:type="dxa"/>
              <w:bottom w:w="60" w:type="dxa"/>
              <w:right w:w="60" w:type="dxa"/>
            </w:tcMar>
            <w:vAlign w:val="center"/>
          </w:tcPr>
          <w:p w14:paraId="51BD9894"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0.1487</w:t>
            </w:r>
          </w:p>
        </w:tc>
        <w:tc>
          <w:tcPr>
            <w:tcW w:w="1197" w:type="dxa"/>
            <w:tcBorders>
              <w:top w:val="nil"/>
              <w:left w:val="nil"/>
              <w:bottom w:val="nil"/>
              <w:right w:val="nil"/>
              <w:tl2br w:val="nil"/>
              <w:tr2bl w:val="nil"/>
            </w:tcBorders>
            <w:tcMar>
              <w:top w:w="60" w:type="dxa"/>
              <w:left w:w="60" w:type="dxa"/>
              <w:bottom w:w="60" w:type="dxa"/>
              <w:right w:w="60" w:type="dxa"/>
            </w:tcMar>
            <w:vAlign w:val="center"/>
          </w:tcPr>
          <w:p w14:paraId="71933723"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0.0523</w:t>
            </w:r>
          </w:p>
        </w:tc>
        <w:tc>
          <w:tcPr>
            <w:tcW w:w="974" w:type="dxa"/>
            <w:tcBorders>
              <w:top w:val="nil"/>
              <w:left w:val="nil"/>
              <w:bottom w:val="nil"/>
              <w:right w:val="nil"/>
              <w:tl2br w:val="nil"/>
              <w:tr2bl w:val="nil"/>
            </w:tcBorders>
            <w:tcMar>
              <w:top w:w="60" w:type="dxa"/>
              <w:left w:w="60" w:type="dxa"/>
              <w:bottom w:w="60" w:type="dxa"/>
              <w:right w:w="60" w:type="dxa"/>
            </w:tcMar>
            <w:vAlign w:val="center"/>
          </w:tcPr>
          <w:p w14:paraId="37B71D98"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0.0495</w:t>
            </w:r>
          </w:p>
        </w:tc>
        <w:tc>
          <w:tcPr>
            <w:tcW w:w="1375" w:type="dxa"/>
            <w:tcBorders>
              <w:top w:val="nil"/>
              <w:left w:val="nil"/>
              <w:bottom w:val="nil"/>
              <w:right w:val="nil"/>
              <w:tl2br w:val="nil"/>
              <w:tr2bl w:val="nil"/>
            </w:tcBorders>
            <w:tcMar>
              <w:top w:w="60" w:type="dxa"/>
              <w:left w:w="60" w:type="dxa"/>
              <w:bottom w:w="60" w:type="dxa"/>
              <w:right w:w="60" w:type="dxa"/>
            </w:tcMar>
            <w:vAlign w:val="center"/>
          </w:tcPr>
          <w:p w14:paraId="06F72F02"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0.0469</w:t>
            </w:r>
          </w:p>
        </w:tc>
        <w:tc>
          <w:tcPr>
            <w:tcW w:w="1054" w:type="dxa"/>
            <w:tcBorders>
              <w:top w:val="nil"/>
              <w:left w:val="nil"/>
              <w:bottom w:val="nil"/>
              <w:right w:val="nil"/>
              <w:tl2br w:val="nil"/>
              <w:tr2bl w:val="nil"/>
            </w:tcBorders>
            <w:tcMar>
              <w:top w:w="60" w:type="dxa"/>
              <w:left w:w="60" w:type="dxa"/>
              <w:bottom w:w="60" w:type="dxa"/>
              <w:right w:w="60" w:type="dxa"/>
            </w:tcMar>
            <w:vAlign w:val="center"/>
          </w:tcPr>
          <w:p w14:paraId="53D30A96"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0.3517</w:t>
            </w:r>
          </w:p>
        </w:tc>
        <w:tc>
          <w:tcPr>
            <w:tcW w:w="1054" w:type="dxa"/>
            <w:tcBorders>
              <w:top w:val="nil"/>
              <w:left w:val="nil"/>
              <w:bottom w:val="nil"/>
              <w:right w:val="nil"/>
              <w:tl2br w:val="nil"/>
              <w:tr2bl w:val="nil"/>
            </w:tcBorders>
            <w:tcMar>
              <w:top w:w="60" w:type="dxa"/>
              <w:left w:w="60" w:type="dxa"/>
              <w:bottom w:w="60" w:type="dxa"/>
              <w:right w:w="60" w:type="dxa"/>
            </w:tcMar>
            <w:vAlign w:val="center"/>
          </w:tcPr>
          <w:p w14:paraId="6249F26F"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0.3329</w:t>
            </w:r>
          </w:p>
        </w:tc>
        <w:tc>
          <w:tcPr>
            <w:tcW w:w="1375" w:type="dxa"/>
            <w:tcBorders>
              <w:top w:val="nil"/>
              <w:left w:val="nil"/>
              <w:bottom w:val="nil"/>
              <w:right w:val="nil"/>
              <w:tl2br w:val="nil"/>
              <w:tr2bl w:val="nil"/>
            </w:tcBorders>
            <w:tcMar>
              <w:top w:w="60" w:type="dxa"/>
              <w:left w:w="60" w:type="dxa"/>
              <w:bottom w:w="60" w:type="dxa"/>
              <w:right w:w="60" w:type="dxa"/>
            </w:tcMar>
            <w:vAlign w:val="center"/>
          </w:tcPr>
          <w:p w14:paraId="49E67347"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0.3154</w:t>
            </w:r>
          </w:p>
        </w:tc>
      </w:tr>
      <w:tr w:rsidR="00490675" w14:paraId="60C7BFA8" w14:textId="77777777">
        <w:trPr>
          <w:jc w:val="center"/>
        </w:trPr>
        <w:tc>
          <w:tcPr>
            <w:tcW w:w="605" w:type="dxa"/>
            <w:tcBorders>
              <w:top w:val="nil"/>
              <w:left w:val="nil"/>
              <w:bottom w:val="nil"/>
              <w:right w:val="nil"/>
              <w:tl2br w:val="nil"/>
              <w:tr2bl w:val="nil"/>
            </w:tcBorders>
            <w:tcMar>
              <w:top w:w="60" w:type="dxa"/>
              <w:left w:w="60" w:type="dxa"/>
              <w:bottom w:w="60" w:type="dxa"/>
              <w:right w:w="60" w:type="dxa"/>
            </w:tcMar>
            <w:vAlign w:val="center"/>
          </w:tcPr>
          <w:p w14:paraId="62A028B7"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2017</w:t>
            </w:r>
          </w:p>
        </w:tc>
        <w:tc>
          <w:tcPr>
            <w:tcW w:w="792" w:type="dxa"/>
            <w:tcBorders>
              <w:top w:val="nil"/>
              <w:left w:val="nil"/>
              <w:bottom w:val="nil"/>
              <w:right w:val="nil"/>
              <w:tl2br w:val="nil"/>
              <w:tr2bl w:val="nil"/>
            </w:tcBorders>
            <w:tcMar>
              <w:top w:w="60" w:type="dxa"/>
              <w:left w:w="60" w:type="dxa"/>
              <w:bottom w:w="60" w:type="dxa"/>
              <w:right w:w="60" w:type="dxa"/>
            </w:tcMar>
            <w:vAlign w:val="center"/>
          </w:tcPr>
          <w:p w14:paraId="3546DDE8"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0.1403</w:t>
            </w:r>
          </w:p>
        </w:tc>
        <w:tc>
          <w:tcPr>
            <w:tcW w:w="1197" w:type="dxa"/>
            <w:tcBorders>
              <w:top w:val="nil"/>
              <w:left w:val="nil"/>
              <w:bottom w:val="nil"/>
              <w:right w:val="nil"/>
              <w:tl2br w:val="nil"/>
              <w:tr2bl w:val="nil"/>
            </w:tcBorders>
            <w:tcMar>
              <w:top w:w="60" w:type="dxa"/>
              <w:left w:w="60" w:type="dxa"/>
              <w:bottom w:w="60" w:type="dxa"/>
              <w:right w:w="60" w:type="dxa"/>
            </w:tcMar>
            <w:vAlign w:val="center"/>
          </w:tcPr>
          <w:p w14:paraId="7ABBD68F"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0.0449</w:t>
            </w:r>
          </w:p>
        </w:tc>
        <w:tc>
          <w:tcPr>
            <w:tcW w:w="974" w:type="dxa"/>
            <w:tcBorders>
              <w:top w:val="nil"/>
              <w:left w:val="nil"/>
              <w:bottom w:val="nil"/>
              <w:right w:val="nil"/>
              <w:tl2br w:val="nil"/>
              <w:tr2bl w:val="nil"/>
            </w:tcBorders>
            <w:tcMar>
              <w:top w:w="60" w:type="dxa"/>
              <w:left w:w="60" w:type="dxa"/>
              <w:bottom w:w="60" w:type="dxa"/>
              <w:right w:w="60" w:type="dxa"/>
            </w:tcMar>
            <w:vAlign w:val="center"/>
          </w:tcPr>
          <w:p w14:paraId="13231E85"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0.0518</w:t>
            </w:r>
          </w:p>
        </w:tc>
        <w:tc>
          <w:tcPr>
            <w:tcW w:w="1375" w:type="dxa"/>
            <w:tcBorders>
              <w:top w:val="nil"/>
              <w:left w:val="nil"/>
              <w:bottom w:val="nil"/>
              <w:right w:val="nil"/>
              <w:tl2br w:val="nil"/>
              <w:tr2bl w:val="nil"/>
            </w:tcBorders>
            <w:tcMar>
              <w:top w:w="60" w:type="dxa"/>
              <w:left w:w="60" w:type="dxa"/>
              <w:bottom w:w="60" w:type="dxa"/>
              <w:right w:w="60" w:type="dxa"/>
            </w:tcMar>
            <w:vAlign w:val="center"/>
          </w:tcPr>
          <w:p w14:paraId="45567D74"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0.0436</w:t>
            </w:r>
          </w:p>
        </w:tc>
        <w:tc>
          <w:tcPr>
            <w:tcW w:w="1054" w:type="dxa"/>
            <w:tcBorders>
              <w:top w:val="nil"/>
              <w:left w:val="nil"/>
              <w:bottom w:val="nil"/>
              <w:right w:val="nil"/>
              <w:tl2br w:val="nil"/>
              <w:tr2bl w:val="nil"/>
            </w:tcBorders>
            <w:tcMar>
              <w:top w:w="60" w:type="dxa"/>
              <w:left w:w="60" w:type="dxa"/>
              <w:bottom w:w="60" w:type="dxa"/>
              <w:right w:w="60" w:type="dxa"/>
            </w:tcMar>
            <w:vAlign w:val="center"/>
          </w:tcPr>
          <w:p w14:paraId="22179A44"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0.3200</w:t>
            </w:r>
          </w:p>
        </w:tc>
        <w:tc>
          <w:tcPr>
            <w:tcW w:w="1054" w:type="dxa"/>
            <w:tcBorders>
              <w:top w:val="nil"/>
              <w:left w:val="nil"/>
              <w:bottom w:val="nil"/>
              <w:right w:val="nil"/>
              <w:tl2br w:val="nil"/>
              <w:tr2bl w:val="nil"/>
            </w:tcBorders>
            <w:tcMar>
              <w:top w:w="60" w:type="dxa"/>
              <w:left w:w="60" w:type="dxa"/>
              <w:bottom w:w="60" w:type="dxa"/>
              <w:right w:w="60" w:type="dxa"/>
            </w:tcMar>
            <w:vAlign w:val="center"/>
          </w:tcPr>
          <w:p w14:paraId="7E85F558"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0.3692</w:t>
            </w:r>
          </w:p>
        </w:tc>
        <w:tc>
          <w:tcPr>
            <w:tcW w:w="1375" w:type="dxa"/>
            <w:tcBorders>
              <w:top w:val="nil"/>
              <w:left w:val="nil"/>
              <w:bottom w:val="nil"/>
              <w:right w:val="nil"/>
              <w:tl2br w:val="nil"/>
              <w:tr2bl w:val="nil"/>
            </w:tcBorders>
            <w:tcMar>
              <w:top w:w="60" w:type="dxa"/>
              <w:left w:w="60" w:type="dxa"/>
              <w:bottom w:w="60" w:type="dxa"/>
              <w:right w:w="60" w:type="dxa"/>
            </w:tcMar>
            <w:vAlign w:val="center"/>
          </w:tcPr>
          <w:p w14:paraId="74223E95"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0.3108</w:t>
            </w:r>
          </w:p>
        </w:tc>
      </w:tr>
      <w:tr w:rsidR="00490675" w14:paraId="6271F4BB" w14:textId="77777777">
        <w:trPr>
          <w:jc w:val="center"/>
        </w:trPr>
        <w:tc>
          <w:tcPr>
            <w:tcW w:w="605" w:type="dxa"/>
            <w:tcBorders>
              <w:top w:val="nil"/>
              <w:left w:val="nil"/>
              <w:bottom w:val="nil"/>
              <w:right w:val="nil"/>
              <w:tl2br w:val="nil"/>
              <w:tr2bl w:val="nil"/>
            </w:tcBorders>
            <w:tcMar>
              <w:top w:w="60" w:type="dxa"/>
              <w:left w:w="60" w:type="dxa"/>
              <w:bottom w:w="60" w:type="dxa"/>
              <w:right w:w="60" w:type="dxa"/>
            </w:tcMar>
            <w:vAlign w:val="center"/>
          </w:tcPr>
          <w:p w14:paraId="6A106EAA"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2018</w:t>
            </w:r>
          </w:p>
        </w:tc>
        <w:tc>
          <w:tcPr>
            <w:tcW w:w="792" w:type="dxa"/>
            <w:tcBorders>
              <w:top w:val="nil"/>
              <w:left w:val="nil"/>
              <w:bottom w:val="nil"/>
              <w:right w:val="nil"/>
              <w:tl2br w:val="nil"/>
              <w:tr2bl w:val="nil"/>
            </w:tcBorders>
            <w:tcMar>
              <w:top w:w="60" w:type="dxa"/>
              <w:left w:w="60" w:type="dxa"/>
              <w:bottom w:w="60" w:type="dxa"/>
              <w:right w:w="60" w:type="dxa"/>
            </w:tcMar>
            <w:vAlign w:val="center"/>
          </w:tcPr>
          <w:p w14:paraId="13725969"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0.1245</w:t>
            </w:r>
          </w:p>
        </w:tc>
        <w:tc>
          <w:tcPr>
            <w:tcW w:w="1197" w:type="dxa"/>
            <w:tcBorders>
              <w:top w:val="nil"/>
              <w:left w:val="nil"/>
              <w:bottom w:val="nil"/>
              <w:right w:val="nil"/>
              <w:tl2br w:val="nil"/>
              <w:tr2bl w:val="nil"/>
            </w:tcBorders>
            <w:tcMar>
              <w:top w:w="60" w:type="dxa"/>
              <w:left w:w="60" w:type="dxa"/>
              <w:bottom w:w="60" w:type="dxa"/>
              <w:right w:w="60" w:type="dxa"/>
            </w:tcMar>
            <w:vAlign w:val="center"/>
          </w:tcPr>
          <w:p w14:paraId="24DCC8F8"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0.0457</w:t>
            </w:r>
          </w:p>
        </w:tc>
        <w:tc>
          <w:tcPr>
            <w:tcW w:w="974" w:type="dxa"/>
            <w:tcBorders>
              <w:top w:val="nil"/>
              <w:left w:val="nil"/>
              <w:bottom w:val="nil"/>
              <w:right w:val="nil"/>
              <w:tl2br w:val="nil"/>
              <w:tr2bl w:val="nil"/>
            </w:tcBorders>
            <w:tcMar>
              <w:top w:w="60" w:type="dxa"/>
              <w:left w:w="60" w:type="dxa"/>
              <w:bottom w:w="60" w:type="dxa"/>
              <w:right w:w="60" w:type="dxa"/>
            </w:tcMar>
            <w:vAlign w:val="center"/>
          </w:tcPr>
          <w:p w14:paraId="451691EF"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0.0471</w:t>
            </w:r>
          </w:p>
        </w:tc>
        <w:tc>
          <w:tcPr>
            <w:tcW w:w="1375" w:type="dxa"/>
            <w:tcBorders>
              <w:top w:val="nil"/>
              <w:left w:val="nil"/>
              <w:bottom w:val="nil"/>
              <w:right w:val="nil"/>
              <w:tl2br w:val="nil"/>
              <w:tr2bl w:val="nil"/>
            </w:tcBorders>
            <w:tcMar>
              <w:top w:w="60" w:type="dxa"/>
              <w:left w:w="60" w:type="dxa"/>
              <w:bottom w:w="60" w:type="dxa"/>
              <w:right w:w="60" w:type="dxa"/>
            </w:tcMar>
            <w:vAlign w:val="center"/>
          </w:tcPr>
          <w:p w14:paraId="0DE94E60"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0.0317</w:t>
            </w:r>
          </w:p>
        </w:tc>
        <w:tc>
          <w:tcPr>
            <w:tcW w:w="1054" w:type="dxa"/>
            <w:tcBorders>
              <w:top w:val="nil"/>
              <w:left w:val="nil"/>
              <w:bottom w:val="nil"/>
              <w:right w:val="nil"/>
              <w:tl2br w:val="nil"/>
              <w:tr2bl w:val="nil"/>
            </w:tcBorders>
            <w:tcMar>
              <w:top w:w="60" w:type="dxa"/>
              <w:left w:w="60" w:type="dxa"/>
              <w:bottom w:w="60" w:type="dxa"/>
              <w:right w:w="60" w:type="dxa"/>
            </w:tcMar>
            <w:vAlign w:val="center"/>
          </w:tcPr>
          <w:p w14:paraId="4A707677"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0.3671</w:t>
            </w:r>
          </w:p>
        </w:tc>
        <w:tc>
          <w:tcPr>
            <w:tcW w:w="1054" w:type="dxa"/>
            <w:tcBorders>
              <w:top w:val="nil"/>
              <w:left w:val="nil"/>
              <w:bottom w:val="nil"/>
              <w:right w:val="nil"/>
              <w:tl2br w:val="nil"/>
              <w:tr2bl w:val="nil"/>
            </w:tcBorders>
            <w:tcMar>
              <w:top w:w="60" w:type="dxa"/>
              <w:left w:w="60" w:type="dxa"/>
              <w:bottom w:w="60" w:type="dxa"/>
              <w:right w:w="60" w:type="dxa"/>
            </w:tcMar>
            <w:vAlign w:val="center"/>
          </w:tcPr>
          <w:p w14:paraId="577D98E8"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0.3783</w:t>
            </w:r>
          </w:p>
        </w:tc>
        <w:tc>
          <w:tcPr>
            <w:tcW w:w="1375" w:type="dxa"/>
            <w:tcBorders>
              <w:top w:val="nil"/>
              <w:left w:val="nil"/>
              <w:bottom w:val="nil"/>
              <w:right w:val="nil"/>
              <w:tl2br w:val="nil"/>
              <w:tr2bl w:val="nil"/>
            </w:tcBorders>
            <w:tcMar>
              <w:top w:w="60" w:type="dxa"/>
              <w:left w:w="60" w:type="dxa"/>
              <w:bottom w:w="60" w:type="dxa"/>
              <w:right w:w="60" w:type="dxa"/>
            </w:tcMar>
            <w:vAlign w:val="center"/>
          </w:tcPr>
          <w:p w14:paraId="085FE8C8"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0.2546</w:t>
            </w:r>
          </w:p>
        </w:tc>
      </w:tr>
      <w:tr w:rsidR="00490675" w14:paraId="308B1D28" w14:textId="77777777">
        <w:trPr>
          <w:jc w:val="center"/>
        </w:trPr>
        <w:tc>
          <w:tcPr>
            <w:tcW w:w="605" w:type="dxa"/>
            <w:tcBorders>
              <w:top w:val="nil"/>
              <w:left w:val="nil"/>
              <w:bottom w:val="nil"/>
              <w:right w:val="nil"/>
              <w:tl2br w:val="nil"/>
              <w:tr2bl w:val="nil"/>
            </w:tcBorders>
            <w:tcMar>
              <w:top w:w="60" w:type="dxa"/>
              <w:left w:w="60" w:type="dxa"/>
              <w:bottom w:w="60" w:type="dxa"/>
              <w:right w:w="60" w:type="dxa"/>
            </w:tcMar>
            <w:vAlign w:val="center"/>
          </w:tcPr>
          <w:p w14:paraId="48C68CFD"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2019</w:t>
            </w:r>
          </w:p>
        </w:tc>
        <w:tc>
          <w:tcPr>
            <w:tcW w:w="792" w:type="dxa"/>
            <w:tcBorders>
              <w:top w:val="nil"/>
              <w:left w:val="nil"/>
              <w:bottom w:val="nil"/>
              <w:right w:val="nil"/>
              <w:tl2br w:val="nil"/>
              <w:tr2bl w:val="nil"/>
            </w:tcBorders>
            <w:tcMar>
              <w:top w:w="60" w:type="dxa"/>
              <w:left w:w="60" w:type="dxa"/>
              <w:bottom w:w="60" w:type="dxa"/>
              <w:right w:w="60" w:type="dxa"/>
            </w:tcMar>
            <w:vAlign w:val="center"/>
          </w:tcPr>
          <w:p w14:paraId="041BA4B3"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0.1316</w:t>
            </w:r>
          </w:p>
        </w:tc>
        <w:tc>
          <w:tcPr>
            <w:tcW w:w="1197" w:type="dxa"/>
            <w:tcBorders>
              <w:top w:val="nil"/>
              <w:left w:val="nil"/>
              <w:bottom w:val="nil"/>
              <w:right w:val="nil"/>
              <w:tl2br w:val="nil"/>
              <w:tr2bl w:val="nil"/>
            </w:tcBorders>
            <w:tcMar>
              <w:top w:w="60" w:type="dxa"/>
              <w:left w:w="60" w:type="dxa"/>
              <w:bottom w:w="60" w:type="dxa"/>
              <w:right w:w="60" w:type="dxa"/>
            </w:tcMar>
            <w:vAlign w:val="center"/>
          </w:tcPr>
          <w:p w14:paraId="338A11E3"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0.0531</w:t>
            </w:r>
          </w:p>
        </w:tc>
        <w:tc>
          <w:tcPr>
            <w:tcW w:w="974" w:type="dxa"/>
            <w:tcBorders>
              <w:top w:val="nil"/>
              <w:left w:val="nil"/>
              <w:bottom w:val="nil"/>
              <w:right w:val="nil"/>
              <w:tl2br w:val="nil"/>
              <w:tr2bl w:val="nil"/>
            </w:tcBorders>
            <w:tcMar>
              <w:top w:w="60" w:type="dxa"/>
              <w:left w:w="60" w:type="dxa"/>
              <w:bottom w:w="60" w:type="dxa"/>
              <w:right w:w="60" w:type="dxa"/>
            </w:tcMar>
            <w:vAlign w:val="center"/>
          </w:tcPr>
          <w:p w14:paraId="52DD0768"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0.0529</w:t>
            </w:r>
          </w:p>
        </w:tc>
        <w:tc>
          <w:tcPr>
            <w:tcW w:w="1375" w:type="dxa"/>
            <w:tcBorders>
              <w:top w:val="nil"/>
              <w:left w:val="nil"/>
              <w:bottom w:val="nil"/>
              <w:right w:val="nil"/>
              <w:tl2br w:val="nil"/>
              <w:tr2bl w:val="nil"/>
            </w:tcBorders>
            <w:tcMar>
              <w:top w:w="60" w:type="dxa"/>
              <w:left w:w="60" w:type="dxa"/>
              <w:bottom w:w="60" w:type="dxa"/>
              <w:right w:w="60" w:type="dxa"/>
            </w:tcMar>
            <w:vAlign w:val="center"/>
          </w:tcPr>
          <w:p w14:paraId="047207BD"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0.0256</w:t>
            </w:r>
          </w:p>
        </w:tc>
        <w:tc>
          <w:tcPr>
            <w:tcW w:w="1054" w:type="dxa"/>
            <w:tcBorders>
              <w:top w:val="nil"/>
              <w:left w:val="nil"/>
              <w:bottom w:val="nil"/>
              <w:right w:val="nil"/>
              <w:tl2br w:val="nil"/>
              <w:tr2bl w:val="nil"/>
            </w:tcBorders>
            <w:tcMar>
              <w:top w:w="60" w:type="dxa"/>
              <w:left w:w="60" w:type="dxa"/>
              <w:bottom w:w="60" w:type="dxa"/>
              <w:right w:w="60" w:type="dxa"/>
            </w:tcMar>
            <w:vAlign w:val="center"/>
          </w:tcPr>
          <w:p w14:paraId="259F80CE"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0.4035</w:t>
            </w:r>
          </w:p>
        </w:tc>
        <w:tc>
          <w:tcPr>
            <w:tcW w:w="1054" w:type="dxa"/>
            <w:tcBorders>
              <w:top w:val="nil"/>
              <w:left w:val="nil"/>
              <w:bottom w:val="nil"/>
              <w:right w:val="nil"/>
              <w:tl2br w:val="nil"/>
              <w:tr2bl w:val="nil"/>
            </w:tcBorders>
            <w:tcMar>
              <w:top w:w="60" w:type="dxa"/>
              <w:left w:w="60" w:type="dxa"/>
              <w:bottom w:w="60" w:type="dxa"/>
              <w:right w:w="60" w:type="dxa"/>
            </w:tcMar>
            <w:vAlign w:val="center"/>
          </w:tcPr>
          <w:p w14:paraId="731D1994"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0.4020</w:t>
            </w:r>
          </w:p>
        </w:tc>
        <w:tc>
          <w:tcPr>
            <w:tcW w:w="1375" w:type="dxa"/>
            <w:tcBorders>
              <w:top w:val="nil"/>
              <w:left w:val="nil"/>
              <w:bottom w:val="nil"/>
              <w:right w:val="nil"/>
              <w:tl2br w:val="nil"/>
              <w:tr2bl w:val="nil"/>
            </w:tcBorders>
            <w:tcMar>
              <w:top w:w="60" w:type="dxa"/>
              <w:left w:w="60" w:type="dxa"/>
              <w:bottom w:w="60" w:type="dxa"/>
              <w:right w:w="60" w:type="dxa"/>
            </w:tcMar>
            <w:vAlign w:val="center"/>
          </w:tcPr>
          <w:p w14:paraId="3E6B2C31"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0.1945</w:t>
            </w:r>
          </w:p>
        </w:tc>
      </w:tr>
      <w:tr w:rsidR="00490675" w14:paraId="6188D6A0" w14:textId="77777777">
        <w:trPr>
          <w:jc w:val="center"/>
        </w:trPr>
        <w:tc>
          <w:tcPr>
            <w:tcW w:w="605" w:type="dxa"/>
            <w:tcBorders>
              <w:top w:val="nil"/>
              <w:left w:val="nil"/>
              <w:bottom w:val="nil"/>
              <w:right w:val="nil"/>
              <w:tl2br w:val="nil"/>
              <w:tr2bl w:val="nil"/>
            </w:tcBorders>
            <w:tcMar>
              <w:top w:w="60" w:type="dxa"/>
              <w:left w:w="60" w:type="dxa"/>
              <w:bottom w:w="60" w:type="dxa"/>
              <w:right w:w="60" w:type="dxa"/>
            </w:tcMar>
            <w:vAlign w:val="center"/>
          </w:tcPr>
          <w:p w14:paraId="63EA5AB3"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2020</w:t>
            </w:r>
          </w:p>
        </w:tc>
        <w:tc>
          <w:tcPr>
            <w:tcW w:w="792" w:type="dxa"/>
            <w:tcBorders>
              <w:top w:val="nil"/>
              <w:left w:val="nil"/>
              <w:bottom w:val="nil"/>
              <w:right w:val="nil"/>
              <w:tl2br w:val="nil"/>
              <w:tr2bl w:val="nil"/>
            </w:tcBorders>
            <w:tcMar>
              <w:top w:w="60" w:type="dxa"/>
              <w:left w:w="60" w:type="dxa"/>
              <w:bottom w:w="60" w:type="dxa"/>
              <w:right w:w="60" w:type="dxa"/>
            </w:tcMar>
            <w:vAlign w:val="center"/>
          </w:tcPr>
          <w:p w14:paraId="30A676B2"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0.1107</w:t>
            </w:r>
          </w:p>
        </w:tc>
        <w:tc>
          <w:tcPr>
            <w:tcW w:w="1197" w:type="dxa"/>
            <w:tcBorders>
              <w:top w:val="nil"/>
              <w:left w:val="nil"/>
              <w:bottom w:val="nil"/>
              <w:right w:val="nil"/>
              <w:tl2br w:val="nil"/>
              <w:tr2bl w:val="nil"/>
            </w:tcBorders>
            <w:tcMar>
              <w:top w:w="60" w:type="dxa"/>
              <w:left w:w="60" w:type="dxa"/>
              <w:bottom w:w="60" w:type="dxa"/>
              <w:right w:w="60" w:type="dxa"/>
            </w:tcMar>
            <w:vAlign w:val="center"/>
          </w:tcPr>
          <w:p w14:paraId="7D245331"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0.0438</w:t>
            </w:r>
          </w:p>
        </w:tc>
        <w:tc>
          <w:tcPr>
            <w:tcW w:w="974" w:type="dxa"/>
            <w:tcBorders>
              <w:top w:val="nil"/>
              <w:left w:val="nil"/>
              <w:bottom w:val="nil"/>
              <w:right w:val="nil"/>
              <w:tl2br w:val="nil"/>
              <w:tr2bl w:val="nil"/>
            </w:tcBorders>
            <w:tcMar>
              <w:top w:w="60" w:type="dxa"/>
              <w:left w:w="60" w:type="dxa"/>
              <w:bottom w:w="60" w:type="dxa"/>
              <w:right w:w="60" w:type="dxa"/>
            </w:tcMar>
            <w:vAlign w:val="center"/>
          </w:tcPr>
          <w:p w14:paraId="75987868"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0.0458</w:t>
            </w:r>
          </w:p>
        </w:tc>
        <w:tc>
          <w:tcPr>
            <w:tcW w:w="1375" w:type="dxa"/>
            <w:tcBorders>
              <w:top w:val="nil"/>
              <w:left w:val="nil"/>
              <w:bottom w:val="nil"/>
              <w:right w:val="nil"/>
              <w:tl2br w:val="nil"/>
              <w:tr2bl w:val="nil"/>
            </w:tcBorders>
            <w:tcMar>
              <w:top w:w="60" w:type="dxa"/>
              <w:left w:w="60" w:type="dxa"/>
              <w:bottom w:w="60" w:type="dxa"/>
              <w:right w:w="60" w:type="dxa"/>
            </w:tcMar>
            <w:vAlign w:val="center"/>
          </w:tcPr>
          <w:p w14:paraId="7550267D"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0.0211</w:t>
            </w:r>
          </w:p>
        </w:tc>
        <w:tc>
          <w:tcPr>
            <w:tcW w:w="1054" w:type="dxa"/>
            <w:tcBorders>
              <w:top w:val="nil"/>
              <w:left w:val="nil"/>
              <w:bottom w:val="nil"/>
              <w:right w:val="nil"/>
              <w:tl2br w:val="nil"/>
              <w:tr2bl w:val="nil"/>
            </w:tcBorders>
            <w:tcMar>
              <w:top w:w="60" w:type="dxa"/>
              <w:left w:w="60" w:type="dxa"/>
              <w:bottom w:w="60" w:type="dxa"/>
              <w:right w:w="60" w:type="dxa"/>
            </w:tcMar>
            <w:vAlign w:val="center"/>
          </w:tcPr>
          <w:p w14:paraId="1EE17B3B"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0.3957</w:t>
            </w:r>
          </w:p>
        </w:tc>
        <w:tc>
          <w:tcPr>
            <w:tcW w:w="1054" w:type="dxa"/>
            <w:tcBorders>
              <w:top w:val="nil"/>
              <w:left w:val="nil"/>
              <w:bottom w:val="nil"/>
              <w:right w:val="nil"/>
              <w:tl2br w:val="nil"/>
              <w:tr2bl w:val="nil"/>
            </w:tcBorders>
            <w:tcMar>
              <w:top w:w="60" w:type="dxa"/>
              <w:left w:w="60" w:type="dxa"/>
              <w:bottom w:w="60" w:type="dxa"/>
              <w:right w:w="60" w:type="dxa"/>
            </w:tcMar>
            <w:vAlign w:val="center"/>
          </w:tcPr>
          <w:p w14:paraId="4B41369D"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0.4137</w:t>
            </w:r>
          </w:p>
        </w:tc>
        <w:tc>
          <w:tcPr>
            <w:tcW w:w="1375" w:type="dxa"/>
            <w:tcBorders>
              <w:top w:val="nil"/>
              <w:left w:val="nil"/>
              <w:bottom w:val="nil"/>
              <w:right w:val="nil"/>
              <w:tl2br w:val="nil"/>
              <w:tr2bl w:val="nil"/>
            </w:tcBorders>
            <w:tcMar>
              <w:top w:w="60" w:type="dxa"/>
              <w:left w:w="60" w:type="dxa"/>
              <w:bottom w:w="60" w:type="dxa"/>
              <w:right w:w="60" w:type="dxa"/>
            </w:tcMar>
            <w:vAlign w:val="center"/>
          </w:tcPr>
          <w:p w14:paraId="1FD8F702"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0.1906</w:t>
            </w:r>
          </w:p>
        </w:tc>
      </w:tr>
      <w:tr w:rsidR="00490675" w14:paraId="3C0A0130" w14:textId="77777777">
        <w:trPr>
          <w:jc w:val="center"/>
        </w:trPr>
        <w:tc>
          <w:tcPr>
            <w:tcW w:w="605" w:type="dxa"/>
            <w:tcBorders>
              <w:top w:val="nil"/>
              <w:left w:val="nil"/>
              <w:bottom w:val="nil"/>
              <w:right w:val="nil"/>
              <w:tl2br w:val="nil"/>
              <w:tr2bl w:val="nil"/>
            </w:tcBorders>
            <w:tcMar>
              <w:top w:w="60" w:type="dxa"/>
              <w:left w:w="60" w:type="dxa"/>
              <w:bottom w:w="60" w:type="dxa"/>
              <w:right w:w="60" w:type="dxa"/>
            </w:tcMar>
            <w:vAlign w:val="center"/>
          </w:tcPr>
          <w:p w14:paraId="599E9C3A"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2021</w:t>
            </w:r>
          </w:p>
        </w:tc>
        <w:tc>
          <w:tcPr>
            <w:tcW w:w="792" w:type="dxa"/>
            <w:tcBorders>
              <w:top w:val="nil"/>
              <w:left w:val="nil"/>
              <w:bottom w:val="nil"/>
              <w:right w:val="nil"/>
              <w:tl2br w:val="nil"/>
              <w:tr2bl w:val="nil"/>
            </w:tcBorders>
            <w:tcMar>
              <w:top w:w="60" w:type="dxa"/>
              <w:left w:w="60" w:type="dxa"/>
              <w:bottom w:w="60" w:type="dxa"/>
              <w:right w:w="60" w:type="dxa"/>
            </w:tcMar>
            <w:vAlign w:val="center"/>
          </w:tcPr>
          <w:p w14:paraId="34DC50B0"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0.1018</w:t>
            </w:r>
          </w:p>
        </w:tc>
        <w:tc>
          <w:tcPr>
            <w:tcW w:w="1197" w:type="dxa"/>
            <w:tcBorders>
              <w:top w:val="nil"/>
              <w:left w:val="nil"/>
              <w:bottom w:val="nil"/>
              <w:right w:val="nil"/>
              <w:tl2br w:val="nil"/>
              <w:tr2bl w:val="nil"/>
            </w:tcBorders>
            <w:tcMar>
              <w:top w:w="60" w:type="dxa"/>
              <w:left w:w="60" w:type="dxa"/>
              <w:bottom w:w="60" w:type="dxa"/>
              <w:right w:w="60" w:type="dxa"/>
            </w:tcMar>
            <w:vAlign w:val="center"/>
          </w:tcPr>
          <w:p w14:paraId="03102DD5"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0.0401</w:t>
            </w:r>
          </w:p>
        </w:tc>
        <w:tc>
          <w:tcPr>
            <w:tcW w:w="974" w:type="dxa"/>
            <w:tcBorders>
              <w:top w:val="nil"/>
              <w:left w:val="nil"/>
              <w:bottom w:val="nil"/>
              <w:right w:val="nil"/>
              <w:tl2br w:val="nil"/>
              <w:tr2bl w:val="nil"/>
            </w:tcBorders>
            <w:tcMar>
              <w:top w:w="60" w:type="dxa"/>
              <w:left w:w="60" w:type="dxa"/>
              <w:bottom w:w="60" w:type="dxa"/>
              <w:right w:w="60" w:type="dxa"/>
            </w:tcMar>
            <w:vAlign w:val="center"/>
          </w:tcPr>
          <w:p w14:paraId="1EBAF935"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0.0470</w:t>
            </w:r>
          </w:p>
        </w:tc>
        <w:tc>
          <w:tcPr>
            <w:tcW w:w="1375" w:type="dxa"/>
            <w:tcBorders>
              <w:top w:val="nil"/>
              <w:left w:val="nil"/>
              <w:bottom w:val="nil"/>
              <w:right w:val="nil"/>
              <w:tl2br w:val="nil"/>
              <w:tr2bl w:val="nil"/>
            </w:tcBorders>
            <w:tcMar>
              <w:top w:w="60" w:type="dxa"/>
              <w:left w:w="60" w:type="dxa"/>
              <w:bottom w:w="60" w:type="dxa"/>
              <w:right w:w="60" w:type="dxa"/>
            </w:tcMar>
            <w:vAlign w:val="center"/>
          </w:tcPr>
          <w:p w14:paraId="05F71BE9"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0.0147</w:t>
            </w:r>
          </w:p>
        </w:tc>
        <w:tc>
          <w:tcPr>
            <w:tcW w:w="1054" w:type="dxa"/>
            <w:tcBorders>
              <w:top w:val="nil"/>
              <w:left w:val="nil"/>
              <w:bottom w:val="nil"/>
              <w:right w:val="nil"/>
              <w:tl2br w:val="nil"/>
              <w:tr2bl w:val="nil"/>
            </w:tcBorders>
            <w:tcMar>
              <w:top w:w="60" w:type="dxa"/>
              <w:left w:w="60" w:type="dxa"/>
              <w:bottom w:w="60" w:type="dxa"/>
              <w:right w:w="60" w:type="dxa"/>
            </w:tcMar>
            <w:vAlign w:val="center"/>
          </w:tcPr>
          <w:p w14:paraId="73F65FDB"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0.3939</w:t>
            </w:r>
          </w:p>
        </w:tc>
        <w:tc>
          <w:tcPr>
            <w:tcW w:w="1054" w:type="dxa"/>
            <w:tcBorders>
              <w:top w:val="nil"/>
              <w:left w:val="nil"/>
              <w:bottom w:val="nil"/>
              <w:right w:val="nil"/>
              <w:tl2br w:val="nil"/>
              <w:tr2bl w:val="nil"/>
            </w:tcBorders>
            <w:tcMar>
              <w:top w:w="60" w:type="dxa"/>
              <w:left w:w="60" w:type="dxa"/>
              <w:bottom w:w="60" w:type="dxa"/>
              <w:right w:w="60" w:type="dxa"/>
            </w:tcMar>
            <w:vAlign w:val="center"/>
          </w:tcPr>
          <w:p w14:paraId="4DC846D3"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0.4617</w:t>
            </w:r>
          </w:p>
        </w:tc>
        <w:tc>
          <w:tcPr>
            <w:tcW w:w="1375" w:type="dxa"/>
            <w:tcBorders>
              <w:top w:val="nil"/>
              <w:left w:val="nil"/>
              <w:bottom w:val="nil"/>
              <w:right w:val="nil"/>
              <w:tl2br w:val="nil"/>
              <w:tr2bl w:val="nil"/>
            </w:tcBorders>
            <w:tcMar>
              <w:top w:w="60" w:type="dxa"/>
              <w:left w:w="60" w:type="dxa"/>
              <w:bottom w:w="60" w:type="dxa"/>
              <w:right w:w="60" w:type="dxa"/>
            </w:tcMar>
            <w:vAlign w:val="center"/>
          </w:tcPr>
          <w:p w14:paraId="1751E6A5"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0.1444</w:t>
            </w:r>
          </w:p>
        </w:tc>
      </w:tr>
      <w:tr w:rsidR="00490675" w14:paraId="663B2087" w14:textId="77777777">
        <w:trPr>
          <w:jc w:val="center"/>
        </w:trPr>
        <w:tc>
          <w:tcPr>
            <w:tcW w:w="605" w:type="dxa"/>
            <w:tcBorders>
              <w:top w:val="nil"/>
              <w:left w:val="nil"/>
              <w:bottom w:val="nil"/>
              <w:right w:val="nil"/>
              <w:tl2br w:val="nil"/>
              <w:tr2bl w:val="nil"/>
            </w:tcBorders>
            <w:tcMar>
              <w:top w:w="60" w:type="dxa"/>
              <w:left w:w="60" w:type="dxa"/>
              <w:bottom w:w="60" w:type="dxa"/>
              <w:right w:w="60" w:type="dxa"/>
            </w:tcMar>
            <w:vAlign w:val="center"/>
          </w:tcPr>
          <w:p w14:paraId="66DC5F95"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2022</w:t>
            </w:r>
          </w:p>
        </w:tc>
        <w:tc>
          <w:tcPr>
            <w:tcW w:w="792" w:type="dxa"/>
            <w:tcBorders>
              <w:top w:val="nil"/>
              <w:left w:val="nil"/>
              <w:bottom w:val="nil"/>
              <w:right w:val="nil"/>
              <w:tl2br w:val="nil"/>
              <w:tr2bl w:val="nil"/>
            </w:tcBorders>
            <w:tcMar>
              <w:top w:w="60" w:type="dxa"/>
              <w:left w:w="60" w:type="dxa"/>
              <w:bottom w:w="60" w:type="dxa"/>
              <w:right w:w="60" w:type="dxa"/>
            </w:tcMar>
            <w:vAlign w:val="center"/>
          </w:tcPr>
          <w:p w14:paraId="2F4BCC78"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0.0935</w:t>
            </w:r>
          </w:p>
        </w:tc>
        <w:tc>
          <w:tcPr>
            <w:tcW w:w="1197" w:type="dxa"/>
            <w:tcBorders>
              <w:top w:val="nil"/>
              <w:left w:val="nil"/>
              <w:bottom w:val="nil"/>
              <w:right w:val="nil"/>
              <w:tl2br w:val="nil"/>
              <w:tr2bl w:val="nil"/>
            </w:tcBorders>
            <w:tcMar>
              <w:top w:w="60" w:type="dxa"/>
              <w:left w:w="60" w:type="dxa"/>
              <w:bottom w:w="60" w:type="dxa"/>
              <w:right w:w="60" w:type="dxa"/>
            </w:tcMar>
            <w:vAlign w:val="center"/>
          </w:tcPr>
          <w:p w14:paraId="09EFDC4E"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0.0327</w:t>
            </w:r>
          </w:p>
        </w:tc>
        <w:tc>
          <w:tcPr>
            <w:tcW w:w="974" w:type="dxa"/>
            <w:tcBorders>
              <w:top w:val="nil"/>
              <w:left w:val="nil"/>
              <w:bottom w:val="nil"/>
              <w:right w:val="nil"/>
              <w:tl2br w:val="nil"/>
              <w:tr2bl w:val="nil"/>
            </w:tcBorders>
            <w:tcMar>
              <w:top w:w="60" w:type="dxa"/>
              <w:left w:w="60" w:type="dxa"/>
              <w:bottom w:w="60" w:type="dxa"/>
              <w:right w:w="60" w:type="dxa"/>
            </w:tcMar>
            <w:vAlign w:val="center"/>
          </w:tcPr>
          <w:p w14:paraId="51E36577"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0.0461</w:t>
            </w:r>
          </w:p>
        </w:tc>
        <w:tc>
          <w:tcPr>
            <w:tcW w:w="1375" w:type="dxa"/>
            <w:tcBorders>
              <w:top w:val="nil"/>
              <w:left w:val="nil"/>
              <w:bottom w:val="nil"/>
              <w:right w:val="nil"/>
              <w:tl2br w:val="nil"/>
              <w:tr2bl w:val="nil"/>
            </w:tcBorders>
            <w:tcMar>
              <w:top w:w="60" w:type="dxa"/>
              <w:left w:w="60" w:type="dxa"/>
              <w:bottom w:w="60" w:type="dxa"/>
              <w:right w:w="60" w:type="dxa"/>
            </w:tcMar>
            <w:vAlign w:val="center"/>
          </w:tcPr>
          <w:p w14:paraId="1BB86ADD"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0.0147</w:t>
            </w:r>
          </w:p>
        </w:tc>
        <w:tc>
          <w:tcPr>
            <w:tcW w:w="1054" w:type="dxa"/>
            <w:tcBorders>
              <w:top w:val="nil"/>
              <w:left w:val="nil"/>
              <w:bottom w:val="nil"/>
              <w:right w:val="nil"/>
              <w:tl2br w:val="nil"/>
              <w:tr2bl w:val="nil"/>
            </w:tcBorders>
            <w:tcMar>
              <w:top w:w="60" w:type="dxa"/>
              <w:left w:w="60" w:type="dxa"/>
              <w:bottom w:w="60" w:type="dxa"/>
              <w:right w:w="60" w:type="dxa"/>
            </w:tcMar>
            <w:vAlign w:val="center"/>
          </w:tcPr>
          <w:p w14:paraId="0CE85197"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0.3497</w:t>
            </w:r>
          </w:p>
        </w:tc>
        <w:tc>
          <w:tcPr>
            <w:tcW w:w="1054" w:type="dxa"/>
            <w:tcBorders>
              <w:top w:val="nil"/>
              <w:left w:val="nil"/>
              <w:bottom w:val="nil"/>
              <w:right w:val="nil"/>
              <w:tl2br w:val="nil"/>
              <w:tr2bl w:val="nil"/>
            </w:tcBorders>
            <w:tcMar>
              <w:top w:w="60" w:type="dxa"/>
              <w:left w:w="60" w:type="dxa"/>
              <w:bottom w:w="60" w:type="dxa"/>
              <w:right w:w="60" w:type="dxa"/>
            </w:tcMar>
            <w:vAlign w:val="center"/>
          </w:tcPr>
          <w:p w14:paraId="478ED543"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0.4930</w:t>
            </w:r>
          </w:p>
        </w:tc>
        <w:tc>
          <w:tcPr>
            <w:tcW w:w="1375" w:type="dxa"/>
            <w:tcBorders>
              <w:top w:val="nil"/>
              <w:left w:val="nil"/>
              <w:bottom w:val="nil"/>
              <w:right w:val="nil"/>
              <w:tl2br w:val="nil"/>
              <w:tr2bl w:val="nil"/>
            </w:tcBorders>
            <w:tcMar>
              <w:top w:w="60" w:type="dxa"/>
              <w:left w:w="60" w:type="dxa"/>
              <w:bottom w:w="60" w:type="dxa"/>
              <w:right w:w="60" w:type="dxa"/>
            </w:tcMar>
            <w:vAlign w:val="center"/>
          </w:tcPr>
          <w:p w14:paraId="4D984926"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0.1573</w:t>
            </w:r>
          </w:p>
        </w:tc>
      </w:tr>
      <w:tr w:rsidR="00490675" w14:paraId="4CB3C207" w14:textId="77777777">
        <w:trPr>
          <w:jc w:val="center"/>
        </w:trPr>
        <w:tc>
          <w:tcPr>
            <w:tcW w:w="605" w:type="dxa"/>
            <w:tcBorders>
              <w:top w:val="nil"/>
              <w:left w:val="nil"/>
              <w:bottom w:val="nil"/>
              <w:right w:val="nil"/>
              <w:tl2br w:val="nil"/>
              <w:tr2bl w:val="nil"/>
            </w:tcBorders>
            <w:tcMar>
              <w:top w:w="60" w:type="dxa"/>
              <w:left w:w="60" w:type="dxa"/>
              <w:bottom w:w="60" w:type="dxa"/>
              <w:right w:w="60" w:type="dxa"/>
            </w:tcMar>
            <w:vAlign w:val="center"/>
          </w:tcPr>
          <w:p w14:paraId="055BC033"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2023</w:t>
            </w:r>
          </w:p>
        </w:tc>
        <w:tc>
          <w:tcPr>
            <w:tcW w:w="792" w:type="dxa"/>
            <w:tcBorders>
              <w:top w:val="nil"/>
              <w:left w:val="nil"/>
              <w:bottom w:val="nil"/>
              <w:right w:val="nil"/>
              <w:tl2br w:val="nil"/>
              <w:tr2bl w:val="nil"/>
            </w:tcBorders>
            <w:tcMar>
              <w:top w:w="60" w:type="dxa"/>
              <w:left w:w="60" w:type="dxa"/>
              <w:bottom w:w="60" w:type="dxa"/>
              <w:right w:w="60" w:type="dxa"/>
            </w:tcMar>
            <w:vAlign w:val="center"/>
          </w:tcPr>
          <w:p w14:paraId="2BE9203F"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0.0891</w:t>
            </w:r>
          </w:p>
        </w:tc>
        <w:tc>
          <w:tcPr>
            <w:tcW w:w="1197" w:type="dxa"/>
            <w:tcBorders>
              <w:top w:val="nil"/>
              <w:left w:val="nil"/>
              <w:bottom w:val="nil"/>
              <w:right w:val="nil"/>
              <w:tl2br w:val="nil"/>
              <w:tr2bl w:val="nil"/>
            </w:tcBorders>
            <w:tcMar>
              <w:top w:w="60" w:type="dxa"/>
              <w:left w:w="60" w:type="dxa"/>
              <w:bottom w:w="60" w:type="dxa"/>
              <w:right w:w="60" w:type="dxa"/>
            </w:tcMar>
            <w:vAlign w:val="center"/>
          </w:tcPr>
          <w:p w14:paraId="2986E1D0"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0.0359</w:t>
            </w:r>
          </w:p>
        </w:tc>
        <w:tc>
          <w:tcPr>
            <w:tcW w:w="974" w:type="dxa"/>
            <w:tcBorders>
              <w:top w:val="nil"/>
              <w:left w:val="nil"/>
              <w:bottom w:val="nil"/>
              <w:right w:val="nil"/>
              <w:tl2br w:val="nil"/>
              <w:tr2bl w:val="nil"/>
            </w:tcBorders>
            <w:tcMar>
              <w:top w:w="60" w:type="dxa"/>
              <w:left w:w="60" w:type="dxa"/>
              <w:bottom w:w="60" w:type="dxa"/>
              <w:right w:w="60" w:type="dxa"/>
            </w:tcMar>
            <w:vAlign w:val="center"/>
          </w:tcPr>
          <w:p w14:paraId="3691A2A2"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0.0452</w:t>
            </w:r>
          </w:p>
        </w:tc>
        <w:tc>
          <w:tcPr>
            <w:tcW w:w="1375" w:type="dxa"/>
            <w:tcBorders>
              <w:top w:val="nil"/>
              <w:left w:val="nil"/>
              <w:bottom w:val="nil"/>
              <w:right w:val="nil"/>
              <w:tl2br w:val="nil"/>
              <w:tr2bl w:val="nil"/>
            </w:tcBorders>
            <w:tcMar>
              <w:top w:w="60" w:type="dxa"/>
              <w:left w:w="60" w:type="dxa"/>
              <w:bottom w:w="60" w:type="dxa"/>
              <w:right w:w="60" w:type="dxa"/>
            </w:tcMar>
            <w:vAlign w:val="center"/>
          </w:tcPr>
          <w:p w14:paraId="0C18F1ED"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0.0080</w:t>
            </w:r>
          </w:p>
        </w:tc>
        <w:tc>
          <w:tcPr>
            <w:tcW w:w="1054" w:type="dxa"/>
            <w:tcBorders>
              <w:top w:val="nil"/>
              <w:left w:val="nil"/>
              <w:bottom w:val="nil"/>
              <w:right w:val="nil"/>
              <w:tl2br w:val="nil"/>
              <w:tr2bl w:val="nil"/>
            </w:tcBorders>
            <w:tcMar>
              <w:top w:w="60" w:type="dxa"/>
              <w:left w:w="60" w:type="dxa"/>
              <w:bottom w:w="60" w:type="dxa"/>
              <w:right w:w="60" w:type="dxa"/>
            </w:tcMar>
            <w:vAlign w:val="center"/>
          </w:tcPr>
          <w:p w14:paraId="3405D91B"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0.4029</w:t>
            </w:r>
          </w:p>
        </w:tc>
        <w:tc>
          <w:tcPr>
            <w:tcW w:w="1054" w:type="dxa"/>
            <w:tcBorders>
              <w:top w:val="nil"/>
              <w:left w:val="nil"/>
              <w:bottom w:val="nil"/>
              <w:right w:val="nil"/>
              <w:tl2br w:val="nil"/>
              <w:tr2bl w:val="nil"/>
            </w:tcBorders>
            <w:tcMar>
              <w:top w:w="60" w:type="dxa"/>
              <w:left w:w="60" w:type="dxa"/>
              <w:bottom w:w="60" w:type="dxa"/>
              <w:right w:w="60" w:type="dxa"/>
            </w:tcMar>
            <w:vAlign w:val="center"/>
          </w:tcPr>
          <w:p w14:paraId="5F66A9A3"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0.5073</w:t>
            </w:r>
          </w:p>
        </w:tc>
        <w:tc>
          <w:tcPr>
            <w:tcW w:w="1375" w:type="dxa"/>
            <w:tcBorders>
              <w:top w:val="nil"/>
              <w:left w:val="nil"/>
              <w:bottom w:val="nil"/>
              <w:right w:val="nil"/>
              <w:tl2br w:val="nil"/>
              <w:tr2bl w:val="nil"/>
            </w:tcBorders>
            <w:tcMar>
              <w:top w:w="60" w:type="dxa"/>
              <w:left w:w="60" w:type="dxa"/>
              <w:bottom w:w="60" w:type="dxa"/>
              <w:right w:w="60" w:type="dxa"/>
            </w:tcMar>
            <w:vAlign w:val="center"/>
          </w:tcPr>
          <w:p w14:paraId="0086C156"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0.0898</w:t>
            </w:r>
          </w:p>
        </w:tc>
      </w:tr>
      <w:tr w:rsidR="00490675" w14:paraId="76C924DE" w14:textId="77777777">
        <w:trPr>
          <w:jc w:val="center"/>
        </w:trPr>
        <w:tc>
          <w:tcPr>
            <w:tcW w:w="605" w:type="dxa"/>
            <w:tcBorders>
              <w:top w:val="nil"/>
              <w:left w:val="nil"/>
              <w:bottom w:val="single" w:sz="12" w:space="0" w:color="auto"/>
              <w:right w:val="nil"/>
              <w:tl2br w:val="nil"/>
              <w:tr2bl w:val="nil"/>
            </w:tcBorders>
            <w:tcMar>
              <w:top w:w="60" w:type="dxa"/>
              <w:left w:w="60" w:type="dxa"/>
              <w:bottom w:w="60" w:type="dxa"/>
              <w:right w:w="60" w:type="dxa"/>
            </w:tcMar>
            <w:vAlign w:val="center"/>
          </w:tcPr>
          <w:p w14:paraId="272772D1"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2024</w:t>
            </w:r>
          </w:p>
        </w:tc>
        <w:tc>
          <w:tcPr>
            <w:tcW w:w="792" w:type="dxa"/>
            <w:tcBorders>
              <w:top w:val="nil"/>
              <w:left w:val="nil"/>
              <w:bottom w:val="single" w:sz="12" w:space="0" w:color="auto"/>
              <w:right w:val="nil"/>
              <w:tl2br w:val="nil"/>
              <w:tr2bl w:val="nil"/>
            </w:tcBorders>
            <w:tcMar>
              <w:top w:w="60" w:type="dxa"/>
              <w:left w:w="60" w:type="dxa"/>
              <w:bottom w:w="60" w:type="dxa"/>
              <w:right w:w="60" w:type="dxa"/>
            </w:tcMar>
            <w:vAlign w:val="center"/>
          </w:tcPr>
          <w:p w14:paraId="2F6C8CED"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0.0897</w:t>
            </w:r>
          </w:p>
        </w:tc>
        <w:tc>
          <w:tcPr>
            <w:tcW w:w="1197" w:type="dxa"/>
            <w:tcBorders>
              <w:top w:val="nil"/>
              <w:left w:val="nil"/>
              <w:bottom w:val="single" w:sz="12" w:space="0" w:color="auto"/>
              <w:right w:val="nil"/>
              <w:tl2br w:val="nil"/>
              <w:tr2bl w:val="nil"/>
            </w:tcBorders>
            <w:tcMar>
              <w:top w:w="60" w:type="dxa"/>
              <w:left w:w="60" w:type="dxa"/>
              <w:bottom w:w="60" w:type="dxa"/>
              <w:right w:w="60" w:type="dxa"/>
            </w:tcMar>
            <w:vAlign w:val="center"/>
          </w:tcPr>
          <w:p w14:paraId="72672122"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0.0367</w:t>
            </w:r>
          </w:p>
        </w:tc>
        <w:tc>
          <w:tcPr>
            <w:tcW w:w="974" w:type="dxa"/>
            <w:tcBorders>
              <w:top w:val="nil"/>
              <w:left w:val="nil"/>
              <w:bottom w:val="single" w:sz="12" w:space="0" w:color="auto"/>
              <w:right w:val="nil"/>
              <w:tl2br w:val="nil"/>
              <w:tr2bl w:val="nil"/>
            </w:tcBorders>
            <w:tcMar>
              <w:top w:w="60" w:type="dxa"/>
              <w:left w:w="60" w:type="dxa"/>
              <w:bottom w:w="60" w:type="dxa"/>
              <w:right w:w="60" w:type="dxa"/>
            </w:tcMar>
            <w:vAlign w:val="center"/>
          </w:tcPr>
          <w:p w14:paraId="796F08AA"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0.0482</w:t>
            </w:r>
          </w:p>
        </w:tc>
        <w:tc>
          <w:tcPr>
            <w:tcW w:w="1375" w:type="dxa"/>
            <w:tcBorders>
              <w:top w:val="nil"/>
              <w:left w:val="nil"/>
              <w:bottom w:val="single" w:sz="12" w:space="0" w:color="auto"/>
              <w:right w:val="nil"/>
              <w:tl2br w:val="nil"/>
              <w:tr2bl w:val="nil"/>
            </w:tcBorders>
            <w:tcMar>
              <w:top w:w="60" w:type="dxa"/>
              <w:left w:w="60" w:type="dxa"/>
              <w:bottom w:w="60" w:type="dxa"/>
              <w:right w:w="60" w:type="dxa"/>
            </w:tcMar>
            <w:vAlign w:val="center"/>
          </w:tcPr>
          <w:p w14:paraId="33AC5094"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0.0048</w:t>
            </w:r>
          </w:p>
        </w:tc>
        <w:tc>
          <w:tcPr>
            <w:tcW w:w="1054" w:type="dxa"/>
            <w:tcBorders>
              <w:top w:val="nil"/>
              <w:left w:val="nil"/>
              <w:bottom w:val="single" w:sz="12" w:space="0" w:color="auto"/>
              <w:right w:val="nil"/>
              <w:tl2br w:val="nil"/>
              <w:tr2bl w:val="nil"/>
            </w:tcBorders>
            <w:tcMar>
              <w:top w:w="60" w:type="dxa"/>
              <w:left w:w="60" w:type="dxa"/>
              <w:bottom w:w="60" w:type="dxa"/>
              <w:right w:w="60" w:type="dxa"/>
            </w:tcMar>
            <w:vAlign w:val="center"/>
          </w:tcPr>
          <w:p w14:paraId="749C0A1D"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0.4091</w:t>
            </w:r>
          </w:p>
        </w:tc>
        <w:tc>
          <w:tcPr>
            <w:tcW w:w="1054" w:type="dxa"/>
            <w:tcBorders>
              <w:top w:val="nil"/>
              <w:left w:val="nil"/>
              <w:bottom w:val="single" w:sz="12" w:space="0" w:color="auto"/>
              <w:right w:val="nil"/>
              <w:tl2br w:val="nil"/>
              <w:tr2bl w:val="nil"/>
            </w:tcBorders>
            <w:tcMar>
              <w:top w:w="60" w:type="dxa"/>
              <w:left w:w="60" w:type="dxa"/>
              <w:bottom w:w="60" w:type="dxa"/>
              <w:right w:w="60" w:type="dxa"/>
            </w:tcMar>
            <w:vAlign w:val="center"/>
          </w:tcPr>
          <w:p w14:paraId="213CFE43"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0.5373</w:t>
            </w:r>
          </w:p>
        </w:tc>
        <w:tc>
          <w:tcPr>
            <w:tcW w:w="1375" w:type="dxa"/>
            <w:tcBorders>
              <w:top w:val="nil"/>
              <w:left w:val="nil"/>
              <w:bottom w:val="single" w:sz="12" w:space="0" w:color="auto"/>
              <w:right w:val="nil"/>
              <w:tl2br w:val="nil"/>
              <w:tr2bl w:val="nil"/>
            </w:tcBorders>
            <w:tcMar>
              <w:top w:w="60" w:type="dxa"/>
              <w:left w:w="60" w:type="dxa"/>
              <w:bottom w:w="60" w:type="dxa"/>
              <w:right w:w="60" w:type="dxa"/>
            </w:tcMar>
            <w:vAlign w:val="center"/>
          </w:tcPr>
          <w:p w14:paraId="3BF31067" w14:textId="77777777" w:rsidR="00490675" w:rsidRDefault="009B469C">
            <w:pPr>
              <w:pStyle w:val="a"/>
              <w:widowControl w:val="0"/>
              <w:adjustRightInd w:val="0"/>
              <w:snapToGrid w:val="0"/>
              <w:spacing w:line="480" w:lineRule="auto"/>
              <w:ind w:firstLineChars="0" w:firstLine="0"/>
              <w:rPr>
                <w:rFonts w:ascii="Arial" w:eastAsiaTheme="minorEastAsia" w:hAnsi="Arial" w:cs="Arial"/>
                <w:kern w:val="2"/>
                <w:sz w:val="20"/>
              </w:rPr>
            </w:pPr>
            <w:r>
              <w:rPr>
                <w:rFonts w:ascii="Arial" w:eastAsiaTheme="minorEastAsia" w:hAnsi="Arial" w:cs="Arial" w:hint="eastAsia"/>
                <w:kern w:val="2"/>
                <w:sz w:val="20"/>
              </w:rPr>
              <w:t>0.0536</w:t>
            </w:r>
          </w:p>
        </w:tc>
      </w:tr>
    </w:tbl>
    <w:p w14:paraId="1D98569B" w14:textId="77777777" w:rsidR="00490675" w:rsidRDefault="00490675">
      <w:pPr>
        <w:widowControl/>
        <w:topLinePunct/>
        <w:rPr>
          <w:rFonts w:ascii="Arial" w:hAnsi="Arial" w:cs="Arial"/>
          <w:sz w:val="20"/>
          <w:szCs w:val="20"/>
        </w:rPr>
      </w:pPr>
    </w:p>
    <w:p w14:paraId="783F38D2" w14:textId="77777777" w:rsidR="00490675" w:rsidRDefault="009B469C">
      <w:pPr>
        <w:widowControl/>
        <w:topLinePunct/>
        <w:rPr>
          <w:rFonts w:ascii="Arial" w:hAnsi="Arial" w:cs="Arial"/>
          <w:sz w:val="20"/>
          <w:szCs w:val="20"/>
        </w:rPr>
      </w:pPr>
      <w:r>
        <w:rPr>
          <w:rFonts w:ascii="Arial" w:hAnsi="Arial" w:cs="Arial"/>
          <w:sz w:val="20"/>
          <w:szCs w:val="20"/>
        </w:rPr>
        <w:t>Intra-regional disparities have fluctuated downward, with their contribution rate remaining between 32% and 44.34%, making them a significant source of regional disparities. This indicates that imbalances in development among cities within Southern, Centra</w:t>
      </w:r>
      <w:r>
        <w:rPr>
          <w:rFonts w:ascii="Arial" w:hAnsi="Arial" w:cs="Arial"/>
          <w:sz w:val="20"/>
          <w:szCs w:val="20"/>
        </w:rPr>
        <w:t>l, and Northern Jiangsu have persisted for a long time; however, as the flow of factors, industrial synergy, and the inclusiveness of policies within Jiangsu Province have strengthened, the gaps in rural industrial development within each region have gradu</w:t>
      </w:r>
      <w:r>
        <w:rPr>
          <w:rFonts w:ascii="Arial" w:hAnsi="Arial" w:cs="Arial"/>
          <w:sz w:val="20"/>
          <w:szCs w:val="20"/>
        </w:rPr>
        <w:t>ally narrowed. The contribution rate of inter-group net disparities has risen significantly year by year, increasing from 25.86% in 2013 to 53.73% in 2024. Since 2019, it has surpassed intra-group disparities to become the primary driver of regional differ</w:t>
      </w:r>
      <w:r>
        <w:rPr>
          <w:rFonts w:ascii="Arial" w:hAnsi="Arial" w:cs="Arial"/>
          <w:sz w:val="20"/>
          <w:szCs w:val="20"/>
        </w:rPr>
        <w:t>ences. This indicates that the developmental disparities among the three major regions—Southern, Central, and Northern Jiangsu—are becoming increasingly pronounced, and the gap in development levels between these regions has become the core driver of regio</w:t>
      </w:r>
      <w:r>
        <w:rPr>
          <w:rFonts w:ascii="Arial" w:hAnsi="Arial" w:cs="Arial"/>
          <w:sz w:val="20"/>
          <w:szCs w:val="20"/>
        </w:rPr>
        <w:t xml:space="preserve">nal disparities in rural industrial revitalization in Jiangsu Province. The </w:t>
      </w:r>
      <w:proofErr w:type="spellStart"/>
      <w:r>
        <w:rPr>
          <w:rFonts w:ascii="Arial" w:hAnsi="Arial" w:cs="Arial"/>
          <w:sz w:val="20"/>
          <w:szCs w:val="20"/>
        </w:rPr>
        <w:t>hypervariation</w:t>
      </w:r>
      <w:proofErr w:type="spellEnd"/>
      <w:r>
        <w:rPr>
          <w:rFonts w:ascii="Arial" w:hAnsi="Arial" w:cs="Arial"/>
          <w:sz w:val="20"/>
          <w:szCs w:val="20"/>
        </w:rPr>
        <w:t xml:space="preserve"> density and its contribution rate have shown a sustained and rapid decline, dropping from 0.0536 in 2013 to 0.0048 in 2024, with the contribution rate falling from 3</w:t>
      </w:r>
      <w:r>
        <w:rPr>
          <w:rFonts w:ascii="Arial" w:hAnsi="Arial" w:cs="Arial"/>
          <w:sz w:val="20"/>
          <w:szCs w:val="20"/>
        </w:rPr>
        <w:t xml:space="preserve">1.87% to 5.36%. This indicates that the overlap in rural industrial revitalization levels among the three </w:t>
      </w:r>
      <w:r>
        <w:rPr>
          <w:rFonts w:ascii="Arial" w:hAnsi="Arial" w:cs="Arial"/>
          <w:sz w:val="20"/>
          <w:szCs w:val="20"/>
        </w:rPr>
        <w:lastRenderedPageBreak/>
        <w:t>major regions has significantly decreased during the sample period. The regional development pattern has gradually shifted from the early stage of “in</w:t>
      </w:r>
      <w:r>
        <w:rPr>
          <w:rFonts w:ascii="Arial" w:hAnsi="Arial" w:cs="Arial"/>
          <w:sz w:val="20"/>
          <w:szCs w:val="20"/>
        </w:rPr>
        <w:t>termingled highs and lows with a mixed distribution” to one characterized by “clear gradients and stable stratification,” with a substantial reduction in the overlap between high-value cities in low-development regions and low-value cities in high-developm</w:t>
      </w:r>
      <w:r>
        <w:rPr>
          <w:rFonts w:ascii="Arial" w:hAnsi="Arial" w:cs="Arial"/>
          <w:sz w:val="20"/>
          <w:szCs w:val="20"/>
        </w:rPr>
        <w:t>ent regions.</w:t>
      </w:r>
    </w:p>
    <w:p w14:paraId="2C73B931" w14:textId="77777777" w:rsidR="00490675" w:rsidRDefault="009B469C">
      <w:pPr>
        <w:widowControl/>
        <w:topLinePunct/>
        <w:rPr>
          <w:rFonts w:ascii="Arial" w:hAnsi="Arial" w:cs="Arial"/>
          <w:sz w:val="20"/>
          <w:szCs w:val="20"/>
        </w:rPr>
      </w:pPr>
      <w:r>
        <w:rPr>
          <w:noProof/>
        </w:rPr>
        <w:drawing>
          <wp:inline distT="0" distB="0" distL="114300" distR="114300" wp14:anchorId="552AC970" wp14:editId="657EA19B">
            <wp:extent cx="5268595" cy="2055495"/>
            <wp:effectExtent l="0" t="0" r="825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68595" cy="2055495"/>
                    </a:xfrm>
                    <a:prstGeom prst="rect">
                      <a:avLst/>
                    </a:prstGeom>
                    <a:noFill/>
                    <a:ln>
                      <a:noFill/>
                    </a:ln>
                  </pic:spPr>
                </pic:pic>
              </a:graphicData>
            </a:graphic>
          </wp:inline>
        </w:drawing>
      </w:r>
    </w:p>
    <w:p w14:paraId="6E944BAA" w14:textId="77777777" w:rsidR="00490675" w:rsidRDefault="009B469C">
      <w:pPr>
        <w:widowControl/>
        <w:topLinePunct/>
        <w:rPr>
          <w:rFonts w:ascii="Arial" w:hAnsi="Arial" w:cs="Arial"/>
          <w:b/>
          <w:bCs/>
          <w:sz w:val="20"/>
          <w:szCs w:val="20"/>
        </w:rPr>
      </w:pPr>
      <w:r>
        <w:rPr>
          <w:rFonts w:ascii="Arial" w:hAnsi="Arial" w:cs="Arial"/>
          <w:b/>
          <w:bCs/>
          <w:sz w:val="20"/>
          <w:szCs w:val="20"/>
        </w:rPr>
        <w:t xml:space="preserve">Fig. </w:t>
      </w:r>
      <w:r>
        <w:rPr>
          <w:rFonts w:ascii="Arial" w:hAnsi="Arial" w:cs="Arial" w:hint="eastAsia"/>
          <w:b/>
          <w:bCs/>
          <w:sz w:val="20"/>
          <w:szCs w:val="20"/>
        </w:rPr>
        <w:t xml:space="preserve">4. </w:t>
      </w:r>
      <w:r>
        <w:rPr>
          <w:rFonts w:ascii="Arial" w:hAnsi="Arial" w:cs="Arial"/>
          <w:b/>
          <w:bCs/>
          <w:sz w:val="20"/>
          <w:szCs w:val="20"/>
        </w:rPr>
        <w:t>Overall Gini coefficient gap and sources of disparity in Jiangsu Province</w:t>
      </w:r>
    </w:p>
    <w:p w14:paraId="4A27A1CF" w14:textId="77777777" w:rsidR="00490675" w:rsidRDefault="00490675">
      <w:pPr>
        <w:widowControl/>
        <w:topLinePunct/>
        <w:rPr>
          <w:rFonts w:ascii="Arial" w:hAnsi="Arial"/>
          <w:b/>
          <w:sz w:val="20"/>
          <w:szCs w:val="20"/>
        </w:rPr>
      </w:pPr>
    </w:p>
    <w:p w14:paraId="6D774F26" w14:textId="77777777" w:rsidR="00490675" w:rsidRDefault="009B469C">
      <w:pPr>
        <w:widowControl/>
        <w:topLinePunct/>
        <w:rPr>
          <w:rFonts w:ascii="Arial" w:hAnsi="Arial"/>
          <w:b/>
          <w:sz w:val="20"/>
          <w:szCs w:val="20"/>
        </w:rPr>
      </w:pPr>
      <w:r>
        <w:rPr>
          <w:rFonts w:ascii="Arial" w:hAnsi="Arial" w:hint="eastAsia"/>
          <w:b/>
          <w:sz w:val="20"/>
          <w:szCs w:val="20"/>
        </w:rPr>
        <w:t>3.5 Dynamic Evolution</w:t>
      </w:r>
    </w:p>
    <w:p w14:paraId="1524538D" w14:textId="77777777" w:rsidR="00490675" w:rsidRDefault="00490675">
      <w:pPr>
        <w:pStyle w:val="a"/>
        <w:widowControl w:val="0"/>
        <w:adjustRightInd w:val="0"/>
        <w:snapToGrid w:val="0"/>
        <w:ind w:firstLineChars="0" w:firstLine="0"/>
        <w:rPr>
          <w:rFonts w:ascii="Arial" w:hAnsi="Arial" w:cs="Arial"/>
          <w:sz w:val="20"/>
        </w:rPr>
      </w:pPr>
    </w:p>
    <w:p w14:paraId="2DA60DAF" w14:textId="77777777" w:rsidR="00490675" w:rsidRDefault="009B469C">
      <w:pPr>
        <w:pStyle w:val="a"/>
        <w:widowControl w:val="0"/>
        <w:adjustRightInd w:val="0"/>
        <w:ind w:firstLineChars="0" w:firstLine="0"/>
        <w:rPr>
          <w:rFonts w:ascii="Arial" w:eastAsiaTheme="minorEastAsia" w:hAnsi="Arial" w:cs="Arial"/>
          <w:kern w:val="2"/>
          <w:sz w:val="20"/>
        </w:rPr>
      </w:pPr>
      <w:r>
        <w:rPr>
          <w:rFonts w:ascii="Arial" w:eastAsiaTheme="minorEastAsia" w:hAnsi="Arial" w:cs="Arial"/>
          <w:kern w:val="2"/>
          <w:sz w:val="20"/>
        </w:rPr>
        <w:t xml:space="preserve">This study selected five key time points—2013, 2016, 2019, 2022, and 2024—at three-year intervals to estimate kernel density, with the results shown in Figure 5. In terms of distribution, the kernel density curve shifts to the right year by year. In 2013, </w:t>
      </w:r>
      <w:r>
        <w:rPr>
          <w:rFonts w:ascii="Arial" w:eastAsiaTheme="minorEastAsia" w:hAnsi="Arial" w:cs="Arial"/>
          <w:kern w:val="2"/>
          <w:sz w:val="20"/>
        </w:rPr>
        <w:t>the kernel density curve was concentrated in the low range of 0.2–0.3, indicating that rural industrial revitalization was at a relatively low level at the beginning of the study. By 2024, the curve had shifted to the range of 0.5–0.6, indicating a signifi</w:t>
      </w:r>
      <w:r>
        <w:rPr>
          <w:rFonts w:ascii="Arial" w:eastAsiaTheme="minorEastAsia" w:hAnsi="Arial" w:cs="Arial"/>
          <w:kern w:val="2"/>
          <w:sz w:val="20"/>
        </w:rPr>
        <w:t>cant improvement in the level of rural industrial revitalization in Jiangsu Province. In terms of distribution shape, the curve’s peak exhibits a declining and gradually flattening trend. In 2013, the curve reached its highest peak with the most concentrat</w:t>
      </w:r>
      <w:r>
        <w:rPr>
          <w:rFonts w:ascii="Arial" w:eastAsiaTheme="minorEastAsia" w:hAnsi="Arial" w:cs="Arial"/>
          <w:kern w:val="2"/>
          <w:sz w:val="20"/>
        </w:rPr>
        <w:t>ed distribution, indicating that development gaps between regions were small in the early stages, with the overall situation characterized by a low-level equilibrium; by 2016, the peak had dropped significantly, the distribution range had expanded, and dev</w:t>
      </w:r>
      <w:r>
        <w:rPr>
          <w:rFonts w:ascii="Arial" w:eastAsiaTheme="minorEastAsia" w:hAnsi="Arial" w:cs="Arial"/>
          <w:kern w:val="2"/>
          <w:sz w:val="20"/>
        </w:rPr>
        <w:t>elopment speeds across regions began to diverge, with regional disparities becoming apparent; By 2024, the peak of the curve has risen while the distribution width has narrowed, indicating that regional development gaps are gradually converging, with the o</w:t>
      </w:r>
      <w:r>
        <w:rPr>
          <w:rFonts w:ascii="Arial" w:eastAsiaTheme="minorEastAsia" w:hAnsi="Arial" w:cs="Arial"/>
          <w:kern w:val="2"/>
          <w:sz w:val="20"/>
        </w:rPr>
        <w:t>verall trend evolving toward a high-level equilibrium. In terms of polarization characteristics, the kernel density curve maintains a unimodal state across all years, suggesting that the overall development of rural industrial revitalization in Jiangsu Pro</w:t>
      </w:r>
      <w:r>
        <w:rPr>
          <w:rFonts w:ascii="Arial" w:eastAsiaTheme="minorEastAsia" w:hAnsi="Arial" w:cs="Arial"/>
          <w:kern w:val="2"/>
          <w:sz w:val="20"/>
        </w:rPr>
        <w:t>vince is coordinated and progressing relatively smoothly. The slight upward tail observed near 0.4 on the 2013 curve was not due to a bimodal distribution of the data itself, but rather a temporary manifestation of accelerated development in some regions d</w:t>
      </w:r>
      <w:r>
        <w:rPr>
          <w:rFonts w:ascii="Arial" w:eastAsiaTheme="minorEastAsia" w:hAnsi="Arial" w:cs="Arial"/>
          <w:kern w:val="2"/>
          <w:sz w:val="20"/>
        </w:rPr>
        <w:t>uring the early low-level stage. As the curve continued to shift to the right and its shape improved in subsequent years, this phenomenon has completely disappeared.</w:t>
      </w:r>
    </w:p>
    <w:p w14:paraId="5667B4A9" w14:textId="77777777" w:rsidR="00490675" w:rsidRDefault="009B469C">
      <w:pPr>
        <w:pStyle w:val="a"/>
        <w:keepNext/>
        <w:widowControl w:val="0"/>
        <w:adjustRightInd w:val="0"/>
        <w:snapToGrid w:val="0"/>
        <w:ind w:firstLineChars="0" w:firstLine="0"/>
        <w:rPr>
          <w:rFonts w:ascii="Arial" w:hAnsi="Arial" w:cs="Arial"/>
          <w:sz w:val="20"/>
        </w:rPr>
      </w:pPr>
      <w:r>
        <w:rPr>
          <w:rFonts w:ascii="Arial" w:hAnsi="Arial" w:cs="Arial"/>
          <w:noProof/>
          <w:sz w:val="20"/>
        </w:rPr>
        <w:lastRenderedPageBreak/>
        <w:drawing>
          <wp:inline distT="0" distB="0" distL="114300" distR="114300" wp14:anchorId="460AA1EE" wp14:editId="20F31382">
            <wp:extent cx="5263515" cy="3199765"/>
            <wp:effectExtent l="0" t="0" r="3810" b="635"/>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pic:cNvPicPr>
                  </pic:nvPicPr>
                  <pic:blipFill>
                    <a:blip r:embed="rId10"/>
                    <a:stretch>
                      <a:fillRect/>
                    </a:stretch>
                  </pic:blipFill>
                  <pic:spPr>
                    <a:xfrm>
                      <a:off x="0" y="0"/>
                      <a:ext cx="5263515" cy="3199765"/>
                    </a:xfrm>
                    <a:prstGeom prst="rect">
                      <a:avLst/>
                    </a:prstGeom>
                  </pic:spPr>
                </pic:pic>
              </a:graphicData>
            </a:graphic>
          </wp:inline>
        </w:drawing>
      </w:r>
    </w:p>
    <w:p w14:paraId="638A992D" w14:textId="77777777" w:rsidR="00490675" w:rsidRDefault="00490675">
      <w:pPr>
        <w:pStyle w:val="a"/>
        <w:keepNext/>
        <w:widowControl w:val="0"/>
        <w:adjustRightInd w:val="0"/>
        <w:snapToGrid w:val="0"/>
        <w:ind w:firstLineChars="0" w:firstLine="0"/>
        <w:rPr>
          <w:rFonts w:ascii="Arial" w:hAnsi="Arial" w:cs="Arial"/>
          <w:sz w:val="20"/>
        </w:rPr>
      </w:pPr>
    </w:p>
    <w:p w14:paraId="57232EC2" w14:textId="77777777" w:rsidR="00490675" w:rsidRDefault="009B469C">
      <w:pPr>
        <w:pStyle w:val="a"/>
        <w:widowControl w:val="0"/>
        <w:adjustRightInd w:val="0"/>
        <w:snapToGrid w:val="0"/>
        <w:spacing w:line="480" w:lineRule="auto"/>
        <w:ind w:firstLineChars="0" w:firstLine="0"/>
        <w:rPr>
          <w:rFonts w:ascii="Arial" w:hAnsi="Arial" w:cs="Arial"/>
          <w:b/>
          <w:bCs/>
          <w:sz w:val="20"/>
        </w:rPr>
      </w:pPr>
      <w:r>
        <w:rPr>
          <w:rFonts w:ascii="Arial" w:hAnsi="Arial" w:cs="Arial"/>
          <w:b/>
          <w:bCs/>
          <w:sz w:val="20"/>
        </w:rPr>
        <w:t xml:space="preserve">Fig. </w:t>
      </w:r>
      <w:r>
        <w:rPr>
          <w:rFonts w:ascii="Arial" w:hAnsi="Arial" w:cs="Arial" w:hint="eastAsia"/>
          <w:b/>
          <w:bCs/>
          <w:sz w:val="20"/>
        </w:rPr>
        <w:t>5.</w:t>
      </w:r>
      <w:r>
        <w:rPr>
          <w:rFonts w:ascii="Times New Roman"/>
          <w:b/>
          <w:bCs/>
          <w:sz w:val="20"/>
        </w:rPr>
        <w:t xml:space="preserve"> </w:t>
      </w:r>
      <w:r>
        <w:rPr>
          <w:rFonts w:ascii="Times New Roman" w:hint="eastAsia"/>
          <w:b/>
          <w:bCs/>
          <w:sz w:val="20"/>
        </w:rPr>
        <w:t xml:space="preserve"> </w:t>
      </w:r>
      <w:r>
        <w:rPr>
          <w:rFonts w:ascii="Arial" w:hAnsi="Arial" w:cs="Arial"/>
          <w:b/>
          <w:bCs/>
          <w:sz w:val="20"/>
        </w:rPr>
        <w:t>The evolutionary pattern of the kernel density distribution for rural industri</w:t>
      </w:r>
      <w:r>
        <w:rPr>
          <w:rFonts w:ascii="Arial" w:hAnsi="Arial" w:cs="Arial"/>
          <w:b/>
          <w:bCs/>
          <w:sz w:val="20"/>
        </w:rPr>
        <w:t>al revitalization</w:t>
      </w:r>
    </w:p>
    <w:p w14:paraId="7BC5B964" w14:textId="77777777" w:rsidR="00490675" w:rsidRDefault="009B469C">
      <w:pPr>
        <w:pStyle w:val="a"/>
        <w:keepNext/>
        <w:widowControl w:val="0"/>
        <w:adjustRightInd w:val="0"/>
        <w:ind w:firstLineChars="0" w:firstLine="0"/>
        <w:rPr>
          <w:rFonts w:ascii="Arial" w:hAnsi="Arial" w:cs="Arial"/>
          <w:sz w:val="20"/>
        </w:rPr>
      </w:pPr>
      <w:r>
        <w:rPr>
          <w:rFonts w:ascii="Arial" w:hAnsi="Arial" w:cs="Arial"/>
          <w:sz w:val="20"/>
        </w:rPr>
        <w:t xml:space="preserve">Among the subsystem kernel density distributions, regional disparities are most pronounced in the industrial competitiveness kernel density curve. The kernel density curve for Southern Jiangsu shifts to the right, with a peak between 0.4 </w:t>
      </w:r>
      <w:r>
        <w:rPr>
          <w:rFonts w:ascii="Arial" w:hAnsi="Arial" w:cs="Arial"/>
          <w:sz w:val="20"/>
        </w:rPr>
        <w:t>and 0.5, indicating that this region is significantly ahead in terms of rural industrial revitalization. The kernel density curves for Central and Northern Jiangsu are concentrated between 0.2 and 0.4, with a flatter profile, reflecting that rural industri</w:t>
      </w:r>
      <w:r>
        <w:rPr>
          <w:rFonts w:ascii="Arial" w:hAnsi="Arial" w:cs="Arial"/>
          <w:sz w:val="20"/>
        </w:rPr>
        <w:t xml:space="preserve">al development in these two regions is relatively weak, and that internal disparities are relatively small. This indicates that regional development imbalances are a key factor constraining the coordinated development of rural industrial revitalization in </w:t>
      </w:r>
      <w:r>
        <w:rPr>
          <w:rFonts w:ascii="Arial" w:hAnsi="Arial" w:cs="Arial"/>
          <w:sz w:val="20"/>
        </w:rPr>
        <w:t>Jiangsu Province, with Southern, Central, and Northern Jiangsu having formed a relatively distinct industrial gradient development pattern.</w:t>
      </w:r>
    </w:p>
    <w:p w14:paraId="6B662743" w14:textId="77777777" w:rsidR="00490675" w:rsidRDefault="00490675">
      <w:pPr>
        <w:pStyle w:val="a"/>
        <w:keepNext/>
        <w:widowControl w:val="0"/>
        <w:adjustRightInd w:val="0"/>
        <w:ind w:firstLineChars="0" w:firstLine="0"/>
        <w:rPr>
          <w:rFonts w:ascii="Arial" w:hAnsi="Arial" w:cs="Arial"/>
          <w:sz w:val="20"/>
        </w:rPr>
      </w:pPr>
    </w:p>
    <w:p w14:paraId="48FD31F2" w14:textId="77777777" w:rsidR="00490675" w:rsidRDefault="009B469C">
      <w:pPr>
        <w:pStyle w:val="a"/>
        <w:keepNext/>
        <w:widowControl w:val="0"/>
        <w:adjustRightInd w:val="0"/>
        <w:ind w:firstLineChars="0" w:firstLine="0"/>
        <w:rPr>
          <w:rFonts w:ascii="Arial" w:hAnsi="Arial" w:cs="Arial"/>
          <w:sz w:val="20"/>
        </w:rPr>
      </w:pPr>
      <w:r>
        <w:rPr>
          <w:rFonts w:ascii="Arial" w:hAnsi="Arial" w:cs="Arial"/>
          <w:sz w:val="20"/>
        </w:rPr>
        <w:t>The nuclear density curve for livelihood prosperity shows a distribution pattern where Northern Jiangsu leads and S</w:t>
      </w:r>
      <w:r>
        <w:rPr>
          <w:rFonts w:ascii="Arial" w:hAnsi="Arial" w:cs="Arial"/>
          <w:sz w:val="20"/>
        </w:rPr>
        <w:t>outhern Jiangsu lags. Among these, the Northern Jiangsu region has the highest peak on the nuclear density curve, concentrated between 0.3 and 0.4, reflecting a significant improvement in the standard of living in rural Northern Jiangsu. The nuclear densit</w:t>
      </w:r>
      <w:r>
        <w:rPr>
          <w:rFonts w:ascii="Arial" w:hAnsi="Arial" w:cs="Arial"/>
          <w:sz w:val="20"/>
        </w:rPr>
        <w:t>y curve for Central Jiangsu is at a moderate level, with a relatively balanced internal distribution; the curve for Southern Jiangsu is positioned farthest to the right, extending to 0.7 at its tail, indicating that the overall standard of living in Southe</w:t>
      </w:r>
      <w:r>
        <w:rPr>
          <w:rFonts w:ascii="Arial" w:hAnsi="Arial" w:cs="Arial"/>
          <w:sz w:val="20"/>
        </w:rPr>
        <w:t>rn Jiangsu is higher, but internal regional development disparities are more pronounced. Overall, regional disparities in living standards are gradually narrowing, and Northern Jiangsu demonstrates a clear late-mover advantage in the process of achieving c</w:t>
      </w:r>
      <w:r>
        <w:rPr>
          <w:rFonts w:ascii="Arial" w:hAnsi="Arial" w:cs="Arial"/>
          <w:sz w:val="20"/>
        </w:rPr>
        <w:t>ommon prosperity.</w:t>
      </w:r>
    </w:p>
    <w:p w14:paraId="3471ED74" w14:textId="77777777" w:rsidR="00490675" w:rsidRDefault="00490675">
      <w:pPr>
        <w:pStyle w:val="a"/>
        <w:keepNext/>
        <w:widowControl w:val="0"/>
        <w:adjustRightInd w:val="0"/>
        <w:ind w:firstLineChars="0" w:firstLine="0"/>
        <w:rPr>
          <w:rFonts w:ascii="Arial" w:hAnsi="Arial" w:cs="Arial"/>
          <w:sz w:val="20"/>
        </w:rPr>
      </w:pPr>
    </w:p>
    <w:p w14:paraId="11AF3B22" w14:textId="77777777" w:rsidR="00490675" w:rsidRDefault="009B469C">
      <w:pPr>
        <w:pStyle w:val="a"/>
        <w:keepNext/>
        <w:widowControl w:val="0"/>
        <w:adjustRightInd w:val="0"/>
        <w:ind w:firstLineChars="0" w:firstLine="0"/>
        <w:rPr>
          <w:rFonts w:ascii="Arial" w:hAnsi="Arial" w:cs="Arial"/>
          <w:sz w:val="20"/>
        </w:rPr>
      </w:pPr>
      <w:r>
        <w:rPr>
          <w:rFonts w:ascii="Arial" w:hAnsi="Arial" w:cs="Arial"/>
          <w:sz w:val="20"/>
        </w:rPr>
        <w:t xml:space="preserve">The nuclear density curve for green support capacity also exhibits distinct regional gradients. The curve for Southern Jiangsu has the highest peak, concentrated between 0.4 and 0.5, indicating that the region leads in overall green </w:t>
      </w:r>
      <w:r>
        <w:rPr>
          <w:rFonts w:ascii="Arial" w:hAnsi="Arial" w:cs="Arial"/>
          <w:sz w:val="20"/>
        </w:rPr>
        <w:t xml:space="preserve">development with minimal internal variation; </w:t>
      </w:r>
      <w:r>
        <w:rPr>
          <w:rFonts w:ascii="Arial" w:hAnsi="Arial" w:cs="Arial"/>
          <w:sz w:val="20"/>
        </w:rPr>
        <w:lastRenderedPageBreak/>
        <w:t>the curve for Central Jiangsu is in the middle, with a relatively flat distribution; and the curve for Northern Jiangsu is positioned farthest to the right, with a peak between 0.7 and 0.8, indicating that North</w:t>
      </w:r>
      <w:r>
        <w:rPr>
          <w:rFonts w:ascii="Arial" w:hAnsi="Arial" w:cs="Arial"/>
          <w:sz w:val="20"/>
        </w:rPr>
        <w:t>ern Jiangsu has shown the most significant improvement in green development, and regional disparities are gradually narrowing. Overall, green support capacity is the dimension with the highest level of development and the strongest regional synergy among t</w:t>
      </w:r>
      <w:r>
        <w:rPr>
          <w:rFonts w:ascii="Arial" w:hAnsi="Arial" w:cs="Arial"/>
          <w:sz w:val="20"/>
        </w:rPr>
        <w:t>he three subsystems.</w:t>
      </w:r>
    </w:p>
    <w:p w14:paraId="0A7C3F7A" w14:textId="77777777" w:rsidR="00490675" w:rsidRDefault="00490675">
      <w:pPr>
        <w:pStyle w:val="a"/>
        <w:keepNext/>
        <w:widowControl w:val="0"/>
        <w:adjustRightInd w:val="0"/>
        <w:ind w:firstLineChars="0" w:firstLine="0"/>
        <w:rPr>
          <w:rFonts w:ascii="Arial" w:hAnsi="Arial" w:cs="Arial"/>
          <w:sz w:val="20"/>
        </w:rPr>
      </w:pPr>
    </w:p>
    <w:p w14:paraId="5B9BE0AB" w14:textId="77777777" w:rsidR="00490675" w:rsidRDefault="009B469C">
      <w:pPr>
        <w:pStyle w:val="a"/>
        <w:keepNext/>
        <w:widowControl w:val="0"/>
        <w:adjustRightInd w:val="0"/>
        <w:ind w:firstLineChars="0" w:firstLine="0"/>
        <w:rPr>
          <w:rFonts w:ascii="Arial" w:hAnsi="Arial" w:cs="Arial"/>
          <w:sz w:val="20"/>
        </w:rPr>
      </w:pPr>
      <w:r>
        <w:rPr>
          <w:rFonts w:ascii="Arial" w:hAnsi="Arial" w:cs="Arial"/>
          <w:sz w:val="20"/>
        </w:rPr>
        <w:t>The kernel density estimation results further reveal that the level of rural industrial revitalization across the province is continuously improving, and regional disparities are steadily converging. At the subsystem level, the develo</w:t>
      </w:r>
      <w:r>
        <w:rPr>
          <w:rFonts w:ascii="Arial" w:hAnsi="Arial" w:cs="Arial"/>
          <w:sz w:val="20"/>
        </w:rPr>
        <w:t>pment of green support capacity has achieved significant results and exhibits the best balance; industrial competitiveness remains the primary source of regional disparities; and the capacity for improving people’s livelihoods is showing a trend of coordin</w:t>
      </w:r>
      <w:r>
        <w:rPr>
          <w:rFonts w:ascii="Arial" w:hAnsi="Arial" w:cs="Arial"/>
          <w:sz w:val="20"/>
        </w:rPr>
        <w:t>ated development.</w:t>
      </w:r>
    </w:p>
    <w:p w14:paraId="0606E68D" w14:textId="77777777" w:rsidR="00490675" w:rsidRDefault="009B469C">
      <w:pPr>
        <w:pStyle w:val="a"/>
        <w:keepNext/>
        <w:widowControl w:val="0"/>
        <w:adjustRightInd w:val="0"/>
        <w:snapToGrid w:val="0"/>
        <w:ind w:firstLineChars="0" w:firstLine="0"/>
      </w:pPr>
      <w:r>
        <w:rPr>
          <w:noProof/>
        </w:rPr>
        <w:drawing>
          <wp:inline distT="0" distB="0" distL="114300" distR="114300" wp14:anchorId="28403938" wp14:editId="42DFEEC3">
            <wp:extent cx="5177790" cy="287528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rcRect t="3557" r="1676"/>
                    <a:stretch>
                      <a:fillRect/>
                    </a:stretch>
                  </pic:blipFill>
                  <pic:spPr>
                    <a:xfrm>
                      <a:off x="0" y="0"/>
                      <a:ext cx="5177790" cy="2875280"/>
                    </a:xfrm>
                    <a:prstGeom prst="rect">
                      <a:avLst/>
                    </a:prstGeom>
                    <a:noFill/>
                    <a:ln>
                      <a:noFill/>
                    </a:ln>
                  </pic:spPr>
                </pic:pic>
              </a:graphicData>
            </a:graphic>
          </wp:inline>
        </w:drawing>
      </w:r>
    </w:p>
    <w:p w14:paraId="51C76E50" w14:textId="77777777" w:rsidR="00490675" w:rsidRDefault="009B469C">
      <w:pPr>
        <w:pStyle w:val="a"/>
        <w:widowControl w:val="0"/>
        <w:adjustRightInd w:val="0"/>
        <w:snapToGrid w:val="0"/>
        <w:spacing w:line="480" w:lineRule="auto"/>
        <w:ind w:firstLineChars="0" w:firstLine="0"/>
        <w:rPr>
          <w:rFonts w:ascii="Arial" w:hAnsi="Arial" w:cs="Arial"/>
          <w:b/>
          <w:bCs/>
          <w:sz w:val="20"/>
        </w:rPr>
      </w:pPr>
      <w:r>
        <w:rPr>
          <w:rFonts w:ascii="Arial" w:hAnsi="Arial" w:cs="Arial"/>
          <w:b/>
          <w:bCs/>
          <w:sz w:val="20"/>
        </w:rPr>
        <w:t xml:space="preserve">Fig. </w:t>
      </w:r>
      <w:r>
        <w:rPr>
          <w:rFonts w:ascii="Arial" w:hAnsi="Arial" w:cs="Arial" w:hint="eastAsia"/>
          <w:b/>
          <w:bCs/>
          <w:sz w:val="20"/>
        </w:rPr>
        <w:t>6.</w:t>
      </w:r>
      <w:r>
        <w:rPr>
          <w:rFonts w:ascii="Times New Roman" w:hint="eastAsia"/>
          <w:b/>
          <w:bCs/>
          <w:sz w:val="20"/>
        </w:rPr>
        <w:t xml:space="preserve"> </w:t>
      </w:r>
      <w:r>
        <w:rPr>
          <w:rFonts w:ascii="Arial" w:hAnsi="Arial" w:cs="Arial" w:hint="eastAsia"/>
          <w:b/>
          <w:bCs/>
          <w:sz w:val="20"/>
        </w:rPr>
        <w:t>The evolutionary pattern of the kernel density distribution for the subsystems of rural industrial revitalization</w:t>
      </w:r>
    </w:p>
    <w:p w14:paraId="6ADFCAA7" w14:textId="77777777" w:rsidR="00490675" w:rsidRDefault="009B469C">
      <w:pPr>
        <w:widowControl/>
        <w:topLinePunct/>
        <w:rPr>
          <w:rFonts w:ascii="Arial" w:hAnsi="Arial" w:cs="Arial"/>
          <w:b/>
          <w:bCs/>
          <w:sz w:val="22"/>
          <w:szCs w:val="22"/>
        </w:rPr>
      </w:pPr>
      <w:r>
        <w:rPr>
          <w:rFonts w:ascii="Arial" w:hAnsi="Arial" w:cs="Arial"/>
          <w:b/>
          <w:bCs/>
          <w:sz w:val="22"/>
          <w:szCs w:val="22"/>
        </w:rPr>
        <w:t>4. C</w:t>
      </w:r>
      <w:r>
        <w:rPr>
          <w:rFonts w:ascii="Arial" w:hAnsi="Arial" w:cs="Arial" w:hint="eastAsia"/>
          <w:b/>
          <w:bCs/>
          <w:sz w:val="22"/>
          <w:szCs w:val="22"/>
        </w:rPr>
        <w:t>ONCLUSION</w:t>
      </w:r>
    </w:p>
    <w:p w14:paraId="266E4F79" w14:textId="77777777" w:rsidR="00490675" w:rsidRDefault="00490675">
      <w:pPr>
        <w:widowControl/>
        <w:topLinePunct/>
        <w:rPr>
          <w:rFonts w:ascii="Arial" w:hAnsi="Arial"/>
          <w:b/>
          <w:sz w:val="22"/>
          <w:szCs w:val="22"/>
        </w:rPr>
      </w:pPr>
    </w:p>
    <w:p w14:paraId="70EB9086" w14:textId="77777777" w:rsidR="00490675" w:rsidRDefault="009B469C">
      <w:pPr>
        <w:widowControl/>
        <w:topLinePunct/>
        <w:rPr>
          <w:rFonts w:ascii="Arial" w:hAnsi="Arial"/>
          <w:b/>
          <w:sz w:val="22"/>
          <w:szCs w:val="22"/>
        </w:rPr>
      </w:pPr>
      <w:r>
        <w:rPr>
          <w:rFonts w:ascii="Arial" w:hAnsi="Arial"/>
          <w:b/>
          <w:sz w:val="22"/>
          <w:szCs w:val="22"/>
        </w:rPr>
        <w:t>4.1 Research Conclusions</w:t>
      </w:r>
    </w:p>
    <w:p w14:paraId="18144E08" w14:textId="77777777" w:rsidR="00490675" w:rsidRDefault="00490675">
      <w:pPr>
        <w:pStyle w:val="a"/>
        <w:widowControl w:val="0"/>
        <w:adjustRightInd w:val="0"/>
        <w:snapToGrid w:val="0"/>
        <w:ind w:firstLineChars="0" w:firstLine="0"/>
        <w:rPr>
          <w:rFonts w:ascii="Arial" w:hAnsi="Arial" w:cs="Arial"/>
          <w:sz w:val="20"/>
        </w:rPr>
      </w:pPr>
    </w:p>
    <w:p w14:paraId="5E024B5E" w14:textId="77777777" w:rsidR="00490675" w:rsidRDefault="009B469C">
      <w:pPr>
        <w:pStyle w:val="a"/>
        <w:widowControl w:val="0"/>
        <w:adjustRightInd w:val="0"/>
        <w:ind w:firstLineChars="0" w:firstLine="0"/>
        <w:rPr>
          <w:rFonts w:ascii="Arial" w:hAnsi="Arial" w:cs="Arial"/>
          <w:sz w:val="20"/>
        </w:rPr>
      </w:pPr>
      <w:r>
        <w:rPr>
          <w:rFonts w:ascii="Arial" w:hAnsi="Arial" w:cs="Arial"/>
          <w:sz w:val="20"/>
        </w:rPr>
        <w:t>Based on panel data from 13 cities in Jiangsu Province covering the perio</w:t>
      </w:r>
      <w:r>
        <w:rPr>
          <w:rFonts w:ascii="Arial" w:hAnsi="Arial" w:cs="Arial"/>
          <w:sz w:val="20"/>
        </w:rPr>
        <w:t xml:space="preserve">d 2013–2024, this study constructs a comprehensive evaluation system for rural industrial revitalization. By employing the Entropy-TOPSIS method, the </w:t>
      </w:r>
      <w:proofErr w:type="spellStart"/>
      <w:r>
        <w:rPr>
          <w:rFonts w:ascii="Arial" w:hAnsi="Arial" w:cs="Arial"/>
          <w:sz w:val="20"/>
        </w:rPr>
        <w:t>Dagum</w:t>
      </w:r>
      <w:proofErr w:type="spellEnd"/>
      <w:r>
        <w:rPr>
          <w:rFonts w:ascii="Arial" w:hAnsi="Arial" w:cs="Arial"/>
          <w:sz w:val="20"/>
        </w:rPr>
        <w:t xml:space="preserve"> Gini coefficient decomposition method, and kernel density estimation, the study systematically analy</w:t>
      </w:r>
      <w:r>
        <w:rPr>
          <w:rFonts w:ascii="Arial" w:hAnsi="Arial" w:cs="Arial"/>
          <w:sz w:val="20"/>
        </w:rPr>
        <w:t>zes the spatiotemporal characteristics, regional disparities, and dynamic evolution patterns of rural industrial revitalization in Jiangsu Province. The main conclusions are as follows:</w:t>
      </w:r>
    </w:p>
    <w:p w14:paraId="19123369" w14:textId="77777777" w:rsidR="00490675" w:rsidRDefault="00490675">
      <w:pPr>
        <w:pStyle w:val="a"/>
        <w:widowControl w:val="0"/>
        <w:adjustRightInd w:val="0"/>
        <w:ind w:firstLineChars="0" w:firstLine="0"/>
        <w:rPr>
          <w:rFonts w:ascii="Arial" w:hAnsi="Arial" w:cs="Arial"/>
          <w:sz w:val="20"/>
        </w:rPr>
      </w:pPr>
    </w:p>
    <w:p w14:paraId="6A4B09F3" w14:textId="77777777" w:rsidR="00490675" w:rsidRDefault="009B469C">
      <w:pPr>
        <w:pStyle w:val="a"/>
        <w:widowControl w:val="0"/>
        <w:adjustRightInd w:val="0"/>
        <w:ind w:firstLineChars="0" w:firstLine="0"/>
        <w:rPr>
          <w:rFonts w:ascii="Arial" w:hAnsi="Arial" w:cs="Arial"/>
          <w:sz w:val="20"/>
        </w:rPr>
      </w:pPr>
      <w:r>
        <w:rPr>
          <w:rFonts w:ascii="Arial" w:hAnsi="Arial" w:cs="Arial"/>
          <w:sz w:val="20"/>
        </w:rPr>
        <w:t>(1) The temporal evolution shows a steady upward trend, with distinct phase differentiation. From 2013 to 2024, the provincial rural industrial revitalization index increased from 0.2680 to 0.5435, representing a cumulative growth of 102.80% and an average</w:t>
      </w:r>
      <w:r>
        <w:rPr>
          <w:rFonts w:ascii="Arial" w:hAnsi="Arial" w:cs="Arial"/>
          <w:sz w:val="20"/>
        </w:rPr>
        <w:t xml:space="preserve"> annual growth rate of </w:t>
      </w:r>
      <w:r>
        <w:rPr>
          <w:rFonts w:ascii="Arial" w:hAnsi="Arial" w:cs="Arial"/>
          <w:sz w:val="20"/>
        </w:rPr>
        <w:lastRenderedPageBreak/>
        <w:t>6.12%, achieving a leapfrog doubling of growth overall. The evolution process can be divided into three major development phases: 2013–2016 was the initial exploration phase; 2017–2020 marked the accelerated growth phase; and 2021–20</w:t>
      </w:r>
      <w:r>
        <w:rPr>
          <w:rFonts w:ascii="Arial" w:hAnsi="Arial" w:cs="Arial"/>
          <w:sz w:val="20"/>
        </w:rPr>
        <w:t>24 entered the phase of high-quality deepening and advancement. The driving force behind development has gradually shifted from policy-driven to endogenous-driven.</w:t>
      </w:r>
    </w:p>
    <w:p w14:paraId="5BC9A211" w14:textId="77777777" w:rsidR="00490675" w:rsidRDefault="00490675">
      <w:pPr>
        <w:pStyle w:val="a"/>
        <w:widowControl w:val="0"/>
        <w:adjustRightInd w:val="0"/>
        <w:ind w:firstLineChars="0" w:firstLine="0"/>
        <w:rPr>
          <w:rFonts w:ascii="Arial" w:hAnsi="Arial" w:cs="Arial"/>
          <w:sz w:val="20"/>
        </w:rPr>
      </w:pPr>
    </w:p>
    <w:p w14:paraId="615B4A81" w14:textId="77777777" w:rsidR="00490675" w:rsidRDefault="009B469C">
      <w:pPr>
        <w:pStyle w:val="a"/>
        <w:widowControl w:val="0"/>
        <w:adjustRightInd w:val="0"/>
        <w:ind w:firstLineChars="0" w:firstLine="0"/>
        <w:rPr>
          <w:rFonts w:ascii="Arial" w:hAnsi="Arial" w:cs="Arial"/>
          <w:sz w:val="20"/>
        </w:rPr>
      </w:pPr>
      <w:r>
        <w:rPr>
          <w:rFonts w:ascii="Arial" w:hAnsi="Arial" w:cs="Arial"/>
          <w:sz w:val="20"/>
        </w:rPr>
        <w:t>(2) The spatial pattern exhibits a “high in the south, low in the north” distribution, with</w:t>
      </w:r>
      <w:r>
        <w:rPr>
          <w:rFonts w:ascii="Arial" w:hAnsi="Arial" w:cs="Arial"/>
          <w:sz w:val="20"/>
        </w:rPr>
        <w:t xml:space="preserve"> regional disparities continuing to narrow. The level of rural industrial revitalization follows a gradient pattern of Southern Jiangsu &gt; Central Jiangsu &gt; Northern Jiangsu. Suzhou, Wuxi, and Zhenjiang form the high-value core area, while Northern Jiangsu </w:t>
      </w:r>
      <w:r>
        <w:rPr>
          <w:rFonts w:ascii="Arial" w:hAnsi="Arial" w:cs="Arial"/>
          <w:sz w:val="20"/>
        </w:rPr>
        <w:t>demonstrates the fastest growth rate and significant late-mover advantages. Cities such as Xuzhou have achieved a significant leap in the gradient, and spatial balance across the province continues to strengthen.</w:t>
      </w:r>
    </w:p>
    <w:p w14:paraId="06461906" w14:textId="77777777" w:rsidR="00490675" w:rsidRDefault="00490675">
      <w:pPr>
        <w:pStyle w:val="a"/>
        <w:widowControl w:val="0"/>
        <w:adjustRightInd w:val="0"/>
        <w:ind w:firstLineChars="0" w:firstLine="0"/>
        <w:rPr>
          <w:rFonts w:ascii="Arial" w:hAnsi="Arial" w:cs="Arial"/>
          <w:sz w:val="20"/>
        </w:rPr>
      </w:pPr>
    </w:p>
    <w:p w14:paraId="4A3AACB5" w14:textId="77777777" w:rsidR="00490675" w:rsidRDefault="009B469C">
      <w:pPr>
        <w:pStyle w:val="a"/>
        <w:widowControl w:val="0"/>
        <w:adjustRightInd w:val="0"/>
        <w:ind w:firstLineChars="0" w:firstLine="0"/>
        <w:rPr>
          <w:rFonts w:ascii="Arial" w:hAnsi="Arial" w:cs="Arial"/>
          <w:sz w:val="20"/>
        </w:rPr>
      </w:pPr>
      <w:r>
        <w:rPr>
          <w:rFonts w:ascii="Arial" w:hAnsi="Arial" w:cs="Arial"/>
          <w:sz w:val="20"/>
        </w:rPr>
        <w:t>(3) Development of subsystems is divergent</w:t>
      </w:r>
      <w:r>
        <w:rPr>
          <w:rFonts w:ascii="Arial" w:hAnsi="Arial" w:cs="Arial"/>
          <w:sz w:val="20"/>
        </w:rPr>
        <w:t>, with both weaknesses and strengths coexisting. Industrial competitiveness is growing the fastest and serves as the core driver of rural industrial revitalization across the province; green support capacity is at the highest level, and regional coordinati</w:t>
      </w:r>
      <w:r>
        <w:rPr>
          <w:rFonts w:ascii="Arial" w:hAnsi="Arial" w:cs="Arial"/>
          <w:sz w:val="20"/>
        </w:rPr>
        <w:t>on is optimal; people’s livelihood and prosperity are steadily improving, and the urban-rural income gap continues to narrow. Southern Jiangsu leads in people’s livelihood and prosperity, while Central and Northern Jiangsu are characterized by rapid improv</w:t>
      </w:r>
      <w:r>
        <w:rPr>
          <w:rFonts w:ascii="Arial" w:hAnsi="Arial" w:cs="Arial"/>
          <w:sz w:val="20"/>
        </w:rPr>
        <w:t>ements in industrial competitiveness.</w:t>
      </w:r>
    </w:p>
    <w:p w14:paraId="48007811" w14:textId="77777777" w:rsidR="00490675" w:rsidRDefault="00490675">
      <w:pPr>
        <w:pStyle w:val="a"/>
        <w:widowControl w:val="0"/>
        <w:adjustRightInd w:val="0"/>
        <w:ind w:firstLineChars="0" w:firstLine="0"/>
        <w:rPr>
          <w:rFonts w:ascii="Arial" w:hAnsi="Arial" w:cs="Arial"/>
          <w:sz w:val="20"/>
        </w:rPr>
      </w:pPr>
    </w:p>
    <w:p w14:paraId="550AF59F" w14:textId="77777777" w:rsidR="00490675" w:rsidRDefault="009B469C">
      <w:pPr>
        <w:pStyle w:val="a"/>
        <w:widowControl w:val="0"/>
        <w:adjustRightInd w:val="0"/>
        <w:ind w:firstLineChars="0" w:firstLine="0"/>
        <w:rPr>
          <w:rFonts w:ascii="Arial" w:hAnsi="Arial" w:cs="Arial"/>
          <w:sz w:val="20"/>
        </w:rPr>
      </w:pPr>
      <w:r>
        <w:rPr>
          <w:rFonts w:ascii="Arial" w:hAnsi="Arial" w:cs="Arial"/>
          <w:sz w:val="20"/>
        </w:rPr>
        <w:t>(4) Regional disparities are primarily driven by inter-group gaps, with an overall trend toward equilibrium. The overall Gini coefficient decreased from 0.1682 to 0.0897, indicating a significant narrowing of regional</w:t>
      </w:r>
      <w:r>
        <w:rPr>
          <w:rFonts w:ascii="Arial" w:hAnsi="Arial" w:cs="Arial"/>
          <w:sz w:val="20"/>
        </w:rPr>
        <w:t xml:space="preserve"> disparities. While disparities were initially driven by intra-group gaps, inter-group gaps, and hyper-variation density, the primary driving factor has gradually shifted to net inter-group gaps. Hyper-variation density has declined substantially, and the </w:t>
      </w:r>
      <w:r>
        <w:rPr>
          <w:rFonts w:ascii="Arial" w:hAnsi="Arial" w:cs="Arial"/>
          <w:sz w:val="20"/>
        </w:rPr>
        <w:t>regional development pattern has shifted from a mixed and intertwined structure to one with clear gradients and stable stratification.</w:t>
      </w:r>
    </w:p>
    <w:p w14:paraId="207DBF9D" w14:textId="77777777" w:rsidR="00490675" w:rsidRDefault="00490675">
      <w:pPr>
        <w:pStyle w:val="a"/>
        <w:widowControl w:val="0"/>
        <w:adjustRightInd w:val="0"/>
        <w:ind w:firstLineChars="0" w:firstLine="0"/>
        <w:rPr>
          <w:rFonts w:ascii="Arial" w:hAnsi="Arial" w:cs="Arial"/>
          <w:sz w:val="20"/>
        </w:rPr>
      </w:pPr>
    </w:p>
    <w:p w14:paraId="132C9E43" w14:textId="77777777" w:rsidR="00490675" w:rsidRDefault="009B469C">
      <w:pPr>
        <w:pStyle w:val="a"/>
        <w:widowControl w:val="0"/>
        <w:adjustRightInd w:val="0"/>
        <w:ind w:firstLineChars="0" w:firstLine="0"/>
        <w:rPr>
          <w:rFonts w:ascii="Arial" w:hAnsi="Arial" w:cs="Arial"/>
          <w:sz w:val="20"/>
        </w:rPr>
      </w:pPr>
      <w:r>
        <w:rPr>
          <w:rFonts w:ascii="Arial" w:hAnsi="Arial" w:cs="Arial"/>
          <w:sz w:val="20"/>
        </w:rPr>
        <w:t>(5) Dynamic Evolution Toward a High-Level Equilibrium: The kernel density curve continued to shift to the right, with th</w:t>
      </w:r>
      <w:r>
        <w:rPr>
          <w:rFonts w:ascii="Arial" w:hAnsi="Arial" w:cs="Arial"/>
          <w:sz w:val="20"/>
        </w:rPr>
        <w:t>e peak first declining and then rising, and the distribution width narrowing. The province gradually shifted from a low-level equilibrium to a high-level equilibrium, without the emergence of multipolar polarization, and overall development remained stable</w:t>
      </w:r>
      <w:r>
        <w:rPr>
          <w:rFonts w:ascii="Arial" w:hAnsi="Arial" w:cs="Arial"/>
          <w:sz w:val="20"/>
        </w:rPr>
        <w:t xml:space="preserve"> and coordinated.</w:t>
      </w:r>
    </w:p>
    <w:p w14:paraId="31C03AF8" w14:textId="77777777" w:rsidR="00490675" w:rsidRDefault="00490675">
      <w:pPr>
        <w:widowControl/>
        <w:topLinePunct/>
        <w:adjustRightInd w:val="0"/>
        <w:rPr>
          <w:rFonts w:ascii="Arial" w:hAnsi="Arial"/>
          <w:b/>
          <w:sz w:val="22"/>
          <w:szCs w:val="22"/>
        </w:rPr>
      </w:pPr>
    </w:p>
    <w:p w14:paraId="36A312A3" w14:textId="77777777" w:rsidR="00490675" w:rsidRDefault="009B469C">
      <w:pPr>
        <w:widowControl/>
        <w:topLinePunct/>
        <w:adjustRightInd w:val="0"/>
        <w:rPr>
          <w:rFonts w:ascii="Arial" w:hAnsi="Arial"/>
          <w:b/>
          <w:sz w:val="22"/>
          <w:szCs w:val="22"/>
        </w:rPr>
      </w:pPr>
      <w:r>
        <w:rPr>
          <w:rFonts w:ascii="Arial" w:hAnsi="Arial"/>
          <w:b/>
          <w:sz w:val="22"/>
          <w:szCs w:val="22"/>
        </w:rPr>
        <w:t>4.2 Policy Recommendations</w:t>
      </w:r>
    </w:p>
    <w:p w14:paraId="290EC930" w14:textId="77777777" w:rsidR="00490675" w:rsidRDefault="00490675">
      <w:pPr>
        <w:pStyle w:val="a"/>
        <w:widowControl w:val="0"/>
        <w:adjustRightInd w:val="0"/>
        <w:ind w:firstLineChars="0" w:firstLine="0"/>
        <w:rPr>
          <w:rFonts w:ascii="Arial" w:hAnsi="Arial" w:cs="Arial"/>
          <w:sz w:val="20"/>
        </w:rPr>
      </w:pPr>
    </w:p>
    <w:p w14:paraId="37490556" w14:textId="77777777" w:rsidR="00490675" w:rsidRDefault="009B469C">
      <w:pPr>
        <w:pStyle w:val="a"/>
        <w:widowControl w:val="0"/>
        <w:adjustRightInd w:val="0"/>
        <w:ind w:firstLineChars="0" w:firstLine="0"/>
        <w:rPr>
          <w:rFonts w:ascii="Arial" w:hAnsi="Arial" w:cs="Arial"/>
          <w:sz w:val="20"/>
        </w:rPr>
      </w:pPr>
      <w:r>
        <w:rPr>
          <w:rFonts w:ascii="Arial" w:hAnsi="Arial" w:cs="Arial"/>
          <w:sz w:val="20"/>
        </w:rPr>
        <w:t xml:space="preserve">Based on the </w:t>
      </w:r>
      <w:proofErr w:type="spellStart"/>
      <w:r>
        <w:rPr>
          <w:rFonts w:ascii="Arial" w:hAnsi="Arial" w:cs="Arial"/>
          <w:sz w:val="20"/>
        </w:rPr>
        <w:t>spatio</w:t>
      </w:r>
      <w:proofErr w:type="spellEnd"/>
      <w:r>
        <w:rPr>
          <w:rFonts w:ascii="Arial" w:hAnsi="Arial" w:cs="Arial"/>
          <w:sz w:val="20"/>
        </w:rPr>
        <w:t>-temporal patterns and regional disparities of rural industrial revitalization in Jiangsu Province, policy recommendations are proposed at three levels: provincial coordination, regional syn</w:t>
      </w:r>
      <w:r>
        <w:rPr>
          <w:rFonts w:ascii="Arial" w:hAnsi="Arial" w:cs="Arial"/>
          <w:sz w:val="20"/>
        </w:rPr>
        <w:t>ergy, and targeted measures:</w:t>
      </w:r>
    </w:p>
    <w:p w14:paraId="075E985A" w14:textId="77777777" w:rsidR="00490675" w:rsidRDefault="00490675">
      <w:pPr>
        <w:pStyle w:val="a"/>
        <w:widowControl w:val="0"/>
        <w:adjustRightInd w:val="0"/>
        <w:ind w:firstLineChars="0" w:firstLine="0"/>
        <w:rPr>
          <w:rFonts w:ascii="Arial" w:hAnsi="Arial" w:cs="Arial"/>
          <w:sz w:val="20"/>
        </w:rPr>
      </w:pPr>
    </w:p>
    <w:p w14:paraId="53075B95" w14:textId="77777777" w:rsidR="00490675" w:rsidRDefault="009B469C">
      <w:pPr>
        <w:pStyle w:val="a"/>
        <w:widowControl w:val="0"/>
        <w:adjustRightInd w:val="0"/>
        <w:ind w:firstLineChars="0" w:firstLine="0"/>
        <w:rPr>
          <w:rFonts w:ascii="Arial" w:hAnsi="Arial" w:cs="Arial"/>
          <w:sz w:val="20"/>
        </w:rPr>
      </w:pPr>
      <w:r>
        <w:rPr>
          <w:rFonts w:ascii="Arial" w:hAnsi="Arial" w:cs="Arial"/>
          <w:sz w:val="20"/>
        </w:rPr>
        <w:t xml:space="preserve">(1) Strengthen provincial coordination to promote coordinated revitalization between the north and south. Improve industrial collaboration mechanisms, deepen north-south partnerships, </w:t>
      </w:r>
      <w:r>
        <w:rPr>
          <w:rFonts w:ascii="Arial" w:hAnsi="Arial" w:cs="Arial"/>
          <w:sz w:val="20"/>
        </w:rPr>
        <w:lastRenderedPageBreak/>
        <w:t>and jointly develop industrial parks to fa</w:t>
      </w:r>
      <w:r>
        <w:rPr>
          <w:rFonts w:ascii="Arial" w:hAnsi="Arial" w:cs="Arial"/>
          <w:sz w:val="20"/>
        </w:rPr>
        <w:t>cilitate the orderly transfer of agricultural technology, equipment, talent, and capital to central and northern Jiangsu. Unify provincial green agricultural standards and industrial chain layouts, promote cross-regional co-branding of agricultural product</w:t>
      </w:r>
      <w:r>
        <w:rPr>
          <w:rFonts w:ascii="Arial" w:hAnsi="Arial" w:cs="Arial"/>
          <w:sz w:val="20"/>
        </w:rPr>
        <w:t>s and shared markets, and narrow development gaps between regions.</w:t>
      </w:r>
    </w:p>
    <w:p w14:paraId="5C514762" w14:textId="77777777" w:rsidR="00490675" w:rsidRDefault="00490675">
      <w:pPr>
        <w:pStyle w:val="a"/>
        <w:widowControl w:val="0"/>
        <w:adjustRightInd w:val="0"/>
        <w:ind w:firstLineChars="0" w:firstLine="0"/>
        <w:rPr>
          <w:rFonts w:ascii="Arial" w:hAnsi="Arial" w:cs="Arial"/>
          <w:sz w:val="20"/>
        </w:rPr>
      </w:pPr>
    </w:p>
    <w:p w14:paraId="352C55CA" w14:textId="77777777" w:rsidR="00490675" w:rsidRDefault="009B469C">
      <w:pPr>
        <w:pStyle w:val="a"/>
        <w:widowControl w:val="0"/>
        <w:adjustRightInd w:val="0"/>
        <w:ind w:firstLineChars="0" w:firstLine="0"/>
        <w:rPr>
          <w:rFonts w:ascii="Arial" w:hAnsi="Arial" w:cs="Arial"/>
          <w:sz w:val="20"/>
        </w:rPr>
      </w:pPr>
      <w:r>
        <w:rPr>
          <w:rFonts w:ascii="Arial" w:hAnsi="Arial" w:cs="Arial"/>
          <w:sz w:val="20"/>
        </w:rPr>
        <w:t>(2) The Southern Jiangsu region should focus on improving quality and efficiency to lead high-end transformation. Leveraging the advantages of metropolitan areas and urban-rural integratio</w:t>
      </w:r>
      <w:r>
        <w:rPr>
          <w:rFonts w:ascii="Arial" w:hAnsi="Arial" w:cs="Arial"/>
          <w:sz w:val="20"/>
        </w:rPr>
        <w:t>n, the region should prioritize the development of premium agriculture, smart agriculture, rural leisure and cultural tourism, and agricultural services to enhance industrial value-added and brand competitiveness. It should accelerate the digital transform</w:t>
      </w:r>
      <w:r>
        <w:rPr>
          <w:rFonts w:ascii="Arial" w:hAnsi="Arial" w:cs="Arial"/>
          <w:sz w:val="20"/>
        </w:rPr>
        <w:t>ation of agriculture and take the lead in demonstrating green, low-carbon development and common prosperity.</w:t>
      </w:r>
    </w:p>
    <w:p w14:paraId="00E40266" w14:textId="77777777" w:rsidR="00490675" w:rsidRDefault="00490675">
      <w:pPr>
        <w:pStyle w:val="a"/>
        <w:widowControl w:val="0"/>
        <w:adjustRightInd w:val="0"/>
        <w:ind w:firstLineChars="0" w:firstLine="0"/>
        <w:rPr>
          <w:rFonts w:ascii="Arial" w:hAnsi="Arial" w:cs="Arial"/>
          <w:sz w:val="20"/>
        </w:rPr>
      </w:pPr>
    </w:p>
    <w:p w14:paraId="463CB8A1" w14:textId="77777777" w:rsidR="00490675" w:rsidRDefault="009B469C">
      <w:pPr>
        <w:pStyle w:val="a"/>
        <w:widowControl w:val="0"/>
        <w:adjustRightInd w:val="0"/>
        <w:ind w:firstLineChars="0" w:firstLine="0"/>
        <w:rPr>
          <w:rFonts w:ascii="Arial" w:hAnsi="Arial" w:cs="Arial"/>
          <w:sz w:val="20"/>
        </w:rPr>
      </w:pPr>
      <w:r>
        <w:rPr>
          <w:rFonts w:ascii="Arial" w:hAnsi="Arial" w:cs="Arial"/>
          <w:sz w:val="20"/>
        </w:rPr>
        <w:t>(</w:t>
      </w:r>
      <w:r>
        <w:rPr>
          <w:rFonts w:ascii="Arial" w:hAnsi="Arial" w:cs="Arial" w:hint="eastAsia"/>
          <w:sz w:val="20"/>
        </w:rPr>
        <w:t>3</w:t>
      </w:r>
      <w:r>
        <w:rPr>
          <w:rFonts w:ascii="Arial" w:hAnsi="Arial" w:cs="Arial"/>
          <w:sz w:val="20"/>
        </w:rPr>
        <w:t xml:space="preserve">) The Central Jiangsu region should serve as a bridge between the south and the north, establishing a model of integration. Leveraging its </w:t>
      </w:r>
      <w:r>
        <w:rPr>
          <w:rFonts w:ascii="Arial" w:hAnsi="Arial" w:cs="Arial"/>
          <w:sz w:val="20"/>
        </w:rPr>
        <w:t>geographical and transportation advantages, the region should prioritize the development of deep processing of agricultural products, logistics and warehousing, and specialty crop and livestock farming, driving deep integration between agriculture and proc</w:t>
      </w:r>
      <w:r>
        <w:rPr>
          <w:rFonts w:ascii="Arial" w:hAnsi="Arial" w:cs="Arial"/>
          <w:sz w:val="20"/>
        </w:rPr>
        <w:t>essing, distribution, and e-commerce. It should build a cross-river integrated agricultural demonstration belt to absorb industrial spillover from Southern Jiangsu and drive industrial upgrading in Northern Jiangsu.</w:t>
      </w:r>
    </w:p>
    <w:p w14:paraId="2283CD76" w14:textId="77777777" w:rsidR="00490675" w:rsidRDefault="00490675">
      <w:pPr>
        <w:pStyle w:val="a"/>
        <w:widowControl w:val="0"/>
        <w:adjustRightInd w:val="0"/>
        <w:ind w:firstLineChars="0" w:firstLine="0"/>
        <w:rPr>
          <w:rFonts w:ascii="Arial" w:hAnsi="Arial" w:cs="Arial"/>
          <w:sz w:val="20"/>
        </w:rPr>
      </w:pPr>
    </w:p>
    <w:p w14:paraId="356DE60F" w14:textId="77777777" w:rsidR="00490675" w:rsidRDefault="009B469C">
      <w:pPr>
        <w:pStyle w:val="a"/>
        <w:widowControl w:val="0"/>
        <w:adjustRightInd w:val="0"/>
        <w:ind w:firstLineChars="0" w:firstLine="0"/>
        <w:rPr>
          <w:rFonts w:ascii="Arial" w:hAnsi="Arial" w:cs="Arial"/>
          <w:sz w:val="20"/>
        </w:rPr>
      </w:pPr>
      <w:r>
        <w:rPr>
          <w:rFonts w:ascii="Arial" w:hAnsi="Arial" w:cs="Arial"/>
          <w:sz w:val="20"/>
        </w:rPr>
        <w:t>(</w:t>
      </w:r>
      <w:r>
        <w:rPr>
          <w:rFonts w:ascii="Arial" w:hAnsi="Arial" w:cs="Arial" w:hint="eastAsia"/>
          <w:sz w:val="20"/>
        </w:rPr>
        <w:t>4</w:t>
      </w:r>
      <w:r>
        <w:rPr>
          <w:rFonts w:ascii="Arial" w:hAnsi="Arial" w:cs="Arial"/>
          <w:sz w:val="20"/>
        </w:rPr>
        <w:t xml:space="preserve">) The Northern Jiangsu region should </w:t>
      </w:r>
      <w:r>
        <w:rPr>
          <w:rFonts w:ascii="Arial" w:hAnsi="Arial" w:cs="Arial"/>
          <w:sz w:val="20"/>
        </w:rPr>
        <w:t>expand scale and improve quality to unleash its late-mover advantage. Building on the advantages of land and labor resources, vigorously promote large-scale operations, full mechanization, and green, circular farming and breeding to enhance food security a</w:t>
      </w:r>
      <w:r>
        <w:rPr>
          <w:rFonts w:ascii="Arial" w:hAnsi="Arial" w:cs="Arial"/>
          <w:sz w:val="20"/>
        </w:rPr>
        <w:t>nd industrial competitiveness. Improve rural infrastructure and public services, continuously increase farmers’ incomes, and narrow the urban-rural and regional gaps.</w:t>
      </w:r>
    </w:p>
    <w:p w14:paraId="541F9E25" w14:textId="77777777" w:rsidR="00490675" w:rsidRDefault="00490675">
      <w:pPr>
        <w:pStyle w:val="a"/>
        <w:widowControl w:val="0"/>
        <w:adjustRightInd w:val="0"/>
        <w:ind w:firstLineChars="0" w:firstLine="0"/>
        <w:rPr>
          <w:rFonts w:ascii="Arial" w:hAnsi="Arial" w:cs="Arial"/>
          <w:sz w:val="20"/>
        </w:rPr>
      </w:pPr>
    </w:p>
    <w:p w14:paraId="5C02E355" w14:textId="77777777" w:rsidR="00490675" w:rsidRDefault="009B469C">
      <w:pPr>
        <w:pStyle w:val="a"/>
        <w:widowControl w:val="0"/>
        <w:adjustRightInd w:val="0"/>
        <w:ind w:firstLineChars="0" w:firstLine="0"/>
        <w:rPr>
          <w:rFonts w:ascii="Arial" w:hAnsi="Arial" w:cs="Arial"/>
          <w:sz w:val="20"/>
        </w:rPr>
      </w:pPr>
      <w:r>
        <w:rPr>
          <w:rFonts w:ascii="Arial" w:hAnsi="Arial" w:cs="Arial"/>
          <w:sz w:val="20"/>
        </w:rPr>
        <w:t xml:space="preserve">(5) Address systemic weaknesses and consolidate long-term support. Continuously improve </w:t>
      </w:r>
      <w:r>
        <w:rPr>
          <w:rFonts w:ascii="Arial" w:hAnsi="Arial" w:cs="Arial"/>
          <w:sz w:val="20"/>
        </w:rPr>
        <w:t>agricultural science and technology and mechanization levels to strengthen the core engine of industrial competitiveness; strictly implement the reduction of chemical fertilizers and pesticides and the resource utilization of livestock manure to consolidat</w:t>
      </w:r>
      <w:r>
        <w:rPr>
          <w:rFonts w:ascii="Arial" w:hAnsi="Arial" w:cs="Arial"/>
          <w:sz w:val="20"/>
        </w:rPr>
        <w:t>e the advantage of green support; promote farmers’ income growth through multiple channels and optimize consumption structures, using improved living standards to</w:t>
      </w:r>
      <w:r>
        <w:rPr>
          <w:rFonts w:ascii="Arial" w:hAnsi="Arial" w:cs="Arial" w:hint="eastAsia"/>
          <w:sz w:val="20"/>
        </w:rPr>
        <w:t xml:space="preserve"> </w:t>
      </w:r>
      <w:r>
        <w:rPr>
          <w:rFonts w:ascii="Arial" w:hAnsi="Arial" w:cs="Arial"/>
          <w:sz w:val="20"/>
        </w:rPr>
        <w:t>consolidate the endogenous momentum of rural revitalization.</w:t>
      </w:r>
    </w:p>
    <w:p w14:paraId="75D81150" w14:textId="77777777" w:rsidR="00490675" w:rsidRDefault="00490675">
      <w:pPr>
        <w:widowControl/>
        <w:topLinePunct/>
        <w:rPr>
          <w:rFonts w:ascii="Arial" w:hAnsi="Arial" w:cs="Arial"/>
          <w:b/>
          <w:bCs/>
          <w:sz w:val="22"/>
          <w:szCs w:val="22"/>
        </w:rPr>
      </w:pPr>
    </w:p>
    <w:p w14:paraId="7D1D174E" w14:textId="77777777" w:rsidR="00490675" w:rsidRDefault="009B469C">
      <w:pPr>
        <w:widowControl/>
        <w:topLinePunct/>
        <w:rPr>
          <w:rFonts w:ascii="Arial" w:hAnsi="Arial" w:cs="Arial"/>
          <w:b/>
          <w:bCs/>
          <w:sz w:val="22"/>
          <w:szCs w:val="22"/>
        </w:rPr>
      </w:pPr>
      <w:r>
        <w:rPr>
          <w:rFonts w:ascii="Arial" w:hAnsi="Arial" w:cs="Arial" w:hint="eastAsia"/>
          <w:b/>
          <w:bCs/>
          <w:sz w:val="22"/>
          <w:szCs w:val="22"/>
        </w:rPr>
        <w:t>4.3 LIMITATIONS</w:t>
      </w:r>
    </w:p>
    <w:p w14:paraId="6014053E" w14:textId="77777777" w:rsidR="00490675" w:rsidRDefault="00490675">
      <w:pPr>
        <w:rPr>
          <w:rFonts w:ascii="Arial" w:eastAsia="SimSun" w:hAnsi="Arial" w:cs="Arial"/>
          <w:kern w:val="0"/>
          <w:sz w:val="20"/>
          <w:szCs w:val="20"/>
        </w:rPr>
      </w:pPr>
    </w:p>
    <w:p w14:paraId="7B1A09BD" w14:textId="77777777" w:rsidR="00490675" w:rsidRDefault="009B469C">
      <w:pPr>
        <w:rPr>
          <w:rFonts w:ascii="Arial" w:eastAsia="SimSun" w:hAnsi="Arial" w:cs="Arial"/>
          <w:kern w:val="0"/>
          <w:sz w:val="20"/>
          <w:szCs w:val="20"/>
        </w:rPr>
      </w:pPr>
      <w:r>
        <w:rPr>
          <w:rFonts w:ascii="Arial" w:eastAsia="SimSun" w:hAnsi="Arial" w:cs="Arial" w:hint="eastAsia"/>
          <w:kern w:val="0"/>
          <w:sz w:val="20"/>
          <w:szCs w:val="20"/>
        </w:rPr>
        <w:t>This study has</w:t>
      </w:r>
      <w:r>
        <w:rPr>
          <w:rFonts w:ascii="Arial" w:eastAsia="SimSun" w:hAnsi="Arial" w:cs="Arial" w:hint="eastAsia"/>
          <w:kern w:val="0"/>
          <w:sz w:val="20"/>
          <w:szCs w:val="20"/>
        </w:rPr>
        <w:t xml:space="preserve"> several limitations. First, the indicator system may not fully capture all dimensions of rural industrial revitalization. Second, the analysis is limited to Jiangsu Province, so the findings may not be directly generalizable to other regions. Future resea</w:t>
      </w:r>
      <w:r>
        <w:rPr>
          <w:rFonts w:ascii="Arial" w:eastAsia="SimSun" w:hAnsi="Arial" w:cs="Arial" w:hint="eastAsia"/>
          <w:kern w:val="0"/>
          <w:sz w:val="20"/>
          <w:szCs w:val="20"/>
        </w:rPr>
        <w:t>rch could extend the framework to comparative studies across provinces.</w:t>
      </w:r>
    </w:p>
    <w:p w14:paraId="30F49F48" w14:textId="77777777" w:rsidR="00490675" w:rsidRDefault="00490675">
      <w:pPr>
        <w:pStyle w:val="AcknHead"/>
        <w:spacing w:after="0"/>
        <w:rPr>
          <w:rFonts w:ascii="Arial" w:hAnsi="Arial" w:cs="Arial"/>
        </w:rPr>
      </w:pPr>
    </w:p>
    <w:p w14:paraId="31566714" w14:textId="77777777" w:rsidR="00490675" w:rsidRDefault="009B469C">
      <w:pPr>
        <w:pStyle w:val="Body"/>
        <w:widowControl/>
        <w:spacing w:after="0"/>
        <w:rPr>
          <w:rFonts w:ascii="Arial" w:hAnsi="Arial" w:cs="Arial"/>
          <w:b/>
          <w:bCs/>
          <w:sz w:val="22"/>
          <w:szCs w:val="22"/>
        </w:rPr>
      </w:pPr>
      <w:r>
        <w:rPr>
          <w:rFonts w:ascii="Arial" w:hAnsi="Arial" w:cs="Arial"/>
          <w:b/>
          <w:bCs/>
          <w:sz w:val="22"/>
          <w:szCs w:val="22"/>
        </w:rPr>
        <w:t>C</w:t>
      </w:r>
      <w:r>
        <w:rPr>
          <w:rFonts w:ascii="Arial" w:hAnsi="Arial" w:cs="Arial" w:hint="eastAsia"/>
          <w:b/>
          <w:bCs/>
          <w:sz w:val="22"/>
          <w:szCs w:val="22"/>
        </w:rPr>
        <w:t>OMPETING</w:t>
      </w:r>
      <w:r>
        <w:rPr>
          <w:rFonts w:ascii="Arial" w:hAnsi="Arial" w:cs="Arial"/>
          <w:b/>
          <w:bCs/>
          <w:sz w:val="22"/>
          <w:szCs w:val="22"/>
        </w:rPr>
        <w:t xml:space="preserve"> </w:t>
      </w:r>
      <w:r>
        <w:rPr>
          <w:rFonts w:ascii="Arial" w:hAnsi="Arial" w:cs="Arial" w:hint="eastAsia"/>
          <w:b/>
          <w:bCs/>
          <w:sz w:val="22"/>
          <w:szCs w:val="22"/>
        </w:rPr>
        <w:t>INTERESTS</w:t>
      </w:r>
    </w:p>
    <w:p w14:paraId="5ABD41EE" w14:textId="77777777" w:rsidR="00490675" w:rsidRDefault="00490675">
      <w:pPr>
        <w:pStyle w:val="Body"/>
        <w:widowControl/>
        <w:spacing w:after="0"/>
        <w:rPr>
          <w:rFonts w:ascii="Arial" w:hAnsi="Arial" w:cs="Arial"/>
          <w:sz w:val="20"/>
          <w:szCs w:val="20"/>
        </w:rPr>
      </w:pPr>
    </w:p>
    <w:p w14:paraId="2997353C" w14:textId="77777777" w:rsidR="00490675" w:rsidRDefault="009B469C">
      <w:pPr>
        <w:pStyle w:val="Body"/>
        <w:widowControl/>
        <w:spacing w:after="0"/>
        <w:rPr>
          <w:rFonts w:ascii="Arial" w:hAnsi="Arial" w:cs="Arial"/>
          <w:sz w:val="20"/>
          <w:szCs w:val="20"/>
        </w:rPr>
      </w:pPr>
      <w:r>
        <w:rPr>
          <w:rFonts w:ascii="Arial" w:hAnsi="Arial" w:cs="Arial"/>
          <w:sz w:val="20"/>
          <w:szCs w:val="20"/>
        </w:rPr>
        <w:t>Authors have declared that no competing interests exist.</w:t>
      </w:r>
    </w:p>
    <w:p w14:paraId="28E1F63F" w14:textId="77777777" w:rsidR="00490675" w:rsidRDefault="00490675">
      <w:pPr>
        <w:widowControl/>
        <w:topLinePunct/>
        <w:rPr>
          <w:rFonts w:ascii="Arial" w:hAnsi="Arial" w:cs="Arial"/>
          <w:b/>
          <w:bCs/>
          <w:sz w:val="22"/>
          <w:szCs w:val="22"/>
        </w:rPr>
      </w:pPr>
    </w:p>
    <w:p w14:paraId="44579A25" w14:textId="77777777" w:rsidR="00490675" w:rsidRDefault="00490675">
      <w:pPr>
        <w:pStyle w:val="Body"/>
        <w:widowControl/>
        <w:spacing w:after="0"/>
        <w:rPr>
          <w:rFonts w:ascii="Arial" w:hAnsi="Arial" w:cs="Arial"/>
          <w:b/>
          <w:bCs/>
          <w:sz w:val="22"/>
          <w:szCs w:val="22"/>
        </w:rPr>
      </w:pPr>
      <w:bookmarkStart w:id="0" w:name="_GoBack"/>
      <w:bookmarkEnd w:id="0"/>
    </w:p>
    <w:p w14:paraId="6FC155A1" w14:textId="77777777" w:rsidR="00490675" w:rsidRDefault="009B469C">
      <w:pPr>
        <w:pStyle w:val="Body"/>
        <w:widowControl/>
        <w:spacing w:after="0"/>
        <w:rPr>
          <w:rFonts w:ascii="Arial" w:hAnsi="Arial" w:cs="Arial"/>
          <w:b/>
          <w:bCs/>
          <w:sz w:val="22"/>
          <w:szCs w:val="22"/>
        </w:rPr>
      </w:pPr>
      <w:r>
        <w:rPr>
          <w:rFonts w:ascii="Arial" w:hAnsi="Arial" w:cs="Arial"/>
          <w:b/>
          <w:bCs/>
          <w:sz w:val="22"/>
          <w:szCs w:val="22"/>
        </w:rPr>
        <w:t>CONSENT</w:t>
      </w:r>
    </w:p>
    <w:p w14:paraId="66FEF9AC" w14:textId="77777777" w:rsidR="00490675" w:rsidRDefault="00490675">
      <w:pPr>
        <w:pStyle w:val="a"/>
        <w:widowControl w:val="0"/>
        <w:adjustRightInd w:val="0"/>
        <w:snapToGrid w:val="0"/>
        <w:ind w:firstLineChars="0" w:firstLine="0"/>
        <w:rPr>
          <w:rFonts w:ascii="Arial" w:hAnsi="Arial" w:cs="Arial"/>
          <w:sz w:val="20"/>
        </w:rPr>
      </w:pPr>
    </w:p>
    <w:p w14:paraId="5EBD22CF" w14:textId="77777777" w:rsidR="00490675" w:rsidRDefault="009B469C">
      <w:pPr>
        <w:pStyle w:val="a"/>
        <w:widowControl w:val="0"/>
        <w:adjustRightInd w:val="0"/>
        <w:snapToGrid w:val="0"/>
        <w:ind w:firstLineChars="0" w:firstLine="0"/>
        <w:rPr>
          <w:rFonts w:ascii="Arial" w:hAnsi="Arial" w:cs="Arial"/>
          <w:sz w:val="20"/>
        </w:rPr>
      </w:pPr>
      <w:r>
        <w:rPr>
          <w:rFonts w:ascii="Arial" w:hAnsi="Arial" w:cs="Arial"/>
          <w:sz w:val="20"/>
        </w:rPr>
        <w:t>Not applicable as this study did not involve human or animal subjects.</w:t>
      </w:r>
    </w:p>
    <w:p w14:paraId="18ED4B8C" w14:textId="77777777" w:rsidR="00490675" w:rsidRDefault="00490675">
      <w:pPr>
        <w:pStyle w:val="Body"/>
        <w:widowControl/>
        <w:spacing w:after="0"/>
        <w:rPr>
          <w:rFonts w:ascii="Arial" w:hAnsi="Arial" w:cs="Arial"/>
          <w:b/>
          <w:bCs/>
          <w:sz w:val="22"/>
          <w:szCs w:val="22"/>
        </w:rPr>
      </w:pPr>
    </w:p>
    <w:p w14:paraId="6278065C" w14:textId="77777777" w:rsidR="00490675" w:rsidRDefault="009B469C">
      <w:pPr>
        <w:pStyle w:val="Body"/>
        <w:widowControl/>
        <w:spacing w:after="0"/>
        <w:rPr>
          <w:rFonts w:ascii="Arial" w:hAnsi="Arial" w:cs="Arial"/>
          <w:b/>
          <w:bCs/>
          <w:sz w:val="22"/>
          <w:szCs w:val="22"/>
        </w:rPr>
      </w:pPr>
      <w:r>
        <w:rPr>
          <w:rFonts w:ascii="Arial" w:hAnsi="Arial" w:cs="Arial"/>
          <w:b/>
          <w:bCs/>
          <w:sz w:val="22"/>
          <w:szCs w:val="22"/>
        </w:rPr>
        <w:t>ETHICAL APPROVAL</w:t>
      </w:r>
    </w:p>
    <w:p w14:paraId="3198E2B8" w14:textId="77777777" w:rsidR="00490675" w:rsidRDefault="00490675">
      <w:pPr>
        <w:pStyle w:val="Body"/>
        <w:widowControl/>
        <w:spacing w:after="0"/>
        <w:rPr>
          <w:rFonts w:ascii="Arial" w:eastAsia="SimSun" w:hAnsi="Arial" w:cs="Arial"/>
          <w:sz w:val="20"/>
          <w:szCs w:val="20"/>
        </w:rPr>
      </w:pPr>
    </w:p>
    <w:p w14:paraId="513E8AE1" w14:textId="77777777" w:rsidR="00490675" w:rsidRDefault="009B469C">
      <w:pPr>
        <w:pStyle w:val="Body"/>
        <w:widowControl/>
        <w:spacing w:after="0"/>
        <w:rPr>
          <w:rFonts w:ascii="Arial" w:hAnsi="Arial" w:cs="Arial"/>
          <w:b/>
          <w:bCs/>
          <w:sz w:val="22"/>
          <w:szCs w:val="22"/>
        </w:rPr>
      </w:pPr>
      <w:r>
        <w:rPr>
          <w:rFonts w:ascii="Arial" w:eastAsia="SimSun" w:hAnsi="Arial" w:cs="Arial"/>
          <w:sz w:val="20"/>
          <w:szCs w:val="20"/>
        </w:rPr>
        <w:t>Not applicable as this study did not involve human or animal subjects.</w:t>
      </w:r>
    </w:p>
    <w:p w14:paraId="6762B200" w14:textId="77777777" w:rsidR="00490675" w:rsidRDefault="00490675">
      <w:pPr>
        <w:pStyle w:val="Body"/>
        <w:widowControl/>
        <w:spacing w:after="0"/>
        <w:rPr>
          <w:rFonts w:ascii="Arial" w:hAnsi="Arial" w:cs="Arial"/>
          <w:b/>
          <w:bCs/>
          <w:sz w:val="22"/>
          <w:szCs w:val="22"/>
        </w:rPr>
      </w:pPr>
    </w:p>
    <w:p w14:paraId="5053A927" w14:textId="77777777" w:rsidR="00490675" w:rsidRDefault="009B469C">
      <w:pPr>
        <w:pStyle w:val="Body"/>
        <w:widowControl/>
        <w:spacing w:after="0" w:line="480" w:lineRule="auto"/>
        <w:rPr>
          <w:rFonts w:ascii="Arial" w:hAnsi="Arial" w:cs="Arial"/>
          <w:b/>
          <w:bCs/>
          <w:sz w:val="22"/>
          <w:szCs w:val="22"/>
        </w:rPr>
      </w:pPr>
      <w:r>
        <w:rPr>
          <w:rFonts w:ascii="Arial" w:hAnsi="Arial" w:cs="Arial"/>
          <w:b/>
          <w:bCs/>
          <w:sz w:val="22"/>
          <w:szCs w:val="22"/>
        </w:rPr>
        <w:t>R</w:t>
      </w:r>
      <w:r>
        <w:rPr>
          <w:rFonts w:ascii="Arial" w:hAnsi="Arial" w:cs="Arial" w:hint="eastAsia"/>
          <w:b/>
          <w:bCs/>
          <w:sz w:val="22"/>
          <w:szCs w:val="22"/>
        </w:rPr>
        <w:t>EFERENCES</w:t>
      </w:r>
    </w:p>
    <w:p w14:paraId="348D2060" w14:textId="77777777" w:rsidR="00490675" w:rsidRDefault="009B469C">
      <w:pPr>
        <w:pStyle w:val="a"/>
        <w:widowControl w:val="0"/>
        <w:adjustRightInd w:val="0"/>
        <w:snapToGrid w:val="0"/>
        <w:spacing w:line="480" w:lineRule="auto"/>
        <w:ind w:firstLineChars="0" w:firstLine="0"/>
        <w:rPr>
          <w:rFonts w:ascii="Arial" w:hAnsi="Arial" w:cs="Arial"/>
          <w:sz w:val="20"/>
        </w:rPr>
      </w:pPr>
      <w:r>
        <w:rPr>
          <w:rFonts w:ascii="Arial" w:hAnsi="Arial" w:cs="Arial"/>
          <w:sz w:val="20"/>
        </w:rPr>
        <w:t xml:space="preserve">Wang, X. </w:t>
      </w:r>
      <w:r>
        <w:rPr>
          <w:rFonts w:ascii="Arial" w:hAnsi="Arial" w:cs="Arial"/>
          <w:sz w:val="20"/>
        </w:rPr>
        <w:t>(2024). Research on the impact of green finance on the development of rural industrial revitalization [Doctoral dissertation]. Xinjiang Agricultural University, Urumqi, China.</w:t>
      </w:r>
    </w:p>
    <w:p w14:paraId="251FC93C" w14:textId="77777777" w:rsidR="00490675" w:rsidRDefault="009B469C">
      <w:pPr>
        <w:pStyle w:val="a"/>
        <w:widowControl w:val="0"/>
        <w:adjustRightInd w:val="0"/>
        <w:snapToGrid w:val="0"/>
        <w:spacing w:line="480" w:lineRule="auto"/>
        <w:ind w:firstLineChars="0" w:firstLine="0"/>
        <w:rPr>
          <w:rFonts w:ascii="Arial" w:hAnsi="Arial" w:cs="Arial"/>
          <w:sz w:val="20"/>
        </w:rPr>
      </w:pPr>
      <w:r>
        <w:rPr>
          <w:rFonts w:ascii="Arial" w:hAnsi="Arial" w:cs="Arial"/>
          <w:sz w:val="20"/>
        </w:rPr>
        <w:t>Song, C. Y., Yin, T. T., Li, X. J., et al. (2023). Measurement of rural industri</w:t>
      </w:r>
      <w:r>
        <w:rPr>
          <w:rFonts w:ascii="Arial" w:hAnsi="Arial" w:cs="Arial"/>
          <w:sz w:val="20"/>
        </w:rPr>
        <w:t>al revitalization from the enterprise perspective and its driving mechanism: A case study of the first 3 batches of national key rural tourism villages in China. Progress in Geographical Sciences, 42(8), 1453-1467. https://doi.org/10.18306/dlkxjz.2023.08.0</w:t>
      </w:r>
      <w:r>
        <w:rPr>
          <w:rFonts w:ascii="Arial" w:hAnsi="Arial" w:cs="Arial"/>
          <w:sz w:val="20"/>
        </w:rPr>
        <w:t>05</w:t>
      </w:r>
    </w:p>
    <w:p w14:paraId="4F77CBC7" w14:textId="77777777" w:rsidR="00490675" w:rsidRDefault="009B469C">
      <w:pPr>
        <w:pStyle w:val="a"/>
        <w:widowControl w:val="0"/>
        <w:adjustRightInd w:val="0"/>
        <w:snapToGrid w:val="0"/>
        <w:spacing w:line="480" w:lineRule="auto"/>
        <w:ind w:firstLineChars="0" w:firstLine="0"/>
        <w:rPr>
          <w:rFonts w:ascii="Arial" w:hAnsi="Arial" w:cs="Arial"/>
          <w:sz w:val="20"/>
        </w:rPr>
      </w:pPr>
      <w:r>
        <w:rPr>
          <w:rFonts w:ascii="Arial" w:hAnsi="Arial" w:cs="Arial"/>
          <w:sz w:val="20"/>
        </w:rPr>
        <w:t>Huang, D. H., Feng, L., Ding, S. J., et al. (2025). Influence mechanism and spatial spillover effect of agricultural digitalization on rural industrial revitalization. Chinese Journal of Agricultural Resources and Regional Planning, (9), 1-12.</w:t>
      </w:r>
    </w:p>
    <w:p w14:paraId="41D167FC" w14:textId="77777777" w:rsidR="00490675" w:rsidRDefault="009B469C">
      <w:pPr>
        <w:pStyle w:val="a"/>
        <w:widowControl w:val="0"/>
        <w:adjustRightInd w:val="0"/>
        <w:snapToGrid w:val="0"/>
        <w:spacing w:line="480" w:lineRule="auto"/>
        <w:ind w:firstLineChars="0" w:firstLine="0"/>
        <w:rPr>
          <w:rFonts w:ascii="Arial" w:hAnsi="Arial" w:cs="Arial"/>
          <w:sz w:val="20"/>
        </w:rPr>
      </w:pPr>
      <w:r>
        <w:rPr>
          <w:rFonts w:ascii="Arial" w:hAnsi="Arial" w:cs="Arial"/>
          <w:sz w:val="20"/>
        </w:rPr>
        <w:t>Cao, L. P</w:t>
      </w:r>
      <w:r>
        <w:rPr>
          <w:rFonts w:ascii="Arial" w:hAnsi="Arial" w:cs="Arial"/>
          <w:sz w:val="20"/>
        </w:rPr>
        <w:t>. (2025). Research on the impact of rural industrial revitalization on agricultural economic growth: A case study of the Yellow River Basin. Chinese Journal of Agricultural Resources and Regional Planning, (7), 1-14.</w:t>
      </w:r>
    </w:p>
    <w:p w14:paraId="198F0E75" w14:textId="77777777" w:rsidR="00490675" w:rsidRDefault="009B469C">
      <w:pPr>
        <w:pStyle w:val="a"/>
        <w:widowControl w:val="0"/>
        <w:adjustRightInd w:val="0"/>
        <w:snapToGrid w:val="0"/>
        <w:spacing w:line="480" w:lineRule="auto"/>
        <w:ind w:firstLineChars="0" w:firstLine="0"/>
        <w:rPr>
          <w:rFonts w:ascii="Arial" w:hAnsi="Arial" w:cs="Arial"/>
          <w:sz w:val="20"/>
        </w:rPr>
      </w:pPr>
      <w:r>
        <w:rPr>
          <w:rFonts w:ascii="Arial" w:hAnsi="Arial" w:cs="Arial"/>
          <w:sz w:val="20"/>
        </w:rPr>
        <w:t>Liang, S. K., &amp; Chen, C. B. (2024). Rur</w:t>
      </w:r>
      <w:r>
        <w:rPr>
          <w:rFonts w:ascii="Arial" w:hAnsi="Arial" w:cs="Arial"/>
          <w:sz w:val="20"/>
        </w:rPr>
        <w:t>al industrial revitalization and common prosperity of farmers: Theoretical clues and empirical evidence. Rural Economy, (1), 82-92.</w:t>
      </w:r>
    </w:p>
    <w:p w14:paraId="202A652A" w14:textId="77777777" w:rsidR="00490675" w:rsidRDefault="009B469C">
      <w:pPr>
        <w:pStyle w:val="a"/>
        <w:widowControl w:val="0"/>
        <w:adjustRightInd w:val="0"/>
        <w:snapToGrid w:val="0"/>
        <w:spacing w:line="480" w:lineRule="auto"/>
        <w:ind w:firstLineChars="0" w:firstLine="0"/>
        <w:rPr>
          <w:rFonts w:ascii="Arial" w:hAnsi="Arial" w:cs="Arial"/>
          <w:sz w:val="20"/>
        </w:rPr>
      </w:pPr>
      <w:r>
        <w:rPr>
          <w:rFonts w:ascii="Arial" w:hAnsi="Arial" w:cs="Arial"/>
          <w:sz w:val="20"/>
        </w:rPr>
        <w:t>Zhang, G. R., &amp; Zhang, Y. (2025). Research on the process of rural industrial revitalization promoted by new rural sages. Jo</w:t>
      </w:r>
      <w:r>
        <w:rPr>
          <w:rFonts w:ascii="Arial" w:hAnsi="Arial" w:cs="Arial"/>
          <w:sz w:val="20"/>
        </w:rPr>
        <w:t xml:space="preserve">urnal of </w:t>
      </w:r>
      <w:proofErr w:type="spellStart"/>
      <w:r>
        <w:rPr>
          <w:rFonts w:ascii="Arial" w:hAnsi="Arial" w:cs="Arial"/>
          <w:sz w:val="20"/>
        </w:rPr>
        <w:t>Agro</w:t>
      </w:r>
      <w:proofErr w:type="spellEnd"/>
      <w:r>
        <w:rPr>
          <w:rFonts w:ascii="Arial" w:hAnsi="Arial" w:cs="Arial"/>
          <w:sz w:val="20"/>
        </w:rPr>
        <w:t>-Forestry Economics and Management, 24(2), 174-184.</w:t>
      </w:r>
    </w:p>
    <w:p w14:paraId="1577BAC0" w14:textId="77777777" w:rsidR="00490675" w:rsidRDefault="009B469C">
      <w:pPr>
        <w:pStyle w:val="a"/>
        <w:widowControl w:val="0"/>
        <w:adjustRightInd w:val="0"/>
        <w:snapToGrid w:val="0"/>
        <w:spacing w:line="480" w:lineRule="auto"/>
        <w:ind w:firstLineChars="0" w:firstLine="0"/>
        <w:rPr>
          <w:rFonts w:ascii="Arial" w:hAnsi="Arial" w:cs="Arial"/>
          <w:sz w:val="20"/>
        </w:rPr>
      </w:pPr>
      <w:r>
        <w:rPr>
          <w:rFonts w:ascii="Arial" w:hAnsi="Arial" w:cs="Arial"/>
          <w:sz w:val="20"/>
        </w:rPr>
        <w:t xml:space="preserve">Hou, J., </w:t>
      </w:r>
      <w:proofErr w:type="spellStart"/>
      <w:r>
        <w:rPr>
          <w:rFonts w:ascii="Arial" w:hAnsi="Arial" w:cs="Arial"/>
          <w:sz w:val="20"/>
        </w:rPr>
        <w:t>Lv</w:t>
      </w:r>
      <w:proofErr w:type="spellEnd"/>
      <w:r>
        <w:rPr>
          <w:rFonts w:ascii="Arial" w:hAnsi="Arial" w:cs="Arial"/>
          <w:sz w:val="20"/>
        </w:rPr>
        <w:t>, M. Y., Zhou, C. T., et al. (2025). Mechanism of digital economy enabling rural industrial revitalization. R&amp;D Management, 37(3), 92-105.</w:t>
      </w:r>
    </w:p>
    <w:p w14:paraId="2D441DF6" w14:textId="77777777" w:rsidR="00490675" w:rsidRDefault="009B469C">
      <w:pPr>
        <w:pStyle w:val="a"/>
        <w:widowControl w:val="0"/>
        <w:adjustRightInd w:val="0"/>
        <w:snapToGrid w:val="0"/>
        <w:spacing w:line="480" w:lineRule="auto"/>
        <w:ind w:firstLineChars="0" w:firstLine="0"/>
        <w:rPr>
          <w:rFonts w:ascii="Arial" w:hAnsi="Arial" w:cs="Arial"/>
          <w:sz w:val="20"/>
        </w:rPr>
      </w:pPr>
      <w:r>
        <w:rPr>
          <w:rFonts w:ascii="Arial" w:hAnsi="Arial" w:cs="Arial"/>
          <w:sz w:val="20"/>
        </w:rPr>
        <w:t>Liang, S. K. (2023). Research on the impa</w:t>
      </w:r>
      <w:r>
        <w:rPr>
          <w:rFonts w:ascii="Arial" w:hAnsi="Arial" w:cs="Arial"/>
          <w:sz w:val="20"/>
        </w:rPr>
        <w:t xml:space="preserve">ct of rural industrial revitalization on the common prosperity of farmers [Doctoral dissertation]. </w:t>
      </w:r>
      <w:proofErr w:type="spellStart"/>
      <w:r>
        <w:rPr>
          <w:rFonts w:ascii="Arial" w:hAnsi="Arial" w:cs="Arial"/>
          <w:sz w:val="20"/>
        </w:rPr>
        <w:t>Zhongnan</w:t>
      </w:r>
      <w:proofErr w:type="spellEnd"/>
      <w:r>
        <w:rPr>
          <w:rFonts w:ascii="Arial" w:hAnsi="Arial" w:cs="Arial"/>
          <w:sz w:val="20"/>
        </w:rPr>
        <w:t xml:space="preserve"> University of Economics and Law, </w:t>
      </w:r>
      <w:r>
        <w:rPr>
          <w:rFonts w:ascii="Arial" w:hAnsi="Arial" w:cs="Arial"/>
          <w:sz w:val="20"/>
        </w:rPr>
        <w:lastRenderedPageBreak/>
        <w:t>Wuhan, China.</w:t>
      </w:r>
    </w:p>
    <w:p w14:paraId="293E216A" w14:textId="77777777" w:rsidR="00490675" w:rsidRDefault="009B469C">
      <w:pPr>
        <w:pStyle w:val="a"/>
        <w:widowControl w:val="0"/>
        <w:adjustRightInd w:val="0"/>
        <w:snapToGrid w:val="0"/>
        <w:spacing w:line="480" w:lineRule="auto"/>
        <w:ind w:firstLineChars="0" w:firstLine="0"/>
        <w:rPr>
          <w:rFonts w:ascii="Arial" w:hAnsi="Arial" w:cs="Arial"/>
          <w:sz w:val="20"/>
        </w:rPr>
      </w:pPr>
      <w:r>
        <w:rPr>
          <w:rFonts w:ascii="Arial" w:hAnsi="Arial" w:cs="Arial"/>
          <w:sz w:val="20"/>
        </w:rPr>
        <w:t>Wang, R., Shi, J., Hao, D., et al. (2023). Spatial–temporal characteristics and driving mechanisms of</w:t>
      </w:r>
      <w:r>
        <w:rPr>
          <w:rFonts w:ascii="Arial" w:hAnsi="Arial" w:cs="Arial"/>
          <w:sz w:val="20"/>
        </w:rPr>
        <w:t xml:space="preserve"> rural industrial integration in China. Agriculture, 13(4), 74. https://doi.org/10.3390/agriculture13040740</w:t>
      </w:r>
    </w:p>
    <w:p w14:paraId="4F949814" w14:textId="77777777" w:rsidR="00490675" w:rsidRDefault="009B469C">
      <w:pPr>
        <w:pStyle w:val="a"/>
        <w:widowControl w:val="0"/>
        <w:adjustRightInd w:val="0"/>
        <w:snapToGrid w:val="0"/>
        <w:spacing w:line="480" w:lineRule="auto"/>
        <w:ind w:firstLineChars="0" w:firstLine="0"/>
        <w:rPr>
          <w:rFonts w:ascii="Arial" w:hAnsi="Arial" w:cs="Arial"/>
          <w:sz w:val="20"/>
        </w:rPr>
      </w:pPr>
      <w:r>
        <w:rPr>
          <w:rFonts w:ascii="Arial" w:hAnsi="Arial" w:cs="Arial"/>
          <w:sz w:val="20"/>
        </w:rPr>
        <w:t>Lai, Y., Yang, H., Qiu, F., et al. (2023). Can rural industrial integration alleviate agricultural non-point source pollution? Evidence from rural C</w:t>
      </w:r>
      <w:r>
        <w:rPr>
          <w:rFonts w:ascii="Arial" w:hAnsi="Arial" w:cs="Arial"/>
          <w:sz w:val="20"/>
        </w:rPr>
        <w:t>hina. Agriculture, 13(7), 1389. https://doi.org/10.3390/agriculture13071389</w:t>
      </w:r>
    </w:p>
    <w:p w14:paraId="129B166D" w14:textId="77777777" w:rsidR="00490675" w:rsidRDefault="009B469C">
      <w:pPr>
        <w:pStyle w:val="a"/>
        <w:widowControl w:val="0"/>
        <w:adjustRightInd w:val="0"/>
        <w:snapToGrid w:val="0"/>
        <w:spacing w:line="480" w:lineRule="auto"/>
        <w:ind w:firstLineChars="0" w:firstLine="0"/>
        <w:rPr>
          <w:rFonts w:ascii="Arial" w:hAnsi="Arial" w:cs="Arial"/>
          <w:sz w:val="20"/>
        </w:rPr>
      </w:pPr>
      <w:r>
        <w:rPr>
          <w:rFonts w:ascii="Arial" w:hAnsi="Arial" w:cs="Arial"/>
          <w:sz w:val="20"/>
        </w:rPr>
        <w:t>Jatuporn, C., &amp; Takeuchi, K. (2023). Assessing the impact of climate change on the agricultural economy in Thailand: An empirical study using panel data analysis. Environmental Sci</w:t>
      </w:r>
      <w:r>
        <w:rPr>
          <w:rFonts w:ascii="Arial" w:hAnsi="Arial" w:cs="Arial"/>
          <w:sz w:val="20"/>
        </w:rPr>
        <w:t>ence and Pollution Research, 30(3), 8123-8132. https://doi.org/10.1007/s11356-022-22574-9</w:t>
      </w:r>
    </w:p>
    <w:p w14:paraId="62B8214C" w14:textId="77777777" w:rsidR="00490675" w:rsidRDefault="009B469C">
      <w:pPr>
        <w:pStyle w:val="a"/>
        <w:widowControl w:val="0"/>
        <w:adjustRightInd w:val="0"/>
        <w:snapToGrid w:val="0"/>
        <w:spacing w:line="480" w:lineRule="auto"/>
        <w:ind w:firstLineChars="0" w:firstLine="0"/>
        <w:rPr>
          <w:rFonts w:ascii="Arial" w:hAnsi="Arial" w:cs="Arial"/>
          <w:sz w:val="20"/>
        </w:rPr>
      </w:pPr>
      <w:proofErr w:type="spellStart"/>
      <w:r>
        <w:rPr>
          <w:rFonts w:ascii="Arial" w:hAnsi="Arial" w:cs="Arial"/>
          <w:sz w:val="20"/>
        </w:rPr>
        <w:t>Kusakina</w:t>
      </w:r>
      <w:proofErr w:type="spellEnd"/>
      <w:r>
        <w:rPr>
          <w:rFonts w:ascii="Arial" w:hAnsi="Arial" w:cs="Arial"/>
          <w:sz w:val="20"/>
        </w:rPr>
        <w:t>, O. N., &amp; Sokolov, S. V. (2023). Human capital development in rural areas from the standpoint of the sustainable development goals (SDGs). Advances in Manage</w:t>
      </w:r>
      <w:r>
        <w:rPr>
          <w:rFonts w:ascii="Arial" w:hAnsi="Arial" w:cs="Arial"/>
          <w:sz w:val="20"/>
        </w:rPr>
        <w:t>ment, Business and Technological Systems, 582, 171-179. https://doi.org/10.1007/978-3-031-24335-7_18</w:t>
      </w:r>
    </w:p>
    <w:p w14:paraId="4CE2484F" w14:textId="77777777" w:rsidR="00490675" w:rsidRDefault="009B469C">
      <w:pPr>
        <w:pStyle w:val="a"/>
        <w:widowControl w:val="0"/>
        <w:adjustRightInd w:val="0"/>
        <w:snapToGrid w:val="0"/>
        <w:spacing w:line="480" w:lineRule="auto"/>
        <w:ind w:firstLineChars="0" w:firstLine="0"/>
        <w:rPr>
          <w:rFonts w:ascii="Arial" w:hAnsi="Arial" w:cs="Arial"/>
          <w:sz w:val="20"/>
        </w:rPr>
      </w:pPr>
      <w:proofErr w:type="spellStart"/>
      <w:r>
        <w:rPr>
          <w:rFonts w:ascii="Arial" w:hAnsi="Arial" w:cs="Arial"/>
          <w:sz w:val="20"/>
        </w:rPr>
        <w:t>Dagum</w:t>
      </w:r>
      <w:proofErr w:type="spellEnd"/>
      <w:r>
        <w:rPr>
          <w:rFonts w:ascii="Arial" w:hAnsi="Arial" w:cs="Arial"/>
          <w:sz w:val="20"/>
        </w:rPr>
        <w:t>, C. (1997). A new decomposition of the Gini income inequality ratio. Empirical Economics, 22(4), 515-531. https://doi.org/10.1007/BF01205383</w:t>
      </w:r>
    </w:p>
    <w:p w14:paraId="1FFCE787" w14:textId="77777777" w:rsidR="00490675" w:rsidRDefault="009B469C">
      <w:pPr>
        <w:widowControl/>
        <w:topLinePunct/>
        <w:spacing w:line="480" w:lineRule="auto"/>
        <w:rPr>
          <w:rFonts w:ascii="Arial" w:hAnsi="Arial" w:cs="Arial"/>
          <w:sz w:val="20"/>
          <w:szCs w:val="20"/>
        </w:rPr>
      </w:pPr>
      <w:r>
        <w:rPr>
          <w:rFonts w:ascii="Arial" w:hAnsi="Arial" w:cs="Arial"/>
          <w:sz w:val="20"/>
          <w:szCs w:val="20"/>
        </w:rPr>
        <w:t>Silverman, B. W. (1986). Density estimation for statistics and data analysis. Chapman and Hall, London.</w:t>
      </w:r>
    </w:p>
    <w:p w14:paraId="444ADDF1" w14:textId="77777777" w:rsidR="00490675" w:rsidRDefault="00490675">
      <w:pPr>
        <w:pStyle w:val="ReferHead"/>
        <w:widowControl/>
        <w:spacing w:after="0"/>
        <w:rPr>
          <w:rFonts w:ascii="Arial" w:eastAsia="Times New Roman" w:hAnsi="Arial" w:cs="Arial"/>
          <w:bCs/>
          <w:kern w:val="0"/>
          <w:szCs w:val="20"/>
        </w:rPr>
      </w:pPr>
    </w:p>
    <w:p w14:paraId="07312D5D" w14:textId="77777777" w:rsidR="00490675" w:rsidRDefault="00490675">
      <w:pPr>
        <w:widowControl/>
        <w:topLinePunct/>
        <w:rPr>
          <w:rFonts w:ascii="Arial" w:hAnsi="Arial" w:cs="Arial"/>
          <w:sz w:val="20"/>
          <w:szCs w:val="20"/>
        </w:rPr>
      </w:pPr>
    </w:p>
    <w:sectPr w:rsidR="00490675">
      <w:headerReference w:type="even" r:id="rId12"/>
      <w:headerReference w:type="default" r:id="rId13"/>
      <w:footerReference w:type="even" r:id="rId14"/>
      <w:footerReference w:type="default" r:id="rId15"/>
      <w:headerReference w:type="first" r:id="rId16"/>
      <w:footerReference w:type="firs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5E67AF" w14:textId="77777777" w:rsidR="009B469C" w:rsidRDefault="009B469C">
      <w:r>
        <w:separator/>
      </w:r>
    </w:p>
  </w:endnote>
  <w:endnote w:type="continuationSeparator" w:id="0">
    <w:p w14:paraId="020DF164" w14:textId="77777777" w:rsidR="009B469C" w:rsidRDefault="009B4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3F644" w14:textId="77777777" w:rsidR="00A2056B" w:rsidRDefault="00A205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AB8C5" w14:textId="77777777" w:rsidR="00A2056B" w:rsidRDefault="00A205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A635D" w14:textId="77777777" w:rsidR="00A2056B" w:rsidRDefault="00A205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4B1C31" w14:textId="77777777" w:rsidR="009B469C" w:rsidRDefault="009B469C">
      <w:r>
        <w:separator/>
      </w:r>
    </w:p>
  </w:footnote>
  <w:footnote w:type="continuationSeparator" w:id="0">
    <w:p w14:paraId="489D79D5" w14:textId="77777777" w:rsidR="009B469C" w:rsidRDefault="009B46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A9CEE" w14:textId="0AE568A1" w:rsidR="00A2056B" w:rsidRDefault="00A2056B">
    <w:pPr>
      <w:pStyle w:val="Header"/>
    </w:pPr>
    <w:r>
      <w:rPr>
        <w:noProof/>
      </w:rPr>
      <w:pict w14:anchorId="4CC70A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4821766" o:spid="_x0000_s2050" type="#_x0000_t136" style="position:absolute;left:0;text-align:left;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8C985" w14:textId="5A8ADC56" w:rsidR="00A2056B" w:rsidRDefault="00A2056B">
    <w:pPr>
      <w:pStyle w:val="Header"/>
    </w:pPr>
    <w:r>
      <w:rPr>
        <w:noProof/>
      </w:rPr>
      <w:pict w14:anchorId="2ECBC6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4821767" o:spid="_x0000_s2051" type="#_x0000_t136" style="position:absolute;left:0;text-align:left;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22DB0" w14:textId="22A3A6D4" w:rsidR="00A2056B" w:rsidRDefault="00A2056B">
    <w:pPr>
      <w:pStyle w:val="Header"/>
    </w:pPr>
    <w:r>
      <w:rPr>
        <w:noProof/>
      </w:rPr>
      <w:pict w14:anchorId="796E9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4821765" o:spid="_x0000_s2049" type="#_x0000_t136" style="position:absolute;left:0;text-align:left;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420"/>
  <w:drawingGridVerticalSpacing w:val="156"/>
  <w:noPunctuationKerning/>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559955CD"/>
    <w:rsid w:val="002203CD"/>
    <w:rsid w:val="00415FB4"/>
    <w:rsid w:val="00490675"/>
    <w:rsid w:val="00647BA9"/>
    <w:rsid w:val="009A1F21"/>
    <w:rsid w:val="009B469C"/>
    <w:rsid w:val="00A2056B"/>
    <w:rsid w:val="00AD3177"/>
    <w:rsid w:val="00B87870"/>
    <w:rsid w:val="00D81B5C"/>
    <w:rsid w:val="016043F1"/>
    <w:rsid w:val="01E0053A"/>
    <w:rsid w:val="032B17E3"/>
    <w:rsid w:val="04545D1C"/>
    <w:rsid w:val="047F3C62"/>
    <w:rsid w:val="04B024A9"/>
    <w:rsid w:val="05EE753F"/>
    <w:rsid w:val="08354617"/>
    <w:rsid w:val="0954187A"/>
    <w:rsid w:val="0AFA2EAC"/>
    <w:rsid w:val="0BBA4FFF"/>
    <w:rsid w:val="0D4E3C51"/>
    <w:rsid w:val="0D8803E4"/>
    <w:rsid w:val="0DCA225C"/>
    <w:rsid w:val="0E2F75DE"/>
    <w:rsid w:val="106249DC"/>
    <w:rsid w:val="123B2824"/>
    <w:rsid w:val="18964231"/>
    <w:rsid w:val="1A954068"/>
    <w:rsid w:val="1B256F50"/>
    <w:rsid w:val="1CDE0BDD"/>
    <w:rsid w:val="1EB60A2E"/>
    <w:rsid w:val="204D65D1"/>
    <w:rsid w:val="21032CFF"/>
    <w:rsid w:val="27F81053"/>
    <w:rsid w:val="2EC519AD"/>
    <w:rsid w:val="2F1130E2"/>
    <w:rsid w:val="316D63D8"/>
    <w:rsid w:val="373C2E1D"/>
    <w:rsid w:val="3746327F"/>
    <w:rsid w:val="38210D36"/>
    <w:rsid w:val="3A8E7564"/>
    <w:rsid w:val="3AA2255D"/>
    <w:rsid w:val="3B901331"/>
    <w:rsid w:val="3C145EE2"/>
    <w:rsid w:val="3EF5367D"/>
    <w:rsid w:val="40C65821"/>
    <w:rsid w:val="41740393"/>
    <w:rsid w:val="418B2D3A"/>
    <w:rsid w:val="455D1AE1"/>
    <w:rsid w:val="46FC3A26"/>
    <w:rsid w:val="499A5EC4"/>
    <w:rsid w:val="4ACE38A5"/>
    <w:rsid w:val="4E78396F"/>
    <w:rsid w:val="5184487E"/>
    <w:rsid w:val="53234805"/>
    <w:rsid w:val="55004FA0"/>
    <w:rsid w:val="55272CCE"/>
    <w:rsid w:val="559955CD"/>
    <w:rsid w:val="58C8628C"/>
    <w:rsid w:val="59E7025C"/>
    <w:rsid w:val="5CEA2869"/>
    <w:rsid w:val="5DEE3BA9"/>
    <w:rsid w:val="5FCD310F"/>
    <w:rsid w:val="61317B79"/>
    <w:rsid w:val="68646841"/>
    <w:rsid w:val="68AD1553"/>
    <w:rsid w:val="6A5B0DC4"/>
    <w:rsid w:val="6DCF5F74"/>
    <w:rsid w:val="71C72AD3"/>
    <w:rsid w:val="75C01803"/>
    <w:rsid w:val="763B4B15"/>
    <w:rsid w:val="770E62BB"/>
    <w:rsid w:val="77762EE5"/>
    <w:rsid w:val="79140338"/>
    <w:rsid w:val="7DFE3D63"/>
    <w:rsid w:val="7EDE14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8D16708"/>
  <w15:docId w15:val="{B2A2706C-CE96-4C55-BB33-F1E642169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caption" w:semiHidden="1" w:unhideWhenUsed="1" w:qFormat="1"/>
    <w:lsdException w:name="footnote reference"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qFormat/>
    <w:pPr>
      <w:snapToGrid w:val="0"/>
      <w:jc w:val="left"/>
    </w:pPr>
    <w:rPr>
      <w:sz w:val="18"/>
    </w:rPr>
  </w:style>
  <w:style w:type="paragraph" w:styleId="NormalWeb">
    <w:name w:val="Normal (Web)"/>
    <w:basedOn w:val="Normal"/>
    <w:qFormat/>
    <w:rPr>
      <w:sz w:val="24"/>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Pr>
      <w:b/>
    </w:rPr>
  </w:style>
  <w:style w:type="character" w:styleId="FootnoteReference">
    <w:name w:val="footnote reference"/>
    <w:basedOn w:val="DefaultParagraphFont"/>
    <w:qFormat/>
    <w:rPr>
      <w:vertAlign w:val="superscript"/>
    </w:rPr>
  </w:style>
  <w:style w:type="paragraph" w:customStyle="1" w:styleId="a">
    <w:name w:val="段"/>
    <w:uiPriority w:val="99"/>
    <w:qFormat/>
    <w:pPr>
      <w:autoSpaceDE w:val="0"/>
      <w:autoSpaceDN w:val="0"/>
      <w:ind w:firstLineChars="200" w:firstLine="200"/>
      <w:jc w:val="both"/>
    </w:pPr>
    <w:rPr>
      <w:rFonts w:ascii="SimSun"/>
      <w:sz w:val="21"/>
      <w:lang w:val="en-US" w:eastAsia="zh-CN"/>
    </w:rPr>
  </w:style>
  <w:style w:type="paragraph" w:customStyle="1" w:styleId="Body">
    <w:name w:val="Body"/>
    <w:basedOn w:val="Normal"/>
    <w:qFormat/>
    <w:pPr>
      <w:spacing w:after="240"/>
    </w:pPr>
  </w:style>
  <w:style w:type="paragraph" w:customStyle="1" w:styleId="ReferHead">
    <w:name w:val="Refer Head"/>
    <w:basedOn w:val="MainHead"/>
    <w:qFormat/>
    <w:rPr>
      <w:sz w:val="22"/>
    </w:rPr>
  </w:style>
  <w:style w:type="paragraph" w:customStyle="1" w:styleId="MainHead">
    <w:name w:val="Main Head"/>
    <w:basedOn w:val="Normal"/>
    <w:qFormat/>
    <w:pPr>
      <w:keepNext/>
      <w:spacing w:after="240"/>
    </w:pPr>
    <w:rPr>
      <w:b/>
      <w:caps/>
    </w:rPr>
  </w:style>
  <w:style w:type="paragraph" w:customStyle="1" w:styleId="AcknHead">
    <w:name w:val="Ackn Head"/>
    <w:basedOn w:val="MainHead"/>
    <w:qFormat/>
    <w:rPr>
      <w:sz w:val="22"/>
    </w:rPr>
  </w:style>
  <w:style w:type="paragraph" w:styleId="Header">
    <w:name w:val="header"/>
    <w:basedOn w:val="Normal"/>
    <w:link w:val="HeaderChar"/>
    <w:rsid w:val="00A2056B"/>
    <w:pPr>
      <w:tabs>
        <w:tab w:val="center" w:pos="4513"/>
        <w:tab w:val="right" w:pos="9026"/>
      </w:tabs>
    </w:pPr>
  </w:style>
  <w:style w:type="character" w:customStyle="1" w:styleId="HeaderChar">
    <w:name w:val="Header Char"/>
    <w:basedOn w:val="DefaultParagraphFont"/>
    <w:link w:val="Header"/>
    <w:rsid w:val="00A2056B"/>
    <w:rPr>
      <w:rFonts w:asciiTheme="minorHAnsi" w:eastAsiaTheme="minorEastAsia" w:hAnsiTheme="minorHAnsi" w:cstheme="minorBidi"/>
      <w:kern w:val="2"/>
      <w:sz w:val="21"/>
      <w:szCs w:val="24"/>
      <w:lang w:val="en-US" w:eastAsia="zh-CN"/>
    </w:rPr>
  </w:style>
  <w:style w:type="paragraph" w:styleId="Footer">
    <w:name w:val="footer"/>
    <w:basedOn w:val="Normal"/>
    <w:link w:val="FooterChar"/>
    <w:rsid w:val="00A2056B"/>
    <w:pPr>
      <w:tabs>
        <w:tab w:val="center" w:pos="4513"/>
        <w:tab w:val="right" w:pos="9026"/>
      </w:tabs>
    </w:pPr>
  </w:style>
  <w:style w:type="character" w:customStyle="1" w:styleId="FooterChar">
    <w:name w:val="Footer Char"/>
    <w:basedOn w:val="DefaultParagraphFont"/>
    <w:link w:val="Footer"/>
    <w:rsid w:val="00A2056B"/>
    <w:rPr>
      <w:rFonts w:asciiTheme="minorHAnsi" w:eastAsiaTheme="minorEastAsia" w:hAnsiTheme="minorHAnsi" w:cstheme="minorBidi"/>
      <w:kern w:val="2"/>
      <w:sz w:val="21"/>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20</Pages>
  <Words>6292</Words>
  <Characters>35865</Characters>
  <Application>Microsoft Office Word</Application>
  <DocSecurity>0</DocSecurity>
  <Lines>298</Lines>
  <Paragraphs>84</Paragraphs>
  <ScaleCrop>false</ScaleCrop>
  <Company/>
  <LinksUpToDate>false</LinksUpToDate>
  <CharactersWithSpaces>42073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舟山</dc:creator>
  <cp:lastModifiedBy>SDI 1166</cp:lastModifiedBy>
  <cp:revision>8</cp:revision>
  <dcterms:created xsi:type="dcterms:W3CDTF">2026-04-30T03:24:00Z</dcterms:created>
  <dcterms:modified xsi:type="dcterms:W3CDTF">2026-05-05T10:12:00Z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2547219FAAC64276A379753CC7BB01C6_11</vt:lpwstr>
  </property>
  <property fmtid="{D5CDD505-2E9C-101B-9397-08002B2CF9AE}" pid="4" name="KSOTemplateDocerSaveRecord">
    <vt:lpwstr>eyJoZGlkIjoiZjRkZGFkM2IyNzQyYTAzNDU3YzE3NjUyY2ExOWJmNWQiLCJ1c2VySWQiOiI4ODQ1NzEzMzQifQ==</vt:lpwstr>
  </property>
</Properties>
</file>