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C0381" w14:textId="1D75262C"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Data-driven risk modeling for infrastructure project delivery to mitigate schedule and cost overruns</w:t>
      </w:r>
    </w:p>
    <w:p w14:paraId="475CA941" w14:textId="77777777" w:rsidR="00D874E4" w:rsidRDefault="00D874E4">
      <w:pPr>
        <w:jc w:val="both"/>
        <w:rPr>
          <w:rFonts w:ascii="Times New Roman" w:eastAsia="Times New Roman" w:hAnsi="Times New Roman" w:cs="Times New Roman"/>
          <w:b/>
          <w:bCs/>
          <w:color w:val="000000"/>
          <w:sz w:val="22"/>
          <w:szCs w:val="22"/>
        </w:rPr>
      </w:pPr>
    </w:p>
    <w:p w14:paraId="6BC81258"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Abstract</w:t>
      </w:r>
    </w:p>
    <w:p w14:paraId="7574A26A"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Despite the development of digital systems and project controls, infrastructure projects are still prone to uncontrolled risks, delays in schedules, and higher costs. This scoping review explores how data-driven risk modeling can be used to make prediction</w:t>
      </w:r>
      <w:r>
        <w:rPr>
          <w:rFonts w:ascii="Times New Roman" w:eastAsia="Times New Roman" w:hAnsi="Times New Roman" w:cs="Times New Roman"/>
          <w:color w:val="000000"/>
          <w:sz w:val="22"/>
          <w:szCs w:val="22"/>
        </w:rPr>
        <w:t>s, quantify, and manage schedule and cost risks in infrastructure delivery environments. Scopus, Web of Science Core Collection, and Engineering Village were used to find studies published between 2015 and 2025 using a PCC-framed question and PRISMA-</w:t>
      </w:r>
      <w:proofErr w:type="spellStart"/>
      <w:r>
        <w:rPr>
          <w:rFonts w:ascii="Times New Roman" w:eastAsia="Times New Roman" w:hAnsi="Times New Roman" w:cs="Times New Roman"/>
          <w:color w:val="000000"/>
          <w:sz w:val="22"/>
          <w:szCs w:val="22"/>
        </w:rPr>
        <w:t>ScR</w:t>
      </w:r>
      <w:proofErr w:type="spellEnd"/>
      <w:r>
        <w:rPr>
          <w:rFonts w:ascii="Times New Roman" w:eastAsia="Times New Roman" w:hAnsi="Times New Roman" w:cs="Times New Roman"/>
          <w:color w:val="000000"/>
          <w:sz w:val="22"/>
          <w:szCs w:val="22"/>
        </w:rPr>
        <w:t>-ma</w:t>
      </w:r>
      <w:r>
        <w:rPr>
          <w:rFonts w:ascii="Times New Roman" w:eastAsia="Times New Roman" w:hAnsi="Times New Roman" w:cs="Times New Roman"/>
          <w:color w:val="000000"/>
          <w:sz w:val="22"/>
          <w:szCs w:val="22"/>
        </w:rPr>
        <w:t>naged process. A standardized template was then used to screen and chart them. A total of 19 empirical studies were synthesized, all of which were highways, roads, railways, metro systems, marine works, irrigation, educational infrastructure, utilities, an</w:t>
      </w:r>
      <w:r>
        <w:rPr>
          <w:rFonts w:ascii="Times New Roman" w:eastAsia="Times New Roman" w:hAnsi="Times New Roman" w:cs="Times New Roman"/>
          <w:color w:val="000000"/>
          <w:sz w:val="22"/>
          <w:szCs w:val="22"/>
        </w:rPr>
        <w:t xml:space="preserve">d portfolios of public infrastructure, in developed and developing contexts. The approaches reviewed involved machine learning, Bayesian networks, Monte Carlo simulation, with hidden Markov models, earned value-based forecasting, fuzzy systems, and hybrid </w:t>
      </w:r>
      <w:r>
        <w:rPr>
          <w:rFonts w:ascii="Times New Roman" w:eastAsia="Times New Roman" w:hAnsi="Times New Roman" w:cs="Times New Roman"/>
          <w:color w:val="000000"/>
          <w:sz w:val="22"/>
          <w:szCs w:val="22"/>
        </w:rPr>
        <w:t xml:space="preserve">analytics, and were tested against cost overrun, delay, contingency, and risk outcomes. In the majority of applications, the use of data-driven and probabilistic models was better at prediction and decision support, although further adoption is limited by </w:t>
      </w:r>
      <w:r>
        <w:rPr>
          <w:rFonts w:ascii="Times New Roman" w:eastAsia="Times New Roman" w:hAnsi="Times New Roman" w:cs="Times New Roman"/>
          <w:color w:val="000000"/>
          <w:sz w:val="22"/>
          <w:szCs w:val="22"/>
        </w:rPr>
        <w:t>the quality of data, validation thresholds, and ineffective incorporation of live control systems. This review provides coherent evidence, which has been fragmented around identified priorities of governance, validation, and integration.</w:t>
      </w:r>
    </w:p>
    <w:p w14:paraId="1687C4CE"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Keywords: </w:t>
      </w:r>
      <w:r>
        <w:rPr>
          <w:rFonts w:ascii="Times New Roman" w:eastAsia="Times New Roman" w:hAnsi="Times New Roman" w:cs="Times New Roman"/>
          <w:color w:val="000000"/>
          <w:sz w:val="22"/>
          <w:szCs w:val="22"/>
        </w:rPr>
        <w:t>infrastructure delivery; cost overrun; schedule delay; risk modeling; predictive analytics</w:t>
      </w:r>
    </w:p>
    <w:p w14:paraId="7195D5E5" w14:textId="06996912" w:rsidR="00506EDB" w:rsidRDefault="006922C6">
      <w:pPr>
        <w:numPr>
          <w:ilvl w:val="1"/>
          <w:numId w:val="1"/>
        </w:num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Background</w:t>
      </w:r>
    </w:p>
    <w:p w14:paraId="1C3BA1D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Infrastructure projects are still key drivers of economic productivity, geographical connectivity, the provision of public services, and long-term social </w:t>
      </w:r>
      <w:r>
        <w:rPr>
          <w:rFonts w:ascii="Times New Roman" w:eastAsia="Times New Roman" w:hAnsi="Times New Roman" w:cs="Times New Roman"/>
          <w:color w:val="000000"/>
          <w:sz w:val="22"/>
          <w:szCs w:val="22"/>
        </w:rPr>
        <w:t>well-being, but their execution continues to be compromised by ongoing cost overruns and the hindrance of schedules in both developed and developing environments. Public infrastructure in Jordan provided evidence that delays and cost escalation occurred re</w:t>
      </w:r>
      <w:r>
        <w:rPr>
          <w:rFonts w:ascii="Times New Roman" w:eastAsia="Times New Roman" w:hAnsi="Times New Roman" w:cs="Times New Roman"/>
          <w:color w:val="000000"/>
          <w:sz w:val="22"/>
          <w:szCs w:val="22"/>
        </w:rPr>
        <w:t>peatedly, rather than one time as an event, and final reports available on completed projects highlighted a combination of different underlying causes that interacted with each other in routine project implementation (Al-</w:t>
      </w:r>
      <w:proofErr w:type="spellStart"/>
      <w:r>
        <w:rPr>
          <w:rFonts w:ascii="Times New Roman" w:eastAsia="Times New Roman" w:hAnsi="Times New Roman" w:cs="Times New Roman"/>
          <w:color w:val="000000"/>
          <w:sz w:val="22"/>
          <w:szCs w:val="22"/>
        </w:rPr>
        <w:t>Hazim</w:t>
      </w:r>
      <w:proofErr w:type="spellEnd"/>
      <w:r>
        <w:rPr>
          <w:rFonts w:ascii="Times New Roman" w:eastAsia="Times New Roman" w:hAnsi="Times New Roman" w:cs="Times New Roman"/>
          <w:color w:val="000000"/>
          <w:sz w:val="22"/>
          <w:szCs w:val="22"/>
        </w:rPr>
        <w:t xml:space="preserve"> et al., 2017). Similar trends</w:t>
      </w:r>
      <w:r>
        <w:rPr>
          <w:rFonts w:ascii="Times New Roman" w:eastAsia="Times New Roman" w:hAnsi="Times New Roman" w:cs="Times New Roman"/>
          <w:color w:val="000000"/>
          <w:sz w:val="22"/>
          <w:szCs w:val="22"/>
        </w:rPr>
        <w:t xml:space="preserve"> have been observed within the gas-oil construction industry in Iran, where poor delivery performance was marred by inaccuracy in estimating, flawed planning, alteration of design, </w:t>
      </w:r>
      <w:proofErr w:type="spellStart"/>
      <w:r>
        <w:rPr>
          <w:rFonts w:ascii="Times New Roman" w:eastAsia="Times New Roman" w:hAnsi="Times New Roman" w:cs="Times New Roman"/>
          <w:color w:val="000000"/>
          <w:sz w:val="22"/>
          <w:szCs w:val="22"/>
        </w:rPr>
        <w:t>labour</w:t>
      </w:r>
      <w:proofErr w:type="spellEnd"/>
      <w:r>
        <w:rPr>
          <w:rFonts w:ascii="Times New Roman" w:eastAsia="Times New Roman" w:hAnsi="Times New Roman" w:cs="Times New Roman"/>
          <w:color w:val="000000"/>
          <w:sz w:val="22"/>
          <w:szCs w:val="22"/>
        </w:rPr>
        <w:t xml:space="preserve"> limitations, and volatile prices (</w:t>
      </w:r>
      <w:proofErr w:type="spellStart"/>
      <w:r>
        <w:rPr>
          <w:rFonts w:ascii="Times New Roman" w:eastAsia="Times New Roman" w:hAnsi="Times New Roman" w:cs="Times New Roman"/>
          <w:color w:val="000000"/>
          <w:sz w:val="22"/>
          <w:szCs w:val="22"/>
        </w:rPr>
        <w:t>Derakhshanel</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Avijeh</w:t>
      </w:r>
      <w:proofErr w:type="spellEnd"/>
      <w:r>
        <w:rPr>
          <w:rFonts w:ascii="Times New Roman" w:eastAsia="Times New Roman" w:hAnsi="Times New Roman" w:cs="Times New Roman"/>
          <w:color w:val="000000"/>
          <w:sz w:val="22"/>
          <w:szCs w:val="22"/>
        </w:rPr>
        <w:t xml:space="preserve"> &amp; Teixeira, 20</w:t>
      </w:r>
      <w:r>
        <w:rPr>
          <w:rFonts w:ascii="Times New Roman" w:eastAsia="Times New Roman" w:hAnsi="Times New Roman" w:cs="Times New Roman"/>
          <w:color w:val="000000"/>
          <w:sz w:val="22"/>
          <w:szCs w:val="22"/>
        </w:rPr>
        <w:t>17). Similar concerns can be observed in municipal roads in Palestine, Egyptian mega-projects, and global tunnel megaprojects, which suggests that overruns are not limited to a specific geographic, project scale, or type of asset, but are a structural phen</w:t>
      </w:r>
      <w:r>
        <w:rPr>
          <w:rFonts w:ascii="Times New Roman" w:eastAsia="Times New Roman" w:hAnsi="Times New Roman" w:cs="Times New Roman"/>
          <w:color w:val="000000"/>
          <w:sz w:val="22"/>
          <w:szCs w:val="22"/>
        </w:rPr>
        <w:t xml:space="preserve">omenon or aspect of infrastructure implementation under uncertainty (Daoud et al., 2023; De Marco &amp; </w:t>
      </w:r>
      <w:proofErr w:type="spellStart"/>
      <w:r>
        <w:rPr>
          <w:rFonts w:ascii="Times New Roman" w:eastAsia="Times New Roman" w:hAnsi="Times New Roman" w:cs="Times New Roman"/>
          <w:color w:val="000000"/>
          <w:sz w:val="22"/>
          <w:szCs w:val="22"/>
        </w:rPr>
        <w:t>Narbaev</w:t>
      </w:r>
      <w:proofErr w:type="spellEnd"/>
      <w:r>
        <w:rPr>
          <w:rFonts w:ascii="Times New Roman" w:eastAsia="Times New Roman" w:hAnsi="Times New Roman" w:cs="Times New Roman"/>
          <w:color w:val="000000"/>
          <w:sz w:val="22"/>
          <w:szCs w:val="22"/>
        </w:rPr>
        <w:t>, 2021; Issa et al., 2022). Even in places where performance seems more regulated, in English road schemes, long-term improvement has relied on inten</w:t>
      </w:r>
      <w:r>
        <w:rPr>
          <w:rFonts w:ascii="Times New Roman" w:eastAsia="Times New Roman" w:hAnsi="Times New Roman" w:cs="Times New Roman"/>
          <w:color w:val="000000"/>
          <w:sz w:val="22"/>
          <w:szCs w:val="22"/>
        </w:rPr>
        <w:t xml:space="preserve">tional changes in the practice of estimation, procurement strategy, and </w:t>
      </w:r>
      <w:proofErr w:type="spellStart"/>
      <w:r>
        <w:rPr>
          <w:rFonts w:ascii="Times New Roman" w:eastAsia="Times New Roman" w:hAnsi="Times New Roman" w:cs="Times New Roman"/>
          <w:color w:val="000000"/>
          <w:sz w:val="22"/>
          <w:szCs w:val="22"/>
        </w:rPr>
        <w:t>programme</w:t>
      </w:r>
      <w:proofErr w:type="spellEnd"/>
      <w:r>
        <w:rPr>
          <w:rFonts w:ascii="Times New Roman" w:eastAsia="Times New Roman" w:hAnsi="Times New Roman" w:cs="Times New Roman"/>
          <w:color w:val="000000"/>
          <w:sz w:val="22"/>
          <w:szCs w:val="22"/>
        </w:rPr>
        <w:t xml:space="preserve"> management as well as institutional learning, as opposed to the role of routine project administration on its own (Chapman, 2024).</w:t>
      </w:r>
    </w:p>
    <w:p w14:paraId="36BC5B18"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This broader picture indicates that infrast</w:t>
      </w:r>
      <w:r>
        <w:rPr>
          <w:rFonts w:ascii="Times New Roman" w:eastAsia="Times New Roman" w:hAnsi="Times New Roman" w:cs="Times New Roman"/>
          <w:color w:val="000000"/>
          <w:sz w:val="22"/>
          <w:szCs w:val="22"/>
        </w:rPr>
        <w:t>ructure underperformance cannot be perceived merely as the inability to execute competently at the construction level. Instead, it represents weaknesses that may arise due to project definition, front-end estimation, decision-making structures, coordinatio</w:t>
      </w:r>
      <w:r>
        <w:rPr>
          <w:rFonts w:ascii="Times New Roman" w:eastAsia="Times New Roman" w:hAnsi="Times New Roman" w:cs="Times New Roman"/>
          <w:color w:val="000000"/>
          <w:sz w:val="22"/>
          <w:szCs w:val="22"/>
        </w:rPr>
        <w:t xml:space="preserve">n practices, and </w:t>
      </w:r>
      <w:r>
        <w:rPr>
          <w:rFonts w:ascii="Times New Roman" w:eastAsia="Times New Roman" w:hAnsi="Times New Roman" w:cs="Times New Roman"/>
          <w:color w:val="000000"/>
          <w:sz w:val="22"/>
          <w:szCs w:val="22"/>
        </w:rPr>
        <w:lastRenderedPageBreak/>
        <w:t>managing uncertainty during the project lifecycle. Studies on large-scale government projects have demonstrated that realistic costing is not an independent technical pursuit since front-end estimating is accomplished by data accessibility</w:t>
      </w:r>
      <w:r>
        <w:rPr>
          <w:rFonts w:ascii="Times New Roman" w:eastAsia="Times New Roman" w:hAnsi="Times New Roman" w:cs="Times New Roman"/>
          <w:color w:val="000000"/>
          <w:sz w:val="22"/>
          <w:szCs w:val="22"/>
        </w:rPr>
        <w:t>, organizational functioning, and management of uncertainty of budget and approval systems (Berg et al., 2025). Connected literature in Egypt on value management also shows that proactive and systematic management strategies can enhance control over projec</w:t>
      </w:r>
      <w:r>
        <w:rPr>
          <w:rFonts w:ascii="Times New Roman" w:eastAsia="Times New Roman" w:hAnsi="Times New Roman" w:cs="Times New Roman"/>
          <w:color w:val="000000"/>
          <w:sz w:val="22"/>
          <w:szCs w:val="22"/>
        </w:rPr>
        <w:t>t cost, which means that improvement in production is based on the project frame, probe, and governance prior to and during implementation (</w:t>
      </w:r>
      <w:proofErr w:type="spellStart"/>
      <w:r>
        <w:rPr>
          <w:rFonts w:ascii="Times New Roman" w:eastAsia="Times New Roman" w:hAnsi="Times New Roman" w:cs="Times New Roman"/>
          <w:color w:val="000000"/>
          <w:sz w:val="22"/>
          <w:szCs w:val="22"/>
        </w:rPr>
        <w:t>Khodeir</w:t>
      </w:r>
      <w:proofErr w:type="spellEnd"/>
      <w:r>
        <w:rPr>
          <w:rFonts w:ascii="Times New Roman" w:eastAsia="Times New Roman" w:hAnsi="Times New Roman" w:cs="Times New Roman"/>
          <w:color w:val="000000"/>
          <w:sz w:val="22"/>
          <w:szCs w:val="22"/>
        </w:rPr>
        <w:t xml:space="preserve"> &amp; El </w:t>
      </w:r>
      <w:proofErr w:type="spellStart"/>
      <w:r>
        <w:rPr>
          <w:rFonts w:ascii="Times New Roman" w:eastAsia="Times New Roman" w:hAnsi="Times New Roman" w:cs="Times New Roman"/>
          <w:color w:val="000000"/>
          <w:sz w:val="22"/>
          <w:szCs w:val="22"/>
        </w:rPr>
        <w:t>Ghandour</w:t>
      </w:r>
      <w:proofErr w:type="spellEnd"/>
      <w:r>
        <w:rPr>
          <w:rFonts w:ascii="Times New Roman" w:eastAsia="Times New Roman" w:hAnsi="Times New Roman" w:cs="Times New Roman"/>
          <w:color w:val="000000"/>
          <w:sz w:val="22"/>
          <w:szCs w:val="22"/>
        </w:rPr>
        <w:t xml:space="preserve">, 2019). In that regard, the problem with infrastructural projects going out of control is not </w:t>
      </w:r>
      <w:r>
        <w:rPr>
          <w:rFonts w:ascii="Times New Roman" w:eastAsia="Times New Roman" w:hAnsi="Times New Roman" w:cs="Times New Roman"/>
          <w:color w:val="000000"/>
          <w:sz w:val="22"/>
          <w:szCs w:val="22"/>
        </w:rPr>
        <w:t>merely that they do so too late, but that, traditionally, management structures are so ill-configured that when issues emerge, they are identified reactively and managed using instruments and tools less responsive to the changing delivery factors. Figure 2</w:t>
      </w:r>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summarises</w:t>
      </w:r>
      <w:proofErr w:type="spellEnd"/>
      <w:r>
        <w:rPr>
          <w:rFonts w:ascii="Times New Roman" w:eastAsia="Times New Roman" w:hAnsi="Times New Roman" w:cs="Times New Roman"/>
          <w:color w:val="000000"/>
          <w:sz w:val="22"/>
          <w:szCs w:val="22"/>
        </w:rPr>
        <w:t xml:space="preserve"> the core governance and delivery conditions that consistently lead to schedule delays and cost overruns in infrastructure projects.</w:t>
      </w:r>
    </w:p>
    <w:p w14:paraId="72FF851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drawing>
          <wp:inline distT="0" distB="0" distL="0" distR="0" wp14:anchorId="1D183217" wp14:editId="44466BDB">
            <wp:extent cx="4838700" cy="3225800"/>
            <wp:effectExtent l="0" t="0" r="0" b="0"/>
            <wp:docPr id="9270311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38700" cy="3225800"/>
                    </a:xfrm>
                    <a:prstGeom prst="rect">
                      <a:avLst/>
                    </a:prstGeom>
                    <a:ln/>
                  </pic:spPr>
                </pic:pic>
              </a:graphicData>
            </a:graphic>
          </wp:inline>
        </w:drawing>
      </w:r>
    </w:p>
    <w:p w14:paraId="4FA1368B" w14:textId="77777777" w:rsidR="00506EDB" w:rsidRDefault="00EA765F">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Figure 1. Conceptual summary of recurrent governance and delivery factors underlying schedule delays and cost </w:t>
      </w:r>
      <w:r>
        <w:rPr>
          <w:rFonts w:ascii="Times New Roman" w:eastAsia="Times New Roman" w:hAnsi="Times New Roman" w:cs="Times New Roman"/>
          <w:b/>
          <w:bCs/>
          <w:color w:val="000000"/>
          <w:sz w:val="22"/>
          <w:szCs w:val="22"/>
        </w:rPr>
        <w:t>overruns in infrastructure projects.</w:t>
      </w:r>
    </w:p>
    <w:p w14:paraId="76B64A1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Meanwhile, infrastructure delivery is entering an acceleration stage of digital transformation. A growing number of digital tools, coordination through platforms, and data-intensive management practices are becoming mor</w:t>
      </w:r>
      <w:r>
        <w:rPr>
          <w:rFonts w:ascii="Times New Roman" w:eastAsia="Times New Roman" w:hAnsi="Times New Roman" w:cs="Times New Roman"/>
          <w:color w:val="000000"/>
          <w:sz w:val="22"/>
          <w:szCs w:val="22"/>
        </w:rPr>
        <w:t>e and more prominent features of project environments, but there is still an uneven integration of them in project governance (Chen et al., 2025). In construction, the value of digital transformation has been connected to the necessity to redesign stakehol</w:t>
      </w:r>
      <w:r>
        <w:rPr>
          <w:rFonts w:ascii="Times New Roman" w:eastAsia="Times New Roman" w:hAnsi="Times New Roman" w:cs="Times New Roman"/>
          <w:color w:val="000000"/>
          <w:sz w:val="22"/>
          <w:szCs w:val="22"/>
        </w:rPr>
        <w:t>der processes, enhance communication, and reinforce project-wide flows of information instead of simply introducing isolated technologies (</w:t>
      </w:r>
      <w:proofErr w:type="spellStart"/>
      <w:r>
        <w:rPr>
          <w:rFonts w:ascii="Times New Roman" w:eastAsia="Times New Roman" w:hAnsi="Times New Roman" w:cs="Times New Roman"/>
          <w:color w:val="000000"/>
          <w:sz w:val="22"/>
          <w:szCs w:val="22"/>
        </w:rPr>
        <w:t>Prebanić</w:t>
      </w:r>
      <w:proofErr w:type="spellEnd"/>
      <w:r>
        <w:rPr>
          <w:rFonts w:ascii="Times New Roman" w:eastAsia="Times New Roman" w:hAnsi="Times New Roman" w:cs="Times New Roman"/>
          <w:color w:val="000000"/>
          <w:sz w:val="22"/>
          <w:szCs w:val="22"/>
        </w:rPr>
        <w:t xml:space="preserve"> &amp; </w:t>
      </w:r>
      <w:proofErr w:type="spellStart"/>
      <w:r>
        <w:rPr>
          <w:rFonts w:ascii="Times New Roman" w:eastAsia="Times New Roman" w:hAnsi="Times New Roman" w:cs="Times New Roman"/>
          <w:color w:val="000000"/>
          <w:sz w:val="22"/>
          <w:szCs w:val="22"/>
        </w:rPr>
        <w:t>Vukomanović</w:t>
      </w:r>
      <w:proofErr w:type="spellEnd"/>
      <w:r>
        <w:rPr>
          <w:rFonts w:ascii="Times New Roman" w:eastAsia="Times New Roman" w:hAnsi="Times New Roman" w:cs="Times New Roman"/>
          <w:color w:val="000000"/>
          <w:sz w:val="22"/>
          <w:szCs w:val="22"/>
        </w:rPr>
        <w:t>, 2021). Digital transformation readiness research also indicates that management, policy, tech</w:t>
      </w:r>
      <w:r>
        <w:rPr>
          <w:rFonts w:ascii="Times New Roman" w:eastAsia="Times New Roman" w:hAnsi="Times New Roman" w:cs="Times New Roman"/>
          <w:color w:val="000000"/>
          <w:sz w:val="22"/>
          <w:szCs w:val="22"/>
        </w:rPr>
        <w:t>nology, and infrastructure states during project phases contribute to successful transformation (</w:t>
      </w:r>
      <w:proofErr w:type="spellStart"/>
      <w:r>
        <w:rPr>
          <w:rFonts w:ascii="Times New Roman" w:eastAsia="Times New Roman" w:hAnsi="Times New Roman" w:cs="Times New Roman"/>
          <w:color w:val="000000"/>
          <w:sz w:val="22"/>
          <w:szCs w:val="22"/>
        </w:rPr>
        <w:t>Naji</w:t>
      </w:r>
      <w:proofErr w:type="spellEnd"/>
      <w:r>
        <w:rPr>
          <w:rFonts w:ascii="Times New Roman" w:eastAsia="Times New Roman" w:hAnsi="Times New Roman" w:cs="Times New Roman"/>
          <w:color w:val="000000"/>
          <w:sz w:val="22"/>
          <w:szCs w:val="22"/>
        </w:rPr>
        <w:t xml:space="preserve"> et al., 2024). In this framework, artificial intelligence and associated analytical systems are acquiring focus as strengthening risk management, predicti</w:t>
      </w:r>
      <w:r>
        <w:rPr>
          <w:rFonts w:ascii="Times New Roman" w:eastAsia="Times New Roman" w:hAnsi="Times New Roman" w:cs="Times New Roman"/>
          <w:color w:val="000000"/>
          <w:sz w:val="22"/>
          <w:szCs w:val="22"/>
        </w:rPr>
        <w:t>on, and decision support techniques, despite their limited relevance to date due to the quality of the data, interpretability, and capacity issues (Tian et al., 2025). That said, the context behind this review is practical and strategic: infrastructure del</w:t>
      </w:r>
      <w:r>
        <w:rPr>
          <w:rFonts w:ascii="Times New Roman" w:eastAsia="Times New Roman" w:hAnsi="Times New Roman" w:cs="Times New Roman"/>
          <w:color w:val="000000"/>
          <w:sz w:val="22"/>
          <w:szCs w:val="22"/>
        </w:rPr>
        <w:t xml:space="preserve">ivery is under sustained cost and time </w:t>
      </w:r>
      <w:r>
        <w:rPr>
          <w:rFonts w:ascii="Times New Roman" w:eastAsia="Times New Roman" w:hAnsi="Times New Roman" w:cs="Times New Roman"/>
          <w:color w:val="000000"/>
          <w:sz w:val="22"/>
          <w:szCs w:val="22"/>
        </w:rPr>
        <w:lastRenderedPageBreak/>
        <w:t>pressure, and a digital transformation is posing fresh opportunities of applying projects risk management that is more anticipatory and more data-driven.</w:t>
      </w:r>
    </w:p>
    <w:p w14:paraId="4A4514CB"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 Methodology</w:t>
      </w:r>
    </w:p>
    <w:p w14:paraId="573B91A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2.1 Review design and reporting approach</w:t>
      </w:r>
    </w:p>
    <w:p w14:paraId="23508333"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res</w:t>
      </w:r>
      <w:r>
        <w:rPr>
          <w:rFonts w:ascii="Times New Roman" w:eastAsia="Times New Roman" w:hAnsi="Times New Roman" w:cs="Times New Roman"/>
          <w:color w:val="000000"/>
          <w:sz w:val="22"/>
          <w:szCs w:val="22"/>
        </w:rPr>
        <w:t>earch followed a scoping review design by mapping the scope, nature, and use of evidence on the topic of data-based risk modelling in infrastructure project delivery, with a specific focus on schedule and cost overruns. The use of a scoping approach was de</w:t>
      </w:r>
      <w:r>
        <w:rPr>
          <w:rFonts w:ascii="Times New Roman" w:eastAsia="Times New Roman" w:hAnsi="Times New Roman" w:cs="Times New Roman"/>
          <w:color w:val="000000"/>
          <w:sz w:val="22"/>
          <w:szCs w:val="22"/>
        </w:rPr>
        <w:t>emed suitable due to the fact that the field covers a wide scope and there is no one methodological approach that would adequately capture this and the associated heterogeneity of infrastructure settings, model families, outcome measures, and implementatio</w:t>
      </w:r>
      <w:r>
        <w:rPr>
          <w:rFonts w:ascii="Times New Roman" w:eastAsia="Times New Roman" w:hAnsi="Times New Roman" w:cs="Times New Roman"/>
          <w:color w:val="000000"/>
          <w:sz w:val="22"/>
          <w:szCs w:val="22"/>
        </w:rPr>
        <w:t>n settings. Instead of estimating a pooled effect, the aim of the review was to determine how data-driven methods have been applied, what their risk factors they capture, how their outputs are validated, and to what extent does that support their mitigatio</w:t>
      </w:r>
      <w:r>
        <w:rPr>
          <w:rFonts w:ascii="Times New Roman" w:eastAsia="Times New Roman" w:hAnsi="Times New Roman" w:cs="Times New Roman"/>
          <w:color w:val="000000"/>
          <w:sz w:val="22"/>
          <w:szCs w:val="22"/>
        </w:rPr>
        <w:t>n and decision-making in practice.</w:t>
      </w:r>
    </w:p>
    <w:p w14:paraId="62C5FDD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 ensure that the review questions, eligibility criteria, and evidence synthesis align with the scope of the study, the review was planned and structured with the Population-Concept-Context (PCC) tool. The process of rep</w:t>
      </w:r>
      <w:r>
        <w:rPr>
          <w:rFonts w:ascii="Times New Roman" w:eastAsia="Times New Roman" w:hAnsi="Times New Roman" w:cs="Times New Roman"/>
          <w:color w:val="000000"/>
          <w:sz w:val="22"/>
          <w:szCs w:val="22"/>
        </w:rPr>
        <w:t>orting was conducted based on the PRISMA-</w:t>
      </w:r>
      <w:proofErr w:type="spellStart"/>
      <w:r>
        <w:rPr>
          <w:rFonts w:ascii="Times New Roman" w:eastAsia="Times New Roman" w:hAnsi="Times New Roman" w:cs="Times New Roman"/>
          <w:color w:val="000000"/>
          <w:sz w:val="22"/>
          <w:szCs w:val="22"/>
        </w:rPr>
        <w:t>ScR</w:t>
      </w:r>
      <w:proofErr w:type="spellEnd"/>
      <w:r>
        <w:rPr>
          <w:rFonts w:ascii="Times New Roman" w:eastAsia="Times New Roman" w:hAnsi="Times New Roman" w:cs="Times New Roman"/>
          <w:color w:val="000000"/>
          <w:sz w:val="22"/>
          <w:szCs w:val="22"/>
        </w:rPr>
        <w:t xml:space="preserve"> principles to provide clear documentation of the search, screening, selection, and charting procedure.</w:t>
      </w:r>
    </w:p>
    <w:p w14:paraId="60A7F16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2.2 Review aim and questions</w:t>
      </w:r>
    </w:p>
    <w:p w14:paraId="25E5D803"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purpose of this review was to map data-driven techniques in predicting and </w:t>
      </w:r>
      <w:r>
        <w:rPr>
          <w:rFonts w:ascii="Times New Roman" w:eastAsia="Times New Roman" w:hAnsi="Times New Roman" w:cs="Times New Roman"/>
          <w:color w:val="000000"/>
          <w:sz w:val="22"/>
          <w:szCs w:val="22"/>
        </w:rPr>
        <w:t>managing schedule and cost risks in infrastructure projects, with consideration to risk drivers, modeling techniques, forecasting precision, as well as decision-support integration to mitigate planning.</w:t>
      </w:r>
    </w:p>
    <w:p w14:paraId="7D9CB6C4"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review was guided by three questions:</w:t>
      </w:r>
    </w:p>
    <w:p w14:paraId="001C6894" w14:textId="77777777" w:rsidR="00506EDB" w:rsidRDefault="00EA765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What modeli</w:t>
      </w:r>
      <w:r>
        <w:rPr>
          <w:rFonts w:ascii="Times New Roman" w:eastAsia="Times New Roman" w:hAnsi="Times New Roman" w:cs="Times New Roman"/>
          <w:color w:val="000000"/>
          <w:sz w:val="22"/>
          <w:szCs w:val="22"/>
        </w:rPr>
        <w:t>ng approaches are used for schedule and cost risk prediction in infrastructure delivery, and what inputs are most common?</w:t>
      </w:r>
    </w:p>
    <w:p w14:paraId="5CE4B47B" w14:textId="77777777" w:rsidR="00506EDB" w:rsidRDefault="00EA765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Which risk factors recur across project types, and how are they quantified?</w:t>
      </w:r>
    </w:p>
    <w:p w14:paraId="4CECADCC" w14:textId="77777777" w:rsidR="00506EDB" w:rsidRDefault="00EA765F">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How are models validated, and how are outputs operationali</w:t>
      </w:r>
      <w:r>
        <w:rPr>
          <w:rFonts w:ascii="Times New Roman" w:eastAsia="Times New Roman" w:hAnsi="Times New Roman" w:cs="Times New Roman"/>
          <w:color w:val="000000"/>
          <w:sz w:val="22"/>
          <w:szCs w:val="22"/>
        </w:rPr>
        <w:t>zed for early warning, contingency setting, and mitigation action?</w:t>
      </w:r>
    </w:p>
    <w:p w14:paraId="2ED44E8A"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2.3 Eligibility criteria</w:t>
      </w:r>
    </w:p>
    <w:p w14:paraId="21D5DF6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PCC framework was used to develop the eligibility criteria, ensuring consistency between the study aim and the included evidence.</w:t>
      </w:r>
    </w:p>
    <w:p w14:paraId="24E808A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Population:</w:t>
      </w:r>
      <w:r>
        <w:rPr>
          <w:rFonts w:ascii="Times New Roman" w:eastAsia="Times New Roman" w:hAnsi="Times New Roman" w:cs="Times New Roman"/>
          <w:color w:val="000000"/>
          <w:sz w:val="22"/>
          <w:szCs w:val="22"/>
        </w:rPr>
        <w:t xml:space="preserve"> Studies were eligi</w:t>
      </w:r>
      <w:r>
        <w:rPr>
          <w:rFonts w:ascii="Times New Roman" w:eastAsia="Times New Roman" w:hAnsi="Times New Roman" w:cs="Times New Roman"/>
          <w:color w:val="000000"/>
          <w:sz w:val="22"/>
          <w:szCs w:val="22"/>
        </w:rPr>
        <w:t>ble if they focused on infrastructure projects, infrastructure-related delivery systems, or portfolios of infrastructure. These projects included roads, irrigation systems, highways, railways, public buildings, tunnels, marine works, metro systems, utiliti</w:t>
      </w:r>
      <w:r>
        <w:rPr>
          <w:rFonts w:ascii="Times New Roman" w:eastAsia="Times New Roman" w:hAnsi="Times New Roman" w:cs="Times New Roman"/>
          <w:color w:val="000000"/>
          <w:sz w:val="22"/>
          <w:szCs w:val="22"/>
        </w:rPr>
        <w:t>es, educational infrastructure and other public works or heavy civil engineering projects.</w:t>
      </w:r>
    </w:p>
    <w:p w14:paraId="74A1864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Concept:</w:t>
      </w:r>
      <w:r>
        <w:rPr>
          <w:rFonts w:ascii="Times New Roman" w:eastAsia="Times New Roman" w:hAnsi="Times New Roman" w:cs="Times New Roman"/>
          <w:color w:val="000000"/>
          <w:sz w:val="22"/>
          <w:szCs w:val="22"/>
        </w:rPr>
        <w:t xml:space="preserve"> The review included studies that applied data-driven, predictive, probabilistic or quantitative modelling approaches to assess delivery risk. Eligible metho</w:t>
      </w:r>
      <w:r>
        <w:rPr>
          <w:rFonts w:ascii="Times New Roman" w:eastAsia="Times New Roman" w:hAnsi="Times New Roman" w:cs="Times New Roman"/>
          <w:color w:val="000000"/>
          <w:sz w:val="22"/>
          <w:szCs w:val="22"/>
        </w:rPr>
        <w:t xml:space="preserve">ds included ensemble learning, machine learning, hidden Markov models, Monte Carlo simulation, Bayesian networks, earned value-based </w:t>
      </w:r>
      <w:r>
        <w:rPr>
          <w:rFonts w:ascii="Times New Roman" w:eastAsia="Times New Roman" w:hAnsi="Times New Roman" w:cs="Times New Roman"/>
          <w:color w:val="000000"/>
          <w:sz w:val="22"/>
          <w:szCs w:val="22"/>
        </w:rPr>
        <w:lastRenderedPageBreak/>
        <w:t>forecasting, fuzzy systems, and other hybrid or analytical methods used to predict, estimate, quantify, or monitor schedule</w:t>
      </w:r>
      <w:r>
        <w:rPr>
          <w:rFonts w:ascii="Times New Roman" w:eastAsia="Times New Roman" w:hAnsi="Times New Roman" w:cs="Times New Roman"/>
          <w:color w:val="000000"/>
          <w:sz w:val="22"/>
          <w:szCs w:val="22"/>
        </w:rPr>
        <w:t xml:space="preserve"> and cost risk.</w:t>
      </w:r>
    </w:p>
    <w:p w14:paraId="73AA0D50"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Context:</w:t>
      </w:r>
      <w:r>
        <w:rPr>
          <w:rFonts w:ascii="Times New Roman" w:eastAsia="Times New Roman" w:hAnsi="Times New Roman" w:cs="Times New Roman"/>
          <w:color w:val="000000"/>
          <w:sz w:val="22"/>
          <w:szCs w:val="22"/>
        </w:rPr>
        <w:t xml:space="preserve"> Studies were included if they addressed infrastructure project delivery in any country or income setting, and at any relevant stage of the project lifecycle, including procurement, monitoring, planning, construction, bidding, contr</w:t>
      </w:r>
      <w:r>
        <w:rPr>
          <w:rFonts w:ascii="Times New Roman" w:eastAsia="Times New Roman" w:hAnsi="Times New Roman" w:cs="Times New Roman"/>
          <w:color w:val="000000"/>
          <w:sz w:val="22"/>
          <w:szCs w:val="22"/>
        </w:rPr>
        <w:t>ol, or close-out.</w:t>
      </w:r>
    </w:p>
    <w:p w14:paraId="5DCDB211" w14:textId="19B4A1C4"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addition, only peer-reviewed journal articles published in English between 2015 and 2025 were considered. The review excluded systematic reviews, narrative reviews, scoping reviews, conference abstracts, editorials, without full papers</w:t>
      </w:r>
      <w:r>
        <w:rPr>
          <w:rFonts w:ascii="Times New Roman" w:eastAsia="Times New Roman" w:hAnsi="Times New Roman" w:cs="Times New Roman"/>
          <w:color w:val="000000"/>
          <w:sz w:val="22"/>
          <w:szCs w:val="22"/>
        </w:rPr>
        <w:t xml:space="preserve"> and non-peer-reviewed sources. Studies focusing solely on general risk discussion, pure finance, or investment modelling with no delivery-risk linkage, or descriptive overrun analysis without a predictive, probabilistic, or decision-support component were</w:t>
      </w:r>
      <w:r>
        <w:rPr>
          <w:rFonts w:ascii="Times New Roman" w:eastAsia="Times New Roman" w:hAnsi="Times New Roman" w:cs="Times New Roman"/>
          <w:color w:val="000000"/>
          <w:sz w:val="22"/>
          <w:szCs w:val="22"/>
        </w:rPr>
        <w:t xml:space="preserve"> also excluded.</w:t>
      </w:r>
    </w:p>
    <w:p w14:paraId="758A8754" w14:textId="2B699C14" w:rsidR="002B653A" w:rsidRPr="00EF5C6A" w:rsidRDefault="002B653A">
      <w:pPr>
        <w:jc w:val="both"/>
        <w:rPr>
          <w:rFonts w:ascii="Times New Roman" w:eastAsia="Times New Roman" w:hAnsi="Times New Roman" w:cs="Times New Roman"/>
          <w:b/>
          <w:bCs/>
          <w:color w:val="000000"/>
          <w:sz w:val="22"/>
          <w:szCs w:val="22"/>
        </w:rPr>
      </w:pPr>
      <w:r w:rsidRPr="00EF5C6A">
        <w:rPr>
          <w:rFonts w:ascii="Times New Roman" w:eastAsia="Times New Roman" w:hAnsi="Times New Roman" w:cs="Times New Roman"/>
          <w:b/>
          <w:bCs/>
          <w:color w:val="000000"/>
          <w:sz w:val="22"/>
          <w:szCs w:val="22"/>
        </w:rPr>
        <w:t>Table 1.</w:t>
      </w:r>
      <w:r w:rsidR="00111BFC">
        <w:rPr>
          <w:rFonts w:ascii="Times New Roman" w:eastAsia="Times New Roman" w:hAnsi="Times New Roman" w:cs="Times New Roman"/>
          <w:b/>
          <w:bCs/>
          <w:color w:val="000000"/>
          <w:sz w:val="22"/>
          <w:szCs w:val="22"/>
        </w:rPr>
        <w:t xml:space="preserve"> </w:t>
      </w:r>
      <w:r w:rsidR="00111BFC">
        <w:rPr>
          <w:rFonts w:ascii="Times New Roman" w:eastAsia="Times New Roman" w:hAnsi="Times New Roman" w:cs="Times New Roman"/>
          <w:b/>
          <w:bCs/>
          <w:sz w:val="22"/>
          <w:szCs w:val="22"/>
        </w:rPr>
        <w:t>Inclusion and Exclusion Criteria for different Items</w:t>
      </w:r>
    </w:p>
    <w:tbl>
      <w:tblPr>
        <w:tblStyle w:val="a"/>
        <w:tblW w:w="10350"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20"/>
        <w:gridCol w:w="5268"/>
        <w:gridCol w:w="3462"/>
      </w:tblGrid>
      <w:tr w:rsidR="00506EDB" w14:paraId="5438ABC0" w14:textId="77777777">
        <w:trPr>
          <w:jc w:val="center"/>
        </w:trPr>
        <w:tc>
          <w:tcPr>
            <w:tcW w:w="1620" w:type="dxa"/>
          </w:tcPr>
          <w:p w14:paraId="373527B1" w14:textId="77777777" w:rsidR="00506EDB" w:rsidRDefault="00EA765F">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Item</w:t>
            </w:r>
          </w:p>
        </w:tc>
        <w:tc>
          <w:tcPr>
            <w:tcW w:w="5268" w:type="dxa"/>
          </w:tcPr>
          <w:p w14:paraId="0D409243" w14:textId="77777777" w:rsidR="00506EDB" w:rsidRDefault="00EA765F">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Inclusion Criteria</w:t>
            </w:r>
          </w:p>
        </w:tc>
        <w:tc>
          <w:tcPr>
            <w:tcW w:w="3462" w:type="dxa"/>
          </w:tcPr>
          <w:p w14:paraId="0137C978" w14:textId="77777777" w:rsidR="00506EDB" w:rsidRDefault="00EA765F">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Exclusion Criteria</w:t>
            </w:r>
          </w:p>
        </w:tc>
      </w:tr>
      <w:tr w:rsidR="00506EDB" w14:paraId="76AA76B4" w14:textId="77777777">
        <w:trPr>
          <w:jc w:val="center"/>
        </w:trPr>
        <w:tc>
          <w:tcPr>
            <w:tcW w:w="1620" w:type="dxa"/>
          </w:tcPr>
          <w:p w14:paraId="1D21D692"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Population</w:t>
            </w:r>
          </w:p>
        </w:tc>
        <w:tc>
          <w:tcPr>
            <w:tcW w:w="5268" w:type="dxa"/>
          </w:tcPr>
          <w:p w14:paraId="36315A9C"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Infrastructure projects, infrastructure portfolios, or infrastructure-related delivery systems, including roads, highways, </w:t>
            </w:r>
            <w:r>
              <w:rPr>
                <w:rFonts w:ascii="Times New Roman" w:eastAsia="Times New Roman" w:hAnsi="Times New Roman" w:cs="Times New Roman"/>
                <w:sz w:val="22"/>
                <w:szCs w:val="22"/>
              </w:rPr>
              <w:t>railways, metro systems, marine works, utilities, irrigation systems, public buildings, educational infrastructure, and other public works or heavy civil projects</w:t>
            </w:r>
          </w:p>
        </w:tc>
        <w:tc>
          <w:tcPr>
            <w:tcW w:w="3462" w:type="dxa"/>
          </w:tcPr>
          <w:p w14:paraId="1E6DD5A9"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Non-infrastructure sectors; studies with no project-delivery relevance</w:t>
            </w:r>
          </w:p>
        </w:tc>
      </w:tr>
      <w:tr w:rsidR="00506EDB" w14:paraId="050467F9" w14:textId="77777777">
        <w:trPr>
          <w:jc w:val="center"/>
        </w:trPr>
        <w:tc>
          <w:tcPr>
            <w:tcW w:w="1620" w:type="dxa"/>
          </w:tcPr>
          <w:p w14:paraId="0498CE15"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Concept (Intervention</w:t>
            </w:r>
            <w:r>
              <w:rPr>
                <w:rFonts w:ascii="Times New Roman" w:eastAsia="Times New Roman" w:hAnsi="Times New Roman" w:cs="Times New Roman"/>
                <w:sz w:val="22"/>
                <w:szCs w:val="22"/>
              </w:rPr>
              <w:t>)</w:t>
            </w:r>
          </w:p>
        </w:tc>
        <w:tc>
          <w:tcPr>
            <w:tcW w:w="5268" w:type="dxa"/>
          </w:tcPr>
          <w:p w14:paraId="7526A450"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Data-driven or quantitative risk-modeling approaches used to predict, estimate, quantify, monitor, or manage schedule and/or cost risks, including machine learning, Bayesian networks, Monte Carlo simulation, hidden Markov models, earned value-based forec</w:t>
            </w:r>
            <w:r>
              <w:rPr>
                <w:rFonts w:ascii="Times New Roman" w:eastAsia="Times New Roman" w:hAnsi="Times New Roman" w:cs="Times New Roman"/>
                <w:sz w:val="22"/>
                <w:szCs w:val="22"/>
              </w:rPr>
              <w:t>asting, fuzzy systems, and hybrid analytics</w:t>
            </w:r>
          </w:p>
        </w:tc>
        <w:tc>
          <w:tcPr>
            <w:tcW w:w="3462" w:type="dxa"/>
          </w:tcPr>
          <w:p w14:paraId="667A831A"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Studies with no modeling component; purely descriptive overrun studies; correlational studies without predictive or decision-support value; finance-only or investment models with no delivery-risk linkage</w:t>
            </w:r>
          </w:p>
        </w:tc>
      </w:tr>
      <w:tr w:rsidR="00506EDB" w14:paraId="597CAA61" w14:textId="77777777">
        <w:trPr>
          <w:jc w:val="center"/>
        </w:trPr>
        <w:tc>
          <w:tcPr>
            <w:tcW w:w="1620" w:type="dxa"/>
          </w:tcPr>
          <w:p w14:paraId="151561AC"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Context</w:t>
            </w:r>
          </w:p>
        </w:tc>
        <w:tc>
          <w:tcPr>
            <w:tcW w:w="5268" w:type="dxa"/>
          </w:tcPr>
          <w:p w14:paraId="7050CF62"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Any country, any income setting, and any relevant project phase, including planning, bidding, procurement, construction, monitoring, control, and close-out</w:t>
            </w:r>
          </w:p>
        </w:tc>
        <w:tc>
          <w:tcPr>
            <w:tcW w:w="3462" w:type="dxa"/>
          </w:tcPr>
          <w:p w14:paraId="6730E2E0"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Contexts unrelated to infrastructure project delivery</w:t>
            </w:r>
          </w:p>
        </w:tc>
      </w:tr>
      <w:tr w:rsidR="00506EDB" w14:paraId="0A9778A0" w14:textId="77777777">
        <w:trPr>
          <w:jc w:val="center"/>
        </w:trPr>
        <w:tc>
          <w:tcPr>
            <w:tcW w:w="1620" w:type="dxa"/>
          </w:tcPr>
          <w:p w14:paraId="1EA12082"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Study Designs</w:t>
            </w:r>
          </w:p>
        </w:tc>
        <w:tc>
          <w:tcPr>
            <w:tcW w:w="5268" w:type="dxa"/>
          </w:tcPr>
          <w:p w14:paraId="2668E9D4"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Empirical peer-reviewed studie</w:t>
            </w:r>
            <w:r>
              <w:rPr>
                <w:rFonts w:ascii="Times New Roman" w:eastAsia="Times New Roman" w:hAnsi="Times New Roman" w:cs="Times New Roman"/>
                <w:sz w:val="22"/>
                <w:szCs w:val="22"/>
              </w:rPr>
              <w:t>s, including case studies, retrospective project database analyses, model-development studies with validation, mixed-method empirical studies, and implementation-oriented analytics studies</w:t>
            </w:r>
          </w:p>
        </w:tc>
        <w:tc>
          <w:tcPr>
            <w:tcW w:w="3462" w:type="dxa"/>
          </w:tcPr>
          <w:p w14:paraId="21DF3240"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Narrative reviews, systematic reviews, scoping reviews, editorials,</w:t>
            </w:r>
            <w:r>
              <w:rPr>
                <w:rFonts w:ascii="Times New Roman" w:eastAsia="Times New Roman" w:hAnsi="Times New Roman" w:cs="Times New Roman"/>
                <w:sz w:val="22"/>
                <w:szCs w:val="22"/>
              </w:rPr>
              <w:t xml:space="preserve"> letters, protocols without results, conference abstracts without full text</w:t>
            </w:r>
          </w:p>
        </w:tc>
      </w:tr>
      <w:tr w:rsidR="00506EDB" w14:paraId="72E00F9B" w14:textId="77777777">
        <w:trPr>
          <w:jc w:val="center"/>
        </w:trPr>
        <w:tc>
          <w:tcPr>
            <w:tcW w:w="1620" w:type="dxa"/>
          </w:tcPr>
          <w:p w14:paraId="6FFB4E84"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Outcomes</w:t>
            </w:r>
          </w:p>
        </w:tc>
        <w:tc>
          <w:tcPr>
            <w:tcW w:w="5268" w:type="dxa"/>
          </w:tcPr>
          <w:p w14:paraId="1700073B"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Schedule delay, time overrun, cost overrun, cost variance, duration variance, liquidated damages, contingency estimates, risk probability, early warning outputs, mitigati</w:t>
            </w:r>
            <w:r>
              <w:rPr>
                <w:rFonts w:ascii="Times New Roman" w:eastAsia="Times New Roman" w:hAnsi="Times New Roman" w:cs="Times New Roman"/>
                <w:sz w:val="22"/>
                <w:szCs w:val="22"/>
              </w:rPr>
              <w:t>on prioritization, or comparable delivery-risk measures</w:t>
            </w:r>
          </w:p>
        </w:tc>
        <w:tc>
          <w:tcPr>
            <w:tcW w:w="3462" w:type="dxa"/>
          </w:tcPr>
          <w:p w14:paraId="77221DD9"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Outcomes unrelated to infrastructure delivery performance; theoretical models with no usable project outcome</w:t>
            </w:r>
          </w:p>
        </w:tc>
      </w:tr>
      <w:tr w:rsidR="00506EDB" w14:paraId="25FD77B0" w14:textId="77777777">
        <w:trPr>
          <w:jc w:val="center"/>
        </w:trPr>
        <w:tc>
          <w:tcPr>
            <w:tcW w:w="1620" w:type="dxa"/>
          </w:tcPr>
          <w:p w14:paraId="18C39E3A"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Publication Type</w:t>
            </w:r>
          </w:p>
        </w:tc>
        <w:tc>
          <w:tcPr>
            <w:tcW w:w="5268" w:type="dxa"/>
          </w:tcPr>
          <w:p w14:paraId="2399E6B9"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Peer-reviewed journal articles</w:t>
            </w:r>
          </w:p>
        </w:tc>
        <w:tc>
          <w:tcPr>
            <w:tcW w:w="3462" w:type="dxa"/>
          </w:tcPr>
          <w:p w14:paraId="6234FDE7"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Preprints, theses, reports, guidelines, </w:t>
            </w:r>
            <w:r>
              <w:rPr>
                <w:rFonts w:ascii="Times New Roman" w:eastAsia="Times New Roman" w:hAnsi="Times New Roman" w:cs="Times New Roman"/>
                <w:sz w:val="22"/>
                <w:szCs w:val="22"/>
              </w:rPr>
              <w:t>books/chapters, and grey literature</w:t>
            </w:r>
          </w:p>
        </w:tc>
      </w:tr>
      <w:tr w:rsidR="00506EDB" w14:paraId="2B9FC9FF" w14:textId="77777777">
        <w:trPr>
          <w:jc w:val="center"/>
        </w:trPr>
        <w:tc>
          <w:tcPr>
            <w:tcW w:w="1620" w:type="dxa"/>
          </w:tcPr>
          <w:p w14:paraId="07E55C94"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Language</w:t>
            </w:r>
          </w:p>
        </w:tc>
        <w:tc>
          <w:tcPr>
            <w:tcW w:w="5268" w:type="dxa"/>
          </w:tcPr>
          <w:p w14:paraId="051D51BE"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English</w:t>
            </w:r>
          </w:p>
        </w:tc>
        <w:tc>
          <w:tcPr>
            <w:tcW w:w="3462" w:type="dxa"/>
          </w:tcPr>
          <w:p w14:paraId="50D58D6F"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Non-English</w:t>
            </w:r>
          </w:p>
        </w:tc>
      </w:tr>
      <w:tr w:rsidR="00506EDB" w14:paraId="5C84FC91" w14:textId="77777777">
        <w:trPr>
          <w:jc w:val="center"/>
        </w:trPr>
        <w:tc>
          <w:tcPr>
            <w:tcW w:w="1620" w:type="dxa"/>
          </w:tcPr>
          <w:p w14:paraId="2C14F9FB"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Timeframe</w:t>
            </w:r>
          </w:p>
        </w:tc>
        <w:tc>
          <w:tcPr>
            <w:tcW w:w="5268" w:type="dxa"/>
          </w:tcPr>
          <w:p w14:paraId="3BC6CA75"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2010-2025</w:t>
            </w:r>
          </w:p>
        </w:tc>
        <w:tc>
          <w:tcPr>
            <w:tcW w:w="3462" w:type="dxa"/>
          </w:tcPr>
          <w:p w14:paraId="5451ADCA"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Studies published outside this timeframe</w:t>
            </w:r>
          </w:p>
        </w:tc>
      </w:tr>
    </w:tbl>
    <w:p w14:paraId="74DA2CE0" w14:textId="77777777" w:rsidR="00506EDB" w:rsidRDefault="00506EDB">
      <w:pPr>
        <w:jc w:val="both"/>
        <w:rPr>
          <w:rFonts w:ascii="Times New Roman" w:eastAsia="Times New Roman" w:hAnsi="Times New Roman" w:cs="Times New Roman"/>
          <w:color w:val="000000"/>
          <w:sz w:val="22"/>
          <w:szCs w:val="22"/>
        </w:rPr>
      </w:pPr>
    </w:p>
    <w:p w14:paraId="70F88449"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2.4 Information Sources</w:t>
      </w:r>
    </w:p>
    <w:p w14:paraId="08F7C88D"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The retrieval process was restricted to peer-reviewed literature indexed in three selected databases, </w:t>
      </w:r>
      <w:r>
        <w:rPr>
          <w:rFonts w:ascii="Times New Roman" w:eastAsia="Times New Roman" w:hAnsi="Times New Roman" w:cs="Times New Roman"/>
          <w:color w:val="000000"/>
          <w:sz w:val="22"/>
          <w:szCs w:val="22"/>
        </w:rPr>
        <w:t>which cover project management, civil engineering, construction analytics, infrastructure delivery research, and transport systems in a broad and complementary way. The following bibliographic databases were consulted: Scopus, Engineering Village (</w:t>
      </w:r>
      <w:proofErr w:type="spellStart"/>
      <w:r>
        <w:rPr>
          <w:rFonts w:ascii="Times New Roman" w:eastAsia="Times New Roman" w:hAnsi="Times New Roman" w:cs="Times New Roman"/>
          <w:color w:val="000000"/>
          <w:sz w:val="22"/>
          <w:szCs w:val="22"/>
        </w:rPr>
        <w:t>Compende</w:t>
      </w:r>
      <w:r>
        <w:rPr>
          <w:rFonts w:ascii="Times New Roman" w:eastAsia="Times New Roman" w:hAnsi="Times New Roman" w:cs="Times New Roman"/>
          <w:color w:val="000000"/>
          <w:sz w:val="22"/>
          <w:szCs w:val="22"/>
        </w:rPr>
        <w:t>x</w:t>
      </w:r>
      <w:proofErr w:type="spellEnd"/>
      <w:r>
        <w:rPr>
          <w:rFonts w:ascii="Times New Roman" w:eastAsia="Times New Roman" w:hAnsi="Times New Roman" w:cs="Times New Roman"/>
          <w:color w:val="000000"/>
          <w:sz w:val="22"/>
          <w:szCs w:val="22"/>
        </w:rPr>
        <w:t>), and the Web of Science Core Collection. No grey literature sources were consulted. All retrieved records were exported to reference-management software for de-duplication prior to screening. Screening was conducted first at the title/abstract level and</w:t>
      </w:r>
      <w:r>
        <w:rPr>
          <w:rFonts w:ascii="Times New Roman" w:eastAsia="Times New Roman" w:hAnsi="Times New Roman" w:cs="Times New Roman"/>
          <w:color w:val="000000"/>
          <w:sz w:val="22"/>
          <w:szCs w:val="22"/>
        </w:rPr>
        <w:t xml:space="preserve"> then at the full-text level, with eligibility decisions guided by the PCC criteria.</w:t>
      </w:r>
    </w:p>
    <w:p w14:paraId="24D58F95"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2.5 Search Strategy</w:t>
      </w:r>
    </w:p>
    <w:p w14:paraId="2FF2101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Database-specific search strategies were developed by combining free-text terms and database-appropriate indexing conventions for the PCC elements. Pri</w:t>
      </w:r>
      <w:r>
        <w:rPr>
          <w:rFonts w:ascii="Times New Roman" w:eastAsia="Times New Roman" w:hAnsi="Times New Roman" w:cs="Times New Roman"/>
          <w:color w:val="000000"/>
          <w:sz w:val="22"/>
          <w:szCs w:val="22"/>
        </w:rPr>
        <w:t xml:space="preserve">ority was given to sensitivity to ensure that studies employing different risk terminology, infrastructure labels, and modelling approaches were captured. The search was then restricted to English-language, peer-reviewed journal articles published between </w:t>
      </w:r>
      <w:r>
        <w:rPr>
          <w:rFonts w:ascii="Times New Roman" w:eastAsia="Times New Roman" w:hAnsi="Times New Roman" w:cs="Times New Roman"/>
          <w:color w:val="000000"/>
          <w:sz w:val="22"/>
          <w:szCs w:val="22"/>
        </w:rPr>
        <w:t>2015 and 2025 using filters. The search strings were tested and refined to improve retrieval across model families and infrastructure contexts. Table 2 presents the search strings used in each database.</w:t>
      </w:r>
    </w:p>
    <w:p w14:paraId="7460D8D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Table 2. Search String</w:t>
      </w:r>
    </w:p>
    <w:tbl>
      <w:tblPr>
        <w:tblStyle w:val="a0"/>
        <w:tblW w:w="11160" w:type="dxa"/>
        <w:tblInd w:w="-90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506EDB" w14:paraId="37E7B725" w14:textId="77777777">
        <w:trPr>
          <w:trHeight w:val="404"/>
        </w:trPr>
        <w:tc>
          <w:tcPr>
            <w:tcW w:w="2340" w:type="dxa"/>
            <w:tcBorders>
              <w:top w:val="single" w:sz="4" w:space="0" w:color="000000"/>
              <w:bottom w:val="single" w:sz="4" w:space="0" w:color="000000"/>
            </w:tcBorders>
          </w:tcPr>
          <w:p w14:paraId="426C7632" w14:textId="77777777" w:rsidR="00506EDB" w:rsidRDefault="00EA765F">
            <w:pPr>
              <w:spacing w:after="1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Database</w:t>
            </w:r>
          </w:p>
        </w:tc>
        <w:tc>
          <w:tcPr>
            <w:tcW w:w="8820" w:type="dxa"/>
            <w:tcBorders>
              <w:top w:val="single" w:sz="4" w:space="0" w:color="000000"/>
              <w:bottom w:val="single" w:sz="4" w:space="0" w:color="000000"/>
            </w:tcBorders>
          </w:tcPr>
          <w:p w14:paraId="55FF22D2" w14:textId="77777777" w:rsidR="00506EDB" w:rsidRDefault="00EA765F">
            <w:pPr>
              <w:spacing w:after="1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Search string</w:t>
            </w:r>
          </w:p>
        </w:tc>
      </w:tr>
      <w:tr w:rsidR="00506EDB" w14:paraId="3C326E0D" w14:textId="77777777">
        <w:tc>
          <w:tcPr>
            <w:tcW w:w="2340" w:type="dxa"/>
            <w:tcBorders>
              <w:top w:val="single" w:sz="4" w:space="0" w:color="000000"/>
            </w:tcBorders>
          </w:tcPr>
          <w:p w14:paraId="4F69CCA6"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Scopus</w:t>
            </w:r>
          </w:p>
        </w:tc>
        <w:tc>
          <w:tcPr>
            <w:tcW w:w="8820" w:type="dxa"/>
            <w:tcBorders>
              <w:top w:val="single" w:sz="4" w:space="0" w:color="000000"/>
            </w:tcBorders>
          </w:tcPr>
          <w:p w14:paraId="28DCDDB7"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TITLE-ABS-KEY ( ("infrastructure project*" OR "construction project*" OR highway OR road OR railway OR rail OR metro OR tunnel OR bridge OR utility OR "public works" OR "public building*" OR "heavy civil" OR marine OR irrigation) AND ("cost overrun*" OR "</w:t>
            </w:r>
            <w:r>
              <w:rPr>
                <w:rFonts w:ascii="Times New Roman" w:eastAsia="Times New Roman" w:hAnsi="Times New Roman" w:cs="Times New Roman"/>
                <w:sz w:val="22"/>
                <w:szCs w:val="22"/>
              </w:rPr>
              <w:t>schedule overrun*" OR "time overrun*" OR delay* OR "cost variance" OR "duration variance" OR contingency OR "liquidated damages" OR "risk assessment" OR "risk prediction" OR forecasting) AND ("machine learning" OR "artificial intelligence" OR "Bayesian net</w:t>
            </w:r>
            <w:r>
              <w:rPr>
                <w:rFonts w:ascii="Times New Roman" w:eastAsia="Times New Roman" w:hAnsi="Times New Roman" w:cs="Times New Roman"/>
                <w:sz w:val="22"/>
                <w:szCs w:val="22"/>
              </w:rPr>
              <w:t>work*" OR "Monte Carlo" OR "earned value" OR "hidden Markov" OR fuzzy OR predictive OR probabilistic OR analytics) ) AND PUBYEAR &gt; 2014 AND PUBYEAR &lt; 2026 AND ( LIMIT-TO ( DOCTYPE, "</w:t>
            </w:r>
            <w:proofErr w:type="spellStart"/>
            <w:r>
              <w:rPr>
                <w:rFonts w:ascii="Times New Roman" w:eastAsia="Times New Roman" w:hAnsi="Times New Roman" w:cs="Times New Roman"/>
                <w:sz w:val="22"/>
                <w:szCs w:val="22"/>
              </w:rPr>
              <w:t>ar</w:t>
            </w:r>
            <w:proofErr w:type="spellEnd"/>
            <w:r>
              <w:rPr>
                <w:rFonts w:ascii="Times New Roman" w:eastAsia="Times New Roman" w:hAnsi="Times New Roman" w:cs="Times New Roman"/>
                <w:sz w:val="22"/>
                <w:szCs w:val="22"/>
              </w:rPr>
              <w:t>" ) ) AND ( LIMIT-TO ( LANGUAGE, "English" ) )</w:t>
            </w:r>
          </w:p>
        </w:tc>
      </w:tr>
      <w:tr w:rsidR="00506EDB" w14:paraId="435CFE40" w14:textId="77777777">
        <w:tc>
          <w:tcPr>
            <w:tcW w:w="2340" w:type="dxa"/>
          </w:tcPr>
          <w:p w14:paraId="75B4C7E1"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Web of Science Core Coll</w:t>
            </w:r>
            <w:r>
              <w:rPr>
                <w:rFonts w:ascii="Times New Roman" w:eastAsia="Times New Roman" w:hAnsi="Times New Roman" w:cs="Times New Roman"/>
                <w:b/>
                <w:bCs/>
                <w:sz w:val="22"/>
                <w:szCs w:val="22"/>
              </w:rPr>
              <w:t>ection</w:t>
            </w:r>
          </w:p>
        </w:tc>
        <w:tc>
          <w:tcPr>
            <w:tcW w:w="8820" w:type="dxa"/>
          </w:tcPr>
          <w:p w14:paraId="3364F6CE"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TS=((“infrastructure project*” OR “construction project*” OR highway OR road OR railway OR rail OR metro OR tunnel OR bridge OR utility OR “public works” OR “public building*” OR “heavy civil” OR marine OR irrigation) AND (“cost overrun*” OR “schedu</w:t>
            </w:r>
            <w:r>
              <w:rPr>
                <w:rFonts w:ascii="Times New Roman" w:eastAsia="Times New Roman" w:hAnsi="Times New Roman" w:cs="Times New Roman"/>
                <w:sz w:val="22"/>
                <w:szCs w:val="22"/>
              </w:rPr>
              <w:t>le overrun*” OR “time overrun*” OR delay* OR “cost variance” OR “duration variance” OR contingency OR “liquidated damages” OR “risk assessment” OR “risk prediction” OR forecasting) AND (“machine learning” OR “artificial intelligence” OR “Bayesian network*”</w:t>
            </w:r>
            <w:r>
              <w:rPr>
                <w:rFonts w:ascii="Times New Roman" w:eastAsia="Times New Roman" w:hAnsi="Times New Roman" w:cs="Times New Roman"/>
                <w:sz w:val="22"/>
                <w:szCs w:val="22"/>
              </w:rPr>
              <w:t xml:space="preserve"> OR “Monte Carlo” OR “earned value” OR “hidden Markov” OR fuzzy OR predictive OR probabilistic OR analytics)) Refined by: Document Types=(Article) and Languages=(English)</w:t>
            </w:r>
          </w:p>
        </w:tc>
      </w:tr>
      <w:tr w:rsidR="00506EDB" w14:paraId="7A1EB2E0" w14:textId="77777777">
        <w:tc>
          <w:tcPr>
            <w:tcW w:w="2340" w:type="dxa"/>
          </w:tcPr>
          <w:p w14:paraId="6192A6AE"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Engineering Village (</w:t>
            </w:r>
            <w:proofErr w:type="spellStart"/>
            <w:r>
              <w:rPr>
                <w:rFonts w:ascii="Times New Roman" w:eastAsia="Times New Roman" w:hAnsi="Times New Roman" w:cs="Times New Roman"/>
                <w:b/>
                <w:bCs/>
                <w:sz w:val="22"/>
                <w:szCs w:val="22"/>
              </w:rPr>
              <w:t>Compendex</w:t>
            </w:r>
            <w:proofErr w:type="spellEnd"/>
            <w:r>
              <w:rPr>
                <w:rFonts w:ascii="Times New Roman" w:eastAsia="Times New Roman" w:hAnsi="Times New Roman" w:cs="Times New Roman"/>
                <w:b/>
                <w:bCs/>
                <w:sz w:val="22"/>
                <w:szCs w:val="22"/>
              </w:rPr>
              <w:t>)</w:t>
            </w:r>
          </w:p>
        </w:tc>
        <w:tc>
          <w:tcPr>
            <w:tcW w:w="8820" w:type="dxa"/>
          </w:tcPr>
          <w:p w14:paraId="52113B59"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(("infrastructure project*" OR "construction </w:t>
            </w:r>
            <w:r>
              <w:rPr>
                <w:rFonts w:ascii="Times New Roman" w:eastAsia="Times New Roman" w:hAnsi="Times New Roman" w:cs="Times New Roman"/>
                <w:sz w:val="22"/>
                <w:szCs w:val="22"/>
              </w:rPr>
              <w:t>project*" OR highway OR road OR railway OR metro OR tunnel OR bridge OR utility OR "public works" OR marine OR irrigation OR "public building*" OR "heavy civil") WN KY) AND (("cost overrun*" OR "schedule overrun*" OR "time overrun*" OR delay* OR contingenc</w:t>
            </w:r>
            <w:r>
              <w:rPr>
                <w:rFonts w:ascii="Times New Roman" w:eastAsia="Times New Roman" w:hAnsi="Times New Roman" w:cs="Times New Roman"/>
                <w:sz w:val="22"/>
                <w:szCs w:val="22"/>
              </w:rPr>
              <w:t xml:space="preserve">y OR "cost variance" OR "duration variance" OR "liquidated damages" OR "risk assessment" OR "risk prediction" OR forecasting) WN KY) AND (("machine learning" OR "artificial intelligence" OR "Bayesian network*" OR "Monte Carlo" OR "earned value" OR "hidden </w:t>
            </w:r>
            <w:r>
              <w:rPr>
                <w:rFonts w:ascii="Times New Roman" w:eastAsia="Times New Roman" w:hAnsi="Times New Roman" w:cs="Times New Roman"/>
                <w:sz w:val="22"/>
                <w:szCs w:val="22"/>
              </w:rPr>
              <w:t>Markov" OR fuzzy OR predictive OR probabilistic OR analytics) WN KY) Limits: Journal articles; English; 2015–2025</w:t>
            </w:r>
          </w:p>
        </w:tc>
      </w:tr>
    </w:tbl>
    <w:p w14:paraId="06C12AA6" w14:textId="77777777" w:rsidR="00506EDB" w:rsidRDefault="00506EDB">
      <w:pPr>
        <w:rPr>
          <w:rFonts w:ascii="Times New Roman" w:eastAsia="Times New Roman" w:hAnsi="Times New Roman" w:cs="Times New Roman"/>
          <w:color w:val="000000"/>
          <w:sz w:val="22"/>
          <w:szCs w:val="22"/>
        </w:rPr>
      </w:pPr>
    </w:p>
    <w:p w14:paraId="3B8DCBBE" w14:textId="77777777" w:rsidR="00506EDB" w:rsidRDefault="00506EDB">
      <w:pPr>
        <w:jc w:val="both"/>
        <w:rPr>
          <w:rFonts w:ascii="Times New Roman" w:eastAsia="Times New Roman" w:hAnsi="Times New Roman" w:cs="Times New Roman"/>
          <w:b/>
          <w:bCs/>
          <w:color w:val="000000"/>
          <w:sz w:val="22"/>
          <w:szCs w:val="22"/>
        </w:rPr>
      </w:pPr>
    </w:p>
    <w:p w14:paraId="49CDFCA8" w14:textId="77777777" w:rsidR="00506EDB" w:rsidRDefault="00506EDB">
      <w:pPr>
        <w:jc w:val="both"/>
        <w:rPr>
          <w:rFonts w:ascii="Times New Roman" w:eastAsia="Times New Roman" w:hAnsi="Times New Roman" w:cs="Times New Roman"/>
          <w:b/>
          <w:bCs/>
          <w:color w:val="000000"/>
          <w:sz w:val="22"/>
          <w:szCs w:val="22"/>
        </w:rPr>
      </w:pPr>
    </w:p>
    <w:p w14:paraId="7E62A18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2.6 Data Extraction and Synthesis</w:t>
      </w:r>
    </w:p>
    <w:p w14:paraId="28DCAD5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Data charting was conducted using a </w:t>
      </w:r>
      <w:proofErr w:type="spellStart"/>
      <w:r>
        <w:rPr>
          <w:rFonts w:ascii="Times New Roman" w:eastAsia="Times New Roman" w:hAnsi="Times New Roman" w:cs="Times New Roman"/>
          <w:color w:val="000000"/>
          <w:sz w:val="22"/>
          <w:szCs w:val="22"/>
        </w:rPr>
        <w:t>standardised</w:t>
      </w:r>
      <w:proofErr w:type="spellEnd"/>
      <w:r>
        <w:rPr>
          <w:rFonts w:ascii="Times New Roman" w:eastAsia="Times New Roman" w:hAnsi="Times New Roman" w:cs="Times New Roman"/>
          <w:color w:val="000000"/>
          <w:sz w:val="22"/>
          <w:szCs w:val="22"/>
        </w:rPr>
        <w:t xml:space="preserve"> template, which was initially piloted and subsequently </w:t>
      </w:r>
      <w:r>
        <w:rPr>
          <w:rFonts w:ascii="Times New Roman" w:eastAsia="Times New Roman" w:hAnsi="Times New Roman" w:cs="Times New Roman"/>
          <w:color w:val="000000"/>
          <w:sz w:val="22"/>
          <w:szCs w:val="22"/>
        </w:rPr>
        <w:t>refined to ensure consistency with the aims and questions of the review. Extracted variables included: infrastructure setting; bibliographic details; validation or performance assessment; country or regional context; data source or sample; study characteri</w:t>
      </w:r>
      <w:r>
        <w:rPr>
          <w:rFonts w:ascii="Times New Roman" w:eastAsia="Times New Roman" w:hAnsi="Times New Roman" w:cs="Times New Roman"/>
          <w:color w:val="000000"/>
          <w:sz w:val="22"/>
          <w:szCs w:val="22"/>
        </w:rPr>
        <w:t>stics; modelling approach; main risk inputs or predictors; target outcomes; and decision-support relevance.</w:t>
      </w:r>
    </w:p>
    <w:p w14:paraId="34F293AF"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synthesis was descriptive and mapping-oriented rather than effect-estimating. A numerical summary of the evidence base was prepared, including c</w:t>
      </w:r>
      <w:r>
        <w:rPr>
          <w:rFonts w:ascii="Times New Roman" w:eastAsia="Times New Roman" w:hAnsi="Times New Roman" w:cs="Times New Roman"/>
          <w:color w:val="000000"/>
          <w:sz w:val="22"/>
          <w:szCs w:val="22"/>
        </w:rPr>
        <w:t xml:space="preserve">ounts by publication year, study setting, infrastructure type, modelling family, and outcome domain. In addition, a narrative thematic synthesis was undertaken to </w:t>
      </w:r>
      <w:proofErr w:type="spellStart"/>
      <w:r>
        <w:rPr>
          <w:rFonts w:ascii="Times New Roman" w:eastAsia="Times New Roman" w:hAnsi="Times New Roman" w:cs="Times New Roman"/>
          <w:color w:val="000000"/>
          <w:sz w:val="22"/>
          <w:szCs w:val="22"/>
        </w:rPr>
        <w:t>organise</w:t>
      </w:r>
      <w:proofErr w:type="spellEnd"/>
      <w:r>
        <w:rPr>
          <w:rFonts w:ascii="Times New Roman" w:eastAsia="Times New Roman" w:hAnsi="Times New Roman" w:cs="Times New Roman"/>
          <w:color w:val="000000"/>
          <w:sz w:val="22"/>
          <w:szCs w:val="22"/>
        </w:rPr>
        <w:t xml:space="preserve"> the findings into three higher-order themes: (1) modelling architectures used for sc</w:t>
      </w:r>
      <w:r>
        <w:rPr>
          <w:rFonts w:ascii="Times New Roman" w:eastAsia="Times New Roman" w:hAnsi="Times New Roman" w:cs="Times New Roman"/>
          <w:color w:val="000000"/>
          <w:sz w:val="22"/>
          <w:szCs w:val="22"/>
        </w:rPr>
        <w:t xml:space="preserve">hedule and cost risk prediction; (2) recurrent risk drivers and quantification approaches; and (3) validation practices and </w:t>
      </w:r>
      <w:proofErr w:type="spellStart"/>
      <w:r>
        <w:rPr>
          <w:rFonts w:ascii="Times New Roman" w:eastAsia="Times New Roman" w:hAnsi="Times New Roman" w:cs="Times New Roman"/>
          <w:color w:val="000000"/>
          <w:sz w:val="22"/>
          <w:szCs w:val="22"/>
        </w:rPr>
        <w:t>operationalisation</w:t>
      </w:r>
      <w:proofErr w:type="spellEnd"/>
      <w:r>
        <w:rPr>
          <w:rFonts w:ascii="Times New Roman" w:eastAsia="Times New Roman" w:hAnsi="Times New Roman" w:cs="Times New Roman"/>
          <w:color w:val="000000"/>
          <w:sz w:val="22"/>
          <w:szCs w:val="22"/>
        </w:rPr>
        <w:t xml:space="preserve"> for decision support and mitigation planning. This approach enabled the review to move beyond simple cataloguing </w:t>
      </w:r>
      <w:r>
        <w:rPr>
          <w:rFonts w:ascii="Times New Roman" w:eastAsia="Times New Roman" w:hAnsi="Times New Roman" w:cs="Times New Roman"/>
          <w:color w:val="000000"/>
          <w:sz w:val="22"/>
          <w:szCs w:val="22"/>
        </w:rPr>
        <w:t>and identify the current application of data-driven risk modelling across infrastructure delivery systems.</w:t>
      </w:r>
    </w:p>
    <w:p w14:paraId="59187970"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3.0 Result</w:t>
      </w:r>
    </w:p>
    <w:p w14:paraId="1AF7A7D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3.1 Screening and selection.</w:t>
      </w:r>
    </w:p>
    <w:p w14:paraId="29EF8B8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database search yielded 452 records. After removing 241 duplicates, the remaining 211 records were screen</w:t>
      </w:r>
      <w:r>
        <w:rPr>
          <w:rFonts w:ascii="Times New Roman" w:eastAsia="Times New Roman" w:hAnsi="Times New Roman" w:cs="Times New Roman"/>
          <w:color w:val="000000"/>
          <w:sz w:val="22"/>
          <w:szCs w:val="22"/>
        </w:rPr>
        <w:t>ed against the eligibility criteria based on their titles and abstracts. Of these, 125 were excluded at this stage. The remaining 86 articles were assessed in full for eligibility. A further 67 papers were excluded at this stage (ineligible publication typ</w:t>
      </w:r>
      <w:r>
        <w:rPr>
          <w:rFonts w:ascii="Times New Roman" w:eastAsia="Times New Roman" w:hAnsi="Times New Roman" w:cs="Times New Roman"/>
          <w:color w:val="000000"/>
          <w:sz w:val="22"/>
          <w:szCs w:val="22"/>
        </w:rPr>
        <w:t xml:space="preserve">e = 32; not infrastructure- or project-delivery relevant = 13; no modelling or decision-support component = 14; outcomes unrelated to infrastructure delivery performance or no usable project outcome = 8). Finally, 19 studies that met all the criteria were </w:t>
      </w:r>
      <w:r>
        <w:rPr>
          <w:rFonts w:ascii="Times New Roman" w:eastAsia="Times New Roman" w:hAnsi="Times New Roman" w:cs="Times New Roman"/>
          <w:color w:val="000000"/>
          <w:sz w:val="22"/>
          <w:szCs w:val="22"/>
        </w:rPr>
        <w:t>included in the review (see Fig. 1).</w:t>
      </w:r>
    </w:p>
    <w:p w14:paraId="65C85D08"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noProof/>
          <w:sz w:val="22"/>
          <w:szCs w:val="22"/>
        </w:rPr>
        <w:lastRenderedPageBreak/>
        <w:drawing>
          <wp:inline distT="0" distB="0" distL="0" distR="0" wp14:anchorId="5CA47FAE" wp14:editId="2DC32F39">
            <wp:extent cx="5943600" cy="3547745"/>
            <wp:effectExtent l="0" t="0" r="0" b="0"/>
            <wp:docPr id="927031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547745"/>
                    </a:xfrm>
                    <a:prstGeom prst="rect">
                      <a:avLst/>
                    </a:prstGeom>
                    <a:ln/>
                  </pic:spPr>
                </pic:pic>
              </a:graphicData>
            </a:graphic>
          </wp:inline>
        </w:drawing>
      </w:r>
    </w:p>
    <w:p w14:paraId="52A5F570"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Figure 2. PRISMA flow diagram of study identification, screening, eligibility assessment, and inclusion for the scoping review</w:t>
      </w:r>
    </w:p>
    <w:p w14:paraId="43C5BB5B"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3.2 Summary of study characteristics</w:t>
      </w:r>
    </w:p>
    <w:p w14:paraId="13B15A98"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19 included studies (Table 3), which were </w:t>
      </w:r>
      <w:r>
        <w:rPr>
          <w:rFonts w:ascii="Times New Roman" w:eastAsia="Times New Roman" w:hAnsi="Times New Roman" w:cs="Times New Roman"/>
          <w:color w:val="000000"/>
          <w:sz w:val="22"/>
          <w:szCs w:val="22"/>
        </w:rPr>
        <w:t>predominantly empirical applications of data-driven risk modelling in infrastructure and closely related project-delivery settings, were published between 2019 and 2025. The studies covered various areas, including highways, railways, roads, educational in</w:t>
      </w:r>
      <w:r>
        <w:rPr>
          <w:rFonts w:ascii="Times New Roman" w:eastAsia="Times New Roman" w:hAnsi="Times New Roman" w:cs="Times New Roman"/>
          <w:color w:val="000000"/>
          <w:sz w:val="22"/>
          <w:szCs w:val="22"/>
        </w:rPr>
        <w:t xml:space="preserve">frastructure, marine works, urban rail PPPs, irrigation canal rehabilitation, broader public-sector infrastructure portfolios, public buildings, and underground </w:t>
      </w:r>
      <w:proofErr w:type="spellStart"/>
      <w:r>
        <w:rPr>
          <w:rFonts w:ascii="Times New Roman" w:eastAsia="Times New Roman" w:hAnsi="Times New Roman" w:cs="Times New Roman"/>
          <w:color w:val="000000"/>
          <w:sz w:val="22"/>
          <w:szCs w:val="22"/>
        </w:rPr>
        <w:t>fibre</w:t>
      </w:r>
      <w:proofErr w:type="spellEnd"/>
      <w:r>
        <w:rPr>
          <w:rFonts w:ascii="Times New Roman" w:eastAsia="Times New Roman" w:hAnsi="Times New Roman" w:cs="Times New Roman"/>
          <w:color w:val="000000"/>
          <w:sz w:val="22"/>
          <w:szCs w:val="22"/>
        </w:rPr>
        <w:t>-optic networks. While most studies used historical project datasets, some combined archiv</w:t>
      </w:r>
      <w:r>
        <w:rPr>
          <w:rFonts w:ascii="Times New Roman" w:eastAsia="Times New Roman" w:hAnsi="Times New Roman" w:cs="Times New Roman"/>
          <w:color w:val="000000"/>
          <w:sz w:val="22"/>
          <w:szCs w:val="22"/>
        </w:rPr>
        <w:t>al data with surveys, expert interviews, scenario-based inputs, or questionnaires. Sample sizes included case studies (single projects), as well as multi-project databases (122, 138, 175, 234, and 1,277 cases). The approaches to methodology used in the stu</w:t>
      </w:r>
      <w:r>
        <w:rPr>
          <w:rFonts w:ascii="Times New Roman" w:eastAsia="Times New Roman" w:hAnsi="Times New Roman" w:cs="Times New Roman"/>
          <w:color w:val="000000"/>
          <w:sz w:val="22"/>
          <w:szCs w:val="22"/>
        </w:rPr>
        <w:t>dies were varied and encompassed machine learning, Monte Carlo simulation, Bayesian networks, ensemble learning, probabilistic conceptual models, hidden Markov models, improved earned value management, and real-time data integration frameworks. The resulti</w:t>
      </w:r>
      <w:r>
        <w:rPr>
          <w:rFonts w:ascii="Times New Roman" w:eastAsia="Times New Roman" w:hAnsi="Times New Roman" w:cs="Times New Roman"/>
          <w:color w:val="000000"/>
          <w:sz w:val="22"/>
          <w:szCs w:val="22"/>
        </w:rPr>
        <w:t>ng outcomes were primarily concerned with cost and time overruns, repair costs, contingencies, liquidated damages, probability of a delay, and the identification of risks. The majority of the studies were applied and decision-oriented as opposed to being p</w:t>
      </w:r>
      <w:r>
        <w:rPr>
          <w:rFonts w:ascii="Times New Roman" w:eastAsia="Times New Roman" w:hAnsi="Times New Roman" w:cs="Times New Roman"/>
          <w:color w:val="000000"/>
          <w:sz w:val="22"/>
          <w:szCs w:val="22"/>
        </w:rPr>
        <w:t>urely explanatory in control and design.</w:t>
      </w:r>
    </w:p>
    <w:p w14:paraId="15ED261B"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3.1 Thematic Analysis</w:t>
      </w:r>
    </w:p>
    <w:p w14:paraId="45DB85B7"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Theme 1: Risk modeling is moving from static estimates to adaptive, uncertainty-aware forecasting</w:t>
      </w:r>
    </w:p>
    <w:p w14:paraId="11A5A842" w14:textId="77777777" w:rsidR="00506EDB" w:rsidRDefault="00EA765F">
      <w:pPr>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rPr>
        <w:t xml:space="preserve">A clear pattern emerging from the included studies is the shift away from single-value forecasting towards models that can handle uncertainty, changing project conditions, and interaction effects. Early-stage </w:t>
      </w:r>
      <w:r>
        <w:rPr>
          <w:rFonts w:ascii="Times New Roman" w:eastAsia="Times New Roman" w:hAnsi="Times New Roman" w:cs="Times New Roman"/>
          <w:color w:val="000000"/>
          <w:sz w:val="22"/>
          <w:szCs w:val="22"/>
        </w:rPr>
        <w:lastRenderedPageBreak/>
        <w:t xml:space="preserve">regression and classification models were used </w:t>
      </w:r>
      <w:r>
        <w:rPr>
          <w:rFonts w:ascii="Times New Roman" w:eastAsia="Times New Roman" w:hAnsi="Times New Roman" w:cs="Times New Roman"/>
          <w:color w:val="000000"/>
          <w:sz w:val="22"/>
          <w:szCs w:val="22"/>
        </w:rPr>
        <w:t xml:space="preserve">to assess cost or delay exposure prior to </w:t>
      </w:r>
      <w:proofErr w:type="spellStart"/>
      <w:r>
        <w:rPr>
          <w:rFonts w:ascii="Times New Roman" w:eastAsia="Times New Roman" w:hAnsi="Times New Roman" w:cs="Times New Roman"/>
          <w:color w:val="000000"/>
          <w:sz w:val="22"/>
          <w:szCs w:val="22"/>
        </w:rPr>
        <w:t>finalising</w:t>
      </w:r>
      <w:proofErr w:type="spellEnd"/>
      <w:r>
        <w:rPr>
          <w:rFonts w:ascii="Times New Roman" w:eastAsia="Times New Roman" w:hAnsi="Times New Roman" w:cs="Times New Roman"/>
          <w:color w:val="000000"/>
          <w:sz w:val="22"/>
          <w:szCs w:val="22"/>
        </w:rPr>
        <w:t xml:space="preserve"> contracts, as demonstrated by Moon et al. (2020) for public projects and </w:t>
      </w:r>
      <w:proofErr w:type="spellStart"/>
      <w:r>
        <w:rPr>
          <w:rFonts w:ascii="Times New Roman" w:eastAsia="Times New Roman" w:hAnsi="Times New Roman" w:cs="Times New Roman"/>
          <w:color w:val="000000"/>
          <w:sz w:val="22"/>
          <w:szCs w:val="22"/>
        </w:rPr>
        <w:t>Alshboul</w:t>
      </w:r>
      <w:proofErr w:type="spellEnd"/>
      <w:r>
        <w:rPr>
          <w:rFonts w:ascii="Times New Roman" w:eastAsia="Times New Roman" w:hAnsi="Times New Roman" w:cs="Times New Roman"/>
          <w:color w:val="000000"/>
          <w:sz w:val="22"/>
          <w:szCs w:val="22"/>
        </w:rPr>
        <w:t xml:space="preserve"> et al. (2022) for highway liquidated damages. Subsequent studies took this further by embedding uncertainty directly into</w:t>
      </w:r>
      <w:r>
        <w:rPr>
          <w:rFonts w:ascii="Times New Roman" w:eastAsia="Times New Roman" w:hAnsi="Times New Roman" w:cs="Times New Roman"/>
          <w:color w:val="000000"/>
          <w:sz w:val="22"/>
          <w:szCs w:val="22"/>
        </w:rPr>
        <w:t xml:space="preserve"> the modelling architecture. For example, Deng and Jian (2022) combined improved earned value management with CPM, Monte Carlo simulation, and PERT in order to replace deterministic completion estimates with activity-level priorities and probabilistic rang</w:t>
      </w:r>
      <w:r>
        <w:rPr>
          <w:rFonts w:ascii="Times New Roman" w:eastAsia="Times New Roman" w:hAnsi="Times New Roman" w:cs="Times New Roman"/>
          <w:color w:val="000000"/>
          <w:sz w:val="22"/>
          <w:szCs w:val="22"/>
        </w:rPr>
        <w:t xml:space="preserve">es. </w:t>
      </w:r>
      <w:proofErr w:type="spellStart"/>
      <w:r>
        <w:rPr>
          <w:rFonts w:ascii="Times New Roman" w:eastAsia="Times New Roman" w:hAnsi="Times New Roman" w:cs="Times New Roman"/>
          <w:color w:val="000000"/>
          <w:sz w:val="22"/>
          <w:szCs w:val="22"/>
        </w:rPr>
        <w:t>Ichsan</w:t>
      </w:r>
      <w:proofErr w:type="spellEnd"/>
      <w:r>
        <w:rPr>
          <w:rFonts w:ascii="Times New Roman" w:eastAsia="Times New Roman" w:hAnsi="Times New Roman" w:cs="Times New Roman"/>
          <w:color w:val="000000"/>
          <w:sz w:val="22"/>
          <w:szCs w:val="22"/>
        </w:rPr>
        <w:t xml:space="preserve"> et al. (2025) used a Monte Carlo simulation on a railway station project to quantify schedule exposure before and after mitigation rather than merely reporting delay afterwards. The most mature models aimed to explain variance, not just predict </w:t>
      </w:r>
      <w:r>
        <w:rPr>
          <w:rFonts w:ascii="Times New Roman" w:eastAsia="Times New Roman" w:hAnsi="Times New Roman" w:cs="Times New Roman"/>
          <w:color w:val="000000"/>
          <w:sz w:val="22"/>
          <w:szCs w:val="22"/>
        </w:rPr>
        <w:t xml:space="preserve">it. </w:t>
      </w:r>
      <w:proofErr w:type="spellStart"/>
      <w:r>
        <w:rPr>
          <w:rFonts w:ascii="Times New Roman" w:eastAsia="Times New Roman" w:hAnsi="Times New Roman" w:cs="Times New Roman"/>
          <w:color w:val="000000"/>
          <w:sz w:val="22"/>
          <w:szCs w:val="22"/>
        </w:rPr>
        <w:t>Elmousalami</w:t>
      </w:r>
      <w:proofErr w:type="spellEnd"/>
      <w:r>
        <w:rPr>
          <w:rFonts w:ascii="Times New Roman" w:eastAsia="Times New Roman" w:hAnsi="Times New Roman" w:cs="Times New Roman"/>
          <w:color w:val="000000"/>
          <w:sz w:val="22"/>
          <w:szCs w:val="22"/>
        </w:rPr>
        <w:t xml:space="preserve"> et al. (2024) predicted project duration, cost, and their variances at the same time. Sing et al. (2025) improved cost-contingency estimation by adding interval prediction and a complexity index to ANN models. The study by Leu et al. (2023)</w:t>
      </w:r>
      <w:r>
        <w:rPr>
          <w:rFonts w:ascii="Times New Roman" w:eastAsia="Times New Roman" w:hAnsi="Times New Roman" w:cs="Times New Roman"/>
          <w:color w:val="000000"/>
          <w:sz w:val="22"/>
          <w:szCs w:val="22"/>
        </w:rPr>
        <w:t xml:space="preserve"> presented a real-time hidden Markov model to investigate how dynamic monitoring can be more effective than a historically-oriented average-only approach; the cost data of the projects themselves were used. A similar technique was utilized by </w:t>
      </w:r>
      <w:proofErr w:type="spellStart"/>
      <w:r>
        <w:rPr>
          <w:rFonts w:ascii="Times New Roman" w:eastAsia="Times New Roman" w:hAnsi="Times New Roman" w:cs="Times New Roman"/>
          <w:color w:val="000000"/>
          <w:sz w:val="22"/>
          <w:szCs w:val="22"/>
        </w:rPr>
        <w:t>Liben</w:t>
      </w:r>
      <w:proofErr w:type="spellEnd"/>
      <w:r>
        <w:rPr>
          <w:rFonts w:ascii="Times New Roman" w:eastAsia="Times New Roman" w:hAnsi="Times New Roman" w:cs="Times New Roman"/>
          <w:color w:val="000000"/>
          <w:sz w:val="22"/>
          <w:szCs w:val="22"/>
        </w:rPr>
        <w:t xml:space="preserve"> et al. </w:t>
      </w:r>
      <w:r>
        <w:rPr>
          <w:rFonts w:ascii="Times New Roman" w:eastAsia="Times New Roman" w:hAnsi="Times New Roman" w:cs="Times New Roman"/>
          <w:color w:val="000000"/>
          <w:sz w:val="22"/>
          <w:szCs w:val="22"/>
        </w:rPr>
        <w:t>(2025), implementing both deterministic and probabilistic scheduling logic to deliver public buildings.</w:t>
      </w:r>
    </w:p>
    <w:p w14:paraId="1B34993C"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Theme 2: The most persistent risk drivers are governance, procurement, and scope instability, rather than purely technical uncertainty</w:t>
      </w:r>
    </w:p>
    <w:p w14:paraId="4BE7618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the various se</w:t>
      </w:r>
      <w:r>
        <w:rPr>
          <w:rFonts w:ascii="Times New Roman" w:eastAsia="Times New Roman" w:hAnsi="Times New Roman" w:cs="Times New Roman"/>
          <w:color w:val="000000"/>
          <w:sz w:val="22"/>
          <w:szCs w:val="22"/>
        </w:rPr>
        <w:t>ctors, complexities of engineering projects were not the sole factors that led to overruns in costs and time. Rather, they swarmed around procurement structure, approval systems, managerial friction, and scope changes. According to a study by Gomez-Cabrera</w:t>
      </w:r>
      <w:r>
        <w:rPr>
          <w:rFonts w:ascii="Times New Roman" w:eastAsia="Times New Roman" w:hAnsi="Times New Roman" w:cs="Times New Roman"/>
          <w:color w:val="000000"/>
          <w:sz w:val="22"/>
          <w:szCs w:val="22"/>
        </w:rPr>
        <w:t xml:space="preserve"> et al. (2025), some factors were highly related to the differences in the educational infrastructure projects in Colombia. These factors were project type, bidders, contract value, growth of award, process type, and time suspended. </w:t>
      </w:r>
      <w:proofErr w:type="spellStart"/>
      <w:r>
        <w:rPr>
          <w:rFonts w:ascii="Times New Roman" w:eastAsia="Times New Roman" w:hAnsi="Times New Roman" w:cs="Times New Roman"/>
          <w:color w:val="000000"/>
          <w:sz w:val="22"/>
          <w:szCs w:val="22"/>
        </w:rPr>
        <w:t>Liben</w:t>
      </w:r>
      <w:proofErr w:type="spellEnd"/>
      <w:r>
        <w:rPr>
          <w:rFonts w:ascii="Times New Roman" w:eastAsia="Times New Roman" w:hAnsi="Times New Roman" w:cs="Times New Roman"/>
          <w:color w:val="000000"/>
          <w:sz w:val="22"/>
          <w:szCs w:val="22"/>
        </w:rPr>
        <w:t xml:space="preserve"> et al. (2025) ide</w:t>
      </w:r>
      <w:r>
        <w:rPr>
          <w:rFonts w:ascii="Times New Roman" w:eastAsia="Times New Roman" w:hAnsi="Times New Roman" w:cs="Times New Roman"/>
          <w:color w:val="000000"/>
          <w:sz w:val="22"/>
          <w:szCs w:val="22"/>
        </w:rPr>
        <w:t xml:space="preserve">ntified government shutdowns, regulatory approvals, project location, risk management strategy, and site conditions as key influences on duration reliability in Addis Ababa. In South Asia, </w:t>
      </w:r>
      <w:proofErr w:type="spellStart"/>
      <w:r>
        <w:rPr>
          <w:rFonts w:ascii="Times New Roman" w:eastAsia="Times New Roman" w:hAnsi="Times New Roman" w:cs="Times New Roman"/>
          <w:color w:val="000000"/>
          <w:sz w:val="22"/>
          <w:szCs w:val="22"/>
        </w:rPr>
        <w:t>Andrić</w:t>
      </w:r>
      <w:proofErr w:type="spellEnd"/>
      <w:r>
        <w:rPr>
          <w:rFonts w:ascii="Times New Roman" w:eastAsia="Times New Roman" w:hAnsi="Times New Roman" w:cs="Times New Roman"/>
          <w:color w:val="000000"/>
          <w:sz w:val="22"/>
          <w:szCs w:val="22"/>
        </w:rPr>
        <w:t xml:space="preserve"> et al. (2024) found that cost overruns were linked to time o</w:t>
      </w:r>
      <w:r>
        <w:rPr>
          <w:rFonts w:ascii="Times New Roman" w:eastAsia="Times New Roman" w:hAnsi="Times New Roman" w:cs="Times New Roman"/>
          <w:color w:val="000000"/>
          <w:sz w:val="22"/>
          <w:szCs w:val="22"/>
        </w:rPr>
        <w:t>verruns, project size, and implementation period, and that random forest provided the best fit among the functions tested.</w:t>
      </w:r>
    </w:p>
    <w:p w14:paraId="06960E08"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Research has shown that the risk of problems during delivery gets worse when there are changes to the contract or the design while th</w:t>
      </w:r>
      <w:r>
        <w:rPr>
          <w:rFonts w:ascii="Times New Roman" w:eastAsia="Times New Roman" w:hAnsi="Times New Roman" w:cs="Times New Roman"/>
          <w:color w:val="000000"/>
          <w:sz w:val="22"/>
          <w:szCs w:val="22"/>
        </w:rPr>
        <w:t xml:space="preserve">e project is being carried out. </w:t>
      </w:r>
      <w:proofErr w:type="spellStart"/>
      <w:r>
        <w:rPr>
          <w:rFonts w:ascii="Times New Roman" w:eastAsia="Times New Roman" w:hAnsi="Times New Roman" w:cs="Times New Roman"/>
          <w:color w:val="000000"/>
          <w:sz w:val="22"/>
          <w:szCs w:val="22"/>
        </w:rPr>
        <w:t>Leśniak</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Janowiec</w:t>
      </w:r>
      <w:proofErr w:type="spellEnd"/>
      <w:r>
        <w:rPr>
          <w:rFonts w:ascii="Times New Roman" w:eastAsia="Times New Roman" w:hAnsi="Times New Roman" w:cs="Times New Roman"/>
          <w:color w:val="000000"/>
          <w:sz w:val="22"/>
          <w:szCs w:val="22"/>
        </w:rPr>
        <w:t xml:space="preserve"> (2019) identified additional works in railway investments as a significant cause of time and cost escalation, demonstrating that Bayesian networks can trace the propagation of such changes through the pr</w:t>
      </w:r>
      <w:r>
        <w:rPr>
          <w:rFonts w:ascii="Times New Roman" w:eastAsia="Times New Roman" w:hAnsi="Times New Roman" w:cs="Times New Roman"/>
          <w:color w:val="000000"/>
          <w:sz w:val="22"/>
          <w:szCs w:val="22"/>
        </w:rPr>
        <w:t xml:space="preserve">oject. </w:t>
      </w:r>
      <w:proofErr w:type="spellStart"/>
      <w:r>
        <w:rPr>
          <w:rFonts w:ascii="Times New Roman" w:eastAsia="Times New Roman" w:hAnsi="Times New Roman" w:cs="Times New Roman"/>
          <w:color w:val="000000"/>
          <w:sz w:val="22"/>
          <w:szCs w:val="22"/>
        </w:rPr>
        <w:t>Alshboul</w:t>
      </w:r>
      <w:proofErr w:type="spellEnd"/>
      <w:r>
        <w:rPr>
          <w:rFonts w:ascii="Times New Roman" w:eastAsia="Times New Roman" w:hAnsi="Times New Roman" w:cs="Times New Roman"/>
          <w:color w:val="000000"/>
          <w:sz w:val="22"/>
          <w:szCs w:val="22"/>
        </w:rPr>
        <w:t xml:space="preserve"> et al. (2022) found that change-order variables and adjustment days were deeply entangled with uncertainty in highway liquidated damages prediction. </w:t>
      </w:r>
      <w:proofErr w:type="spellStart"/>
      <w:r>
        <w:rPr>
          <w:rFonts w:ascii="Times New Roman" w:eastAsia="Times New Roman" w:hAnsi="Times New Roman" w:cs="Times New Roman"/>
          <w:color w:val="000000"/>
          <w:sz w:val="22"/>
          <w:szCs w:val="22"/>
        </w:rPr>
        <w:t>Senić</w:t>
      </w:r>
      <w:proofErr w:type="spellEnd"/>
      <w:r>
        <w:rPr>
          <w:rFonts w:ascii="Times New Roman" w:eastAsia="Times New Roman" w:hAnsi="Times New Roman" w:cs="Times New Roman"/>
          <w:color w:val="000000"/>
          <w:sz w:val="22"/>
          <w:szCs w:val="22"/>
        </w:rPr>
        <w:t xml:space="preserve"> et al. (2024) quantified the risks associated with increases in contract price and ti</w:t>
      </w:r>
      <w:r>
        <w:rPr>
          <w:rFonts w:ascii="Times New Roman" w:eastAsia="Times New Roman" w:hAnsi="Times New Roman" w:cs="Times New Roman"/>
          <w:color w:val="000000"/>
          <w:sz w:val="22"/>
          <w:szCs w:val="22"/>
        </w:rPr>
        <w:t xml:space="preserve">me extension, grouping them into clusters for funding and prevention </w:t>
      </w:r>
      <w:proofErr w:type="spellStart"/>
      <w:r>
        <w:rPr>
          <w:rFonts w:ascii="Times New Roman" w:eastAsia="Times New Roman" w:hAnsi="Times New Roman" w:cs="Times New Roman"/>
          <w:color w:val="000000"/>
          <w:sz w:val="22"/>
          <w:szCs w:val="22"/>
        </w:rPr>
        <w:t>prioritisation</w:t>
      </w:r>
      <w:proofErr w:type="spellEnd"/>
      <w:r>
        <w:rPr>
          <w:rFonts w:ascii="Times New Roman" w:eastAsia="Times New Roman" w:hAnsi="Times New Roman" w:cs="Times New Roman"/>
          <w:color w:val="000000"/>
          <w:sz w:val="22"/>
          <w:szCs w:val="22"/>
        </w:rPr>
        <w:t xml:space="preserve">. Nassar and </w:t>
      </w:r>
      <w:proofErr w:type="spellStart"/>
      <w:r>
        <w:rPr>
          <w:rFonts w:ascii="Times New Roman" w:eastAsia="Times New Roman" w:hAnsi="Times New Roman" w:cs="Times New Roman"/>
          <w:color w:val="000000"/>
          <w:sz w:val="22"/>
          <w:szCs w:val="22"/>
        </w:rPr>
        <w:t>Elbisy</w:t>
      </w:r>
      <w:proofErr w:type="spellEnd"/>
      <w:r>
        <w:rPr>
          <w:rFonts w:ascii="Times New Roman" w:eastAsia="Times New Roman" w:hAnsi="Times New Roman" w:cs="Times New Roman"/>
          <w:color w:val="000000"/>
          <w:sz w:val="22"/>
          <w:szCs w:val="22"/>
        </w:rPr>
        <w:t xml:space="preserve"> (2024) built on this research by identifying 43 delay factors across nine categories in marine projects. Meanwhile, Nyarko-Boateng et al. (2020) demonstr</w:t>
      </w:r>
      <w:r>
        <w:rPr>
          <w:rFonts w:ascii="Times New Roman" w:eastAsia="Times New Roman" w:hAnsi="Times New Roman" w:cs="Times New Roman"/>
          <w:color w:val="000000"/>
          <w:sz w:val="22"/>
          <w:szCs w:val="22"/>
        </w:rPr>
        <w:t xml:space="preserve">ated that infrastructure repair costs in underground </w:t>
      </w:r>
      <w:proofErr w:type="spellStart"/>
      <w:r>
        <w:rPr>
          <w:rFonts w:ascii="Times New Roman" w:eastAsia="Times New Roman" w:hAnsi="Times New Roman" w:cs="Times New Roman"/>
          <w:color w:val="000000"/>
          <w:sz w:val="22"/>
          <w:szCs w:val="22"/>
        </w:rPr>
        <w:t>fibre</w:t>
      </w:r>
      <w:proofErr w:type="spellEnd"/>
      <w:r>
        <w:rPr>
          <w:rFonts w:ascii="Times New Roman" w:eastAsia="Times New Roman" w:hAnsi="Times New Roman" w:cs="Times New Roman"/>
          <w:color w:val="000000"/>
          <w:sz w:val="22"/>
          <w:szCs w:val="22"/>
        </w:rPr>
        <w:t xml:space="preserve"> networks are heavily dependent on the cause and location of failure, as well as the mean time to repair.</w:t>
      </w:r>
    </w:p>
    <w:p w14:paraId="45A4F809"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Theme 3: The real frontier is not prediction alone, but whether models are embedded in live </w:t>
      </w:r>
      <w:r>
        <w:rPr>
          <w:rFonts w:ascii="Times New Roman" w:eastAsia="Times New Roman" w:hAnsi="Times New Roman" w:cs="Times New Roman"/>
          <w:b/>
          <w:bCs/>
          <w:color w:val="000000"/>
          <w:sz w:val="22"/>
          <w:szCs w:val="22"/>
        </w:rPr>
        <w:t>mitigation and control systems</w:t>
      </w:r>
    </w:p>
    <w:p w14:paraId="64CC54C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Boamah et al. (2025) applied semantic matching and historical project data in enhancing risk identification prior to the occurrence of major problems, explicitly defining the model as a support tool in proactive mitigation pl</w:t>
      </w:r>
      <w:r>
        <w:rPr>
          <w:rFonts w:ascii="Times New Roman" w:eastAsia="Times New Roman" w:hAnsi="Times New Roman" w:cs="Times New Roman"/>
          <w:color w:val="000000"/>
          <w:sz w:val="22"/>
          <w:szCs w:val="22"/>
        </w:rPr>
        <w:t xml:space="preserve">anning. </w:t>
      </w:r>
      <w:proofErr w:type="spellStart"/>
      <w:r>
        <w:rPr>
          <w:rFonts w:ascii="Times New Roman" w:eastAsia="Times New Roman" w:hAnsi="Times New Roman" w:cs="Times New Roman"/>
          <w:color w:val="000000"/>
          <w:sz w:val="22"/>
          <w:szCs w:val="22"/>
        </w:rPr>
        <w:t>Leśniak</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Janowiec</w:t>
      </w:r>
      <w:proofErr w:type="spellEnd"/>
      <w:r>
        <w:rPr>
          <w:rFonts w:ascii="Times New Roman" w:eastAsia="Times New Roman" w:hAnsi="Times New Roman" w:cs="Times New Roman"/>
          <w:color w:val="000000"/>
          <w:sz w:val="22"/>
          <w:szCs w:val="22"/>
        </w:rPr>
        <w:t xml:space="preserve"> (2019) expanded the concept by showing that a Bayesian network is capable of comparing the various ways of mitigating the risks of further work on railway projects </w:t>
      </w:r>
      <w:r>
        <w:rPr>
          <w:rFonts w:ascii="Times New Roman" w:eastAsia="Times New Roman" w:hAnsi="Times New Roman" w:cs="Times New Roman"/>
          <w:color w:val="000000"/>
          <w:sz w:val="22"/>
          <w:szCs w:val="22"/>
        </w:rPr>
        <w:lastRenderedPageBreak/>
        <w:t>and determining whether the effect is material or not. Leu et a</w:t>
      </w:r>
      <w:r>
        <w:rPr>
          <w:rFonts w:ascii="Times New Roman" w:eastAsia="Times New Roman" w:hAnsi="Times New Roman" w:cs="Times New Roman"/>
          <w:color w:val="000000"/>
          <w:sz w:val="22"/>
          <w:szCs w:val="22"/>
        </w:rPr>
        <w:t xml:space="preserve">l. (2023) have translated real-time prediction of cost overrun into early warning mechanisms and suggested corrective responses to cost management measures. Meanwhile, </w:t>
      </w:r>
      <w:proofErr w:type="spellStart"/>
      <w:r>
        <w:rPr>
          <w:rFonts w:ascii="Times New Roman" w:eastAsia="Times New Roman" w:hAnsi="Times New Roman" w:cs="Times New Roman"/>
          <w:color w:val="000000"/>
          <w:sz w:val="22"/>
          <w:szCs w:val="22"/>
        </w:rPr>
        <w:t>Ariza</w:t>
      </w:r>
      <w:proofErr w:type="spellEnd"/>
      <w:r>
        <w:rPr>
          <w:rFonts w:ascii="Times New Roman" w:eastAsia="Times New Roman" w:hAnsi="Times New Roman" w:cs="Times New Roman"/>
          <w:color w:val="000000"/>
          <w:sz w:val="22"/>
          <w:szCs w:val="22"/>
        </w:rPr>
        <w:t xml:space="preserve"> Flores and Zavala </w:t>
      </w:r>
      <w:proofErr w:type="spellStart"/>
      <w:r>
        <w:rPr>
          <w:rFonts w:ascii="Times New Roman" w:eastAsia="Times New Roman" w:hAnsi="Times New Roman" w:cs="Times New Roman"/>
          <w:color w:val="000000"/>
          <w:sz w:val="22"/>
          <w:szCs w:val="22"/>
        </w:rPr>
        <w:t>Ascaano</w:t>
      </w:r>
      <w:proofErr w:type="spellEnd"/>
      <w:r>
        <w:rPr>
          <w:rFonts w:ascii="Times New Roman" w:eastAsia="Times New Roman" w:hAnsi="Times New Roman" w:cs="Times New Roman"/>
          <w:color w:val="000000"/>
          <w:sz w:val="22"/>
          <w:szCs w:val="22"/>
        </w:rPr>
        <w:t xml:space="preserve"> (2025) handled a different implementation barrier by dev</w:t>
      </w:r>
      <w:r>
        <w:rPr>
          <w:rFonts w:ascii="Times New Roman" w:eastAsia="Times New Roman" w:hAnsi="Times New Roman" w:cs="Times New Roman"/>
          <w:color w:val="000000"/>
          <w:sz w:val="22"/>
          <w:szCs w:val="22"/>
        </w:rPr>
        <w:t>eloping a quantitative framework that can be implemented by professionals with minimal probabilistic competence when working on road projects.</w:t>
      </w:r>
    </w:p>
    <w:p w14:paraId="0DDD122A"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Moreover, some papers have started the procedure of assembling the forecasting, operational response functions, a</w:t>
      </w:r>
      <w:r>
        <w:rPr>
          <w:rFonts w:ascii="Times New Roman" w:eastAsia="Times New Roman" w:hAnsi="Times New Roman" w:cs="Times New Roman"/>
          <w:color w:val="000000"/>
          <w:sz w:val="22"/>
          <w:szCs w:val="22"/>
        </w:rPr>
        <w:t xml:space="preserve">nd monitoring. The study by </w:t>
      </w:r>
      <w:proofErr w:type="spellStart"/>
      <w:r>
        <w:rPr>
          <w:rFonts w:ascii="Times New Roman" w:eastAsia="Times New Roman" w:hAnsi="Times New Roman" w:cs="Times New Roman"/>
          <w:color w:val="000000"/>
          <w:sz w:val="22"/>
          <w:szCs w:val="22"/>
        </w:rPr>
        <w:t>Radman</w:t>
      </w:r>
      <w:proofErr w:type="spellEnd"/>
      <w:r>
        <w:rPr>
          <w:rFonts w:ascii="Times New Roman" w:eastAsia="Times New Roman" w:hAnsi="Times New Roman" w:cs="Times New Roman"/>
          <w:color w:val="000000"/>
          <w:sz w:val="22"/>
          <w:szCs w:val="22"/>
        </w:rPr>
        <w:t xml:space="preserve"> et al. (2025) revealed that the </w:t>
      </w:r>
      <w:proofErr w:type="spellStart"/>
      <w:r>
        <w:rPr>
          <w:rFonts w:ascii="Times New Roman" w:eastAsia="Times New Roman" w:hAnsi="Times New Roman" w:cs="Times New Roman"/>
          <w:color w:val="000000"/>
          <w:sz w:val="22"/>
          <w:szCs w:val="22"/>
        </w:rPr>
        <w:t>RealCONs</w:t>
      </w:r>
      <w:proofErr w:type="spellEnd"/>
      <w:r>
        <w:rPr>
          <w:rFonts w:ascii="Times New Roman" w:eastAsia="Times New Roman" w:hAnsi="Times New Roman" w:cs="Times New Roman"/>
          <w:color w:val="000000"/>
          <w:sz w:val="22"/>
          <w:szCs w:val="22"/>
        </w:rPr>
        <w:t xml:space="preserve"> framework improved data integration, schedule adherence, early delays identification, and cost management when compared to the current </w:t>
      </w:r>
      <w:proofErr w:type="spellStart"/>
      <w:r>
        <w:rPr>
          <w:rFonts w:ascii="Times New Roman" w:eastAsia="Times New Roman" w:hAnsi="Times New Roman" w:cs="Times New Roman"/>
          <w:color w:val="000000"/>
          <w:sz w:val="22"/>
          <w:szCs w:val="22"/>
        </w:rPr>
        <w:t>practises</w:t>
      </w:r>
      <w:proofErr w:type="spellEnd"/>
      <w:r>
        <w:rPr>
          <w:rFonts w:ascii="Times New Roman" w:eastAsia="Times New Roman" w:hAnsi="Times New Roman" w:cs="Times New Roman"/>
          <w:color w:val="000000"/>
          <w:sz w:val="22"/>
          <w:szCs w:val="22"/>
        </w:rPr>
        <w:t>. By modelling systems and interacti</w:t>
      </w:r>
      <w:r>
        <w:rPr>
          <w:rFonts w:ascii="Times New Roman" w:eastAsia="Times New Roman" w:hAnsi="Times New Roman" w:cs="Times New Roman"/>
          <w:color w:val="000000"/>
          <w:sz w:val="22"/>
          <w:szCs w:val="22"/>
        </w:rPr>
        <w:t>ng risks instead of single factors, Moussa et al. (2024) considerably overcame this critical gap when making predictions to capture the complicated nature of infrastructure delivery. Liu et al. (2021) further provided an additional step by applying a Bayes</w:t>
      </w:r>
      <w:r>
        <w:rPr>
          <w:rFonts w:ascii="Times New Roman" w:eastAsia="Times New Roman" w:hAnsi="Times New Roman" w:cs="Times New Roman"/>
          <w:color w:val="000000"/>
          <w:sz w:val="22"/>
          <w:szCs w:val="22"/>
        </w:rPr>
        <w:t>ian assessment to assess the likelihood of occurrence, sensitivity, and reasoning in a particular case of an urban rail PPP.</w:t>
      </w:r>
    </w:p>
    <w:p w14:paraId="750E8DC0" w14:textId="77777777" w:rsidR="00506EDB" w:rsidRDefault="00506EDB">
      <w:pPr>
        <w:jc w:val="both"/>
        <w:rPr>
          <w:rFonts w:ascii="Times New Roman" w:eastAsia="Times New Roman" w:hAnsi="Times New Roman" w:cs="Times New Roman"/>
          <w:color w:val="000000"/>
          <w:sz w:val="22"/>
          <w:szCs w:val="22"/>
        </w:rPr>
        <w:sectPr w:rsidR="00506ED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pPr>
    </w:p>
    <w:p w14:paraId="4A60FD4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Table 3: Included Studies Data Extraction Table</w:t>
      </w:r>
    </w:p>
    <w:tbl>
      <w:tblPr>
        <w:tblStyle w:val="a1"/>
        <w:tblW w:w="15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60"/>
        <w:gridCol w:w="1559"/>
        <w:gridCol w:w="1984"/>
        <w:gridCol w:w="2127"/>
        <w:gridCol w:w="1842"/>
        <w:gridCol w:w="2268"/>
        <w:gridCol w:w="2410"/>
      </w:tblGrid>
      <w:tr w:rsidR="00506EDB" w14:paraId="1BDC2D9F" w14:textId="77777777">
        <w:trPr>
          <w:trHeight w:val="351"/>
          <w:jc w:val="center"/>
        </w:trPr>
        <w:tc>
          <w:tcPr>
            <w:tcW w:w="1560" w:type="dxa"/>
          </w:tcPr>
          <w:p w14:paraId="05E26B3D"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Study</w:t>
            </w:r>
          </w:p>
        </w:tc>
        <w:tc>
          <w:tcPr>
            <w:tcW w:w="1560" w:type="dxa"/>
          </w:tcPr>
          <w:p w14:paraId="5A38A4BA"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Infrastructure/setting</w:t>
            </w:r>
          </w:p>
        </w:tc>
        <w:tc>
          <w:tcPr>
            <w:tcW w:w="1559" w:type="dxa"/>
          </w:tcPr>
          <w:p w14:paraId="4A145BCC"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Data/sample</w:t>
            </w:r>
          </w:p>
        </w:tc>
        <w:tc>
          <w:tcPr>
            <w:tcW w:w="1984" w:type="dxa"/>
          </w:tcPr>
          <w:p w14:paraId="0A126DFD"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Modeling approach</w:t>
            </w:r>
          </w:p>
        </w:tc>
        <w:tc>
          <w:tcPr>
            <w:tcW w:w="2127" w:type="dxa"/>
          </w:tcPr>
          <w:p w14:paraId="00124454"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Main inputs/ris</w:t>
            </w:r>
            <w:r>
              <w:rPr>
                <w:rFonts w:ascii="Times New Roman" w:eastAsia="Times New Roman" w:hAnsi="Times New Roman" w:cs="Times New Roman"/>
                <w:b/>
                <w:bCs/>
                <w:color w:val="000000"/>
                <w:sz w:val="22"/>
                <w:szCs w:val="22"/>
              </w:rPr>
              <w:t>k drivers</w:t>
            </w:r>
          </w:p>
        </w:tc>
        <w:tc>
          <w:tcPr>
            <w:tcW w:w="1842" w:type="dxa"/>
          </w:tcPr>
          <w:p w14:paraId="57D3ED95"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Outcome/target</w:t>
            </w:r>
          </w:p>
        </w:tc>
        <w:tc>
          <w:tcPr>
            <w:tcW w:w="2268" w:type="dxa"/>
          </w:tcPr>
          <w:p w14:paraId="784E4744"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Validation/performance</w:t>
            </w:r>
          </w:p>
        </w:tc>
        <w:tc>
          <w:tcPr>
            <w:tcW w:w="2410" w:type="dxa"/>
          </w:tcPr>
          <w:p w14:paraId="6E10F6E2"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Decision-support relevance</w:t>
            </w:r>
          </w:p>
        </w:tc>
      </w:tr>
      <w:tr w:rsidR="00506EDB" w14:paraId="63B0BF94" w14:textId="77777777">
        <w:trPr>
          <w:jc w:val="center"/>
        </w:trPr>
        <w:tc>
          <w:tcPr>
            <w:tcW w:w="1560" w:type="dxa"/>
          </w:tcPr>
          <w:p w14:paraId="68CEE76E"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Alshboul</w:t>
            </w:r>
            <w:proofErr w:type="spellEnd"/>
            <w:r>
              <w:rPr>
                <w:rFonts w:ascii="Times New Roman" w:eastAsia="Times New Roman" w:hAnsi="Times New Roman" w:cs="Times New Roman"/>
                <w:b/>
                <w:bCs/>
                <w:color w:val="000000"/>
                <w:sz w:val="22"/>
                <w:szCs w:val="22"/>
              </w:rPr>
              <w:t xml:space="preserve"> et al. (2022)</w:t>
            </w:r>
          </w:p>
        </w:tc>
        <w:tc>
          <w:tcPr>
            <w:tcW w:w="1560" w:type="dxa"/>
          </w:tcPr>
          <w:p w14:paraId="6491496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Highway construction; United States</w:t>
            </w:r>
          </w:p>
        </w:tc>
        <w:tc>
          <w:tcPr>
            <w:tcW w:w="1559" w:type="dxa"/>
          </w:tcPr>
          <w:p w14:paraId="34BA5B4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 years of real project data</w:t>
            </w:r>
          </w:p>
        </w:tc>
        <w:tc>
          <w:tcPr>
            <w:tcW w:w="1984" w:type="dxa"/>
          </w:tcPr>
          <w:p w14:paraId="6C4C584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Modified regression models hybridized with ML; second-order prediction model</w:t>
            </w:r>
          </w:p>
        </w:tc>
        <w:tc>
          <w:tcPr>
            <w:tcW w:w="2127" w:type="dxa"/>
          </w:tcPr>
          <w:p w14:paraId="47E2AEE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Total bid </w:t>
            </w:r>
            <w:r>
              <w:rPr>
                <w:rFonts w:ascii="Times New Roman" w:eastAsia="Times New Roman" w:hAnsi="Times New Roman" w:cs="Times New Roman"/>
                <w:color w:val="000000"/>
                <w:sz w:val="22"/>
                <w:szCs w:val="22"/>
              </w:rPr>
              <w:t>amount, funding indicator, change-order variables, and total adjustment days</w:t>
            </w:r>
          </w:p>
        </w:tc>
        <w:tc>
          <w:tcPr>
            <w:tcW w:w="1842" w:type="dxa"/>
          </w:tcPr>
          <w:p w14:paraId="5E5D709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Liquidated damages as a delivery-risk proxy</w:t>
            </w:r>
          </w:p>
        </w:tc>
        <w:tc>
          <w:tcPr>
            <w:tcW w:w="2268" w:type="dxa"/>
          </w:tcPr>
          <w:p w14:paraId="41B46CE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Seven regression-based models showed high accuracy; the second-order model improved estimation</w:t>
            </w:r>
          </w:p>
        </w:tc>
        <w:tc>
          <w:tcPr>
            <w:tcW w:w="2410" w:type="dxa"/>
          </w:tcPr>
          <w:p w14:paraId="41C2A7E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earlier LD forecasting and cont</w:t>
            </w:r>
            <w:r>
              <w:rPr>
                <w:rFonts w:ascii="Times New Roman" w:eastAsia="Times New Roman" w:hAnsi="Times New Roman" w:cs="Times New Roman"/>
                <w:color w:val="000000"/>
                <w:sz w:val="22"/>
                <w:szCs w:val="22"/>
              </w:rPr>
              <w:t>ractor/owner decision-making</w:t>
            </w:r>
          </w:p>
        </w:tc>
      </w:tr>
      <w:tr w:rsidR="00506EDB" w14:paraId="26057F58" w14:textId="77777777">
        <w:trPr>
          <w:jc w:val="center"/>
        </w:trPr>
        <w:tc>
          <w:tcPr>
            <w:tcW w:w="1560" w:type="dxa"/>
          </w:tcPr>
          <w:p w14:paraId="0EB28F79"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Andrić</w:t>
            </w:r>
            <w:proofErr w:type="spellEnd"/>
            <w:r>
              <w:rPr>
                <w:rFonts w:ascii="Times New Roman" w:eastAsia="Times New Roman" w:hAnsi="Times New Roman" w:cs="Times New Roman"/>
                <w:b/>
                <w:bCs/>
                <w:color w:val="000000"/>
                <w:sz w:val="22"/>
                <w:szCs w:val="22"/>
              </w:rPr>
              <w:t xml:space="preserve"> et al. (2024)</w:t>
            </w:r>
          </w:p>
        </w:tc>
        <w:tc>
          <w:tcPr>
            <w:tcW w:w="1560" w:type="dxa"/>
          </w:tcPr>
          <w:p w14:paraId="7336CE5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 South Asia</w:t>
            </w:r>
          </w:p>
        </w:tc>
        <w:tc>
          <w:tcPr>
            <w:tcW w:w="1559" w:type="dxa"/>
          </w:tcPr>
          <w:p w14:paraId="189731C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138 projects</w:t>
            </w:r>
          </w:p>
        </w:tc>
        <w:tc>
          <w:tcPr>
            <w:tcW w:w="1984" w:type="dxa"/>
          </w:tcPr>
          <w:p w14:paraId="7B5D8C7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Probabilistic/statistical analysis, linear/quadratic regression, random forest, content analysis</w:t>
            </w:r>
          </w:p>
        </w:tc>
        <w:tc>
          <w:tcPr>
            <w:tcW w:w="2127" w:type="dxa"/>
          </w:tcPr>
          <w:p w14:paraId="4EE27DA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Project size, implementation period, time overruns, and </w:t>
            </w:r>
            <w:r>
              <w:rPr>
                <w:rFonts w:ascii="Times New Roman" w:eastAsia="Times New Roman" w:hAnsi="Times New Roman" w:cs="Times New Roman"/>
                <w:color w:val="000000"/>
                <w:sz w:val="22"/>
                <w:szCs w:val="22"/>
              </w:rPr>
              <w:t>coded root causes</w:t>
            </w:r>
          </w:p>
        </w:tc>
        <w:tc>
          <w:tcPr>
            <w:tcW w:w="1842" w:type="dxa"/>
          </w:tcPr>
          <w:p w14:paraId="61FB7A5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overrun level and cause structure</w:t>
            </w:r>
          </w:p>
        </w:tc>
        <w:tc>
          <w:tcPr>
            <w:tcW w:w="2268" w:type="dxa"/>
          </w:tcPr>
          <w:p w14:paraId="0791FD9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Average cost overrun 3.3%; random forest best fit among tested functions</w:t>
            </w:r>
          </w:p>
        </w:tc>
        <w:tc>
          <w:tcPr>
            <w:tcW w:w="2410" w:type="dxa"/>
          </w:tcPr>
          <w:p w14:paraId="06B9EEA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front-end cost estimation and risk-aware decision-making</w:t>
            </w:r>
          </w:p>
        </w:tc>
      </w:tr>
      <w:tr w:rsidR="00506EDB" w14:paraId="02C7BE0E" w14:textId="77777777">
        <w:trPr>
          <w:jc w:val="center"/>
        </w:trPr>
        <w:tc>
          <w:tcPr>
            <w:tcW w:w="1560" w:type="dxa"/>
          </w:tcPr>
          <w:p w14:paraId="3BF3246B"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Ariza</w:t>
            </w:r>
            <w:proofErr w:type="spellEnd"/>
            <w:r>
              <w:rPr>
                <w:rFonts w:ascii="Times New Roman" w:eastAsia="Times New Roman" w:hAnsi="Times New Roman" w:cs="Times New Roman"/>
                <w:b/>
                <w:bCs/>
                <w:color w:val="000000"/>
                <w:sz w:val="22"/>
                <w:szCs w:val="22"/>
              </w:rPr>
              <w:t xml:space="preserve"> Flores &amp; Zavala </w:t>
            </w:r>
            <w:proofErr w:type="spellStart"/>
            <w:r>
              <w:rPr>
                <w:rFonts w:ascii="Times New Roman" w:eastAsia="Times New Roman" w:hAnsi="Times New Roman" w:cs="Times New Roman"/>
                <w:b/>
                <w:bCs/>
                <w:color w:val="000000"/>
                <w:sz w:val="22"/>
                <w:szCs w:val="22"/>
              </w:rPr>
              <w:t>Ascaño</w:t>
            </w:r>
            <w:proofErr w:type="spellEnd"/>
            <w:r>
              <w:rPr>
                <w:rFonts w:ascii="Times New Roman" w:eastAsia="Times New Roman" w:hAnsi="Times New Roman" w:cs="Times New Roman"/>
                <w:b/>
                <w:bCs/>
                <w:color w:val="000000"/>
                <w:sz w:val="22"/>
                <w:szCs w:val="22"/>
              </w:rPr>
              <w:t xml:space="preserve"> (2025)</w:t>
            </w:r>
          </w:p>
        </w:tc>
        <w:tc>
          <w:tcPr>
            <w:tcW w:w="1560" w:type="dxa"/>
          </w:tcPr>
          <w:p w14:paraId="79C8E15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Road infrastructure, Pe</w:t>
            </w:r>
            <w:r>
              <w:rPr>
                <w:rFonts w:ascii="Times New Roman" w:eastAsia="Times New Roman" w:hAnsi="Times New Roman" w:cs="Times New Roman"/>
                <w:color w:val="000000"/>
                <w:sz w:val="22"/>
                <w:szCs w:val="22"/>
              </w:rPr>
              <w:t>ru</w:t>
            </w:r>
          </w:p>
        </w:tc>
        <w:tc>
          <w:tcPr>
            <w:tcW w:w="1559" w:type="dxa"/>
          </w:tcPr>
          <w:p w14:paraId="2A7A3AA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 road projects</w:t>
            </w:r>
          </w:p>
        </w:tc>
        <w:tc>
          <w:tcPr>
            <w:tcW w:w="1984" w:type="dxa"/>
          </w:tcPr>
          <w:p w14:paraId="2E28BD0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Quantitative risk analysis framework combining Monte Carlo simulation and schedule risk analysis</w:t>
            </w:r>
          </w:p>
        </w:tc>
        <w:tc>
          <w:tcPr>
            <w:tcW w:w="2127" w:type="dxa"/>
          </w:tcPr>
          <w:p w14:paraId="6BE7D33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PERT, triangular, and normal distributions; cost and time uncertainty</w:t>
            </w:r>
          </w:p>
        </w:tc>
        <w:tc>
          <w:tcPr>
            <w:tcW w:w="1842" w:type="dxa"/>
          </w:tcPr>
          <w:p w14:paraId="379F990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contingency and schedule contingency</w:t>
            </w:r>
          </w:p>
        </w:tc>
        <w:tc>
          <w:tcPr>
            <w:tcW w:w="2268" w:type="dxa"/>
          </w:tcPr>
          <w:p w14:paraId="00BDD77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Cost contingencies </w:t>
            </w:r>
            <w:r>
              <w:rPr>
                <w:rFonts w:ascii="Times New Roman" w:eastAsia="Times New Roman" w:hAnsi="Times New Roman" w:cs="Times New Roman"/>
                <w:color w:val="000000"/>
                <w:sz w:val="22"/>
                <w:szCs w:val="22"/>
              </w:rPr>
              <w:t>1.34%–11%; schedule contingencies 28.71%–91.67%</w:t>
            </w:r>
          </w:p>
        </w:tc>
        <w:tc>
          <w:tcPr>
            <w:tcW w:w="2410" w:type="dxa"/>
          </w:tcPr>
          <w:p w14:paraId="0DFECB3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Practical low-capacity framework for contingency planning and schedule realism</w:t>
            </w:r>
          </w:p>
        </w:tc>
      </w:tr>
      <w:tr w:rsidR="00506EDB" w14:paraId="6EEEA5A3" w14:textId="77777777">
        <w:trPr>
          <w:jc w:val="center"/>
        </w:trPr>
        <w:tc>
          <w:tcPr>
            <w:tcW w:w="1560" w:type="dxa"/>
          </w:tcPr>
          <w:p w14:paraId="43D2C45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Boamah et al. (2025)</w:t>
            </w:r>
          </w:p>
        </w:tc>
        <w:tc>
          <w:tcPr>
            <w:tcW w:w="1560" w:type="dxa"/>
          </w:tcPr>
          <w:p w14:paraId="07C3F87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w:t>
            </w:r>
          </w:p>
        </w:tc>
        <w:tc>
          <w:tcPr>
            <w:tcW w:w="1559" w:type="dxa"/>
          </w:tcPr>
          <w:p w14:paraId="0420E4A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Historical project risk data</w:t>
            </w:r>
          </w:p>
        </w:tc>
        <w:tc>
          <w:tcPr>
            <w:tcW w:w="1984" w:type="dxa"/>
          </w:tcPr>
          <w:p w14:paraId="7CEF825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AI-driven risk identification using semantic matching </w:t>
            </w:r>
            <w:r>
              <w:rPr>
                <w:rFonts w:ascii="Times New Roman" w:eastAsia="Times New Roman" w:hAnsi="Times New Roman" w:cs="Times New Roman"/>
                <w:color w:val="000000"/>
                <w:sz w:val="22"/>
                <w:szCs w:val="22"/>
              </w:rPr>
              <w:t>of historical risks</w:t>
            </w:r>
          </w:p>
        </w:tc>
        <w:tc>
          <w:tcPr>
            <w:tcW w:w="2127" w:type="dxa"/>
          </w:tcPr>
          <w:p w14:paraId="0B68815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Risk frequency, risk consequence, and semantic similarity to prior cases</w:t>
            </w:r>
          </w:p>
        </w:tc>
        <w:tc>
          <w:tcPr>
            <w:tcW w:w="1842" w:type="dxa"/>
          </w:tcPr>
          <w:p w14:paraId="433623B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Early risk identification</w:t>
            </w:r>
          </w:p>
        </w:tc>
        <w:tc>
          <w:tcPr>
            <w:tcW w:w="2268" w:type="dxa"/>
          </w:tcPr>
          <w:p w14:paraId="0F0435A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Improved reliability over expert-only identification</w:t>
            </w:r>
          </w:p>
        </w:tc>
        <w:tc>
          <w:tcPr>
            <w:tcW w:w="2410" w:type="dxa"/>
          </w:tcPr>
          <w:p w14:paraId="2F8A7D1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Enables proactive mitigation planning at early stages</w:t>
            </w:r>
          </w:p>
        </w:tc>
      </w:tr>
      <w:tr w:rsidR="00506EDB" w14:paraId="15B70C59" w14:textId="77777777">
        <w:trPr>
          <w:jc w:val="center"/>
        </w:trPr>
        <w:tc>
          <w:tcPr>
            <w:tcW w:w="1560" w:type="dxa"/>
          </w:tcPr>
          <w:p w14:paraId="545551D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Deng &amp; Jian (2022)</w:t>
            </w:r>
          </w:p>
        </w:tc>
        <w:tc>
          <w:tcPr>
            <w:tcW w:w="1560" w:type="dxa"/>
          </w:tcPr>
          <w:p w14:paraId="6831165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w:t>
            </w:r>
            <w:r>
              <w:rPr>
                <w:rFonts w:ascii="Times New Roman" w:eastAsia="Times New Roman" w:hAnsi="Times New Roman" w:cs="Times New Roman"/>
                <w:color w:val="000000"/>
                <w:sz w:val="22"/>
                <w:szCs w:val="22"/>
              </w:rPr>
              <w:t>on project case</w:t>
            </w:r>
          </w:p>
        </w:tc>
        <w:tc>
          <w:tcPr>
            <w:tcW w:w="1559" w:type="dxa"/>
          </w:tcPr>
          <w:p w14:paraId="3E33102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Experimental project application</w:t>
            </w:r>
          </w:p>
        </w:tc>
        <w:tc>
          <w:tcPr>
            <w:tcW w:w="1984" w:type="dxa"/>
          </w:tcPr>
          <w:p w14:paraId="47FE738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Improved EVM + CPM + PERT + Monte Carlo simulation</w:t>
            </w:r>
          </w:p>
        </w:tc>
        <w:tc>
          <w:tcPr>
            <w:tcW w:w="2127" w:type="dxa"/>
          </w:tcPr>
          <w:p w14:paraId="07A26B4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Activity logic, resource categories, activity performance</w:t>
            </w:r>
          </w:p>
        </w:tc>
        <w:tc>
          <w:tcPr>
            <w:tcW w:w="1842" w:type="dxa"/>
          </w:tcPr>
          <w:p w14:paraId="7CF9E12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Duration and cost at completion under uncertainty</w:t>
            </w:r>
          </w:p>
        </w:tc>
        <w:tc>
          <w:tcPr>
            <w:tcW w:w="2268" w:type="dxa"/>
          </w:tcPr>
          <w:p w14:paraId="193F59A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Detected serious delay/cost overrun and </w:t>
            </w:r>
            <w:r>
              <w:rPr>
                <w:rFonts w:ascii="Times New Roman" w:eastAsia="Times New Roman" w:hAnsi="Times New Roman" w:cs="Times New Roman"/>
                <w:color w:val="000000"/>
                <w:sz w:val="22"/>
                <w:szCs w:val="22"/>
              </w:rPr>
              <w:t>prioritized critical activities</w:t>
            </w:r>
          </w:p>
        </w:tc>
        <w:tc>
          <w:tcPr>
            <w:tcW w:w="2410" w:type="dxa"/>
          </w:tcPr>
          <w:p w14:paraId="2E5F366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corrective action prioritization during execution</w:t>
            </w:r>
          </w:p>
        </w:tc>
      </w:tr>
      <w:tr w:rsidR="00506EDB" w14:paraId="1A11B29F" w14:textId="77777777">
        <w:trPr>
          <w:jc w:val="center"/>
        </w:trPr>
        <w:tc>
          <w:tcPr>
            <w:tcW w:w="1560" w:type="dxa"/>
          </w:tcPr>
          <w:p w14:paraId="2A6180A2"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Elmousalami</w:t>
            </w:r>
            <w:proofErr w:type="spellEnd"/>
            <w:r>
              <w:rPr>
                <w:rFonts w:ascii="Times New Roman" w:eastAsia="Times New Roman" w:hAnsi="Times New Roman" w:cs="Times New Roman"/>
                <w:b/>
                <w:bCs/>
                <w:color w:val="000000"/>
                <w:sz w:val="22"/>
                <w:szCs w:val="22"/>
              </w:rPr>
              <w:t xml:space="preserve"> et al. (2024)</w:t>
            </w:r>
          </w:p>
        </w:tc>
        <w:tc>
          <w:tcPr>
            <w:tcW w:w="1560" w:type="dxa"/>
          </w:tcPr>
          <w:p w14:paraId="7990999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Irrigation canal rehabilitation / FCIPs</w:t>
            </w:r>
          </w:p>
        </w:tc>
        <w:tc>
          <w:tcPr>
            <w:tcW w:w="1559" w:type="dxa"/>
          </w:tcPr>
          <w:p w14:paraId="3B6064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1,277 historical cases</w:t>
            </w:r>
          </w:p>
        </w:tc>
        <w:tc>
          <w:tcPr>
            <w:tcW w:w="1984" w:type="dxa"/>
          </w:tcPr>
          <w:p w14:paraId="7BF3194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Automated CDVP system; 48 ML models; Bayesian optimization; SHAP</w:t>
            </w:r>
          </w:p>
        </w:tc>
        <w:tc>
          <w:tcPr>
            <w:tcW w:w="2127" w:type="dxa"/>
          </w:tcPr>
          <w:p w14:paraId="381EC3A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 initial</w:t>
            </w:r>
            <w:r>
              <w:rPr>
                <w:rFonts w:ascii="Times New Roman" w:eastAsia="Times New Roman" w:hAnsi="Times New Roman" w:cs="Times New Roman"/>
                <w:color w:val="000000"/>
                <w:sz w:val="22"/>
                <w:szCs w:val="22"/>
              </w:rPr>
              <w:t xml:space="preserve"> parameters reduced to 5 key drivers</w:t>
            </w:r>
          </w:p>
        </w:tc>
        <w:tc>
          <w:tcPr>
            <w:tcW w:w="1842" w:type="dxa"/>
          </w:tcPr>
          <w:p w14:paraId="0F45343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duration, cost variance, duration variance</w:t>
            </w:r>
          </w:p>
        </w:tc>
        <w:tc>
          <w:tcPr>
            <w:tcW w:w="2268" w:type="dxa"/>
          </w:tcPr>
          <w:p w14:paraId="6CEFF0B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Adjusted R² &gt; 0.93; MAPE &lt; 8.97</w:t>
            </w:r>
          </w:p>
        </w:tc>
        <w:tc>
          <w:tcPr>
            <w:tcW w:w="2410" w:type="dxa"/>
          </w:tcPr>
          <w:p w14:paraId="4BF1E60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Produces proactive multi-output forecasts and interpretable drivers</w:t>
            </w:r>
          </w:p>
        </w:tc>
      </w:tr>
      <w:tr w:rsidR="00506EDB" w14:paraId="46458A5B" w14:textId="77777777">
        <w:trPr>
          <w:jc w:val="center"/>
        </w:trPr>
        <w:tc>
          <w:tcPr>
            <w:tcW w:w="1560" w:type="dxa"/>
          </w:tcPr>
          <w:p w14:paraId="33FE33B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Gómez-Cabrera et al. (2025)</w:t>
            </w:r>
          </w:p>
        </w:tc>
        <w:tc>
          <w:tcPr>
            <w:tcW w:w="1560" w:type="dxa"/>
          </w:tcPr>
          <w:p w14:paraId="3A129E9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Educational infrastructure: Colombia</w:t>
            </w:r>
          </w:p>
        </w:tc>
        <w:tc>
          <w:tcPr>
            <w:tcW w:w="1559" w:type="dxa"/>
          </w:tcPr>
          <w:p w14:paraId="7759E52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175 </w:t>
            </w:r>
            <w:r>
              <w:rPr>
                <w:rFonts w:ascii="Times New Roman" w:eastAsia="Times New Roman" w:hAnsi="Times New Roman" w:cs="Times New Roman"/>
                <w:color w:val="000000"/>
                <w:sz w:val="22"/>
                <w:szCs w:val="22"/>
              </w:rPr>
              <w:t>procurement records from the public data platform</w:t>
            </w:r>
          </w:p>
        </w:tc>
        <w:tc>
          <w:tcPr>
            <w:tcW w:w="1984" w:type="dxa"/>
          </w:tcPr>
          <w:p w14:paraId="4EB9307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Data-driven statistical analysis of deviation patterns</w:t>
            </w:r>
          </w:p>
        </w:tc>
        <w:tc>
          <w:tcPr>
            <w:tcW w:w="2127" w:type="dxa"/>
          </w:tcPr>
          <w:p w14:paraId="3185CFC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type, contract value, process type, initial duration, award growth, bidders, project intensity, time suspended</w:t>
            </w:r>
          </w:p>
        </w:tc>
        <w:tc>
          <w:tcPr>
            <w:tcW w:w="1842" w:type="dxa"/>
          </w:tcPr>
          <w:p w14:paraId="757FD6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Time deviation and cost deviatio</w:t>
            </w:r>
            <w:r>
              <w:rPr>
                <w:rFonts w:ascii="Times New Roman" w:eastAsia="Times New Roman" w:hAnsi="Times New Roman" w:cs="Times New Roman"/>
                <w:color w:val="000000"/>
                <w:sz w:val="22"/>
                <w:szCs w:val="22"/>
              </w:rPr>
              <w:t>n</w:t>
            </w:r>
          </w:p>
        </w:tc>
        <w:tc>
          <w:tcPr>
            <w:tcW w:w="2268" w:type="dxa"/>
          </w:tcPr>
          <w:p w14:paraId="444B963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Average time deviation 77.73%; cost deviation 22.17%; significant correlation</w:t>
            </w:r>
          </w:p>
        </w:tc>
        <w:tc>
          <w:tcPr>
            <w:tcW w:w="2410" w:type="dxa"/>
          </w:tcPr>
          <w:p w14:paraId="22CDA52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Useful for portfolio-level planning and procurement reform</w:t>
            </w:r>
          </w:p>
        </w:tc>
      </w:tr>
      <w:tr w:rsidR="00506EDB" w14:paraId="76045464" w14:textId="77777777">
        <w:trPr>
          <w:jc w:val="center"/>
        </w:trPr>
        <w:tc>
          <w:tcPr>
            <w:tcW w:w="1560" w:type="dxa"/>
          </w:tcPr>
          <w:p w14:paraId="74D99FF2"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Ichsan</w:t>
            </w:r>
            <w:proofErr w:type="spellEnd"/>
            <w:r>
              <w:rPr>
                <w:rFonts w:ascii="Times New Roman" w:eastAsia="Times New Roman" w:hAnsi="Times New Roman" w:cs="Times New Roman"/>
                <w:b/>
                <w:bCs/>
                <w:color w:val="000000"/>
                <w:sz w:val="22"/>
                <w:szCs w:val="22"/>
              </w:rPr>
              <w:t xml:space="preserve"> et al. (2025)</w:t>
            </w:r>
          </w:p>
        </w:tc>
        <w:tc>
          <w:tcPr>
            <w:tcW w:w="1560" w:type="dxa"/>
          </w:tcPr>
          <w:p w14:paraId="5BD9ED6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Jakarta Central Railway Station project; Indonesia</w:t>
            </w:r>
          </w:p>
        </w:tc>
        <w:tc>
          <w:tcPr>
            <w:tcW w:w="1559" w:type="dxa"/>
          </w:tcPr>
          <w:p w14:paraId="5275E7E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risk inputs from structured practiti</w:t>
            </w:r>
            <w:r>
              <w:rPr>
                <w:rFonts w:ascii="Times New Roman" w:eastAsia="Times New Roman" w:hAnsi="Times New Roman" w:cs="Times New Roman"/>
                <w:color w:val="000000"/>
                <w:sz w:val="22"/>
                <w:szCs w:val="22"/>
              </w:rPr>
              <w:t>oner/expert interviews</w:t>
            </w:r>
          </w:p>
        </w:tc>
        <w:tc>
          <w:tcPr>
            <w:tcW w:w="1984" w:type="dxa"/>
          </w:tcPr>
          <w:p w14:paraId="104F68E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Monte Carlo simulation with PERT in </w:t>
            </w:r>
            <w:bookmarkStart w:id="0" w:name="_GoBack"/>
            <w:r>
              <w:rPr>
                <w:rFonts w:ascii="Times New Roman" w:eastAsia="Times New Roman" w:hAnsi="Times New Roman" w:cs="Times New Roman"/>
                <w:color w:val="000000"/>
                <w:sz w:val="22"/>
                <w:szCs w:val="22"/>
              </w:rPr>
              <w:t>@</w:t>
            </w:r>
            <w:bookmarkEnd w:id="0"/>
            <w:r>
              <w:rPr>
                <w:rFonts w:ascii="Times New Roman" w:eastAsia="Times New Roman" w:hAnsi="Times New Roman" w:cs="Times New Roman"/>
                <w:color w:val="000000"/>
                <w:sz w:val="22"/>
                <w:szCs w:val="22"/>
              </w:rPr>
              <w:t>RISK</w:t>
            </w:r>
          </w:p>
        </w:tc>
        <w:tc>
          <w:tcPr>
            <w:tcW w:w="2127" w:type="dxa"/>
          </w:tcPr>
          <w:p w14:paraId="517959A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Identified key risks affecting critical-path activities</w:t>
            </w:r>
          </w:p>
        </w:tc>
        <w:tc>
          <w:tcPr>
            <w:tcW w:w="1842" w:type="dxa"/>
          </w:tcPr>
          <w:p w14:paraId="3770A0A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Schedule completion forecast</w:t>
            </w:r>
          </w:p>
        </w:tc>
        <w:tc>
          <w:tcPr>
            <w:tcW w:w="2268" w:type="dxa"/>
          </w:tcPr>
          <w:p w14:paraId="76CEEED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Pre-mitigation duration 130.81%–136.25%; post-mitigation approx. 95.82%–102.23%</w:t>
            </w:r>
          </w:p>
        </w:tc>
        <w:tc>
          <w:tcPr>
            <w:tcW w:w="2410" w:type="dxa"/>
          </w:tcPr>
          <w:p w14:paraId="7BAEA53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Enables quantified schedul</w:t>
            </w:r>
            <w:r>
              <w:rPr>
                <w:rFonts w:ascii="Times New Roman" w:eastAsia="Times New Roman" w:hAnsi="Times New Roman" w:cs="Times New Roman"/>
                <w:color w:val="000000"/>
                <w:sz w:val="22"/>
                <w:szCs w:val="22"/>
              </w:rPr>
              <w:t>e-risk monitoring and mitigation testing</w:t>
            </w:r>
          </w:p>
        </w:tc>
      </w:tr>
      <w:tr w:rsidR="00506EDB" w14:paraId="24478D26" w14:textId="77777777">
        <w:trPr>
          <w:jc w:val="center"/>
        </w:trPr>
        <w:tc>
          <w:tcPr>
            <w:tcW w:w="1560" w:type="dxa"/>
          </w:tcPr>
          <w:p w14:paraId="1F266974"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Leśniak</w:t>
            </w:r>
            <w:proofErr w:type="spellEnd"/>
            <w:r>
              <w:rPr>
                <w:rFonts w:ascii="Times New Roman" w:eastAsia="Times New Roman" w:hAnsi="Times New Roman" w:cs="Times New Roman"/>
                <w:b/>
                <w:bCs/>
                <w:color w:val="000000"/>
                <w:sz w:val="22"/>
                <w:szCs w:val="22"/>
              </w:rPr>
              <w:t xml:space="preserve"> &amp; </w:t>
            </w:r>
            <w:proofErr w:type="spellStart"/>
            <w:r>
              <w:rPr>
                <w:rFonts w:ascii="Times New Roman" w:eastAsia="Times New Roman" w:hAnsi="Times New Roman" w:cs="Times New Roman"/>
                <w:b/>
                <w:bCs/>
                <w:color w:val="000000"/>
                <w:sz w:val="22"/>
                <w:szCs w:val="22"/>
              </w:rPr>
              <w:t>Janowiec</w:t>
            </w:r>
            <w:proofErr w:type="spellEnd"/>
            <w:r>
              <w:rPr>
                <w:rFonts w:ascii="Times New Roman" w:eastAsia="Times New Roman" w:hAnsi="Times New Roman" w:cs="Times New Roman"/>
                <w:b/>
                <w:bCs/>
                <w:color w:val="000000"/>
                <w:sz w:val="22"/>
                <w:szCs w:val="22"/>
              </w:rPr>
              <w:t xml:space="preserve"> (2019)</w:t>
            </w:r>
          </w:p>
        </w:tc>
        <w:tc>
          <w:tcPr>
            <w:tcW w:w="1560" w:type="dxa"/>
          </w:tcPr>
          <w:p w14:paraId="1FA85AF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Railway construction investments</w:t>
            </w:r>
          </w:p>
        </w:tc>
        <w:tc>
          <w:tcPr>
            <w:tcW w:w="1559" w:type="dxa"/>
          </w:tcPr>
          <w:p w14:paraId="18B7593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Scenario-based railway risk analysis</w:t>
            </w:r>
          </w:p>
        </w:tc>
        <w:tc>
          <w:tcPr>
            <w:tcW w:w="1984" w:type="dxa"/>
          </w:tcPr>
          <w:p w14:paraId="4CE5E9B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Bayesian network for additional work risk</w:t>
            </w:r>
          </w:p>
        </w:tc>
        <w:tc>
          <w:tcPr>
            <w:tcW w:w="2127" w:type="dxa"/>
          </w:tcPr>
          <w:p w14:paraId="2B43284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Design changes, implementation-condition changes, additional-works drivers</w:t>
            </w:r>
          </w:p>
        </w:tc>
        <w:tc>
          <w:tcPr>
            <w:tcW w:w="1842" w:type="dxa"/>
          </w:tcPr>
          <w:p w14:paraId="4A6D2B1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Risk of additional works and financial implications</w:t>
            </w:r>
          </w:p>
        </w:tc>
        <w:tc>
          <w:tcPr>
            <w:tcW w:w="2268" w:type="dxa"/>
          </w:tcPr>
          <w:p w14:paraId="591B28D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Feasibility shown through event scenarios and mitigation comparisons</w:t>
            </w:r>
          </w:p>
        </w:tc>
        <w:tc>
          <w:tcPr>
            <w:tcW w:w="2410" w:type="dxa"/>
          </w:tcPr>
          <w:p w14:paraId="01FB646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choosing mitigation paths and acceptable risk levels</w:t>
            </w:r>
          </w:p>
        </w:tc>
      </w:tr>
      <w:tr w:rsidR="00506EDB" w14:paraId="3C9FCA74" w14:textId="77777777">
        <w:trPr>
          <w:jc w:val="center"/>
        </w:trPr>
        <w:tc>
          <w:tcPr>
            <w:tcW w:w="1560" w:type="dxa"/>
          </w:tcPr>
          <w:p w14:paraId="67FEBA7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Leu et al. (2023)</w:t>
            </w:r>
          </w:p>
        </w:tc>
        <w:tc>
          <w:tcPr>
            <w:tcW w:w="1560" w:type="dxa"/>
          </w:tcPr>
          <w:p w14:paraId="3243E83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SRC building project; Taiwan</w:t>
            </w:r>
          </w:p>
        </w:tc>
        <w:tc>
          <w:tcPr>
            <w:tcW w:w="1559" w:type="dxa"/>
          </w:tcPr>
          <w:p w14:paraId="722FFA9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Real-time project-owned c</w:t>
            </w:r>
            <w:r>
              <w:rPr>
                <w:rFonts w:ascii="Times New Roman" w:eastAsia="Times New Roman" w:hAnsi="Times New Roman" w:cs="Times New Roman"/>
                <w:color w:val="000000"/>
                <w:sz w:val="22"/>
                <w:szCs w:val="22"/>
              </w:rPr>
              <w:t>ost data</w:t>
            </w:r>
          </w:p>
        </w:tc>
        <w:tc>
          <w:tcPr>
            <w:tcW w:w="1984" w:type="dxa"/>
          </w:tcPr>
          <w:p w14:paraId="35AD5BA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Hidden Markov model with particle filter; Poisson event assumption</w:t>
            </w:r>
          </w:p>
        </w:tc>
        <w:tc>
          <w:tcPr>
            <w:tcW w:w="2127" w:type="dxa"/>
          </w:tcPr>
          <w:p w14:paraId="56A3008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Real-time cost performance data, cost overrun events, and corrective actions</w:t>
            </w:r>
          </w:p>
        </w:tc>
        <w:tc>
          <w:tcPr>
            <w:tcW w:w="1842" w:type="dxa"/>
          </w:tcPr>
          <w:p w14:paraId="4658C8A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overrun risk</w:t>
            </w:r>
          </w:p>
        </w:tc>
        <w:tc>
          <w:tcPr>
            <w:tcW w:w="2268" w:type="dxa"/>
          </w:tcPr>
          <w:p w14:paraId="5715DD8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Posterior probabilities tracked real cost-overrun ratios closely</w:t>
            </w:r>
          </w:p>
        </w:tc>
        <w:tc>
          <w:tcPr>
            <w:tcW w:w="2410" w:type="dxa"/>
          </w:tcPr>
          <w:p w14:paraId="7CE01C0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Provides early </w:t>
            </w:r>
            <w:r>
              <w:rPr>
                <w:rFonts w:ascii="Times New Roman" w:eastAsia="Times New Roman" w:hAnsi="Times New Roman" w:cs="Times New Roman"/>
                <w:color w:val="000000"/>
                <w:sz w:val="22"/>
                <w:szCs w:val="22"/>
              </w:rPr>
              <w:t>warning and targeted cost-control actions</w:t>
            </w:r>
          </w:p>
        </w:tc>
      </w:tr>
      <w:tr w:rsidR="00506EDB" w14:paraId="35926FB7" w14:textId="77777777">
        <w:trPr>
          <w:jc w:val="center"/>
        </w:trPr>
        <w:tc>
          <w:tcPr>
            <w:tcW w:w="1560" w:type="dxa"/>
          </w:tcPr>
          <w:p w14:paraId="59268780"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Liben</w:t>
            </w:r>
            <w:proofErr w:type="spellEnd"/>
            <w:r>
              <w:rPr>
                <w:rFonts w:ascii="Times New Roman" w:eastAsia="Times New Roman" w:hAnsi="Times New Roman" w:cs="Times New Roman"/>
                <w:b/>
                <w:bCs/>
                <w:color w:val="000000"/>
                <w:sz w:val="22"/>
                <w:szCs w:val="22"/>
              </w:rPr>
              <w:t xml:space="preserve"> et al. (2025)</w:t>
            </w:r>
          </w:p>
        </w:tc>
        <w:tc>
          <w:tcPr>
            <w:tcW w:w="1560" w:type="dxa"/>
          </w:tcPr>
          <w:p w14:paraId="36291EA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Public building projects; Addis Ababa</w:t>
            </w:r>
          </w:p>
        </w:tc>
        <w:tc>
          <w:tcPr>
            <w:tcW w:w="1559" w:type="dxa"/>
          </w:tcPr>
          <w:p w14:paraId="6289CEB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Data from clients, consultants, and supervisors</w:t>
            </w:r>
          </w:p>
        </w:tc>
        <w:tc>
          <w:tcPr>
            <w:tcW w:w="1984" w:type="dxa"/>
          </w:tcPr>
          <w:p w14:paraId="5BCD6CA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Integrated deterministic-probabilistic conceptual model; Monte Carlo + PERT</w:t>
            </w:r>
          </w:p>
        </w:tc>
        <w:tc>
          <w:tcPr>
            <w:tcW w:w="2127" w:type="dxa"/>
          </w:tcPr>
          <w:p w14:paraId="72CEE2E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Number of buildings, regulatory</w:t>
            </w:r>
            <w:r>
              <w:rPr>
                <w:rFonts w:ascii="Times New Roman" w:eastAsia="Times New Roman" w:hAnsi="Times New Roman" w:cs="Times New Roman"/>
                <w:color w:val="000000"/>
                <w:sz w:val="22"/>
                <w:szCs w:val="22"/>
              </w:rPr>
              <w:t xml:space="preserve"> approvals, government shutdowns, location, risk management, site conditions, and historical data</w:t>
            </w:r>
          </w:p>
        </w:tc>
        <w:tc>
          <w:tcPr>
            <w:tcW w:w="1842" w:type="dxa"/>
          </w:tcPr>
          <w:p w14:paraId="05E4227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Construction duration estimation and monitoring</w:t>
            </w:r>
          </w:p>
        </w:tc>
        <w:tc>
          <w:tcPr>
            <w:tcW w:w="2268" w:type="dxa"/>
          </w:tcPr>
          <w:p w14:paraId="1C0A379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 roadmap validated with MAE, RMSE, and R²</w:t>
            </w:r>
          </w:p>
        </w:tc>
        <w:tc>
          <w:tcPr>
            <w:tcW w:w="2410" w:type="dxa"/>
          </w:tcPr>
          <w:p w14:paraId="4F02B2C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Improves schedule realism in uncertain public-sector settings</w:t>
            </w:r>
          </w:p>
        </w:tc>
      </w:tr>
      <w:tr w:rsidR="00506EDB" w14:paraId="7C3372FE" w14:textId="77777777">
        <w:trPr>
          <w:jc w:val="center"/>
        </w:trPr>
        <w:tc>
          <w:tcPr>
            <w:tcW w:w="1560" w:type="dxa"/>
          </w:tcPr>
          <w:p w14:paraId="4DD4820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Liu et al. (2021)</w:t>
            </w:r>
          </w:p>
        </w:tc>
        <w:tc>
          <w:tcPr>
            <w:tcW w:w="1560" w:type="dxa"/>
          </w:tcPr>
          <w:p w14:paraId="6C8CB8A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Urban rail transit PPP; Xuzhou Metro Line 3, China</w:t>
            </w:r>
          </w:p>
        </w:tc>
        <w:tc>
          <w:tcPr>
            <w:tcW w:w="1559" w:type="dxa"/>
          </w:tcPr>
          <w:p w14:paraId="6D95D4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Interviews, surveys, questionnaires, and case verification</w:t>
            </w:r>
          </w:p>
        </w:tc>
        <w:tc>
          <w:tcPr>
            <w:tcW w:w="1984" w:type="dxa"/>
          </w:tcPr>
          <w:p w14:paraId="27FCDB4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Bayesian network</w:t>
            </w:r>
          </w:p>
        </w:tc>
        <w:tc>
          <w:tcPr>
            <w:tcW w:w="2127" w:type="dxa"/>
          </w:tcPr>
          <w:p w14:paraId="2A7594B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PPP-induced construction security risks; occurrence probability, reasoning paths, sensitivity</w:t>
            </w:r>
          </w:p>
        </w:tc>
        <w:tc>
          <w:tcPr>
            <w:tcW w:w="1842" w:type="dxa"/>
          </w:tcPr>
          <w:p w14:paraId="7BD689A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Security-risk </w:t>
            </w:r>
            <w:r>
              <w:rPr>
                <w:rFonts w:ascii="Times New Roman" w:eastAsia="Times New Roman" w:hAnsi="Times New Roman" w:cs="Times New Roman"/>
                <w:color w:val="000000"/>
                <w:sz w:val="22"/>
                <w:szCs w:val="22"/>
              </w:rPr>
              <w:t>assessment during construction</w:t>
            </w:r>
          </w:p>
        </w:tc>
        <w:tc>
          <w:tcPr>
            <w:tcW w:w="2268" w:type="dxa"/>
          </w:tcPr>
          <w:p w14:paraId="706C3B8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Feasibility verified in the metro PPP case</w:t>
            </w:r>
          </w:p>
        </w:tc>
        <w:tc>
          <w:tcPr>
            <w:tcW w:w="2410" w:type="dxa"/>
          </w:tcPr>
          <w:p w14:paraId="0333FB1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construction-stage risk reasoning and sensitivity-based control</w:t>
            </w:r>
          </w:p>
        </w:tc>
      </w:tr>
      <w:tr w:rsidR="00506EDB" w14:paraId="3903E41C" w14:textId="77777777">
        <w:trPr>
          <w:jc w:val="center"/>
        </w:trPr>
        <w:tc>
          <w:tcPr>
            <w:tcW w:w="1560" w:type="dxa"/>
          </w:tcPr>
          <w:p w14:paraId="5CCF86D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Moon et al. (2020)</w:t>
            </w:r>
          </w:p>
        </w:tc>
        <w:tc>
          <w:tcPr>
            <w:tcW w:w="1560" w:type="dxa"/>
          </w:tcPr>
          <w:p w14:paraId="2074CDB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Public projects; South Korea</w:t>
            </w:r>
          </w:p>
        </w:tc>
        <w:tc>
          <w:tcPr>
            <w:tcW w:w="1559" w:type="dxa"/>
          </w:tcPr>
          <w:p w14:paraId="3C0560C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234 public-sector projects</w:t>
            </w:r>
          </w:p>
        </w:tc>
        <w:tc>
          <w:tcPr>
            <w:tcW w:w="1984" w:type="dxa"/>
          </w:tcPr>
          <w:p w14:paraId="355F07C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Ensemble-learning classification </w:t>
            </w:r>
            <w:r>
              <w:rPr>
                <w:rFonts w:ascii="Times New Roman" w:eastAsia="Times New Roman" w:hAnsi="Times New Roman" w:cs="Times New Roman"/>
                <w:color w:val="000000"/>
                <w:sz w:val="22"/>
                <w:szCs w:val="22"/>
              </w:rPr>
              <w:t>model</w:t>
            </w:r>
          </w:p>
        </w:tc>
        <w:tc>
          <w:tcPr>
            <w:tcW w:w="2127" w:type="dxa"/>
          </w:tcPr>
          <w:p w14:paraId="19B9B0A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Delivery method, project type, cost, schedule, award method, bidders, bid/estimate ratio, joint ventures</w:t>
            </w:r>
          </w:p>
        </w:tc>
        <w:tc>
          <w:tcPr>
            <w:tcW w:w="1842" w:type="dxa"/>
          </w:tcPr>
          <w:p w14:paraId="03BA2D2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overrun level at the bidding stage</w:t>
            </w:r>
          </w:p>
        </w:tc>
        <w:tc>
          <w:tcPr>
            <w:tcW w:w="2268" w:type="dxa"/>
          </w:tcPr>
          <w:p w14:paraId="186376D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Average accuracy 61.41% across five runs</w:t>
            </w:r>
          </w:p>
        </w:tc>
        <w:tc>
          <w:tcPr>
            <w:tcW w:w="2410" w:type="dxa"/>
          </w:tcPr>
          <w:p w14:paraId="3AD2834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Screens high-risk bids before contract finalization</w:t>
            </w:r>
          </w:p>
        </w:tc>
      </w:tr>
      <w:tr w:rsidR="00506EDB" w14:paraId="23C44831" w14:textId="77777777">
        <w:trPr>
          <w:jc w:val="center"/>
        </w:trPr>
        <w:tc>
          <w:tcPr>
            <w:tcW w:w="1560" w:type="dxa"/>
          </w:tcPr>
          <w:p w14:paraId="6552D66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Moussa et a</w:t>
            </w:r>
            <w:r>
              <w:rPr>
                <w:rFonts w:ascii="Times New Roman" w:eastAsia="Times New Roman" w:hAnsi="Times New Roman" w:cs="Times New Roman"/>
                <w:b/>
                <w:bCs/>
                <w:color w:val="000000"/>
                <w:sz w:val="22"/>
                <w:szCs w:val="22"/>
              </w:rPr>
              <w:t>l. (2024)</w:t>
            </w:r>
          </w:p>
        </w:tc>
        <w:tc>
          <w:tcPr>
            <w:tcW w:w="1560" w:type="dxa"/>
          </w:tcPr>
          <w:p w14:paraId="35F8B55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w:t>
            </w:r>
          </w:p>
        </w:tc>
        <w:tc>
          <w:tcPr>
            <w:tcW w:w="1559" w:type="dxa"/>
          </w:tcPr>
          <w:p w14:paraId="2150B43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Historical project data</w:t>
            </w:r>
          </w:p>
        </w:tc>
        <w:tc>
          <w:tcPr>
            <w:tcW w:w="1984" w:type="dxa"/>
          </w:tcPr>
          <w:p w14:paraId="301ED9B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ML for risk interactions and systemic risks</w:t>
            </w:r>
          </w:p>
        </w:tc>
        <w:tc>
          <w:tcPr>
            <w:tcW w:w="2127" w:type="dxa"/>
          </w:tcPr>
          <w:p w14:paraId="2A92B6E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Interacting risks, systemic risk structures, and project-performance indicators</w:t>
            </w:r>
          </w:p>
        </w:tc>
        <w:tc>
          <w:tcPr>
            <w:tcW w:w="1842" w:type="dxa"/>
          </w:tcPr>
          <w:p w14:paraId="598017C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Predicted performance impacts under interacting/systemic risks</w:t>
            </w:r>
          </w:p>
        </w:tc>
        <w:tc>
          <w:tcPr>
            <w:tcW w:w="2268" w:type="dxa"/>
          </w:tcPr>
          <w:p w14:paraId="221C44C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Reported </w:t>
            </w:r>
            <w:r>
              <w:rPr>
                <w:rFonts w:ascii="Times New Roman" w:eastAsia="Times New Roman" w:hAnsi="Times New Roman" w:cs="Times New Roman"/>
                <w:color w:val="000000"/>
                <w:sz w:val="22"/>
                <w:szCs w:val="22"/>
              </w:rPr>
              <w:t>accurate and practical data-driven predictions</w:t>
            </w:r>
          </w:p>
        </w:tc>
        <w:tc>
          <w:tcPr>
            <w:tcW w:w="2410" w:type="dxa"/>
          </w:tcPr>
          <w:p w14:paraId="3187047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more integrated mitigation than isolated-risk models</w:t>
            </w:r>
          </w:p>
        </w:tc>
      </w:tr>
      <w:tr w:rsidR="00506EDB" w14:paraId="494BC858" w14:textId="77777777">
        <w:trPr>
          <w:jc w:val="center"/>
        </w:trPr>
        <w:tc>
          <w:tcPr>
            <w:tcW w:w="1560" w:type="dxa"/>
          </w:tcPr>
          <w:p w14:paraId="3C12414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Nassar &amp; </w:t>
            </w:r>
            <w:proofErr w:type="spellStart"/>
            <w:r>
              <w:rPr>
                <w:rFonts w:ascii="Times New Roman" w:eastAsia="Times New Roman" w:hAnsi="Times New Roman" w:cs="Times New Roman"/>
                <w:b/>
                <w:bCs/>
                <w:color w:val="000000"/>
                <w:sz w:val="22"/>
                <w:szCs w:val="22"/>
              </w:rPr>
              <w:t>Elbisy</w:t>
            </w:r>
            <w:proofErr w:type="spellEnd"/>
            <w:r>
              <w:rPr>
                <w:rFonts w:ascii="Times New Roman" w:eastAsia="Times New Roman" w:hAnsi="Times New Roman" w:cs="Times New Roman"/>
                <w:b/>
                <w:bCs/>
                <w:color w:val="000000"/>
                <w:sz w:val="22"/>
                <w:szCs w:val="22"/>
              </w:rPr>
              <w:t xml:space="preserve"> (2024)</w:t>
            </w:r>
          </w:p>
        </w:tc>
        <w:tc>
          <w:tcPr>
            <w:tcW w:w="1560" w:type="dxa"/>
          </w:tcPr>
          <w:p w14:paraId="235F844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Marine construction projects</w:t>
            </w:r>
          </w:p>
        </w:tc>
        <w:tc>
          <w:tcPr>
            <w:tcW w:w="1559" w:type="dxa"/>
          </w:tcPr>
          <w:p w14:paraId="2262942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Expert-derived factor set</w:t>
            </w:r>
          </w:p>
        </w:tc>
        <w:tc>
          <w:tcPr>
            <w:tcW w:w="1984" w:type="dxa"/>
          </w:tcPr>
          <w:p w14:paraId="3ADB49E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GRNN, SVM, Tree Boost; Taylor diagram and five statistics</w:t>
            </w:r>
          </w:p>
        </w:tc>
        <w:tc>
          <w:tcPr>
            <w:tcW w:w="2127" w:type="dxa"/>
          </w:tcPr>
          <w:p w14:paraId="09AF0EA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43 factors</w:t>
            </w:r>
            <w:r>
              <w:rPr>
                <w:rFonts w:ascii="Times New Roman" w:eastAsia="Times New Roman" w:hAnsi="Times New Roman" w:cs="Times New Roman"/>
                <w:color w:val="000000"/>
                <w:sz w:val="22"/>
                <w:szCs w:val="22"/>
              </w:rPr>
              <w:t xml:space="preserve"> in 9 groups; ranked by relative importance index</w:t>
            </w:r>
          </w:p>
        </w:tc>
        <w:tc>
          <w:tcPr>
            <w:tcW w:w="1842" w:type="dxa"/>
          </w:tcPr>
          <w:p w14:paraId="1BD2713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Time delay</w:t>
            </w:r>
          </w:p>
        </w:tc>
        <w:tc>
          <w:tcPr>
            <w:tcW w:w="2268" w:type="dxa"/>
          </w:tcPr>
          <w:p w14:paraId="734F170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GRNN outperformed SVM and Tree Boost</w:t>
            </w:r>
          </w:p>
        </w:tc>
        <w:tc>
          <w:tcPr>
            <w:tcW w:w="2410" w:type="dxa"/>
          </w:tcPr>
          <w:p w14:paraId="3C349BD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Provides a usable delay-prediction tool for marine projects</w:t>
            </w:r>
          </w:p>
        </w:tc>
      </w:tr>
      <w:tr w:rsidR="00506EDB" w14:paraId="43515B10" w14:textId="77777777">
        <w:trPr>
          <w:jc w:val="center"/>
        </w:trPr>
        <w:tc>
          <w:tcPr>
            <w:tcW w:w="1560" w:type="dxa"/>
          </w:tcPr>
          <w:p w14:paraId="7B51C31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Nyarko-Boateng et al. (2020)</w:t>
            </w:r>
          </w:p>
        </w:tc>
        <w:tc>
          <w:tcPr>
            <w:tcW w:w="1560" w:type="dxa"/>
          </w:tcPr>
          <w:p w14:paraId="0AB7260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Underground fiber-optic infrastructure</w:t>
            </w:r>
          </w:p>
        </w:tc>
        <w:tc>
          <w:tcPr>
            <w:tcW w:w="1559" w:type="dxa"/>
          </w:tcPr>
          <w:p w14:paraId="2F39883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Infrastructure failure </w:t>
            </w:r>
            <w:r>
              <w:rPr>
                <w:rFonts w:ascii="Times New Roman" w:eastAsia="Times New Roman" w:hAnsi="Times New Roman" w:cs="Times New Roman"/>
                <w:color w:val="000000"/>
                <w:sz w:val="22"/>
                <w:szCs w:val="22"/>
              </w:rPr>
              <w:t>records</w:t>
            </w:r>
          </w:p>
        </w:tc>
        <w:tc>
          <w:tcPr>
            <w:tcW w:w="1984" w:type="dxa"/>
          </w:tcPr>
          <w:p w14:paraId="4D2BAB5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FFNN and linear regression</w:t>
            </w:r>
          </w:p>
        </w:tc>
        <w:tc>
          <w:tcPr>
            <w:tcW w:w="2127" w:type="dxa"/>
          </w:tcPr>
          <w:p w14:paraId="1F5981D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Cause of failure, geographic area, mean time to repair</w:t>
            </w:r>
          </w:p>
        </w:tc>
        <w:tc>
          <w:tcPr>
            <w:tcW w:w="1842" w:type="dxa"/>
          </w:tcPr>
          <w:p w14:paraId="47D6453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Repair cost of hard failures</w:t>
            </w:r>
          </w:p>
        </w:tc>
        <w:tc>
          <w:tcPr>
            <w:tcW w:w="2268" w:type="dxa"/>
          </w:tcPr>
          <w:p w14:paraId="022AD08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 predictive accuracy reported</w:t>
            </w:r>
          </w:p>
        </w:tc>
        <w:tc>
          <w:tcPr>
            <w:tcW w:w="2410" w:type="dxa"/>
          </w:tcPr>
          <w:p w14:paraId="3F8DF08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Helps utilities anticipate repair costs before failure response</w:t>
            </w:r>
          </w:p>
        </w:tc>
      </w:tr>
      <w:tr w:rsidR="00506EDB" w14:paraId="6C7527D4" w14:textId="77777777">
        <w:trPr>
          <w:jc w:val="center"/>
        </w:trPr>
        <w:tc>
          <w:tcPr>
            <w:tcW w:w="1560" w:type="dxa"/>
          </w:tcPr>
          <w:p w14:paraId="231F547F"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Radman</w:t>
            </w:r>
            <w:proofErr w:type="spellEnd"/>
            <w:r>
              <w:rPr>
                <w:rFonts w:ascii="Times New Roman" w:eastAsia="Times New Roman" w:hAnsi="Times New Roman" w:cs="Times New Roman"/>
                <w:b/>
                <w:bCs/>
                <w:color w:val="000000"/>
                <w:sz w:val="22"/>
                <w:szCs w:val="22"/>
              </w:rPr>
              <w:t xml:space="preserve"> et al. (2025)</w:t>
            </w:r>
          </w:p>
        </w:tc>
        <w:tc>
          <w:tcPr>
            <w:tcW w:w="1560" w:type="dxa"/>
          </w:tcPr>
          <w:p w14:paraId="03F964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Construction proj</w:t>
            </w:r>
            <w:r>
              <w:rPr>
                <w:rFonts w:ascii="Times New Roman" w:eastAsia="Times New Roman" w:hAnsi="Times New Roman" w:cs="Times New Roman"/>
                <w:color w:val="000000"/>
                <w:sz w:val="22"/>
                <w:szCs w:val="22"/>
              </w:rPr>
              <w:t>ects using BIM, cloud PM, and site data</w:t>
            </w:r>
          </w:p>
        </w:tc>
        <w:tc>
          <w:tcPr>
            <w:tcW w:w="1559" w:type="dxa"/>
          </w:tcPr>
          <w:p w14:paraId="1187DC7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Comparative analysis of 8 case studies</w:t>
            </w:r>
          </w:p>
        </w:tc>
        <w:tc>
          <w:tcPr>
            <w:tcW w:w="1984" w:type="dxa"/>
          </w:tcPr>
          <w:p w14:paraId="2421ACAE"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RealCON's</w:t>
            </w:r>
            <w:proofErr w:type="spellEnd"/>
            <w:r>
              <w:rPr>
                <w:rFonts w:ascii="Times New Roman" w:eastAsia="Times New Roman" w:hAnsi="Times New Roman" w:cs="Times New Roman"/>
                <w:color w:val="000000"/>
                <w:sz w:val="22"/>
                <w:szCs w:val="22"/>
              </w:rPr>
              <w:t xml:space="preserve"> real-time data-driven framework</w:t>
            </w:r>
          </w:p>
        </w:tc>
        <w:tc>
          <w:tcPr>
            <w:tcW w:w="2127" w:type="dxa"/>
          </w:tcPr>
          <w:p w14:paraId="3AEA54D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Multi-source project data integration, EVM/ESM indicators, process latency</w:t>
            </w:r>
          </w:p>
        </w:tc>
        <w:tc>
          <w:tcPr>
            <w:tcW w:w="1842" w:type="dxa"/>
          </w:tcPr>
          <w:p w14:paraId="4AC4CC5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Forecasting accuracy, schedule adherence, and cost managemen</w:t>
            </w:r>
            <w:r>
              <w:rPr>
                <w:rFonts w:ascii="Times New Roman" w:eastAsia="Times New Roman" w:hAnsi="Times New Roman" w:cs="Times New Roman"/>
                <w:color w:val="000000"/>
                <w:sz w:val="22"/>
                <w:szCs w:val="22"/>
              </w:rPr>
              <w:t>t</w:t>
            </w:r>
          </w:p>
        </w:tc>
        <w:tc>
          <w:tcPr>
            <w:tcW w:w="2268" w:type="dxa"/>
          </w:tcPr>
          <w:p w14:paraId="7ADEF29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Gains confirmed using EVM/ESM plus Shapiro–Wilk and Wilcoxon tests</w:t>
            </w:r>
          </w:p>
        </w:tc>
        <w:tc>
          <w:tcPr>
            <w:tcW w:w="2410" w:type="dxa"/>
          </w:tcPr>
          <w:p w14:paraId="560DDA1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Strong evidence for real-time delay notification and proactive control</w:t>
            </w:r>
          </w:p>
        </w:tc>
      </w:tr>
      <w:tr w:rsidR="00506EDB" w14:paraId="3E2C28A3" w14:textId="77777777">
        <w:trPr>
          <w:jc w:val="center"/>
        </w:trPr>
        <w:tc>
          <w:tcPr>
            <w:tcW w:w="1560" w:type="dxa"/>
          </w:tcPr>
          <w:p w14:paraId="6585F10A"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Senić</w:t>
            </w:r>
            <w:proofErr w:type="spellEnd"/>
            <w:r>
              <w:rPr>
                <w:rFonts w:ascii="Times New Roman" w:eastAsia="Times New Roman" w:hAnsi="Times New Roman" w:cs="Times New Roman"/>
                <w:b/>
                <w:bCs/>
                <w:color w:val="000000"/>
                <w:sz w:val="22"/>
                <w:szCs w:val="22"/>
              </w:rPr>
              <w:t xml:space="preserve"> et al. (2024)</w:t>
            </w:r>
          </w:p>
        </w:tc>
        <w:tc>
          <w:tcPr>
            <w:tcW w:w="1560" w:type="dxa"/>
          </w:tcPr>
          <w:p w14:paraId="5E7D04B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Road infrastructure projects</w:t>
            </w:r>
          </w:p>
        </w:tc>
        <w:tc>
          <w:tcPr>
            <w:tcW w:w="1559" w:type="dxa"/>
          </w:tcPr>
          <w:p w14:paraId="7D2BCD6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Literature review plus completed project analysis</w:t>
            </w:r>
          </w:p>
        </w:tc>
        <w:tc>
          <w:tcPr>
            <w:tcW w:w="1984" w:type="dxa"/>
          </w:tcPr>
          <w:p w14:paraId="1472F2B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Risk </w:t>
            </w:r>
            <w:r>
              <w:rPr>
                <w:rFonts w:ascii="Times New Roman" w:eastAsia="Times New Roman" w:hAnsi="Times New Roman" w:cs="Times New Roman"/>
                <w:color w:val="000000"/>
                <w:sz w:val="22"/>
                <w:szCs w:val="22"/>
              </w:rPr>
              <w:t>quantification and clustering model</w:t>
            </w:r>
          </w:p>
        </w:tc>
        <w:tc>
          <w:tcPr>
            <w:tcW w:w="2127" w:type="dxa"/>
          </w:tcPr>
          <w:p w14:paraId="18D5D5F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Risks driving an increase in contract price and extension of time; occurrence probabilities</w:t>
            </w:r>
          </w:p>
        </w:tc>
        <w:tc>
          <w:tcPr>
            <w:tcW w:w="1842" w:type="dxa"/>
          </w:tcPr>
          <w:p w14:paraId="5E7DE76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ICP and </w:t>
            </w:r>
            <w:proofErr w:type="spellStart"/>
            <w:r>
              <w:rPr>
                <w:rFonts w:ascii="Times New Roman" w:eastAsia="Times New Roman" w:hAnsi="Times New Roman" w:cs="Times New Roman"/>
                <w:color w:val="000000"/>
                <w:sz w:val="22"/>
                <w:szCs w:val="22"/>
              </w:rPr>
              <w:t>EoT</w:t>
            </w:r>
            <w:proofErr w:type="spellEnd"/>
            <w:r>
              <w:rPr>
                <w:rFonts w:ascii="Times New Roman" w:eastAsia="Times New Roman" w:hAnsi="Times New Roman" w:cs="Times New Roman"/>
                <w:color w:val="000000"/>
                <w:sz w:val="22"/>
                <w:szCs w:val="22"/>
              </w:rPr>
              <w:t xml:space="preserve"> risk quantification</w:t>
            </w:r>
          </w:p>
        </w:tc>
        <w:tc>
          <w:tcPr>
            <w:tcW w:w="2268" w:type="dxa"/>
          </w:tcPr>
          <w:p w14:paraId="1F242F1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Quantified values and probabilities are used to define priority clusters</w:t>
            </w:r>
          </w:p>
        </w:tc>
        <w:tc>
          <w:tcPr>
            <w:tcW w:w="2410" w:type="dxa"/>
          </w:tcPr>
          <w:p w14:paraId="4A3068A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Directly links quantifi</w:t>
            </w:r>
            <w:r>
              <w:rPr>
                <w:rFonts w:ascii="Times New Roman" w:eastAsia="Times New Roman" w:hAnsi="Times New Roman" w:cs="Times New Roman"/>
                <w:color w:val="000000"/>
                <w:sz w:val="22"/>
                <w:szCs w:val="22"/>
              </w:rPr>
              <w:t>ed risks to preventive funding and action priorities</w:t>
            </w:r>
          </w:p>
        </w:tc>
      </w:tr>
      <w:tr w:rsidR="00506EDB" w14:paraId="0CC860D9" w14:textId="77777777">
        <w:trPr>
          <w:jc w:val="center"/>
        </w:trPr>
        <w:tc>
          <w:tcPr>
            <w:tcW w:w="1560" w:type="dxa"/>
          </w:tcPr>
          <w:p w14:paraId="3F1FB7C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Sing et al. (2025)</w:t>
            </w:r>
          </w:p>
        </w:tc>
        <w:tc>
          <w:tcPr>
            <w:tcW w:w="1560" w:type="dxa"/>
          </w:tcPr>
          <w:p w14:paraId="3ED925F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 from public works departments</w:t>
            </w:r>
          </w:p>
        </w:tc>
        <w:tc>
          <w:tcPr>
            <w:tcW w:w="1559" w:type="dxa"/>
          </w:tcPr>
          <w:p w14:paraId="2B92D0D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122 projects totaling HKD 5,465 billion</w:t>
            </w:r>
          </w:p>
        </w:tc>
        <w:tc>
          <w:tcPr>
            <w:tcW w:w="1984" w:type="dxa"/>
          </w:tcPr>
          <w:p w14:paraId="3A63C7D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Seven ML algorithms; ANN best; interval prediction with bootstrapping and Monte Carlo </w:t>
            </w:r>
            <w:r>
              <w:rPr>
                <w:rFonts w:ascii="Times New Roman" w:eastAsia="Times New Roman" w:hAnsi="Times New Roman" w:cs="Times New Roman"/>
                <w:color w:val="000000"/>
                <w:sz w:val="22"/>
                <w:szCs w:val="22"/>
              </w:rPr>
              <w:t>dropout; complexity index</w:t>
            </w:r>
          </w:p>
        </w:tc>
        <w:tc>
          <w:tcPr>
            <w:tcW w:w="2127" w:type="dxa"/>
          </w:tcPr>
          <w:p w14:paraId="20F5575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size, duration, complexity index</w:t>
            </w:r>
          </w:p>
        </w:tc>
        <w:tc>
          <w:tcPr>
            <w:tcW w:w="1842" w:type="dxa"/>
          </w:tcPr>
          <w:p w14:paraId="7F25A50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contingency estimation</w:t>
            </w:r>
          </w:p>
        </w:tc>
        <w:tc>
          <w:tcPr>
            <w:tcW w:w="2268" w:type="dxa"/>
          </w:tcPr>
          <w:p w14:paraId="623A309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ANN R² improved from 0.808 to 0.889 with the complexity index</w:t>
            </w:r>
          </w:p>
        </w:tc>
        <w:tc>
          <w:tcPr>
            <w:tcW w:w="2410" w:type="dxa"/>
          </w:tcPr>
          <w:p w14:paraId="6D66689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Improves contingency estimation with uncertainty intervals</w:t>
            </w:r>
          </w:p>
        </w:tc>
      </w:tr>
    </w:tbl>
    <w:p w14:paraId="7E382A96" w14:textId="77777777" w:rsidR="00506EDB" w:rsidRDefault="00506EDB">
      <w:pPr>
        <w:jc w:val="both"/>
        <w:rPr>
          <w:rFonts w:ascii="Times New Roman" w:eastAsia="Times New Roman" w:hAnsi="Times New Roman" w:cs="Times New Roman"/>
          <w:color w:val="000000"/>
          <w:sz w:val="22"/>
          <w:szCs w:val="22"/>
        </w:rPr>
        <w:sectPr w:rsidR="00506EDB">
          <w:pgSz w:w="15840" w:h="12240" w:orient="landscape"/>
          <w:pgMar w:top="1440" w:right="1440" w:bottom="1440" w:left="1440" w:header="720" w:footer="720" w:gutter="0"/>
          <w:cols w:space="720"/>
        </w:sectPr>
      </w:pPr>
    </w:p>
    <w:p w14:paraId="4BC6C0D1"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4.0 Discussion</w:t>
      </w:r>
    </w:p>
    <w:p w14:paraId="22DFE360"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4.1 Summary of </w:t>
      </w:r>
      <w:r>
        <w:rPr>
          <w:rFonts w:ascii="Times New Roman" w:eastAsia="Times New Roman" w:hAnsi="Times New Roman" w:cs="Times New Roman"/>
          <w:b/>
          <w:bCs/>
          <w:color w:val="000000"/>
          <w:sz w:val="22"/>
          <w:szCs w:val="22"/>
        </w:rPr>
        <w:t>key findings</w:t>
      </w:r>
    </w:p>
    <w:p w14:paraId="02229E5D"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Across the 19 studies, data-driven models were shown to consistently improve the management and prediction of cost risks and schedule, although the level of maturity and performance varied depending on the approach taken. Machine-learning mode</w:t>
      </w:r>
      <w:r>
        <w:rPr>
          <w:rFonts w:ascii="Times New Roman" w:eastAsia="Times New Roman" w:hAnsi="Times New Roman" w:cs="Times New Roman"/>
          <w:color w:val="000000"/>
          <w:sz w:val="22"/>
          <w:szCs w:val="22"/>
        </w:rPr>
        <w:t xml:space="preserve">ls often outperformed traditional methods in predicting liquidated damages, delays, contingencies, and variance, with artificial neural networks, random forest, GRNN, and gradient boosting frequently proving effective. Probabilistic approaches also proved </w:t>
      </w:r>
      <w:r>
        <w:rPr>
          <w:rFonts w:ascii="Times New Roman" w:eastAsia="Times New Roman" w:hAnsi="Times New Roman" w:cs="Times New Roman"/>
          <w:color w:val="000000"/>
          <w:sz w:val="22"/>
          <w:szCs w:val="22"/>
        </w:rPr>
        <w:t>valuable. For example, Bayesian networks clarified causal pathways and mitigation options in urban rail PPP and railway risks, while Monte Carlo-based models converted uncertainty into cost contingencies and actionable time. Several studies identified seve</w:t>
      </w:r>
      <w:r>
        <w:rPr>
          <w:rFonts w:ascii="Times New Roman" w:eastAsia="Times New Roman" w:hAnsi="Times New Roman" w:cs="Times New Roman"/>
          <w:color w:val="000000"/>
          <w:sz w:val="22"/>
          <w:szCs w:val="22"/>
        </w:rPr>
        <w:t>ral recurring drivers, particularly implementation period, project size, project complexity, contract value, regulatory approvals, change orders, site conditions, bidders, and time-related disruption variables. The most valuable contributions translated mo</w:t>
      </w:r>
      <w:r>
        <w:rPr>
          <w:rFonts w:ascii="Times New Roman" w:eastAsia="Times New Roman" w:hAnsi="Times New Roman" w:cs="Times New Roman"/>
          <w:color w:val="000000"/>
          <w:sz w:val="22"/>
          <w:szCs w:val="22"/>
        </w:rPr>
        <w:t xml:space="preserve">del outputs into decisions such as dashboard-based monitoring, </w:t>
      </w:r>
      <w:proofErr w:type="spellStart"/>
      <w:r>
        <w:rPr>
          <w:rFonts w:ascii="Times New Roman" w:eastAsia="Times New Roman" w:hAnsi="Times New Roman" w:cs="Times New Roman"/>
          <w:color w:val="000000"/>
          <w:sz w:val="22"/>
          <w:szCs w:val="22"/>
        </w:rPr>
        <w:t>prioritising</w:t>
      </w:r>
      <w:proofErr w:type="spellEnd"/>
      <w:r>
        <w:rPr>
          <w:rFonts w:ascii="Times New Roman" w:eastAsia="Times New Roman" w:hAnsi="Times New Roman" w:cs="Times New Roman"/>
          <w:color w:val="000000"/>
          <w:sz w:val="22"/>
          <w:szCs w:val="22"/>
        </w:rPr>
        <w:t xml:space="preserve"> risks, setting contingencies, providing early warnings, taking activity-level corrective actions, and enabling real-time. However, validation was usually internal and case-based, a</w:t>
      </w:r>
      <w:r>
        <w:rPr>
          <w:rFonts w:ascii="Times New Roman" w:eastAsia="Times New Roman" w:hAnsi="Times New Roman" w:cs="Times New Roman"/>
          <w:color w:val="000000"/>
          <w:sz w:val="22"/>
          <w:szCs w:val="22"/>
        </w:rPr>
        <w:t xml:space="preserve">nd rarely demonstrated cross-project </w:t>
      </w:r>
      <w:proofErr w:type="spellStart"/>
      <w:r>
        <w:rPr>
          <w:rFonts w:ascii="Times New Roman" w:eastAsia="Times New Roman" w:hAnsi="Times New Roman" w:cs="Times New Roman"/>
          <w:color w:val="000000"/>
          <w:sz w:val="22"/>
          <w:szCs w:val="22"/>
        </w:rPr>
        <w:t>generalisation</w:t>
      </w:r>
      <w:proofErr w:type="spellEnd"/>
      <w:r>
        <w:rPr>
          <w:rFonts w:ascii="Times New Roman" w:eastAsia="Times New Roman" w:hAnsi="Times New Roman" w:cs="Times New Roman"/>
          <w:color w:val="000000"/>
          <w:sz w:val="22"/>
          <w:szCs w:val="22"/>
        </w:rPr>
        <w:t xml:space="preserve"> or post-deployment impact.</w:t>
      </w:r>
    </w:p>
    <w:p w14:paraId="05220A04"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4.2 Comparison of Findings with Global Literature</w:t>
      </w:r>
    </w:p>
    <w:p w14:paraId="05E6DFBA"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Compared with global evidence, this review demonstrates that infrastructure risk modelling is evolving from descriptive explana</w:t>
      </w:r>
      <w:r>
        <w:rPr>
          <w:rFonts w:ascii="Times New Roman" w:eastAsia="Times New Roman" w:hAnsi="Times New Roman" w:cs="Times New Roman"/>
          <w:color w:val="000000"/>
          <w:sz w:val="22"/>
          <w:szCs w:val="22"/>
        </w:rPr>
        <w:t>tions of cost and time overruns to the development of tools that facilitate earlier intervention. Ottaviani et al. (2025) demonstrate that automated machine learning pipelines can enhance the duration forecasts and precision of cost. Similarly, Lagos et al</w:t>
      </w:r>
      <w:r>
        <w:rPr>
          <w:rFonts w:ascii="Times New Roman" w:eastAsia="Times New Roman" w:hAnsi="Times New Roman" w:cs="Times New Roman"/>
          <w:color w:val="000000"/>
          <w:sz w:val="22"/>
          <w:szCs w:val="22"/>
        </w:rPr>
        <w:t>. (2024) demonstrate that schedule performance can be predicted early on using Last Planner System indicators. Al-</w:t>
      </w:r>
      <w:proofErr w:type="spellStart"/>
      <w:r>
        <w:rPr>
          <w:rFonts w:ascii="Times New Roman" w:eastAsia="Times New Roman" w:hAnsi="Times New Roman" w:cs="Times New Roman"/>
          <w:color w:val="000000"/>
          <w:sz w:val="22"/>
          <w:szCs w:val="22"/>
        </w:rPr>
        <w:t>Ghazawi</w:t>
      </w:r>
      <w:proofErr w:type="spellEnd"/>
      <w:r>
        <w:rPr>
          <w:rFonts w:ascii="Times New Roman" w:eastAsia="Times New Roman" w:hAnsi="Times New Roman" w:cs="Times New Roman"/>
          <w:color w:val="000000"/>
          <w:sz w:val="22"/>
          <w:szCs w:val="22"/>
        </w:rPr>
        <w:t xml:space="preserve"> and El-</w:t>
      </w:r>
      <w:proofErr w:type="spellStart"/>
      <w:r>
        <w:rPr>
          <w:rFonts w:ascii="Times New Roman" w:eastAsia="Times New Roman" w:hAnsi="Times New Roman" w:cs="Times New Roman"/>
          <w:color w:val="000000"/>
          <w:sz w:val="22"/>
          <w:szCs w:val="22"/>
        </w:rPr>
        <w:t>Rayes</w:t>
      </w:r>
      <w:proofErr w:type="spellEnd"/>
      <w:r>
        <w:rPr>
          <w:rFonts w:ascii="Times New Roman" w:eastAsia="Times New Roman" w:hAnsi="Times New Roman" w:cs="Times New Roman"/>
          <w:color w:val="000000"/>
          <w:sz w:val="22"/>
          <w:szCs w:val="22"/>
        </w:rPr>
        <w:t xml:space="preserve"> (2024) demonstrate that machine learning can quantify operational disruption during airport expansion independently of si</w:t>
      </w:r>
      <w:r>
        <w:rPr>
          <w:rFonts w:ascii="Times New Roman" w:eastAsia="Times New Roman" w:hAnsi="Times New Roman" w:cs="Times New Roman"/>
          <w:color w:val="000000"/>
          <w:sz w:val="22"/>
          <w:szCs w:val="22"/>
        </w:rPr>
        <w:t>mulation. Al-</w:t>
      </w:r>
      <w:proofErr w:type="spellStart"/>
      <w:r>
        <w:rPr>
          <w:rFonts w:ascii="Times New Roman" w:eastAsia="Times New Roman" w:hAnsi="Times New Roman" w:cs="Times New Roman"/>
          <w:color w:val="000000"/>
          <w:sz w:val="22"/>
          <w:szCs w:val="22"/>
        </w:rPr>
        <w:t>Nahhas</w:t>
      </w:r>
      <w:proofErr w:type="spellEnd"/>
      <w:r>
        <w:rPr>
          <w:rFonts w:ascii="Times New Roman" w:eastAsia="Times New Roman" w:hAnsi="Times New Roman" w:cs="Times New Roman"/>
          <w:color w:val="000000"/>
          <w:sz w:val="22"/>
          <w:szCs w:val="22"/>
        </w:rPr>
        <w:t xml:space="preserve"> et al. (2024) demonstrate the continued usefulness of fuzzy inference systems in situations of high uncertainty where expert judgement must remain interpretable. Earned value management can provide accurate forecasts on real project dat</w:t>
      </w:r>
      <w:r>
        <w:rPr>
          <w:rFonts w:ascii="Times New Roman" w:eastAsia="Times New Roman" w:hAnsi="Times New Roman" w:cs="Times New Roman"/>
          <w:color w:val="000000"/>
          <w:sz w:val="22"/>
          <w:szCs w:val="22"/>
        </w:rPr>
        <w:t xml:space="preserve">a, as demonstrated by </w:t>
      </w:r>
      <w:proofErr w:type="spellStart"/>
      <w:r>
        <w:rPr>
          <w:rFonts w:ascii="Times New Roman" w:eastAsia="Times New Roman" w:hAnsi="Times New Roman" w:cs="Times New Roman"/>
          <w:color w:val="000000"/>
          <w:sz w:val="22"/>
          <w:szCs w:val="22"/>
        </w:rPr>
        <w:t>Batselier</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Vanhoucke</w:t>
      </w:r>
      <w:proofErr w:type="spellEnd"/>
      <w:r>
        <w:rPr>
          <w:rFonts w:ascii="Times New Roman" w:eastAsia="Times New Roman" w:hAnsi="Times New Roman" w:cs="Times New Roman"/>
          <w:color w:val="000000"/>
          <w:sz w:val="22"/>
          <w:szCs w:val="22"/>
        </w:rPr>
        <w:t xml:space="preserve"> (2015). De Andrade et al. (2019) demonstrate that earned duration-based forecasting improves time prediction when considering schedule performance and adherence together.</w:t>
      </w:r>
    </w:p>
    <w:p w14:paraId="05218362"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This review aligns with the global body</w:t>
      </w:r>
      <w:r>
        <w:rPr>
          <w:rFonts w:ascii="Times New Roman" w:eastAsia="Times New Roman" w:hAnsi="Times New Roman" w:cs="Times New Roman"/>
          <w:color w:val="000000"/>
          <w:sz w:val="22"/>
          <w:szCs w:val="22"/>
        </w:rPr>
        <w:t xml:space="preserve"> of literature in demonstrating that cost overruns are caused by recurring delivery risks rather than by isolated technical failures. Herrera et al. (2020) identify design failures, variations in material prices, changes in scope, inadequate planning, and </w:t>
      </w:r>
      <w:r>
        <w:rPr>
          <w:rFonts w:ascii="Times New Roman" w:eastAsia="Times New Roman" w:hAnsi="Times New Roman" w:cs="Times New Roman"/>
          <w:color w:val="000000"/>
          <w:sz w:val="22"/>
          <w:szCs w:val="22"/>
        </w:rPr>
        <w:t xml:space="preserve">design changes as the main causes of cost overruns in road infrastructure projects. Similarly, Ammar et al. (2022) report that variation orders, scope modifications, inaccurate </w:t>
      </w:r>
      <w:proofErr w:type="spellStart"/>
      <w:proofErr w:type="gramStart"/>
      <w:r>
        <w:rPr>
          <w:rFonts w:ascii="Times New Roman" w:eastAsia="Times New Roman" w:hAnsi="Times New Roman" w:cs="Times New Roman"/>
          <w:color w:val="000000"/>
          <w:sz w:val="22"/>
          <w:szCs w:val="22"/>
        </w:rPr>
        <w:t>estimation,and</w:t>
      </w:r>
      <w:proofErr w:type="spellEnd"/>
      <w:proofErr w:type="gramEnd"/>
      <w:r>
        <w:rPr>
          <w:rFonts w:ascii="Times New Roman" w:eastAsia="Times New Roman" w:hAnsi="Times New Roman" w:cs="Times New Roman"/>
          <w:color w:val="000000"/>
          <w:sz w:val="22"/>
          <w:szCs w:val="22"/>
        </w:rPr>
        <w:t xml:space="preserve"> inflation are key drivers of cost overruns in Egyptian road netw</w:t>
      </w:r>
      <w:r>
        <w:rPr>
          <w:rFonts w:ascii="Times New Roman" w:eastAsia="Times New Roman" w:hAnsi="Times New Roman" w:cs="Times New Roman"/>
          <w:color w:val="000000"/>
          <w:sz w:val="22"/>
          <w:szCs w:val="22"/>
        </w:rPr>
        <w:t xml:space="preserve">orks. Love et al. (2015) argue that research into cost overruns must consider both external factors and internal project processes. </w:t>
      </w:r>
      <w:proofErr w:type="spellStart"/>
      <w:r>
        <w:rPr>
          <w:rFonts w:ascii="Times New Roman" w:eastAsia="Times New Roman" w:hAnsi="Times New Roman" w:cs="Times New Roman"/>
          <w:color w:val="000000"/>
          <w:sz w:val="22"/>
          <w:szCs w:val="22"/>
        </w:rPr>
        <w:t>Ogbu</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Adindu</w:t>
      </w:r>
      <w:proofErr w:type="spellEnd"/>
      <w:r>
        <w:rPr>
          <w:rFonts w:ascii="Times New Roman" w:eastAsia="Times New Roman" w:hAnsi="Times New Roman" w:cs="Times New Roman"/>
          <w:color w:val="000000"/>
          <w:sz w:val="22"/>
          <w:szCs w:val="22"/>
        </w:rPr>
        <w:t xml:space="preserve"> (2020) demonstrate that the site environment and location significantly impact contractor cost risk in road </w:t>
      </w:r>
      <w:r>
        <w:rPr>
          <w:rFonts w:ascii="Times New Roman" w:eastAsia="Times New Roman" w:hAnsi="Times New Roman" w:cs="Times New Roman"/>
          <w:color w:val="000000"/>
          <w:sz w:val="22"/>
          <w:szCs w:val="22"/>
        </w:rPr>
        <w:t>projects. Pham et al. (2020) demonstrate that party competence, resources, risks, and machinery-related costs are particularly influential in transmission-line projects. Abdul Nabi and El-</w:t>
      </w:r>
      <w:proofErr w:type="spellStart"/>
      <w:r>
        <w:rPr>
          <w:rFonts w:ascii="Times New Roman" w:eastAsia="Times New Roman" w:hAnsi="Times New Roman" w:cs="Times New Roman"/>
          <w:color w:val="000000"/>
          <w:sz w:val="22"/>
          <w:szCs w:val="22"/>
        </w:rPr>
        <w:t>Adaway</w:t>
      </w:r>
      <w:proofErr w:type="spellEnd"/>
      <w:r>
        <w:rPr>
          <w:rFonts w:ascii="Times New Roman" w:eastAsia="Times New Roman" w:hAnsi="Times New Roman" w:cs="Times New Roman"/>
          <w:color w:val="000000"/>
          <w:sz w:val="22"/>
          <w:szCs w:val="22"/>
        </w:rPr>
        <w:t xml:space="preserve"> (2021) add that poor coordination, late design changes, </w:t>
      </w:r>
      <w:proofErr w:type="spellStart"/>
      <w:r>
        <w:rPr>
          <w:rFonts w:ascii="Times New Roman" w:eastAsia="Times New Roman" w:hAnsi="Times New Roman" w:cs="Times New Roman"/>
          <w:color w:val="000000"/>
          <w:sz w:val="22"/>
          <w:szCs w:val="22"/>
        </w:rPr>
        <w:t>labou</w:t>
      </w:r>
      <w:r>
        <w:rPr>
          <w:rFonts w:ascii="Times New Roman" w:eastAsia="Times New Roman" w:hAnsi="Times New Roman" w:cs="Times New Roman"/>
          <w:color w:val="000000"/>
          <w:sz w:val="22"/>
          <w:szCs w:val="22"/>
        </w:rPr>
        <w:t>r</w:t>
      </w:r>
      <w:proofErr w:type="spellEnd"/>
      <w:r>
        <w:rPr>
          <w:rFonts w:ascii="Times New Roman" w:eastAsia="Times New Roman" w:hAnsi="Times New Roman" w:cs="Times New Roman"/>
          <w:color w:val="000000"/>
          <w:sz w:val="22"/>
          <w:szCs w:val="22"/>
        </w:rPr>
        <w:t xml:space="preserve"> shortages, and logistics affect cost and schedule performance. </w:t>
      </w:r>
      <w:proofErr w:type="spellStart"/>
      <w:r>
        <w:rPr>
          <w:rFonts w:ascii="Times New Roman" w:eastAsia="Times New Roman" w:hAnsi="Times New Roman" w:cs="Times New Roman"/>
          <w:color w:val="000000"/>
          <w:sz w:val="22"/>
          <w:szCs w:val="22"/>
        </w:rPr>
        <w:t>Khanh</w:t>
      </w:r>
      <w:proofErr w:type="spellEnd"/>
      <w:r>
        <w:rPr>
          <w:rFonts w:ascii="Times New Roman" w:eastAsia="Times New Roman" w:hAnsi="Times New Roman" w:cs="Times New Roman"/>
          <w:color w:val="000000"/>
          <w:sz w:val="22"/>
          <w:szCs w:val="22"/>
        </w:rPr>
        <w:t xml:space="preserve"> et al. (2023) demonstrate that productivity risk is shaped by technology use, task complexity, </w:t>
      </w:r>
      <w:proofErr w:type="spellStart"/>
      <w:r>
        <w:rPr>
          <w:rFonts w:ascii="Times New Roman" w:eastAsia="Times New Roman" w:hAnsi="Times New Roman" w:cs="Times New Roman"/>
          <w:color w:val="000000"/>
          <w:sz w:val="22"/>
          <w:szCs w:val="22"/>
        </w:rPr>
        <w:t>labour</w:t>
      </w:r>
      <w:proofErr w:type="spellEnd"/>
      <w:r>
        <w:rPr>
          <w:rFonts w:ascii="Times New Roman" w:eastAsia="Times New Roman" w:hAnsi="Times New Roman" w:cs="Times New Roman"/>
          <w:color w:val="000000"/>
          <w:sz w:val="22"/>
          <w:szCs w:val="22"/>
        </w:rPr>
        <w:t xml:space="preserve"> conditions, and accidents.</w:t>
      </w:r>
    </w:p>
    <w:p w14:paraId="71BA003F"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The sharpest point of comparison concerns validation and</w:t>
      </w:r>
      <w:r>
        <w:rPr>
          <w:rFonts w:ascii="Times New Roman" w:eastAsia="Times New Roman" w:hAnsi="Times New Roman" w:cs="Times New Roman"/>
          <w:color w:val="000000"/>
          <w:sz w:val="22"/>
          <w:szCs w:val="22"/>
        </w:rPr>
        <w:t xml:space="preserve"> transferability. The research by Molinari et al. (2023) indicates that transport overruns vary depending on the project phase and the asset type. This suggests that risk models might not be directly applicable across different contexts. Park's (2021) rese</w:t>
      </w:r>
      <w:r>
        <w:rPr>
          <w:rFonts w:ascii="Times New Roman" w:eastAsia="Times New Roman" w:hAnsi="Times New Roman" w:cs="Times New Roman"/>
          <w:color w:val="000000"/>
          <w:sz w:val="22"/>
          <w:szCs w:val="22"/>
        </w:rPr>
        <w:t>arch shows that reference class forecasting can enhance estimation when it is firmly established within institutions and backed by solid evidence. However, Zani et al. (2024) demonstrate that benchmarking becomes more challenging when adequate reference cl</w:t>
      </w:r>
      <w:r>
        <w:rPr>
          <w:rFonts w:ascii="Times New Roman" w:eastAsia="Times New Roman" w:hAnsi="Times New Roman" w:cs="Times New Roman"/>
          <w:color w:val="000000"/>
          <w:sz w:val="22"/>
          <w:szCs w:val="22"/>
        </w:rPr>
        <w:t>asses are unavailable.</w:t>
      </w:r>
    </w:p>
    <w:p w14:paraId="07A86C4A"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4.3 Implications for Policy and Practice</w:t>
      </w:r>
    </w:p>
    <w:p w14:paraId="634EFD5E"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Policy: </w:t>
      </w:r>
      <w:r>
        <w:rPr>
          <w:rFonts w:ascii="Times New Roman" w:eastAsia="Times New Roman" w:hAnsi="Times New Roman" w:cs="Times New Roman"/>
          <w:color w:val="000000"/>
          <w:sz w:val="22"/>
          <w:szCs w:val="22"/>
        </w:rPr>
        <w:t>Risk management informed by data needs to be formalized and part of infrastructure governance as a matter of project delivery and not a discretionary technical activity. This necessita</w:t>
      </w:r>
      <w:r>
        <w:rPr>
          <w:rFonts w:ascii="Times New Roman" w:eastAsia="Times New Roman" w:hAnsi="Times New Roman" w:cs="Times New Roman"/>
          <w:color w:val="000000"/>
          <w:sz w:val="22"/>
          <w:szCs w:val="22"/>
        </w:rPr>
        <w:t>tes the stage-based risk overview throughout the project preparation to close-out, facilitated by the continuous capturing of core delivery information, such as schedule, cost, scope, procurement, change orders, weather, claims, productivity, and approvals</w:t>
      </w:r>
      <w:r>
        <w:rPr>
          <w:rFonts w:ascii="Times New Roman" w:eastAsia="Times New Roman" w:hAnsi="Times New Roman" w:cs="Times New Roman"/>
          <w:color w:val="000000"/>
          <w:sz w:val="22"/>
          <w:szCs w:val="22"/>
        </w:rPr>
        <w:t>. Agencies and government authorities at the policy level must insist on risk registers, which ought to be updated on a regular basis, and these must be connected to the forecasting or the probabilistic evaluation instruments with the explicit reporting of</w:t>
      </w:r>
      <w:r>
        <w:rPr>
          <w:rFonts w:ascii="Times New Roman" w:eastAsia="Times New Roman" w:hAnsi="Times New Roman" w:cs="Times New Roman"/>
          <w:color w:val="000000"/>
          <w:sz w:val="22"/>
          <w:szCs w:val="22"/>
        </w:rPr>
        <w:t xml:space="preserve"> assumptions, data sources, levels of uncertainty, and time of revision. The procurement and approval processes must also assist in the preservation and reuse of the historical project data to ensure that the past performance of delivery can be used to inf</w:t>
      </w:r>
      <w:r>
        <w:rPr>
          <w:rFonts w:ascii="Times New Roman" w:eastAsia="Times New Roman" w:hAnsi="Times New Roman" w:cs="Times New Roman"/>
          <w:color w:val="000000"/>
          <w:sz w:val="22"/>
          <w:szCs w:val="22"/>
        </w:rPr>
        <w:t>orm the benchmarking, contingency establishment, and forward planning. Simultaneously, the minimum standards in the application of models ought to be put in place, such as sensitivity tests, recalibration, error reporting, and clear statements about the li</w:t>
      </w:r>
      <w:r>
        <w:rPr>
          <w:rFonts w:ascii="Times New Roman" w:eastAsia="Times New Roman" w:hAnsi="Times New Roman" w:cs="Times New Roman"/>
          <w:color w:val="000000"/>
          <w:sz w:val="22"/>
          <w:szCs w:val="22"/>
        </w:rPr>
        <w:t>mits of transferability, before outputs are used to make significant decisions. In areas where institutional and financial capacity are limited, a practical and scalable approach, including structured risk scoring, Monte Carlo-based contingency, simple das</w:t>
      </w:r>
      <w:r>
        <w:rPr>
          <w:rFonts w:ascii="Times New Roman" w:eastAsia="Times New Roman" w:hAnsi="Times New Roman" w:cs="Times New Roman"/>
          <w:color w:val="000000"/>
          <w:sz w:val="22"/>
          <w:szCs w:val="22"/>
        </w:rPr>
        <w:t>hboard reporting, and shared repositories with completed projects, should be added at first, as well as incremental digital reform and targeted staff training.</w:t>
      </w:r>
    </w:p>
    <w:p w14:paraId="685AD89C"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Practice:</w:t>
      </w:r>
      <w:r>
        <w:rPr>
          <w:rFonts w:ascii="Times New Roman" w:eastAsia="Times New Roman" w:hAnsi="Times New Roman" w:cs="Times New Roman"/>
          <w:color w:val="000000"/>
          <w:sz w:val="22"/>
          <w:szCs w:val="22"/>
        </w:rPr>
        <w:t xml:space="preserve"> Project teams are advised in practice to use a never-ending risk management cycle that</w:t>
      </w:r>
      <w:r>
        <w:rPr>
          <w:rFonts w:ascii="Times New Roman" w:eastAsia="Times New Roman" w:hAnsi="Times New Roman" w:cs="Times New Roman"/>
          <w:color w:val="000000"/>
          <w:sz w:val="22"/>
          <w:szCs w:val="22"/>
        </w:rPr>
        <w:t xml:space="preserve"> commences with an initial identification procedure and proceeds with forecasting, response, and consistent revisions. The </w:t>
      </w:r>
      <w:proofErr w:type="spellStart"/>
      <w:r>
        <w:rPr>
          <w:rFonts w:ascii="Times New Roman" w:eastAsia="Times New Roman" w:hAnsi="Times New Roman" w:cs="Times New Roman"/>
          <w:color w:val="000000"/>
          <w:sz w:val="22"/>
          <w:szCs w:val="22"/>
        </w:rPr>
        <w:t>prioritisation</w:t>
      </w:r>
      <w:proofErr w:type="spellEnd"/>
      <w:r>
        <w:rPr>
          <w:rFonts w:ascii="Times New Roman" w:eastAsia="Times New Roman" w:hAnsi="Times New Roman" w:cs="Times New Roman"/>
          <w:color w:val="000000"/>
          <w:sz w:val="22"/>
          <w:szCs w:val="22"/>
        </w:rPr>
        <w:t xml:space="preserve"> of risks must be reviewed at critical decision-making stages, particularly those in the planning, procurement, </w:t>
      </w:r>
      <w:proofErr w:type="spellStart"/>
      <w:r>
        <w:rPr>
          <w:rFonts w:ascii="Times New Roman" w:eastAsia="Times New Roman" w:hAnsi="Times New Roman" w:cs="Times New Roman"/>
          <w:color w:val="000000"/>
          <w:sz w:val="22"/>
          <w:szCs w:val="22"/>
        </w:rPr>
        <w:t>mobilis</w:t>
      </w:r>
      <w:r>
        <w:rPr>
          <w:rFonts w:ascii="Times New Roman" w:eastAsia="Times New Roman" w:hAnsi="Times New Roman" w:cs="Times New Roman"/>
          <w:color w:val="000000"/>
          <w:sz w:val="22"/>
          <w:szCs w:val="22"/>
        </w:rPr>
        <w:t>ation</w:t>
      </w:r>
      <w:proofErr w:type="spellEnd"/>
      <w:r>
        <w:rPr>
          <w:rFonts w:ascii="Times New Roman" w:eastAsia="Times New Roman" w:hAnsi="Times New Roman" w:cs="Times New Roman"/>
          <w:color w:val="000000"/>
          <w:sz w:val="22"/>
          <w:szCs w:val="22"/>
        </w:rPr>
        <w:t>, and execution stages. The type of method must be based on the nature of the project and the quality of available data. Machine learning can be applicable in data sets that are large and reliable, whereas Bayesian, modeling on fuzzy or simulation mod</w:t>
      </w:r>
      <w:r>
        <w:rPr>
          <w:rFonts w:ascii="Times New Roman" w:eastAsia="Times New Roman" w:hAnsi="Times New Roman" w:cs="Times New Roman"/>
          <w:color w:val="000000"/>
          <w:sz w:val="22"/>
          <w:szCs w:val="22"/>
        </w:rPr>
        <w:t>els can be more suitable where the uncertainty is high or expert opinion matters. Regardless of the approach, the result must be rendered into comprehensible management response, including initial-warning limits, contingency zones, resequencing trains, buy</w:t>
      </w:r>
      <w:r>
        <w:rPr>
          <w:rFonts w:ascii="Times New Roman" w:eastAsia="Times New Roman" w:hAnsi="Times New Roman" w:cs="Times New Roman"/>
          <w:color w:val="000000"/>
          <w:sz w:val="22"/>
          <w:szCs w:val="22"/>
        </w:rPr>
        <w:t>s decision, prioritized mitigation strategy. The approaches which are not transparent and require poor-quality data and cannot be updated during the delivery should be avoided. Application should also be specific to the project stage, type of infrastructur</w:t>
      </w:r>
      <w:r>
        <w:rPr>
          <w:rFonts w:ascii="Times New Roman" w:eastAsia="Times New Roman" w:hAnsi="Times New Roman" w:cs="Times New Roman"/>
          <w:color w:val="000000"/>
          <w:sz w:val="22"/>
          <w:szCs w:val="22"/>
        </w:rPr>
        <w:t xml:space="preserve">e, the contractual environment, and capacity of </w:t>
      </w:r>
      <w:proofErr w:type="spellStart"/>
      <w:r>
        <w:rPr>
          <w:rFonts w:ascii="Times New Roman" w:eastAsia="Times New Roman" w:hAnsi="Times New Roman" w:cs="Times New Roman"/>
          <w:color w:val="000000"/>
          <w:sz w:val="22"/>
          <w:szCs w:val="22"/>
        </w:rPr>
        <w:t>organisation</w:t>
      </w:r>
      <w:proofErr w:type="spellEnd"/>
      <w:r>
        <w:rPr>
          <w:rFonts w:ascii="Times New Roman" w:eastAsia="Times New Roman" w:hAnsi="Times New Roman" w:cs="Times New Roman"/>
          <w:color w:val="000000"/>
          <w:sz w:val="22"/>
          <w:szCs w:val="22"/>
        </w:rPr>
        <w:t xml:space="preserve">. Effective measures should be used to monitor performance based on practical indicators that include forecast bias, mean absolute error, schedule compliance, contingency </w:t>
      </w:r>
      <w:proofErr w:type="spellStart"/>
      <w:r>
        <w:rPr>
          <w:rFonts w:ascii="Times New Roman" w:eastAsia="Times New Roman" w:hAnsi="Times New Roman" w:cs="Times New Roman"/>
          <w:color w:val="000000"/>
          <w:sz w:val="22"/>
          <w:szCs w:val="22"/>
        </w:rPr>
        <w:t>utilisation</w:t>
      </w:r>
      <w:proofErr w:type="spellEnd"/>
      <w:r>
        <w:rPr>
          <w:rFonts w:ascii="Times New Roman" w:eastAsia="Times New Roman" w:hAnsi="Times New Roman" w:cs="Times New Roman"/>
          <w:color w:val="000000"/>
          <w:sz w:val="22"/>
          <w:szCs w:val="22"/>
        </w:rPr>
        <w:t>, frequency of</w:t>
      </w:r>
      <w:r>
        <w:rPr>
          <w:rFonts w:ascii="Times New Roman" w:eastAsia="Times New Roman" w:hAnsi="Times New Roman" w:cs="Times New Roman"/>
          <w:color w:val="000000"/>
          <w:sz w:val="22"/>
          <w:szCs w:val="22"/>
        </w:rPr>
        <w:t xml:space="preserve"> changes that are made and the speed at which the risks fall. Routine learning and continuous improvement should then be informed by these measures. The training required in data quality, uncertainty interpretation, utilization of dashboards and project co</w:t>
      </w:r>
      <w:r>
        <w:rPr>
          <w:rFonts w:ascii="Times New Roman" w:eastAsia="Times New Roman" w:hAnsi="Times New Roman" w:cs="Times New Roman"/>
          <w:color w:val="000000"/>
          <w:sz w:val="22"/>
          <w:szCs w:val="22"/>
        </w:rPr>
        <w:t>ntrols must be provided to teams in day-to-day decisions.</w:t>
      </w:r>
    </w:p>
    <w:p w14:paraId="0034D43C" w14:textId="77777777" w:rsidR="00506EDB" w:rsidRDefault="00506EDB">
      <w:pPr>
        <w:jc w:val="both"/>
        <w:rPr>
          <w:rFonts w:ascii="Times New Roman" w:eastAsia="Times New Roman" w:hAnsi="Times New Roman" w:cs="Times New Roman"/>
          <w:b/>
          <w:bCs/>
          <w:color w:val="000000"/>
          <w:sz w:val="22"/>
          <w:szCs w:val="22"/>
        </w:rPr>
      </w:pPr>
    </w:p>
    <w:p w14:paraId="05BEA312"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 xml:space="preserve">4.4 Limitations of the review  </w:t>
      </w:r>
    </w:p>
    <w:p w14:paraId="7D828F87"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review has some limitations. The restriction was on English-language, peer-reviewed journal articles, with grey literature excluded. This may have resulted in </w:t>
      </w:r>
      <w:r>
        <w:rPr>
          <w:rFonts w:ascii="Times New Roman" w:eastAsia="Times New Roman" w:hAnsi="Times New Roman" w:cs="Times New Roman"/>
          <w:color w:val="000000"/>
          <w:sz w:val="22"/>
          <w:szCs w:val="22"/>
        </w:rPr>
        <w:t>the exclusion of relevant applied evidence from agencies and industry. The evidence base was also found to be relatively small and heterogeneous, with outcomes and datasets spanning different infrastructure sectors and model types, which limited direct com</w:t>
      </w:r>
      <w:r>
        <w:rPr>
          <w:rFonts w:ascii="Times New Roman" w:eastAsia="Times New Roman" w:hAnsi="Times New Roman" w:cs="Times New Roman"/>
          <w:color w:val="000000"/>
          <w:sz w:val="22"/>
          <w:szCs w:val="22"/>
        </w:rPr>
        <w:t>parability. Furthermore, as most of the included studies were case-based and internally validated, it was difficult to consistently judge the external validity, cross-project transferability, and real-world effect of model deployment on overrun reduction.</w:t>
      </w:r>
    </w:p>
    <w:p w14:paraId="14C919C7"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5.0 Conclusion</w:t>
      </w:r>
    </w:p>
    <w:p w14:paraId="01EEB200"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scoping review </w:t>
      </w:r>
      <w:proofErr w:type="spellStart"/>
      <w:r>
        <w:rPr>
          <w:rFonts w:ascii="Times New Roman" w:eastAsia="Times New Roman" w:hAnsi="Times New Roman" w:cs="Times New Roman"/>
          <w:color w:val="000000"/>
          <w:sz w:val="22"/>
          <w:szCs w:val="22"/>
        </w:rPr>
        <w:t>synthesised</w:t>
      </w:r>
      <w:proofErr w:type="spellEnd"/>
      <w:r>
        <w:rPr>
          <w:rFonts w:ascii="Times New Roman" w:eastAsia="Times New Roman" w:hAnsi="Times New Roman" w:cs="Times New Roman"/>
          <w:color w:val="000000"/>
          <w:sz w:val="22"/>
          <w:szCs w:val="22"/>
        </w:rPr>
        <w:t xml:space="preserve"> 19 empirical applications of data-driven risk modelling for schedule and cost outcomes in infrastructure project delivery. Across diverse project types and settings, machine learning, Monte Carlo, and Bayesian</w:t>
      </w:r>
      <w:r>
        <w:rPr>
          <w:rFonts w:ascii="Times New Roman" w:eastAsia="Times New Roman" w:hAnsi="Times New Roman" w:cs="Times New Roman"/>
          <w:color w:val="000000"/>
          <w:sz w:val="22"/>
          <w:szCs w:val="22"/>
        </w:rPr>
        <w:t xml:space="preserve"> approaches, as well as other hybrid methods, generally improved the prediction of cost overruns, liquidated damages, contingencies, and related risk signals. However, the forecasting of schedule delays and durations remained more operationally challenging</w:t>
      </w:r>
      <w:r>
        <w:rPr>
          <w:rFonts w:ascii="Times New Roman" w:eastAsia="Times New Roman" w:hAnsi="Times New Roman" w:cs="Times New Roman"/>
          <w:color w:val="000000"/>
          <w:sz w:val="22"/>
          <w:szCs w:val="22"/>
        </w:rPr>
        <w:t xml:space="preserve"> and context-sensitive. But most applications used separate or special sets of data, were checked mainly in one place, and were only partly part of normal project control and problem-solving systems. Overall, the evidence suggests that data-driven risk mod</w:t>
      </w:r>
      <w:r>
        <w:rPr>
          <w:rFonts w:ascii="Times New Roman" w:eastAsia="Times New Roman" w:hAnsi="Times New Roman" w:cs="Times New Roman"/>
          <w:color w:val="000000"/>
          <w:sz w:val="22"/>
          <w:szCs w:val="22"/>
        </w:rPr>
        <w:t xml:space="preserve">elling can strengthen infrastructure delivery when models are built on well-governed, reliable data that is transparently validated and translated into practical decisions, such as </w:t>
      </w:r>
      <w:proofErr w:type="spellStart"/>
      <w:r>
        <w:rPr>
          <w:rFonts w:ascii="Times New Roman" w:eastAsia="Times New Roman" w:hAnsi="Times New Roman" w:cs="Times New Roman"/>
          <w:color w:val="000000"/>
          <w:sz w:val="22"/>
          <w:szCs w:val="22"/>
        </w:rPr>
        <w:t>prioritising</w:t>
      </w:r>
      <w:proofErr w:type="spellEnd"/>
      <w:r>
        <w:rPr>
          <w:rFonts w:ascii="Times New Roman" w:eastAsia="Times New Roman" w:hAnsi="Times New Roman" w:cs="Times New Roman"/>
          <w:color w:val="000000"/>
          <w:sz w:val="22"/>
          <w:szCs w:val="22"/>
        </w:rPr>
        <w:t xml:space="preserve"> mitigation, providing early warnings, and setting contingencie</w:t>
      </w:r>
      <w:r>
        <w:rPr>
          <w:rFonts w:ascii="Times New Roman" w:eastAsia="Times New Roman" w:hAnsi="Times New Roman" w:cs="Times New Roman"/>
          <w:color w:val="000000"/>
          <w:sz w:val="22"/>
          <w:szCs w:val="22"/>
        </w:rPr>
        <w:t xml:space="preserve">s. Future work should </w:t>
      </w:r>
      <w:proofErr w:type="spellStart"/>
      <w:r>
        <w:rPr>
          <w:rFonts w:ascii="Times New Roman" w:eastAsia="Times New Roman" w:hAnsi="Times New Roman" w:cs="Times New Roman"/>
          <w:color w:val="000000"/>
          <w:sz w:val="22"/>
          <w:szCs w:val="22"/>
        </w:rPr>
        <w:t>prioritise</w:t>
      </w:r>
      <w:proofErr w:type="spellEnd"/>
      <w:r>
        <w:rPr>
          <w:rFonts w:ascii="Times New Roman" w:eastAsia="Times New Roman" w:hAnsi="Times New Roman" w:cs="Times New Roman"/>
          <w:color w:val="000000"/>
          <w:sz w:val="22"/>
          <w:szCs w:val="22"/>
        </w:rPr>
        <w:t xml:space="preserve"> cross-project benchmarking, external and temporal validation, stronger evidence on dashboards, transferability, and tighter integration with project controls, BIM-enabled environments, and broader enterprise systems. It sho</w:t>
      </w:r>
      <w:r>
        <w:rPr>
          <w:rFonts w:ascii="Times New Roman" w:eastAsia="Times New Roman" w:hAnsi="Times New Roman" w:cs="Times New Roman"/>
          <w:color w:val="000000"/>
          <w:sz w:val="22"/>
          <w:szCs w:val="22"/>
        </w:rPr>
        <w:t>uld also focus on developing explainable, user-</w:t>
      </w:r>
      <w:proofErr w:type="spellStart"/>
      <w:r>
        <w:rPr>
          <w:rFonts w:ascii="Times New Roman" w:eastAsia="Times New Roman" w:hAnsi="Times New Roman" w:cs="Times New Roman"/>
          <w:color w:val="000000"/>
          <w:sz w:val="22"/>
          <w:szCs w:val="22"/>
        </w:rPr>
        <w:t>centred</w:t>
      </w:r>
      <w:proofErr w:type="spellEnd"/>
      <w:r>
        <w:rPr>
          <w:rFonts w:ascii="Times New Roman" w:eastAsia="Times New Roman" w:hAnsi="Times New Roman" w:cs="Times New Roman"/>
          <w:color w:val="000000"/>
          <w:sz w:val="22"/>
          <w:szCs w:val="22"/>
        </w:rPr>
        <w:t xml:space="preserve"> tools. These should be linked to clear performance indicators. These indicators should include forecast bias, out-of-sample error, schedule adherence, and response time to emerging risks. It is vital t</w:t>
      </w:r>
      <w:r>
        <w:rPr>
          <w:rFonts w:ascii="Times New Roman" w:eastAsia="Times New Roman" w:hAnsi="Times New Roman" w:cs="Times New Roman"/>
          <w:color w:val="000000"/>
          <w:sz w:val="22"/>
          <w:szCs w:val="22"/>
        </w:rPr>
        <w:t>hat these gaps are addressed if data-driven risk modelling is to progress from its current state of promising case-based applications to a more mature capability for delivering infrastructure that is more resilient, time-efficient, and cost-conscious.</w:t>
      </w:r>
    </w:p>
    <w:p w14:paraId="4EFD3D6B" w14:textId="77777777" w:rsidR="00C21B06" w:rsidRDefault="00C21B06">
      <w:pPr>
        <w:jc w:val="both"/>
        <w:rPr>
          <w:rFonts w:ascii="Times New Roman" w:eastAsia="Times New Roman" w:hAnsi="Times New Roman" w:cs="Times New Roman"/>
          <w:color w:val="000000"/>
          <w:sz w:val="22"/>
          <w:szCs w:val="22"/>
        </w:rPr>
      </w:pPr>
    </w:p>
    <w:p w14:paraId="5930EB38" w14:textId="77777777" w:rsidR="00C21B06" w:rsidRPr="00C21B06" w:rsidRDefault="00C21B06" w:rsidP="00C21B06">
      <w:pPr>
        <w:jc w:val="both"/>
        <w:rPr>
          <w:rFonts w:ascii="Times New Roman" w:eastAsia="Times New Roman" w:hAnsi="Times New Roman" w:cs="Times New Roman"/>
          <w:color w:val="000000"/>
          <w:sz w:val="22"/>
          <w:szCs w:val="22"/>
        </w:rPr>
      </w:pPr>
      <w:r w:rsidRPr="00C21B06">
        <w:rPr>
          <w:rFonts w:ascii="Times New Roman" w:eastAsia="Times New Roman" w:hAnsi="Times New Roman" w:cs="Times New Roman"/>
          <w:color w:val="000000"/>
          <w:sz w:val="22"/>
          <w:szCs w:val="22"/>
        </w:rPr>
        <w:t>COMPETING INTERESTS DISCLAIMER:</w:t>
      </w:r>
    </w:p>
    <w:p w14:paraId="3BCDF9C4" w14:textId="44BCAE1E" w:rsidR="00C21B06" w:rsidRDefault="00C21B06" w:rsidP="00C21B06">
      <w:pPr>
        <w:jc w:val="both"/>
        <w:rPr>
          <w:rFonts w:ascii="Times New Roman" w:eastAsia="Times New Roman" w:hAnsi="Times New Roman" w:cs="Times New Roman"/>
          <w:color w:val="000000"/>
          <w:sz w:val="22"/>
          <w:szCs w:val="22"/>
        </w:rPr>
      </w:pPr>
      <w:r w:rsidRPr="00C21B06">
        <w:rPr>
          <w:rFonts w:ascii="Times New Roman" w:eastAsia="Times New Roman" w:hAnsi="Times New Roman" w:cs="Times New Roman"/>
          <w:color w:val="000000"/>
          <w:sz w:val="22"/>
          <w:szCs w:val="22"/>
        </w:rPr>
        <w:t>Authors have declared that they have no known competing financial interests OR non-financial interests OR personal relationships that could have appeared to influence the work reported in this paper.</w:t>
      </w:r>
    </w:p>
    <w:p w14:paraId="3D2F6126" w14:textId="77777777" w:rsidR="00506EDB" w:rsidRDefault="00EA765F">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References</w:t>
      </w:r>
    </w:p>
    <w:p w14:paraId="5DAEBCA8"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Abdul </w:t>
      </w:r>
      <w:proofErr w:type="spellStart"/>
      <w:r w:rsidRPr="00111BFC">
        <w:rPr>
          <w:rFonts w:ascii="Times New Roman" w:eastAsia="Times New Roman" w:hAnsi="Times New Roman" w:cs="Times New Roman"/>
          <w:color w:val="000000"/>
          <w:sz w:val="22"/>
          <w:szCs w:val="22"/>
          <w:lang w:val="es-US"/>
        </w:rPr>
        <w:t>Nabi</w:t>
      </w:r>
      <w:proofErr w:type="spellEnd"/>
      <w:r w:rsidRPr="00111BFC">
        <w:rPr>
          <w:rFonts w:ascii="Times New Roman" w:eastAsia="Times New Roman" w:hAnsi="Times New Roman" w:cs="Times New Roman"/>
          <w:color w:val="000000"/>
          <w:sz w:val="22"/>
          <w:szCs w:val="22"/>
          <w:lang w:val="es-US"/>
        </w:rPr>
        <w:t>, M., &amp; El-</w:t>
      </w:r>
      <w:proofErr w:type="spellStart"/>
      <w:r w:rsidRPr="00111BFC">
        <w:rPr>
          <w:rFonts w:ascii="Times New Roman" w:eastAsia="Times New Roman" w:hAnsi="Times New Roman" w:cs="Times New Roman"/>
          <w:color w:val="000000"/>
          <w:sz w:val="22"/>
          <w:szCs w:val="22"/>
          <w:lang w:val="es-US"/>
        </w:rPr>
        <w:t>Adaway</w:t>
      </w:r>
      <w:proofErr w:type="spellEnd"/>
      <w:r w:rsidRPr="00111BFC">
        <w:rPr>
          <w:rFonts w:ascii="Times New Roman" w:eastAsia="Times New Roman" w:hAnsi="Times New Roman" w:cs="Times New Roman"/>
          <w:color w:val="000000"/>
          <w:sz w:val="22"/>
          <w:szCs w:val="22"/>
          <w:lang w:val="es-US"/>
        </w:rPr>
        <w:t xml:space="preserve">, I. H. (2021). </w:t>
      </w:r>
      <w:r>
        <w:rPr>
          <w:rFonts w:ascii="Times New Roman" w:eastAsia="Times New Roman" w:hAnsi="Times New Roman" w:cs="Times New Roman"/>
          <w:color w:val="000000"/>
          <w:sz w:val="22"/>
          <w:szCs w:val="22"/>
        </w:rPr>
        <w:t>Understanding the key risks affecting cost and schedule performance of modular construction projects. </w:t>
      </w:r>
      <w:r>
        <w:rPr>
          <w:rFonts w:ascii="Times New Roman" w:eastAsia="Times New Roman" w:hAnsi="Times New Roman" w:cs="Times New Roman"/>
          <w:i/>
          <w:iCs/>
          <w:color w:val="000000"/>
          <w:sz w:val="22"/>
          <w:szCs w:val="22"/>
        </w:rPr>
        <w:t>Journal of management in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37</w:t>
      </w:r>
      <w:r>
        <w:rPr>
          <w:rFonts w:ascii="Times New Roman" w:eastAsia="Times New Roman" w:hAnsi="Times New Roman" w:cs="Times New Roman"/>
          <w:color w:val="000000"/>
          <w:sz w:val="22"/>
          <w:szCs w:val="22"/>
        </w:rPr>
        <w:t xml:space="preserve">(4), 04021023. </w:t>
      </w:r>
      <w:hyperlink r:id="rId16">
        <w:r w:rsidR="00506EDB">
          <w:rPr>
            <w:rFonts w:ascii="Times New Roman" w:eastAsia="Times New Roman" w:hAnsi="Times New Roman" w:cs="Times New Roman"/>
            <w:color w:val="0000FF"/>
            <w:sz w:val="22"/>
            <w:szCs w:val="22"/>
            <w:u w:val="single"/>
          </w:rPr>
          <w:t>https://doi.org/10.1061/(ASCE)ME.1943-5479.000091</w:t>
        </w:r>
      </w:hyperlink>
    </w:p>
    <w:p w14:paraId="13885F50"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w:t>
      </w:r>
      <w:proofErr w:type="spellStart"/>
      <w:r>
        <w:rPr>
          <w:rFonts w:ascii="Times New Roman" w:eastAsia="Times New Roman" w:hAnsi="Times New Roman" w:cs="Times New Roman"/>
          <w:color w:val="000000"/>
          <w:sz w:val="22"/>
          <w:szCs w:val="22"/>
        </w:rPr>
        <w:t>Hazim</w:t>
      </w:r>
      <w:proofErr w:type="spellEnd"/>
      <w:r>
        <w:rPr>
          <w:rFonts w:ascii="Times New Roman" w:eastAsia="Times New Roman" w:hAnsi="Times New Roman" w:cs="Times New Roman"/>
          <w:color w:val="000000"/>
          <w:sz w:val="22"/>
          <w:szCs w:val="22"/>
        </w:rPr>
        <w:t xml:space="preserve">, N., Salem, Z. A., &amp; Ahmad, H. (2017). Delay and cost overrun in infrastructure projects in Jordan. Procedia Engineering, 182, 18-24. </w:t>
      </w:r>
      <w:hyperlink r:id="rId17">
        <w:r w:rsidR="00506EDB">
          <w:rPr>
            <w:rFonts w:ascii="Times New Roman" w:eastAsia="Times New Roman" w:hAnsi="Times New Roman" w:cs="Times New Roman"/>
            <w:color w:val="0000FF"/>
            <w:sz w:val="22"/>
            <w:szCs w:val="22"/>
            <w:u w:val="single"/>
          </w:rPr>
          <w:t>https://doi.org/10.1016/j.proeng.2017.03.105</w:t>
        </w:r>
      </w:hyperlink>
    </w:p>
    <w:p w14:paraId="71BD313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Alshboul</w:t>
      </w:r>
      <w:proofErr w:type="spellEnd"/>
      <w:r>
        <w:rPr>
          <w:rFonts w:ascii="Times New Roman" w:eastAsia="Times New Roman" w:hAnsi="Times New Roman" w:cs="Times New Roman"/>
          <w:color w:val="000000"/>
          <w:sz w:val="22"/>
          <w:szCs w:val="22"/>
        </w:rPr>
        <w:t xml:space="preserve">, O., </w:t>
      </w:r>
      <w:proofErr w:type="spellStart"/>
      <w:r>
        <w:rPr>
          <w:rFonts w:ascii="Times New Roman" w:eastAsia="Times New Roman" w:hAnsi="Times New Roman" w:cs="Times New Roman"/>
          <w:color w:val="000000"/>
          <w:sz w:val="22"/>
          <w:szCs w:val="22"/>
        </w:rPr>
        <w:t>Alzubaidi</w:t>
      </w:r>
      <w:proofErr w:type="spellEnd"/>
      <w:r>
        <w:rPr>
          <w:rFonts w:ascii="Times New Roman" w:eastAsia="Times New Roman" w:hAnsi="Times New Roman" w:cs="Times New Roman"/>
          <w:color w:val="000000"/>
          <w:sz w:val="22"/>
          <w:szCs w:val="22"/>
        </w:rPr>
        <w:t xml:space="preserve">, M. A., </w:t>
      </w:r>
      <w:proofErr w:type="spellStart"/>
      <w:r>
        <w:rPr>
          <w:rFonts w:ascii="Times New Roman" w:eastAsia="Times New Roman" w:hAnsi="Times New Roman" w:cs="Times New Roman"/>
          <w:color w:val="000000"/>
          <w:sz w:val="22"/>
          <w:szCs w:val="22"/>
        </w:rPr>
        <w:t>Mamlook</w:t>
      </w:r>
      <w:proofErr w:type="spellEnd"/>
      <w:r>
        <w:rPr>
          <w:rFonts w:ascii="Times New Roman" w:eastAsia="Times New Roman" w:hAnsi="Times New Roman" w:cs="Times New Roman"/>
          <w:color w:val="000000"/>
          <w:sz w:val="22"/>
          <w:szCs w:val="22"/>
        </w:rPr>
        <w:t xml:space="preserve">, R. E. A., </w:t>
      </w:r>
      <w:proofErr w:type="spellStart"/>
      <w:r>
        <w:rPr>
          <w:rFonts w:ascii="Times New Roman" w:eastAsia="Times New Roman" w:hAnsi="Times New Roman" w:cs="Times New Roman"/>
          <w:color w:val="000000"/>
          <w:sz w:val="22"/>
          <w:szCs w:val="22"/>
        </w:rPr>
        <w:t>Almasabha</w:t>
      </w:r>
      <w:proofErr w:type="spellEnd"/>
      <w:r>
        <w:rPr>
          <w:rFonts w:ascii="Times New Roman" w:eastAsia="Times New Roman" w:hAnsi="Times New Roman" w:cs="Times New Roman"/>
          <w:color w:val="000000"/>
          <w:sz w:val="22"/>
          <w:szCs w:val="22"/>
        </w:rPr>
        <w:t xml:space="preserve">, G., </w:t>
      </w:r>
      <w:proofErr w:type="spellStart"/>
      <w:r>
        <w:rPr>
          <w:rFonts w:ascii="Times New Roman" w:eastAsia="Times New Roman" w:hAnsi="Times New Roman" w:cs="Times New Roman"/>
          <w:color w:val="000000"/>
          <w:sz w:val="22"/>
          <w:szCs w:val="22"/>
        </w:rPr>
        <w:t>Almuflih</w:t>
      </w:r>
      <w:proofErr w:type="spellEnd"/>
      <w:r>
        <w:rPr>
          <w:rFonts w:ascii="Times New Roman" w:eastAsia="Times New Roman" w:hAnsi="Times New Roman" w:cs="Times New Roman"/>
          <w:color w:val="000000"/>
          <w:sz w:val="22"/>
          <w:szCs w:val="22"/>
        </w:rPr>
        <w:t xml:space="preserve">, A. S., &amp; Shehadeh, A. (2022). Forecasting Liquidated Damages via Machine Learning-Based Modified </w:t>
      </w:r>
      <w:r>
        <w:rPr>
          <w:rFonts w:ascii="Times New Roman" w:eastAsia="Times New Roman" w:hAnsi="Times New Roman" w:cs="Times New Roman"/>
          <w:color w:val="000000"/>
          <w:sz w:val="22"/>
          <w:szCs w:val="22"/>
        </w:rPr>
        <w:lastRenderedPageBreak/>
        <w:t>Regression Models for H</w:t>
      </w:r>
      <w:r>
        <w:rPr>
          <w:rFonts w:ascii="Times New Roman" w:eastAsia="Times New Roman" w:hAnsi="Times New Roman" w:cs="Times New Roman"/>
          <w:color w:val="000000"/>
          <w:sz w:val="22"/>
          <w:szCs w:val="22"/>
        </w:rPr>
        <w:t xml:space="preserve">ighway Construction Projects. Sustainability, 14(10), 5835. </w:t>
      </w:r>
      <w:hyperlink r:id="rId18">
        <w:r w:rsidR="00506EDB">
          <w:rPr>
            <w:rFonts w:ascii="Times New Roman" w:eastAsia="Times New Roman" w:hAnsi="Times New Roman" w:cs="Times New Roman"/>
            <w:color w:val="0000FF"/>
            <w:sz w:val="22"/>
            <w:szCs w:val="22"/>
            <w:u w:val="single"/>
          </w:rPr>
          <w:t>https://doi.org/10.3390/su14105835</w:t>
        </w:r>
      </w:hyperlink>
    </w:p>
    <w:p w14:paraId="0215EAD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Al-</w:t>
      </w:r>
      <w:proofErr w:type="spellStart"/>
      <w:r w:rsidRPr="00111BFC">
        <w:rPr>
          <w:rFonts w:ascii="Times New Roman" w:eastAsia="Times New Roman" w:hAnsi="Times New Roman" w:cs="Times New Roman"/>
          <w:color w:val="000000"/>
          <w:sz w:val="22"/>
          <w:szCs w:val="22"/>
          <w:lang w:val="es-US"/>
        </w:rPr>
        <w:t>Ghzawi</w:t>
      </w:r>
      <w:proofErr w:type="spellEnd"/>
      <w:r w:rsidRPr="00111BFC">
        <w:rPr>
          <w:rFonts w:ascii="Times New Roman" w:eastAsia="Times New Roman" w:hAnsi="Times New Roman" w:cs="Times New Roman"/>
          <w:color w:val="000000"/>
          <w:sz w:val="22"/>
          <w:szCs w:val="22"/>
          <w:lang w:val="es-US"/>
        </w:rPr>
        <w:t xml:space="preserve">, M., &amp; El-Rayes, K. (2024). </w:t>
      </w:r>
      <w:r>
        <w:rPr>
          <w:rFonts w:ascii="Times New Roman" w:eastAsia="Times New Roman" w:hAnsi="Times New Roman" w:cs="Times New Roman"/>
          <w:color w:val="000000"/>
          <w:sz w:val="22"/>
          <w:szCs w:val="22"/>
        </w:rPr>
        <w:t>Machine learning for predicting the impact of construction activities</w:t>
      </w:r>
      <w:r>
        <w:rPr>
          <w:rFonts w:ascii="Times New Roman" w:eastAsia="Times New Roman" w:hAnsi="Times New Roman" w:cs="Times New Roman"/>
          <w:color w:val="000000"/>
          <w:sz w:val="22"/>
          <w:szCs w:val="22"/>
        </w:rPr>
        <w:t xml:space="preserve"> on air traffic operations during airport expansion projects.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158</w:t>
      </w:r>
      <w:r>
        <w:rPr>
          <w:rFonts w:ascii="Times New Roman" w:eastAsia="Times New Roman" w:hAnsi="Times New Roman" w:cs="Times New Roman"/>
          <w:color w:val="000000"/>
          <w:sz w:val="22"/>
          <w:szCs w:val="22"/>
        </w:rPr>
        <w:t>, 105189.</w:t>
      </w:r>
      <w:hyperlink r:id="rId19">
        <w:r w:rsidR="00506EDB">
          <w:rPr>
            <w:rFonts w:ascii="Times New Roman" w:eastAsia="Times New Roman" w:hAnsi="Times New Roman" w:cs="Times New Roman"/>
            <w:color w:val="0000FF"/>
            <w:sz w:val="22"/>
            <w:szCs w:val="22"/>
            <w:u w:val="single"/>
          </w:rPr>
          <w:t>https://doi.org/10.1016/j.autcon.2023.105189</w:t>
        </w:r>
      </w:hyperlink>
    </w:p>
    <w:p w14:paraId="1DDE13B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Ammar</w:t>
      </w:r>
      <w:proofErr w:type="spellEnd"/>
      <w:r w:rsidRPr="00111BFC">
        <w:rPr>
          <w:rFonts w:ascii="Times New Roman" w:eastAsia="Times New Roman" w:hAnsi="Times New Roman" w:cs="Times New Roman"/>
          <w:color w:val="000000"/>
          <w:sz w:val="22"/>
          <w:szCs w:val="22"/>
          <w:lang w:val="es-US"/>
        </w:rPr>
        <w:t>, T., Abdel-</w:t>
      </w:r>
      <w:proofErr w:type="spellStart"/>
      <w:r w:rsidRPr="00111BFC">
        <w:rPr>
          <w:rFonts w:ascii="Times New Roman" w:eastAsia="Times New Roman" w:hAnsi="Times New Roman" w:cs="Times New Roman"/>
          <w:color w:val="000000"/>
          <w:sz w:val="22"/>
          <w:szCs w:val="22"/>
          <w:lang w:val="es-US"/>
        </w:rPr>
        <w:t>Monem</w:t>
      </w:r>
      <w:proofErr w:type="spellEnd"/>
      <w:r w:rsidRPr="00111BFC">
        <w:rPr>
          <w:rFonts w:ascii="Times New Roman" w:eastAsia="Times New Roman" w:hAnsi="Times New Roman" w:cs="Times New Roman"/>
          <w:color w:val="000000"/>
          <w:sz w:val="22"/>
          <w:szCs w:val="22"/>
          <w:lang w:val="es-US"/>
        </w:rPr>
        <w:t>, M., &amp; El-</w:t>
      </w:r>
      <w:proofErr w:type="spellStart"/>
      <w:r w:rsidRPr="00111BFC">
        <w:rPr>
          <w:rFonts w:ascii="Times New Roman" w:eastAsia="Times New Roman" w:hAnsi="Times New Roman" w:cs="Times New Roman"/>
          <w:color w:val="000000"/>
          <w:sz w:val="22"/>
          <w:szCs w:val="22"/>
          <w:lang w:val="es-US"/>
        </w:rPr>
        <w:t>Dash</w:t>
      </w:r>
      <w:proofErr w:type="spellEnd"/>
      <w:r w:rsidRPr="00111BFC">
        <w:rPr>
          <w:rFonts w:ascii="Times New Roman" w:eastAsia="Times New Roman" w:hAnsi="Times New Roman" w:cs="Times New Roman"/>
          <w:color w:val="000000"/>
          <w:sz w:val="22"/>
          <w:szCs w:val="22"/>
          <w:lang w:val="es-US"/>
        </w:rPr>
        <w:t>, K. (20</w:t>
      </w:r>
      <w:r w:rsidRPr="00111BFC">
        <w:rPr>
          <w:rFonts w:ascii="Times New Roman" w:eastAsia="Times New Roman" w:hAnsi="Times New Roman" w:cs="Times New Roman"/>
          <w:color w:val="000000"/>
          <w:sz w:val="22"/>
          <w:szCs w:val="22"/>
          <w:lang w:val="es-US"/>
        </w:rPr>
        <w:t xml:space="preserve">22). </w:t>
      </w:r>
      <w:r>
        <w:rPr>
          <w:rFonts w:ascii="Times New Roman" w:eastAsia="Times New Roman" w:hAnsi="Times New Roman" w:cs="Times New Roman"/>
          <w:color w:val="000000"/>
          <w:sz w:val="22"/>
          <w:szCs w:val="22"/>
        </w:rPr>
        <w:t>Risk factors causing cost overruns in road networks. </w:t>
      </w:r>
      <w:r>
        <w:rPr>
          <w:rFonts w:ascii="Times New Roman" w:eastAsia="Times New Roman" w:hAnsi="Times New Roman" w:cs="Times New Roman"/>
          <w:i/>
          <w:iCs/>
          <w:color w:val="000000"/>
          <w:sz w:val="22"/>
          <w:szCs w:val="22"/>
        </w:rPr>
        <w:t>Ain Shams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(5), 101720.</w:t>
      </w:r>
      <w:hyperlink r:id="rId20">
        <w:r w:rsidR="00506EDB">
          <w:rPr>
            <w:rFonts w:ascii="Times New Roman" w:eastAsia="Times New Roman" w:hAnsi="Times New Roman" w:cs="Times New Roman"/>
            <w:color w:val="0000FF"/>
            <w:sz w:val="22"/>
            <w:szCs w:val="22"/>
            <w:u w:val="single"/>
          </w:rPr>
          <w:t>https://doi.org/10.1016/j.asej.2022.101720</w:t>
        </w:r>
      </w:hyperlink>
    </w:p>
    <w:p w14:paraId="6BA636E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Andrić</w:t>
      </w:r>
      <w:proofErr w:type="spellEnd"/>
      <w:r>
        <w:rPr>
          <w:rFonts w:ascii="Times New Roman" w:eastAsia="Times New Roman" w:hAnsi="Times New Roman" w:cs="Times New Roman"/>
          <w:color w:val="000000"/>
          <w:sz w:val="22"/>
          <w:szCs w:val="22"/>
        </w:rPr>
        <w:t xml:space="preserve">, J. M., Lin, S., Cheng, Y., &amp; Sun, B. (2024). Determining Cost and Causes of Overruns in Infrastructure Projects in South Asia. Sustainability, 16(24), 11159. </w:t>
      </w:r>
      <w:hyperlink r:id="rId21">
        <w:r w:rsidR="00506EDB">
          <w:rPr>
            <w:rFonts w:ascii="Times New Roman" w:eastAsia="Times New Roman" w:hAnsi="Times New Roman" w:cs="Times New Roman"/>
            <w:color w:val="0000FF"/>
            <w:sz w:val="22"/>
            <w:szCs w:val="22"/>
            <w:u w:val="single"/>
          </w:rPr>
          <w:t>https://doi.org/10.3390/su162411159</w:t>
        </w:r>
      </w:hyperlink>
    </w:p>
    <w:p w14:paraId="629454D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Ariza Flores, V. A., &amp; Zavala </w:t>
      </w:r>
      <w:proofErr w:type="spellStart"/>
      <w:r w:rsidRPr="00111BFC">
        <w:rPr>
          <w:rFonts w:ascii="Times New Roman" w:eastAsia="Times New Roman" w:hAnsi="Times New Roman" w:cs="Times New Roman"/>
          <w:color w:val="000000"/>
          <w:sz w:val="22"/>
          <w:szCs w:val="22"/>
          <w:lang w:val="es-US"/>
        </w:rPr>
        <w:t>Ascaño</w:t>
      </w:r>
      <w:proofErr w:type="spellEnd"/>
      <w:r w:rsidRPr="00111BFC">
        <w:rPr>
          <w:rFonts w:ascii="Times New Roman" w:eastAsia="Times New Roman" w:hAnsi="Times New Roman" w:cs="Times New Roman"/>
          <w:color w:val="000000"/>
          <w:sz w:val="22"/>
          <w:szCs w:val="22"/>
          <w:lang w:val="es-US"/>
        </w:rPr>
        <w:t xml:space="preserve">, G. (2025). </w:t>
      </w:r>
      <w:r>
        <w:rPr>
          <w:rFonts w:ascii="Times New Roman" w:eastAsia="Times New Roman" w:hAnsi="Times New Roman" w:cs="Times New Roman"/>
          <w:color w:val="000000"/>
          <w:sz w:val="22"/>
          <w:szCs w:val="22"/>
        </w:rPr>
        <w:t xml:space="preserve">Quantitative Risk Analysis Framework for Cost and Time Estimation in Road Infrastructure Projects. Infrastructures, 10(6), 139. </w:t>
      </w:r>
      <w:hyperlink r:id="rId22">
        <w:r w:rsidR="00506EDB">
          <w:rPr>
            <w:rFonts w:ascii="Times New Roman" w:eastAsia="Times New Roman" w:hAnsi="Times New Roman" w:cs="Times New Roman"/>
            <w:color w:val="0000FF"/>
            <w:sz w:val="22"/>
            <w:szCs w:val="22"/>
            <w:u w:val="single"/>
          </w:rPr>
          <w:t>https://doi.org/10.3390/infrastructures10060139</w:t>
        </w:r>
      </w:hyperlink>
    </w:p>
    <w:p w14:paraId="6F86B22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Batselier</w:t>
      </w:r>
      <w:proofErr w:type="spellEnd"/>
      <w:r>
        <w:rPr>
          <w:rFonts w:ascii="Times New Roman" w:eastAsia="Times New Roman" w:hAnsi="Times New Roman" w:cs="Times New Roman"/>
          <w:color w:val="000000"/>
          <w:sz w:val="22"/>
          <w:szCs w:val="22"/>
        </w:rPr>
        <w:t xml:space="preserve">, J., &amp; </w:t>
      </w:r>
      <w:proofErr w:type="spellStart"/>
      <w:r>
        <w:rPr>
          <w:rFonts w:ascii="Times New Roman" w:eastAsia="Times New Roman" w:hAnsi="Times New Roman" w:cs="Times New Roman"/>
          <w:color w:val="000000"/>
          <w:sz w:val="22"/>
          <w:szCs w:val="22"/>
        </w:rPr>
        <w:t>Vanhoucke</w:t>
      </w:r>
      <w:proofErr w:type="spellEnd"/>
      <w:r>
        <w:rPr>
          <w:rFonts w:ascii="Times New Roman" w:eastAsia="Times New Roman" w:hAnsi="Times New Roman" w:cs="Times New Roman"/>
          <w:color w:val="000000"/>
          <w:sz w:val="22"/>
          <w:szCs w:val="22"/>
        </w:rPr>
        <w:t>, M. (2015). Empirical evaluation of earned value management forecasting accuracy for time and cost. </w:t>
      </w:r>
      <w:r>
        <w:rPr>
          <w:rFonts w:ascii="Times New Roman" w:eastAsia="Times New Roman" w:hAnsi="Times New Roman" w:cs="Times New Roman"/>
          <w:i/>
          <w:iCs/>
          <w:color w:val="000000"/>
          <w:sz w:val="22"/>
          <w:szCs w:val="22"/>
        </w:rPr>
        <w:t>Journal of Construction Engineering and Management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141</w:t>
      </w:r>
      <w:r>
        <w:rPr>
          <w:rFonts w:ascii="Times New Roman" w:eastAsia="Times New Roman" w:hAnsi="Times New Roman" w:cs="Times New Roman"/>
          <w:color w:val="000000"/>
          <w:sz w:val="22"/>
          <w:szCs w:val="22"/>
        </w:rPr>
        <w:t xml:space="preserve">(11), 05015010. </w:t>
      </w:r>
      <w:hyperlink r:id="rId23">
        <w:r w:rsidR="00506EDB">
          <w:rPr>
            <w:rFonts w:ascii="Times New Roman" w:eastAsia="Times New Roman" w:hAnsi="Times New Roman" w:cs="Times New Roman"/>
            <w:color w:val="0000FF"/>
            <w:sz w:val="22"/>
            <w:szCs w:val="22"/>
            <w:u w:val="single"/>
          </w:rPr>
          <w:t>https://doi.org/10.1061/(ASCE)CO.1943-7862.00010</w:t>
        </w:r>
      </w:hyperlink>
    </w:p>
    <w:p w14:paraId="1D6DBFB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Berg, H., Larsen, A. S. A., </w:t>
      </w:r>
      <w:proofErr w:type="spellStart"/>
      <w:r>
        <w:rPr>
          <w:rFonts w:ascii="Times New Roman" w:eastAsia="Times New Roman" w:hAnsi="Times New Roman" w:cs="Times New Roman"/>
          <w:color w:val="000000"/>
          <w:sz w:val="22"/>
          <w:szCs w:val="22"/>
        </w:rPr>
        <w:t>Klakegg</w:t>
      </w:r>
      <w:proofErr w:type="spellEnd"/>
      <w:r>
        <w:rPr>
          <w:rFonts w:ascii="Times New Roman" w:eastAsia="Times New Roman" w:hAnsi="Times New Roman" w:cs="Times New Roman"/>
          <w:color w:val="000000"/>
          <w:sz w:val="22"/>
          <w:szCs w:val="22"/>
        </w:rPr>
        <w:t xml:space="preserve">, O. J., &amp; </w:t>
      </w:r>
      <w:proofErr w:type="spellStart"/>
      <w:r>
        <w:rPr>
          <w:rFonts w:ascii="Times New Roman" w:eastAsia="Times New Roman" w:hAnsi="Times New Roman" w:cs="Times New Roman"/>
          <w:color w:val="000000"/>
          <w:sz w:val="22"/>
          <w:szCs w:val="22"/>
        </w:rPr>
        <w:t>Welde</w:t>
      </w:r>
      <w:proofErr w:type="spellEnd"/>
      <w:r>
        <w:rPr>
          <w:rFonts w:ascii="Times New Roman" w:eastAsia="Times New Roman" w:hAnsi="Times New Roman" w:cs="Times New Roman"/>
          <w:color w:val="000000"/>
          <w:sz w:val="22"/>
          <w:szCs w:val="22"/>
        </w:rPr>
        <w:t>, M. (2025). Cost estimation in major public projects’ front-end phase: An empirical study on how to improv</w:t>
      </w:r>
      <w:r>
        <w:rPr>
          <w:rFonts w:ascii="Times New Roman" w:eastAsia="Times New Roman" w:hAnsi="Times New Roman" w:cs="Times New Roman"/>
          <w:color w:val="000000"/>
          <w:sz w:val="22"/>
          <w:szCs w:val="22"/>
        </w:rPr>
        <w:t>e current practices. </w:t>
      </w:r>
      <w:r>
        <w:rPr>
          <w:rFonts w:ascii="Times New Roman" w:eastAsia="Times New Roman" w:hAnsi="Times New Roman" w:cs="Times New Roman"/>
          <w:i/>
          <w:iCs/>
          <w:color w:val="000000"/>
          <w:sz w:val="22"/>
          <w:szCs w:val="22"/>
        </w:rPr>
        <w:t>Project Leadership and Society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6</w:t>
      </w:r>
      <w:r>
        <w:rPr>
          <w:rFonts w:ascii="Times New Roman" w:eastAsia="Times New Roman" w:hAnsi="Times New Roman" w:cs="Times New Roman"/>
          <w:color w:val="000000"/>
          <w:sz w:val="22"/>
          <w:szCs w:val="22"/>
        </w:rPr>
        <w:t xml:space="preserve">, 100171. </w:t>
      </w:r>
      <w:hyperlink r:id="rId24">
        <w:r w:rsidR="00506EDB">
          <w:rPr>
            <w:rFonts w:ascii="Times New Roman" w:eastAsia="Times New Roman" w:hAnsi="Times New Roman" w:cs="Times New Roman"/>
            <w:color w:val="0000FF"/>
            <w:sz w:val="22"/>
            <w:szCs w:val="22"/>
            <w:u w:val="single"/>
          </w:rPr>
          <w:t>https://doi.org/10.1016/j.plas.2024.100171</w:t>
        </w:r>
      </w:hyperlink>
    </w:p>
    <w:p w14:paraId="16617E6B"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Boamah</w:t>
      </w:r>
      <w:proofErr w:type="spellEnd"/>
      <w:r w:rsidRPr="00111BFC">
        <w:rPr>
          <w:rFonts w:ascii="Times New Roman" w:eastAsia="Times New Roman" w:hAnsi="Times New Roman" w:cs="Times New Roman"/>
          <w:color w:val="000000"/>
          <w:sz w:val="22"/>
          <w:szCs w:val="22"/>
          <w:lang w:val="es-US"/>
        </w:rPr>
        <w:t xml:space="preserve">, F. A., Jin, X., </w:t>
      </w:r>
      <w:proofErr w:type="spellStart"/>
      <w:r w:rsidRPr="00111BFC">
        <w:rPr>
          <w:rFonts w:ascii="Times New Roman" w:eastAsia="Times New Roman" w:hAnsi="Times New Roman" w:cs="Times New Roman"/>
          <w:color w:val="000000"/>
          <w:sz w:val="22"/>
          <w:szCs w:val="22"/>
          <w:lang w:val="es-US"/>
        </w:rPr>
        <w:t>Senaratne</w:t>
      </w:r>
      <w:proofErr w:type="spellEnd"/>
      <w:r w:rsidRPr="00111BFC">
        <w:rPr>
          <w:rFonts w:ascii="Times New Roman" w:eastAsia="Times New Roman" w:hAnsi="Times New Roman" w:cs="Times New Roman"/>
          <w:color w:val="000000"/>
          <w:sz w:val="22"/>
          <w:szCs w:val="22"/>
          <w:lang w:val="es-US"/>
        </w:rPr>
        <w:t xml:space="preserve">, S., &amp; Perera, S. (2025). </w:t>
      </w:r>
      <w:r>
        <w:rPr>
          <w:rFonts w:ascii="Times New Roman" w:eastAsia="Times New Roman" w:hAnsi="Times New Roman" w:cs="Times New Roman"/>
          <w:color w:val="000000"/>
          <w:sz w:val="22"/>
          <w:szCs w:val="22"/>
        </w:rPr>
        <w:t>AI-driven risk identificati</w:t>
      </w:r>
      <w:r>
        <w:rPr>
          <w:rFonts w:ascii="Times New Roman" w:eastAsia="Times New Roman" w:hAnsi="Times New Roman" w:cs="Times New Roman"/>
          <w:color w:val="000000"/>
          <w:sz w:val="22"/>
          <w:szCs w:val="22"/>
        </w:rPr>
        <w:t xml:space="preserve">on model for infrastructure project: </w:t>
      </w:r>
      <w:proofErr w:type="spellStart"/>
      <w:r>
        <w:rPr>
          <w:rFonts w:ascii="Times New Roman" w:eastAsia="Times New Roman" w:hAnsi="Times New Roman" w:cs="Times New Roman"/>
          <w:color w:val="000000"/>
          <w:sz w:val="22"/>
          <w:szCs w:val="22"/>
        </w:rPr>
        <w:t>Utilising</w:t>
      </w:r>
      <w:proofErr w:type="spellEnd"/>
      <w:r>
        <w:rPr>
          <w:rFonts w:ascii="Times New Roman" w:eastAsia="Times New Roman" w:hAnsi="Times New Roman" w:cs="Times New Roman"/>
          <w:color w:val="000000"/>
          <w:sz w:val="22"/>
          <w:szCs w:val="22"/>
        </w:rPr>
        <w:t xml:space="preserve"> past project data. </w:t>
      </w:r>
      <w:r>
        <w:rPr>
          <w:rFonts w:ascii="Times New Roman" w:eastAsia="Times New Roman" w:hAnsi="Times New Roman" w:cs="Times New Roman"/>
          <w:i/>
          <w:iCs/>
          <w:color w:val="000000"/>
          <w:sz w:val="22"/>
          <w:szCs w:val="22"/>
        </w:rPr>
        <w:t>Expert Systems with Applications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283</w:t>
      </w:r>
      <w:r>
        <w:rPr>
          <w:rFonts w:ascii="Times New Roman" w:eastAsia="Times New Roman" w:hAnsi="Times New Roman" w:cs="Times New Roman"/>
          <w:color w:val="000000"/>
          <w:sz w:val="22"/>
          <w:szCs w:val="22"/>
        </w:rPr>
        <w:t xml:space="preserve">, 127891. </w:t>
      </w:r>
      <w:hyperlink r:id="rId25">
        <w:r w:rsidR="00506EDB">
          <w:rPr>
            <w:rFonts w:ascii="Times New Roman" w:eastAsia="Times New Roman" w:hAnsi="Times New Roman" w:cs="Times New Roman"/>
            <w:color w:val="0000FF"/>
            <w:sz w:val="22"/>
            <w:szCs w:val="22"/>
            <w:u w:val="single"/>
          </w:rPr>
          <w:t>https://doi.org/10.1016/j.eswa.2025.127891</w:t>
        </w:r>
      </w:hyperlink>
    </w:p>
    <w:p w14:paraId="353B90A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Chapman, P. (2024). Project delivery p</w:t>
      </w:r>
      <w:r>
        <w:rPr>
          <w:rFonts w:ascii="Times New Roman" w:eastAsia="Times New Roman" w:hAnsi="Times New Roman" w:cs="Times New Roman"/>
          <w:color w:val="000000"/>
          <w:sz w:val="22"/>
          <w:szCs w:val="22"/>
        </w:rPr>
        <w:t>erformance: Insights from English roads major schemes. </w:t>
      </w:r>
      <w:r>
        <w:rPr>
          <w:rFonts w:ascii="Times New Roman" w:eastAsia="Times New Roman" w:hAnsi="Times New Roman" w:cs="Times New Roman"/>
          <w:i/>
          <w:iCs/>
          <w:color w:val="000000"/>
          <w:sz w:val="22"/>
          <w:szCs w:val="22"/>
        </w:rPr>
        <w:t>Project Leadership and Society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5</w:t>
      </w:r>
      <w:r>
        <w:rPr>
          <w:rFonts w:ascii="Times New Roman" w:eastAsia="Times New Roman" w:hAnsi="Times New Roman" w:cs="Times New Roman"/>
          <w:color w:val="000000"/>
          <w:sz w:val="22"/>
          <w:szCs w:val="22"/>
        </w:rPr>
        <w:t xml:space="preserve">, 100128. </w:t>
      </w:r>
      <w:hyperlink r:id="rId26">
        <w:r w:rsidR="00506EDB">
          <w:rPr>
            <w:rFonts w:ascii="Times New Roman" w:eastAsia="Times New Roman" w:hAnsi="Times New Roman" w:cs="Times New Roman"/>
            <w:color w:val="0000FF"/>
            <w:sz w:val="22"/>
            <w:szCs w:val="22"/>
            <w:u w:val="single"/>
          </w:rPr>
          <w:t>https://doi.org/10.1016/j.plas.2024.100128</w:t>
        </w:r>
      </w:hyperlink>
    </w:p>
    <w:p w14:paraId="4929694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Chen, M., Martins, T. S., Zhang, L., &amp; Dong, H. (2025</w:t>
      </w:r>
      <w:r>
        <w:rPr>
          <w:rFonts w:ascii="Times New Roman" w:eastAsia="Times New Roman" w:hAnsi="Times New Roman" w:cs="Times New Roman"/>
          <w:color w:val="000000"/>
          <w:sz w:val="22"/>
          <w:szCs w:val="22"/>
        </w:rPr>
        <w:t>). Digital transformation in project management: A systematic review and research agenda. </w:t>
      </w:r>
      <w:r>
        <w:rPr>
          <w:rFonts w:ascii="Times New Roman" w:eastAsia="Times New Roman" w:hAnsi="Times New Roman" w:cs="Times New Roman"/>
          <w:i/>
          <w:iCs/>
          <w:color w:val="000000"/>
          <w:sz w:val="22"/>
          <w:szCs w:val="22"/>
        </w:rPr>
        <w:t>Systems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(8), 625.</w:t>
      </w:r>
      <w:hyperlink r:id="rId27">
        <w:r w:rsidR="00506EDB">
          <w:rPr>
            <w:rFonts w:ascii="Times New Roman" w:eastAsia="Times New Roman" w:hAnsi="Times New Roman" w:cs="Times New Roman"/>
            <w:color w:val="0000FF"/>
            <w:sz w:val="22"/>
            <w:szCs w:val="22"/>
            <w:u w:val="single"/>
          </w:rPr>
          <w:t>https://doi.org/10.3390/systems13080625</w:t>
        </w:r>
      </w:hyperlink>
    </w:p>
    <w:p w14:paraId="54B99ADE"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Daoud, A. O., El </w:t>
      </w:r>
      <w:proofErr w:type="spellStart"/>
      <w:r w:rsidRPr="00111BFC">
        <w:rPr>
          <w:rFonts w:ascii="Times New Roman" w:eastAsia="Times New Roman" w:hAnsi="Times New Roman" w:cs="Times New Roman"/>
          <w:color w:val="000000"/>
          <w:sz w:val="22"/>
          <w:szCs w:val="22"/>
          <w:lang w:val="es-US"/>
        </w:rPr>
        <w:t>Hefnawy</w:t>
      </w:r>
      <w:proofErr w:type="spellEnd"/>
      <w:r w:rsidRPr="00111BFC">
        <w:rPr>
          <w:rFonts w:ascii="Times New Roman" w:eastAsia="Times New Roman" w:hAnsi="Times New Roman" w:cs="Times New Roman"/>
          <w:color w:val="000000"/>
          <w:sz w:val="22"/>
          <w:szCs w:val="22"/>
          <w:lang w:val="es-US"/>
        </w:rPr>
        <w:t xml:space="preserve">, M., &amp; </w:t>
      </w:r>
      <w:proofErr w:type="spellStart"/>
      <w:r w:rsidRPr="00111BFC">
        <w:rPr>
          <w:rFonts w:ascii="Times New Roman" w:eastAsia="Times New Roman" w:hAnsi="Times New Roman" w:cs="Times New Roman"/>
          <w:color w:val="000000"/>
          <w:sz w:val="22"/>
          <w:szCs w:val="22"/>
          <w:lang w:val="es-US"/>
        </w:rPr>
        <w:t>Wefki</w:t>
      </w:r>
      <w:proofErr w:type="spellEnd"/>
      <w:r w:rsidRPr="00111BFC">
        <w:rPr>
          <w:rFonts w:ascii="Times New Roman" w:eastAsia="Times New Roman" w:hAnsi="Times New Roman" w:cs="Times New Roman"/>
          <w:color w:val="000000"/>
          <w:sz w:val="22"/>
          <w:szCs w:val="22"/>
          <w:lang w:val="es-US"/>
        </w:rPr>
        <w:t xml:space="preserve">, H. (2023). </w:t>
      </w:r>
      <w:r>
        <w:rPr>
          <w:rFonts w:ascii="Times New Roman" w:eastAsia="Times New Roman" w:hAnsi="Times New Roman" w:cs="Times New Roman"/>
          <w:color w:val="000000"/>
          <w:sz w:val="22"/>
          <w:szCs w:val="22"/>
        </w:rPr>
        <w:t>Investigation of critical factors affecting cost overruns and delays in Egyptian mega construction projects. </w:t>
      </w:r>
      <w:r>
        <w:rPr>
          <w:rFonts w:ascii="Times New Roman" w:eastAsia="Times New Roman" w:hAnsi="Times New Roman" w:cs="Times New Roman"/>
          <w:i/>
          <w:iCs/>
          <w:color w:val="000000"/>
          <w:sz w:val="22"/>
          <w:szCs w:val="22"/>
        </w:rPr>
        <w:t>Alexandria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83</w:t>
      </w:r>
      <w:r>
        <w:rPr>
          <w:rFonts w:ascii="Times New Roman" w:eastAsia="Times New Roman" w:hAnsi="Times New Roman" w:cs="Times New Roman"/>
          <w:color w:val="000000"/>
          <w:sz w:val="22"/>
          <w:szCs w:val="22"/>
        </w:rPr>
        <w:t xml:space="preserve">, 326-334. </w:t>
      </w:r>
      <w:hyperlink r:id="rId28">
        <w:r w:rsidR="00506EDB">
          <w:rPr>
            <w:rFonts w:ascii="Times New Roman" w:eastAsia="Times New Roman" w:hAnsi="Times New Roman" w:cs="Times New Roman"/>
            <w:color w:val="0000FF"/>
            <w:sz w:val="22"/>
            <w:szCs w:val="22"/>
            <w:u w:val="single"/>
          </w:rPr>
          <w:t>https://doi.org/10.1016/j.aej.2023.10.052</w:t>
        </w:r>
      </w:hyperlink>
    </w:p>
    <w:p w14:paraId="6F772610"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 Andrade, P. A., Martens, A., &amp; </w:t>
      </w:r>
      <w:proofErr w:type="spellStart"/>
      <w:r>
        <w:rPr>
          <w:rFonts w:ascii="Times New Roman" w:eastAsia="Times New Roman" w:hAnsi="Times New Roman" w:cs="Times New Roman"/>
          <w:color w:val="000000"/>
          <w:sz w:val="22"/>
          <w:szCs w:val="22"/>
        </w:rPr>
        <w:t>Vanhoucke</w:t>
      </w:r>
      <w:proofErr w:type="spellEnd"/>
      <w:r>
        <w:rPr>
          <w:rFonts w:ascii="Times New Roman" w:eastAsia="Times New Roman" w:hAnsi="Times New Roman" w:cs="Times New Roman"/>
          <w:color w:val="000000"/>
          <w:sz w:val="22"/>
          <w:szCs w:val="22"/>
        </w:rPr>
        <w:t>, M. (2019). Using real project schedule data to compare earned schedule and earned duration management project time forecasting capabilities. </w:t>
      </w:r>
      <w:r>
        <w:rPr>
          <w:rFonts w:ascii="Times New Roman" w:eastAsia="Times New Roman" w:hAnsi="Times New Roman" w:cs="Times New Roman"/>
          <w:i/>
          <w:iCs/>
          <w:color w:val="000000"/>
          <w:sz w:val="22"/>
          <w:szCs w:val="22"/>
        </w:rPr>
        <w:t xml:space="preserve">Automation in </w:t>
      </w:r>
      <w:r>
        <w:rPr>
          <w:rFonts w:ascii="Times New Roman" w:eastAsia="Times New Roman" w:hAnsi="Times New Roman" w:cs="Times New Roman"/>
          <w:i/>
          <w:iCs/>
          <w:color w:val="000000"/>
          <w:sz w:val="22"/>
          <w:szCs w:val="22"/>
        </w:rPr>
        <w:t>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99</w:t>
      </w:r>
      <w:r>
        <w:rPr>
          <w:rFonts w:ascii="Times New Roman" w:eastAsia="Times New Roman" w:hAnsi="Times New Roman" w:cs="Times New Roman"/>
          <w:color w:val="000000"/>
          <w:sz w:val="22"/>
          <w:szCs w:val="22"/>
        </w:rPr>
        <w:t xml:space="preserve">, 68-78.  </w:t>
      </w:r>
      <w:hyperlink r:id="rId29">
        <w:r w:rsidR="00506EDB">
          <w:rPr>
            <w:rFonts w:ascii="Times New Roman" w:eastAsia="Times New Roman" w:hAnsi="Times New Roman" w:cs="Times New Roman"/>
            <w:color w:val="0000FF"/>
            <w:sz w:val="22"/>
            <w:szCs w:val="22"/>
            <w:u w:val="single"/>
          </w:rPr>
          <w:t>https://doi.org/10.1016/j.autcon.2018.11.030</w:t>
        </w:r>
      </w:hyperlink>
    </w:p>
    <w:p w14:paraId="48FC37D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Deng, J., &amp; Jian, W. (2022). Estimating Construction Project Duration and Costs upon Completion Using Monte Carlo Simulat</w:t>
      </w:r>
      <w:r>
        <w:rPr>
          <w:rFonts w:ascii="Times New Roman" w:eastAsia="Times New Roman" w:hAnsi="Times New Roman" w:cs="Times New Roman"/>
          <w:color w:val="000000"/>
          <w:sz w:val="22"/>
          <w:szCs w:val="22"/>
        </w:rPr>
        <w:t xml:space="preserve">ions and Improved Earned Value Management. Buildings, 12(12), 2173. </w:t>
      </w:r>
      <w:hyperlink r:id="rId30">
        <w:r w:rsidR="00506EDB">
          <w:rPr>
            <w:rFonts w:ascii="Times New Roman" w:eastAsia="Times New Roman" w:hAnsi="Times New Roman" w:cs="Times New Roman"/>
            <w:color w:val="0000FF"/>
            <w:sz w:val="22"/>
            <w:szCs w:val="22"/>
            <w:u w:val="single"/>
          </w:rPr>
          <w:t>https://doi.org/10.3390/buildings12122173</w:t>
        </w:r>
      </w:hyperlink>
    </w:p>
    <w:p w14:paraId="0EF6E8A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Derakhshanalavijeh</w:t>
      </w:r>
      <w:proofErr w:type="spellEnd"/>
      <w:r>
        <w:rPr>
          <w:rFonts w:ascii="Times New Roman" w:eastAsia="Times New Roman" w:hAnsi="Times New Roman" w:cs="Times New Roman"/>
          <w:color w:val="000000"/>
          <w:sz w:val="22"/>
          <w:szCs w:val="22"/>
        </w:rPr>
        <w:t>, R., &amp; Teixeira, J. M. C. (2017). Cost overrun in construction pro</w:t>
      </w:r>
      <w:r>
        <w:rPr>
          <w:rFonts w:ascii="Times New Roman" w:eastAsia="Times New Roman" w:hAnsi="Times New Roman" w:cs="Times New Roman"/>
          <w:color w:val="000000"/>
          <w:sz w:val="22"/>
          <w:szCs w:val="22"/>
        </w:rPr>
        <w:t xml:space="preserve">jects in developing countries, Gas-Oil industry of Iran as a case study. Journal of Civil Engineering and Management, 23(1), 125-136. </w:t>
      </w:r>
      <w:hyperlink r:id="rId31">
        <w:r w:rsidR="00506EDB">
          <w:rPr>
            <w:rFonts w:ascii="Times New Roman" w:eastAsia="Times New Roman" w:hAnsi="Times New Roman" w:cs="Times New Roman"/>
            <w:color w:val="0000FF"/>
            <w:sz w:val="22"/>
            <w:szCs w:val="22"/>
            <w:u w:val="single"/>
          </w:rPr>
          <w:t>https://doi.org/10.3846/13923730.2014.992467</w:t>
        </w:r>
      </w:hyperlink>
    </w:p>
    <w:p w14:paraId="3149302E"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De Marco, A.,</w:t>
      </w:r>
      <w:r w:rsidRPr="00111BFC">
        <w:rPr>
          <w:rFonts w:ascii="Times New Roman" w:eastAsia="Times New Roman" w:hAnsi="Times New Roman" w:cs="Times New Roman"/>
          <w:color w:val="000000"/>
          <w:sz w:val="22"/>
          <w:szCs w:val="22"/>
          <w:lang w:val="es-US"/>
        </w:rPr>
        <w:t xml:space="preserve"> &amp; </w:t>
      </w:r>
      <w:proofErr w:type="spellStart"/>
      <w:r w:rsidRPr="00111BFC">
        <w:rPr>
          <w:rFonts w:ascii="Times New Roman" w:eastAsia="Times New Roman" w:hAnsi="Times New Roman" w:cs="Times New Roman"/>
          <w:color w:val="000000"/>
          <w:sz w:val="22"/>
          <w:szCs w:val="22"/>
          <w:lang w:val="es-US"/>
        </w:rPr>
        <w:t>Narbaev</w:t>
      </w:r>
      <w:proofErr w:type="spellEnd"/>
      <w:r w:rsidRPr="00111BFC">
        <w:rPr>
          <w:rFonts w:ascii="Times New Roman" w:eastAsia="Times New Roman" w:hAnsi="Times New Roman" w:cs="Times New Roman"/>
          <w:color w:val="000000"/>
          <w:sz w:val="22"/>
          <w:szCs w:val="22"/>
          <w:lang w:val="es-US"/>
        </w:rPr>
        <w:t xml:space="preserve">, T. (2021). </w:t>
      </w:r>
      <w:r>
        <w:rPr>
          <w:rFonts w:ascii="Times New Roman" w:eastAsia="Times New Roman" w:hAnsi="Times New Roman" w:cs="Times New Roman"/>
          <w:color w:val="000000"/>
          <w:sz w:val="22"/>
          <w:szCs w:val="22"/>
        </w:rPr>
        <w:t>Factors of schedule and cost performance of tunnel construction megaprojects. </w:t>
      </w:r>
      <w:r>
        <w:rPr>
          <w:rFonts w:ascii="Times New Roman" w:eastAsia="Times New Roman" w:hAnsi="Times New Roman" w:cs="Times New Roman"/>
          <w:i/>
          <w:iCs/>
          <w:color w:val="000000"/>
          <w:sz w:val="22"/>
          <w:szCs w:val="22"/>
        </w:rPr>
        <w:t>The open civil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15</w:t>
      </w:r>
      <w:r>
        <w:rPr>
          <w:rFonts w:ascii="Times New Roman" w:eastAsia="Times New Roman" w:hAnsi="Times New Roman" w:cs="Times New Roman"/>
          <w:color w:val="000000"/>
          <w:sz w:val="22"/>
          <w:szCs w:val="22"/>
        </w:rPr>
        <w:t xml:space="preserve">(1). </w:t>
      </w:r>
      <w:hyperlink r:id="rId32">
        <w:r w:rsidR="00506EDB">
          <w:rPr>
            <w:rFonts w:ascii="Times New Roman" w:eastAsia="Times New Roman" w:hAnsi="Times New Roman" w:cs="Times New Roman"/>
            <w:color w:val="0000FF"/>
            <w:sz w:val="22"/>
            <w:szCs w:val="22"/>
            <w:u w:val="single"/>
          </w:rPr>
          <w:t>https://doi.org/10.2174/1874149502115010038</w:t>
        </w:r>
      </w:hyperlink>
    </w:p>
    <w:p w14:paraId="5FCA2DC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lastRenderedPageBreak/>
        <w:t>Elmou</w:t>
      </w:r>
      <w:r>
        <w:rPr>
          <w:rFonts w:ascii="Times New Roman" w:eastAsia="Times New Roman" w:hAnsi="Times New Roman" w:cs="Times New Roman"/>
          <w:color w:val="000000"/>
          <w:sz w:val="22"/>
          <w:szCs w:val="22"/>
        </w:rPr>
        <w:t>salami</w:t>
      </w:r>
      <w:proofErr w:type="spellEnd"/>
      <w:r>
        <w:rPr>
          <w:rFonts w:ascii="Times New Roman" w:eastAsia="Times New Roman" w:hAnsi="Times New Roman" w:cs="Times New Roman"/>
          <w:color w:val="000000"/>
          <w:sz w:val="22"/>
          <w:szCs w:val="22"/>
        </w:rPr>
        <w:t xml:space="preserve">, H., </w:t>
      </w:r>
      <w:proofErr w:type="spellStart"/>
      <w:r>
        <w:rPr>
          <w:rFonts w:ascii="Times New Roman" w:eastAsia="Times New Roman" w:hAnsi="Times New Roman" w:cs="Times New Roman"/>
          <w:color w:val="000000"/>
          <w:sz w:val="22"/>
          <w:szCs w:val="22"/>
        </w:rPr>
        <w:t>Elshaboury</w:t>
      </w:r>
      <w:proofErr w:type="spellEnd"/>
      <w:r>
        <w:rPr>
          <w:rFonts w:ascii="Times New Roman" w:eastAsia="Times New Roman" w:hAnsi="Times New Roman" w:cs="Times New Roman"/>
          <w:color w:val="000000"/>
          <w:sz w:val="22"/>
          <w:szCs w:val="22"/>
        </w:rPr>
        <w:t xml:space="preserve">, N., &amp; </w:t>
      </w:r>
      <w:proofErr w:type="spellStart"/>
      <w:r>
        <w:rPr>
          <w:rFonts w:ascii="Times New Roman" w:eastAsia="Times New Roman" w:hAnsi="Times New Roman" w:cs="Times New Roman"/>
          <w:color w:val="000000"/>
          <w:sz w:val="22"/>
          <w:szCs w:val="22"/>
        </w:rPr>
        <w:t>Elyamany</w:t>
      </w:r>
      <w:proofErr w:type="spellEnd"/>
      <w:r>
        <w:rPr>
          <w:rFonts w:ascii="Times New Roman" w:eastAsia="Times New Roman" w:hAnsi="Times New Roman" w:cs="Times New Roman"/>
          <w:color w:val="000000"/>
          <w:sz w:val="22"/>
          <w:szCs w:val="22"/>
        </w:rPr>
        <w:t>, A. H. (2024). Green artificial intelligence for cost-duration variance prediction (CDVP) for irrigation canals rehabilitation projects. </w:t>
      </w:r>
      <w:r>
        <w:rPr>
          <w:rFonts w:ascii="Times New Roman" w:eastAsia="Times New Roman" w:hAnsi="Times New Roman" w:cs="Times New Roman"/>
          <w:i/>
          <w:iCs/>
          <w:color w:val="000000"/>
          <w:sz w:val="22"/>
          <w:szCs w:val="22"/>
        </w:rPr>
        <w:t>Expert Systems with Applications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249</w:t>
      </w:r>
      <w:r>
        <w:rPr>
          <w:rFonts w:ascii="Times New Roman" w:eastAsia="Times New Roman" w:hAnsi="Times New Roman" w:cs="Times New Roman"/>
          <w:color w:val="000000"/>
          <w:sz w:val="22"/>
          <w:szCs w:val="22"/>
        </w:rPr>
        <w:t>, 123789.</w:t>
      </w:r>
      <w:hyperlink r:id="rId33">
        <w:r w:rsidR="00506EDB">
          <w:rPr>
            <w:rFonts w:ascii="Times New Roman" w:eastAsia="Times New Roman" w:hAnsi="Times New Roman" w:cs="Times New Roman"/>
            <w:color w:val="0000FF"/>
            <w:sz w:val="22"/>
            <w:szCs w:val="22"/>
            <w:u w:val="single"/>
          </w:rPr>
          <w:t>https://doi.org/10.1016/j.eswa.2024.123789</w:t>
        </w:r>
      </w:hyperlink>
    </w:p>
    <w:p w14:paraId="6A4BEA2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Gómez-Cabrera, A., León, L. C., </w:t>
      </w:r>
      <w:proofErr w:type="spellStart"/>
      <w:r w:rsidRPr="00111BFC">
        <w:rPr>
          <w:rFonts w:ascii="Times New Roman" w:eastAsia="Times New Roman" w:hAnsi="Times New Roman" w:cs="Times New Roman"/>
          <w:color w:val="000000"/>
          <w:sz w:val="22"/>
          <w:szCs w:val="22"/>
          <w:lang w:val="es-US"/>
        </w:rPr>
        <w:t>Lopez</w:t>
      </w:r>
      <w:proofErr w:type="spellEnd"/>
      <w:r w:rsidRPr="00111BFC">
        <w:rPr>
          <w:rFonts w:ascii="Times New Roman" w:eastAsia="Times New Roman" w:hAnsi="Times New Roman" w:cs="Times New Roman"/>
          <w:color w:val="000000"/>
          <w:sz w:val="22"/>
          <w:szCs w:val="22"/>
          <w:lang w:val="es-US"/>
        </w:rPr>
        <w:t xml:space="preserve">, M. L., &amp; Torres, A. (2025). </w:t>
      </w:r>
      <w:r>
        <w:rPr>
          <w:rFonts w:ascii="Times New Roman" w:eastAsia="Times New Roman" w:hAnsi="Times New Roman" w:cs="Times New Roman"/>
          <w:color w:val="000000"/>
          <w:sz w:val="22"/>
          <w:szCs w:val="22"/>
        </w:rPr>
        <w:t>Analyzing Time and Cost Deviations in Educational Infrastructure Projects: A Data-Driv</w:t>
      </w:r>
      <w:r>
        <w:rPr>
          <w:rFonts w:ascii="Times New Roman" w:eastAsia="Times New Roman" w:hAnsi="Times New Roman" w:cs="Times New Roman"/>
          <w:color w:val="000000"/>
          <w:sz w:val="22"/>
          <w:szCs w:val="22"/>
        </w:rPr>
        <w:t xml:space="preserve">en Approach Using Colombia’s Public Data Platform. Buildings, 15(19), 3505. </w:t>
      </w:r>
      <w:hyperlink r:id="rId34">
        <w:r w:rsidR="00506EDB">
          <w:rPr>
            <w:rFonts w:ascii="Times New Roman" w:eastAsia="Times New Roman" w:hAnsi="Times New Roman" w:cs="Times New Roman"/>
            <w:color w:val="0000FF"/>
            <w:sz w:val="22"/>
            <w:szCs w:val="22"/>
            <w:u w:val="single"/>
          </w:rPr>
          <w:t>https://doi.org/10.3390/buildings15193505</w:t>
        </w:r>
      </w:hyperlink>
    </w:p>
    <w:p w14:paraId="7D640FAC"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Herrera, R. F., Sánchez, O., Castañeda, K., &amp; Porras, H. (2020). </w:t>
      </w:r>
      <w:r>
        <w:rPr>
          <w:rFonts w:ascii="Times New Roman" w:eastAsia="Times New Roman" w:hAnsi="Times New Roman" w:cs="Times New Roman"/>
          <w:color w:val="000000"/>
          <w:sz w:val="22"/>
          <w:szCs w:val="22"/>
        </w:rPr>
        <w:t>Cost Overrun</w:t>
      </w:r>
      <w:r>
        <w:rPr>
          <w:rFonts w:ascii="Times New Roman" w:eastAsia="Times New Roman" w:hAnsi="Times New Roman" w:cs="Times New Roman"/>
          <w:color w:val="000000"/>
          <w:sz w:val="22"/>
          <w:szCs w:val="22"/>
        </w:rPr>
        <w:t xml:space="preserve"> Causative Factors in Road Infrastructure Projects: A Frequency and Importance Analysis. Applied Sciences, 10(16), 5506. </w:t>
      </w:r>
      <w:hyperlink r:id="rId35">
        <w:r w:rsidR="00506EDB">
          <w:rPr>
            <w:rFonts w:ascii="Times New Roman" w:eastAsia="Times New Roman" w:hAnsi="Times New Roman" w:cs="Times New Roman"/>
            <w:color w:val="0000FF"/>
            <w:sz w:val="22"/>
            <w:szCs w:val="22"/>
            <w:u w:val="single"/>
          </w:rPr>
          <w:t>https://doi.org/10.3390/app10165506</w:t>
        </w:r>
      </w:hyperlink>
      <w:r>
        <w:rPr>
          <w:rFonts w:ascii="Times New Roman" w:eastAsia="Times New Roman" w:hAnsi="Times New Roman" w:cs="Times New Roman"/>
          <w:color w:val="000000"/>
          <w:sz w:val="22"/>
          <w:szCs w:val="22"/>
        </w:rPr>
        <w:t xml:space="preserve"> </w:t>
      </w:r>
    </w:p>
    <w:p w14:paraId="02BA2A55"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Ichsan</w:t>
      </w:r>
      <w:proofErr w:type="spellEnd"/>
      <w:r>
        <w:rPr>
          <w:rFonts w:ascii="Times New Roman" w:eastAsia="Times New Roman" w:hAnsi="Times New Roman" w:cs="Times New Roman"/>
          <w:color w:val="000000"/>
          <w:sz w:val="22"/>
          <w:szCs w:val="22"/>
        </w:rPr>
        <w:t xml:space="preserve">, M., </w:t>
      </w:r>
      <w:proofErr w:type="spellStart"/>
      <w:r>
        <w:rPr>
          <w:rFonts w:ascii="Times New Roman" w:eastAsia="Times New Roman" w:hAnsi="Times New Roman" w:cs="Times New Roman"/>
          <w:color w:val="000000"/>
          <w:sz w:val="22"/>
          <w:szCs w:val="22"/>
        </w:rPr>
        <w:t>Isvara</w:t>
      </w:r>
      <w:proofErr w:type="spellEnd"/>
      <w:r>
        <w:rPr>
          <w:rFonts w:ascii="Times New Roman" w:eastAsia="Times New Roman" w:hAnsi="Times New Roman" w:cs="Times New Roman"/>
          <w:color w:val="000000"/>
          <w:sz w:val="22"/>
          <w:szCs w:val="22"/>
        </w:rPr>
        <w:t>, W., &amp; Karim, S. (2025).</w:t>
      </w:r>
      <w:r>
        <w:rPr>
          <w:rFonts w:ascii="Times New Roman" w:eastAsia="Times New Roman" w:hAnsi="Times New Roman" w:cs="Times New Roman"/>
          <w:color w:val="000000"/>
          <w:sz w:val="22"/>
          <w:szCs w:val="22"/>
        </w:rPr>
        <w:t xml:space="preserve"> Monte Carlo Simulation for Enhancing the Schedule Completion Forecast of Jakarta Central Railway Station Construction Project. Applied Sciences, 15(13), 7464. </w:t>
      </w:r>
      <w:hyperlink r:id="rId36">
        <w:r w:rsidR="00506EDB">
          <w:rPr>
            <w:rFonts w:ascii="Times New Roman" w:eastAsia="Times New Roman" w:hAnsi="Times New Roman" w:cs="Times New Roman"/>
            <w:color w:val="0000FF"/>
            <w:sz w:val="22"/>
            <w:szCs w:val="22"/>
            <w:u w:val="single"/>
          </w:rPr>
          <w:t>https://doi.org/10.3390/app15137464</w:t>
        </w:r>
      </w:hyperlink>
    </w:p>
    <w:p w14:paraId="3AF6A14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Issa,</w:t>
      </w:r>
      <w:r>
        <w:rPr>
          <w:rFonts w:ascii="Times New Roman" w:eastAsia="Times New Roman" w:hAnsi="Times New Roman" w:cs="Times New Roman"/>
          <w:color w:val="000000"/>
          <w:sz w:val="22"/>
          <w:szCs w:val="22"/>
        </w:rPr>
        <w:t xml:space="preserve"> A., </w:t>
      </w:r>
      <w:proofErr w:type="spellStart"/>
      <w:r>
        <w:rPr>
          <w:rFonts w:ascii="Times New Roman" w:eastAsia="Times New Roman" w:hAnsi="Times New Roman" w:cs="Times New Roman"/>
          <w:color w:val="000000"/>
          <w:sz w:val="22"/>
          <w:szCs w:val="22"/>
        </w:rPr>
        <w:t>Bdair</w:t>
      </w:r>
      <w:proofErr w:type="spellEnd"/>
      <w:r>
        <w:rPr>
          <w:rFonts w:ascii="Times New Roman" w:eastAsia="Times New Roman" w:hAnsi="Times New Roman" w:cs="Times New Roman"/>
          <w:color w:val="000000"/>
          <w:sz w:val="22"/>
          <w:szCs w:val="22"/>
        </w:rPr>
        <w:t>, R., &amp; Abu-</w:t>
      </w:r>
      <w:proofErr w:type="spellStart"/>
      <w:r>
        <w:rPr>
          <w:rFonts w:ascii="Times New Roman" w:eastAsia="Times New Roman" w:hAnsi="Times New Roman" w:cs="Times New Roman"/>
          <w:color w:val="000000"/>
          <w:sz w:val="22"/>
          <w:szCs w:val="22"/>
        </w:rPr>
        <w:t>Eisheh</w:t>
      </w:r>
      <w:proofErr w:type="spellEnd"/>
      <w:r>
        <w:rPr>
          <w:rFonts w:ascii="Times New Roman" w:eastAsia="Times New Roman" w:hAnsi="Times New Roman" w:cs="Times New Roman"/>
          <w:color w:val="000000"/>
          <w:sz w:val="22"/>
          <w:szCs w:val="22"/>
        </w:rPr>
        <w:t>, S. (2022). Assessment of compliance to planned cost and time for implemented municipal roads projects in Palestine. </w:t>
      </w:r>
      <w:r>
        <w:rPr>
          <w:rFonts w:ascii="Times New Roman" w:eastAsia="Times New Roman" w:hAnsi="Times New Roman" w:cs="Times New Roman"/>
          <w:i/>
          <w:iCs/>
          <w:color w:val="000000"/>
          <w:sz w:val="22"/>
          <w:szCs w:val="22"/>
        </w:rPr>
        <w:t>Ain shams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 xml:space="preserve">(2), 101578. </w:t>
      </w:r>
      <w:hyperlink r:id="rId37">
        <w:r w:rsidR="00506EDB">
          <w:rPr>
            <w:rFonts w:ascii="Times New Roman" w:eastAsia="Times New Roman" w:hAnsi="Times New Roman" w:cs="Times New Roman"/>
            <w:color w:val="0000FF"/>
            <w:sz w:val="22"/>
            <w:szCs w:val="22"/>
            <w:u w:val="single"/>
          </w:rPr>
          <w:t>https://doi.org/10.1016/j.asej.2021.09.005</w:t>
        </w:r>
      </w:hyperlink>
    </w:p>
    <w:p w14:paraId="2295BC3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Khanh</w:t>
      </w:r>
      <w:proofErr w:type="spellEnd"/>
      <w:r>
        <w:rPr>
          <w:rFonts w:ascii="Times New Roman" w:eastAsia="Times New Roman" w:hAnsi="Times New Roman" w:cs="Times New Roman"/>
          <w:color w:val="000000"/>
          <w:sz w:val="22"/>
          <w:szCs w:val="22"/>
        </w:rPr>
        <w:t>, H. D., Kim, S. Y., &amp; Linh, L. Q. (2023). Construction productivity prediction through Bayesian networks for building projects: case from Vietnam. </w:t>
      </w:r>
      <w:r>
        <w:rPr>
          <w:rFonts w:ascii="Times New Roman" w:eastAsia="Times New Roman" w:hAnsi="Times New Roman" w:cs="Times New Roman"/>
          <w:i/>
          <w:iCs/>
          <w:color w:val="000000"/>
          <w:sz w:val="22"/>
          <w:szCs w:val="22"/>
        </w:rPr>
        <w:t>Engineering, Construction and Architectural Management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30</w:t>
      </w:r>
      <w:r>
        <w:rPr>
          <w:rFonts w:ascii="Times New Roman" w:eastAsia="Times New Roman" w:hAnsi="Times New Roman" w:cs="Times New Roman"/>
          <w:color w:val="000000"/>
          <w:sz w:val="22"/>
          <w:szCs w:val="22"/>
        </w:rPr>
        <w:t>(5),</w:t>
      </w:r>
      <w:r>
        <w:rPr>
          <w:rFonts w:ascii="Times New Roman" w:eastAsia="Times New Roman" w:hAnsi="Times New Roman" w:cs="Times New Roman"/>
          <w:color w:val="000000"/>
          <w:sz w:val="22"/>
          <w:szCs w:val="22"/>
        </w:rPr>
        <w:t xml:space="preserve"> 2075-2100. </w:t>
      </w:r>
      <w:hyperlink r:id="rId38">
        <w:r w:rsidR="00506EDB">
          <w:rPr>
            <w:rFonts w:ascii="Times New Roman" w:eastAsia="Times New Roman" w:hAnsi="Times New Roman" w:cs="Times New Roman"/>
            <w:color w:val="0000FF"/>
            <w:sz w:val="22"/>
            <w:szCs w:val="22"/>
            <w:u w:val="single"/>
          </w:rPr>
          <w:t>https://doi.org/10.1108/ECAM-07-2021-0602</w:t>
        </w:r>
      </w:hyperlink>
    </w:p>
    <w:p w14:paraId="65628D4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Khodeir</w:t>
      </w:r>
      <w:proofErr w:type="spellEnd"/>
      <w:r>
        <w:rPr>
          <w:rFonts w:ascii="Times New Roman" w:eastAsia="Times New Roman" w:hAnsi="Times New Roman" w:cs="Times New Roman"/>
          <w:color w:val="000000"/>
          <w:sz w:val="22"/>
          <w:szCs w:val="22"/>
        </w:rPr>
        <w:t xml:space="preserve">, L. M., &amp; El </w:t>
      </w:r>
      <w:proofErr w:type="spellStart"/>
      <w:r>
        <w:rPr>
          <w:rFonts w:ascii="Times New Roman" w:eastAsia="Times New Roman" w:hAnsi="Times New Roman" w:cs="Times New Roman"/>
          <w:color w:val="000000"/>
          <w:sz w:val="22"/>
          <w:szCs w:val="22"/>
        </w:rPr>
        <w:t>Ghandour</w:t>
      </w:r>
      <w:proofErr w:type="spellEnd"/>
      <w:r>
        <w:rPr>
          <w:rFonts w:ascii="Times New Roman" w:eastAsia="Times New Roman" w:hAnsi="Times New Roman" w:cs="Times New Roman"/>
          <w:color w:val="000000"/>
          <w:sz w:val="22"/>
          <w:szCs w:val="22"/>
        </w:rPr>
        <w:t>, A. (2019). Examining the role of value management in controlling cost overrun [application on residential cons</w:t>
      </w:r>
      <w:r>
        <w:rPr>
          <w:rFonts w:ascii="Times New Roman" w:eastAsia="Times New Roman" w:hAnsi="Times New Roman" w:cs="Times New Roman"/>
          <w:color w:val="000000"/>
          <w:sz w:val="22"/>
          <w:szCs w:val="22"/>
        </w:rPr>
        <w:t xml:space="preserve">truction projects in Egypt]. Ain Shams Engineering Journal, 10(3), 471-479. </w:t>
      </w:r>
      <w:hyperlink r:id="rId39">
        <w:r w:rsidR="00506EDB">
          <w:rPr>
            <w:rFonts w:ascii="Times New Roman" w:eastAsia="Times New Roman" w:hAnsi="Times New Roman" w:cs="Times New Roman"/>
            <w:color w:val="0000FF"/>
            <w:sz w:val="22"/>
            <w:szCs w:val="22"/>
            <w:u w:val="single"/>
          </w:rPr>
          <w:t>https://doi.org/10.1016/j.asej.2018.11.008</w:t>
        </w:r>
      </w:hyperlink>
    </w:p>
    <w:p w14:paraId="10D1D972"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Lagos, C. I., Herrera, R. F., Mac </w:t>
      </w:r>
      <w:proofErr w:type="spellStart"/>
      <w:r w:rsidRPr="00111BFC">
        <w:rPr>
          <w:rFonts w:ascii="Times New Roman" w:eastAsia="Times New Roman" w:hAnsi="Times New Roman" w:cs="Times New Roman"/>
          <w:color w:val="000000"/>
          <w:sz w:val="22"/>
          <w:szCs w:val="22"/>
          <w:lang w:val="es-US"/>
        </w:rPr>
        <w:t>Cawley</w:t>
      </w:r>
      <w:proofErr w:type="spellEnd"/>
      <w:r w:rsidRPr="00111BFC">
        <w:rPr>
          <w:rFonts w:ascii="Times New Roman" w:eastAsia="Times New Roman" w:hAnsi="Times New Roman" w:cs="Times New Roman"/>
          <w:color w:val="000000"/>
          <w:sz w:val="22"/>
          <w:szCs w:val="22"/>
          <w:lang w:val="es-US"/>
        </w:rPr>
        <w:t xml:space="preserve">, A. F., &amp; Alarcón, L. F. (2024). </w:t>
      </w:r>
      <w:r>
        <w:rPr>
          <w:rFonts w:ascii="Times New Roman" w:eastAsia="Times New Roman" w:hAnsi="Times New Roman" w:cs="Times New Roman"/>
          <w:color w:val="000000"/>
          <w:sz w:val="22"/>
          <w:szCs w:val="22"/>
        </w:rPr>
        <w:t>P</w:t>
      </w:r>
      <w:r>
        <w:rPr>
          <w:rFonts w:ascii="Times New Roman" w:eastAsia="Times New Roman" w:hAnsi="Times New Roman" w:cs="Times New Roman"/>
          <w:color w:val="000000"/>
          <w:sz w:val="22"/>
          <w:szCs w:val="22"/>
        </w:rPr>
        <w:t xml:space="preserve">redicting construction schedule performance with last planner system and machine learning. Automation in Construction, 167, 105716. </w:t>
      </w:r>
      <w:hyperlink r:id="rId40">
        <w:r w:rsidR="00506EDB">
          <w:rPr>
            <w:rFonts w:ascii="Times New Roman" w:eastAsia="Times New Roman" w:hAnsi="Times New Roman" w:cs="Times New Roman"/>
            <w:color w:val="0000FF"/>
            <w:sz w:val="22"/>
            <w:szCs w:val="22"/>
            <w:u w:val="single"/>
          </w:rPr>
          <w:t>https://doi.org/10.1016/j.autcon.2024.105716</w:t>
        </w:r>
      </w:hyperlink>
    </w:p>
    <w:p w14:paraId="5D8FB44B"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Leśniak</w:t>
      </w:r>
      <w:proofErr w:type="spellEnd"/>
      <w:r>
        <w:rPr>
          <w:rFonts w:ascii="Times New Roman" w:eastAsia="Times New Roman" w:hAnsi="Times New Roman" w:cs="Times New Roman"/>
          <w:color w:val="000000"/>
          <w:sz w:val="22"/>
          <w:szCs w:val="22"/>
        </w:rPr>
        <w:t xml:space="preserve">, A., &amp; </w:t>
      </w:r>
      <w:proofErr w:type="spellStart"/>
      <w:r>
        <w:rPr>
          <w:rFonts w:ascii="Times New Roman" w:eastAsia="Times New Roman" w:hAnsi="Times New Roman" w:cs="Times New Roman"/>
          <w:color w:val="000000"/>
          <w:sz w:val="22"/>
          <w:szCs w:val="22"/>
        </w:rPr>
        <w:t>Janowiec</w:t>
      </w:r>
      <w:proofErr w:type="spellEnd"/>
      <w:r>
        <w:rPr>
          <w:rFonts w:ascii="Times New Roman" w:eastAsia="Times New Roman" w:hAnsi="Times New Roman" w:cs="Times New Roman"/>
          <w:color w:val="000000"/>
          <w:sz w:val="22"/>
          <w:szCs w:val="22"/>
        </w:rPr>
        <w:t xml:space="preserve">, F. (2019). Risk Assessment of Additional Works in Railway Construction Investments Using the Bayes Network. Sustainability, 11(19), 5388. </w:t>
      </w:r>
      <w:hyperlink r:id="rId41">
        <w:r w:rsidR="00506EDB">
          <w:rPr>
            <w:rFonts w:ascii="Times New Roman" w:eastAsia="Times New Roman" w:hAnsi="Times New Roman" w:cs="Times New Roman"/>
            <w:color w:val="0000FF"/>
            <w:sz w:val="22"/>
            <w:szCs w:val="22"/>
            <w:u w:val="single"/>
          </w:rPr>
          <w:t>https://doi.org/10.3390/su11195388</w:t>
        </w:r>
      </w:hyperlink>
    </w:p>
    <w:p w14:paraId="6D047ED4"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Leu,</w:t>
      </w:r>
      <w:r w:rsidRPr="00111BFC">
        <w:rPr>
          <w:rFonts w:ascii="Times New Roman" w:eastAsia="Times New Roman" w:hAnsi="Times New Roman" w:cs="Times New Roman"/>
          <w:color w:val="000000"/>
          <w:sz w:val="22"/>
          <w:szCs w:val="22"/>
          <w:lang w:val="es-US"/>
        </w:rPr>
        <w:t xml:space="preserve"> S.-S., Liu, Y., &amp; Wu, P.-L. (2023). </w:t>
      </w:r>
      <w:r>
        <w:rPr>
          <w:rFonts w:ascii="Times New Roman" w:eastAsia="Times New Roman" w:hAnsi="Times New Roman" w:cs="Times New Roman"/>
          <w:color w:val="000000"/>
          <w:sz w:val="22"/>
          <w:szCs w:val="22"/>
        </w:rPr>
        <w:t xml:space="preserve">Project Cost Overrun Risk Prediction Using Hidden Markov Chain Analysis. Buildings, 13(3), 667. </w:t>
      </w:r>
      <w:hyperlink r:id="rId42">
        <w:r w:rsidR="00506EDB">
          <w:rPr>
            <w:rFonts w:ascii="Times New Roman" w:eastAsia="Times New Roman" w:hAnsi="Times New Roman" w:cs="Times New Roman"/>
            <w:color w:val="0000FF"/>
            <w:sz w:val="22"/>
            <w:szCs w:val="22"/>
            <w:u w:val="single"/>
          </w:rPr>
          <w:t>https://doi.org/10.3390/buildings13030667</w:t>
        </w:r>
      </w:hyperlink>
    </w:p>
    <w:p w14:paraId="60828632"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Liben</w:t>
      </w:r>
      <w:proofErr w:type="spellEnd"/>
      <w:r>
        <w:rPr>
          <w:rFonts w:ascii="Times New Roman" w:eastAsia="Times New Roman" w:hAnsi="Times New Roman" w:cs="Times New Roman"/>
          <w:color w:val="000000"/>
          <w:sz w:val="22"/>
          <w:szCs w:val="22"/>
        </w:rPr>
        <w:t xml:space="preserve">, S. M., </w:t>
      </w:r>
      <w:proofErr w:type="spellStart"/>
      <w:r>
        <w:rPr>
          <w:rFonts w:ascii="Times New Roman" w:eastAsia="Times New Roman" w:hAnsi="Times New Roman" w:cs="Times New Roman"/>
          <w:color w:val="000000"/>
          <w:sz w:val="22"/>
          <w:szCs w:val="22"/>
        </w:rPr>
        <w:t>Belach</w:t>
      </w:r>
      <w:r>
        <w:rPr>
          <w:rFonts w:ascii="Times New Roman" w:eastAsia="Times New Roman" w:hAnsi="Times New Roman" w:cs="Times New Roman"/>
          <w:color w:val="000000"/>
          <w:sz w:val="22"/>
          <w:szCs w:val="22"/>
        </w:rPr>
        <w:t>ew</w:t>
      </w:r>
      <w:proofErr w:type="spellEnd"/>
      <w:r>
        <w:rPr>
          <w:rFonts w:ascii="Times New Roman" w:eastAsia="Times New Roman" w:hAnsi="Times New Roman" w:cs="Times New Roman"/>
          <w:color w:val="000000"/>
          <w:sz w:val="22"/>
          <w:szCs w:val="22"/>
        </w:rPr>
        <w:t xml:space="preserve">, D. A., &amp; </w:t>
      </w:r>
      <w:proofErr w:type="spellStart"/>
      <w:r>
        <w:rPr>
          <w:rFonts w:ascii="Times New Roman" w:eastAsia="Times New Roman" w:hAnsi="Times New Roman" w:cs="Times New Roman"/>
          <w:color w:val="000000"/>
          <w:sz w:val="22"/>
          <w:szCs w:val="22"/>
        </w:rPr>
        <w:t>Elsaigh</w:t>
      </w:r>
      <w:proofErr w:type="spellEnd"/>
      <w:r>
        <w:rPr>
          <w:rFonts w:ascii="Times New Roman" w:eastAsia="Times New Roman" w:hAnsi="Times New Roman" w:cs="Times New Roman"/>
          <w:color w:val="000000"/>
          <w:sz w:val="22"/>
          <w:szCs w:val="22"/>
        </w:rPr>
        <w:t>, W. A. (2025). Optimizing construction duration estimation and monitoring for public building projects in Addis Ababa through an integrated deterministic and probabilistic conceptual model. </w:t>
      </w:r>
      <w:r>
        <w:rPr>
          <w:rFonts w:ascii="Times New Roman" w:eastAsia="Times New Roman" w:hAnsi="Times New Roman" w:cs="Times New Roman"/>
          <w:i/>
          <w:iCs/>
          <w:color w:val="000000"/>
          <w:sz w:val="22"/>
          <w:szCs w:val="22"/>
        </w:rPr>
        <w:t>Journal of Asian Architecture and Building En</w:t>
      </w:r>
      <w:r>
        <w:rPr>
          <w:rFonts w:ascii="Times New Roman" w:eastAsia="Times New Roman" w:hAnsi="Times New Roman" w:cs="Times New Roman"/>
          <w:i/>
          <w:iCs/>
          <w:color w:val="000000"/>
          <w:sz w:val="22"/>
          <w:szCs w:val="22"/>
        </w:rPr>
        <w:t>gineering</w:t>
      </w:r>
      <w:r>
        <w:rPr>
          <w:rFonts w:ascii="Times New Roman" w:eastAsia="Times New Roman" w:hAnsi="Times New Roman" w:cs="Times New Roman"/>
          <w:color w:val="000000"/>
          <w:sz w:val="22"/>
          <w:szCs w:val="22"/>
        </w:rPr>
        <w:t>, 1-20.</w:t>
      </w:r>
    </w:p>
    <w:p w14:paraId="0A631DA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Liu, Z., Jiao, Y., Li, A., &amp; Liu, X. (2021). Risk Assessment of Urban Rail Transit PPP Project Construction Based on Bayesian Network. Sustainability, 13(20), 11507. </w:t>
      </w:r>
      <w:hyperlink r:id="rId43">
        <w:r w:rsidR="00506EDB">
          <w:rPr>
            <w:rFonts w:ascii="Times New Roman" w:eastAsia="Times New Roman" w:hAnsi="Times New Roman" w:cs="Times New Roman"/>
            <w:color w:val="0000FF"/>
            <w:sz w:val="22"/>
            <w:szCs w:val="22"/>
            <w:u w:val="single"/>
          </w:rPr>
          <w:t>https://doi.org/10.3390/su132011507</w:t>
        </w:r>
      </w:hyperlink>
    </w:p>
    <w:p w14:paraId="17767D2C"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Love, P. E., Smith, J., Simpson, I., Regan, M., &amp; Olatunji, O. (2015). Understanding the landscape of overruns in transport infrastructure projects. </w:t>
      </w:r>
      <w:r>
        <w:rPr>
          <w:rFonts w:ascii="Times New Roman" w:eastAsia="Times New Roman" w:hAnsi="Times New Roman" w:cs="Times New Roman"/>
          <w:i/>
          <w:iCs/>
          <w:color w:val="000000"/>
          <w:sz w:val="22"/>
          <w:szCs w:val="22"/>
        </w:rPr>
        <w:t>Environment and planning B: planning and design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42</w:t>
      </w:r>
      <w:r>
        <w:rPr>
          <w:rFonts w:ascii="Times New Roman" w:eastAsia="Times New Roman" w:hAnsi="Times New Roman" w:cs="Times New Roman"/>
          <w:color w:val="000000"/>
          <w:sz w:val="22"/>
          <w:szCs w:val="22"/>
        </w:rPr>
        <w:t xml:space="preserve">(3), 490-509. </w:t>
      </w:r>
      <w:hyperlink r:id="rId44">
        <w:r w:rsidR="00506EDB">
          <w:rPr>
            <w:rFonts w:ascii="Times New Roman" w:eastAsia="Times New Roman" w:hAnsi="Times New Roman" w:cs="Times New Roman"/>
            <w:color w:val="0000FF"/>
            <w:sz w:val="22"/>
            <w:szCs w:val="22"/>
            <w:u w:val="single"/>
          </w:rPr>
          <w:t>https://doi.org/10.1068/b130102p</w:t>
        </w:r>
      </w:hyperlink>
    </w:p>
    <w:p w14:paraId="37ACB61C"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Molinari, L., </w:t>
      </w:r>
      <w:proofErr w:type="spellStart"/>
      <w:r>
        <w:rPr>
          <w:rFonts w:ascii="Times New Roman" w:eastAsia="Times New Roman" w:hAnsi="Times New Roman" w:cs="Times New Roman"/>
          <w:color w:val="000000"/>
          <w:sz w:val="22"/>
          <w:szCs w:val="22"/>
        </w:rPr>
        <w:t>Haezendonck</w:t>
      </w:r>
      <w:proofErr w:type="spellEnd"/>
      <w:r>
        <w:rPr>
          <w:rFonts w:ascii="Times New Roman" w:eastAsia="Times New Roman" w:hAnsi="Times New Roman" w:cs="Times New Roman"/>
          <w:color w:val="000000"/>
          <w:sz w:val="22"/>
          <w:szCs w:val="22"/>
        </w:rPr>
        <w:t xml:space="preserve">, E., &amp; </w:t>
      </w:r>
      <w:proofErr w:type="spellStart"/>
      <w:r>
        <w:rPr>
          <w:rFonts w:ascii="Times New Roman" w:eastAsia="Times New Roman" w:hAnsi="Times New Roman" w:cs="Times New Roman"/>
          <w:color w:val="000000"/>
          <w:sz w:val="22"/>
          <w:szCs w:val="22"/>
        </w:rPr>
        <w:t>Mabillard</w:t>
      </w:r>
      <w:proofErr w:type="spellEnd"/>
      <w:r>
        <w:rPr>
          <w:rFonts w:ascii="Times New Roman" w:eastAsia="Times New Roman" w:hAnsi="Times New Roman" w:cs="Times New Roman"/>
          <w:color w:val="000000"/>
          <w:sz w:val="22"/>
          <w:szCs w:val="22"/>
        </w:rPr>
        <w:t>, V. (2023). Cost overruns of Belgian transport infrastructure projects: Analyzing variations over three land transport modes and two project phases. Tra</w:t>
      </w:r>
      <w:r>
        <w:rPr>
          <w:rFonts w:ascii="Times New Roman" w:eastAsia="Times New Roman" w:hAnsi="Times New Roman" w:cs="Times New Roman"/>
          <w:color w:val="000000"/>
          <w:sz w:val="22"/>
          <w:szCs w:val="22"/>
        </w:rPr>
        <w:t xml:space="preserve">nsport Policy, 134, 167-179. </w:t>
      </w:r>
      <w:hyperlink r:id="rId45">
        <w:r w:rsidR="00506EDB">
          <w:rPr>
            <w:rFonts w:ascii="Times New Roman" w:eastAsia="Times New Roman" w:hAnsi="Times New Roman" w:cs="Times New Roman"/>
            <w:color w:val="0000FF"/>
            <w:sz w:val="22"/>
            <w:szCs w:val="22"/>
            <w:u w:val="single"/>
          </w:rPr>
          <w:t>https://doi.org/10.1016/j.tranpol.2023.02.017</w:t>
        </w:r>
      </w:hyperlink>
    </w:p>
    <w:p w14:paraId="77D321B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Moon, H., Williams, T. P., Lee, H. S., &amp; Park, M. (2020). Predicting project cost overrun levels in bidding stage us</w:t>
      </w:r>
      <w:r>
        <w:rPr>
          <w:rFonts w:ascii="Times New Roman" w:eastAsia="Times New Roman" w:hAnsi="Times New Roman" w:cs="Times New Roman"/>
          <w:color w:val="000000"/>
          <w:sz w:val="22"/>
          <w:szCs w:val="22"/>
        </w:rPr>
        <w:t>ing ensemble learning. </w:t>
      </w:r>
      <w:r>
        <w:rPr>
          <w:rFonts w:ascii="Times New Roman" w:eastAsia="Times New Roman" w:hAnsi="Times New Roman" w:cs="Times New Roman"/>
          <w:i/>
          <w:iCs/>
          <w:color w:val="000000"/>
          <w:sz w:val="22"/>
          <w:szCs w:val="22"/>
        </w:rPr>
        <w:t>Journal of Asian Architecture and Building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19</w:t>
      </w:r>
      <w:r>
        <w:rPr>
          <w:rFonts w:ascii="Times New Roman" w:eastAsia="Times New Roman" w:hAnsi="Times New Roman" w:cs="Times New Roman"/>
          <w:color w:val="000000"/>
          <w:sz w:val="22"/>
          <w:szCs w:val="22"/>
        </w:rPr>
        <w:t>(6), 586-599.</w:t>
      </w:r>
    </w:p>
    <w:p w14:paraId="79C0751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Moussa, A., </w:t>
      </w:r>
      <w:proofErr w:type="spellStart"/>
      <w:r>
        <w:rPr>
          <w:rFonts w:ascii="Times New Roman" w:eastAsia="Times New Roman" w:hAnsi="Times New Roman" w:cs="Times New Roman"/>
          <w:color w:val="000000"/>
          <w:sz w:val="22"/>
          <w:szCs w:val="22"/>
        </w:rPr>
        <w:t>Ezzeldin</w:t>
      </w:r>
      <w:proofErr w:type="spellEnd"/>
      <w:r>
        <w:rPr>
          <w:rFonts w:ascii="Times New Roman" w:eastAsia="Times New Roman" w:hAnsi="Times New Roman" w:cs="Times New Roman"/>
          <w:color w:val="000000"/>
          <w:sz w:val="22"/>
          <w:szCs w:val="22"/>
        </w:rPr>
        <w:t>, M., &amp; El-</w:t>
      </w:r>
      <w:proofErr w:type="spellStart"/>
      <w:r>
        <w:rPr>
          <w:rFonts w:ascii="Times New Roman" w:eastAsia="Times New Roman" w:hAnsi="Times New Roman" w:cs="Times New Roman"/>
          <w:color w:val="000000"/>
          <w:sz w:val="22"/>
          <w:szCs w:val="22"/>
        </w:rPr>
        <w:t>Dakhakhni</w:t>
      </w:r>
      <w:proofErr w:type="spellEnd"/>
      <w:r>
        <w:rPr>
          <w:rFonts w:ascii="Times New Roman" w:eastAsia="Times New Roman" w:hAnsi="Times New Roman" w:cs="Times New Roman"/>
          <w:color w:val="000000"/>
          <w:sz w:val="22"/>
          <w:szCs w:val="22"/>
        </w:rPr>
        <w:t>, W. (2024). Predicting and managing risk interactions and systemic risks in infrastructure projects using machine learni</w:t>
      </w:r>
      <w:r>
        <w:rPr>
          <w:rFonts w:ascii="Times New Roman" w:eastAsia="Times New Roman" w:hAnsi="Times New Roman" w:cs="Times New Roman"/>
          <w:color w:val="000000"/>
          <w:sz w:val="22"/>
          <w:szCs w:val="22"/>
        </w:rPr>
        <w:t xml:space="preserve">ng. Automation in construction, 168, 105836. </w:t>
      </w:r>
      <w:hyperlink r:id="rId46">
        <w:r w:rsidR="00506EDB">
          <w:rPr>
            <w:rFonts w:ascii="Times New Roman" w:eastAsia="Times New Roman" w:hAnsi="Times New Roman" w:cs="Times New Roman"/>
            <w:color w:val="0000FF"/>
            <w:sz w:val="22"/>
            <w:szCs w:val="22"/>
            <w:u w:val="single"/>
          </w:rPr>
          <w:t>https://doi.org/10.1016/j.autcon.2024.105836</w:t>
        </w:r>
      </w:hyperlink>
    </w:p>
    <w:p w14:paraId="6759D670"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Naji</w:t>
      </w:r>
      <w:proofErr w:type="spellEnd"/>
      <w:r w:rsidRPr="00111BFC">
        <w:rPr>
          <w:rFonts w:ascii="Times New Roman" w:eastAsia="Times New Roman" w:hAnsi="Times New Roman" w:cs="Times New Roman"/>
          <w:color w:val="000000"/>
          <w:sz w:val="22"/>
          <w:szCs w:val="22"/>
          <w:lang w:val="es-US"/>
        </w:rPr>
        <w:t xml:space="preserve">, K. K., </w:t>
      </w:r>
      <w:proofErr w:type="spellStart"/>
      <w:r w:rsidRPr="00111BFC">
        <w:rPr>
          <w:rFonts w:ascii="Times New Roman" w:eastAsia="Times New Roman" w:hAnsi="Times New Roman" w:cs="Times New Roman"/>
          <w:color w:val="000000"/>
          <w:sz w:val="22"/>
          <w:szCs w:val="22"/>
          <w:lang w:val="es-US"/>
        </w:rPr>
        <w:t>Gunduz</w:t>
      </w:r>
      <w:proofErr w:type="spellEnd"/>
      <w:r w:rsidRPr="00111BFC">
        <w:rPr>
          <w:rFonts w:ascii="Times New Roman" w:eastAsia="Times New Roman" w:hAnsi="Times New Roman" w:cs="Times New Roman"/>
          <w:color w:val="000000"/>
          <w:sz w:val="22"/>
          <w:szCs w:val="22"/>
          <w:lang w:val="es-US"/>
        </w:rPr>
        <w:t xml:space="preserve">, M., </w:t>
      </w:r>
      <w:proofErr w:type="spellStart"/>
      <w:r w:rsidRPr="00111BFC">
        <w:rPr>
          <w:rFonts w:ascii="Times New Roman" w:eastAsia="Times New Roman" w:hAnsi="Times New Roman" w:cs="Times New Roman"/>
          <w:color w:val="000000"/>
          <w:sz w:val="22"/>
          <w:szCs w:val="22"/>
          <w:lang w:val="es-US"/>
        </w:rPr>
        <w:t>Alhenzab</w:t>
      </w:r>
      <w:proofErr w:type="spellEnd"/>
      <w:r w:rsidRPr="00111BFC">
        <w:rPr>
          <w:rFonts w:ascii="Times New Roman" w:eastAsia="Times New Roman" w:hAnsi="Times New Roman" w:cs="Times New Roman"/>
          <w:color w:val="000000"/>
          <w:sz w:val="22"/>
          <w:szCs w:val="22"/>
          <w:lang w:val="es-US"/>
        </w:rPr>
        <w:t>, F., Al-</w:t>
      </w:r>
      <w:proofErr w:type="spellStart"/>
      <w:r w:rsidRPr="00111BFC">
        <w:rPr>
          <w:rFonts w:ascii="Times New Roman" w:eastAsia="Times New Roman" w:hAnsi="Times New Roman" w:cs="Times New Roman"/>
          <w:color w:val="000000"/>
          <w:sz w:val="22"/>
          <w:szCs w:val="22"/>
          <w:lang w:val="es-US"/>
        </w:rPr>
        <w:t>Hababi</w:t>
      </w:r>
      <w:proofErr w:type="spellEnd"/>
      <w:r w:rsidRPr="00111BFC">
        <w:rPr>
          <w:rFonts w:ascii="Times New Roman" w:eastAsia="Times New Roman" w:hAnsi="Times New Roman" w:cs="Times New Roman"/>
          <w:color w:val="000000"/>
          <w:sz w:val="22"/>
          <w:szCs w:val="22"/>
          <w:lang w:val="es-US"/>
        </w:rPr>
        <w:t>, H., &amp; Al-</w:t>
      </w:r>
      <w:proofErr w:type="spellStart"/>
      <w:r w:rsidRPr="00111BFC">
        <w:rPr>
          <w:rFonts w:ascii="Times New Roman" w:eastAsia="Times New Roman" w:hAnsi="Times New Roman" w:cs="Times New Roman"/>
          <w:color w:val="000000"/>
          <w:sz w:val="22"/>
          <w:szCs w:val="22"/>
          <w:lang w:val="es-US"/>
        </w:rPr>
        <w:t>Qahtani</w:t>
      </w:r>
      <w:proofErr w:type="spellEnd"/>
      <w:r w:rsidRPr="00111BFC">
        <w:rPr>
          <w:rFonts w:ascii="Times New Roman" w:eastAsia="Times New Roman" w:hAnsi="Times New Roman" w:cs="Times New Roman"/>
          <w:color w:val="000000"/>
          <w:sz w:val="22"/>
          <w:szCs w:val="22"/>
          <w:lang w:val="es-US"/>
        </w:rPr>
        <w:t xml:space="preserve">, A. (2024). </w:t>
      </w:r>
      <w:r>
        <w:rPr>
          <w:rFonts w:ascii="Times New Roman" w:eastAsia="Times New Roman" w:hAnsi="Times New Roman" w:cs="Times New Roman"/>
          <w:color w:val="000000"/>
          <w:sz w:val="22"/>
          <w:szCs w:val="22"/>
        </w:rPr>
        <w:t>Assessing the digital t</w:t>
      </w:r>
      <w:r>
        <w:rPr>
          <w:rFonts w:ascii="Times New Roman" w:eastAsia="Times New Roman" w:hAnsi="Times New Roman" w:cs="Times New Roman"/>
          <w:color w:val="000000"/>
          <w:sz w:val="22"/>
          <w:szCs w:val="22"/>
        </w:rPr>
        <w:t>ransformation readiness of the construction industry utilizing the Delphi Method. </w:t>
      </w:r>
      <w:r>
        <w:rPr>
          <w:rFonts w:ascii="Times New Roman" w:eastAsia="Times New Roman" w:hAnsi="Times New Roman" w:cs="Times New Roman"/>
          <w:i/>
          <w:iCs/>
          <w:color w:val="000000"/>
          <w:sz w:val="22"/>
          <w:szCs w:val="22"/>
        </w:rPr>
        <w:t>Buildings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w:t>
      </w:r>
      <w:r>
        <w:rPr>
          <w:rFonts w:ascii="Times New Roman" w:eastAsia="Times New Roman" w:hAnsi="Times New Roman" w:cs="Times New Roman"/>
          <w:color w:val="000000"/>
          <w:sz w:val="22"/>
          <w:szCs w:val="22"/>
        </w:rPr>
        <w:t xml:space="preserve">(3), 601. </w:t>
      </w:r>
      <w:hyperlink r:id="rId47">
        <w:r w:rsidR="00506EDB">
          <w:rPr>
            <w:rFonts w:ascii="Times New Roman" w:eastAsia="Times New Roman" w:hAnsi="Times New Roman" w:cs="Times New Roman"/>
            <w:color w:val="0000FF"/>
            <w:sz w:val="22"/>
            <w:szCs w:val="22"/>
            <w:u w:val="single"/>
          </w:rPr>
          <w:t>https://doi.org/10.3390/buildings14030601</w:t>
        </w:r>
      </w:hyperlink>
    </w:p>
    <w:p w14:paraId="7C847F18"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Nassar, A. H., &amp; </w:t>
      </w:r>
      <w:proofErr w:type="spellStart"/>
      <w:r w:rsidRPr="00111BFC">
        <w:rPr>
          <w:rFonts w:ascii="Times New Roman" w:eastAsia="Times New Roman" w:hAnsi="Times New Roman" w:cs="Times New Roman"/>
          <w:color w:val="000000"/>
          <w:sz w:val="22"/>
          <w:szCs w:val="22"/>
          <w:lang w:val="es-US"/>
        </w:rPr>
        <w:t>Elbisy</w:t>
      </w:r>
      <w:proofErr w:type="spellEnd"/>
      <w:r w:rsidRPr="00111BFC">
        <w:rPr>
          <w:rFonts w:ascii="Times New Roman" w:eastAsia="Times New Roman" w:hAnsi="Times New Roman" w:cs="Times New Roman"/>
          <w:color w:val="000000"/>
          <w:sz w:val="22"/>
          <w:szCs w:val="22"/>
          <w:lang w:val="es-US"/>
        </w:rPr>
        <w:t xml:space="preserve">, A. M. (2024). </w:t>
      </w:r>
      <w:r>
        <w:rPr>
          <w:rFonts w:ascii="Times New Roman" w:eastAsia="Times New Roman" w:hAnsi="Times New Roman" w:cs="Times New Roman"/>
          <w:color w:val="000000"/>
          <w:sz w:val="22"/>
          <w:szCs w:val="22"/>
        </w:rPr>
        <w:t>A Machine</w:t>
      </w:r>
      <w:r>
        <w:rPr>
          <w:rFonts w:ascii="Times New Roman" w:eastAsia="Times New Roman" w:hAnsi="Times New Roman" w:cs="Times New Roman"/>
          <w:color w:val="000000"/>
          <w:sz w:val="22"/>
          <w:szCs w:val="22"/>
        </w:rPr>
        <w:t xml:space="preserve"> Learning Approach to Predict Time Delays in Marine Construction Projects. </w:t>
      </w:r>
      <w:r>
        <w:rPr>
          <w:rFonts w:ascii="Times New Roman" w:eastAsia="Times New Roman" w:hAnsi="Times New Roman" w:cs="Times New Roman"/>
          <w:i/>
          <w:iCs/>
          <w:color w:val="000000"/>
          <w:sz w:val="22"/>
          <w:szCs w:val="22"/>
        </w:rPr>
        <w:t>Engineering, Technology &amp; Applied Science Research</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w:t>
      </w:r>
      <w:r>
        <w:rPr>
          <w:rFonts w:ascii="Times New Roman" w:eastAsia="Times New Roman" w:hAnsi="Times New Roman" w:cs="Times New Roman"/>
          <w:color w:val="000000"/>
          <w:sz w:val="22"/>
          <w:szCs w:val="22"/>
        </w:rPr>
        <w:t xml:space="preserve">(5), 16125–16134. </w:t>
      </w:r>
      <w:hyperlink r:id="rId48">
        <w:r w:rsidR="00506EDB">
          <w:rPr>
            <w:rFonts w:ascii="Times New Roman" w:eastAsia="Times New Roman" w:hAnsi="Times New Roman" w:cs="Times New Roman"/>
            <w:color w:val="0000FF"/>
            <w:sz w:val="22"/>
            <w:szCs w:val="22"/>
            <w:u w:val="single"/>
          </w:rPr>
          <w:t>https://doi.org/10.48084/etasr.8173</w:t>
        </w:r>
      </w:hyperlink>
    </w:p>
    <w:p w14:paraId="020CB7F4"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Nyarko-Boateng, O.</w:t>
      </w:r>
      <w:r>
        <w:rPr>
          <w:rFonts w:ascii="Times New Roman" w:eastAsia="Times New Roman" w:hAnsi="Times New Roman" w:cs="Times New Roman"/>
          <w:color w:val="000000"/>
          <w:sz w:val="22"/>
          <w:szCs w:val="22"/>
        </w:rPr>
        <w:t xml:space="preserve">, Adekoya, A.F. &amp; </w:t>
      </w:r>
      <w:proofErr w:type="spellStart"/>
      <w:r>
        <w:rPr>
          <w:rFonts w:ascii="Times New Roman" w:eastAsia="Times New Roman" w:hAnsi="Times New Roman" w:cs="Times New Roman"/>
          <w:color w:val="000000"/>
          <w:sz w:val="22"/>
          <w:szCs w:val="22"/>
        </w:rPr>
        <w:t>Weyori</w:t>
      </w:r>
      <w:proofErr w:type="spellEnd"/>
      <w:r>
        <w:rPr>
          <w:rFonts w:ascii="Times New Roman" w:eastAsia="Times New Roman" w:hAnsi="Times New Roman" w:cs="Times New Roman"/>
          <w:color w:val="000000"/>
          <w:sz w:val="22"/>
          <w:szCs w:val="22"/>
        </w:rPr>
        <w:t>, B.A. Using machine learning techniques to predict the cost of repairing hard failures in underground fiber optics networks. </w:t>
      </w:r>
      <w:r>
        <w:rPr>
          <w:rFonts w:ascii="Times New Roman" w:eastAsia="Times New Roman" w:hAnsi="Times New Roman" w:cs="Times New Roman"/>
          <w:i/>
          <w:iCs/>
          <w:color w:val="000000"/>
          <w:sz w:val="22"/>
          <w:szCs w:val="22"/>
        </w:rPr>
        <w:t>J Big Data</w:t>
      </w:r>
      <w:r>
        <w:rPr>
          <w:rFonts w:ascii="Times New Roman" w:eastAsia="Times New Roman" w:hAnsi="Times New Roman" w:cs="Times New Roman"/>
          <w:color w:val="000000"/>
          <w:sz w:val="22"/>
          <w:szCs w:val="22"/>
        </w:rPr>
        <w:t> </w:t>
      </w:r>
      <w:r>
        <w:rPr>
          <w:rFonts w:ascii="Times New Roman" w:eastAsia="Times New Roman" w:hAnsi="Times New Roman" w:cs="Times New Roman"/>
          <w:b/>
          <w:bCs/>
          <w:color w:val="000000"/>
          <w:sz w:val="22"/>
          <w:szCs w:val="22"/>
        </w:rPr>
        <w:t>7</w:t>
      </w:r>
      <w:r>
        <w:rPr>
          <w:rFonts w:ascii="Times New Roman" w:eastAsia="Times New Roman" w:hAnsi="Times New Roman" w:cs="Times New Roman"/>
          <w:color w:val="000000"/>
          <w:sz w:val="22"/>
          <w:szCs w:val="22"/>
        </w:rPr>
        <w:t xml:space="preserve">, 64 (2020). </w:t>
      </w:r>
      <w:hyperlink r:id="rId49">
        <w:r w:rsidR="00506EDB">
          <w:rPr>
            <w:rFonts w:ascii="Times New Roman" w:eastAsia="Times New Roman" w:hAnsi="Times New Roman" w:cs="Times New Roman"/>
            <w:color w:val="0000FF"/>
            <w:sz w:val="22"/>
            <w:szCs w:val="22"/>
            <w:u w:val="single"/>
          </w:rPr>
          <w:t>https://doi.org/10.1186/s40537-020-00343-4</w:t>
        </w:r>
      </w:hyperlink>
    </w:p>
    <w:p w14:paraId="3CF9C56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Ogbu</w:t>
      </w:r>
      <w:proofErr w:type="spellEnd"/>
      <w:r>
        <w:rPr>
          <w:rFonts w:ascii="Times New Roman" w:eastAsia="Times New Roman" w:hAnsi="Times New Roman" w:cs="Times New Roman"/>
          <w:color w:val="000000"/>
          <w:sz w:val="22"/>
          <w:szCs w:val="22"/>
        </w:rPr>
        <w:t xml:space="preserve">, C. P., &amp; </w:t>
      </w:r>
      <w:proofErr w:type="spellStart"/>
      <w:r>
        <w:rPr>
          <w:rFonts w:ascii="Times New Roman" w:eastAsia="Times New Roman" w:hAnsi="Times New Roman" w:cs="Times New Roman"/>
          <w:color w:val="000000"/>
          <w:sz w:val="22"/>
          <w:szCs w:val="22"/>
        </w:rPr>
        <w:t>Adindu</w:t>
      </w:r>
      <w:proofErr w:type="spellEnd"/>
      <w:r>
        <w:rPr>
          <w:rFonts w:ascii="Times New Roman" w:eastAsia="Times New Roman" w:hAnsi="Times New Roman" w:cs="Times New Roman"/>
          <w:color w:val="000000"/>
          <w:sz w:val="22"/>
          <w:szCs w:val="22"/>
        </w:rPr>
        <w:t>, C. C. (2020). Direct risk factors and cost performance of road projects in developing countries: contractors’ perspective. </w:t>
      </w:r>
      <w:r>
        <w:rPr>
          <w:rFonts w:ascii="Times New Roman" w:eastAsia="Times New Roman" w:hAnsi="Times New Roman" w:cs="Times New Roman"/>
          <w:i/>
          <w:iCs/>
          <w:color w:val="000000"/>
          <w:sz w:val="22"/>
          <w:szCs w:val="22"/>
        </w:rPr>
        <w:t>Journal of Engineering, Design and Technology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18</w:t>
      </w:r>
      <w:r>
        <w:rPr>
          <w:rFonts w:ascii="Times New Roman" w:eastAsia="Times New Roman" w:hAnsi="Times New Roman" w:cs="Times New Roman"/>
          <w:color w:val="000000"/>
          <w:sz w:val="22"/>
          <w:szCs w:val="22"/>
        </w:rPr>
        <w:t xml:space="preserve">(2), 326-342. </w:t>
      </w:r>
      <w:hyperlink r:id="rId50">
        <w:r w:rsidR="00506EDB">
          <w:rPr>
            <w:rFonts w:ascii="Times New Roman" w:eastAsia="Times New Roman" w:hAnsi="Times New Roman" w:cs="Times New Roman"/>
            <w:color w:val="0000FF"/>
            <w:sz w:val="22"/>
            <w:szCs w:val="22"/>
            <w:u w:val="single"/>
          </w:rPr>
          <w:t>https://doi.org/10.1108/JEDT-05-2019-0121</w:t>
        </w:r>
      </w:hyperlink>
    </w:p>
    <w:p w14:paraId="551728B5"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Ottaviani</w:t>
      </w:r>
      <w:proofErr w:type="spellEnd"/>
      <w:r w:rsidRPr="00111BFC">
        <w:rPr>
          <w:rFonts w:ascii="Times New Roman" w:eastAsia="Times New Roman" w:hAnsi="Times New Roman" w:cs="Times New Roman"/>
          <w:color w:val="000000"/>
          <w:sz w:val="22"/>
          <w:szCs w:val="22"/>
          <w:lang w:val="es-US"/>
        </w:rPr>
        <w:t xml:space="preserve">, F. M., Ballesteros-Pérez, P., &amp; </w:t>
      </w:r>
      <w:proofErr w:type="spellStart"/>
      <w:r w:rsidRPr="00111BFC">
        <w:rPr>
          <w:rFonts w:ascii="Times New Roman" w:eastAsia="Times New Roman" w:hAnsi="Times New Roman" w:cs="Times New Roman"/>
          <w:color w:val="000000"/>
          <w:sz w:val="22"/>
          <w:szCs w:val="22"/>
          <w:lang w:val="es-US"/>
        </w:rPr>
        <w:t>Narbaev</w:t>
      </w:r>
      <w:proofErr w:type="spellEnd"/>
      <w:r w:rsidRPr="00111BFC">
        <w:rPr>
          <w:rFonts w:ascii="Times New Roman" w:eastAsia="Times New Roman" w:hAnsi="Times New Roman" w:cs="Times New Roman"/>
          <w:color w:val="000000"/>
          <w:sz w:val="22"/>
          <w:szCs w:val="22"/>
          <w:lang w:val="es-US"/>
        </w:rPr>
        <w:t xml:space="preserve">, T. (2025). </w:t>
      </w:r>
      <w:r>
        <w:rPr>
          <w:rFonts w:ascii="Times New Roman" w:eastAsia="Times New Roman" w:hAnsi="Times New Roman" w:cs="Times New Roman"/>
          <w:color w:val="000000"/>
          <w:sz w:val="22"/>
          <w:szCs w:val="22"/>
        </w:rPr>
        <w:t>Automated machine learning pipeline for robust project cost and duration forecasting. </w:t>
      </w:r>
      <w:r>
        <w:rPr>
          <w:rFonts w:ascii="Times New Roman" w:eastAsia="Times New Roman" w:hAnsi="Times New Roman" w:cs="Times New Roman"/>
          <w:i/>
          <w:iCs/>
          <w:color w:val="000000"/>
          <w:sz w:val="22"/>
          <w:szCs w:val="22"/>
        </w:rPr>
        <w:t>Automa</w:t>
      </w:r>
      <w:r>
        <w:rPr>
          <w:rFonts w:ascii="Times New Roman" w:eastAsia="Times New Roman" w:hAnsi="Times New Roman" w:cs="Times New Roman"/>
          <w:i/>
          <w:iCs/>
          <w:color w:val="000000"/>
          <w:sz w:val="22"/>
          <w:szCs w:val="22"/>
        </w:rPr>
        <w:t>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178</w:t>
      </w:r>
      <w:r>
        <w:rPr>
          <w:rFonts w:ascii="Times New Roman" w:eastAsia="Times New Roman" w:hAnsi="Times New Roman" w:cs="Times New Roman"/>
          <w:color w:val="000000"/>
          <w:sz w:val="22"/>
          <w:szCs w:val="22"/>
        </w:rPr>
        <w:t xml:space="preserve">, 106426. </w:t>
      </w:r>
      <w:hyperlink r:id="rId51">
        <w:r w:rsidR="00506EDB">
          <w:rPr>
            <w:rFonts w:ascii="Times New Roman" w:eastAsia="Times New Roman" w:hAnsi="Times New Roman" w:cs="Times New Roman"/>
            <w:color w:val="0000FF"/>
            <w:sz w:val="22"/>
            <w:szCs w:val="22"/>
            <w:u w:val="single"/>
          </w:rPr>
          <w:t>https://doi.org/10.1016/j.autcon.2025.106426</w:t>
        </w:r>
      </w:hyperlink>
    </w:p>
    <w:p w14:paraId="7481973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Park, J. E. (2021). Curbing cost overruns in infrastructure investment: Has reference class forecasting delivere</w:t>
      </w:r>
      <w:r>
        <w:rPr>
          <w:rFonts w:ascii="Times New Roman" w:eastAsia="Times New Roman" w:hAnsi="Times New Roman" w:cs="Times New Roman"/>
          <w:color w:val="000000"/>
          <w:sz w:val="22"/>
          <w:szCs w:val="22"/>
        </w:rPr>
        <w:t xml:space="preserve">d its promised </w:t>
      </w:r>
      <w:proofErr w:type="gramStart"/>
      <w:r>
        <w:rPr>
          <w:rFonts w:ascii="Times New Roman" w:eastAsia="Times New Roman" w:hAnsi="Times New Roman" w:cs="Times New Roman"/>
          <w:color w:val="000000"/>
          <w:sz w:val="22"/>
          <w:szCs w:val="22"/>
        </w:rPr>
        <w:t>success?.</w:t>
      </w:r>
      <w:proofErr w:type="gramEnd"/>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European Journal of Transport and Infrastructure Research</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21</w:t>
      </w:r>
      <w:r>
        <w:rPr>
          <w:rFonts w:ascii="Times New Roman" w:eastAsia="Times New Roman" w:hAnsi="Times New Roman" w:cs="Times New Roman"/>
          <w:color w:val="000000"/>
          <w:sz w:val="22"/>
          <w:szCs w:val="22"/>
        </w:rPr>
        <w:t>(2), 120–136. https://doi.org/10.18757/ejtir.2021.21.2.5504</w:t>
      </w:r>
    </w:p>
    <w:p w14:paraId="2A943084"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Pham, H., </w:t>
      </w:r>
      <w:proofErr w:type="spellStart"/>
      <w:r>
        <w:rPr>
          <w:rFonts w:ascii="Times New Roman" w:eastAsia="Times New Roman" w:hAnsi="Times New Roman" w:cs="Times New Roman"/>
          <w:color w:val="000000"/>
          <w:sz w:val="22"/>
          <w:szCs w:val="22"/>
        </w:rPr>
        <w:t>Luu</w:t>
      </w:r>
      <w:proofErr w:type="spellEnd"/>
      <w:r>
        <w:rPr>
          <w:rFonts w:ascii="Times New Roman" w:eastAsia="Times New Roman" w:hAnsi="Times New Roman" w:cs="Times New Roman"/>
          <w:color w:val="000000"/>
          <w:sz w:val="22"/>
          <w:szCs w:val="22"/>
        </w:rPr>
        <w:t>, TV., Kim, SY. </w:t>
      </w:r>
      <w:r>
        <w:rPr>
          <w:rFonts w:ascii="Times New Roman" w:eastAsia="Times New Roman" w:hAnsi="Times New Roman" w:cs="Times New Roman"/>
          <w:i/>
          <w:iCs/>
          <w:color w:val="000000"/>
          <w:sz w:val="22"/>
          <w:szCs w:val="22"/>
        </w:rPr>
        <w:t>et al.</w:t>
      </w:r>
      <w:r>
        <w:rPr>
          <w:rFonts w:ascii="Times New Roman" w:eastAsia="Times New Roman" w:hAnsi="Times New Roman" w:cs="Times New Roman"/>
          <w:color w:val="000000"/>
          <w:sz w:val="22"/>
          <w:szCs w:val="22"/>
        </w:rPr>
        <w:t xml:space="preserve"> Assessing the Impact of Cost Overrun Causes in Transmission Lines </w:t>
      </w:r>
      <w:r>
        <w:rPr>
          <w:rFonts w:ascii="Times New Roman" w:eastAsia="Times New Roman" w:hAnsi="Times New Roman" w:cs="Times New Roman"/>
          <w:color w:val="000000"/>
          <w:sz w:val="22"/>
          <w:szCs w:val="22"/>
        </w:rPr>
        <w:t>Construction Projects. </w:t>
      </w:r>
      <w:r>
        <w:rPr>
          <w:rFonts w:ascii="Times New Roman" w:eastAsia="Times New Roman" w:hAnsi="Times New Roman" w:cs="Times New Roman"/>
          <w:i/>
          <w:iCs/>
          <w:color w:val="000000"/>
          <w:sz w:val="22"/>
          <w:szCs w:val="22"/>
        </w:rPr>
        <w:t xml:space="preserve">KSCE J Civ </w:t>
      </w:r>
      <w:proofErr w:type="spellStart"/>
      <w:r>
        <w:rPr>
          <w:rFonts w:ascii="Times New Roman" w:eastAsia="Times New Roman" w:hAnsi="Times New Roman" w:cs="Times New Roman"/>
          <w:i/>
          <w:iCs/>
          <w:color w:val="000000"/>
          <w:sz w:val="22"/>
          <w:szCs w:val="22"/>
        </w:rPr>
        <w:t>Eng</w:t>
      </w:r>
      <w:proofErr w:type="spellEnd"/>
      <w:r>
        <w:rPr>
          <w:rFonts w:ascii="Times New Roman" w:eastAsia="Times New Roman" w:hAnsi="Times New Roman" w:cs="Times New Roman"/>
          <w:color w:val="000000"/>
          <w:sz w:val="22"/>
          <w:szCs w:val="22"/>
        </w:rPr>
        <w:t> </w:t>
      </w:r>
      <w:r>
        <w:rPr>
          <w:rFonts w:ascii="Times New Roman" w:eastAsia="Times New Roman" w:hAnsi="Times New Roman" w:cs="Times New Roman"/>
          <w:b/>
          <w:bCs/>
          <w:color w:val="000000"/>
          <w:sz w:val="22"/>
          <w:szCs w:val="22"/>
        </w:rPr>
        <w:t>24</w:t>
      </w:r>
      <w:r>
        <w:rPr>
          <w:rFonts w:ascii="Times New Roman" w:eastAsia="Times New Roman" w:hAnsi="Times New Roman" w:cs="Times New Roman"/>
          <w:color w:val="000000"/>
          <w:sz w:val="22"/>
          <w:szCs w:val="22"/>
        </w:rPr>
        <w:t xml:space="preserve">, 1029–1036 (2020). </w:t>
      </w:r>
      <w:hyperlink r:id="rId52">
        <w:r w:rsidR="00506EDB">
          <w:rPr>
            <w:rFonts w:ascii="Times New Roman" w:eastAsia="Times New Roman" w:hAnsi="Times New Roman" w:cs="Times New Roman"/>
            <w:color w:val="0000FF"/>
            <w:sz w:val="22"/>
            <w:szCs w:val="22"/>
            <w:u w:val="single"/>
          </w:rPr>
          <w:t>https://doi.org/10.1007/s12205-020-1391-5</w:t>
        </w:r>
      </w:hyperlink>
      <w:r>
        <w:rPr>
          <w:rFonts w:ascii="Times New Roman" w:eastAsia="Times New Roman" w:hAnsi="Times New Roman" w:cs="Times New Roman"/>
          <w:color w:val="000000"/>
          <w:sz w:val="22"/>
          <w:szCs w:val="22"/>
        </w:rPr>
        <w:t xml:space="preserve"> </w:t>
      </w:r>
    </w:p>
    <w:p w14:paraId="12160FB3"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Prebanić</w:t>
      </w:r>
      <w:proofErr w:type="spellEnd"/>
      <w:r w:rsidRPr="00111BFC">
        <w:rPr>
          <w:rFonts w:ascii="Times New Roman" w:eastAsia="Times New Roman" w:hAnsi="Times New Roman" w:cs="Times New Roman"/>
          <w:color w:val="000000"/>
          <w:sz w:val="22"/>
          <w:szCs w:val="22"/>
          <w:lang w:val="es-US"/>
        </w:rPr>
        <w:t xml:space="preserve">, K. R., &amp; </w:t>
      </w:r>
      <w:proofErr w:type="spellStart"/>
      <w:r w:rsidRPr="00111BFC">
        <w:rPr>
          <w:rFonts w:ascii="Times New Roman" w:eastAsia="Times New Roman" w:hAnsi="Times New Roman" w:cs="Times New Roman"/>
          <w:color w:val="000000"/>
          <w:sz w:val="22"/>
          <w:szCs w:val="22"/>
          <w:lang w:val="es-US"/>
        </w:rPr>
        <w:t>Vukomanović</w:t>
      </w:r>
      <w:proofErr w:type="spellEnd"/>
      <w:r w:rsidRPr="00111BFC">
        <w:rPr>
          <w:rFonts w:ascii="Times New Roman" w:eastAsia="Times New Roman" w:hAnsi="Times New Roman" w:cs="Times New Roman"/>
          <w:color w:val="000000"/>
          <w:sz w:val="22"/>
          <w:szCs w:val="22"/>
          <w:lang w:val="es-US"/>
        </w:rPr>
        <w:t xml:space="preserve">, M. (2021). </w:t>
      </w:r>
      <w:r>
        <w:rPr>
          <w:rFonts w:ascii="Times New Roman" w:eastAsia="Times New Roman" w:hAnsi="Times New Roman" w:cs="Times New Roman"/>
          <w:color w:val="000000"/>
          <w:sz w:val="22"/>
          <w:szCs w:val="22"/>
        </w:rPr>
        <w:t xml:space="preserve">Realizing the need for digital transformation of </w:t>
      </w:r>
      <w:r>
        <w:rPr>
          <w:rFonts w:ascii="Times New Roman" w:eastAsia="Times New Roman" w:hAnsi="Times New Roman" w:cs="Times New Roman"/>
          <w:color w:val="000000"/>
          <w:sz w:val="22"/>
          <w:szCs w:val="22"/>
        </w:rPr>
        <w:t>stakeholder management: A systematic review in the construction industry. </w:t>
      </w:r>
      <w:r>
        <w:rPr>
          <w:rFonts w:ascii="Times New Roman" w:eastAsia="Times New Roman" w:hAnsi="Times New Roman" w:cs="Times New Roman"/>
          <w:i/>
          <w:iCs/>
          <w:color w:val="000000"/>
          <w:sz w:val="22"/>
          <w:szCs w:val="22"/>
        </w:rPr>
        <w:t>Sustainability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 xml:space="preserve">(22), 12690. </w:t>
      </w:r>
      <w:hyperlink r:id="rId53">
        <w:r w:rsidR="00506EDB">
          <w:rPr>
            <w:rFonts w:ascii="Times New Roman" w:eastAsia="Times New Roman" w:hAnsi="Times New Roman" w:cs="Times New Roman"/>
            <w:color w:val="0000FF"/>
            <w:sz w:val="22"/>
            <w:szCs w:val="22"/>
            <w:u w:val="single"/>
          </w:rPr>
          <w:t>https://doi.org/10.3390/su132212690</w:t>
        </w:r>
      </w:hyperlink>
    </w:p>
    <w:p w14:paraId="7364EE0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Radman</w:t>
      </w:r>
      <w:proofErr w:type="spellEnd"/>
      <w:r w:rsidRPr="00111BFC">
        <w:rPr>
          <w:rFonts w:ascii="Times New Roman" w:eastAsia="Times New Roman" w:hAnsi="Times New Roman" w:cs="Times New Roman"/>
          <w:color w:val="000000"/>
          <w:sz w:val="22"/>
          <w:szCs w:val="22"/>
          <w:lang w:val="es-US"/>
        </w:rPr>
        <w:t xml:space="preserve">, K., </w:t>
      </w:r>
      <w:proofErr w:type="spellStart"/>
      <w:r w:rsidRPr="00111BFC">
        <w:rPr>
          <w:rFonts w:ascii="Times New Roman" w:eastAsia="Times New Roman" w:hAnsi="Times New Roman" w:cs="Times New Roman"/>
          <w:color w:val="000000"/>
          <w:sz w:val="22"/>
          <w:szCs w:val="22"/>
          <w:lang w:val="es-US"/>
        </w:rPr>
        <w:t>Jelodar</w:t>
      </w:r>
      <w:proofErr w:type="spellEnd"/>
      <w:r w:rsidRPr="00111BFC">
        <w:rPr>
          <w:rFonts w:ascii="Times New Roman" w:eastAsia="Times New Roman" w:hAnsi="Times New Roman" w:cs="Times New Roman"/>
          <w:color w:val="000000"/>
          <w:sz w:val="22"/>
          <w:szCs w:val="22"/>
          <w:lang w:val="es-US"/>
        </w:rPr>
        <w:t xml:space="preserve">, M. B., </w:t>
      </w:r>
      <w:proofErr w:type="spellStart"/>
      <w:r w:rsidRPr="00111BFC">
        <w:rPr>
          <w:rFonts w:ascii="Times New Roman" w:eastAsia="Times New Roman" w:hAnsi="Times New Roman" w:cs="Times New Roman"/>
          <w:color w:val="000000"/>
          <w:sz w:val="22"/>
          <w:szCs w:val="22"/>
          <w:lang w:val="es-US"/>
        </w:rPr>
        <w:t>Lovreglio</w:t>
      </w:r>
      <w:proofErr w:type="spellEnd"/>
      <w:r w:rsidRPr="00111BFC">
        <w:rPr>
          <w:rFonts w:ascii="Times New Roman" w:eastAsia="Times New Roman" w:hAnsi="Times New Roman" w:cs="Times New Roman"/>
          <w:color w:val="000000"/>
          <w:sz w:val="22"/>
          <w:szCs w:val="22"/>
          <w:lang w:val="es-US"/>
        </w:rPr>
        <w:t xml:space="preserve">, R., </w:t>
      </w:r>
      <w:proofErr w:type="spellStart"/>
      <w:r w:rsidRPr="00111BFC">
        <w:rPr>
          <w:rFonts w:ascii="Times New Roman" w:eastAsia="Times New Roman" w:hAnsi="Times New Roman" w:cs="Times New Roman"/>
          <w:color w:val="000000"/>
          <w:sz w:val="22"/>
          <w:szCs w:val="22"/>
          <w:lang w:val="es-US"/>
        </w:rPr>
        <w:t>Ghazizadeh</w:t>
      </w:r>
      <w:proofErr w:type="spellEnd"/>
      <w:r w:rsidRPr="00111BFC">
        <w:rPr>
          <w:rFonts w:ascii="Times New Roman" w:eastAsia="Times New Roman" w:hAnsi="Times New Roman" w:cs="Times New Roman"/>
          <w:color w:val="000000"/>
          <w:sz w:val="22"/>
          <w:szCs w:val="22"/>
          <w:lang w:val="es-US"/>
        </w:rPr>
        <w:t>, E., &amp;</w:t>
      </w:r>
      <w:r w:rsidRPr="00111BFC">
        <w:rPr>
          <w:rFonts w:ascii="Times New Roman" w:eastAsia="Times New Roman" w:hAnsi="Times New Roman" w:cs="Times New Roman"/>
          <w:color w:val="000000"/>
          <w:sz w:val="22"/>
          <w:szCs w:val="22"/>
          <w:lang w:val="es-US"/>
        </w:rPr>
        <w:t xml:space="preserve"> Wilkinson, S. (2025). </w:t>
      </w:r>
      <w:r>
        <w:rPr>
          <w:rFonts w:ascii="Times New Roman" w:eastAsia="Times New Roman" w:hAnsi="Times New Roman" w:cs="Times New Roman"/>
          <w:color w:val="000000"/>
          <w:sz w:val="22"/>
          <w:szCs w:val="22"/>
        </w:rPr>
        <w:t xml:space="preserve">Real-Time tracking and analysis in construction projects: A </w:t>
      </w:r>
      <w:proofErr w:type="spellStart"/>
      <w:r>
        <w:rPr>
          <w:rFonts w:ascii="Times New Roman" w:eastAsia="Times New Roman" w:hAnsi="Times New Roman" w:cs="Times New Roman"/>
          <w:color w:val="000000"/>
          <w:sz w:val="22"/>
          <w:szCs w:val="22"/>
        </w:rPr>
        <w:t>RealCONs</w:t>
      </w:r>
      <w:proofErr w:type="spellEnd"/>
      <w:r>
        <w:rPr>
          <w:rFonts w:ascii="Times New Roman" w:eastAsia="Times New Roman" w:hAnsi="Times New Roman" w:cs="Times New Roman"/>
          <w:color w:val="000000"/>
          <w:sz w:val="22"/>
          <w:szCs w:val="22"/>
        </w:rPr>
        <w:t xml:space="preserve"> framework. </w:t>
      </w:r>
      <w:r>
        <w:rPr>
          <w:rFonts w:ascii="Times New Roman" w:eastAsia="Times New Roman" w:hAnsi="Times New Roman" w:cs="Times New Roman"/>
          <w:i/>
          <w:iCs/>
          <w:color w:val="000000"/>
          <w:sz w:val="22"/>
          <w:szCs w:val="22"/>
        </w:rPr>
        <w:t>Advanced Engineering Informatics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67</w:t>
      </w:r>
      <w:r>
        <w:rPr>
          <w:rFonts w:ascii="Times New Roman" w:eastAsia="Times New Roman" w:hAnsi="Times New Roman" w:cs="Times New Roman"/>
          <w:color w:val="000000"/>
          <w:sz w:val="22"/>
          <w:szCs w:val="22"/>
        </w:rPr>
        <w:t>, 103511. https://doi.org/10.1016/j.aei.2025.103511</w:t>
      </w:r>
    </w:p>
    <w:p w14:paraId="020CCF53"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Senić</w:t>
      </w:r>
      <w:proofErr w:type="spellEnd"/>
      <w:r w:rsidRPr="00111BFC">
        <w:rPr>
          <w:rFonts w:ascii="Times New Roman" w:eastAsia="Times New Roman" w:hAnsi="Times New Roman" w:cs="Times New Roman"/>
          <w:color w:val="000000"/>
          <w:sz w:val="22"/>
          <w:szCs w:val="22"/>
          <w:lang w:val="es-US"/>
        </w:rPr>
        <w:t xml:space="preserve">, A., </w:t>
      </w:r>
      <w:proofErr w:type="spellStart"/>
      <w:r w:rsidRPr="00111BFC">
        <w:rPr>
          <w:rFonts w:ascii="Times New Roman" w:eastAsia="Times New Roman" w:hAnsi="Times New Roman" w:cs="Times New Roman"/>
          <w:color w:val="000000"/>
          <w:sz w:val="22"/>
          <w:szCs w:val="22"/>
          <w:lang w:val="es-US"/>
        </w:rPr>
        <w:t>Dobrodolac</w:t>
      </w:r>
      <w:proofErr w:type="spellEnd"/>
      <w:r w:rsidRPr="00111BFC">
        <w:rPr>
          <w:rFonts w:ascii="Times New Roman" w:eastAsia="Times New Roman" w:hAnsi="Times New Roman" w:cs="Times New Roman"/>
          <w:color w:val="000000"/>
          <w:sz w:val="22"/>
          <w:szCs w:val="22"/>
          <w:lang w:val="es-US"/>
        </w:rPr>
        <w:t xml:space="preserve">, M., &amp; </w:t>
      </w:r>
      <w:proofErr w:type="spellStart"/>
      <w:r w:rsidRPr="00111BFC">
        <w:rPr>
          <w:rFonts w:ascii="Times New Roman" w:eastAsia="Times New Roman" w:hAnsi="Times New Roman" w:cs="Times New Roman"/>
          <w:color w:val="000000"/>
          <w:sz w:val="22"/>
          <w:szCs w:val="22"/>
          <w:lang w:val="es-US"/>
        </w:rPr>
        <w:t>Stojadinović</w:t>
      </w:r>
      <w:proofErr w:type="spellEnd"/>
      <w:r w:rsidRPr="00111BFC">
        <w:rPr>
          <w:rFonts w:ascii="Times New Roman" w:eastAsia="Times New Roman" w:hAnsi="Times New Roman" w:cs="Times New Roman"/>
          <w:color w:val="000000"/>
          <w:sz w:val="22"/>
          <w:szCs w:val="22"/>
          <w:lang w:val="es-US"/>
        </w:rPr>
        <w:t xml:space="preserve">, Z. (2024). </w:t>
      </w:r>
      <w:r>
        <w:rPr>
          <w:rFonts w:ascii="Times New Roman" w:eastAsia="Times New Roman" w:hAnsi="Times New Roman" w:cs="Times New Roman"/>
          <w:color w:val="000000"/>
          <w:sz w:val="22"/>
          <w:szCs w:val="22"/>
        </w:rPr>
        <w:t>Development</w:t>
      </w:r>
      <w:r>
        <w:rPr>
          <w:rFonts w:ascii="Times New Roman" w:eastAsia="Times New Roman" w:hAnsi="Times New Roman" w:cs="Times New Roman"/>
          <w:color w:val="000000"/>
          <w:sz w:val="22"/>
          <w:szCs w:val="22"/>
        </w:rPr>
        <w:t xml:space="preserve"> of Risk Quantification Models in Road Infrastructure Projects. Sustainability, 16(17), 7694. </w:t>
      </w:r>
      <w:hyperlink r:id="rId54">
        <w:r w:rsidR="00506EDB">
          <w:rPr>
            <w:rFonts w:ascii="Times New Roman" w:eastAsia="Times New Roman" w:hAnsi="Times New Roman" w:cs="Times New Roman"/>
            <w:color w:val="0000FF"/>
            <w:sz w:val="22"/>
            <w:szCs w:val="22"/>
            <w:u w:val="single"/>
          </w:rPr>
          <w:t>https://doi.org/10.3390/su16177694</w:t>
        </w:r>
      </w:hyperlink>
    </w:p>
    <w:p w14:paraId="407A66F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Sing, M. C. P., Ma, Q., &amp; Gu, Q. (2025). Improving Cost Contingency Estim</w:t>
      </w:r>
      <w:r>
        <w:rPr>
          <w:rFonts w:ascii="Times New Roman" w:eastAsia="Times New Roman" w:hAnsi="Times New Roman" w:cs="Times New Roman"/>
          <w:color w:val="000000"/>
          <w:sz w:val="22"/>
          <w:szCs w:val="22"/>
        </w:rPr>
        <w:t xml:space="preserve">ation in Infrastructure Projects with Artificial Neural Networks and a Complexity Index. Applied Sciences, 15(7), 3519. </w:t>
      </w:r>
      <w:hyperlink r:id="rId55">
        <w:r w:rsidR="00506EDB">
          <w:rPr>
            <w:rFonts w:ascii="Times New Roman" w:eastAsia="Times New Roman" w:hAnsi="Times New Roman" w:cs="Times New Roman"/>
            <w:color w:val="0000FF"/>
            <w:sz w:val="22"/>
            <w:szCs w:val="22"/>
            <w:u w:val="single"/>
          </w:rPr>
          <w:t>https://doi.org/10.3390/app15073519</w:t>
        </w:r>
      </w:hyperlink>
    </w:p>
    <w:p w14:paraId="32CCD3F8"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Tian, K., Zhu, Z., </w:t>
      </w:r>
      <w:proofErr w:type="spellStart"/>
      <w:r>
        <w:rPr>
          <w:rFonts w:ascii="Times New Roman" w:eastAsia="Times New Roman" w:hAnsi="Times New Roman" w:cs="Times New Roman"/>
          <w:color w:val="000000"/>
          <w:sz w:val="22"/>
          <w:szCs w:val="22"/>
        </w:rPr>
        <w:t>Mbachu</w:t>
      </w:r>
      <w:proofErr w:type="spellEnd"/>
      <w:r>
        <w:rPr>
          <w:rFonts w:ascii="Times New Roman" w:eastAsia="Times New Roman" w:hAnsi="Times New Roman" w:cs="Times New Roman"/>
          <w:color w:val="000000"/>
          <w:sz w:val="22"/>
          <w:szCs w:val="22"/>
        </w:rPr>
        <w:t xml:space="preserve">, J., </w:t>
      </w:r>
      <w:proofErr w:type="spellStart"/>
      <w:r>
        <w:rPr>
          <w:rFonts w:ascii="Times New Roman" w:eastAsia="Times New Roman" w:hAnsi="Times New Roman" w:cs="Times New Roman"/>
          <w:color w:val="000000"/>
          <w:sz w:val="22"/>
          <w:szCs w:val="22"/>
        </w:rPr>
        <w:t>Ghanbaripour</w:t>
      </w:r>
      <w:proofErr w:type="spellEnd"/>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 &amp; Moorhead, M. (2025). Artificial intelligence in risk management within the realm of construction projects: A bibliometric analysis and systematic literature review. </w:t>
      </w:r>
      <w:r>
        <w:rPr>
          <w:rFonts w:ascii="Times New Roman" w:eastAsia="Times New Roman" w:hAnsi="Times New Roman" w:cs="Times New Roman"/>
          <w:i/>
          <w:iCs/>
          <w:color w:val="000000"/>
          <w:sz w:val="22"/>
          <w:szCs w:val="22"/>
        </w:rPr>
        <w:t>Journal of Innovation &amp; Knowledge</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10</w:t>
      </w:r>
      <w:r>
        <w:rPr>
          <w:rFonts w:ascii="Times New Roman" w:eastAsia="Times New Roman" w:hAnsi="Times New Roman" w:cs="Times New Roman"/>
          <w:color w:val="000000"/>
          <w:sz w:val="22"/>
          <w:szCs w:val="22"/>
        </w:rPr>
        <w:t xml:space="preserve">(3), 100711. </w:t>
      </w:r>
      <w:hyperlink r:id="rId56">
        <w:r w:rsidR="00506EDB">
          <w:rPr>
            <w:rFonts w:ascii="Times New Roman" w:eastAsia="Times New Roman" w:hAnsi="Times New Roman" w:cs="Times New Roman"/>
            <w:color w:val="0000FF"/>
            <w:sz w:val="22"/>
            <w:szCs w:val="22"/>
            <w:u w:val="single"/>
          </w:rPr>
          <w:t>https://doi.org/10.1016/j.jik.2025.100711</w:t>
        </w:r>
      </w:hyperlink>
    </w:p>
    <w:p w14:paraId="76ECB173"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lastRenderedPageBreak/>
        <w:t>Yalçın</w:t>
      </w:r>
      <w:proofErr w:type="spellEnd"/>
      <w:r>
        <w:rPr>
          <w:rFonts w:ascii="Times New Roman" w:eastAsia="Times New Roman" w:hAnsi="Times New Roman" w:cs="Times New Roman"/>
          <w:color w:val="000000"/>
          <w:sz w:val="22"/>
          <w:szCs w:val="22"/>
        </w:rPr>
        <w:t xml:space="preserve">, G., Bayram, S., &amp; </w:t>
      </w:r>
      <w:proofErr w:type="spellStart"/>
      <w:r>
        <w:rPr>
          <w:rFonts w:ascii="Times New Roman" w:eastAsia="Times New Roman" w:hAnsi="Times New Roman" w:cs="Times New Roman"/>
          <w:color w:val="000000"/>
          <w:sz w:val="22"/>
          <w:szCs w:val="22"/>
        </w:rPr>
        <w:t>Çıtakoğlu</w:t>
      </w:r>
      <w:proofErr w:type="spellEnd"/>
      <w:r>
        <w:rPr>
          <w:rFonts w:ascii="Times New Roman" w:eastAsia="Times New Roman" w:hAnsi="Times New Roman" w:cs="Times New Roman"/>
          <w:color w:val="000000"/>
          <w:sz w:val="22"/>
          <w:szCs w:val="22"/>
        </w:rPr>
        <w:t>, H. (2024). Evaluation of earned value management-based cost estimation via machine learning. </w:t>
      </w:r>
      <w:r>
        <w:rPr>
          <w:rFonts w:ascii="Times New Roman" w:eastAsia="Times New Roman" w:hAnsi="Times New Roman" w:cs="Times New Roman"/>
          <w:i/>
          <w:iCs/>
          <w:color w:val="000000"/>
          <w:sz w:val="22"/>
          <w:szCs w:val="22"/>
        </w:rPr>
        <w:t>Buildings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w:t>
      </w:r>
      <w:r>
        <w:rPr>
          <w:rFonts w:ascii="Times New Roman" w:eastAsia="Times New Roman" w:hAnsi="Times New Roman" w:cs="Times New Roman"/>
          <w:color w:val="000000"/>
          <w:sz w:val="22"/>
          <w:szCs w:val="22"/>
        </w:rPr>
        <w:t xml:space="preserve">(12), 3772. </w:t>
      </w:r>
      <w:r>
        <w:rPr>
          <w:rFonts w:ascii="Times New Roman" w:eastAsia="Times New Roman" w:hAnsi="Times New Roman" w:cs="Times New Roman"/>
          <w:color w:val="000000"/>
          <w:sz w:val="22"/>
          <w:szCs w:val="22"/>
        </w:rPr>
        <w:br/>
        <w:t>https://doi.org/10.3390/buildings14123772</w:t>
      </w:r>
    </w:p>
    <w:p w14:paraId="7160793E" w14:textId="77777777" w:rsidR="00506EDB" w:rsidRDefault="00EA765F">
      <w:pPr>
        <w:numPr>
          <w:ilvl w:val="0"/>
          <w:numId w:val="3"/>
        </w:numPr>
        <w:pBdr>
          <w:top w:val="nil"/>
          <w:left w:val="nil"/>
          <w:bottom w:val="nil"/>
          <w:right w:val="nil"/>
          <w:between w:val="nil"/>
        </w:pBdr>
        <w:spacing w:after="16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Zani</w:t>
      </w:r>
      <w:proofErr w:type="spellEnd"/>
      <w:r w:rsidRPr="00111BFC">
        <w:rPr>
          <w:rFonts w:ascii="Times New Roman" w:eastAsia="Times New Roman" w:hAnsi="Times New Roman" w:cs="Times New Roman"/>
          <w:color w:val="000000"/>
          <w:sz w:val="22"/>
          <w:szCs w:val="22"/>
          <w:lang w:val="es-US"/>
        </w:rPr>
        <w:t xml:space="preserve">, D., </w:t>
      </w:r>
      <w:proofErr w:type="spellStart"/>
      <w:r w:rsidRPr="00111BFC">
        <w:rPr>
          <w:rFonts w:ascii="Times New Roman" w:eastAsia="Times New Roman" w:hAnsi="Times New Roman" w:cs="Times New Roman"/>
          <w:color w:val="000000"/>
          <w:sz w:val="22"/>
          <w:szCs w:val="22"/>
          <w:lang w:val="es-US"/>
        </w:rPr>
        <w:t>Adey</w:t>
      </w:r>
      <w:proofErr w:type="spellEnd"/>
      <w:r w:rsidRPr="00111BFC">
        <w:rPr>
          <w:rFonts w:ascii="Times New Roman" w:eastAsia="Times New Roman" w:hAnsi="Times New Roman" w:cs="Times New Roman"/>
          <w:color w:val="000000"/>
          <w:sz w:val="22"/>
          <w:szCs w:val="22"/>
          <w:lang w:val="es-US"/>
        </w:rPr>
        <w:t xml:space="preserve">, B. T., &amp; Carroll, S. (2024). </w:t>
      </w:r>
      <w:r>
        <w:rPr>
          <w:rFonts w:ascii="Times New Roman" w:eastAsia="Times New Roman" w:hAnsi="Times New Roman" w:cs="Times New Roman"/>
          <w:color w:val="000000"/>
          <w:sz w:val="22"/>
          <w:szCs w:val="22"/>
        </w:rPr>
        <w:t>An approach to support reference class forecasting when adequate project data are unavailable. </w:t>
      </w:r>
      <w:r>
        <w:rPr>
          <w:rFonts w:ascii="Times New Roman" w:eastAsia="Times New Roman" w:hAnsi="Times New Roman" w:cs="Times New Roman"/>
          <w:i/>
          <w:iCs/>
          <w:color w:val="000000"/>
          <w:sz w:val="22"/>
          <w:szCs w:val="22"/>
        </w:rPr>
        <w:t>Results in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22</w:t>
      </w:r>
      <w:r>
        <w:rPr>
          <w:rFonts w:ascii="Times New Roman" w:eastAsia="Times New Roman" w:hAnsi="Times New Roman" w:cs="Times New Roman"/>
          <w:color w:val="000000"/>
          <w:sz w:val="22"/>
          <w:szCs w:val="22"/>
        </w:rPr>
        <w:t xml:space="preserve">, 102333. </w:t>
      </w:r>
      <w:hyperlink r:id="rId57">
        <w:r w:rsidR="00506EDB">
          <w:rPr>
            <w:rFonts w:ascii="Times New Roman" w:eastAsia="Times New Roman" w:hAnsi="Times New Roman" w:cs="Times New Roman"/>
            <w:color w:val="0000FF"/>
            <w:sz w:val="22"/>
            <w:szCs w:val="22"/>
            <w:u w:val="single"/>
          </w:rPr>
          <w:t>https://doi.org/10.1016/j.rineng.2024.102333</w:t>
        </w:r>
      </w:hyperlink>
    </w:p>
    <w:sectPr w:rsidR="00506ED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9A680" w14:textId="77777777" w:rsidR="00EA765F" w:rsidRDefault="00EA765F" w:rsidP="0090734F">
      <w:pPr>
        <w:spacing w:after="0" w:line="240" w:lineRule="auto"/>
      </w:pPr>
      <w:r>
        <w:separator/>
      </w:r>
    </w:p>
  </w:endnote>
  <w:endnote w:type="continuationSeparator" w:id="0">
    <w:p w14:paraId="443A2BD8" w14:textId="77777777" w:rsidR="00EA765F" w:rsidRDefault="00EA765F" w:rsidP="00907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E50EA521-03A0-459B-9B57-D519DA7C9BB9}"/>
    <w:embedBold r:id="rId2" w:fontKey="{BD04363C-C04B-47E5-9566-597CA0933FA5}"/>
    <w:embedItalic r:id="rId3" w:fontKey="{9624743A-F778-42F2-BED6-DB80530804A2}"/>
    <w:embedBoldItalic r:id="rId4" w:fontKey="{DF9D8C33-F8BE-473C-8641-771BF672476B}"/>
  </w:font>
  <w:font w:name="Times New Roman">
    <w:panose1 w:val="02020603050405020304"/>
    <w:charset w:val="00"/>
    <w:family w:val="roman"/>
    <w:pitch w:val="variable"/>
    <w:sig w:usb0="E0002A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FF0387C6-E4EF-4D5B-96E1-31C7910817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EE30" w14:textId="77777777" w:rsidR="0090734F" w:rsidRDefault="009073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D97D8" w14:textId="77777777" w:rsidR="0090734F" w:rsidRDefault="009073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85C31" w14:textId="77777777" w:rsidR="0090734F" w:rsidRDefault="00907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264A2" w14:textId="77777777" w:rsidR="00EA765F" w:rsidRDefault="00EA765F" w:rsidP="0090734F">
      <w:pPr>
        <w:spacing w:after="0" w:line="240" w:lineRule="auto"/>
      </w:pPr>
      <w:r>
        <w:separator/>
      </w:r>
    </w:p>
  </w:footnote>
  <w:footnote w:type="continuationSeparator" w:id="0">
    <w:p w14:paraId="20C233A1" w14:textId="77777777" w:rsidR="00EA765F" w:rsidRDefault="00EA765F" w:rsidP="00907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D6770" w14:textId="3383F005" w:rsidR="0090734F" w:rsidRDefault="0090734F">
    <w:pPr>
      <w:pStyle w:val="Header"/>
    </w:pPr>
    <w:r>
      <w:rPr>
        <w:noProof/>
      </w:rPr>
      <w:pict w14:anchorId="04405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3520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DB2ED" w14:textId="7E410A08" w:rsidR="0090734F" w:rsidRDefault="0090734F">
    <w:pPr>
      <w:pStyle w:val="Header"/>
    </w:pPr>
    <w:r>
      <w:rPr>
        <w:noProof/>
      </w:rPr>
      <w:pict w14:anchorId="788AC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3520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08F43" w14:textId="79C754C6" w:rsidR="0090734F" w:rsidRDefault="0090734F">
    <w:pPr>
      <w:pStyle w:val="Header"/>
    </w:pPr>
    <w:r>
      <w:rPr>
        <w:noProof/>
      </w:rPr>
      <w:pict w14:anchorId="77C5C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3520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1581F"/>
    <w:multiLevelType w:val="multilevel"/>
    <w:tmpl w:val="B1580D32"/>
    <w:lvl w:ilvl="0">
      <w:start w:val="1"/>
      <w:numFmt w:val="decimal"/>
      <w:pStyle w:val="ListBullet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1C0C1C"/>
    <w:multiLevelType w:val="multilevel"/>
    <w:tmpl w:val="7CA08A3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BA24C06"/>
    <w:multiLevelType w:val="multilevel"/>
    <w:tmpl w:val="87787F4C"/>
    <w:lvl w:ilvl="0">
      <w:start w:val="1"/>
      <w:numFmt w:val="decimal"/>
      <w:pStyle w:val="ListBullet"/>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51917CC2"/>
    <w:multiLevelType w:val="multilevel"/>
    <w:tmpl w:val="E84A054E"/>
    <w:lvl w:ilvl="0">
      <w:start w:val="1"/>
      <w:numFmt w:val="lowerRoman"/>
      <w:pStyle w:val="ListBullet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C0MDMxM7c0NDEyMTJV0lEKTi0uzszPAykwrAUA34kg9CwAAAA="/>
  </w:docVars>
  <w:rsids>
    <w:rsidRoot w:val="00506EDB"/>
    <w:rsid w:val="00111BFC"/>
    <w:rsid w:val="001B2553"/>
    <w:rsid w:val="002A0038"/>
    <w:rsid w:val="002B653A"/>
    <w:rsid w:val="00506EDB"/>
    <w:rsid w:val="006922C6"/>
    <w:rsid w:val="008C6F5E"/>
    <w:rsid w:val="0090734F"/>
    <w:rsid w:val="00AF28C4"/>
    <w:rsid w:val="00B92D64"/>
    <w:rsid w:val="00C05E25"/>
    <w:rsid w:val="00C21B06"/>
    <w:rsid w:val="00D874E4"/>
    <w:rsid w:val="00EA765F"/>
    <w:rsid w:val="00EF5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879DCF"/>
  <w15:docId w15:val="{15657583-BFA2-4951-87B3-C0C11DE4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16"/>
        <w:szCs w:val="16"/>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0736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0736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300E89"/>
    <w:rPr>
      <w:color w:val="0000FF" w:themeColor="hyperlink"/>
      <w:u w:val="single"/>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3390/su14105835" TargetMode="External"/><Relationship Id="rId26" Type="http://schemas.openxmlformats.org/officeDocument/2006/relationships/hyperlink" Target="https://doi.org/10.1016/j.plas.2024.100128" TargetMode="External"/><Relationship Id="rId39" Type="http://schemas.openxmlformats.org/officeDocument/2006/relationships/hyperlink" Target="https://doi.org/10.1016/j.asej.2018.11.008" TargetMode="External"/><Relationship Id="rId21" Type="http://schemas.openxmlformats.org/officeDocument/2006/relationships/hyperlink" Target="https://doi.org/10.3390/su162411159" TargetMode="External"/><Relationship Id="rId34" Type="http://schemas.openxmlformats.org/officeDocument/2006/relationships/hyperlink" Target="https://doi.org/10.3390/buildings15193505" TargetMode="External"/><Relationship Id="rId42" Type="http://schemas.openxmlformats.org/officeDocument/2006/relationships/hyperlink" Target="https://doi.org/10.3390/buildings13030667" TargetMode="External"/><Relationship Id="rId47" Type="http://schemas.openxmlformats.org/officeDocument/2006/relationships/hyperlink" Target="https://doi.org/10.3390/buildings14030601" TargetMode="External"/><Relationship Id="rId50" Type="http://schemas.openxmlformats.org/officeDocument/2006/relationships/hyperlink" Target="https://doi.org/10.1108/JEDT-05-2019-0121" TargetMode="External"/><Relationship Id="rId55" Type="http://schemas.openxmlformats.org/officeDocument/2006/relationships/hyperlink" Target="https://doi.org/10.3390/app150735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61/(ASCE)ME.1943-5479.0000917" TargetMode="External"/><Relationship Id="rId29" Type="http://schemas.openxmlformats.org/officeDocument/2006/relationships/hyperlink" Target="https://doi.org/10.1016/j.autcon.2018.11.030" TargetMode="External"/><Relationship Id="rId11" Type="http://schemas.openxmlformats.org/officeDocument/2006/relationships/header" Target="header2.xml"/><Relationship Id="rId24" Type="http://schemas.openxmlformats.org/officeDocument/2006/relationships/hyperlink" Target="https://doi.org/10.1016/j.plas.2024.100171" TargetMode="External"/><Relationship Id="rId32" Type="http://schemas.openxmlformats.org/officeDocument/2006/relationships/hyperlink" Target="https://doi.org/10.2174/1874149502115010038" TargetMode="External"/><Relationship Id="rId37" Type="http://schemas.openxmlformats.org/officeDocument/2006/relationships/hyperlink" Target="https://doi.org/10.1016/j.asej.2021.09.005" TargetMode="External"/><Relationship Id="rId40" Type="http://schemas.openxmlformats.org/officeDocument/2006/relationships/hyperlink" Target="https://doi.org/10.1016/j.autcon.2024.105716" TargetMode="External"/><Relationship Id="rId45" Type="http://schemas.openxmlformats.org/officeDocument/2006/relationships/hyperlink" Target="https://doi.org/10.1016/j.tranpol.2023.02.017" TargetMode="External"/><Relationship Id="rId53" Type="http://schemas.openxmlformats.org/officeDocument/2006/relationships/hyperlink" Target="https://doi.org/10.3390/su132212690"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1016/j.autcon.2023.10518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doi.org/10.3390/infrastructures10060139" TargetMode="External"/><Relationship Id="rId27" Type="http://schemas.openxmlformats.org/officeDocument/2006/relationships/hyperlink" Target="https://doi.org/10.3390/systems13080625" TargetMode="External"/><Relationship Id="rId30" Type="http://schemas.openxmlformats.org/officeDocument/2006/relationships/hyperlink" Target="https://doi.org/10.3390/buildings12122173" TargetMode="External"/><Relationship Id="rId35" Type="http://schemas.openxmlformats.org/officeDocument/2006/relationships/hyperlink" Target="https://doi.org/10.3390/app10165506" TargetMode="External"/><Relationship Id="rId43" Type="http://schemas.openxmlformats.org/officeDocument/2006/relationships/hyperlink" Target="https://doi.org/10.3390/su132011507" TargetMode="External"/><Relationship Id="rId48" Type="http://schemas.openxmlformats.org/officeDocument/2006/relationships/hyperlink" Target="https://doi.org/10.48084/etasr.8173" TargetMode="External"/><Relationship Id="rId56" Type="http://schemas.openxmlformats.org/officeDocument/2006/relationships/hyperlink" Target="https://doi.org/10.1016/j.jik.2025.100711" TargetMode="External"/><Relationship Id="rId8" Type="http://schemas.openxmlformats.org/officeDocument/2006/relationships/image" Target="media/image1.png"/><Relationship Id="rId51" Type="http://schemas.openxmlformats.org/officeDocument/2006/relationships/hyperlink" Target="https://doi.org/10.1016/j.autcon.2025.10642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i.org/10.1016/j.proeng.2017.03.105" TargetMode="External"/><Relationship Id="rId25" Type="http://schemas.openxmlformats.org/officeDocument/2006/relationships/hyperlink" Target="https://doi.org/10.1016/j.eswa.2025.127891" TargetMode="External"/><Relationship Id="rId33" Type="http://schemas.openxmlformats.org/officeDocument/2006/relationships/hyperlink" Target="https://doi.org/10.1016/j.eswa.2024.123789" TargetMode="External"/><Relationship Id="rId38" Type="http://schemas.openxmlformats.org/officeDocument/2006/relationships/hyperlink" Target="https://doi.org/10.1108/ECAM-07-2021-0602" TargetMode="External"/><Relationship Id="rId46" Type="http://schemas.openxmlformats.org/officeDocument/2006/relationships/hyperlink" Target="https://doi.org/10.1016/j.autcon.2024.105836" TargetMode="External"/><Relationship Id="rId59" Type="http://schemas.openxmlformats.org/officeDocument/2006/relationships/theme" Target="theme/theme1.xml"/><Relationship Id="rId20" Type="http://schemas.openxmlformats.org/officeDocument/2006/relationships/hyperlink" Target="https://doi.org/10.1016/j.asej.2022.101720" TargetMode="External"/><Relationship Id="rId41" Type="http://schemas.openxmlformats.org/officeDocument/2006/relationships/hyperlink" Target="https://doi.org/10.3390/su11195388" TargetMode="External"/><Relationship Id="rId54" Type="http://schemas.openxmlformats.org/officeDocument/2006/relationships/hyperlink" Target="https://doi.org/10.3390/su161776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doi.org/10.1061/(ASCE)CO.1943-7862.0001008" TargetMode="External"/><Relationship Id="rId28" Type="http://schemas.openxmlformats.org/officeDocument/2006/relationships/hyperlink" Target="https://doi.org/10.1016/j.aej.2023.10.052" TargetMode="External"/><Relationship Id="rId36" Type="http://schemas.openxmlformats.org/officeDocument/2006/relationships/hyperlink" Target="https://doi.org/10.3390/app15137464" TargetMode="External"/><Relationship Id="rId49" Type="http://schemas.openxmlformats.org/officeDocument/2006/relationships/hyperlink" Target="https://doi.org/10.1186/s40537-020-00343-4" TargetMode="External"/><Relationship Id="rId57" Type="http://schemas.openxmlformats.org/officeDocument/2006/relationships/hyperlink" Target="https://doi.org/10.1016/j.rineng.2024.102333" TargetMode="External"/><Relationship Id="rId10" Type="http://schemas.openxmlformats.org/officeDocument/2006/relationships/header" Target="header1.xml"/><Relationship Id="rId31" Type="http://schemas.openxmlformats.org/officeDocument/2006/relationships/hyperlink" Target="https://doi.org/10.3846/13923730.2014.992467" TargetMode="External"/><Relationship Id="rId44" Type="http://schemas.openxmlformats.org/officeDocument/2006/relationships/hyperlink" Target="https://doi.org/10.1068/b130102p" TargetMode="External"/><Relationship Id="rId52" Type="http://schemas.openxmlformats.org/officeDocument/2006/relationships/hyperlink" Target="https://doi.org/10.1007/s12205-020-1391-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2e5vS2lQbuOaATJcenCWmL5Ww==">CgMxLjA4AHIhMUcxWVUydWcxdHJ5S1F2cE1qT3liNzdud0QwWWM0WFJI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8485</Words>
  <Characters>48369</Characters>
  <Application>Microsoft Office Word</Application>
  <DocSecurity>0</DocSecurity>
  <Lines>403</Lines>
  <Paragraphs>113</Paragraphs>
  <ScaleCrop>false</ScaleCrop>
  <Company/>
  <LinksUpToDate>false</LinksUpToDate>
  <CharactersWithSpaces>56741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1166</cp:lastModifiedBy>
  <cp:revision>46</cp:revision>
  <dcterms:created xsi:type="dcterms:W3CDTF">2026-03-12T18:06:00Z</dcterms:created>
  <dcterms:modified xsi:type="dcterms:W3CDTF">2026-03-26T11:36:00Z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1391ab39-5a8a-42db-8494-9284eef71e66</vt:lpwstr>
  </property>
</Properties>
</file>