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0B122" w14:textId="5D6D9538" w:rsidR="006673CE" w:rsidRPr="00D2433F" w:rsidRDefault="006673CE" w:rsidP="006673CE">
      <w:pPr>
        <w:rPr>
          <w:b/>
          <w:bCs/>
          <w:u w:val="single"/>
        </w:rPr>
      </w:pPr>
      <w:r w:rsidRPr="00D2433F">
        <w:rPr>
          <w:b/>
          <w:bCs/>
          <w:u w:val="single"/>
        </w:rPr>
        <w:t>Case Report</w:t>
      </w:r>
    </w:p>
    <w:p w14:paraId="06803A73" w14:textId="53253F11" w:rsidR="00D2433F" w:rsidRPr="001C7A78" w:rsidRDefault="00D2433F" w:rsidP="006673CE">
      <w:pPr>
        <w:rPr>
          <w:b/>
          <w:bCs/>
        </w:rPr>
      </w:pPr>
      <w:r w:rsidRPr="00D2433F">
        <w:rPr>
          <w:b/>
          <w:bCs/>
        </w:rPr>
        <w:t>Heterotopic Ossification After Colonic Surgery: A Case Report</w:t>
      </w:r>
    </w:p>
    <w:p w14:paraId="567A963F" w14:textId="3F0E5139" w:rsidR="006673CE" w:rsidRDefault="006673CE" w:rsidP="006673CE"/>
    <w:p w14:paraId="234EBEF7" w14:textId="77777777" w:rsidR="003C69C9" w:rsidRPr="001C7A78" w:rsidRDefault="003C69C9" w:rsidP="006673CE">
      <w:bookmarkStart w:id="0" w:name="_GoBack"/>
      <w:bookmarkEnd w:id="0"/>
    </w:p>
    <w:p w14:paraId="5FD8B5DF" w14:textId="77777777" w:rsidR="00CB5635" w:rsidRPr="001C7A78" w:rsidRDefault="00CB5635" w:rsidP="00CB5635">
      <w:r w:rsidRPr="001C7A78">
        <w:rPr>
          <w:b/>
          <w:bCs/>
        </w:rPr>
        <w:t>Abstract</w:t>
      </w:r>
    </w:p>
    <w:p w14:paraId="17C618CF" w14:textId="77777777" w:rsidR="00CB5635" w:rsidRPr="001C7A78" w:rsidRDefault="00CB5635" w:rsidP="00CB5635">
      <w:r w:rsidRPr="001C7A78">
        <w:t>Abdominal heterotopic ossification (AHO) is a rare postoperative complication characterized by ectopic bone formation within soft tissues following surgical trauma. Although most commonly described in the abdominal wall or mesentery, involvement of retroperitoneal structures such as the ureter remains exceptional and may lead to significant functional impairment.</w:t>
      </w:r>
    </w:p>
    <w:p w14:paraId="25B28D26" w14:textId="77777777" w:rsidR="00CB5635" w:rsidRPr="001C7A78" w:rsidRDefault="00CB5635" w:rsidP="00CB5635">
      <w:r w:rsidRPr="001C7A78">
        <w:t xml:space="preserve">We report the case of a 68-year-old female with a history of left-sided colonic adenocarcinoma complicated by postoperative peritonitis requiring multiple reoperations and stoma creation. During follow-up for metastatic disease, imaging revealed severe left </w:t>
      </w:r>
      <w:proofErr w:type="spellStart"/>
      <w:r w:rsidRPr="001C7A78">
        <w:t>ureterohydronephrosis</w:t>
      </w:r>
      <w:proofErr w:type="spellEnd"/>
      <w:r w:rsidRPr="001C7A78">
        <w:t xml:space="preserve"> associated with serpiginous hyperdense material adjacent to the ureter, as well as calcified tissue along the previous midline incision. The differential diagnosis included malignant obstruction and dystrophic calcification. An exploratory laparotomy was performed for colonic continuity restoration and etiological assessment of the ureteral obstruction. Intraoperatively, mature heterotopic ossification was identified in both the abdominal wall and periureteral region. While parietal ossification was successfully excised, periureteral dissection was deemed hazardous due to the risk of ureteral injury.</w:t>
      </w:r>
    </w:p>
    <w:p w14:paraId="4DDDBD60" w14:textId="77777777" w:rsidR="00CB5635" w:rsidRPr="001C7A78" w:rsidRDefault="00CB5635" w:rsidP="00CB5635">
      <w:r w:rsidRPr="001C7A78">
        <w:t xml:space="preserve">This case highlights the diagnostic challenges and surgical implications of AHO, particularly in oncologic patients with complex postoperative courses. Chronic inflammation, repeated surgical trauma, and </w:t>
      </w:r>
      <w:proofErr w:type="spellStart"/>
      <w:r w:rsidRPr="001C7A78">
        <w:t>tumor</w:t>
      </w:r>
      <w:proofErr w:type="spellEnd"/>
      <w:r w:rsidRPr="001C7A78">
        <w:t xml:space="preserve">-related molecular </w:t>
      </w:r>
      <w:proofErr w:type="spellStart"/>
      <w:r w:rsidRPr="001C7A78">
        <w:t>signaling</w:t>
      </w:r>
      <w:proofErr w:type="spellEnd"/>
      <w:r w:rsidRPr="001C7A78">
        <w:t xml:space="preserve"> pathways may contribute to ectopic bone formation. Awareness of this rare entity is essential to optimize preoperative planning and reduce operative morbidity.</w:t>
      </w:r>
    </w:p>
    <w:p w14:paraId="37E2C189" w14:textId="77777777" w:rsidR="006673CE" w:rsidRPr="001C7A78" w:rsidRDefault="006673CE" w:rsidP="006673CE"/>
    <w:p w14:paraId="071C63C5" w14:textId="77777777" w:rsidR="006673CE" w:rsidRPr="001C7A78" w:rsidRDefault="006673CE" w:rsidP="006673CE">
      <w:pPr>
        <w:rPr>
          <w:b/>
          <w:bCs/>
        </w:rPr>
      </w:pPr>
      <w:r w:rsidRPr="001C7A78">
        <w:rPr>
          <w:b/>
          <w:bCs/>
        </w:rPr>
        <w:t>Keywords</w:t>
      </w:r>
    </w:p>
    <w:p w14:paraId="672C4120" w14:textId="77777777" w:rsidR="006673CE" w:rsidRPr="001C7A78" w:rsidRDefault="006673CE" w:rsidP="006673CE">
      <w:r w:rsidRPr="001C7A78">
        <w:t>Heterotopic ossification; colonic surgery; colorectal cancer; ureter; postoperative complications</w:t>
      </w:r>
    </w:p>
    <w:p w14:paraId="27CB4A2F" w14:textId="77777777" w:rsidR="006673CE" w:rsidRPr="001C7A78" w:rsidRDefault="006673CE" w:rsidP="006673CE">
      <w:pPr>
        <w:rPr>
          <w:b/>
          <w:bCs/>
        </w:rPr>
      </w:pPr>
      <w:r w:rsidRPr="001C7A78">
        <w:rPr>
          <w:b/>
          <w:bCs/>
        </w:rPr>
        <w:t>Introduction</w:t>
      </w:r>
    </w:p>
    <w:p w14:paraId="3CE9B395" w14:textId="77777777" w:rsidR="006673CE" w:rsidRPr="001C7A78" w:rsidRDefault="006673CE" w:rsidP="006673CE">
      <w:r w:rsidRPr="001C7A78">
        <w:t>Abdominal heterotopic ossification (AHO) is a rare complication, typically occurring after major abdominal surgeries. It may involve the abdominal wall, mesentery, or, more rarely, pelvic structures. Diagnosis is often made intraoperatively due to nonspecific imaging findings. We report a case where heterotopic ossification complicated the surgical management of colonic continuity restoration following a double-barrel stoma.</w:t>
      </w:r>
    </w:p>
    <w:p w14:paraId="6C9B320B" w14:textId="77777777" w:rsidR="006673CE" w:rsidRPr="001C7A78" w:rsidRDefault="006673CE" w:rsidP="006673CE">
      <w:pPr>
        <w:rPr>
          <w:b/>
          <w:bCs/>
        </w:rPr>
      </w:pPr>
      <w:r w:rsidRPr="001C7A78">
        <w:rPr>
          <w:b/>
          <w:bCs/>
        </w:rPr>
        <w:t>Case Presentation</w:t>
      </w:r>
    </w:p>
    <w:p w14:paraId="18DBC4D0" w14:textId="77777777" w:rsidR="006673CE" w:rsidRPr="001C7A78" w:rsidRDefault="006673CE" w:rsidP="006673CE">
      <w:r w:rsidRPr="001C7A78">
        <w:t xml:space="preserve">A 68-year-old female patient with a history of hypertension and </w:t>
      </w:r>
      <w:proofErr w:type="spellStart"/>
      <w:r w:rsidRPr="001C7A78">
        <w:t>dyslipidemia</w:t>
      </w:r>
      <w:proofErr w:type="spellEnd"/>
      <w:r w:rsidRPr="001C7A78">
        <w:t xml:space="preserve"> was treated for a left-sided colonic adenocarcinoma. Two years ago, she underwent cholecystectomy and left colectomy. Histopathology revealed a moderately differentiated adenocarcinoma (pT3N1Mx).</w:t>
      </w:r>
      <w:r w:rsidRPr="001C7A78">
        <w:br/>
      </w:r>
      <w:r w:rsidRPr="001C7A78">
        <w:br/>
        <w:t>The postoperative course was complicated by two reoperations:</w:t>
      </w:r>
      <w:r w:rsidRPr="001C7A78">
        <w:br/>
        <w:t>- On postoperative day 3 (POD 3), she developed peritonitis due to an anastomotic leak, requiring a colostomy.</w:t>
      </w:r>
      <w:r w:rsidRPr="001C7A78">
        <w:br/>
      </w:r>
      <w:r w:rsidRPr="001C7A78">
        <w:lastRenderedPageBreak/>
        <w:t>- On POD 10, necrosis of the stoma necessitated a second surgery, resulting in an atypical stoma configuration.</w:t>
      </w:r>
      <w:r w:rsidRPr="001C7A78">
        <w:br/>
      </w:r>
      <w:r w:rsidRPr="001C7A78">
        <w:br/>
        <w:t xml:space="preserve">Follow-up imaging revealed a left ureteral stricture at the iliac-pelvic junction, causing severe upstream </w:t>
      </w:r>
      <w:proofErr w:type="spellStart"/>
      <w:r w:rsidRPr="001C7A78">
        <w:t>ureterohydronephrosis</w:t>
      </w:r>
      <w:proofErr w:type="spellEnd"/>
      <w:r w:rsidRPr="001C7A78">
        <w:t xml:space="preserve"> in contact with spontaneously hyperdense, serpiginous material (Figure 1). A suspicious hepatic lesion was also noted. Additionally, hyperdense material was observed in the abdominal wall at the midline incision site (Figure 2).</w:t>
      </w:r>
    </w:p>
    <w:p w14:paraId="421A19EF" w14:textId="7F760668" w:rsidR="006673CE" w:rsidRPr="001C7A78" w:rsidRDefault="006673CE" w:rsidP="006673CE">
      <w:r w:rsidRPr="001C7A78">
        <w:rPr>
          <w:noProof/>
        </w:rPr>
        <mc:AlternateContent>
          <mc:Choice Requires="wps">
            <w:drawing>
              <wp:anchor distT="0" distB="0" distL="114300" distR="114300" simplePos="0" relativeHeight="251660288" behindDoc="0" locked="0" layoutInCell="1" allowOverlap="1" wp14:anchorId="7D823398" wp14:editId="29FA3954">
                <wp:simplePos x="0" y="0"/>
                <wp:positionH relativeFrom="column">
                  <wp:posOffset>1457325</wp:posOffset>
                </wp:positionH>
                <wp:positionV relativeFrom="paragraph">
                  <wp:posOffset>1019175</wp:posOffset>
                </wp:positionV>
                <wp:extent cx="219075" cy="228600"/>
                <wp:effectExtent l="0" t="19050" r="47625" b="38100"/>
                <wp:wrapNone/>
                <wp:docPr id="1461407450" name="Flèche : droite 12"/>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4C07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6" type="#_x0000_t13" style="position:absolute;margin-left:114.75pt;margin-top:80.2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" adj="10800" fillcolor="#4472c4 [3204]" strokecolor="#09101d [484]" strokeweight="1pt"/>
            </w:pict>
          </mc:Fallback>
        </mc:AlternateContent>
      </w:r>
      <w:r w:rsidRPr="001C7A78">
        <w:rPr>
          <w:noProof/>
        </w:rPr>
        <mc:AlternateContent>
          <mc:Choice Requires="wps">
            <w:drawing>
              <wp:anchor distT="0" distB="0" distL="114300" distR="114300" simplePos="0" relativeHeight="251659264" behindDoc="0" locked="0" layoutInCell="1" allowOverlap="1" wp14:anchorId="07023DCA" wp14:editId="2EFF7034">
                <wp:simplePos x="0" y="0"/>
                <wp:positionH relativeFrom="column">
                  <wp:posOffset>4200525</wp:posOffset>
                </wp:positionH>
                <wp:positionV relativeFrom="paragraph">
                  <wp:posOffset>1057275</wp:posOffset>
                </wp:positionV>
                <wp:extent cx="219075" cy="228600"/>
                <wp:effectExtent l="0" t="19050" r="47625" b="38100"/>
                <wp:wrapNone/>
                <wp:docPr id="2006974752" name="Flèche : droite 11"/>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260DB2" id="Flèche : droite 11" o:spid="_x0000_s1026" type="#_x0000_t13" style="position:absolute;margin-left:330.75pt;margin-top:83.25pt;width:17.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" adj="10800" fillcolor="#4472c4 [3204]" strokecolor="#09101d [484]" strokeweight="1pt"/>
            </w:pict>
          </mc:Fallback>
        </mc:AlternateContent>
      </w:r>
      <w:r w:rsidRPr="001C7A78">
        <w:rPr>
          <w:noProof/>
        </w:rPr>
        <w:drawing>
          <wp:inline distT="0" distB="0" distL="0" distR="0" wp14:anchorId="0810E7D1" wp14:editId="47475D95">
            <wp:extent cx="5486400" cy="2343150"/>
            <wp:effectExtent l="0" t="0" r="0" b="0"/>
            <wp:docPr id="19464470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l="47124" t="69373" r="15344" b="2116"/>
                    <a:stretch>
                      <a:fillRect/>
                    </a:stretch>
                  </pic:blipFill>
                  <pic:spPr bwMode="auto">
                    <a:xfrm>
                      <a:off x="0" y="0"/>
                      <a:ext cx="5486400" cy="2343150"/>
                    </a:xfrm>
                    <a:prstGeom prst="rect">
                      <a:avLst/>
                    </a:prstGeom>
                    <a:noFill/>
                    <a:ln>
                      <a:noFill/>
                    </a:ln>
                  </pic:spPr>
                </pic:pic>
              </a:graphicData>
            </a:graphic>
          </wp:inline>
        </w:drawing>
      </w:r>
    </w:p>
    <w:p w14:paraId="7E61AC67" w14:textId="6930F6C5" w:rsidR="006673CE" w:rsidRPr="001C7A78" w:rsidRDefault="006673CE" w:rsidP="006673CE">
      <w:pPr>
        <w:rPr>
          <w:b/>
          <w:bCs/>
        </w:rPr>
      </w:pPr>
      <w:r w:rsidRPr="001C7A78">
        <w:rPr>
          <w:b/>
          <w:bCs/>
        </w:rPr>
        <w:t xml:space="preserve">                               </w:t>
      </w:r>
      <w:r w:rsidRPr="001C7A78">
        <w:rPr>
          <w:b/>
          <w:bCs/>
          <w:u w:val="single"/>
        </w:rPr>
        <w:t>Figure 1:</w:t>
      </w:r>
      <w:r w:rsidRPr="001C7A78">
        <w:rPr>
          <w:b/>
          <w:bCs/>
        </w:rPr>
        <w:t xml:space="preserve">  Serpiginous hyperdense material adjacent to the left ureter</w:t>
      </w:r>
    </w:p>
    <w:p w14:paraId="041FEFAC" w14:textId="13A78791" w:rsidR="006673CE" w:rsidRPr="001C7A78" w:rsidRDefault="006673CE" w:rsidP="006673CE">
      <w:r w:rsidRPr="001C7A78">
        <w:rPr>
          <w:noProof/>
        </w:rPr>
        <mc:AlternateContent>
          <mc:Choice Requires="wps">
            <w:drawing>
              <wp:anchor distT="0" distB="0" distL="114300" distR="114300" simplePos="0" relativeHeight="251661312" behindDoc="0" locked="0" layoutInCell="1" allowOverlap="1" wp14:anchorId="7C0933B0" wp14:editId="524DF471">
                <wp:simplePos x="0" y="0"/>
                <wp:positionH relativeFrom="column">
                  <wp:posOffset>2028825</wp:posOffset>
                </wp:positionH>
                <wp:positionV relativeFrom="paragraph">
                  <wp:posOffset>414020</wp:posOffset>
                </wp:positionV>
                <wp:extent cx="219075" cy="228600"/>
                <wp:effectExtent l="0" t="19050" r="47625" b="38100"/>
                <wp:wrapNone/>
                <wp:docPr id="1704916285" name="Flèche : droite 10"/>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9BA36" id="Flèche : droite 10" o:spid="_x0000_s1026" type="#_x0000_t13" style="position:absolute;margin-left:159.75pt;margin-top:32.6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" adj="10800" fillcolor="#4472c4 [3204]" strokecolor="#09101d [484]" strokeweight="1pt"/>
            </w:pict>
          </mc:Fallback>
        </mc:AlternateContent>
      </w:r>
      <w:r w:rsidRPr="001C7A78">
        <w:t xml:space="preserve">                                    </w:t>
      </w:r>
      <w:r w:rsidRPr="001C7A78">
        <w:rPr>
          <w:b/>
          <w:bCs/>
          <w:noProof/>
        </w:rPr>
        <w:drawing>
          <wp:inline distT="0" distB="0" distL="0" distR="0" wp14:anchorId="0B9A0097" wp14:editId="1DCA6C17">
            <wp:extent cx="2933700" cy="2390775"/>
            <wp:effectExtent l="0" t="0" r="0" b="9525"/>
            <wp:docPr id="1929752079" name="Image 8" descr="Une image contenant cercle, capture d’écran, Imager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ercle, capture d’écran, Imagerie médical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inline>
        </w:drawing>
      </w:r>
    </w:p>
    <w:p w14:paraId="583A3D86" w14:textId="77777777" w:rsidR="006673CE" w:rsidRPr="001C7A78" w:rsidRDefault="006673CE" w:rsidP="006673CE">
      <w:r w:rsidRPr="001C7A78">
        <w:rPr>
          <w:b/>
          <w:bCs/>
          <w:u w:val="single"/>
        </w:rPr>
        <w:t xml:space="preserve">Figure </w:t>
      </w:r>
      <w:proofErr w:type="gramStart"/>
      <w:r w:rsidRPr="001C7A78">
        <w:rPr>
          <w:b/>
          <w:bCs/>
          <w:u w:val="single"/>
        </w:rPr>
        <w:t>2 :</w:t>
      </w:r>
      <w:proofErr w:type="gramEnd"/>
      <w:r w:rsidRPr="001C7A78">
        <w:rPr>
          <w:b/>
          <w:bCs/>
        </w:rPr>
        <w:t xml:space="preserve"> Hyperdense material in the abdominal wall at the site of the previous midline incision</w:t>
      </w:r>
      <w:r w:rsidRPr="001C7A78">
        <w:br/>
      </w:r>
      <w:r w:rsidRPr="001C7A78">
        <w:br/>
        <w:t>The patient received multiple lines of chemotherapy for liver metastasis (XELOX + bevacizumab, then XELIRI + bevacizumab).</w:t>
      </w:r>
    </w:p>
    <w:p w14:paraId="4D5725AE" w14:textId="77777777" w:rsidR="006673CE" w:rsidRPr="001C7A78" w:rsidRDefault="006673CE" w:rsidP="006673CE">
      <w:r w:rsidRPr="001C7A78">
        <w:t xml:space="preserve">The patient's case was discussed in a multidisciplinary case conference, and the decision was made to perform an exploratory laparotomy to investigate the </w:t>
      </w:r>
      <w:proofErr w:type="spellStart"/>
      <w:r w:rsidRPr="001C7A78">
        <w:t>etiology</w:t>
      </w:r>
      <w:proofErr w:type="spellEnd"/>
      <w:r w:rsidRPr="001C7A78">
        <w:t xml:space="preserve"> of the left </w:t>
      </w:r>
      <w:proofErr w:type="spellStart"/>
      <w:r w:rsidRPr="001C7A78">
        <w:t>ureterohydronephrosis</w:t>
      </w:r>
      <w:proofErr w:type="spellEnd"/>
      <w:r w:rsidRPr="001C7A78">
        <w:t>, which could be related to peritoneal carcinomatosis, to simultaneously restore colonic continuity, and to perform hepatic metastasis surgery at a later stage.</w:t>
      </w:r>
      <w:r w:rsidRPr="001C7A78">
        <w:br/>
      </w:r>
      <w:r w:rsidRPr="001C7A78">
        <w:br/>
        <w:t>Currently, the exploratory laparotomy and colonic continuity restoration was performed via a midline incision. Intraoperative findings included:</w:t>
      </w:r>
      <w:r w:rsidRPr="001C7A78">
        <w:br/>
      </w:r>
      <w:r w:rsidRPr="001C7A78">
        <w:lastRenderedPageBreak/>
        <w:t>- Two hepatic nodules (segments IV and VIII),</w:t>
      </w:r>
      <w:r w:rsidRPr="001C7A78">
        <w:br/>
        <w:t xml:space="preserve">- Parietal heterotopic ossification at the site of the previous incision (resected and sent for </w:t>
      </w:r>
      <w:proofErr w:type="spellStart"/>
      <w:r w:rsidRPr="001C7A78">
        <w:t>anatomo</w:t>
      </w:r>
      <w:proofErr w:type="spellEnd"/>
      <w:r w:rsidRPr="001C7A78">
        <w:t>-pathology examination) (Figure 3),</w:t>
      </w:r>
      <w:r w:rsidRPr="001C7A78">
        <w:br/>
        <w:t>- Extensive periureteral ossification, rendering dissection hazardous.</w:t>
      </w:r>
      <w:r w:rsidRPr="001C7A78">
        <w:br/>
      </w:r>
      <w:r w:rsidRPr="001C7A78">
        <w:br/>
        <w:t xml:space="preserve">The procedure included colonic continuity restoration and creation of a protective ileostomy. </w:t>
      </w:r>
    </w:p>
    <w:p w14:paraId="234D628C" w14:textId="3E7F8023" w:rsidR="006673CE" w:rsidRPr="001C7A78" w:rsidRDefault="006673CE" w:rsidP="006673CE">
      <w:pPr>
        <w:rPr>
          <w:b/>
          <w:bCs/>
        </w:rPr>
      </w:pPr>
      <w:r w:rsidRPr="001C7A78">
        <w:rPr>
          <w:noProof/>
        </w:rPr>
        <w:drawing>
          <wp:inline distT="0" distB="0" distL="0" distR="0" wp14:anchorId="2E155528" wp14:editId="410DBE39">
            <wp:extent cx="3086100" cy="4124325"/>
            <wp:effectExtent l="0" t="0" r="0" b="9525"/>
            <wp:docPr id="1867959486" name="Image 7" descr="Une image contenant bleu, outi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bleu, outil, eau&#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4124325"/>
                    </a:xfrm>
                    <a:prstGeom prst="rect">
                      <a:avLst/>
                    </a:prstGeom>
                    <a:noFill/>
                    <a:ln>
                      <a:noFill/>
                    </a:ln>
                  </pic:spPr>
                </pic:pic>
              </a:graphicData>
            </a:graphic>
          </wp:inline>
        </w:drawing>
      </w:r>
    </w:p>
    <w:p w14:paraId="6ACA62A2" w14:textId="77777777" w:rsidR="006673CE" w:rsidRPr="001C7A78" w:rsidRDefault="006673CE" w:rsidP="006673CE">
      <w:pPr>
        <w:rPr>
          <w:b/>
          <w:bCs/>
        </w:rPr>
      </w:pPr>
      <w:r w:rsidRPr="001C7A78">
        <w:rPr>
          <w:b/>
          <w:bCs/>
          <w:u w:val="single"/>
        </w:rPr>
        <w:t xml:space="preserve">Figure </w:t>
      </w:r>
      <w:proofErr w:type="gramStart"/>
      <w:r w:rsidRPr="001C7A78">
        <w:rPr>
          <w:b/>
          <w:bCs/>
          <w:u w:val="single"/>
        </w:rPr>
        <w:t>3 :</w:t>
      </w:r>
      <w:proofErr w:type="gramEnd"/>
      <w:r w:rsidRPr="001C7A78">
        <w:rPr>
          <w:b/>
          <w:bCs/>
        </w:rPr>
        <w:t xml:space="preserve"> Heterotopic ossification focus in the abdominal wall at the site of the previous midline incision</w:t>
      </w:r>
    </w:p>
    <w:p w14:paraId="7136CF85" w14:textId="77777777" w:rsidR="006673CE" w:rsidRPr="001C7A78" w:rsidRDefault="006673CE" w:rsidP="006673CE">
      <w:pPr>
        <w:rPr>
          <w:b/>
          <w:bCs/>
        </w:rPr>
      </w:pPr>
    </w:p>
    <w:p w14:paraId="5EC40618" w14:textId="77777777" w:rsidR="006673CE" w:rsidRPr="001C7A78" w:rsidRDefault="006673CE" w:rsidP="006673CE">
      <w:pPr>
        <w:rPr>
          <w:b/>
          <w:bCs/>
        </w:rPr>
      </w:pPr>
      <w:r w:rsidRPr="001C7A78">
        <w:rPr>
          <w:b/>
          <w:bCs/>
        </w:rPr>
        <w:t>Discussion</w:t>
      </w:r>
    </w:p>
    <w:p w14:paraId="29169F96" w14:textId="77777777" w:rsidR="006673CE" w:rsidRPr="001C7A78" w:rsidRDefault="006673CE" w:rsidP="006673CE">
      <w:pPr>
        <w:rPr>
          <w:b/>
          <w:bCs/>
        </w:rPr>
      </w:pPr>
      <w:r w:rsidRPr="001C7A78">
        <w:rPr>
          <w:b/>
          <w:bCs/>
        </w:rPr>
        <w:t xml:space="preserve">Abdominal heterotopic ossification (AHO) represents an uncommon but increasingly recognized postoperative complication characterized by the formation of mature lamellar bone in soft tissues where bone normally does not exist. While heterotopic ossification is well described in </w:t>
      </w:r>
      <w:proofErr w:type="spellStart"/>
      <w:r w:rsidRPr="001C7A78">
        <w:rPr>
          <w:b/>
          <w:bCs/>
        </w:rPr>
        <w:t>orthopedic</w:t>
      </w:r>
      <w:proofErr w:type="spellEnd"/>
      <w:r w:rsidRPr="001C7A78">
        <w:rPr>
          <w:b/>
          <w:bCs/>
        </w:rPr>
        <w:t xml:space="preserve"> and neurologic settings, its occurrence in the abdominal cavity remains rare. Most reported cases involve the abdominal wall and mesentery (1,2), with occasional descriptions following complex abdominal surgery (3). Periureteral involvement is exceedingly uncommon.</w:t>
      </w:r>
    </w:p>
    <w:p w14:paraId="63F4F816" w14:textId="77777777" w:rsidR="006673CE" w:rsidRPr="001C7A78" w:rsidRDefault="006673CE" w:rsidP="006673CE">
      <w:pPr>
        <w:rPr>
          <w:b/>
          <w:bCs/>
        </w:rPr>
      </w:pPr>
      <w:r w:rsidRPr="001C7A78">
        <w:rPr>
          <w:b/>
          <w:bCs/>
        </w:rPr>
        <w:t>The true incidence of AHO is difficult to establish, as many cases remain asymptomatic and are discovered incidentally during reoperation or imaging performed for unrelated reasons. The majority of reported cases occur after major gastrointestinal surgery, particularly procedures complicated by infection, peritonitis, or repeated reinterventions (1,3). In this context, our case fits the typical clinical pattern: multiple laparotomies, severe intra-abdominal inflammation, and prolonged tissue injury.</w:t>
      </w:r>
    </w:p>
    <w:p w14:paraId="47DE3F7B" w14:textId="36096074" w:rsidR="006673CE" w:rsidRPr="001C7A78" w:rsidRDefault="006673CE" w:rsidP="006673CE">
      <w:pPr>
        <w:rPr>
          <w:b/>
          <w:bCs/>
        </w:rPr>
      </w:pPr>
      <w:r w:rsidRPr="001C7A78">
        <w:rPr>
          <w:b/>
          <w:bCs/>
        </w:rPr>
        <w:lastRenderedPageBreak/>
        <w:t>Pathophysiological Considerations</w:t>
      </w:r>
      <w:r w:rsidR="001C7A78" w:rsidRPr="001C7A78">
        <w:rPr>
          <w:b/>
          <w:bCs/>
        </w:rPr>
        <w:t>:</w:t>
      </w:r>
    </w:p>
    <w:p w14:paraId="34362335" w14:textId="77777777" w:rsidR="006673CE" w:rsidRPr="001C7A78" w:rsidRDefault="006673CE" w:rsidP="006673CE">
      <w:pPr>
        <w:rPr>
          <w:b/>
          <w:bCs/>
        </w:rPr>
      </w:pPr>
      <w:r w:rsidRPr="001C7A78">
        <w:rPr>
          <w:b/>
          <w:bCs/>
        </w:rPr>
        <w:t>The pathogenesis of AHO reflects an aberrant wound-healing response. Three elements are generally required for heterotopic bone formation:</w:t>
      </w:r>
    </w:p>
    <w:p w14:paraId="1BF173B6" w14:textId="77777777" w:rsidR="006673CE" w:rsidRPr="001C7A78" w:rsidRDefault="006673CE" w:rsidP="006673CE">
      <w:pPr>
        <w:numPr>
          <w:ilvl w:val="0"/>
          <w:numId w:val="2"/>
        </w:numPr>
        <w:rPr>
          <w:b/>
          <w:bCs/>
        </w:rPr>
      </w:pPr>
      <w:r w:rsidRPr="001C7A78">
        <w:rPr>
          <w:b/>
          <w:bCs/>
        </w:rPr>
        <w:t>Presence of osteogenic precursor cells</w:t>
      </w:r>
    </w:p>
    <w:p w14:paraId="18F0BD39" w14:textId="77777777" w:rsidR="006673CE" w:rsidRPr="001C7A78" w:rsidRDefault="006673CE" w:rsidP="006673CE">
      <w:pPr>
        <w:numPr>
          <w:ilvl w:val="0"/>
          <w:numId w:val="2"/>
        </w:numPr>
        <w:rPr>
          <w:b/>
          <w:bCs/>
        </w:rPr>
      </w:pPr>
      <w:r w:rsidRPr="001C7A78">
        <w:rPr>
          <w:b/>
          <w:bCs/>
        </w:rPr>
        <w:t>Inductive inflammatory stimuli</w:t>
      </w:r>
    </w:p>
    <w:p w14:paraId="6697FEB5" w14:textId="77777777" w:rsidR="006673CE" w:rsidRPr="001C7A78" w:rsidRDefault="006673CE" w:rsidP="006673CE">
      <w:pPr>
        <w:numPr>
          <w:ilvl w:val="0"/>
          <w:numId w:val="2"/>
        </w:numPr>
        <w:rPr>
          <w:b/>
          <w:bCs/>
        </w:rPr>
      </w:pPr>
      <w:r w:rsidRPr="001C7A78">
        <w:rPr>
          <w:b/>
          <w:bCs/>
        </w:rPr>
        <w:t>A permissive microenvironment</w:t>
      </w:r>
    </w:p>
    <w:p w14:paraId="70135F23" w14:textId="77777777" w:rsidR="006673CE" w:rsidRPr="001C7A78" w:rsidRDefault="006673CE" w:rsidP="006673CE">
      <w:pPr>
        <w:rPr>
          <w:b/>
          <w:bCs/>
        </w:rPr>
      </w:pPr>
      <w:r w:rsidRPr="001C7A78">
        <w:rPr>
          <w:b/>
          <w:bCs/>
        </w:rPr>
        <w:t>Mesenchymal stem cells residing in muscle, fascia, or connective tissue may undergo osteogenic differentiation under inflammatory conditions. Bone morphogenetic proteins (BMPs), especially BMP2, BMP4, and BMP9, play a central role in this differentiation cascade via SMAD-dependent transcription pathways (5,6). These proteins are frequently upregulated in injured tissues.</w:t>
      </w:r>
    </w:p>
    <w:p w14:paraId="3235A572" w14:textId="77777777" w:rsidR="006673CE" w:rsidRPr="001C7A78" w:rsidRDefault="006673CE" w:rsidP="006673CE">
      <w:pPr>
        <w:rPr>
          <w:b/>
          <w:bCs/>
        </w:rPr>
      </w:pPr>
      <w:r w:rsidRPr="001C7A78">
        <w:rPr>
          <w:b/>
          <w:bCs/>
        </w:rPr>
        <w:t xml:space="preserve">Pro-inflammatory cytokines such as TNF-α and IL-1β amplify cellular recruitment and enhance osteogenic </w:t>
      </w:r>
      <w:proofErr w:type="spellStart"/>
      <w:r w:rsidRPr="001C7A78">
        <w:rPr>
          <w:b/>
          <w:bCs/>
        </w:rPr>
        <w:t>signaling</w:t>
      </w:r>
      <w:proofErr w:type="spellEnd"/>
      <w:r w:rsidRPr="001C7A78">
        <w:rPr>
          <w:b/>
          <w:bCs/>
        </w:rPr>
        <w:t xml:space="preserve"> (6,8). Hypoxia, common in inflamed or ischemic tissues, further potentiates this process through activation of hypoxia-inducible factors, which interact with BMP and mTOR pathways (7). The </w:t>
      </w:r>
      <w:proofErr w:type="spellStart"/>
      <w:r w:rsidRPr="001C7A78">
        <w:rPr>
          <w:b/>
          <w:bCs/>
        </w:rPr>
        <w:t>Wnt</w:t>
      </w:r>
      <w:proofErr w:type="spellEnd"/>
      <w:r w:rsidRPr="001C7A78">
        <w:rPr>
          <w:b/>
          <w:bCs/>
        </w:rPr>
        <w:t>/β-catenin pathway, essential in skeletal development, is also frequently activated in ectopic ossification (5,6).</w:t>
      </w:r>
    </w:p>
    <w:p w14:paraId="4F18D743" w14:textId="77777777" w:rsidR="006673CE" w:rsidRPr="001C7A78" w:rsidRDefault="006673CE" w:rsidP="006673CE">
      <w:pPr>
        <w:rPr>
          <w:b/>
          <w:bCs/>
        </w:rPr>
      </w:pPr>
      <w:r w:rsidRPr="001C7A78">
        <w:rPr>
          <w:b/>
          <w:bCs/>
        </w:rPr>
        <w:t>Recent immunological studies have emphasized the contribution of IL-17–producing T cells and macrophage modulation in initiating osteogenic cascades (8). These findings reinforce the concept that heterotopic ossification represents a dysregulated inflammatory–repair response rather than a purely mechanical phenomenon.</w:t>
      </w:r>
    </w:p>
    <w:p w14:paraId="0706FECF" w14:textId="0B44BB11" w:rsidR="006673CE" w:rsidRPr="001C7A78" w:rsidRDefault="006673CE" w:rsidP="006673CE">
      <w:pPr>
        <w:rPr>
          <w:b/>
          <w:bCs/>
        </w:rPr>
      </w:pPr>
      <w:r w:rsidRPr="001C7A78">
        <w:rPr>
          <w:b/>
          <w:bCs/>
        </w:rPr>
        <w:t xml:space="preserve">In our patient, several strong predisposing factors were present: repeated surgical trauma, anastomotic leak with peritonitis, prolonged inflammatory state, </w:t>
      </w:r>
      <w:r w:rsidR="001C7A78">
        <w:rPr>
          <w:b/>
          <w:bCs/>
        </w:rPr>
        <w:t xml:space="preserve">and </w:t>
      </w:r>
      <w:r w:rsidRPr="001C7A78">
        <w:rPr>
          <w:b/>
          <w:bCs/>
        </w:rPr>
        <w:t>local tissue ischemia. Together, these factors likely created a highly permissive microenvironment for ectopic osteogenesis.</w:t>
      </w:r>
    </w:p>
    <w:p w14:paraId="3269FA08" w14:textId="77777777" w:rsidR="006673CE" w:rsidRPr="001C7A78" w:rsidRDefault="006673CE" w:rsidP="006673CE">
      <w:pPr>
        <w:rPr>
          <w:b/>
          <w:bCs/>
        </w:rPr>
      </w:pPr>
      <w:r w:rsidRPr="001C7A78">
        <w:rPr>
          <w:b/>
          <w:bCs/>
        </w:rPr>
        <w:t>Periureteral Localization and Diagnostic Challenges</w:t>
      </w:r>
    </w:p>
    <w:p w14:paraId="26A9CC8A" w14:textId="77777777" w:rsidR="006673CE" w:rsidRPr="001C7A78" w:rsidRDefault="006673CE" w:rsidP="006673CE">
      <w:pPr>
        <w:rPr>
          <w:b/>
          <w:bCs/>
        </w:rPr>
      </w:pPr>
      <w:r w:rsidRPr="001C7A78">
        <w:rPr>
          <w:b/>
          <w:bCs/>
        </w:rPr>
        <w:t>Periureteral ossification is particularly rare. Only isolated case reports describe pelvic or retroperitoneal heterotopic ossification causing ureteral compression (3). Its clinical significance lies in the potential for progressive ureteral obstruction leading to hydronephrosis and renal impairment.</w:t>
      </w:r>
    </w:p>
    <w:p w14:paraId="5B18967C" w14:textId="77777777" w:rsidR="006673CE" w:rsidRPr="001C7A78" w:rsidRDefault="006673CE" w:rsidP="006673CE">
      <w:pPr>
        <w:rPr>
          <w:b/>
          <w:bCs/>
        </w:rPr>
      </w:pPr>
      <w:r w:rsidRPr="001C7A78">
        <w:rPr>
          <w:b/>
          <w:bCs/>
        </w:rPr>
        <w:t>In this case, CT imaging described “serpiginous hyperdense material” adjacent to the left ureter. However, imaging findings were nonspecific. AHO may appear as linear or plaque-like calcifications along surgical scars or adjacent to viscera (2,4). Early lesions may show subtle soft-tissue density changes before maturation into organized lamellar bone.</w:t>
      </w:r>
    </w:p>
    <w:p w14:paraId="5951F068" w14:textId="77777777" w:rsidR="006673CE" w:rsidRPr="001C7A78" w:rsidRDefault="006673CE" w:rsidP="006673CE">
      <w:pPr>
        <w:rPr>
          <w:b/>
          <w:bCs/>
        </w:rPr>
      </w:pPr>
      <w:r w:rsidRPr="001C7A78">
        <w:rPr>
          <w:b/>
          <w:bCs/>
        </w:rPr>
        <w:t>Differential diagnoses include dystrophic calcification, suture granuloma, foreign-body reaction, tumoral calcification, and peritoneal metastases. As highlighted in a Moroccan series (4), conventional imaging techniques often fail to clearly identify heterotopic ossification preoperatively. Although bone scintigraphy may detect metabolically active lesions earlier, it remains infrequently used in abdominal cases.</w:t>
      </w:r>
    </w:p>
    <w:p w14:paraId="3780AC0F" w14:textId="77777777" w:rsidR="006673CE" w:rsidRPr="001C7A78" w:rsidRDefault="006673CE" w:rsidP="006673CE">
      <w:pPr>
        <w:rPr>
          <w:b/>
          <w:bCs/>
        </w:rPr>
      </w:pPr>
      <w:r w:rsidRPr="001C7A78">
        <w:rPr>
          <w:b/>
          <w:bCs/>
        </w:rPr>
        <w:t>Surgical Implications</w:t>
      </w:r>
    </w:p>
    <w:p w14:paraId="5E5592F7" w14:textId="77777777" w:rsidR="006673CE" w:rsidRPr="001C7A78" w:rsidRDefault="006673CE" w:rsidP="006673CE">
      <w:pPr>
        <w:rPr>
          <w:b/>
          <w:bCs/>
        </w:rPr>
      </w:pPr>
      <w:r w:rsidRPr="001C7A78">
        <w:rPr>
          <w:b/>
          <w:bCs/>
        </w:rPr>
        <w:t xml:space="preserve">From a surgical perspective, heterotopic ossification may significantly increase operative complexity. Abdominal wall involvement can complicate re-entry through previous incisions, as </w:t>
      </w:r>
      <w:r w:rsidRPr="001C7A78">
        <w:rPr>
          <w:b/>
          <w:bCs/>
        </w:rPr>
        <w:lastRenderedPageBreak/>
        <w:t>ossified plaques are frequently embedded in dense fibrotic scar tissue (2). Mesenteric ossification may present as rigid masses mimicking neoplasia (1,10).</w:t>
      </w:r>
    </w:p>
    <w:p w14:paraId="13F3ED91" w14:textId="77777777" w:rsidR="006673CE" w:rsidRPr="001C7A78" w:rsidRDefault="006673CE" w:rsidP="006673CE">
      <w:pPr>
        <w:rPr>
          <w:b/>
          <w:bCs/>
        </w:rPr>
      </w:pPr>
      <w:r w:rsidRPr="001C7A78">
        <w:rPr>
          <w:b/>
          <w:bCs/>
        </w:rPr>
        <w:t>In our patient, parietal ossification was successfully excised and confirmed histologically. However, periureteral ossification posed a substantial risk. Dissection in this region carried potential danger of ureteral injury and vascular compromise. Given the oncologic context and primary objective of restoring intestinal continuity, aggressive resection of the periureteral lesion was deemed unsafe.</w:t>
      </w:r>
    </w:p>
    <w:p w14:paraId="0FED935E" w14:textId="77777777" w:rsidR="006673CE" w:rsidRPr="001C7A78" w:rsidRDefault="006673CE" w:rsidP="006673CE">
      <w:pPr>
        <w:rPr>
          <w:b/>
          <w:bCs/>
        </w:rPr>
      </w:pPr>
      <w:r w:rsidRPr="001C7A78">
        <w:rPr>
          <w:b/>
          <w:bCs/>
        </w:rPr>
        <w:t>Literature suggests that complete excision is indicated when heterotopic ossification causes significant functional impairment (4). However, conservative management may be appropriate when resection carries excessive morbidity risk.</w:t>
      </w:r>
    </w:p>
    <w:p w14:paraId="283B3FC3" w14:textId="77777777" w:rsidR="006673CE" w:rsidRPr="001C7A78" w:rsidRDefault="006673CE" w:rsidP="006673CE">
      <w:pPr>
        <w:rPr>
          <w:b/>
          <w:bCs/>
        </w:rPr>
      </w:pPr>
      <w:r w:rsidRPr="001C7A78">
        <w:rPr>
          <w:b/>
          <w:bCs/>
        </w:rPr>
        <w:t>Oncologic Microenvironment and Ectopic Ossification</w:t>
      </w:r>
    </w:p>
    <w:p w14:paraId="0409E1AD" w14:textId="77777777" w:rsidR="006673CE" w:rsidRPr="001C7A78" w:rsidRDefault="006673CE" w:rsidP="006673CE">
      <w:pPr>
        <w:rPr>
          <w:b/>
          <w:bCs/>
        </w:rPr>
      </w:pPr>
      <w:r w:rsidRPr="001C7A78">
        <w:rPr>
          <w:b/>
          <w:bCs/>
        </w:rPr>
        <w:t xml:space="preserve">The coexistence of metastatic colorectal cancer raises the question of a possible interaction between neoplasia and ectopic bone formation. Although evidence remains limited, </w:t>
      </w:r>
      <w:proofErr w:type="spellStart"/>
      <w:r w:rsidRPr="001C7A78">
        <w:rPr>
          <w:b/>
          <w:bCs/>
        </w:rPr>
        <w:t>tumor</w:t>
      </w:r>
      <w:proofErr w:type="spellEnd"/>
      <w:r w:rsidRPr="001C7A78">
        <w:rPr>
          <w:b/>
          <w:bCs/>
        </w:rPr>
        <w:t xml:space="preserve"> microenvironment </w:t>
      </w:r>
      <w:proofErr w:type="spellStart"/>
      <w:r w:rsidRPr="001C7A78">
        <w:rPr>
          <w:b/>
          <w:bCs/>
        </w:rPr>
        <w:t>signaling</w:t>
      </w:r>
      <w:proofErr w:type="spellEnd"/>
      <w:r w:rsidRPr="001C7A78">
        <w:rPr>
          <w:b/>
          <w:bCs/>
        </w:rPr>
        <w:t xml:space="preserve"> pathways overlap significantly with osteogenic pathways.</w:t>
      </w:r>
    </w:p>
    <w:p w14:paraId="0A23686B" w14:textId="77777777" w:rsidR="006673CE" w:rsidRPr="001C7A78" w:rsidRDefault="006673CE" w:rsidP="006673CE">
      <w:pPr>
        <w:rPr>
          <w:b/>
          <w:bCs/>
        </w:rPr>
      </w:pPr>
      <w:r w:rsidRPr="001C7A78">
        <w:rPr>
          <w:b/>
          <w:bCs/>
        </w:rPr>
        <w:t xml:space="preserve">Colorectal cancer has been shown to activate BMP/SMAD and </w:t>
      </w:r>
      <w:proofErr w:type="spellStart"/>
      <w:r w:rsidRPr="001C7A78">
        <w:rPr>
          <w:b/>
          <w:bCs/>
        </w:rPr>
        <w:t>Wnt</w:t>
      </w:r>
      <w:proofErr w:type="spellEnd"/>
      <w:r w:rsidRPr="001C7A78">
        <w:rPr>
          <w:b/>
          <w:bCs/>
        </w:rPr>
        <w:t xml:space="preserve">/β-catenin pathways within </w:t>
      </w:r>
      <w:proofErr w:type="spellStart"/>
      <w:r w:rsidRPr="001C7A78">
        <w:rPr>
          <w:b/>
          <w:bCs/>
        </w:rPr>
        <w:t>tumor</w:t>
      </w:r>
      <w:proofErr w:type="spellEnd"/>
      <w:r w:rsidRPr="001C7A78">
        <w:rPr>
          <w:b/>
          <w:bCs/>
        </w:rPr>
        <w:t xml:space="preserve"> stroma (11). Takahashi et al. demonstrated ectopic bone formation within colorectal </w:t>
      </w:r>
      <w:proofErr w:type="spellStart"/>
      <w:r w:rsidRPr="001C7A78">
        <w:rPr>
          <w:b/>
          <w:bCs/>
        </w:rPr>
        <w:t>tumors</w:t>
      </w:r>
      <w:proofErr w:type="spellEnd"/>
      <w:r w:rsidRPr="001C7A78">
        <w:rPr>
          <w:b/>
          <w:bCs/>
        </w:rPr>
        <w:t xml:space="preserve"> associated with epithelial–mesenchymal transition and BMP </w:t>
      </w:r>
      <w:proofErr w:type="spellStart"/>
      <w:r w:rsidRPr="001C7A78">
        <w:rPr>
          <w:b/>
          <w:bCs/>
        </w:rPr>
        <w:t>signaling</w:t>
      </w:r>
      <w:proofErr w:type="spellEnd"/>
      <w:r w:rsidRPr="001C7A78">
        <w:rPr>
          <w:b/>
          <w:bCs/>
        </w:rPr>
        <w:t xml:space="preserve"> activation (11). This overlap suggests that </w:t>
      </w:r>
      <w:proofErr w:type="spellStart"/>
      <w:r w:rsidRPr="001C7A78">
        <w:rPr>
          <w:b/>
          <w:bCs/>
        </w:rPr>
        <w:t>tumor</w:t>
      </w:r>
      <w:proofErr w:type="spellEnd"/>
      <w:r w:rsidRPr="001C7A78">
        <w:rPr>
          <w:b/>
          <w:bCs/>
        </w:rPr>
        <w:t>-derived cytokines and growth factors may enhance osteogenic differentiation in susceptible tissues.</w:t>
      </w:r>
    </w:p>
    <w:p w14:paraId="0B6977B0" w14:textId="77777777" w:rsidR="006673CE" w:rsidRPr="001C7A78" w:rsidRDefault="006673CE" w:rsidP="006673CE">
      <w:pPr>
        <w:rPr>
          <w:b/>
          <w:bCs/>
        </w:rPr>
      </w:pPr>
      <w:r w:rsidRPr="001C7A78">
        <w:rPr>
          <w:b/>
          <w:bCs/>
        </w:rPr>
        <w:t xml:space="preserve">Additionally, systemic chemotherapy and anti-angiogenic therapy (e.g., bevacizumab) may alter wound healing and tissue </w:t>
      </w:r>
      <w:proofErr w:type="spellStart"/>
      <w:r w:rsidRPr="001C7A78">
        <w:rPr>
          <w:b/>
          <w:bCs/>
        </w:rPr>
        <w:t>remodeling</w:t>
      </w:r>
      <w:proofErr w:type="spellEnd"/>
      <w:r w:rsidRPr="001C7A78">
        <w:rPr>
          <w:b/>
          <w:bCs/>
        </w:rPr>
        <w:t xml:space="preserve">, potentially influencing ossification dynamics. While causality cannot be established, the oncologic background may have contributed to persistent pro-osteogenic </w:t>
      </w:r>
      <w:proofErr w:type="spellStart"/>
      <w:r w:rsidRPr="001C7A78">
        <w:rPr>
          <w:b/>
          <w:bCs/>
        </w:rPr>
        <w:t>signaling</w:t>
      </w:r>
      <w:proofErr w:type="spellEnd"/>
      <w:r w:rsidRPr="001C7A78">
        <w:rPr>
          <w:b/>
          <w:bCs/>
        </w:rPr>
        <w:t xml:space="preserve"> in this patient.</w:t>
      </w:r>
    </w:p>
    <w:p w14:paraId="682151DC" w14:textId="77777777" w:rsidR="006673CE" w:rsidRPr="001C7A78" w:rsidRDefault="006673CE" w:rsidP="006673CE">
      <w:pPr>
        <w:rPr>
          <w:b/>
          <w:bCs/>
        </w:rPr>
      </w:pPr>
      <w:r w:rsidRPr="001C7A78">
        <w:rPr>
          <w:b/>
          <w:bCs/>
        </w:rPr>
        <w:t>Prevention and Medical Management</w:t>
      </w:r>
    </w:p>
    <w:p w14:paraId="614E443B" w14:textId="77777777" w:rsidR="006673CE" w:rsidRPr="001C7A78" w:rsidRDefault="006673CE" w:rsidP="006673CE">
      <w:pPr>
        <w:rPr>
          <w:b/>
          <w:bCs/>
        </w:rPr>
      </w:pPr>
      <w:r w:rsidRPr="001C7A78">
        <w:rPr>
          <w:b/>
          <w:bCs/>
        </w:rPr>
        <w:t xml:space="preserve">In </w:t>
      </w:r>
      <w:proofErr w:type="spellStart"/>
      <w:r w:rsidRPr="001C7A78">
        <w:rPr>
          <w:b/>
          <w:bCs/>
        </w:rPr>
        <w:t>orthopedic</w:t>
      </w:r>
      <w:proofErr w:type="spellEnd"/>
      <w:r w:rsidRPr="001C7A78">
        <w:rPr>
          <w:b/>
          <w:bCs/>
        </w:rPr>
        <w:t xml:space="preserve"> surgery, NSAIDs such as indomethacin and localized radiotherapy are used as prophylaxis against heterotopic ossification. Pharmacologic inhibition of BMP </w:t>
      </w:r>
      <w:proofErr w:type="spellStart"/>
      <w:r w:rsidRPr="001C7A78">
        <w:rPr>
          <w:b/>
          <w:bCs/>
        </w:rPr>
        <w:t>signaling</w:t>
      </w:r>
      <w:proofErr w:type="spellEnd"/>
      <w:r w:rsidRPr="001C7A78">
        <w:rPr>
          <w:b/>
          <w:bCs/>
        </w:rPr>
        <w:t xml:space="preserve"> has also demonstrated experimental efficacy (9). However, no standardized prophylactic strategy exists for abdominal heterotopic ossification.</w:t>
      </w:r>
    </w:p>
    <w:p w14:paraId="129C6713" w14:textId="77777777" w:rsidR="006673CE" w:rsidRPr="001C7A78" w:rsidRDefault="006673CE" w:rsidP="006673CE">
      <w:pPr>
        <w:rPr>
          <w:b/>
          <w:bCs/>
        </w:rPr>
      </w:pPr>
      <w:r w:rsidRPr="001C7A78">
        <w:rPr>
          <w:b/>
          <w:bCs/>
        </w:rPr>
        <w:t>Given the rarity of AHO and lack of prospective data, medical prevention remains empirical. Moreover, in oncologic patients receiving chemotherapy, the risks of NSAID use must be carefully evaluated.</w:t>
      </w:r>
    </w:p>
    <w:p w14:paraId="152AFD00" w14:textId="77777777" w:rsidR="006673CE" w:rsidRPr="001C7A78" w:rsidRDefault="006673CE" w:rsidP="006673CE">
      <w:pPr>
        <w:rPr>
          <w:b/>
          <w:bCs/>
        </w:rPr>
      </w:pPr>
      <w:r w:rsidRPr="001C7A78">
        <w:rPr>
          <w:b/>
          <w:bCs/>
        </w:rPr>
        <w:t>Prognosis and Follow-Up</w:t>
      </w:r>
    </w:p>
    <w:p w14:paraId="2D38AC36" w14:textId="77777777" w:rsidR="006673CE" w:rsidRPr="001C7A78" w:rsidRDefault="006673CE" w:rsidP="006673CE">
      <w:pPr>
        <w:rPr>
          <w:b/>
          <w:bCs/>
        </w:rPr>
      </w:pPr>
      <w:r w:rsidRPr="001C7A78">
        <w:rPr>
          <w:b/>
          <w:bCs/>
        </w:rPr>
        <w:t>AHO is generally benign and slow-growing. Recurrence after excision appears uncommon but has been reported (10). Long-term monitoring should focus on renal function, stability of ossified lesions, and absence of progressive obstruction.</w:t>
      </w:r>
    </w:p>
    <w:p w14:paraId="72336AD5" w14:textId="77777777" w:rsidR="006673CE" w:rsidRPr="001C7A78" w:rsidRDefault="006673CE" w:rsidP="006673CE">
      <w:pPr>
        <w:rPr>
          <w:b/>
          <w:bCs/>
        </w:rPr>
      </w:pPr>
      <w:r w:rsidRPr="001C7A78">
        <w:rPr>
          <w:b/>
          <w:bCs/>
        </w:rPr>
        <w:t xml:space="preserve">In this case, multidisciplinary follow-up involving surgery, oncology, and urology is essential, particularly due to the documented </w:t>
      </w:r>
      <w:proofErr w:type="spellStart"/>
      <w:r w:rsidRPr="001C7A78">
        <w:rPr>
          <w:b/>
          <w:bCs/>
        </w:rPr>
        <w:t>ureterohydronephrosis</w:t>
      </w:r>
      <w:proofErr w:type="spellEnd"/>
      <w:r w:rsidRPr="001C7A78">
        <w:rPr>
          <w:b/>
          <w:bCs/>
        </w:rPr>
        <w:t xml:space="preserve"> and metastatic disease.</w:t>
      </w:r>
    </w:p>
    <w:p w14:paraId="572589DC" w14:textId="77777777" w:rsidR="006673CE" w:rsidRPr="001C7A78" w:rsidRDefault="006673CE" w:rsidP="006673CE">
      <w:pPr>
        <w:rPr>
          <w:b/>
          <w:bCs/>
        </w:rPr>
      </w:pPr>
    </w:p>
    <w:p w14:paraId="7DFC8ADF" w14:textId="77777777" w:rsidR="006673CE" w:rsidRPr="001C7A78" w:rsidRDefault="006673CE" w:rsidP="006673CE">
      <w:pPr>
        <w:rPr>
          <w:b/>
          <w:bCs/>
        </w:rPr>
      </w:pPr>
      <w:r w:rsidRPr="001C7A78">
        <w:rPr>
          <w:b/>
          <w:bCs/>
        </w:rPr>
        <w:t>Conclusion</w:t>
      </w:r>
    </w:p>
    <w:p w14:paraId="5C689681" w14:textId="77777777" w:rsidR="006673CE" w:rsidRDefault="006673CE" w:rsidP="006673CE">
      <w:r w:rsidRPr="001C7A78">
        <w:t xml:space="preserve">Although rare, abdominal heterotopic ossification should be considered in patients with a history of multiple abdominal surgeries, especially when unexplained calcifications are seen on imaging. </w:t>
      </w:r>
      <w:r w:rsidRPr="001C7A78">
        <w:lastRenderedPageBreak/>
        <w:t xml:space="preserve">Involvement of critical structures, such as the ureter, can lead to serious complications like </w:t>
      </w:r>
      <w:proofErr w:type="spellStart"/>
      <w:r w:rsidRPr="001C7A78">
        <w:t>ureterohydronephrosis</w:t>
      </w:r>
      <w:proofErr w:type="spellEnd"/>
      <w:r w:rsidRPr="001C7A78">
        <w:t xml:space="preserve"> or renal loss. Early recognition may facilitate surgical planning and reduce morbidity.</w:t>
      </w:r>
    </w:p>
    <w:p w14:paraId="6F5FBC58" w14:textId="77777777" w:rsidR="00743E48" w:rsidRDefault="00743E48" w:rsidP="006673CE"/>
    <w:p w14:paraId="63EAC75D" w14:textId="77777777" w:rsidR="00743E48" w:rsidRDefault="00743E48" w:rsidP="00743E48">
      <w:r>
        <w:t>COMPETING INTERESTS DISCLAIMER:</w:t>
      </w:r>
    </w:p>
    <w:p w14:paraId="39B36C72" w14:textId="40EF26C2" w:rsidR="00743E48" w:rsidRPr="001C7A78" w:rsidRDefault="00743E48" w:rsidP="00743E48">
      <w:r>
        <w:t>Authors have declared that they have no known competing financial interests OR non-financial interests OR personal relationships that could have appeared to influence the work reported in this paper.</w:t>
      </w:r>
    </w:p>
    <w:p w14:paraId="3362B8B1" w14:textId="77777777" w:rsidR="006673CE" w:rsidRPr="001C7A78" w:rsidRDefault="006673CE" w:rsidP="006673CE"/>
    <w:p w14:paraId="6D54325E" w14:textId="77777777" w:rsidR="006673CE" w:rsidRPr="001C7A78" w:rsidRDefault="006673CE" w:rsidP="006673CE">
      <w:pPr>
        <w:rPr>
          <w:b/>
          <w:bCs/>
          <w:u w:val="single"/>
        </w:rPr>
      </w:pPr>
      <w:r w:rsidRPr="001C7A78">
        <w:rPr>
          <w:b/>
          <w:bCs/>
          <w:u w:val="single"/>
        </w:rPr>
        <w:t>References:</w:t>
      </w:r>
    </w:p>
    <w:p w14:paraId="521D38B5" w14:textId="77777777" w:rsidR="006673CE" w:rsidRPr="001C7A78" w:rsidRDefault="006673CE" w:rsidP="006673CE"/>
    <w:p w14:paraId="130156F7" w14:textId="77777777" w:rsidR="00A07C8C" w:rsidRDefault="00A07C8C" w:rsidP="00A07C8C">
      <w:r>
        <w:t xml:space="preserve">1 </w:t>
      </w:r>
      <w:proofErr w:type="spellStart"/>
      <w:r>
        <w:t>Bénard</w:t>
      </w:r>
      <w:proofErr w:type="spellEnd"/>
      <w:r>
        <w:t xml:space="preserve"> P, et al. Heterotopic mesenteric ossification. Gastroenterol Clin Biol. 2004. https://doi.org/10.1016/S0399-8320(04)94875-0</w:t>
      </w:r>
    </w:p>
    <w:p w14:paraId="3571F415" w14:textId="77777777" w:rsidR="00A07C8C" w:rsidRDefault="00A07C8C" w:rsidP="00A07C8C">
      <w:r>
        <w:t>2 El Khoury A, et al. Heterotopic ossification of the abdominal wall. J Chir Visc. 2022. https://doi.org/10.1016/j.jchirv.2022.07.115</w:t>
      </w:r>
    </w:p>
    <w:p w14:paraId="6FADA5DD" w14:textId="77777777" w:rsidR="00A07C8C" w:rsidRDefault="00A07C8C" w:rsidP="00A07C8C">
      <w:r>
        <w:t xml:space="preserve">3 Maïga M, et al. Post-surgical abdominal heterotopic ossification: two case reports. Mali </w:t>
      </w:r>
      <w:proofErr w:type="spellStart"/>
      <w:r>
        <w:t>Médical</w:t>
      </w:r>
      <w:proofErr w:type="spellEnd"/>
      <w:r>
        <w:t>. 2012. https://www.malimedical.org/2012/44b.pdf</w:t>
      </w:r>
    </w:p>
    <w:p w14:paraId="73C10020" w14:textId="77777777" w:rsidR="00A07C8C" w:rsidRDefault="00A07C8C" w:rsidP="00A07C8C">
      <w:r>
        <w:t>4 Toubkal I. Rare postoperative abdominal ossification. Hassan II University Casablanca; 2021. https://toubkal.imist.ma/handle/123456789/28383</w:t>
      </w:r>
    </w:p>
    <w:p w14:paraId="4E2EBABE" w14:textId="77777777" w:rsidR="00A07C8C" w:rsidRDefault="00A07C8C" w:rsidP="00A07C8C">
      <w:r>
        <w:t>5 Kaplan FS, et al. The biology of heterotopic ossification. Bone. 2004;35(2):351–363.</w:t>
      </w:r>
    </w:p>
    <w:p w14:paraId="71BEF33F" w14:textId="77777777" w:rsidR="00A07C8C" w:rsidRDefault="00A07C8C" w:rsidP="00A07C8C">
      <w:r>
        <w:t xml:space="preserve">6 Ranganathan K, et al. Heterotopic ossification: basic science principles and clinical correlates. J Bone Joint </w:t>
      </w:r>
      <w:proofErr w:type="spellStart"/>
      <w:r>
        <w:t>Surg</w:t>
      </w:r>
      <w:proofErr w:type="spellEnd"/>
      <w:r>
        <w:t xml:space="preserve"> Am. 2015;97(13):1101–1111.</w:t>
      </w:r>
    </w:p>
    <w:p w14:paraId="4586AB20" w14:textId="77777777" w:rsidR="00A07C8C" w:rsidRDefault="00A07C8C" w:rsidP="00A07C8C">
      <w:r>
        <w:t xml:space="preserve">7 Wang Y, et al. Hypoxia and BMP </w:t>
      </w:r>
      <w:proofErr w:type="spellStart"/>
      <w:r>
        <w:t>signaling</w:t>
      </w:r>
      <w:proofErr w:type="spellEnd"/>
      <w:r>
        <w:t xml:space="preserve"> interactions in trauma-induced ossification. J Bone Miner Res. 2016;31(9):1652–1665.</w:t>
      </w:r>
    </w:p>
    <w:p w14:paraId="5A5FD28D" w14:textId="77777777" w:rsidR="00A07C8C" w:rsidRDefault="00A07C8C" w:rsidP="00A07C8C">
      <w:r>
        <w:t xml:space="preserve">8 </w:t>
      </w:r>
      <w:proofErr w:type="spellStart"/>
      <w:r>
        <w:t>Convente</w:t>
      </w:r>
      <w:proofErr w:type="spellEnd"/>
      <w:r>
        <w:t xml:space="preserve"> MR, et al. Immune system modulation of BMP-induced heterotopic ossification. J Clin Invest. 2015.</w:t>
      </w:r>
    </w:p>
    <w:p w14:paraId="291D4297" w14:textId="77777777" w:rsidR="00A07C8C" w:rsidRDefault="00A07C8C" w:rsidP="00A07C8C">
      <w:r>
        <w:t xml:space="preserve">9 Yu PB, et al. Pharmacologic inhibition of BMP </w:t>
      </w:r>
      <w:proofErr w:type="spellStart"/>
      <w:r>
        <w:t>signaling</w:t>
      </w:r>
      <w:proofErr w:type="spellEnd"/>
      <w:r>
        <w:t xml:space="preserve"> prevents heterotopic ossification. Nat Med. 2008.</w:t>
      </w:r>
    </w:p>
    <w:p w14:paraId="62906CC0" w14:textId="77777777" w:rsidR="00A07C8C" w:rsidRDefault="00A07C8C" w:rsidP="00A07C8C">
      <w:r>
        <w:t>10 Meyers C, et al. Mesenteric heterotopic ossification: a rare cause of postoperative abdominal mass. Ann Surg. 2013;258(6</w:t>
      </w:r>
      <w:proofErr w:type="gramStart"/>
      <w:r>
        <w:t>):e</w:t>
      </w:r>
      <w:proofErr w:type="gramEnd"/>
      <w:r>
        <w:t>108–e110.</w:t>
      </w:r>
    </w:p>
    <w:p w14:paraId="6C63A44F" w14:textId="59A8F00B" w:rsidR="00485EB9" w:rsidRPr="001C7A78" w:rsidRDefault="00A07C8C" w:rsidP="00A07C8C">
      <w:r>
        <w:t xml:space="preserve">11 Takahashi Y, et al. Ectopic bone formation in colorectal cancer: potential involvement of epithelial–mesenchymal transition and bone morphogenetic protein </w:t>
      </w:r>
      <w:proofErr w:type="spellStart"/>
      <w:r>
        <w:t>signaling</w:t>
      </w:r>
      <w:proofErr w:type="spellEnd"/>
      <w:r>
        <w:t xml:space="preserve">. </w:t>
      </w:r>
      <w:proofErr w:type="spellStart"/>
      <w:r>
        <w:t>Pathol</w:t>
      </w:r>
      <w:proofErr w:type="spellEnd"/>
      <w:r>
        <w:t xml:space="preserve"> Int. 2016;66(7):400–407</w:t>
      </w:r>
    </w:p>
    <w:sectPr w:rsidR="00485EB9" w:rsidRPr="001C7A7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A4498" w14:textId="77777777" w:rsidR="00C067AB" w:rsidRDefault="00C067AB" w:rsidP="003C69C9">
      <w:pPr>
        <w:spacing w:after="0" w:line="240" w:lineRule="auto"/>
      </w:pPr>
      <w:r>
        <w:separator/>
      </w:r>
    </w:p>
  </w:endnote>
  <w:endnote w:type="continuationSeparator" w:id="0">
    <w:p w14:paraId="1FD1A548" w14:textId="77777777" w:rsidR="00C067AB" w:rsidRDefault="00C067AB" w:rsidP="003C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6BE4" w14:textId="77777777" w:rsidR="003C69C9" w:rsidRDefault="003C6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71C6" w14:textId="77777777" w:rsidR="003C69C9" w:rsidRDefault="003C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40AC" w14:textId="77777777" w:rsidR="003C69C9" w:rsidRDefault="003C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88E34" w14:textId="77777777" w:rsidR="00C067AB" w:rsidRDefault="00C067AB" w:rsidP="003C69C9">
      <w:pPr>
        <w:spacing w:after="0" w:line="240" w:lineRule="auto"/>
      </w:pPr>
      <w:r>
        <w:separator/>
      </w:r>
    </w:p>
  </w:footnote>
  <w:footnote w:type="continuationSeparator" w:id="0">
    <w:p w14:paraId="338BCC95" w14:textId="77777777" w:rsidR="00C067AB" w:rsidRDefault="00C067AB" w:rsidP="003C6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63AC" w14:textId="0675959C" w:rsidR="003C69C9" w:rsidRDefault="003C69C9">
    <w:pPr>
      <w:pStyle w:val="Header"/>
    </w:pPr>
    <w:r>
      <w:rPr>
        <w:noProof/>
      </w:rPr>
      <w:pict w14:anchorId="37991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F048" w14:textId="7F35FDFB" w:rsidR="003C69C9" w:rsidRDefault="003C69C9">
    <w:pPr>
      <w:pStyle w:val="Header"/>
    </w:pPr>
    <w:r>
      <w:rPr>
        <w:noProof/>
      </w:rPr>
      <w:pict w14:anchorId="10A75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B630" w14:textId="1E97F626" w:rsidR="003C69C9" w:rsidRDefault="003C69C9">
    <w:pPr>
      <w:pStyle w:val="Header"/>
    </w:pPr>
    <w:r>
      <w:rPr>
        <w:noProof/>
      </w:rPr>
      <w:pict w14:anchorId="47799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78C0"/>
    <w:multiLevelType w:val="hybridMultilevel"/>
    <w:tmpl w:val="6C86CFC6"/>
    <w:lvl w:ilvl="0" w:tplc="380C000F">
      <w:start w:val="1"/>
      <w:numFmt w:val="decimal"/>
      <w:lvlText w:val="%1."/>
      <w:lvlJc w:val="left"/>
      <w:pPr>
        <w:ind w:left="720" w:hanging="360"/>
      </w:pPr>
    </w:lvl>
    <w:lvl w:ilvl="1" w:tplc="380C0019">
      <w:start w:val="1"/>
      <w:numFmt w:val="lowerLetter"/>
      <w:lvlText w:val="%2."/>
      <w:lvlJc w:val="left"/>
      <w:pPr>
        <w:ind w:left="1440" w:hanging="360"/>
      </w:pPr>
    </w:lvl>
    <w:lvl w:ilvl="2" w:tplc="380C001B">
      <w:start w:val="1"/>
      <w:numFmt w:val="lowerRoman"/>
      <w:lvlText w:val="%3."/>
      <w:lvlJc w:val="right"/>
      <w:pPr>
        <w:ind w:left="2160" w:hanging="180"/>
      </w:pPr>
    </w:lvl>
    <w:lvl w:ilvl="3" w:tplc="380C000F">
      <w:start w:val="1"/>
      <w:numFmt w:val="decimal"/>
      <w:lvlText w:val="%4."/>
      <w:lvlJc w:val="left"/>
      <w:pPr>
        <w:ind w:left="2880" w:hanging="360"/>
      </w:pPr>
    </w:lvl>
    <w:lvl w:ilvl="4" w:tplc="380C0019">
      <w:start w:val="1"/>
      <w:numFmt w:val="lowerLetter"/>
      <w:lvlText w:val="%5."/>
      <w:lvlJc w:val="left"/>
      <w:pPr>
        <w:ind w:left="3600" w:hanging="360"/>
      </w:pPr>
    </w:lvl>
    <w:lvl w:ilvl="5" w:tplc="380C001B">
      <w:start w:val="1"/>
      <w:numFmt w:val="lowerRoman"/>
      <w:lvlText w:val="%6."/>
      <w:lvlJc w:val="right"/>
      <w:pPr>
        <w:ind w:left="4320" w:hanging="180"/>
      </w:pPr>
    </w:lvl>
    <w:lvl w:ilvl="6" w:tplc="380C000F">
      <w:start w:val="1"/>
      <w:numFmt w:val="decimal"/>
      <w:lvlText w:val="%7."/>
      <w:lvlJc w:val="left"/>
      <w:pPr>
        <w:ind w:left="5040" w:hanging="360"/>
      </w:pPr>
    </w:lvl>
    <w:lvl w:ilvl="7" w:tplc="380C0019">
      <w:start w:val="1"/>
      <w:numFmt w:val="lowerLetter"/>
      <w:lvlText w:val="%8."/>
      <w:lvlJc w:val="left"/>
      <w:pPr>
        <w:ind w:left="5760" w:hanging="360"/>
      </w:pPr>
    </w:lvl>
    <w:lvl w:ilvl="8" w:tplc="380C001B">
      <w:start w:val="1"/>
      <w:numFmt w:val="lowerRoman"/>
      <w:lvlText w:val="%9."/>
      <w:lvlJc w:val="right"/>
      <w:pPr>
        <w:ind w:left="6480" w:hanging="180"/>
      </w:pPr>
    </w:lvl>
  </w:abstractNum>
  <w:abstractNum w:abstractNumId="1" w15:restartNumberingAfterBreak="0">
    <w:nsid w:val="2950150D"/>
    <w:multiLevelType w:val="hybridMultilevel"/>
    <w:tmpl w:val="C5AAAFAE"/>
    <w:lvl w:ilvl="0" w:tplc="3064D8B2">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2" w15:restartNumberingAfterBreak="0">
    <w:nsid w:val="79F86E1A"/>
    <w:multiLevelType w:val="multilevel"/>
    <w:tmpl w:val="3BBCE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CE"/>
    <w:rsid w:val="000969F2"/>
    <w:rsid w:val="000E78D9"/>
    <w:rsid w:val="001C7A78"/>
    <w:rsid w:val="003203C8"/>
    <w:rsid w:val="003C69C9"/>
    <w:rsid w:val="00485EB9"/>
    <w:rsid w:val="006673CE"/>
    <w:rsid w:val="00743E48"/>
    <w:rsid w:val="008B1A09"/>
    <w:rsid w:val="008D5F83"/>
    <w:rsid w:val="00A07C8C"/>
    <w:rsid w:val="00C067AB"/>
    <w:rsid w:val="00CB5635"/>
    <w:rsid w:val="00D2433F"/>
    <w:rsid w:val="00E00F2E"/>
    <w:rsid w:val="00F75554"/>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42D83"/>
  <w15:chartTrackingRefBased/>
  <w15:docId w15:val="{F633DECE-5905-4831-A3BB-C6F616CF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67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3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3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3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3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3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3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3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3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3CE"/>
    <w:rPr>
      <w:rFonts w:eastAsiaTheme="majorEastAsia" w:cstheme="majorBidi"/>
      <w:color w:val="272727" w:themeColor="text1" w:themeTint="D8"/>
    </w:rPr>
  </w:style>
  <w:style w:type="paragraph" w:styleId="Title">
    <w:name w:val="Title"/>
    <w:basedOn w:val="Normal"/>
    <w:next w:val="Normal"/>
    <w:link w:val="TitleChar"/>
    <w:uiPriority w:val="10"/>
    <w:qFormat/>
    <w:rsid w:val="00667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3CE"/>
    <w:pPr>
      <w:spacing w:before="160"/>
      <w:jc w:val="center"/>
    </w:pPr>
    <w:rPr>
      <w:i/>
      <w:iCs/>
      <w:color w:val="404040" w:themeColor="text1" w:themeTint="BF"/>
    </w:rPr>
  </w:style>
  <w:style w:type="character" w:customStyle="1" w:styleId="QuoteChar">
    <w:name w:val="Quote Char"/>
    <w:basedOn w:val="DefaultParagraphFont"/>
    <w:link w:val="Quote"/>
    <w:uiPriority w:val="29"/>
    <w:rsid w:val="006673CE"/>
    <w:rPr>
      <w:i/>
      <w:iCs/>
      <w:color w:val="404040" w:themeColor="text1" w:themeTint="BF"/>
    </w:rPr>
  </w:style>
  <w:style w:type="paragraph" w:styleId="ListParagraph">
    <w:name w:val="List Paragraph"/>
    <w:basedOn w:val="Normal"/>
    <w:uiPriority w:val="34"/>
    <w:qFormat/>
    <w:rsid w:val="006673CE"/>
    <w:pPr>
      <w:ind w:left="720"/>
      <w:contextualSpacing/>
    </w:pPr>
  </w:style>
  <w:style w:type="character" w:styleId="IntenseEmphasis">
    <w:name w:val="Intense Emphasis"/>
    <w:basedOn w:val="DefaultParagraphFont"/>
    <w:uiPriority w:val="21"/>
    <w:qFormat/>
    <w:rsid w:val="006673CE"/>
    <w:rPr>
      <w:i/>
      <w:iCs/>
      <w:color w:val="2F5496" w:themeColor="accent1" w:themeShade="BF"/>
    </w:rPr>
  </w:style>
  <w:style w:type="paragraph" w:styleId="IntenseQuote">
    <w:name w:val="Intense Quote"/>
    <w:basedOn w:val="Normal"/>
    <w:next w:val="Normal"/>
    <w:link w:val="IntenseQuoteChar"/>
    <w:uiPriority w:val="30"/>
    <w:qFormat/>
    <w:rsid w:val="00667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3CE"/>
    <w:rPr>
      <w:i/>
      <w:iCs/>
      <w:color w:val="2F5496" w:themeColor="accent1" w:themeShade="BF"/>
    </w:rPr>
  </w:style>
  <w:style w:type="character" w:styleId="IntenseReference">
    <w:name w:val="Intense Reference"/>
    <w:basedOn w:val="DefaultParagraphFont"/>
    <w:uiPriority w:val="32"/>
    <w:qFormat/>
    <w:rsid w:val="006673CE"/>
    <w:rPr>
      <w:b/>
      <w:bCs/>
      <w:smallCaps/>
      <w:color w:val="2F5496" w:themeColor="accent1" w:themeShade="BF"/>
      <w:spacing w:val="5"/>
    </w:rPr>
  </w:style>
  <w:style w:type="character" w:styleId="Hyperlink">
    <w:name w:val="Hyperlink"/>
    <w:basedOn w:val="DefaultParagraphFont"/>
    <w:uiPriority w:val="99"/>
    <w:unhideWhenUsed/>
    <w:rsid w:val="006673CE"/>
    <w:rPr>
      <w:color w:val="0563C1" w:themeColor="hyperlink"/>
      <w:u w:val="single"/>
    </w:rPr>
  </w:style>
  <w:style w:type="character" w:styleId="UnresolvedMention">
    <w:name w:val="Unresolved Mention"/>
    <w:basedOn w:val="DefaultParagraphFont"/>
    <w:uiPriority w:val="99"/>
    <w:semiHidden/>
    <w:unhideWhenUsed/>
    <w:rsid w:val="006673CE"/>
    <w:rPr>
      <w:color w:val="605E5C"/>
      <w:shd w:val="clear" w:color="auto" w:fill="E1DFDD"/>
    </w:rPr>
  </w:style>
  <w:style w:type="paragraph" w:styleId="Header">
    <w:name w:val="header"/>
    <w:basedOn w:val="Normal"/>
    <w:link w:val="HeaderChar"/>
    <w:uiPriority w:val="99"/>
    <w:unhideWhenUsed/>
    <w:rsid w:val="003C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9C9"/>
    <w:rPr>
      <w:lang w:val="en-GB"/>
    </w:rPr>
  </w:style>
  <w:style w:type="paragraph" w:styleId="Footer">
    <w:name w:val="footer"/>
    <w:basedOn w:val="Normal"/>
    <w:link w:val="FooterChar"/>
    <w:uiPriority w:val="99"/>
    <w:unhideWhenUsed/>
    <w:rsid w:val="003C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C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2028</Words>
  <Characters>11561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Ilyass Kabdane</dc:creator>
  <cp:keywords/>
  <dc:description/>
  <cp:lastModifiedBy>SDI 1084</cp:lastModifiedBy>
  <cp:revision>12</cp:revision>
  <dcterms:created xsi:type="dcterms:W3CDTF">2026-02-14T17:02:00Z</dcterms:created>
  <dcterms:modified xsi:type="dcterms:W3CDTF">2026-02-17T12:30:00Z</dcterms:modified>
</cp:coreProperties>
</file>