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A756A" w14:textId="77777777" w:rsidR="007B1F3E" w:rsidRDefault="007B1F3E">
      <w:pPr>
        <w:pStyle w:val="Title"/>
        <w:rPr>
          <w:rFonts w:ascii="Times New Roman" w:hAnsi="Times New Roman"/>
        </w:rPr>
      </w:pPr>
      <w:r w:rsidRPr="007B1F3E">
        <w:rPr>
          <w:rFonts w:ascii="Times New Roman" w:hAnsi="Times New Roman"/>
        </w:rPr>
        <w:t xml:space="preserve">Case Report </w:t>
      </w:r>
    </w:p>
    <w:p w14:paraId="70F7E135" w14:textId="3C7B604E" w:rsidR="00595D39" w:rsidRDefault="00D67047">
      <w:pPr>
        <w:pStyle w:val="Title"/>
        <w:rPr>
          <w:rFonts w:ascii="Times New Roman" w:eastAsia="Times New Roman" w:hAnsi="Times New Roman" w:cs="Times New Roman"/>
        </w:rPr>
      </w:pPr>
      <w:r>
        <w:rPr>
          <w:rFonts w:ascii="Times New Roman" w:hAnsi="Times New Roman"/>
        </w:rPr>
        <w:t>Cytotoxic Lesions of the Corpus Callosum in Typhoid Encephalitis: A Rare Neurological Manifestation</w:t>
      </w:r>
    </w:p>
    <w:p w14:paraId="3C96E5D5" w14:textId="474BB821" w:rsidR="00595D39" w:rsidRDefault="00595D39">
      <w:pPr>
        <w:pStyle w:val="Affiliation"/>
        <w:spacing w:after="0" w:line="240" w:lineRule="auto"/>
        <w:jc w:val="both"/>
        <w:rPr>
          <w:rFonts w:ascii="Arial" w:eastAsia="Arial" w:hAnsi="Arial" w:cs="Arial"/>
        </w:rPr>
      </w:pPr>
    </w:p>
    <w:p w14:paraId="3EE3B18A" w14:textId="401ED605" w:rsidR="003D16F1" w:rsidRDefault="003D16F1">
      <w:pPr>
        <w:pStyle w:val="Affiliation"/>
        <w:spacing w:after="0" w:line="240" w:lineRule="auto"/>
        <w:jc w:val="both"/>
        <w:rPr>
          <w:rFonts w:ascii="Arial" w:eastAsia="Arial" w:hAnsi="Arial" w:cs="Arial"/>
        </w:rPr>
      </w:pPr>
    </w:p>
    <w:p w14:paraId="7A056451" w14:textId="3BE663D9" w:rsidR="003D16F1" w:rsidRDefault="003D16F1">
      <w:pPr>
        <w:pStyle w:val="Affiliation"/>
        <w:spacing w:after="0" w:line="240" w:lineRule="auto"/>
        <w:jc w:val="both"/>
        <w:rPr>
          <w:rFonts w:ascii="Arial" w:eastAsia="Arial" w:hAnsi="Arial" w:cs="Arial"/>
        </w:rPr>
      </w:pPr>
    </w:p>
    <w:p w14:paraId="10914F61" w14:textId="77777777" w:rsidR="003D16F1" w:rsidRDefault="003D16F1">
      <w:pPr>
        <w:pStyle w:val="Affiliation"/>
        <w:spacing w:after="0" w:line="240" w:lineRule="auto"/>
        <w:jc w:val="both"/>
        <w:rPr>
          <w:rFonts w:ascii="Arial" w:eastAsia="Arial" w:hAnsi="Arial" w:cs="Arial"/>
        </w:rPr>
      </w:pPr>
    </w:p>
    <w:p w14:paraId="03FBEA88" w14:textId="77777777" w:rsidR="00595D39" w:rsidRDefault="00D67047">
      <w:pPr>
        <w:pStyle w:val="Copyright"/>
        <w:spacing w:after="0" w:line="240" w:lineRule="auto"/>
        <w:jc w:val="both"/>
        <w:rPr>
          <w:rFonts w:ascii="Arial" w:eastAsia="Arial" w:hAnsi="Arial" w:cs="Arial"/>
        </w:rPr>
        <w:sectPr w:rsidR="00595D39">
          <w:headerReference w:type="even" r:id="rId6"/>
          <w:headerReference w:type="default" r:id="rId7"/>
          <w:footerReference w:type="even" r:id="rId8"/>
          <w:footerReference w:type="default" r:id="rId9"/>
          <w:headerReference w:type="first" r:id="rId10"/>
          <w:footerReference w:type="first" r:id="rId11"/>
          <w:pgSz w:w="12240" w:h="15840"/>
          <w:pgMar w:top="1440" w:right="2016" w:bottom="720" w:left="2016" w:header="720" w:footer="720" w:gutter="0"/>
          <w:cols w:space="720"/>
        </w:sectPr>
      </w:pPr>
      <w:r>
        <w:rPr>
          <w:rFonts w:ascii="Arial" w:eastAsia="Arial" w:hAnsi="Arial" w:cs="Arial"/>
          <w:noProof/>
        </w:rPr>
        <mc:AlternateContent>
          <mc:Choice Requires="wps">
            <w:drawing>
              <wp:inline distT="0" distB="0" distL="0" distR="0" wp14:anchorId="1F12E9B5" wp14:editId="339C84F8">
                <wp:extent cx="5211951" cy="625"/>
                <wp:effectExtent l="0" t="0" r="0" b="0"/>
                <wp:docPr id="1073741825" name="officeArt object" descr="AutoShape 2"/>
                <wp:cNvGraphicFramePr/>
                <a:graphic xmlns:a="http://schemas.openxmlformats.org/drawingml/2006/main">
                  <a:graphicData uri="http://schemas.microsoft.com/office/word/2010/wordprocessingShape">
                    <wps:wsp>
                      <wps:cNvCnPr/>
                      <wps:spPr>
                        <a:xfrm>
                          <a:off x="0" y="0"/>
                          <a:ext cx="5211951" cy="625"/>
                        </a:xfrm>
                        <a:prstGeom prst="line">
                          <a:avLst/>
                        </a:prstGeom>
                        <a:noFill/>
                        <a:ln w="19050" cap="flat">
                          <a:solidFill>
                            <a:srgbClr val="000000"/>
                          </a:solidFill>
                          <a:prstDash val="solid"/>
                          <a:round/>
                        </a:ln>
                        <a:effec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r>
        <w:rPr>
          <w:rFonts w:ascii="Arial" w:hAnsi="Arial"/>
        </w:rPr>
        <w:t>.</w:t>
      </w:r>
    </w:p>
    <w:p w14:paraId="72612830" w14:textId="77777777" w:rsidR="00595D39" w:rsidRDefault="00D67047">
      <w:pPr>
        <w:pStyle w:val="AbstHead"/>
        <w:spacing w:after="0"/>
        <w:jc w:val="both"/>
        <w:rPr>
          <w:rFonts w:ascii="Arial" w:eastAsia="Arial" w:hAnsi="Arial" w:cs="Arial"/>
        </w:rPr>
      </w:pPr>
      <w:r>
        <w:rPr>
          <w:rFonts w:ascii="Arial" w:hAnsi="Arial"/>
        </w:rPr>
        <w:t xml:space="preserve">ABSTRACT </w:t>
      </w:r>
    </w:p>
    <w:p w14:paraId="144FAFE7" w14:textId="77777777" w:rsidR="00595D39" w:rsidRDefault="00595D39">
      <w:pPr>
        <w:pStyle w:val="AbstHead"/>
        <w:spacing w:after="0"/>
        <w:jc w:val="both"/>
        <w:rPr>
          <w:rFonts w:ascii="Arial" w:eastAsia="Arial" w:hAnsi="Arial" w:cs="Arial"/>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595D39" w14:paraId="4BAA1F84" w14:textId="77777777">
        <w:trPr>
          <w:trHeight w:val="4463"/>
        </w:trPr>
        <w:tc>
          <w:tcPr>
            <w:tcW w:w="957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01BEB23" w14:textId="77777777" w:rsidR="00595D39" w:rsidRDefault="00D67047">
            <w:pPr>
              <w:pStyle w:val="BodyA"/>
              <w:rPr>
                <w:rFonts w:ascii="Arial" w:eastAsia="Arial" w:hAnsi="Arial" w:cs="Arial"/>
              </w:rPr>
            </w:pPr>
            <w:r>
              <w:rPr>
                <w:rFonts w:ascii="Arial" w:hAnsi="Arial"/>
                <w:b/>
                <w:bCs/>
              </w:rPr>
              <w:t>Aim</w:t>
            </w:r>
            <w:r>
              <w:rPr>
                <w:rFonts w:ascii="Arial" w:hAnsi="Arial"/>
              </w:rPr>
              <w:t xml:space="preserve">: To report a rare case of cytotoxic lesions of the corpus callosum (CLOCCs) associated with typhoid encephalitis and to highlight its </w:t>
            </w:r>
            <w:r>
              <w:rPr>
                <w:rFonts w:ascii="Arial" w:hAnsi="Arial"/>
              </w:rPr>
              <w:t>reversible radiological nature in infectious encephalopathies.</w:t>
            </w:r>
          </w:p>
          <w:p w14:paraId="5A187CB9" w14:textId="77777777" w:rsidR="00595D39" w:rsidRDefault="00D67047">
            <w:pPr>
              <w:pStyle w:val="BodyA"/>
              <w:rPr>
                <w:rFonts w:ascii="Arial" w:eastAsia="Arial" w:hAnsi="Arial" w:cs="Arial"/>
              </w:rPr>
            </w:pPr>
            <w:r>
              <w:rPr>
                <w:rFonts w:ascii="Arial" w:hAnsi="Arial"/>
                <w:b/>
                <w:bCs/>
              </w:rPr>
              <w:t>Presentation of Case:</w:t>
            </w:r>
            <w:r>
              <w:rPr>
                <w:rFonts w:ascii="Arial" w:hAnsi="Arial"/>
              </w:rPr>
              <w:t> Cytotoxic lesions of the corpus callosum (CLOCCs) are transient MRI abnormalities, most commonly involving the splenium of the corpus callosum, and are associated with inf</w:t>
            </w:r>
            <w:r>
              <w:rPr>
                <w:rFonts w:ascii="Arial" w:hAnsi="Arial"/>
              </w:rPr>
              <w:t>ections, seizures, metabolic disturbances, drug toxicity, and autoimmune disorders. Viral infections are the most frequently reported infectious causes. Proposed mechanisms include cytokine-mediated cytotoxic edema and reversible inflammatory injury affect</w:t>
            </w:r>
            <w:r>
              <w:rPr>
                <w:rFonts w:ascii="Arial" w:hAnsi="Arial"/>
              </w:rPr>
              <w:t>ing densely myelinated splenial fibers. Clinically, patients may present with altered sensorium, delirium, encephalopathy, or seizures, often posing a diagnostic challenge. We report a rare case of CLOCCs occurring in a patient with typhoid encephalitis.</w:t>
            </w:r>
          </w:p>
          <w:p w14:paraId="7875AB55" w14:textId="77777777" w:rsidR="00595D39" w:rsidRDefault="00D67047">
            <w:pPr>
              <w:pStyle w:val="BodyA"/>
              <w:rPr>
                <w:rFonts w:ascii="Arial" w:eastAsia="Arial" w:hAnsi="Arial" w:cs="Arial"/>
              </w:rPr>
            </w:pPr>
            <w:r>
              <w:rPr>
                <w:rFonts w:ascii="Arial" w:hAnsi="Arial"/>
                <w:b/>
                <w:bCs/>
              </w:rPr>
              <w:t>D</w:t>
            </w:r>
            <w:r>
              <w:rPr>
                <w:rFonts w:ascii="Arial" w:hAnsi="Arial"/>
                <w:b/>
                <w:bCs/>
              </w:rPr>
              <w:t>iscussion:</w:t>
            </w:r>
            <w:r>
              <w:rPr>
                <w:rFonts w:ascii="Arial" w:hAnsi="Arial"/>
              </w:rPr>
              <w:t> Typhoid fever caused by Salmonella typhi commonly presents with systemic manifestations, whereas neurological involvement such as encephalopathy is uncommon. The occurrence of CLOCCs in typhoid encephalitis is exceedingly rare and sparsely descr</w:t>
            </w:r>
            <w:r>
              <w:rPr>
                <w:rFonts w:ascii="Arial" w:hAnsi="Arial"/>
              </w:rPr>
              <w:t>ibed in literature. Recognition of this characteristic MRI pattern is important to avoid unnecessary invasive investigations and to support timely diagnosis of the underlying infectious etiology.</w:t>
            </w:r>
          </w:p>
          <w:p w14:paraId="553ACBD2" w14:textId="77777777" w:rsidR="00595D39" w:rsidRDefault="00D67047">
            <w:pPr>
              <w:pStyle w:val="BodyA"/>
            </w:pPr>
            <w:r>
              <w:rPr>
                <w:rFonts w:ascii="Arial" w:hAnsi="Arial"/>
                <w:b/>
                <w:bCs/>
              </w:rPr>
              <w:t>Conclusion:</w:t>
            </w:r>
            <w:r>
              <w:rPr>
                <w:rFonts w:ascii="Arial" w:hAnsi="Arial"/>
              </w:rPr>
              <w:t xml:space="preserve"> CLOCCs should be considered in patients with </w:t>
            </w:r>
            <w:r>
              <w:rPr>
                <w:rFonts w:ascii="Arial" w:hAnsi="Arial"/>
              </w:rPr>
              <w:t>acute febrile encephalopathy and reversible splenial lesions on MRI. Early recognition and appropriate treatment of the underlying infection are associated with favorable neurological and radiological recovery</w:t>
            </w:r>
          </w:p>
        </w:tc>
      </w:tr>
    </w:tbl>
    <w:p w14:paraId="5887D7D4" w14:textId="77777777" w:rsidR="00595D39" w:rsidRDefault="00595D39">
      <w:pPr>
        <w:pStyle w:val="AbstHead"/>
        <w:widowControl w:val="0"/>
        <w:spacing w:after="0"/>
        <w:jc w:val="both"/>
        <w:rPr>
          <w:rFonts w:ascii="Arial" w:eastAsia="Arial" w:hAnsi="Arial" w:cs="Arial"/>
        </w:rPr>
      </w:pPr>
    </w:p>
    <w:p w14:paraId="6E6FC7CA" w14:textId="77777777" w:rsidR="00595D39" w:rsidRDefault="00595D39">
      <w:pPr>
        <w:pStyle w:val="BodyA"/>
        <w:spacing w:after="0"/>
        <w:rPr>
          <w:rFonts w:ascii="Arial" w:eastAsia="Arial" w:hAnsi="Arial" w:cs="Arial"/>
          <w:i/>
          <w:iCs/>
        </w:rPr>
      </w:pPr>
    </w:p>
    <w:p w14:paraId="5150802D" w14:textId="77777777" w:rsidR="00595D39" w:rsidRDefault="00D67047">
      <w:pPr>
        <w:pStyle w:val="BodyA"/>
        <w:spacing w:after="0"/>
        <w:rPr>
          <w:rFonts w:ascii="Arial" w:eastAsia="Arial" w:hAnsi="Arial" w:cs="Arial"/>
          <w:i/>
          <w:iCs/>
        </w:rPr>
      </w:pPr>
      <w:r>
        <w:rPr>
          <w:rFonts w:ascii="Arial" w:hAnsi="Arial"/>
          <w:i/>
          <w:iCs/>
        </w:rPr>
        <w:t>Keywords: Cytotoxic lesions of Corpus Callo</w:t>
      </w:r>
      <w:r>
        <w:rPr>
          <w:rFonts w:ascii="Arial" w:hAnsi="Arial"/>
          <w:i/>
          <w:iCs/>
        </w:rPr>
        <w:t xml:space="preserve">sum, CLOCCs, Typhoid, Typhoid encephalitis </w:t>
      </w:r>
    </w:p>
    <w:p w14:paraId="1852187D" w14:textId="77777777" w:rsidR="00595D39" w:rsidRDefault="00595D39">
      <w:pPr>
        <w:pStyle w:val="BodyA"/>
        <w:spacing w:after="0"/>
        <w:rPr>
          <w:rFonts w:ascii="Arial" w:eastAsia="Arial" w:hAnsi="Arial" w:cs="Arial"/>
          <w:i/>
          <w:iCs/>
        </w:rPr>
      </w:pPr>
    </w:p>
    <w:p w14:paraId="20823A98" w14:textId="77777777" w:rsidR="00595D39" w:rsidRDefault="00595D39">
      <w:pPr>
        <w:pStyle w:val="BodyA"/>
        <w:spacing w:after="0"/>
        <w:rPr>
          <w:rFonts w:ascii="Arial" w:eastAsia="Arial" w:hAnsi="Arial" w:cs="Arial"/>
          <w:b/>
          <w:bCs/>
          <w:i/>
          <w:iCs/>
          <w:sz w:val="18"/>
          <w:szCs w:val="18"/>
        </w:rPr>
      </w:pPr>
    </w:p>
    <w:p w14:paraId="3F0EA220" w14:textId="77777777" w:rsidR="00595D39" w:rsidRDefault="00595D39">
      <w:pPr>
        <w:pStyle w:val="BodyA"/>
        <w:spacing w:after="0"/>
        <w:rPr>
          <w:rFonts w:ascii="Arial" w:eastAsia="Arial" w:hAnsi="Arial" w:cs="Arial"/>
          <w:i/>
          <w:iCs/>
        </w:rPr>
      </w:pPr>
    </w:p>
    <w:p w14:paraId="2F6E755A" w14:textId="77777777" w:rsidR="00595D39" w:rsidRDefault="00D67047">
      <w:pPr>
        <w:pStyle w:val="AbstHead"/>
        <w:spacing w:after="0"/>
        <w:jc w:val="both"/>
        <w:rPr>
          <w:rFonts w:ascii="Arial" w:eastAsia="Arial" w:hAnsi="Arial" w:cs="Arial"/>
        </w:rPr>
      </w:pPr>
      <w:r>
        <w:rPr>
          <w:rFonts w:ascii="Arial" w:hAnsi="Arial"/>
        </w:rPr>
        <w:t xml:space="preserve">1. INTRODUCTION </w:t>
      </w:r>
    </w:p>
    <w:p w14:paraId="3B98BB5D" w14:textId="77777777" w:rsidR="00595D39" w:rsidRDefault="00595D39">
      <w:pPr>
        <w:pStyle w:val="BodyA"/>
        <w:spacing w:after="0"/>
        <w:rPr>
          <w:rFonts w:ascii="Arial" w:eastAsia="Arial" w:hAnsi="Arial" w:cs="Arial"/>
        </w:rPr>
      </w:pPr>
    </w:p>
    <w:p w14:paraId="6D58A511" w14:textId="77777777" w:rsidR="00595D39" w:rsidRDefault="00D67047">
      <w:pPr>
        <w:pStyle w:val="BodyA"/>
        <w:rPr>
          <w:rFonts w:ascii="Arial" w:eastAsia="Arial" w:hAnsi="Arial" w:cs="Arial"/>
        </w:rPr>
      </w:pPr>
      <w:r>
        <w:rPr>
          <w:rFonts w:ascii="Arial" w:hAnsi="Arial"/>
        </w:rPr>
        <w:t>Cytotoxic lesions of the corpus callosum (CLOCCs) are a distinct radiological entity characterized by transient lesions, most commonly involving the splenium of the corpus callosum. These les</w:t>
      </w:r>
      <w:r>
        <w:rPr>
          <w:rFonts w:ascii="Arial" w:hAnsi="Arial"/>
        </w:rPr>
        <w:t>ions are increasingly recognized with the widespread use of magnetic resonance imaging (MRI) and are associated with a broad spectrum of conditions including infections, metabolic disturbances, seizures, drug toxicity, and autoimmune disorders. Among infec</w:t>
      </w:r>
      <w:r>
        <w:rPr>
          <w:rFonts w:ascii="Arial" w:hAnsi="Arial"/>
        </w:rPr>
        <w:t>tious causes, viral illnesses such as influenza, rotavirus, mumps, adenovirus, and SARS-CoV-2 have been most frequently implicated [1]. The exact pathophysiology remains incompletely understood, but proposed mechanisms include cytokine-mediated cytotoxic e</w:t>
      </w:r>
      <w:r>
        <w:rPr>
          <w:rFonts w:ascii="Arial" w:hAnsi="Arial"/>
        </w:rPr>
        <w:t>dema, excitotoxic injury, and reversible inflammatory changes affecting the densely packed myelinated fibers of the splenium. Clinically, patients may present with encephalopathy, altered sensorium, delirium, seizures, or other nonspecific neurological man</w:t>
      </w:r>
      <w:r>
        <w:rPr>
          <w:rFonts w:ascii="Arial" w:hAnsi="Arial"/>
        </w:rPr>
        <w:t xml:space="preserve">ifestations, often creating a diagnostic challenge. Despite their alarming radiological appearance, CLOCCs are generally reversible and tend to resolve completely following treatment of the underlying etiology, with favorable </w:t>
      </w:r>
      <w:r>
        <w:rPr>
          <w:rFonts w:ascii="Arial" w:hAnsi="Arial"/>
        </w:rPr>
        <w:lastRenderedPageBreak/>
        <w:t xml:space="preserve">neurological outcomes in most </w:t>
      </w:r>
      <w:r>
        <w:rPr>
          <w:rFonts w:ascii="Arial" w:hAnsi="Arial"/>
        </w:rPr>
        <w:t>patients [1]. Typhoid fever, is a common infectious disease, but severe neurological complications such as encephalopathy remain relatively uncommon. The occurrence of CLOCCs in association with typhoid encephalitis is exceedingly rare. We report a rare pr</w:t>
      </w:r>
      <w:r>
        <w:rPr>
          <w:rFonts w:ascii="Arial" w:hAnsi="Arial"/>
        </w:rPr>
        <w:t>esentation of CLOCCs in a patient diagnosed with typhoid encephalitis, highlighting the importance of recognizing this reversible imaging pattern in atypical infectious encephalopathies.</w:t>
      </w:r>
    </w:p>
    <w:p w14:paraId="7CC1658C" w14:textId="77777777" w:rsidR="00595D39" w:rsidRDefault="00595D39">
      <w:pPr>
        <w:pStyle w:val="BodyA"/>
        <w:spacing w:after="0"/>
        <w:rPr>
          <w:rFonts w:ascii="Arial" w:eastAsia="Arial" w:hAnsi="Arial" w:cs="Arial"/>
        </w:rPr>
      </w:pPr>
    </w:p>
    <w:p w14:paraId="2261AD1D" w14:textId="77777777" w:rsidR="00595D39" w:rsidRDefault="00D67047">
      <w:pPr>
        <w:pStyle w:val="AbstHead"/>
        <w:spacing w:after="0"/>
        <w:jc w:val="both"/>
        <w:rPr>
          <w:rFonts w:ascii="Arial" w:eastAsia="Arial" w:hAnsi="Arial" w:cs="Arial"/>
        </w:rPr>
      </w:pPr>
      <w:r>
        <w:rPr>
          <w:rFonts w:ascii="Arial" w:hAnsi="Arial"/>
        </w:rPr>
        <w:t xml:space="preserve">2. Presentation of case </w:t>
      </w:r>
    </w:p>
    <w:p w14:paraId="183AF1C0" w14:textId="77777777" w:rsidR="00595D39" w:rsidRDefault="00595D39">
      <w:pPr>
        <w:pStyle w:val="BodyA"/>
        <w:spacing w:after="0"/>
        <w:rPr>
          <w:rFonts w:ascii="Arial" w:eastAsia="Arial" w:hAnsi="Arial" w:cs="Arial"/>
        </w:rPr>
      </w:pPr>
    </w:p>
    <w:p w14:paraId="28591FC7" w14:textId="77777777" w:rsidR="00595D39" w:rsidRDefault="00D67047">
      <w:pPr>
        <w:pStyle w:val="BodyA"/>
        <w:rPr>
          <w:rFonts w:ascii="Arial" w:eastAsia="Arial" w:hAnsi="Arial" w:cs="Arial"/>
        </w:rPr>
      </w:pPr>
      <w:r>
        <w:rPr>
          <w:rFonts w:ascii="Arial" w:hAnsi="Arial"/>
        </w:rPr>
        <w:t xml:space="preserve">A 26-year-old previously healthy male presented with complaints of high-grade fever for five days and multiple episodes of loose stools for one day, followed by progressive decrease in responsiveness, vomiting, and intermittent irritability. The fever was </w:t>
      </w:r>
      <w:r>
        <w:rPr>
          <w:rFonts w:ascii="Arial" w:hAnsi="Arial"/>
        </w:rPr>
        <w:t>continuous in nature and associated with generalized weakness and poor oral intake. There was no history of seizures, head trauma, blurring of vision, focal neurological deficits, ear discharge, rash, or recent travel. No history suggestive of substance ab</w:t>
      </w:r>
      <w:r>
        <w:rPr>
          <w:rFonts w:ascii="Arial" w:hAnsi="Arial"/>
        </w:rPr>
        <w:t>use or prior neurological illness was noted. On arrival, the patient appeared toxic, lethargic, and poorly responsive to verbal commands, with a flushed appearance and a “staring look.” His vital signs revealed fever with stable hemodynamic parameters. Neu</w:t>
      </w:r>
      <w:r>
        <w:rPr>
          <w:rFonts w:ascii="Arial" w:hAnsi="Arial"/>
        </w:rPr>
        <w:t xml:space="preserve">rological examination showed patient in drowsy state, not obeys oral comments, becoming irritable at times with irrelevant verbalization. Neck stiffness was present, and increased tone was noted predominantly in both lower limbs. Deep tendon reflex was 2+ </w:t>
      </w:r>
      <w:r>
        <w:rPr>
          <w:rFonts w:ascii="Arial" w:hAnsi="Arial"/>
        </w:rPr>
        <w:t xml:space="preserve">bilaterally, gag reflex was preserved, and bilateral plantar reflexes were </w:t>
      </w:r>
      <w:proofErr w:type="spellStart"/>
      <w:proofErr w:type="gramStart"/>
      <w:r>
        <w:rPr>
          <w:rFonts w:ascii="Arial" w:hAnsi="Arial"/>
        </w:rPr>
        <w:t>flexor.Cranial</w:t>
      </w:r>
      <w:proofErr w:type="spellEnd"/>
      <w:proofErr w:type="gramEnd"/>
      <w:r>
        <w:rPr>
          <w:rFonts w:ascii="Arial" w:hAnsi="Arial"/>
        </w:rPr>
        <w:t xml:space="preserve"> nerve examination was otherwise unremarkable. No focal motor deficits were identified. Systemic examination showed mild abdominal distension without guarding or rigid</w:t>
      </w:r>
      <w:r>
        <w:rPr>
          <w:rFonts w:ascii="Arial" w:hAnsi="Arial"/>
        </w:rPr>
        <w:t>ity. Initial laboratory investigations (Table 1) demonstrated mild thrombocytopenia and elevated transaminases with AST predominance (AST &gt; ALT), suggestive of systemic infectious involvement. Ultrasonography of the abdomen revealed mild hepatosplenomegaly</w:t>
      </w:r>
      <w:r>
        <w:rPr>
          <w:rFonts w:ascii="Arial" w:hAnsi="Arial"/>
        </w:rPr>
        <w:t>. In view of the altered mental status and meningeal signs, lumbar puncture was performed. Cerebrospinal fluid (CSF) analysis showed normal glucose levels and normal protein levels and no significant pleocytosis. CSF viral panel was negative. Serological i</w:t>
      </w:r>
      <w:r>
        <w:rPr>
          <w:rFonts w:ascii="Arial" w:hAnsi="Arial"/>
        </w:rPr>
        <w:t xml:space="preserve">nvestigations for dengue (NS1 antigen and IgM antibody) and malaria were negative. </w:t>
      </w:r>
      <w:proofErr w:type="spellStart"/>
      <w:r>
        <w:rPr>
          <w:rFonts w:ascii="Arial" w:hAnsi="Arial"/>
        </w:rPr>
        <w:t>Widal</w:t>
      </w:r>
      <w:proofErr w:type="spellEnd"/>
      <w:r>
        <w:rPr>
          <w:rFonts w:ascii="Arial" w:hAnsi="Arial"/>
        </w:rPr>
        <w:t xml:space="preserve"> test was positive with </w:t>
      </w:r>
      <w:proofErr w:type="spellStart"/>
      <w:r>
        <w:rPr>
          <w:rFonts w:ascii="Arial" w:hAnsi="Arial"/>
        </w:rPr>
        <w:t>titres</w:t>
      </w:r>
      <w:proofErr w:type="spellEnd"/>
      <w:r>
        <w:rPr>
          <w:rFonts w:ascii="Arial" w:hAnsi="Arial"/>
        </w:rPr>
        <w:t xml:space="preserve"> of O: 1:200 and H: 1:400, and IgM typhoid was positive. Blood culture subsequently grew Salmonella typhi, confirming the diagnosis. Chest</w:t>
      </w:r>
      <w:r>
        <w:rPr>
          <w:rFonts w:ascii="Arial" w:hAnsi="Arial"/>
        </w:rPr>
        <w:t xml:space="preserve"> radiography and echocardiography were unremarkable. Given the persistent neurological manifestations, magnetic resonance imaging (MRI) of the brain was performed. Plain and contrast-enhanced MRI demonstrated a non-enhancing T2/FLAIR hyperintense lesion in</w:t>
      </w:r>
      <w:r>
        <w:rPr>
          <w:rFonts w:ascii="Arial" w:hAnsi="Arial"/>
        </w:rPr>
        <w:t>volving the splenium of the corpus callosum with diffusion restriction (Figure 1), consistent with a cytotoxic lesion of the corpus callosum (CLOCCs). Based on the clinical presentation, microbiological evidence, and characteristic imaging findings, a diag</w:t>
      </w:r>
      <w:r>
        <w:rPr>
          <w:rFonts w:ascii="Arial" w:hAnsi="Arial"/>
        </w:rPr>
        <w:t>nosis of typhoid encephalitis with associated CLOCCs was established. The patient was initiated on broad-spectrum intravenous antibiotics and supportive care. Over the next three weeks, he showed gradual but marked improvement in sensorium, responsiveness,</w:t>
      </w:r>
      <w:r>
        <w:rPr>
          <w:rFonts w:ascii="Arial" w:hAnsi="Arial"/>
        </w:rPr>
        <w:t xml:space="preserve"> and neurological status. By the end of treatment, he had regained normal speech and orientation without focal neurological deficits. A repeat MRI brain performed after 21 days demonstrated complete resolution of the splenial lesion (Figure 2), confirming </w:t>
      </w:r>
      <w:r>
        <w:rPr>
          <w:rFonts w:ascii="Arial" w:hAnsi="Arial"/>
        </w:rPr>
        <w:t>the reversible nature of CLOCCs. The patient was discharged in stable condition without any residual neurological sequelae</w:t>
      </w:r>
    </w:p>
    <w:p w14:paraId="7E24E4A3" w14:textId="77777777" w:rsidR="00595D39" w:rsidRDefault="00595D39">
      <w:pPr>
        <w:pStyle w:val="BodyA"/>
        <w:rPr>
          <w:rFonts w:ascii="Arial" w:eastAsia="Arial" w:hAnsi="Arial" w:cs="Arial"/>
        </w:rPr>
      </w:pPr>
    </w:p>
    <w:p w14:paraId="68644F20" w14:textId="77777777" w:rsidR="00595D39" w:rsidRDefault="00595D39">
      <w:pPr>
        <w:pStyle w:val="BodyA"/>
        <w:rPr>
          <w:rFonts w:ascii="Arial" w:eastAsia="Arial" w:hAnsi="Arial" w:cs="Arial"/>
        </w:rPr>
      </w:pPr>
    </w:p>
    <w:p w14:paraId="6B3C8006" w14:textId="77777777" w:rsidR="00595D39" w:rsidRDefault="00595D39">
      <w:pPr>
        <w:pStyle w:val="BodyA"/>
        <w:rPr>
          <w:rFonts w:ascii="Arial" w:eastAsia="Arial" w:hAnsi="Arial" w:cs="Arial"/>
        </w:rPr>
      </w:pPr>
    </w:p>
    <w:p w14:paraId="0B085A9F" w14:textId="77777777" w:rsidR="00595D39" w:rsidRDefault="00595D39">
      <w:pPr>
        <w:pStyle w:val="BodyA"/>
        <w:rPr>
          <w:rFonts w:ascii="Arial" w:eastAsia="Arial" w:hAnsi="Arial" w:cs="Arial"/>
        </w:rPr>
      </w:pPr>
    </w:p>
    <w:p w14:paraId="5A8943BA" w14:textId="77777777" w:rsidR="00595D39" w:rsidRDefault="00595D39">
      <w:pPr>
        <w:pStyle w:val="BodyA"/>
        <w:rPr>
          <w:rFonts w:ascii="Arial" w:eastAsia="Arial" w:hAnsi="Arial" w:cs="Arial"/>
        </w:rPr>
      </w:pPr>
    </w:p>
    <w:p w14:paraId="5EF818BA" w14:textId="77777777" w:rsidR="00595D39" w:rsidRDefault="00595D39">
      <w:pPr>
        <w:pStyle w:val="BodyA"/>
        <w:rPr>
          <w:rFonts w:ascii="Arial" w:eastAsia="Arial" w:hAnsi="Arial" w:cs="Arial"/>
        </w:rPr>
      </w:pPr>
    </w:p>
    <w:p w14:paraId="6ED96F75" w14:textId="77777777" w:rsidR="00595D39" w:rsidRDefault="00595D39">
      <w:pPr>
        <w:pStyle w:val="BodyA"/>
        <w:rPr>
          <w:rFonts w:ascii="Arial" w:eastAsia="Arial" w:hAnsi="Arial" w:cs="Arial"/>
        </w:rPr>
      </w:pPr>
    </w:p>
    <w:p w14:paraId="2695DE2E" w14:textId="77777777" w:rsidR="00595D39" w:rsidRDefault="00595D39">
      <w:pPr>
        <w:pStyle w:val="BodyA"/>
        <w:rPr>
          <w:rFonts w:ascii="Arial" w:eastAsia="Arial" w:hAnsi="Arial" w:cs="Arial"/>
        </w:rPr>
      </w:pPr>
    </w:p>
    <w:p w14:paraId="5E795C28" w14:textId="77777777" w:rsidR="00595D39" w:rsidRDefault="00595D39">
      <w:pPr>
        <w:pStyle w:val="BodyA"/>
        <w:jc w:val="center"/>
        <w:rPr>
          <w:rFonts w:ascii="Arial" w:eastAsia="Arial" w:hAnsi="Arial" w:cs="Arial"/>
        </w:rPr>
      </w:pPr>
    </w:p>
    <w:p w14:paraId="70D15560" w14:textId="77777777" w:rsidR="00595D39" w:rsidRDefault="00595D39">
      <w:pPr>
        <w:pStyle w:val="BodyA"/>
        <w:jc w:val="center"/>
        <w:rPr>
          <w:rFonts w:ascii="Arial" w:eastAsia="Arial" w:hAnsi="Arial" w:cs="Arial"/>
        </w:rPr>
      </w:pPr>
    </w:p>
    <w:p w14:paraId="29C544D4" w14:textId="77777777" w:rsidR="00595D39" w:rsidRDefault="00595D39">
      <w:pPr>
        <w:pStyle w:val="BodyA"/>
        <w:jc w:val="center"/>
        <w:rPr>
          <w:rFonts w:ascii="Arial" w:eastAsia="Arial" w:hAnsi="Arial" w:cs="Arial"/>
        </w:rPr>
      </w:pPr>
    </w:p>
    <w:p w14:paraId="0FEE43B9" w14:textId="77777777" w:rsidR="00595D39" w:rsidRDefault="00595D39">
      <w:pPr>
        <w:pStyle w:val="BodyA"/>
        <w:jc w:val="center"/>
        <w:rPr>
          <w:rFonts w:ascii="Arial" w:eastAsia="Arial" w:hAnsi="Arial" w:cs="Arial"/>
        </w:rPr>
      </w:pPr>
    </w:p>
    <w:p w14:paraId="42A8C75B" w14:textId="77777777" w:rsidR="00595D39" w:rsidRDefault="00D67047">
      <w:pPr>
        <w:pStyle w:val="BodyA"/>
        <w:jc w:val="center"/>
        <w:rPr>
          <w:rFonts w:ascii="Arial" w:eastAsia="Arial" w:hAnsi="Arial" w:cs="Arial"/>
        </w:rPr>
      </w:pPr>
      <w:r>
        <w:rPr>
          <w:rFonts w:ascii="Arial" w:hAnsi="Arial"/>
        </w:rPr>
        <w:lastRenderedPageBreak/>
        <w:t>Table 1 - Laboratory investigations</w:t>
      </w:r>
    </w:p>
    <w:tbl>
      <w:tblPr>
        <w:tblW w:w="96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208"/>
        <w:gridCol w:w="3207"/>
        <w:gridCol w:w="3207"/>
      </w:tblGrid>
      <w:tr w:rsidR="00595D39" w14:paraId="6D00B2A6" w14:textId="77777777">
        <w:trPr>
          <w:trHeight w:val="737"/>
          <w:tblHeader/>
          <w:jc w:val="center"/>
        </w:trPr>
        <w:tc>
          <w:tcPr>
            <w:tcW w:w="3208" w:type="dxa"/>
            <w:tcBorders>
              <w:top w:val="single" w:sz="6" w:space="0" w:color="929292"/>
              <w:left w:val="single" w:sz="6" w:space="0" w:color="929292"/>
              <w:bottom w:val="single" w:sz="8" w:space="0" w:color="89847F"/>
              <w:right w:val="single" w:sz="2" w:space="0" w:color="5E5E5E"/>
            </w:tcBorders>
            <w:tcMar>
              <w:top w:w="80" w:type="dxa"/>
              <w:left w:w="80" w:type="dxa"/>
              <w:bottom w:w="80" w:type="dxa"/>
              <w:right w:w="80" w:type="dxa"/>
            </w:tcMar>
          </w:tcPr>
          <w:p w14:paraId="5FF4BBE8" w14:textId="77777777" w:rsidR="00595D39" w:rsidRDefault="00D67047">
            <w:pPr>
              <w:pStyle w:val="TableStyle7A"/>
            </w:pPr>
            <w:r>
              <w:rPr>
                <w:rFonts w:ascii="Arial" w:hAnsi="Arial"/>
              </w:rPr>
              <w:t>Investigation</w:t>
            </w:r>
          </w:p>
        </w:tc>
        <w:tc>
          <w:tcPr>
            <w:tcW w:w="3207" w:type="dxa"/>
            <w:tcBorders>
              <w:top w:val="single" w:sz="6" w:space="0" w:color="929292"/>
              <w:left w:val="single" w:sz="2" w:space="0" w:color="5E5E5E"/>
              <w:bottom w:val="single" w:sz="8" w:space="0" w:color="89847F"/>
              <w:right w:val="single" w:sz="2" w:space="0" w:color="5E5E5E"/>
            </w:tcBorders>
            <w:tcMar>
              <w:top w:w="80" w:type="dxa"/>
              <w:left w:w="80" w:type="dxa"/>
              <w:bottom w:w="80" w:type="dxa"/>
              <w:right w:w="80" w:type="dxa"/>
            </w:tcMar>
          </w:tcPr>
          <w:p w14:paraId="4AD9A8EB" w14:textId="77777777" w:rsidR="00595D39" w:rsidRDefault="00D67047">
            <w:pPr>
              <w:pStyle w:val="TableStyle7A"/>
            </w:pPr>
            <w:r>
              <w:rPr>
                <w:rFonts w:ascii="Arial" w:hAnsi="Arial"/>
              </w:rPr>
              <w:t>Values</w:t>
            </w:r>
          </w:p>
        </w:tc>
        <w:tc>
          <w:tcPr>
            <w:tcW w:w="3207" w:type="dxa"/>
            <w:tcBorders>
              <w:top w:val="single" w:sz="6" w:space="0" w:color="929292"/>
              <w:left w:val="single" w:sz="2" w:space="0" w:color="5E5E5E"/>
              <w:bottom w:val="single" w:sz="8" w:space="0" w:color="89847F"/>
              <w:right w:val="single" w:sz="6" w:space="0" w:color="929292"/>
            </w:tcBorders>
            <w:tcMar>
              <w:top w:w="80" w:type="dxa"/>
              <w:left w:w="80" w:type="dxa"/>
              <w:bottom w:w="80" w:type="dxa"/>
              <w:right w:w="80" w:type="dxa"/>
            </w:tcMar>
          </w:tcPr>
          <w:p w14:paraId="1B321FF5" w14:textId="77777777" w:rsidR="00595D39" w:rsidRDefault="00D67047">
            <w:pPr>
              <w:pStyle w:val="TableStyle7A"/>
            </w:pPr>
            <w:r>
              <w:rPr>
                <w:rFonts w:ascii="Arial" w:hAnsi="Arial"/>
              </w:rPr>
              <w:t>Reference ranges</w:t>
            </w:r>
          </w:p>
        </w:tc>
      </w:tr>
      <w:tr w:rsidR="00595D39" w14:paraId="590E3B3D" w14:textId="77777777">
        <w:tblPrEx>
          <w:shd w:val="clear" w:color="auto" w:fill="CED7E7"/>
        </w:tblPrEx>
        <w:trPr>
          <w:trHeight w:val="1865"/>
          <w:jc w:val="center"/>
        </w:trPr>
        <w:tc>
          <w:tcPr>
            <w:tcW w:w="3208" w:type="dxa"/>
            <w:tcBorders>
              <w:top w:val="single" w:sz="8" w:space="0" w:color="89847F"/>
              <w:left w:val="single" w:sz="6" w:space="0" w:color="929292"/>
              <w:bottom w:val="single" w:sz="2" w:space="0" w:color="929292"/>
              <w:right w:val="single" w:sz="6" w:space="0" w:color="89847F"/>
            </w:tcBorders>
            <w:tcMar>
              <w:top w:w="80" w:type="dxa"/>
              <w:left w:w="80" w:type="dxa"/>
              <w:bottom w:w="80" w:type="dxa"/>
              <w:right w:w="80" w:type="dxa"/>
            </w:tcMar>
          </w:tcPr>
          <w:p w14:paraId="4ED2706E" w14:textId="77777777" w:rsidR="00595D39" w:rsidRDefault="00D67047">
            <w:pPr>
              <w:pStyle w:val="TableStyle6A"/>
              <w:tabs>
                <w:tab w:val="left" w:pos="920"/>
                <w:tab w:val="left" w:pos="1840"/>
                <w:tab w:val="left" w:pos="2760"/>
              </w:tabs>
            </w:pPr>
            <w:r>
              <w:t xml:space="preserve">Complete hemogram </w:t>
            </w:r>
          </w:p>
        </w:tc>
        <w:tc>
          <w:tcPr>
            <w:tcW w:w="3207" w:type="dxa"/>
            <w:tcBorders>
              <w:top w:val="single" w:sz="8" w:space="0" w:color="89847F"/>
              <w:left w:val="single" w:sz="6" w:space="0" w:color="89847F"/>
              <w:bottom w:val="single" w:sz="2" w:space="0" w:color="929292"/>
              <w:right w:val="single" w:sz="2" w:space="0" w:color="929292"/>
            </w:tcBorders>
            <w:tcMar>
              <w:top w:w="80" w:type="dxa"/>
              <w:left w:w="80" w:type="dxa"/>
              <w:bottom w:w="80" w:type="dxa"/>
              <w:right w:w="80" w:type="dxa"/>
            </w:tcMar>
          </w:tcPr>
          <w:p w14:paraId="7A301BFA" w14:textId="77777777" w:rsidR="00595D39" w:rsidRDefault="00D67047">
            <w:pPr>
              <w:pStyle w:val="TableStyle2A"/>
              <w:rPr>
                <w:rFonts w:ascii="Arial" w:eastAsia="Arial" w:hAnsi="Arial" w:cs="Arial"/>
              </w:rPr>
            </w:pPr>
            <w:r>
              <w:rPr>
                <w:rFonts w:ascii="Arial" w:hAnsi="Arial"/>
              </w:rPr>
              <w:t xml:space="preserve">TC - 6600 cells/ cubic mm </w:t>
            </w:r>
          </w:p>
          <w:p w14:paraId="22AE34DE" w14:textId="77777777" w:rsidR="00595D39" w:rsidRDefault="00595D39">
            <w:pPr>
              <w:pStyle w:val="TableStyle2A"/>
              <w:rPr>
                <w:rFonts w:ascii="Arial" w:eastAsia="Arial" w:hAnsi="Arial" w:cs="Arial"/>
              </w:rPr>
            </w:pPr>
          </w:p>
          <w:p w14:paraId="102EE39F" w14:textId="77777777" w:rsidR="00595D39" w:rsidRDefault="00D67047">
            <w:pPr>
              <w:pStyle w:val="TableStyle2A"/>
              <w:rPr>
                <w:rFonts w:ascii="Arial" w:eastAsia="Arial" w:hAnsi="Arial" w:cs="Arial"/>
              </w:rPr>
            </w:pPr>
            <w:r>
              <w:rPr>
                <w:rFonts w:ascii="Arial" w:hAnsi="Arial"/>
              </w:rPr>
              <w:t>PLT - 108,000 / µL</w:t>
            </w:r>
          </w:p>
          <w:p w14:paraId="71DEFC5D" w14:textId="77777777" w:rsidR="00595D39" w:rsidRDefault="00595D39">
            <w:pPr>
              <w:pStyle w:val="Default"/>
              <w:suppressAutoHyphens/>
              <w:spacing w:before="0" w:after="240" w:line="240" w:lineRule="auto"/>
              <w:rPr>
                <w:rFonts w:ascii="Arial" w:eastAsia="Arial" w:hAnsi="Arial" w:cs="Arial"/>
                <w:sz w:val="20"/>
                <w:szCs w:val="20"/>
              </w:rPr>
            </w:pPr>
          </w:p>
          <w:p w14:paraId="12845F11" w14:textId="77777777" w:rsidR="00595D39" w:rsidRDefault="00D67047">
            <w:pPr>
              <w:pStyle w:val="Default"/>
              <w:suppressAutoHyphens/>
              <w:spacing w:before="0" w:after="240" w:line="240" w:lineRule="auto"/>
            </w:pPr>
            <w:r>
              <w:rPr>
                <w:rFonts w:ascii="Arial" w:hAnsi="Arial"/>
                <w:sz w:val="20"/>
                <w:szCs w:val="20"/>
              </w:rPr>
              <w:t xml:space="preserve">Hb - 11.6 g/dL </w:t>
            </w:r>
          </w:p>
        </w:tc>
        <w:tc>
          <w:tcPr>
            <w:tcW w:w="3207" w:type="dxa"/>
            <w:tcBorders>
              <w:top w:val="single" w:sz="8" w:space="0" w:color="89847F"/>
              <w:left w:val="single" w:sz="2" w:space="0" w:color="929292"/>
              <w:bottom w:val="single" w:sz="2" w:space="0" w:color="929292"/>
              <w:right w:val="single" w:sz="6" w:space="0" w:color="929292"/>
            </w:tcBorders>
            <w:tcMar>
              <w:top w:w="80" w:type="dxa"/>
              <w:left w:w="80" w:type="dxa"/>
              <w:bottom w:w="80" w:type="dxa"/>
              <w:right w:w="80" w:type="dxa"/>
            </w:tcMar>
          </w:tcPr>
          <w:p w14:paraId="7B3FDC93" w14:textId="77777777" w:rsidR="00595D39" w:rsidRDefault="00D67047">
            <w:pPr>
              <w:pStyle w:val="TableStyle2A"/>
              <w:rPr>
                <w:rFonts w:ascii="Arial" w:eastAsia="Arial" w:hAnsi="Arial" w:cs="Arial"/>
              </w:rPr>
            </w:pPr>
            <w:r>
              <w:rPr>
                <w:rFonts w:ascii="Arial" w:hAnsi="Arial"/>
              </w:rPr>
              <w:t xml:space="preserve">TC - 4,000 – 11,000 cells/mm³ </w:t>
            </w:r>
          </w:p>
          <w:p w14:paraId="5BFDE597" w14:textId="77777777" w:rsidR="00595D39" w:rsidRDefault="00595D39">
            <w:pPr>
              <w:pStyle w:val="TableStyle2A"/>
              <w:rPr>
                <w:rFonts w:ascii="Arial" w:eastAsia="Arial" w:hAnsi="Arial" w:cs="Arial"/>
              </w:rPr>
            </w:pPr>
          </w:p>
          <w:p w14:paraId="365DCB2A" w14:textId="77777777" w:rsidR="00595D39" w:rsidRDefault="00D67047">
            <w:pPr>
              <w:pStyle w:val="TableStyle2A"/>
              <w:rPr>
                <w:rFonts w:ascii="Arial" w:eastAsia="Arial" w:hAnsi="Arial" w:cs="Arial"/>
              </w:rPr>
            </w:pPr>
            <w:r>
              <w:rPr>
                <w:rFonts w:ascii="Arial" w:hAnsi="Arial"/>
              </w:rPr>
              <w:t>PLT - 150,000 – 450,000 /µL</w:t>
            </w:r>
          </w:p>
          <w:p w14:paraId="4747E705" w14:textId="77777777" w:rsidR="00595D39" w:rsidRDefault="00595D39">
            <w:pPr>
              <w:pStyle w:val="Default"/>
              <w:suppressAutoHyphens/>
              <w:spacing w:before="0" w:after="240" w:line="240" w:lineRule="auto"/>
              <w:rPr>
                <w:rFonts w:ascii="Arial" w:eastAsia="Arial" w:hAnsi="Arial" w:cs="Arial"/>
                <w:sz w:val="20"/>
                <w:szCs w:val="20"/>
              </w:rPr>
            </w:pPr>
          </w:p>
          <w:p w14:paraId="2C767FB6" w14:textId="77777777" w:rsidR="00595D39" w:rsidRDefault="00D67047">
            <w:pPr>
              <w:pStyle w:val="Default"/>
              <w:suppressAutoHyphens/>
              <w:spacing w:before="0" w:after="240" w:line="240" w:lineRule="auto"/>
            </w:pPr>
            <w:r>
              <w:rPr>
                <w:rFonts w:ascii="Arial" w:hAnsi="Arial"/>
                <w:sz w:val="20"/>
                <w:szCs w:val="20"/>
              </w:rPr>
              <w:t>Hb - 13.5 - 17.5 g/dL</w:t>
            </w:r>
          </w:p>
        </w:tc>
      </w:tr>
      <w:tr w:rsidR="00595D39" w14:paraId="2361B29D" w14:textId="77777777">
        <w:tblPrEx>
          <w:shd w:val="clear" w:color="auto" w:fill="CED7E7"/>
        </w:tblPrEx>
        <w:trPr>
          <w:trHeight w:val="3060"/>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12037000" w14:textId="77777777" w:rsidR="00595D39" w:rsidRDefault="00D67047">
            <w:pPr>
              <w:pStyle w:val="TableStyle6A"/>
              <w:tabs>
                <w:tab w:val="left" w:pos="920"/>
                <w:tab w:val="left" w:pos="1840"/>
                <w:tab w:val="left" w:pos="2760"/>
              </w:tabs>
            </w:pPr>
            <w:r>
              <w:t xml:space="preserve">LFT </w:t>
            </w:r>
          </w:p>
        </w:tc>
        <w:tc>
          <w:tcPr>
            <w:tcW w:w="3207" w:type="dxa"/>
            <w:tcBorders>
              <w:top w:val="single" w:sz="2" w:space="0" w:color="929292"/>
              <w:left w:val="single" w:sz="6" w:space="0" w:color="89847F"/>
              <w:bottom w:val="single" w:sz="2" w:space="0" w:color="929292"/>
              <w:right w:val="single" w:sz="2" w:space="0" w:color="929292"/>
            </w:tcBorders>
            <w:shd w:val="clear" w:color="auto" w:fill="F4F9F8"/>
            <w:tcMar>
              <w:top w:w="80" w:type="dxa"/>
              <w:left w:w="80" w:type="dxa"/>
              <w:bottom w:w="80" w:type="dxa"/>
              <w:right w:w="80" w:type="dxa"/>
            </w:tcMar>
          </w:tcPr>
          <w:p w14:paraId="28EC6580" w14:textId="77777777" w:rsidR="00595D39" w:rsidRDefault="00D67047">
            <w:pPr>
              <w:pStyle w:val="TableStyle2A"/>
              <w:rPr>
                <w:rFonts w:ascii="Arial" w:eastAsia="Arial" w:hAnsi="Arial" w:cs="Arial"/>
              </w:rPr>
            </w:pPr>
            <w:r>
              <w:rPr>
                <w:rFonts w:ascii="Arial" w:hAnsi="Arial"/>
              </w:rPr>
              <w:t>T. Bilirubin - 0.9 mg/ dL</w:t>
            </w:r>
          </w:p>
          <w:p w14:paraId="0FFEAD81" w14:textId="77777777" w:rsidR="00595D39" w:rsidRDefault="00595D39">
            <w:pPr>
              <w:pStyle w:val="TableStyle2A"/>
              <w:rPr>
                <w:rFonts w:ascii="Arial" w:eastAsia="Arial" w:hAnsi="Arial" w:cs="Arial"/>
              </w:rPr>
            </w:pPr>
          </w:p>
          <w:p w14:paraId="3852E4B6" w14:textId="77777777" w:rsidR="00595D39" w:rsidRDefault="00D67047">
            <w:pPr>
              <w:pStyle w:val="TableStyle2A"/>
              <w:rPr>
                <w:rFonts w:ascii="Arial" w:eastAsia="Arial" w:hAnsi="Arial" w:cs="Arial"/>
              </w:rPr>
            </w:pPr>
            <w:proofErr w:type="gramStart"/>
            <w:r>
              <w:rPr>
                <w:rFonts w:ascii="Arial" w:hAnsi="Arial"/>
              </w:rPr>
              <w:t>D .</w:t>
            </w:r>
            <w:proofErr w:type="gramEnd"/>
            <w:r>
              <w:rPr>
                <w:rFonts w:ascii="Arial" w:hAnsi="Arial"/>
              </w:rPr>
              <w:t xml:space="preserve"> Bilirubin - 0.4 mg / dL </w:t>
            </w:r>
          </w:p>
          <w:p w14:paraId="5F1CF275" w14:textId="77777777" w:rsidR="00595D39" w:rsidRDefault="00595D39">
            <w:pPr>
              <w:pStyle w:val="TableStyle2A"/>
              <w:rPr>
                <w:rFonts w:ascii="Arial" w:eastAsia="Arial" w:hAnsi="Arial" w:cs="Arial"/>
              </w:rPr>
            </w:pPr>
          </w:p>
          <w:p w14:paraId="748E5242" w14:textId="77777777" w:rsidR="00595D39" w:rsidRDefault="00595D39">
            <w:pPr>
              <w:pStyle w:val="TableStyle2A"/>
              <w:rPr>
                <w:rFonts w:ascii="Arial" w:eastAsia="Arial" w:hAnsi="Arial" w:cs="Arial"/>
              </w:rPr>
            </w:pPr>
          </w:p>
          <w:p w14:paraId="12F6B36D" w14:textId="77777777" w:rsidR="00595D39" w:rsidRDefault="00D67047">
            <w:pPr>
              <w:pStyle w:val="TableStyle2A"/>
              <w:rPr>
                <w:rFonts w:ascii="Arial" w:eastAsia="Arial" w:hAnsi="Arial" w:cs="Arial"/>
              </w:rPr>
            </w:pPr>
            <w:r>
              <w:rPr>
                <w:rFonts w:ascii="Arial" w:hAnsi="Arial"/>
              </w:rPr>
              <w:t>AST – 163 IU/</w:t>
            </w:r>
            <w:proofErr w:type="gramStart"/>
            <w:r>
              <w:rPr>
                <w:rFonts w:ascii="Arial" w:hAnsi="Arial"/>
              </w:rPr>
              <w:t>L ,</w:t>
            </w:r>
            <w:proofErr w:type="gramEnd"/>
          </w:p>
          <w:p w14:paraId="1D4E2368" w14:textId="77777777" w:rsidR="00595D39" w:rsidRDefault="00595D39">
            <w:pPr>
              <w:pStyle w:val="TableStyle2A"/>
              <w:rPr>
                <w:rFonts w:ascii="Arial" w:eastAsia="Arial" w:hAnsi="Arial" w:cs="Arial"/>
              </w:rPr>
            </w:pPr>
          </w:p>
          <w:p w14:paraId="59B11935" w14:textId="77777777" w:rsidR="00595D39" w:rsidRDefault="00D67047">
            <w:pPr>
              <w:pStyle w:val="TableStyle2A"/>
              <w:rPr>
                <w:rFonts w:ascii="Arial" w:eastAsia="Arial" w:hAnsi="Arial" w:cs="Arial"/>
              </w:rPr>
            </w:pPr>
            <w:r>
              <w:rPr>
                <w:rFonts w:ascii="Arial" w:hAnsi="Arial"/>
              </w:rPr>
              <w:t>ALT - 70 IU/</w:t>
            </w:r>
            <w:proofErr w:type="gramStart"/>
            <w:r>
              <w:rPr>
                <w:rFonts w:ascii="Arial" w:hAnsi="Arial"/>
              </w:rPr>
              <w:t>L ,</w:t>
            </w:r>
            <w:proofErr w:type="gramEnd"/>
          </w:p>
          <w:p w14:paraId="7A20EA94" w14:textId="77777777" w:rsidR="00595D39" w:rsidRDefault="00595D39">
            <w:pPr>
              <w:pStyle w:val="TableStyle2A"/>
              <w:rPr>
                <w:rFonts w:ascii="Arial" w:eastAsia="Arial" w:hAnsi="Arial" w:cs="Arial"/>
              </w:rPr>
            </w:pPr>
          </w:p>
          <w:p w14:paraId="5BD43849" w14:textId="77777777" w:rsidR="00595D39" w:rsidRDefault="00D67047">
            <w:pPr>
              <w:pStyle w:val="TableStyle2A"/>
            </w:pPr>
            <w:r>
              <w:rPr>
                <w:rFonts w:ascii="Arial" w:hAnsi="Arial"/>
              </w:rPr>
              <w:t>ALP - 86 IU/</w:t>
            </w:r>
            <w:proofErr w:type="gramStart"/>
            <w:r>
              <w:rPr>
                <w:rFonts w:ascii="Arial" w:hAnsi="Arial"/>
              </w:rPr>
              <w:t>L ,</w:t>
            </w:r>
            <w:proofErr w:type="gramEnd"/>
          </w:p>
        </w:tc>
        <w:tc>
          <w:tcPr>
            <w:tcW w:w="3207"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7780208F" w14:textId="77777777" w:rsidR="00595D39" w:rsidRDefault="00D67047">
            <w:pPr>
              <w:pStyle w:val="TableStyle2A"/>
              <w:rPr>
                <w:rFonts w:ascii="Arial" w:eastAsia="Arial" w:hAnsi="Arial" w:cs="Arial"/>
              </w:rPr>
            </w:pPr>
            <w:r>
              <w:rPr>
                <w:rFonts w:ascii="Arial" w:hAnsi="Arial"/>
              </w:rPr>
              <w:t xml:space="preserve">T. Bilirubin - 0.1 – </w:t>
            </w:r>
            <w:r>
              <w:rPr>
                <w:rFonts w:ascii="Arial" w:hAnsi="Arial"/>
              </w:rPr>
              <w:t>1.2 mg/dL</w:t>
            </w:r>
          </w:p>
          <w:p w14:paraId="096DF834" w14:textId="77777777" w:rsidR="00595D39" w:rsidRDefault="00595D39">
            <w:pPr>
              <w:pStyle w:val="TableStyle2A"/>
              <w:rPr>
                <w:rFonts w:ascii="Arial" w:eastAsia="Arial" w:hAnsi="Arial" w:cs="Arial"/>
              </w:rPr>
            </w:pPr>
          </w:p>
          <w:p w14:paraId="5AD785E1" w14:textId="77777777" w:rsidR="00595D39" w:rsidRDefault="00D67047">
            <w:pPr>
              <w:pStyle w:val="TableStyle2A"/>
              <w:rPr>
                <w:rFonts w:ascii="Arial" w:eastAsia="Arial" w:hAnsi="Arial" w:cs="Arial"/>
              </w:rPr>
            </w:pPr>
            <w:proofErr w:type="gramStart"/>
            <w:r>
              <w:rPr>
                <w:rFonts w:ascii="Arial" w:hAnsi="Arial"/>
              </w:rPr>
              <w:t>D .</w:t>
            </w:r>
            <w:proofErr w:type="gramEnd"/>
            <w:r>
              <w:rPr>
                <w:rFonts w:ascii="Arial" w:hAnsi="Arial"/>
              </w:rPr>
              <w:t xml:space="preserve"> Bilirubin - 0.1 – 0.3 mg/dL</w:t>
            </w:r>
          </w:p>
          <w:p w14:paraId="19380246" w14:textId="77777777" w:rsidR="00595D39" w:rsidRDefault="00595D39">
            <w:pPr>
              <w:pStyle w:val="Default"/>
              <w:suppressAutoHyphens/>
              <w:spacing w:before="0" w:after="240" w:line="240" w:lineRule="auto"/>
              <w:rPr>
                <w:rFonts w:ascii="Arial" w:eastAsia="Arial" w:hAnsi="Arial" w:cs="Arial"/>
                <w:sz w:val="20"/>
                <w:szCs w:val="20"/>
                <w:lang w:val="de-DE"/>
              </w:rPr>
            </w:pPr>
          </w:p>
          <w:p w14:paraId="14BC02BC" w14:textId="77777777" w:rsidR="00595D39" w:rsidRDefault="00D67047">
            <w:pPr>
              <w:pStyle w:val="Default"/>
              <w:suppressAutoHyphens/>
              <w:spacing w:before="0" w:after="240" w:line="240" w:lineRule="auto"/>
              <w:rPr>
                <w:rFonts w:ascii="Arial" w:eastAsia="Arial" w:hAnsi="Arial" w:cs="Arial"/>
                <w:sz w:val="20"/>
                <w:szCs w:val="20"/>
              </w:rPr>
            </w:pPr>
            <w:r>
              <w:rPr>
                <w:rFonts w:ascii="Arial" w:hAnsi="Arial"/>
                <w:sz w:val="20"/>
                <w:szCs w:val="20"/>
                <w:lang w:val="de-DE"/>
              </w:rPr>
              <w:t xml:space="preserve">AST  - 10 </w:t>
            </w:r>
            <w:r>
              <w:rPr>
                <w:rFonts w:ascii="Arial" w:hAnsi="Arial"/>
                <w:sz w:val="20"/>
                <w:szCs w:val="20"/>
              </w:rPr>
              <w:t xml:space="preserve">– 40 IU/L , </w:t>
            </w:r>
          </w:p>
          <w:p w14:paraId="0BC1AED5" w14:textId="77777777" w:rsidR="00595D39" w:rsidRDefault="00D67047">
            <w:pPr>
              <w:pStyle w:val="Default"/>
              <w:suppressAutoHyphens/>
              <w:spacing w:before="0" w:after="240" w:line="240" w:lineRule="auto"/>
              <w:rPr>
                <w:rFonts w:ascii="Arial" w:eastAsia="Arial" w:hAnsi="Arial" w:cs="Arial"/>
                <w:sz w:val="20"/>
                <w:szCs w:val="20"/>
              </w:rPr>
            </w:pPr>
            <w:r>
              <w:rPr>
                <w:rFonts w:ascii="Arial" w:hAnsi="Arial"/>
                <w:sz w:val="20"/>
                <w:szCs w:val="20"/>
                <w:lang w:val="de-DE"/>
              </w:rPr>
              <w:t xml:space="preserve">ALT - 7 </w:t>
            </w:r>
            <w:r>
              <w:rPr>
                <w:rFonts w:ascii="Arial" w:hAnsi="Arial"/>
                <w:sz w:val="20"/>
                <w:szCs w:val="20"/>
              </w:rPr>
              <w:t>– 56 IU/L</w:t>
            </w:r>
          </w:p>
          <w:p w14:paraId="205CCE43" w14:textId="77777777" w:rsidR="00595D39" w:rsidRDefault="00D67047">
            <w:pPr>
              <w:pStyle w:val="Default"/>
              <w:suppressAutoHyphens/>
              <w:spacing w:before="0" w:after="240" w:line="240" w:lineRule="auto"/>
            </w:pPr>
            <w:r>
              <w:rPr>
                <w:rFonts w:ascii="Arial" w:hAnsi="Arial"/>
                <w:sz w:val="20"/>
                <w:szCs w:val="20"/>
              </w:rPr>
              <w:t>ALP - 35 – 130 IU/L</w:t>
            </w:r>
          </w:p>
        </w:tc>
      </w:tr>
      <w:tr w:rsidR="00595D39" w14:paraId="2F582A05"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760DF571" w14:textId="77777777" w:rsidR="00595D39" w:rsidRDefault="00D67047">
            <w:pPr>
              <w:pStyle w:val="TableStyle6A"/>
              <w:tabs>
                <w:tab w:val="left" w:pos="920"/>
                <w:tab w:val="left" w:pos="1840"/>
                <w:tab w:val="left" w:pos="2760"/>
              </w:tabs>
            </w:pPr>
            <w:r>
              <w:t xml:space="preserve">USG Abdomen and Pelvis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108DEA0A" w14:textId="77777777" w:rsidR="00595D39" w:rsidRDefault="00D67047">
            <w:pPr>
              <w:pStyle w:val="Body"/>
            </w:pPr>
            <w:r>
              <w:rPr>
                <w:rFonts w:ascii="Arial" w:hAnsi="Arial"/>
              </w:rPr>
              <w:t>Mild Hepatomegaly</w:t>
            </w:r>
          </w:p>
        </w:tc>
      </w:tr>
      <w:tr w:rsidR="00595D39" w14:paraId="3B2AA681" w14:textId="77777777">
        <w:tblPrEx>
          <w:shd w:val="clear" w:color="auto" w:fill="CED7E7"/>
        </w:tblPrEx>
        <w:trPr>
          <w:trHeight w:val="1538"/>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450D7FB" w14:textId="77777777" w:rsidR="00595D39" w:rsidRDefault="00D67047">
            <w:pPr>
              <w:pStyle w:val="TableStyle6A"/>
              <w:tabs>
                <w:tab w:val="left" w:pos="920"/>
                <w:tab w:val="left" w:pos="1840"/>
                <w:tab w:val="left" w:pos="2760"/>
              </w:tabs>
            </w:pPr>
            <w:r>
              <w:t xml:space="preserve">RFT </w:t>
            </w:r>
          </w:p>
        </w:tc>
        <w:tc>
          <w:tcPr>
            <w:tcW w:w="3207" w:type="dxa"/>
            <w:tcBorders>
              <w:top w:val="single" w:sz="2" w:space="0" w:color="929292"/>
              <w:left w:val="single" w:sz="6" w:space="0" w:color="89847F"/>
              <w:bottom w:val="single" w:sz="2" w:space="0" w:color="929292"/>
              <w:right w:val="single" w:sz="2" w:space="0" w:color="929292"/>
            </w:tcBorders>
            <w:shd w:val="clear" w:color="auto" w:fill="F4F9F8"/>
            <w:tcMar>
              <w:top w:w="80" w:type="dxa"/>
              <w:left w:w="80" w:type="dxa"/>
              <w:bottom w:w="80" w:type="dxa"/>
              <w:right w:w="80" w:type="dxa"/>
            </w:tcMar>
          </w:tcPr>
          <w:p w14:paraId="0C7AB40B" w14:textId="77777777" w:rsidR="00595D39" w:rsidRDefault="00D67047">
            <w:pPr>
              <w:pStyle w:val="Body"/>
              <w:rPr>
                <w:rFonts w:ascii="Arial" w:eastAsia="Arial" w:hAnsi="Arial" w:cs="Arial"/>
              </w:rPr>
            </w:pPr>
            <w:r>
              <w:rPr>
                <w:rFonts w:ascii="Arial" w:hAnsi="Arial"/>
              </w:rPr>
              <w:t xml:space="preserve">Urea </w:t>
            </w:r>
            <w:proofErr w:type="gramStart"/>
            <w:r>
              <w:rPr>
                <w:rFonts w:ascii="Arial" w:hAnsi="Arial"/>
              </w:rPr>
              <w:t>-  23</w:t>
            </w:r>
            <w:proofErr w:type="gramEnd"/>
            <w:r>
              <w:rPr>
                <w:rFonts w:ascii="Arial" w:hAnsi="Arial"/>
              </w:rPr>
              <w:t xml:space="preserve"> mg/dL</w:t>
            </w:r>
          </w:p>
          <w:p w14:paraId="5A59C723" w14:textId="77777777" w:rsidR="00595D39" w:rsidRDefault="00595D39">
            <w:pPr>
              <w:pStyle w:val="Body"/>
              <w:rPr>
                <w:rFonts w:ascii="Arial" w:eastAsia="Arial" w:hAnsi="Arial" w:cs="Arial"/>
              </w:rPr>
            </w:pPr>
          </w:p>
          <w:p w14:paraId="41396BF2" w14:textId="77777777" w:rsidR="00595D39" w:rsidRDefault="00D67047">
            <w:pPr>
              <w:pStyle w:val="Body"/>
              <w:rPr>
                <w:rFonts w:ascii="Arial" w:eastAsia="Arial" w:hAnsi="Arial" w:cs="Arial"/>
              </w:rPr>
            </w:pPr>
            <w:r>
              <w:rPr>
                <w:rFonts w:ascii="Arial" w:hAnsi="Arial"/>
              </w:rPr>
              <w:t>Creatinine – 0.7 mg/dL</w:t>
            </w:r>
          </w:p>
          <w:p w14:paraId="52EF01C6" w14:textId="77777777" w:rsidR="00595D39" w:rsidRDefault="00595D39">
            <w:pPr>
              <w:pStyle w:val="Body"/>
              <w:rPr>
                <w:rFonts w:ascii="Arial" w:eastAsia="Arial" w:hAnsi="Arial" w:cs="Arial"/>
              </w:rPr>
            </w:pPr>
          </w:p>
          <w:p w14:paraId="3623E11F" w14:textId="77777777" w:rsidR="00595D39" w:rsidRDefault="00D67047">
            <w:pPr>
              <w:pStyle w:val="Body"/>
              <w:rPr>
                <w:rFonts w:ascii="Arial" w:eastAsia="Arial" w:hAnsi="Arial" w:cs="Arial"/>
                <w:color w:val="1F1F1F"/>
                <w:u w:color="1F1F1F"/>
                <w:shd w:val="clear" w:color="auto" w:fill="FFFFFF"/>
              </w:rPr>
            </w:pPr>
            <w:r>
              <w:rPr>
                <w:rFonts w:ascii="Arial" w:hAnsi="Arial"/>
                <w:color w:val="1F1F1F"/>
                <w:u w:color="1F1F1F"/>
                <w:shd w:val="clear" w:color="auto" w:fill="FFFFFF"/>
              </w:rPr>
              <w:t xml:space="preserve"> Na+ - 136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p w14:paraId="19803416" w14:textId="77777777" w:rsidR="00595D39" w:rsidRDefault="00595D39">
            <w:pPr>
              <w:pStyle w:val="Body"/>
              <w:rPr>
                <w:rFonts w:ascii="Arial" w:eastAsia="Arial" w:hAnsi="Arial" w:cs="Arial"/>
                <w:color w:val="1F1F1F"/>
                <w:u w:color="1F1F1F"/>
                <w:shd w:val="clear" w:color="auto" w:fill="FFFFFF"/>
              </w:rPr>
            </w:pPr>
          </w:p>
          <w:p w14:paraId="665AF0F4" w14:textId="77777777" w:rsidR="00595D39" w:rsidRDefault="00D67047">
            <w:pPr>
              <w:pStyle w:val="TableStyle2A"/>
            </w:pPr>
            <w:r>
              <w:rPr>
                <w:rFonts w:ascii="Arial" w:hAnsi="Arial"/>
                <w:color w:val="1F1F1F"/>
                <w:u w:color="1F1F1F"/>
                <w:shd w:val="clear" w:color="auto" w:fill="FFFFFF"/>
              </w:rPr>
              <w:t xml:space="preserve">K+ - 3.7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tc>
        <w:tc>
          <w:tcPr>
            <w:tcW w:w="3207"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49DAACFD" w14:textId="77777777" w:rsidR="00595D39" w:rsidRDefault="00D67047">
            <w:pPr>
              <w:pStyle w:val="Body"/>
              <w:rPr>
                <w:rFonts w:ascii="Arial" w:eastAsia="Arial" w:hAnsi="Arial" w:cs="Arial"/>
              </w:rPr>
            </w:pPr>
            <w:r>
              <w:rPr>
                <w:rFonts w:ascii="Arial" w:hAnsi="Arial"/>
              </w:rPr>
              <w:t>Urea - 15 – 40 mg/dL</w:t>
            </w:r>
          </w:p>
          <w:p w14:paraId="652B3269" w14:textId="77777777" w:rsidR="00595D39" w:rsidRDefault="00595D39">
            <w:pPr>
              <w:pStyle w:val="Body"/>
              <w:rPr>
                <w:rFonts w:ascii="Arial" w:eastAsia="Arial" w:hAnsi="Arial" w:cs="Arial"/>
              </w:rPr>
            </w:pPr>
          </w:p>
          <w:p w14:paraId="4539D171" w14:textId="77777777" w:rsidR="00595D39" w:rsidRDefault="00D67047">
            <w:pPr>
              <w:pStyle w:val="Body"/>
              <w:rPr>
                <w:rFonts w:ascii="Arial" w:eastAsia="Arial" w:hAnsi="Arial" w:cs="Arial"/>
                <w:color w:val="1F1F1F"/>
                <w:u w:color="1F1F1F"/>
                <w:shd w:val="clear" w:color="auto" w:fill="FFFFFF"/>
              </w:rPr>
            </w:pPr>
            <w:r>
              <w:rPr>
                <w:rFonts w:ascii="Arial" w:hAnsi="Arial"/>
              </w:rPr>
              <w:t>Creatinine - 0.7 – 1.3 mg/dL</w:t>
            </w:r>
            <w:r>
              <w:rPr>
                <w:rFonts w:ascii="Arial" w:hAnsi="Arial"/>
                <w:color w:val="1F1F1F"/>
                <w:u w:color="1F1F1F"/>
                <w:shd w:val="clear" w:color="auto" w:fill="FFFFFF"/>
              </w:rPr>
              <w:t xml:space="preserve"> </w:t>
            </w:r>
          </w:p>
          <w:p w14:paraId="5624BA16" w14:textId="77777777" w:rsidR="00595D39" w:rsidRDefault="00595D39">
            <w:pPr>
              <w:pStyle w:val="Body"/>
              <w:rPr>
                <w:rFonts w:ascii="Arial" w:eastAsia="Arial" w:hAnsi="Arial" w:cs="Arial"/>
                <w:color w:val="1F1F1F"/>
                <w:u w:color="1F1F1F"/>
                <w:shd w:val="clear" w:color="auto" w:fill="FFFFFF"/>
              </w:rPr>
            </w:pPr>
          </w:p>
          <w:p w14:paraId="5A03B642" w14:textId="77777777" w:rsidR="00595D39" w:rsidRDefault="00D67047">
            <w:pPr>
              <w:pStyle w:val="Body"/>
              <w:rPr>
                <w:rFonts w:ascii="Arial" w:eastAsia="Arial" w:hAnsi="Arial" w:cs="Arial"/>
                <w:color w:val="1F1F1F"/>
                <w:u w:color="1F1F1F"/>
                <w:shd w:val="clear" w:color="auto" w:fill="FFFFFF"/>
              </w:rPr>
            </w:pPr>
            <w:r>
              <w:rPr>
                <w:rFonts w:ascii="Arial" w:hAnsi="Arial"/>
                <w:color w:val="1F1F1F"/>
                <w:u w:color="1F1F1F"/>
                <w:shd w:val="clear" w:color="auto" w:fill="FFFFFF"/>
              </w:rPr>
              <w:t xml:space="preserve">Na+ - 135 – 145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p w14:paraId="5B73DAC4" w14:textId="77777777" w:rsidR="00595D39" w:rsidRDefault="00595D39">
            <w:pPr>
              <w:pStyle w:val="Body"/>
              <w:rPr>
                <w:rFonts w:ascii="Arial" w:eastAsia="Arial" w:hAnsi="Arial" w:cs="Arial"/>
                <w:color w:val="1F1F1F"/>
                <w:u w:color="1F1F1F"/>
                <w:shd w:val="clear" w:color="auto" w:fill="FFFFFF"/>
              </w:rPr>
            </w:pPr>
          </w:p>
          <w:p w14:paraId="069C7469" w14:textId="77777777" w:rsidR="00595D39" w:rsidRDefault="00D67047">
            <w:pPr>
              <w:pStyle w:val="Body"/>
            </w:pPr>
            <w:r>
              <w:rPr>
                <w:rFonts w:ascii="Arial" w:hAnsi="Arial"/>
                <w:color w:val="1F1F1F"/>
                <w:u w:color="1F1F1F"/>
                <w:shd w:val="clear" w:color="auto" w:fill="FFFFFF"/>
              </w:rPr>
              <w:t xml:space="preserve">K+ - 3.5 – 5.0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tc>
      </w:tr>
      <w:tr w:rsidR="00595D39" w14:paraId="088B6A72" w14:textId="77777777">
        <w:tblPrEx>
          <w:shd w:val="clear" w:color="auto" w:fill="CED7E7"/>
        </w:tblPrEx>
        <w:trPr>
          <w:trHeight w:val="1680"/>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E426BD7" w14:textId="77777777" w:rsidR="00595D39" w:rsidRDefault="00D67047">
            <w:pPr>
              <w:pStyle w:val="TableStyle6A"/>
              <w:tabs>
                <w:tab w:val="left" w:pos="920"/>
                <w:tab w:val="left" w:pos="1840"/>
                <w:tab w:val="left" w:pos="2760"/>
              </w:tabs>
            </w:pPr>
            <w:r>
              <w:t xml:space="preserve">CSF Analysis </w:t>
            </w:r>
          </w:p>
        </w:tc>
        <w:tc>
          <w:tcPr>
            <w:tcW w:w="3207" w:type="dxa"/>
            <w:tcBorders>
              <w:top w:val="single" w:sz="2" w:space="0" w:color="929292"/>
              <w:left w:val="single" w:sz="6" w:space="0" w:color="89847F"/>
              <w:bottom w:val="single" w:sz="2" w:space="0" w:color="929292"/>
              <w:right w:val="single" w:sz="2" w:space="0" w:color="929292"/>
            </w:tcBorders>
            <w:tcMar>
              <w:top w:w="80" w:type="dxa"/>
              <w:left w:w="80" w:type="dxa"/>
              <w:bottom w:w="80" w:type="dxa"/>
              <w:right w:w="80" w:type="dxa"/>
            </w:tcMar>
          </w:tcPr>
          <w:p w14:paraId="0530142A" w14:textId="77777777" w:rsidR="00595D39" w:rsidRDefault="00D67047">
            <w:pPr>
              <w:pStyle w:val="TableStyle2A"/>
              <w:rPr>
                <w:rFonts w:ascii="Arial" w:eastAsia="Arial" w:hAnsi="Arial" w:cs="Arial"/>
              </w:rPr>
            </w:pPr>
            <w:r>
              <w:rPr>
                <w:rFonts w:ascii="Arial" w:hAnsi="Arial"/>
              </w:rPr>
              <w:t xml:space="preserve">Glucose - 77 mg/ dL </w:t>
            </w:r>
          </w:p>
          <w:p w14:paraId="208248E1" w14:textId="77777777" w:rsidR="00595D39" w:rsidRDefault="00595D39">
            <w:pPr>
              <w:pStyle w:val="TableStyle2A"/>
              <w:rPr>
                <w:rFonts w:ascii="Arial" w:eastAsia="Arial" w:hAnsi="Arial" w:cs="Arial"/>
              </w:rPr>
            </w:pPr>
          </w:p>
          <w:p w14:paraId="4132AD5D" w14:textId="77777777" w:rsidR="00595D39" w:rsidRDefault="00D67047">
            <w:pPr>
              <w:pStyle w:val="TableStyle2A"/>
            </w:pPr>
            <w:r>
              <w:rPr>
                <w:rFonts w:ascii="Arial" w:hAnsi="Arial"/>
              </w:rPr>
              <w:t>Protein - 30 mg / dL</w:t>
            </w:r>
          </w:p>
        </w:tc>
        <w:tc>
          <w:tcPr>
            <w:tcW w:w="3207"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5031A984" w14:textId="77777777" w:rsidR="00595D39" w:rsidRDefault="00D67047">
            <w:pPr>
              <w:pStyle w:val="Default"/>
              <w:suppressAutoHyphens/>
              <w:spacing w:before="0" w:after="240" w:line="240" w:lineRule="auto"/>
              <w:rPr>
                <w:rFonts w:ascii="Arial" w:eastAsia="Arial" w:hAnsi="Arial" w:cs="Arial"/>
                <w:sz w:val="20"/>
                <w:szCs w:val="20"/>
              </w:rPr>
            </w:pPr>
            <w:r>
              <w:rPr>
                <w:rFonts w:ascii="Arial" w:hAnsi="Arial"/>
                <w:sz w:val="20"/>
                <w:szCs w:val="20"/>
              </w:rPr>
              <w:t>Glucose - 45 – 80 mg/dL</w:t>
            </w:r>
          </w:p>
          <w:p w14:paraId="1C4119E7" w14:textId="77777777" w:rsidR="00595D39" w:rsidRDefault="00D67047">
            <w:pPr>
              <w:pStyle w:val="Default"/>
              <w:suppressAutoHyphens/>
              <w:spacing w:before="0" w:after="240" w:line="240" w:lineRule="auto"/>
            </w:pPr>
            <w:r>
              <w:rPr>
                <w:rFonts w:ascii="Arial" w:hAnsi="Arial"/>
                <w:sz w:val="20"/>
                <w:szCs w:val="20"/>
              </w:rPr>
              <w:t>Protein - 15 – 45 mg/dL</w:t>
            </w:r>
          </w:p>
        </w:tc>
      </w:tr>
      <w:tr w:rsidR="00595D39" w14:paraId="3C3D0E86"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77F3B61" w14:textId="77777777" w:rsidR="00595D39" w:rsidRDefault="00D67047">
            <w:pPr>
              <w:pStyle w:val="TableStyle6A"/>
              <w:tabs>
                <w:tab w:val="left" w:pos="920"/>
                <w:tab w:val="left" w:pos="1840"/>
                <w:tab w:val="left" w:pos="2760"/>
              </w:tabs>
            </w:pPr>
            <w:r>
              <w:t xml:space="preserve">IgM Scrub typhus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1715D946" w14:textId="77777777" w:rsidR="00595D39" w:rsidRDefault="00D67047">
            <w:pPr>
              <w:pStyle w:val="Body"/>
            </w:pPr>
            <w:r>
              <w:rPr>
                <w:rFonts w:ascii="Arial" w:hAnsi="Arial"/>
              </w:rPr>
              <w:t xml:space="preserve">Negative </w:t>
            </w:r>
          </w:p>
        </w:tc>
      </w:tr>
      <w:tr w:rsidR="00595D39" w14:paraId="697BA073"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0D62F816" w14:textId="77777777" w:rsidR="00595D39" w:rsidRDefault="00D67047">
            <w:pPr>
              <w:pStyle w:val="TableStyle6A"/>
              <w:tabs>
                <w:tab w:val="left" w:pos="920"/>
                <w:tab w:val="left" w:pos="1840"/>
                <w:tab w:val="left" w:pos="2760"/>
              </w:tabs>
            </w:pPr>
            <w:r>
              <w:t>MSAT</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28D40975" w14:textId="77777777" w:rsidR="00595D39" w:rsidRDefault="00D67047">
            <w:pPr>
              <w:pStyle w:val="Body"/>
            </w:pPr>
            <w:r>
              <w:rPr>
                <w:rFonts w:ascii="Arial" w:hAnsi="Arial"/>
              </w:rPr>
              <w:t xml:space="preserve">Negative </w:t>
            </w:r>
          </w:p>
        </w:tc>
      </w:tr>
      <w:tr w:rsidR="00595D39" w14:paraId="5E6F6DAA"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46C7388A" w14:textId="77777777" w:rsidR="00595D39" w:rsidRDefault="00D67047">
            <w:pPr>
              <w:pStyle w:val="TableStyle6A"/>
              <w:tabs>
                <w:tab w:val="left" w:pos="920"/>
                <w:tab w:val="left" w:pos="1840"/>
                <w:tab w:val="left" w:pos="2760"/>
              </w:tabs>
            </w:pPr>
            <w:r>
              <w:t xml:space="preserve">IgM/ NS1 dengue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63D0DB06" w14:textId="77777777" w:rsidR="00595D39" w:rsidRDefault="00D67047">
            <w:pPr>
              <w:pStyle w:val="Body"/>
            </w:pPr>
            <w:r>
              <w:rPr>
                <w:rFonts w:ascii="Arial" w:hAnsi="Arial"/>
              </w:rPr>
              <w:t xml:space="preserve">Negative </w:t>
            </w:r>
          </w:p>
        </w:tc>
      </w:tr>
      <w:tr w:rsidR="00595D39" w14:paraId="741CAA70"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73CEEF97" w14:textId="77777777" w:rsidR="00595D39" w:rsidRDefault="00D67047">
            <w:pPr>
              <w:pStyle w:val="TableStyle6A"/>
              <w:tabs>
                <w:tab w:val="left" w:pos="920"/>
                <w:tab w:val="left" w:pos="1840"/>
                <w:tab w:val="left" w:pos="2760"/>
              </w:tabs>
            </w:pPr>
            <w:proofErr w:type="spellStart"/>
            <w:r>
              <w:lastRenderedPageBreak/>
              <w:t>Widal</w:t>
            </w:r>
            <w:proofErr w:type="spellEnd"/>
            <w:r>
              <w:t xml:space="preserve"> test</w:t>
            </w:r>
          </w:p>
        </w:tc>
        <w:tc>
          <w:tcPr>
            <w:tcW w:w="3207" w:type="dxa"/>
            <w:tcBorders>
              <w:top w:val="single" w:sz="2" w:space="0" w:color="929292"/>
              <w:left w:val="single" w:sz="6" w:space="0" w:color="89847F"/>
              <w:bottom w:val="single" w:sz="2" w:space="0" w:color="929292"/>
              <w:right w:val="single" w:sz="2" w:space="0" w:color="929292"/>
            </w:tcBorders>
            <w:tcMar>
              <w:top w:w="80" w:type="dxa"/>
              <w:left w:w="80" w:type="dxa"/>
              <w:bottom w:w="80" w:type="dxa"/>
              <w:right w:w="80" w:type="dxa"/>
            </w:tcMar>
          </w:tcPr>
          <w:p w14:paraId="64CA7614" w14:textId="77777777" w:rsidR="00595D39" w:rsidRDefault="00D67047">
            <w:pPr>
              <w:pStyle w:val="TableStyle2A"/>
            </w:pPr>
            <w:r>
              <w:rPr>
                <w:rFonts w:ascii="Arial" w:hAnsi="Arial"/>
              </w:rPr>
              <w:t>O - 1:200, H - 1:400</w:t>
            </w:r>
          </w:p>
        </w:tc>
        <w:tc>
          <w:tcPr>
            <w:tcW w:w="3207"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4620D1C7" w14:textId="77777777" w:rsidR="00595D39" w:rsidRDefault="00D67047">
            <w:pPr>
              <w:pStyle w:val="TableStyle2A"/>
            </w:pPr>
            <w:r>
              <w:rPr>
                <w:rFonts w:ascii="Arial" w:hAnsi="Arial"/>
              </w:rPr>
              <w:t>O &lt; 1:80, H &lt; 1:80</w:t>
            </w:r>
          </w:p>
        </w:tc>
      </w:tr>
      <w:tr w:rsidR="00595D39" w14:paraId="3B4407F9"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0AC38127" w14:textId="77777777" w:rsidR="00595D39" w:rsidRDefault="00D67047">
            <w:pPr>
              <w:pStyle w:val="TableStyle6A"/>
              <w:tabs>
                <w:tab w:val="left" w:pos="920"/>
                <w:tab w:val="left" w:pos="1840"/>
                <w:tab w:val="left" w:pos="2760"/>
              </w:tabs>
            </w:pPr>
            <w:r>
              <w:t xml:space="preserve">IgM typhoid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093E6F64" w14:textId="77777777" w:rsidR="00595D39" w:rsidRDefault="00D67047">
            <w:pPr>
              <w:pStyle w:val="Body"/>
            </w:pPr>
            <w:r>
              <w:rPr>
                <w:rFonts w:ascii="Arial" w:hAnsi="Arial"/>
              </w:rPr>
              <w:t>Positive</w:t>
            </w:r>
          </w:p>
        </w:tc>
      </w:tr>
      <w:tr w:rsidR="00595D39" w14:paraId="7C0DD79C"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3BF2C196" w14:textId="77777777" w:rsidR="00595D39" w:rsidRDefault="00D67047">
            <w:pPr>
              <w:pStyle w:val="TableStyle6A"/>
              <w:tabs>
                <w:tab w:val="left" w:pos="920"/>
                <w:tab w:val="left" w:pos="1840"/>
                <w:tab w:val="left" w:pos="2760"/>
              </w:tabs>
            </w:pPr>
            <w:r>
              <w:t xml:space="preserve">Blood culture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6AF96112" w14:textId="77777777" w:rsidR="00595D39" w:rsidRDefault="00D67047">
            <w:pPr>
              <w:pStyle w:val="Body"/>
            </w:pPr>
            <w:r>
              <w:rPr>
                <w:rFonts w:ascii="Arial" w:hAnsi="Arial"/>
              </w:rPr>
              <w:t xml:space="preserve">Salmonella typhi growth present </w:t>
            </w:r>
          </w:p>
        </w:tc>
      </w:tr>
      <w:tr w:rsidR="00595D39" w14:paraId="66F8BE34" w14:textId="77777777">
        <w:tblPrEx>
          <w:shd w:val="clear" w:color="auto" w:fill="CED7E7"/>
        </w:tblPrEx>
        <w:trPr>
          <w:trHeight w:val="727"/>
          <w:jc w:val="center"/>
        </w:trPr>
        <w:tc>
          <w:tcPr>
            <w:tcW w:w="9622" w:type="dxa"/>
            <w:gridSpan w:val="3"/>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3A15876A" w14:textId="77777777" w:rsidR="00595D39" w:rsidRDefault="00D67047">
            <w:pPr>
              <w:pStyle w:val="Body"/>
            </w:pPr>
            <w:r>
              <w:rPr>
                <w:rFonts w:ascii="Arial" w:hAnsi="Arial"/>
                <w:b/>
                <w:bCs/>
              </w:rPr>
              <w:t xml:space="preserve">CSF viral panel </w:t>
            </w:r>
          </w:p>
        </w:tc>
      </w:tr>
      <w:tr w:rsidR="00595D39" w14:paraId="1CC36FAE"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FA5C2C7" w14:textId="77777777" w:rsidR="00595D39" w:rsidRDefault="00D67047">
            <w:pPr>
              <w:pStyle w:val="TableStyle6A"/>
              <w:tabs>
                <w:tab w:val="left" w:pos="920"/>
                <w:tab w:val="left" w:pos="1840"/>
                <w:tab w:val="left" w:pos="2760"/>
              </w:tabs>
            </w:pPr>
            <w:r>
              <w:t xml:space="preserve">HSV - PCR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452E5018" w14:textId="77777777" w:rsidR="00595D39" w:rsidRDefault="00D67047">
            <w:pPr>
              <w:pStyle w:val="Body"/>
            </w:pPr>
            <w:r>
              <w:rPr>
                <w:rFonts w:ascii="Arial" w:hAnsi="Arial"/>
              </w:rPr>
              <w:t>Negative</w:t>
            </w:r>
          </w:p>
        </w:tc>
      </w:tr>
      <w:tr w:rsidR="00595D39" w14:paraId="34BC8D4C"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10A01A37" w14:textId="77777777" w:rsidR="00595D39" w:rsidRDefault="00D67047">
            <w:pPr>
              <w:pStyle w:val="TableStyle6A"/>
              <w:tabs>
                <w:tab w:val="left" w:pos="920"/>
                <w:tab w:val="left" w:pos="1840"/>
                <w:tab w:val="left" w:pos="2760"/>
              </w:tabs>
            </w:pPr>
            <w:r>
              <w:t xml:space="preserve">VZV - PCR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691A65B4" w14:textId="77777777" w:rsidR="00595D39" w:rsidRDefault="00D67047">
            <w:pPr>
              <w:pStyle w:val="Body"/>
            </w:pPr>
            <w:r>
              <w:rPr>
                <w:rFonts w:ascii="Arial" w:hAnsi="Arial"/>
              </w:rPr>
              <w:t>Negative</w:t>
            </w:r>
          </w:p>
        </w:tc>
      </w:tr>
      <w:tr w:rsidR="00595D39" w14:paraId="74DCD149" w14:textId="77777777">
        <w:tblPrEx>
          <w:shd w:val="clear" w:color="auto" w:fill="CED7E7"/>
        </w:tblPrEx>
        <w:trPr>
          <w:trHeight w:val="727"/>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40856D75" w14:textId="77777777" w:rsidR="00595D39" w:rsidRDefault="00D67047">
            <w:pPr>
              <w:pStyle w:val="TableStyle6A"/>
              <w:tabs>
                <w:tab w:val="left" w:pos="920"/>
                <w:tab w:val="left" w:pos="1840"/>
                <w:tab w:val="left" w:pos="2760"/>
              </w:tabs>
            </w:pPr>
            <w:r>
              <w:t>CMV - PCR</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59C4FAF8" w14:textId="77777777" w:rsidR="00595D39" w:rsidRDefault="00D67047">
            <w:pPr>
              <w:pStyle w:val="Body"/>
            </w:pPr>
            <w:r>
              <w:rPr>
                <w:rFonts w:ascii="Arial" w:hAnsi="Arial"/>
              </w:rPr>
              <w:t>Negative</w:t>
            </w:r>
          </w:p>
        </w:tc>
      </w:tr>
      <w:tr w:rsidR="00595D39" w14:paraId="6121B4B2" w14:textId="77777777">
        <w:tblPrEx>
          <w:shd w:val="clear" w:color="auto" w:fill="CED7E7"/>
        </w:tblPrEx>
        <w:trPr>
          <w:trHeight w:val="727"/>
          <w:jc w:val="center"/>
        </w:trPr>
        <w:tc>
          <w:tcPr>
            <w:tcW w:w="3208" w:type="dxa"/>
            <w:tcBorders>
              <w:top w:val="single" w:sz="2" w:space="0" w:color="929292"/>
              <w:left w:val="single" w:sz="6" w:space="0" w:color="929292"/>
              <w:bottom w:val="single" w:sz="6" w:space="0" w:color="929292"/>
              <w:right w:val="single" w:sz="6" w:space="0" w:color="89847F"/>
            </w:tcBorders>
            <w:tcMar>
              <w:top w:w="80" w:type="dxa"/>
              <w:left w:w="80" w:type="dxa"/>
              <w:bottom w:w="80" w:type="dxa"/>
              <w:right w:w="80" w:type="dxa"/>
            </w:tcMar>
          </w:tcPr>
          <w:p w14:paraId="5655CB83" w14:textId="77777777" w:rsidR="00595D39" w:rsidRDefault="00D67047">
            <w:pPr>
              <w:pStyle w:val="TableStyle6A"/>
              <w:tabs>
                <w:tab w:val="left" w:pos="920"/>
                <w:tab w:val="left" w:pos="1840"/>
                <w:tab w:val="left" w:pos="2760"/>
              </w:tabs>
            </w:pPr>
            <w:r>
              <w:t xml:space="preserve">EBV - PCR </w:t>
            </w:r>
          </w:p>
        </w:tc>
        <w:tc>
          <w:tcPr>
            <w:tcW w:w="6414" w:type="dxa"/>
            <w:gridSpan w:val="2"/>
            <w:tcBorders>
              <w:top w:val="single" w:sz="2" w:space="0" w:color="929292"/>
              <w:left w:val="single" w:sz="6" w:space="0" w:color="89847F"/>
              <w:bottom w:val="single" w:sz="6" w:space="0" w:color="929292"/>
              <w:right w:val="single" w:sz="6" w:space="0" w:color="929292"/>
            </w:tcBorders>
            <w:shd w:val="clear" w:color="auto" w:fill="F4F9F8"/>
            <w:tcMar>
              <w:top w:w="80" w:type="dxa"/>
              <w:left w:w="80" w:type="dxa"/>
              <w:bottom w:w="80" w:type="dxa"/>
              <w:right w:w="80" w:type="dxa"/>
            </w:tcMar>
          </w:tcPr>
          <w:p w14:paraId="346D534E" w14:textId="77777777" w:rsidR="00595D39" w:rsidRDefault="00D67047">
            <w:pPr>
              <w:pStyle w:val="Body"/>
            </w:pPr>
            <w:r>
              <w:rPr>
                <w:rFonts w:ascii="Arial" w:hAnsi="Arial"/>
              </w:rPr>
              <w:t>Negative</w:t>
            </w:r>
          </w:p>
        </w:tc>
      </w:tr>
    </w:tbl>
    <w:p w14:paraId="651DF6F0" w14:textId="77777777" w:rsidR="00595D39" w:rsidRDefault="00595D39">
      <w:pPr>
        <w:pStyle w:val="BodyA"/>
        <w:widowControl w:val="0"/>
        <w:ind w:left="108" w:hanging="108"/>
        <w:jc w:val="center"/>
        <w:rPr>
          <w:rFonts w:ascii="Arial" w:eastAsia="Arial" w:hAnsi="Arial" w:cs="Arial"/>
        </w:rPr>
      </w:pPr>
    </w:p>
    <w:p w14:paraId="49975311" w14:textId="77777777" w:rsidR="00595D39" w:rsidRDefault="00595D39">
      <w:pPr>
        <w:pStyle w:val="BodyA"/>
        <w:rPr>
          <w:rFonts w:ascii="Arial" w:eastAsia="Arial" w:hAnsi="Arial" w:cs="Arial"/>
        </w:rPr>
      </w:pPr>
    </w:p>
    <w:p w14:paraId="4D5A9302" w14:textId="77777777" w:rsidR="00595D39" w:rsidRDefault="00595D39">
      <w:pPr>
        <w:pStyle w:val="BodyA"/>
        <w:rPr>
          <w:rFonts w:ascii="Arial" w:eastAsia="Arial" w:hAnsi="Arial" w:cs="Arial"/>
        </w:rPr>
      </w:pPr>
    </w:p>
    <w:p w14:paraId="26C699C8" w14:textId="77777777" w:rsidR="00595D39" w:rsidRDefault="00595D39">
      <w:pPr>
        <w:pStyle w:val="BodyA"/>
        <w:rPr>
          <w:rFonts w:ascii="Arial" w:eastAsia="Arial" w:hAnsi="Arial" w:cs="Arial"/>
        </w:rPr>
      </w:pPr>
    </w:p>
    <w:p w14:paraId="2C065045" w14:textId="77777777" w:rsidR="00595D39" w:rsidRDefault="00595D39">
      <w:pPr>
        <w:pStyle w:val="BodyA"/>
        <w:rPr>
          <w:rFonts w:ascii="Arial" w:eastAsia="Arial" w:hAnsi="Arial" w:cs="Arial"/>
        </w:rPr>
      </w:pPr>
    </w:p>
    <w:p w14:paraId="09422CE7" w14:textId="77777777" w:rsidR="00595D39" w:rsidRDefault="00D67047">
      <w:pPr>
        <w:pStyle w:val="BodyA"/>
        <w:rPr>
          <w:rFonts w:ascii="Arial" w:eastAsia="Arial" w:hAnsi="Arial" w:cs="Arial"/>
        </w:rPr>
      </w:pPr>
      <w:r>
        <w:rPr>
          <w:rFonts w:ascii="Arial" w:hAnsi="Arial"/>
        </w:rPr>
        <w:t xml:space="preserve">                                       </w:t>
      </w:r>
    </w:p>
    <w:p w14:paraId="4AC1587C" w14:textId="77777777" w:rsidR="00595D39" w:rsidRDefault="00595D39">
      <w:pPr>
        <w:pStyle w:val="BodyA"/>
        <w:rPr>
          <w:rFonts w:ascii="Arial" w:eastAsia="Arial" w:hAnsi="Arial" w:cs="Arial"/>
        </w:rPr>
      </w:pPr>
    </w:p>
    <w:p w14:paraId="766C5A38" w14:textId="77777777" w:rsidR="00595D39" w:rsidRDefault="00595D39">
      <w:pPr>
        <w:pStyle w:val="BodyA"/>
        <w:rPr>
          <w:rFonts w:ascii="Arial" w:eastAsia="Arial" w:hAnsi="Arial" w:cs="Arial"/>
        </w:rPr>
      </w:pPr>
    </w:p>
    <w:p w14:paraId="35CE19FE" w14:textId="77777777" w:rsidR="00595D39" w:rsidRDefault="00595D39">
      <w:pPr>
        <w:pStyle w:val="BodyA"/>
        <w:rPr>
          <w:rFonts w:ascii="Arial" w:eastAsia="Arial" w:hAnsi="Arial" w:cs="Arial"/>
        </w:rPr>
      </w:pPr>
    </w:p>
    <w:p w14:paraId="3EC804A8" w14:textId="77777777" w:rsidR="00595D39" w:rsidRDefault="00D67047">
      <w:pPr>
        <w:pStyle w:val="BodyA"/>
        <w:rPr>
          <w:rFonts w:ascii="Arial" w:eastAsia="Arial" w:hAnsi="Arial" w:cs="Arial"/>
        </w:rPr>
      </w:pPr>
      <w:r>
        <w:rPr>
          <w:rFonts w:ascii="Arial" w:hAnsi="Arial"/>
        </w:rPr>
        <w:lastRenderedPageBreak/>
        <w:t xml:space="preserve">                                                                  </w:t>
      </w:r>
      <w:r>
        <w:rPr>
          <w:rFonts w:ascii="Arial" w:eastAsia="Arial" w:hAnsi="Arial" w:cs="Arial"/>
          <w:noProof/>
          <w:sz w:val="22"/>
          <w:szCs w:val="22"/>
        </w:rPr>
        <w:drawing>
          <wp:inline distT="0" distB="0" distL="0" distR="0" wp14:anchorId="16A5F6A0" wp14:editId="77F30FC2">
            <wp:extent cx="2444750" cy="2362201"/>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2"/>
                    <a:srcRect t="12471"/>
                    <a:stretch>
                      <a:fillRect/>
                    </a:stretch>
                  </pic:blipFill>
                  <pic:spPr>
                    <a:xfrm>
                      <a:off x="0" y="0"/>
                      <a:ext cx="2444750" cy="2362201"/>
                    </a:xfrm>
                    <a:prstGeom prst="rect">
                      <a:avLst/>
                    </a:prstGeom>
                    <a:ln w="12700" cap="flat">
                      <a:noFill/>
                      <a:miter lim="400000"/>
                    </a:ln>
                    <a:effectLst/>
                  </pic:spPr>
                </pic:pic>
              </a:graphicData>
            </a:graphic>
          </wp:inline>
        </w:drawing>
      </w:r>
      <w:r>
        <w:rPr>
          <w:rFonts w:ascii="Arial" w:hAnsi="Arial"/>
        </w:rPr>
        <w:t xml:space="preserve">         </w:t>
      </w:r>
    </w:p>
    <w:p w14:paraId="1A6783A4" w14:textId="77777777" w:rsidR="00595D39" w:rsidRDefault="00D67047">
      <w:pPr>
        <w:pStyle w:val="BodyA"/>
        <w:rPr>
          <w:rFonts w:ascii="Arial" w:eastAsia="Arial" w:hAnsi="Arial" w:cs="Arial"/>
        </w:rPr>
      </w:pPr>
      <w:r>
        <w:rPr>
          <w:rFonts w:ascii="Arial" w:hAnsi="Arial"/>
        </w:rPr>
        <w:t>Figure 1 - MRI brain showing T2 non enhancing / FLAIR hyperintensity in splenium of corpus callosum showing diffusion restriction sugges</w:t>
      </w:r>
      <w:r>
        <w:rPr>
          <w:rFonts w:ascii="Arial" w:hAnsi="Arial"/>
        </w:rPr>
        <w:t xml:space="preserve">tive of CLOCCs </w:t>
      </w:r>
    </w:p>
    <w:p w14:paraId="1031DF8E" w14:textId="77777777" w:rsidR="00595D39" w:rsidRDefault="00D67047">
      <w:pPr>
        <w:pStyle w:val="BodyA"/>
        <w:rPr>
          <w:rFonts w:ascii="Arial" w:eastAsia="Arial" w:hAnsi="Arial" w:cs="Arial"/>
        </w:rPr>
      </w:pPr>
      <w:r>
        <w:rPr>
          <w:rFonts w:ascii="Arial" w:hAnsi="Arial"/>
        </w:rPr>
        <w:t xml:space="preserve">                                                                  </w:t>
      </w:r>
      <w:r>
        <w:rPr>
          <w:rFonts w:ascii="Arial" w:eastAsia="Arial" w:hAnsi="Arial" w:cs="Arial"/>
          <w:noProof/>
          <w:sz w:val="22"/>
          <w:szCs w:val="22"/>
        </w:rPr>
        <w:drawing>
          <wp:inline distT="0" distB="0" distL="0" distR="0" wp14:anchorId="42B06D71" wp14:editId="05634FC3">
            <wp:extent cx="2457450" cy="2330450"/>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13"/>
                    <a:stretch>
                      <a:fillRect/>
                    </a:stretch>
                  </pic:blipFill>
                  <pic:spPr>
                    <a:xfrm>
                      <a:off x="0" y="0"/>
                      <a:ext cx="2457450" cy="2330450"/>
                    </a:xfrm>
                    <a:prstGeom prst="rect">
                      <a:avLst/>
                    </a:prstGeom>
                    <a:ln w="12700" cap="flat">
                      <a:noFill/>
                      <a:miter lim="400000"/>
                    </a:ln>
                    <a:effectLst/>
                  </pic:spPr>
                </pic:pic>
              </a:graphicData>
            </a:graphic>
          </wp:inline>
        </w:drawing>
      </w:r>
    </w:p>
    <w:p w14:paraId="645A0E2B" w14:textId="77777777" w:rsidR="00595D39" w:rsidRDefault="00D67047">
      <w:pPr>
        <w:pStyle w:val="BodyA"/>
        <w:rPr>
          <w:rFonts w:ascii="Arial" w:eastAsia="Arial" w:hAnsi="Arial" w:cs="Arial"/>
        </w:rPr>
      </w:pPr>
      <w:r>
        <w:rPr>
          <w:rFonts w:ascii="Arial" w:hAnsi="Arial"/>
        </w:rPr>
        <w:t xml:space="preserve">                                                                 </w:t>
      </w:r>
    </w:p>
    <w:p w14:paraId="6DDE81AD" w14:textId="77777777" w:rsidR="00595D39" w:rsidRDefault="00D67047">
      <w:pPr>
        <w:pStyle w:val="BodyA"/>
        <w:rPr>
          <w:rFonts w:ascii="Arial" w:eastAsia="Arial" w:hAnsi="Arial" w:cs="Arial"/>
        </w:rPr>
      </w:pPr>
      <w:r>
        <w:rPr>
          <w:rFonts w:ascii="Arial" w:hAnsi="Arial"/>
        </w:rPr>
        <w:t xml:space="preserve">Figure 2 - Repeat MRI brain taken after 21 days showing complete resolution of splenial lesion, thereby </w:t>
      </w:r>
      <w:r>
        <w:rPr>
          <w:rFonts w:ascii="Arial" w:hAnsi="Arial"/>
        </w:rPr>
        <w:t>confirming the reversible nature of CLOCCs</w:t>
      </w:r>
    </w:p>
    <w:p w14:paraId="0C21C5EF" w14:textId="77777777" w:rsidR="00595D39" w:rsidRDefault="00595D39">
      <w:pPr>
        <w:pStyle w:val="BodyA"/>
        <w:rPr>
          <w:rFonts w:ascii="Arial" w:eastAsia="Arial" w:hAnsi="Arial" w:cs="Arial"/>
        </w:rPr>
      </w:pPr>
    </w:p>
    <w:p w14:paraId="06B30D83" w14:textId="77777777" w:rsidR="00595D39" w:rsidRDefault="00595D39">
      <w:pPr>
        <w:pStyle w:val="BodyA"/>
        <w:spacing w:after="0"/>
        <w:rPr>
          <w:rFonts w:ascii="Arial" w:eastAsia="Arial" w:hAnsi="Arial" w:cs="Arial"/>
        </w:rPr>
      </w:pPr>
    </w:p>
    <w:p w14:paraId="1E1A0A19" w14:textId="77777777" w:rsidR="00595D39" w:rsidRDefault="00595D39">
      <w:pPr>
        <w:pStyle w:val="BodyA"/>
        <w:spacing w:after="0"/>
        <w:rPr>
          <w:rFonts w:ascii="Arial" w:eastAsia="Arial" w:hAnsi="Arial" w:cs="Arial"/>
        </w:rPr>
      </w:pPr>
    </w:p>
    <w:p w14:paraId="68021AB3" w14:textId="77777777" w:rsidR="00595D39" w:rsidRDefault="00D67047">
      <w:pPr>
        <w:pStyle w:val="Head1"/>
        <w:spacing w:after="0"/>
        <w:jc w:val="both"/>
        <w:rPr>
          <w:rFonts w:ascii="Arial" w:eastAsia="Arial" w:hAnsi="Arial" w:cs="Arial"/>
        </w:rPr>
      </w:pPr>
      <w:r>
        <w:rPr>
          <w:rFonts w:ascii="Arial" w:hAnsi="Arial"/>
        </w:rPr>
        <w:t>3. discussion</w:t>
      </w:r>
    </w:p>
    <w:p w14:paraId="33C73904" w14:textId="77777777" w:rsidR="00595D39" w:rsidRDefault="00595D39">
      <w:pPr>
        <w:pStyle w:val="Head1"/>
        <w:spacing w:after="0"/>
        <w:jc w:val="both"/>
        <w:rPr>
          <w:rFonts w:ascii="Arial" w:eastAsia="Arial" w:hAnsi="Arial" w:cs="Arial"/>
        </w:rPr>
      </w:pPr>
    </w:p>
    <w:p w14:paraId="7CE32F2F" w14:textId="77777777" w:rsidR="00595D39" w:rsidRDefault="00D67047">
      <w:pPr>
        <w:pStyle w:val="Head1"/>
        <w:rPr>
          <w:rFonts w:ascii="Arial" w:eastAsia="Arial" w:hAnsi="Arial" w:cs="Arial"/>
          <w:b w:val="0"/>
          <w:bCs w:val="0"/>
          <w:caps w:val="0"/>
          <w:sz w:val="20"/>
          <w:szCs w:val="20"/>
        </w:rPr>
      </w:pPr>
      <w:r>
        <w:rPr>
          <w:rFonts w:ascii="Arial" w:hAnsi="Arial"/>
          <w:b w:val="0"/>
          <w:bCs w:val="0"/>
          <w:caps w:val="0"/>
          <w:sz w:val="20"/>
          <w:szCs w:val="20"/>
        </w:rPr>
        <w:t>Cytotoxic lesions of the corpus callosum (CLOCCs) have been recognized since the early 1990s and were initially described as transient ovoid splenial lesions seen in patients with epilepsy and an</w:t>
      </w:r>
      <w:r>
        <w:rPr>
          <w:rFonts w:ascii="Arial" w:hAnsi="Arial"/>
          <w:b w:val="0"/>
          <w:bCs w:val="0"/>
          <w:caps w:val="0"/>
          <w:sz w:val="20"/>
          <w:szCs w:val="20"/>
        </w:rPr>
        <w:t>tiepileptic drug withdrawal. Even with advances in neuroimaging, their true incidence remains unknown because many cases are likely transient and underdiagnosed [2]. Over time, several terminologies have been used to describe this entity, including mild en</w:t>
      </w:r>
      <w:r>
        <w:rPr>
          <w:rFonts w:ascii="Arial" w:hAnsi="Arial"/>
          <w:b w:val="0"/>
          <w:bCs w:val="0"/>
          <w:caps w:val="0"/>
          <w:sz w:val="20"/>
          <w:szCs w:val="20"/>
        </w:rPr>
        <w:t xml:space="preserve">cephalopathy with reversible splenial lesions (MERS), reversible splenial lesion syndrome (RESLES), transient splenial lesions, and reversible splenial lesions, before the broader term CLOCCs gained acceptance [3]. These lesions characteristically involve </w:t>
      </w:r>
      <w:r>
        <w:rPr>
          <w:rFonts w:ascii="Arial" w:hAnsi="Arial"/>
          <w:b w:val="0"/>
          <w:bCs w:val="0"/>
          <w:caps w:val="0"/>
          <w:sz w:val="20"/>
          <w:szCs w:val="20"/>
        </w:rPr>
        <w:t xml:space="preserve">the splenium of the corpus callosum, with only occasional involvement of the genu or body [4]. </w:t>
      </w:r>
      <w:r>
        <w:rPr>
          <w:rFonts w:ascii="Arial" w:hAnsi="Arial"/>
          <w:b w:val="0"/>
          <w:bCs w:val="0"/>
          <w:caps w:val="0"/>
          <w:sz w:val="20"/>
          <w:szCs w:val="20"/>
        </w:rPr>
        <w:lastRenderedPageBreak/>
        <w:t>Clinically, patients may present with altered sensorium, </w:t>
      </w:r>
      <w:proofErr w:type="spellStart"/>
      <w:r>
        <w:rPr>
          <w:rFonts w:ascii="Arial" w:hAnsi="Arial"/>
          <w:b w:val="0"/>
          <w:bCs w:val="0"/>
          <w:caps w:val="0"/>
          <w:sz w:val="20"/>
          <w:szCs w:val="20"/>
        </w:rPr>
        <w:t>behavioural</w:t>
      </w:r>
      <w:proofErr w:type="spellEnd"/>
      <w:r>
        <w:rPr>
          <w:rFonts w:ascii="Arial" w:hAnsi="Arial"/>
          <w:b w:val="0"/>
          <w:bCs w:val="0"/>
          <w:caps w:val="0"/>
          <w:sz w:val="20"/>
          <w:szCs w:val="20"/>
        </w:rPr>
        <w:t xml:space="preserve"> disturbances, delirium, seizures, ataxia, or nonspecific encephalopathic features.  </w:t>
      </w:r>
    </w:p>
    <w:p w14:paraId="32960B05"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CLOCCs </w:t>
      </w:r>
      <w:r>
        <w:rPr>
          <w:rFonts w:ascii="Arial" w:hAnsi="Arial"/>
          <w:b w:val="0"/>
          <w:bCs w:val="0"/>
          <w:caps w:val="0"/>
          <w:sz w:val="20"/>
          <w:szCs w:val="20"/>
        </w:rPr>
        <w:t>are associated with a wide range of etiologies including infections, metabolic disturbances, seizures, trauma, autoimmune disorders, and drug toxicity. Among infectious causes, viral infections are the most commonly reported, particularly influenza, rotavi</w:t>
      </w:r>
      <w:r>
        <w:rPr>
          <w:rFonts w:ascii="Arial" w:hAnsi="Arial"/>
          <w:b w:val="0"/>
          <w:bCs w:val="0"/>
          <w:caps w:val="0"/>
          <w:sz w:val="20"/>
          <w:szCs w:val="20"/>
        </w:rPr>
        <w:t>rus, adenovirus, and SARS-CoV-2. Bacterial causes are comparatively uncommon, making typhoid-associated CLOCCs particularly rare. The exact pathophysiological mechanism remains incompletely understood; however, current evidence suggests that inflammatory c</w:t>
      </w:r>
      <w:r>
        <w:rPr>
          <w:rFonts w:ascii="Arial" w:hAnsi="Arial"/>
          <w:b w:val="0"/>
          <w:bCs w:val="0"/>
          <w:caps w:val="0"/>
          <w:sz w:val="20"/>
          <w:szCs w:val="20"/>
        </w:rPr>
        <w:t>ytokine-mediated injury plays a central role.  Increased levels of pro-inflammatory mediators such as IL-1, IL-6, TNF-α, and glutamate are believed to cause excitotoxic neuronal injury and cytotoxic edema, especially involving astrocytes.  The splenium may</w:t>
      </w:r>
      <w:r>
        <w:rPr>
          <w:rFonts w:ascii="Arial" w:hAnsi="Arial"/>
          <w:b w:val="0"/>
          <w:bCs w:val="0"/>
          <w:caps w:val="0"/>
          <w:sz w:val="20"/>
          <w:szCs w:val="20"/>
        </w:rPr>
        <w:t xml:space="preserve"> be selectively vulnerable because of its tightly packed myelinated fibers, high water content, and increased density of cytokine and glutamate receptors [5]. This mechanism likely explains the characteristic diffusion restriction observed on MRI. Radiolog</w:t>
      </w:r>
      <w:r>
        <w:rPr>
          <w:rFonts w:ascii="Arial" w:hAnsi="Arial"/>
          <w:b w:val="0"/>
          <w:bCs w:val="0"/>
          <w:caps w:val="0"/>
          <w:sz w:val="20"/>
          <w:szCs w:val="20"/>
        </w:rPr>
        <w:t>ically, CLOCCs appear as non-enhancing T2/FLAIR hyperintense lesions with restricted diffusion in the splenium of the corpus callosum. These lesions are usually transient and demonstrate complete resolution within days to weeks following treatment of the p</w:t>
      </w:r>
      <w:r>
        <w:rPr>
          <w:rFonts w:ascii="Arial" w:hAnsi="Arial"/>
          <w:b w:val="0"/>
          <w:bCs w:val="0"/>
          <w:caps w:val="0"/>
          <w:sz w:val="20"/>
          <w:szCs w:val="20"/>
        </w:rPr>
        <w:t>recipitating condition [6].  </w:t>
      </w:r>
    </w:p>
    <w:p w14:paraId="41319CDA"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In our patient, repeat MRI after treatment showed complete disappearance of the lesion, supporting the diagnosis of CLOCCs and emphasizing the reversible nature of the entity. Recognition of this imaging pattern is clinically </w:t>
      </w:r>
      <w:r>
        <w:rPr>
          <w:rFonts w:ascii="Arial" w:hAnsi="Arial"/>
          <w:b w:val="0"/>
          <w:bCs w:val="0"/>
          <w:caps w:val="0"/>
          <w:sz w:val="20"/>
          <w:szCs w:val="20"/>
        </w:rPr>
        <w:t>important because it may prevent unnecessary invasive investigations and avoid misdiagnosis as ischemia, demyelination, or neoplasia.  </w:t>
      </w:r>
    </w:p>
    <w:p w14:paraId="275B2F76"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The word typhoid originated from Greek word </w:t>
      </w:r>
      <w:proofErr w:type="gramStart"/>
      <w:r>
        <w:rPr>
          <w:rFonts w:ascii="Arial" w:hAnsi="Arial"/>
          <w:b w:val="0"/>
          <w:bCs w:val="0"/>
          <w:caps w:val="0"/>
          <w:sz w:val="20"/>
          <w:szCs w:val="20"/>
        </w:rPr>
        <w:t xml:space="preserve">‘ </w:t>
      </w:r>
      <w:proofErr w:type="spellStart"/>
      <w:r>
        <w:rPr>
          <w:rFonts w:ascii="Arial" w:hAnsi="Arial"/>
          <w:b w:val="0"/>
          <w:bCs w:val="0"/>
          <w:caps w:val="0"/>
          <w:sz w:val="20"/>
          <w:szCs w:val="20"/>
        </w:rPr>
        <w:t>typhoides</w:t>
      </w:r>
      <w:proofErr w:type="spellEnd"/>
      <w:proofErr w:type="gramEnd"/>
      <w:r>
        <w:rPr>
          <w:rFonts w:ascii="Arial" w:hAnsi="Arial"/>
          <w:b w:val="0"/>
          <w:bCs w:val="0"/>
          <w:caps w:val="0"/>
          <w:sz w:val="20"/>
          <w:szCs w:val="20"/>
        </w:rPr>
        <w:t xml:space="preserve"> ‘ meaning </w:t>
      </w:r>
      <w:proofErr w:type="spellStart"/>
      <w:r>
        <w:rPr>
          <w:rFonts w:ascii="Arial" w:hAnsi="Arial"/>
          <w:b w:val="0"/>
          <w:bCs w:val="0"/>
          <w:caps w:val="0"/>
          <w:sz w:val="20"/>
          <w:szCs w:val="20"/>
        </w:rPr>
        <w:t>delirous.This</w:t>
      </w:r>
      <w:proofErr w:type="spellEnd"/>
      <w:r>
        <w:rPr>
          <w:rFonts w:ascii="Arial" w:hAnsi="Arial"/>
          <w:b w:val="0"/>
          <w:bCs w:val="0"/>
          <w:caps w:val="0"/>
          <w:sz w:val="20"/>
          <w:szCs w:val="20"/>
        </w:rPr>
        <w:t xml:space="preserve"> reflects fever and confused state of thi</w:t>
      </w:r>
      <w:r>
        <w:rPr>
          <w:rFonts w:ascii="Arial" w:hAnsi="Arial"/>
          <w:b w:val="0"/>
          <w:bCs w:val="0"/>
          <w:caps w:val="0"/>
          <w:sz w:val="20"/>
          <w:szCs w:val="20"/>
        </w:rPr>
        <w:t>s disease. Neurological manifestations in typhoid fever are not uncommon, with symptoms such as confusion and headache reported in a substantial proportion of patients. However, severe neurological complications are relatively rare and include encephalitis</w:t>
      </w:r>
      <w:r>
        <w:rPr>
          <w:rFonts w:ascii="Arial" w:hAnsi="Arial"/>
          <w:b w:val="0"/>
          <w:bCs w:val="0"/>
          <w:caps w:val="0"/>
          <w:sz w:val="20"/>
          <w:szCs w:val="20"/>
        </w:rPr>
        <w:t>, cerebellitis, psychosis, myelitis, meningitis, and parkinsonian syndromes [7]. The incidence of CLOCCs in typhoid encephalitis is scarcely reported in medical literature. In our case, the diagnosis was strongly supported by positive serology and blood cu</w:t>
      </w:r>
      <w:r>
        <w:rPr>
          <w:rFonts w:ascii="Arial" w:hAnsi="Arial"/>
          <w:b w:val="0"/>
          <w:bCs w:val="0"/>
          <w:caps w:val="0"/>
          <w:sz w:val="20"/>
          <w:szCs w:val="20"/>
        </w:rPr>
        <w:t xml:space="preserve">lture for </w:t>
      </w:r>
      <w:r>
        <w:rPr>
          <w:rFonts w:ascii="Arial" w:hAnsi="Arial"/>
          <w:b w:val="0"/>
          <w:bCs w:val="0"/>
          <w:i/>
          <w:iCs/>
          <w:caps w:val="0"/>
          <w:sz w:val="20"/>
          <w:szCs w:val="20"/>
        </w:rPr>
        <w:t>Salmonella typhi</w:t>
      </w:r>
      <w:r>
        <w:rPr>
          <w:rFonts w:ascii="Arial" w:hAnsi="Arial"/>
          <w:b w:val="0"/>
          <w:bCs w:val="0"/>
          <w:caps w:val="0"/>
          <w:sz w:val="20"/>
          <w:szCs w:val="20"/>
        </w:rPr>
        <w:t>, exclusion of alternative infectious etiologies, characteristic MRI findings, and complete radiological resolution following therapy.  </w:t>
      </w:r>
    </w:p>
    <w:p w14:paraId="70389AA8"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A similar observation was reported by El </w:t>
      </w:r>
      <w:proofErr w:type="spellStart"/>
      <w:r>
        <w:rPr>
          <w:rFonts w:ascii="Arial" w:hAnsi="Arial"/>
          <w:b w:val="0"/>
          <w:bCs w:val="0"/>
          <w:caps w:val="0"/>
          <w:sz w:val="20"/>
          <w:szCs w:val="20"/>
        </w:rPr>
        <w:t>Azoudi</w:t>
      </w:r>
      <w:proofErr w:type="spellEnd"/>
      <w:r>
        <w:rPr>
          <w:rFonts w:ascii="Arial" w:hAnsi="Arial"/>
          <w:b w:val="0"/>
          <w:bCs w:val="0"/>
          <w:caps w:val="0"/>
          <w:sz w:val="20"/>
          <w:szCs w:val="20"/>
        </w:rPr>
        <w:t xml:space="preserve"> et al., who described a well-circumscribed lesion in a patient with typhoid fever, which subsequently resolved with treatment, further strengthening the association between typhoid encephalitis and CLOCCs. These reports highlight the importance of conside</w:t>
      </w:r>
      <w:r>
        <w:rPr>
          <w:rFonts w:ascii="Arial" w:hAnsi="Arial"/>
          <w:b w:val="0"/>
          <w:bCs w:val="0"/>
          <w:caps w:val="0"/>
          <w:sz w:val="20"/>
          <w:szCs w:val="20"/>
        </w:rPr>
        <w:t>ring reversible splenial lesions in patients presenting with enteric fever and acute neuropsychiatric manifestations. Early recognition is especially relevant in endemic regions where typhoid remains prevalent and access to advanced neurological evaluation</w:t>
      </w:r>
      <w:r>
        <w:rPr>
          <w:rFonts w:ascii="Arial" w:hAnsi="Arial"/>
          <w:b w:val="0"/>
          <w:bCs w:val="0"/>
          <w:caps w:val="0"/>
          <w:sz w:val="20"/>
          <w:szCs w:val="20"/>
        </w:rPr>
        <w:t xml:space="preserve"> may be limited. </w:t>
      </w:r>
    </w:p>
    <w:p w14:paraId="4692023C"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Several important differential diagnoses must be considered when evaluating splenial lesions, including acute ischemic infarction, demyelinating disorders such as multiple sclerosis and acute disseminated encephalomyelitis, neoplasms, lym</w:t>
      </w:r>
      <w:r>
        <w:rPr>
          <w:rFonts w:ascii="Arial" w:hAnsi="Arial"/>
          <w:b w:val="0"/>
          <w:bCs w:val="0"/>
          <w:caps w:val="0"/>
          <w:sz w:val="20"/>
          <w:szCs w:val="20"/>
        </w:rPr>
        <w:t xml:space="preserve">phoma, and metabolic encephalopathies [8].  Careful clinical correlation, microbiological evaluation, and follow-up neuroimaging are essential to establish the diagnosis and demonstrate reversibility. Our case further contributes to the limited literature </w:t>
      </w:r>
      <w:r>
        <w:rPr>
          <w:rFonts w:ascii="Arial" w:hAnsi="Arial"/>
          <w:b w:val="0"/>
          <w:bCs w:val="0"/>
          <w:caps w:val="0"/>
          <w:sz w:val="20"/>
          <w:szCs w:val="20"/>
        </w:rPr>
        <w:t>on typhoid-associated CLOCCs and underscores the need for clinicians to recognize this rare but reversible neuroradiological entity in patients with enteric fever presenting with altered sensorium.  </w:t>
      </w:r>
    </w:p>
    <w:p w14:paraId="6A6CA484" w14:textId="77777777" w:rsidR="00595D39" w:rsidRDefault="00595D39">
      <w:pPr>
        <w:pStyle w:val="Head1"/>
        <w:spacing w:after="0"/>
        <w:jc w:val="both"/>
        <w:rPr>
          <w:rFonts w:ascii="Arial" w:eastAsia="Arial" w:hAnsi="Arial" w:cs="Arial"/>
          <w:b w:val="0"/>
          <w:bCs w:val="0"/>
          <w:sz w:val="20"/>
          <w:szCs w:val="20"/>
        </w:rPr>
      </w:pPr>
    </w:p>
    <w:p w14:paraId="64F04B4B" w14:textId="77777777" w:rsidR="00595D39" w:rsidRDefault="00595D39">
      <w:pPr>
        <w:pStyle w:val="BodyA"/>
        <w:spacing w:after="0"/>
        <w:rPr>
          <w:rFonts w:ascii="Arial" w:eastAsia="Arial" w:hAnsi="Arial" w:cs="Arial"/>
        </w:rPr>
      </w:pPr>
    </w:p>
    <w:p w14:paraId="7185794C" w14:textId="77777777" w:rsidR="00595D39" w:rsidRDefault="00595D39">
      <w:pPr>
        <w:pStyle w:val="ConcHead"/>
        <w:spacing w:after="0"/>
        <w:jc w:val="both"/>
        <w:rPr>
          <w:rFonts w:ascii="Arial" w:eastAsia="Arial" w:hAnsi="Arial" w:cs="Arial"/>
        </w:rPr>
      </w:pPr>
    </w:p>
    <w:p w14:paraId="288B5EE2" w14:textId="77777777" w:rsidR="00595D39" w:rsidRDefault="00595D39">
      <w:pPr>
        <w:pStyle w:val="ConcHead"/>
        <w:spacing w:after="0"/>
        <w:jc w:val="both"/>
        <w:rPr>
          <w:rFonts w:ascii="Arial" w:eastAsia="Arial" w:hAnsi="Arial" w:cs="Arial"/>
        </w:rPr>
      </w:pPr>
    </w:p>
    <w:p w14:paraId="05C3CAC3" w14:textId="77777777" w:rsidR="00595D39" w:rsidRDefault="00595D39">
      <w:pPr>
        <w:pStyle w:val="ConcHead"/>
        <w:spacing w:after="0"/>
        <w:jc w:val="both"/>
        <w:rPr>
          <w:rFonts w:ascii="Arial" w:eastAsia="Arial" w:hAnsi="Arial" w:cs="Arial"/>
        </w:rPr>
      </w:pPr>
    </w:p>
    <w:p w14:paraId="43465955" w14:textId="77777777" w:rsidR="00595D39" w:rsidRDefault="00595D39">
      <w:pPr>
        <w:pStyle w:val="ConcHead"/>
        <w:spacing w:after="0"/>
        <w:jc w:val="both"/>
        <w:rPr>
          <w:rFonts w:ascii="Arial" w:eastAsia="Arial" w:hAnsi="Arial" w:cs="Arial"/>
        </w:rPr>
      </w:pPr>
    </w:p>
    <w:p w14:paraId="7CDDD815" w14:textId="77777777" w:rsidR="00595D39" w:rsidRDefault="00595D39">
      <w:pPr>
        <w:pStyle w:val="ConcHead"/>
        <w:spacing w:after="0"/>
        <w:jc w:val="both"/>
        <w:rPr>
          <w:rFonts w:ascii="Arial" w:eastAsia="Arial" w:hAnsi="Arial" w:cs="Arial"/>
        </w:rPr>
      </w:pPr>
    </w:p>
    <w:p w14:paraId="65B7A566" w14:textId="77777777" w:rsidR="00595D39" w:rsidRDefault="00595D39">
      <w:pPr>
        <w:pStyle w:val="ConcHead"/>
        <w:spacing w:after="0"/>
        <w:jc w:val="both"/>
        <w:rPr>
          <w:rFonts w:ascii="Arial" w:eastAsia="Arial" w:hAnsi="Arial" w:cs="Arial"/>
        </w:rPr>
      </w:pPr>
    </w:p>
    <w:p w14:paraId="515118FD" w14:textId="77777777" w:rsidR="00595D39" w:rsidRDefault="00D67047">
      <w:pPr>
        <w:pStyle w:val="ConcHead"/>
        <w:spacing w:after="0"/>
        <w:jc w:val="both"/>
        <w:rPr>
          <w:rFonts w:ascii="Arial" w:eastAsia="Arial" w:hAnsi="Arial" w:cs="Arial"/>
        </w:rPr>
      </w:pPr>
      <w:r>
        <w:rPr>
          <w:rFonts w:ascii="Arial" w:hAnsi="Arial"/>
        </w:rPr>
        <w:t>4. Conclusion</w:t>
      </w:r>
    </w:p>
    <w:p w14:paraId="2F388112" w14:textId="77777777" w:rsidR="00595D39" w:rsidRDefault="00595D39">
      <w:pPr>
        <w:pStyle w:val="BodyA"/>
        <w:spacing w:after="0"/>
        <w:rPr>
          <w:rFonts w:ascii="Arial" w:eastAsia="Arial" w:hAnsi="Arial" w:cs="Arial"/>
        </w:rPr>
      </w:pPr>
    </w:p>
    <w:p w14:paraId="25BC5D3E"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CLOCCs are usually transient and </w:t>
      </w:r>
      <w:r>
        <w:rPr>
          <w:rFonts w:ascii="Arial" w:hAnsi="Arial"/>
          <w:b w:val="0"/>
          <w:bCs w:val="0"/>
          <w:caps w:val="0"/>
          <w:sz w:val="20"/>
          <w:szCs w:val="20"/>
        </w:rPr>
        <w:t>tend to resolve once the underlying cause is identified and treated in time. In the setting of typhoid infection, these lesions are more likely due to a temporary inflammatory or metabolic disturbance rather than permanent structural damage. With early dia</w:t>
      </w:r>
      <w:r>
        <w:rPr>
          <w:rFonts w:ascii="Arial" w:hAnsi="Arial"/>
          <w:b w:val="0"/>
          <w:bCs w:val="0"/>
          <w:caps w:val="0"/>
          <w:sz w:val="20"/>
          <w:szCs w:val="20"/>
        </w:rPr>
        <w:t>gnosis, appropriate antibiotics, and supportive care, patients generally recover well, both clinically and on imaging, without lasting neurological deficits.  </w:t>
      </w:r>
    </w:p>
    <w:p w14:paraId="4651D4DC" w14:textId="77777777" w:rsidR="00595D39" w:rsidRDefault="00D67047">
      <w:pPr>
        <w:pStyle w:val="Head1"/>
        <w:jc w:val="both"/>
        <w:rPr>
          <w:rFonts w:ascii="Arial" w:eastAsia="Arial" w:hAnsi="Arial" w:cs="Arial"/>
          <w:b w:val="0"/>
          <w:bCs w:val="0"/>
          <w:caps w:val="0"/>
          <w:sz w:val="20"/>
          <w:szCs w:val="20"/>
        </w:rPr>
      </w:pPr>
      <w:r>
        <w:rPr>
          <w:rFonts w:ascii="Arial" w:hAnsi="Arial"/>
          <w:b w:val="0"/>
          <w:bCs w:val="0"/>
          <w:caps w:val="0"/>
          <w:sz w:val="20"/>
          <w:szCs w:val="20"/>
        </w:rPr>
        <w:t>This case highlights the importance of thinking of CLOCCs when a patient with typhoid presents w</w:t>
      </w:r>
      <w:r>
        <w:rPr>
          <w:rFonts w:ascii="Arial" w:hAnsi="Arial"/>
          <w:b w:val="0"/>
          <w:bCs w:val="0"/>
          <w:caps w:val="0"/>
          <w:sz w:val="20"/>
          <w:szCs w:val="20"/>
        </w:rPr>
        <w:t xml:space="preserve">ith altered sensorium or unusual neurological symptoms. Early neuroimaging can help identify these lesions and avoid unnecessary aggressive </w:t>
      </w:r>
      <w:r>
        <w:rPr>
          <w:rFonts w:ascii="Arial" w:hAnsi="Arial"/>
          <w:b w:val="0"/>
          <w:bCs w:val="0"/>
          <w:caps w:val="0"/>
          <w:sz w:val="20"/>
          <w:szCs w:val="20"/>
        </w:rPr>
        <w:lastRenderedPageBreak/>
        <w:t>interventions. At the same time, recognizing their reversible and self-limiting nature helps guide management and pr</w:t>
      </w:r>
      <w:r>
        <w:rPr>
          <w:rFonts w:ascii="Arial" w:hAnsi="Arial"/>
          <w:b w:val="0"/>
          <w:bCs w:val="0"/>
          <w:caps w:val="0"/>
          <w:sz w:val="20"/>
          <w:szCs w:val="20"/>
        </w:rPr>
        <w:t>ovides reassurance, as the overall prognosis in most cases is good, with complete resolution.  </w:t>
      </w:r>
    </w:p>
    <w:p w14:paraId="4C5FE4BF" w14:textId="77777777" w:rsidR="00595D39" w:rsidRDefault="00595D39">
      <w:pPr>
        <w:pStyle w:val="BodyA"/>
        <w:spacing w:after="0"/>
        <w:rPr>
          <w:rFonts w:ascii="Arial" w:eastAsia="Arial" w:hAnsi="Arial" w:cs="Arial"/>
        </w:rPr>
      </w:pPr>
    </w:p>
    <w:p w14:paraId="15D751A6" w14:textId="77777777" w:rsidR="00595D39" w:rsidRDefault="00595D39">
      <w:pPr>
        <w:pStyle w:val="BodyA"/>
        <w:spacing w:after="0"/>
        <w:rPr>
          <w:rFonts w:ascii="Arial" w:eastAsia="Arial" w:hAnsi="Arial" w:cs="Arial"/>
        </w:rPr>
      </w:pPr>
    </w:p>
    <w:p w14:paraId="0064141E" w14:textId="77777777" w:rsidR="00595D39" w:rsidRDefault="00595D39">
      <w:pPr>
        <w:pStyle w:val="AcknHead"/>
        <w:spacing w:after="0"/>
        <w:jc w:val="both"/>
        <w:rPr>
          <w:rFonts w:ascii="Arial" w:eastAsia="Arial" w:hAnsi="Arial" w:cs="Arial"/>
        </w:rPr>
      </w:pPr>
    </w:p>
    <w:p w14:paraId="10F0978B" w14:textId="6509BAAC" w:rsidR="00595D39" w:rsidRDefault="00595D39">
      <w:pPr>
        <w:pStyle w:val="ReferHead"/>
        <w:spacing w:after="0"/>
        <w:jc w:val="both"/>
        <w:rPr>
          <w:rFonts w:ascii="Arial" w:eastAsia="Arial" w:hAnsi="Arial" w:cs="Arial"/>
        </w:rPr>
      </w:pPr>
    </w:p>
    <w:p w14:paraId="414B3A31" w14:textId="77777777" w:rsidR="002D2C5F" w:rsidRDefault="002D2C5F">
      <w:pPr>
        <w:pStyle w:val="ReferHead"/>
        <w:spacing w:after="0"/>
        <w:jc w:val="both"/>
        <w:rPr>
          <w:rFonts w:ascii="Arial" w:eastAsia="Arial" w:hAnsi="Arial" w:cs="Arial"/>
        </w:rPr>
      </w:pPr>
      <w:bookmarkStart w:id="0" w:name="_GoBack"/>
      <w:bookmarkEnd w:id="0"/>
    </w:p>
    <w:p w14:paraId="78F262D2" w14:textId="77777777" w:rsidR="00595D39" w:rsidRDefault="00D67047">
      <w:pPr>
        <w:pStyle w:val="ReferHead"/>
        <w:spacing w:after="0"/>
        <w:jc w:val="both"/>
        <w:rPr>
          <w:rFonts w:ascii="Arial" w:eastAsia="Arial" w:hAnsi="Arial" w:cs="Arial"/>
        </w:rPr>
      </w:pPr>
      <w:r>
        <w:rPr>
          <w:rFonts w:ascii="Arial" w:hAnsi="Arial"/>
        </w:rPr>
        <w:t>References</w:t>
      </w:r>
    </w:p>
    <w:p w14:paraId="05C5FC64" w14:textId="77777777" w:rsidR="00595D39" w:rsidRDefault="00595D39">
      <w:pPr>
        <w:pStyle w:val="ReferHead"/>
        <w:spacing w:after="0"/>
        <w:jc w:val="both"/>
        <w:rPr>
          <w:rFonts w:ascii="Arial" w:eastAsia="Arial" w:hAnsi="Arial" w:cs="Arial"/>
        </w:rPr>
      </w:pPr>
    </w:p>
    <w:p w14:paraId="17704399" w14:textId="77777777" w:rsidR="00595D39" w:rsidRDefault="00D67047">
      <w:pPr>
        <w:pStyle w:val="BodyA"/>
      </w:pPr>
      <w:r>
        <w:t xml:space="preserve">1. Jeong SC, Han S, Hwang J. Cytotoxic lesions of the corpus callosum (CLOCCs) with a </w:t>
      </w:r>
      <w:proofErr w:type="gramStart"/>
      <w:r>
        <w:t>flow  gap</w:t>
      </w:r>
      <w:proofErr w:type="gramEnd"/>
      <w:r>
        <w:t xml:space="preserve"> in straight sinus on magnetic resonance venography. BMJ Neurol Open.  2024;6(1</w:t>
      </w:r>
      <w:proofErr w:type="gramStart"/>
      <w:r>
        <w:t>):e</w:t>
      </w:r>
      <w:proofErr w:type="gramEnd"/>
      <w:r>
        <w:t>000579. doi:10.1136/bmjno-2023-000579. PMID: 38268754; PMCID:  PMC10806872.  </w:t>
      </w:r>
    </w:p>
    <w:p w14:paraId="48DE120F" w14:textId="77777777" w:rsidR="00595D39" w:rsidRDefault="00D67047">
      <w:pPr>
        <w:pStyle w:val="BodyA"/>
      </w:pPr>
      <w:r>
        <w:t xml:space="preserve">2. </w:t>
      </w:r>
      <w:proofErr w:type="spellStart"/>
      <w:r>
        <w:t>Kopyta</w:t>
      </w:r>
      <w:proofErr w:type="spellEnd"/>
      <w:r>
        <w:t xml:space="preserve"> I, </w:t>
      </w:r>
      <w:proofErr w:type="spellStart"/>
      <w:r>
        <w:t>Siemek-Mitela</w:t>
      </w:r>
      <w:proofErr w:type="spellEnd"/>
      <w:r>
        <w:t xml:space="preserve"> J, Damps M, </w:t>
      </w:r>
      <w:proofErr w:type="spellStart"/>
      <w:r>
        <w:t>Machnikowska-Sokołowska</w:t>
      </w:r>
      <w:proofErr w:type="spellEnd"/>
      <w:r>
        <w:t xml:space="preserve"> M, </w:t>
      </w:r>
      <w:proofErr w:type="spellStart"/>
      <w:r>
        <w:t>Gruszczyńska</w:t>
      </w:r>
      <w:proofErr w:type="spellEnd"/>
      <w:r>
        <w:t xml:space="preserve"> K.  Cytotoxic les</w:t>
      </w:r>
      <w:r>
        <w:t>ions of the corpus callosum (CLOCCs) in a patient with Epstein–</w:t>
      </w:r>
      <w:proofErr w:type="gramStart"/>
      <w:r>
        <w:t>Barr  infection</w:t>
      </w:r>
      <w:proofErr w:type="gramEnd"/>
      <w:r>
        <w:t>: a case report and literature review. Children (Basel). 2025;12(3):354. doi:10.3390/ children12030354. PMID: 40149781; PMCID: PMC11940169.  </w:t>
      </w:r>
    </w:p>
    <w:p w14:paraId="0A679C40" w14:textId="77777777" w:rsidR="00595D39" w:rsidRDefault="00D67047">
      <w:pPr>
        <w:pStyle w:val="BodyA"/>
      </w:pPr>
      <w:r>
        <w:t>3. Bonilla González C, Novoa Garnica</w:t>
      </w:r>
      <w:r>
        <w:t xml:space="preserve"> C. Cytotoxic lesion of the corpus callosum </w:t>
      </w:r>
      <w:proofErr w:type="gramStart"/>
      <w:r>
        <w:t>in  pediatrics</w:t>
      </w:r>
      <w:proofErr w:type="gramEnd"/>
      <w:r>
        <w:t xml:space="preserve">: a case report. </w:t>
      </w:r>
      <w:proofErr w:type="spellStart"/>
      <w:r>
        <w:t>Radiol</w:t>
      </w:r>
      <w:proofErr w:type="spellEnd"/>
      <w:r>
        <w:t xml:space="preserve"> Case Rep. 2023;18(6):2252–2256. doi:10.1016/ </w:t>
      </w:r>
      <w:proofErr w:type="gramStart"/>
      <w:r>
        <w:t>j.radcr</w:t>
      </w:r>
      <w:proofErr w:type="gramEnd"/>
      <w:r>
        <w:t>.2023.03.067. PMID: 37101890; PMCID: PMC10123321. </w:t>
      </w:r>
    </w:p>
    <w:p w14:paraId="43E1EBB6" w14:textId="77777777" w:rsidR="00595D39" w:rsidRDefault="00D67047">
      <w:pPr>
        <w:pStyle w:val="BodyA"/>
      </w:pPr>
      <w:r>
        <w:t xml:space="preserve">4. Moors S, </w:t>
      </w:r>
      <w:proofErr w:type="spellStart"/>
      <w:r>
        <w:t>Nakhostin</w:t>
      </w:r>
      <w:proofErr w:type="spellEnd"/>
      <w:r>
        <w:t xml:space="preserve"> D, </w:t>
      </w:r>
      <w:proofErr w:type="spellStart"/>
      <w:r>
        <w:t>Ilchenko</w:t>
      </w:r>
      <w:proofErr w:type="spellEnd"/>
      <w:r>
        <w:t xml:space="preserve"> D, Kulcsar Z, Starkey J, </w:t>
      </w:r>
      <w:proofErr w:type="spellStart"/>
      <w:r>
        <w:t>Winklhofer</w:t>
      </w:r>
      <w:proofErr w:type="spellEnd"/>
      <w:r>
        <w:t xml:space="preserve"> S</w:t>
      </w:r>
      <w:r>
        <w:t xml:space="preserve">, </w:t>
      </w:r>
      <w:proofErr w:type="spellStart"/>
      <w:r>
        <w:t>Ineichen</w:t>
      </w:r>
      <w:proofErr w:type="spellEnd"/>
      <w:r>
        <w:t xml:space="preserve"> BV.  Cytotoxic lesions of the corpus callosum: a systematic review. Neuroradiology.  2024;66(2):157–168. doi:10.1007/s00234-023-03203-7. PMID: 38147170; PMCID:  PMC11213749.  </w:t>
      </w:r>
    </w:p>
    <w:p w14:paraId="4D1C8241" w14:textId="77777777" w:rsidR="00595D39" w:rsidRDefault="00D67047">
      <w:pPr>
        <w:pStyle w:val="BodyA"/>
      </w:pPr>
      <w:r>
        <w:t xml:space="preserve">5. </w:t>
      </w:r>
      <w:proofErr w:type="spellStart"/>
      <w:r>
        <w:t>Özdemir</w:t>
      </w:r>
      <w:proofErr w:type="spellEnd"/>
      <w:r>
        <w:t xml:space="preserve"> HN, </w:t>
      </w:r>
      <w:proofErr w:type="spellStart"/>
      <w:r>
        <w:t>Çelebisoy</w:t>
      </w:r>
      <w:proofErr w:type="spellEnd"/>
      <w:r>
        <w:t xml:space="preserve"> N, </w:t>
      </w:r>
      <w:proofErr w:type="spellStart"/>
      <w:r>
        <w:t>Gökçay</w:t>
      </w:r>
      <w:proofErr w:type="spellEnd"/>
      <w:r>
        <w:t xml:space="preserve"> F, </w:t>
      </w:r>
      <w:proofErr w:type="spellStart"/>
      <w:r>
        <w:t>Gökçay</w:t>
      </w:r>
      <w:proofErr w:type="spellEnd"/>
      <w:r>
        <w:t xml:space="preserve"> A. A cytotoxic lesion of the corpus </w:t>
      </w:r>
      <w:proofErr w:type="gramStart"/>
      <w:r>
        <w:t>callosum  (</w:t>
      </w:r>
      <w:proofErr w:type="gramEnd"/>
      <w:r>
        <w:t xml:space="preserve">CLOCC) in a patient with headache and neurological deficits with cerebrospinal fluid  lymphocytosis (HaNDL): a hint for pathophysiology? Acta Neurol Belg. </w:t>
      </w:r>
      <w:proofErr w:type="gramStart"/>
      <w:r>
        <w:t>2023;123:619</w:t>
      </w:r>
      <w:proofErr w:type="gramEnd"/>
      <w:r>
        <w:t>–621.  doi:10.1007/s13760-022-01890-8. PM</w:t>
      </w:r>
      <w:r>
        <w:t>ID: 35109974.  </w:t>
      </w:r>
    </w:p>
    <w:p w14:paraId="59BDC8FC" w14:textId="77777777" w:rsidR="00595D39" w:rsidRDefault="00D67047">
      <w:pPr>
        <w:pStyle w:val="BodyA"/>
        <w:jc w:val="left"/>
      </w:pPr>
      <w:r>
        <w:t xml:space="preserve">6. </w:t>
      </w:r>
      <w:proofErr w:type="spellStart"/>
      <w:r>
        <w:t>Rzhevska</w:t>
      </w:r>
      <w:proofErr w:type="spellEnd"/>
      <w:r>
        <w:t xml:space="preserve"> OO, </w:t>
      </w:r>
      <w:proofErr w:type="spellStart"/>
      <w:r>
        <w:t>Khodak</w:t>
      </w:r>
      <w:proofErr w:type="spellEnd"/>
      <w:r>
        <w:t xml:space="preserve"> LA, </w:t>
      </w:r>
      <w:proofErr w:type="spellStart"/>
      <w:r>
        <w:t>Butenko</w:t>
      </w:r>
      <w:proofErr w:type="spellEnd"/>
      <w:r>
        <w:t xml:space="preserve"> AI, </w:t>
      </w:r>
      <w:proofErr w:type="spellStart"/>
      <w:r>
        <w:t>Kvaratskheliya</w:t>
      </w:r>
      <w:proofErr w:type="spellEnd"/>
      <w:r>
        <w:t xml:space="preserve"> TM, </w:t>
      </w:r>
      <w:proofErr w:type="spellStart"/>
      <w:r>
        <w:t>Shtrakh</w:t>
      </w:r>
      <w:proofErr w:type="spellEnd"/>
      <w:r>
        <w:t xml:space="preserve"> KV, </w:t>
      </w:r>
      <w:proofErr w:type="spellStart"/>
      <w:r>
        <w:t>Shevchuk</w:t>
      </w:r>
      <w:proofErr w:type="spellEnd"/>
      <w:r>
        <w:t xml:space="preserve"> </w:t>
      </w:r>
      <w:proofErr w:type="gramStart"/>
      <w:r>
        <w:t xml:space="preserve">AM,  </w:t>
      </w:r>
      <w:proofErr w:type="spellStart"/>
      <w:r>
        <w:t>Yashchenko</w:t>
      </w:r>
      <w:proofErr w:type="spellEnd"/>
      <w:proofErr w:type="gramEnd"/>
      <w:r>
        <w:t xml:space="preserve"> YB. EBV-encephalitis in children: diagnostic criteria. </w:t>
      </w:r>
      <w:proofErr w:type="spellStart"/>
      <w:r>
        <w:t>Wiad</w:t>
      </w:r>
      <w:proofErr w:type="spellEnd"/>
      <w:r>
        <w:t xml:space="preserve"> </w:t>
      </w:r>
      <w:proofErr w:type="spellStart"/>
      <w:r>
        <w:t>Lek</w:t>
      </w:r>
      <w:proofErr w:type="spellEnd"/>
      <w:r>
        <w:t>.  2023;76(10):2263–2268. doi:10.36740/WLek202310120. PMID: 37980965.  </w:t>
      </w:r>
    </w:p>
    <w:p w14:paraId="60D44F6D" w14:textId="77777777" w:rsidR="00595D39" w:rsidRDefault="00D67047">
      <w:pPr>
        <w:pStyle w:val="BodyA"/>
      </w:pPr>
      <w:r>
        <w:t>7. Thorbur</w:t>
      </w:r>
      <w:r>
        <w:t>n SJ, McCarthy J. More than a fever: encephalitis due to typhoid fever. J Infect.  2022;85(3</w:t>
      </w:r>
      <w:proofErr w:type="gramStart"/>
      <w:r>
        <w:t>):e</w:t>
      </w:r>
      <w:proofErr w:type="gramEnd"/>
      <w:r>
        <w:t xml:space="preserve">87–e89. </w:t>
      </w:r>
      <w:proofErr w:type="gramStart"/>
      <w:r>
        <w:t>doi:10.1016/j.jinf</w:t>
      </w:r>
      <w:proofErr w:type="gramEnd"/>
      <w:r>
        <w:t>.2022.05.017. PMID: 35594844.  </w:t>
      </w:r>
    </w:p>
    <w:p w14:paraId="4BF7E74E" w14:textId="77777777" w:rsidR="00595D39" w:rsidRDefault="00D67047">
      <w:pPr>
        <w:pStyle w:val="BodyA"/>
        <w:jc w:val="left"/>
      </w:pPr>
      <w:r>
        <w:t xml:space="preserve">8. El </w:t>
      </w:r>
      <w:proofErr w:type="spellStart"/>
      <w:r>
        <w:t>Azouzi</w:t>
      </w:r>
      <w:proofErr w:type="spellEnd"/>
      <w:r>
        <w:t xml:space="preserve"> M, </w:t>
      </w:r>
      <w:proofErr w:type="spellStart"/>
      <w:r>
        <w:t>Bentahar</w:t>
      </w:r>
      <w:proofErr w:type="spellEnd"/>
      <w:r>
        <w:t xml:space="preserve"> A, El Fikri A. Cytotoxic lesion of the corpus callosum (</w:t>
      </w:r>
      <w:proofErr w:type="gramStart"/>
      <w:r>
        <w:t>CLOCC)  associated</w:t>
      </w:r>
      <w:proofErr w:type="gramEnd"/>
      <w:r>
        <w:t xml:space="preserve"> wit</w:t>
      </w:r>
      <w:r>
        <w:t xml:space="preserve">h typhoid fever: a case report. </w:t>
      </w:r>
      <w:proofErr w:type="spellStart"/>
      <w:r>
        <w:t>Radiol</w:t>
      </w:r>
      <w:proofErr w:type="spellEnd"/>
      <w:r>
        <w:t xml:space="preserve"> Case Rep. 2022;17(11):4294–4298.  </w:t>
      </w:r>
      <w:proofErr w:type="gramStart"/>
      <w:r>
        <w:t>doi:10.1016/j.radcr</w:t>
      </w:r>
      <w:proofErr w:type="gramEnd"/>
      <w:r>
        <w:t>.2022.08.063. PMID: 36105077; PMCID: PMC9460831. </w:t>
      </w:r>
    </w:p>
    <w:p w14:paraId="00718BF5" w14:textId="77777777" w:rsidR="00595D39" w:rsidRDefault="00595D39">
      <w:pPr>
        <w:pStyle w:val="BodyA"/>
        <w:spacing w:after="0"/>
        <w:jc w:val="left"/>
      </w:pPr>
    </w:p>
    <w:sectPr w:rsidR="00595D39">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C876" w14:textId="77777777" w:rsidR="00D67047" w:rsidRDefault="00D67047">
      <w:r>
        <w:separator/>
      </w:r>
    </w:p>
  </w:endnote>
  <w:endnote w:type="continuationSeparator" w:id="0">
    <w:p w14:paraId="52DA8CE1" w14:textId="77777777" w:rsidR="00D67047" w:rsidRDefault="00D6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3673" w14:textId="77777777" w:rsidR="006500D1" w:rsidRDefault="0065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FF3B" w14:textId="77777777" w:rsidR="006500D1" w:rsidRDefault="00650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C1A1" w14:textId="77777777" w:rsidR="006500D1" w:rsidRDefault="00650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86E1" w14:textId="77777777" w:rsidR="00D67047" w:rsidRDefault="00D67047">
      <w:r>
        <w:separator/>
      </w:r>
    </w:p>
  </w:footnote>
  <w:footnote w:type="continuationSeparator" w:id="0">
    <w:p w14:paraId="43DB6D4D" w14:textId="77777777" w:rsidR="00D67047" w:rsidRDefault="00D67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E79D" w14:textId="044C3B08" w:rsidR="006500D1" w:rsidRDefault="006500D1">
    <w:pPr>
      <w:pStyle w:val="Header"/>
    </w:pPr>
    <w:r>
      <w:rPr>
        <w:noProof/>
      </w:rPr>
      <w:pict w14:anchorId="23C98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64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12EC" w14:textId="1C17A9D2" w:rsidR="006500D1" w:rsidRDefault="006500D1">
    <w:pPr>
      <w:pStyle w:val="Header"/>
    </w:pPr>
    <w:r>
      <w:rPr>
        <w:noProof/>
      </w:rPr>
      <w:pict w14:anchorId="295E2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64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B411" w14:textId="2C502BF4" w:rsidR="006500D1" w:rsidRDefault="006500D1">
    <w:pPr>
      <w:pStyle w:val="Header"/>
    </w:pPr>
    <w:r>
      <w:rPr>
        <w:noProof/>
      </w:rPr>
      <w:pict w14:anchorId="00D5F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647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39"/>
    <w:rsid w:val="002D2C5F"/>
    <w:rsid w:val="003D16F1"/>
    <w:rsid w:val="003F04A3"/>
    <w:rsid w:val="0046509B"/>
    <w:rsid w:val="00595D39"/>
    <w:rsid w:val="006500D1"/>
    <w:rsid w:val="007B1F3E"/>
    <w:rsid w:val="009B181A"/>
    <w:rsid w:val="00B256E2"/>
    <w:rsid w:val="00D67047"/>
    <w:rsid w:val="00DB40FE"/>
    <w:rsid w:val="00FC2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1E4CE"/>
  <w15:docId w15:val="{A0C675C5-3C06-4F77-AE80-0914A838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lang w:val="en-US"/>
    </w:rPr>
  </w:style>
  <w:style w:type="paragraph" w:styleId="Title">
    <w:name w:val="Title"/>
    <w:uiPriority w:val="10"/>
    <w:qFormat/>
    <w:pPr>
      <w:spacing w:after="360"/>
      <w:jc w:val="right"/>
    </w:pPr>
    <w:rPr>
      <w:rFonts w:ascii="Helvetica" w:hAnsi="Helvetica" w:cs="Arial Unicode MS"/>
      <w:b/>
      <w:bCs/>
      <w:color w:val="000000"/>
      <w:kern w:val="28"/>
      <w:sz w:val="36"/>
      <w:szCs w:val="36"/>
      <w:u w:color="000000"/>
      <w:lang w:val="en-US"/>
      <w14:textOutline w14:w="0" w14:cap="flat" w14:cmpd="sng" w14:algn="ctr">
        <w14:noFill/>
        <w14:prstDash w14:val="solid"/>
        <w14:bevel/>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lang w:val="en-US"/>
    </w:rPr>
  </w:style>
  <w:style w:type="paragraph" w:customStyle="1" w:styleId="Affiliation">
    <w:name w:val="Affiliation"/>
    <w:pPr>
      <w:spacing w:after="240" w:line="240" w:lineRule="exact"/>
      <w:jc w:val="right"/>
    </w:pPr>
    <w:rPr>
      <w:rFonts w:ascii="Helvetica" w:hAnsi="Helvetica" w:cs="Arial Unicode MS"/>
      <w:color w:val="000000"/>
      <w:u w:color="000000"/>
      <w:lang w:val="en-US"/>
    </w:rPr>
  </w:style>
  <w:style w:type="paragraph" w:customStyle="1" w:styleId="Copyright">
    <w:name w:val="Copyright"/>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pPr>
      <w:keepNext/>
      <w:spacing w:after="240"/>
    </w:pPr>
    <w:rPr>
      <w:rFonts w:ascii="Helvetica" w:hAnsi="Helvetica" w:cs="Arial Unicode MS"/>
      <w:b/>
      <w:bCs/>
      <w:caps/>
      <w:color w:val="000000"/>
      <w:sz w:val="22"/>
      <w:szCs w:val="22"/>
      <w:u w:color="000000"/>
      <w:lang w:val="en-US"/>
    </w:rPr>
  </w:style>
  <w:style w:type="paragraph" w:customStyle="1" w:styleId="BodyA">
    <w:name w:val="Body A"/>
    <w:pPr>
      <w:spacing w:after="240"/>
      <w:jc w:val="both"/>
    </w:pPr>
    <w:rPr>
      <w:rFonts w:ascii="Helvetica" w:hAnsi="Helvetica" w:cs="Arial Unicode MS"/>
      <w:color w:val="000000"/>
      <w:u w:color="000000"/>
      <w:lang w:val="en-US"/>
    </w:rPr>
  </w:style>
  <w:style w:type="paragraph" w:customStyle="1" w:styleId="TableStyle7A">
    <w:name w:val="Table Style 7 A"/>
    <w:rPr>
      <w:rFonts w:ascii="Helvetica Neue" w:hAnsi="Helvetica Neue" w:cs="Arial Unicode MS"/>
      <w:b/>
      <w:bCs/>
      <w:color w:val="323232"/>
      <w:u w:color="323232"/>
      <w:lang w:val="en-US"/>
    </w:rPr>
  </w:style>
  <w:style w:type="paragraph" w:customStyle="1" w:styleId="TableStyle6A">
    <w:name w:val="Table Style 6 A"/>
    <w:pPr>
      <w:keepLines/>
    </w:pPr>
    <w:rPr>
      <w:rFonts w:ascii="Arial" w:hAnsi="Arial" w:cs="Arial Unicode MS"/>
      <w:color w:val="323232"/>
      <w:u w:color="323232"/>
      <w:lang w:val="en-US"/>
    </w:rPr>
  </w:style>
  <w:style w:type="paragraph" w:customStyle="1" w:styleId="TableStyle2A">
    <w:name w:val="Table Style 2 A"/>
    <w:rPr>
      <w:rFonts w:ascii="Helvetica Neue" w:hAnsi="Helvetica Neue" w:cs="Arial Unicode MS"/>
      <w:color w:val="000000"/>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0" w14:cap="flat" w14:cmpd="sng" w14:algn="ctr">
        <w14:noFill/>
        <w14:prstDash w14:val="solid"/>
        <w14:bevel/>
      </w14:textOutline>
    </w:rPr>
  </w:style>
  <w:style w:type="paragraph" w:customStyle="1" w:styleId="Body">
    <w:name w:val="Body"/>
    <w:rPr>
      <w:rFonts w:ascii="Helvetica" w:hAnsi="Helvetica" w:cs="Arial Unicode MS"/>
      <w:color w:val="000000"/>
      <w:u w:color="000000"/>
      <w:lang w:val="en-US"/>
      <w14:textOutline w14:w="0" w14:cap="flat" w14:cmpd="sng" w14:algn="ctr">
        <w14:noFill/>
        <w14:prstDash w14:val="solid"/>
        <w14:bevel/>
      </w14:textOutline>
    </w:rPr>
  </w:style>
  <w:style w:type="paragraph" w:customStyle="1" w:styleId="Head1">
    <w:name w:val="Head1"/>
    <w:pPr>
      <w:keepNext/>
      <w:spacing w:after="240"/>
    </w:pPr>
    <w:rPr>
      <w:rFonts w:ascii="Helvetica" w:hAnsi="Helvetica" w:cs="Arial Unicode MS"/>
      <w:b/>
      <w:bCs/>
      <w:caps/>
      <w:color w:val="000000"/>
      <w:sz w:val="22"/>
      <w:szCs w:val="22"/>
      <w:u w:color="000000"/>
      <w:lang w:val="en-US"/>
    </w:rPr>
  </w:style>
  <w:style w:type="paragraph" w:customStyle="1" w:styleId="ConcHead">
    <w:name w:val="Conc Head"/>
    <w:pPr>
      <w:keepNext/>
      <w:spacing w:after="240"/>
    </w:pPr>
    <w:rPr>
      <w:rFonts w:ascii="Helvetica" w:eastAsia="Helvetica" w:hAnsi="Helvetica" w:cs="Helvetica"/>
      <w:b/>
      <w:bCs/>
      <w:caps/>
      <w:color w:val="000000"/>
      <w:sz w:val="22"/>
      <w:szCs w:val="22"/>
      <w:u w:color="000000"/>
      <w:lang w:val="en-US"/>
    </w:rPr>
  </w:style>
  <w:style w:type="paragraph" w:customStyle="1" w:styleId="AcknHead">
    <w:name w:val="Ackn Head"/>
    <w:pPr>
      <w:keepNext/>
      <w:spacing w:after="240"/>
    </w:pPr>
    <w:rPr>
      <w:rFonts w:ascii="Helvetica" w:eastAsia="Helvetica" w:hAnsi="Helvetica" w:cs="Helvetica"/>
      <w:b/>
      <w:bCs/>
      <w:caps/>
      <w:color w:val="000000"/>
      <w:sz w:val="22"/>
      <w:szCs w:val="22"/>
      <w:u w:color="000000"/>
      <w:lang w:val="en-US"/>
    </w:rPr>
  </w:style>
  <w:style w:type="paragraph" w:customStyle="1" w:styleId="ReferHead">
    <w:name w:val="Refer Head"/>
    <w:pPr>
      <w:keepNext/>
      <w:spacing w:after="240"/>
    </w:pPr>
    <w:rPr>
      <w:rFonts w:ascii="Helvetica" w:hAnsi="Helvetica" w:cs="Arial Unicode MS"/>
      <w:b/>
      <w:bCs/>
      <w:caps/>
      <w:color w:val="000000"/>
      <w:sz w:val="22"/>
      <w:szCs w:val="22"/>
      <w:u w:color="000000"/>
      <w:lang w:val="en-US"/>
    </w:rPr>
  </w:style>
  <w:style w:type="character" w:styleId="UnresolvedMention">
    <w:name w:val="Unresolved Mention"/>
    <w:basedOn w:val="DefaultParagraphFont"/>
    <w:uiPriority w:val="99"/>
    <w:semiHidden/>
    <w:unhideWhenUsed/>
    <w:rsid w:val="00FC2C2B"/>
    <w:rPr>
      <w:color w:val="605E5C"/>
      <w:shd w:val="clear" w:color="auto" w:fill="E1DFDD"/>
    </w:rPr>
  </w:style>
  <w:style w:type="character" w:customStyle="1" w:styleId="Hyperlink1">
    <w:name w:val="Hyperlink.1"/>
    <w:basedOn w:val="DefaultParagraphFont"/>
    <w:rsid w:val="00FC2C2B"/>
    <w:rPr>
      <w:rFonts w:ascii="Times New Roman" w:eastAsia="Times New Roman" w:hAnsi="Times New Roman" w:cs="Times New Roman"/>
      <w:outline w:val="0"/>
      <w:color w:val="0563C1"/>
      <w:sz w:val="20"/>
      <w:szCs w:val="20"/>
      <w:u w:val="single" w:color="0563C1"/>
      <w:lang w:val="en-US"/>
    </w:rPr>
  </w:style>
  <w:style w:type="paragraph" w:styleId="Header">
    <w:name w:val="header"/>
    <w:basedOn w:val="Normal"/>
    <w:link w:val="HeaderChar"/>
    <w:uiPriority w:val="99"/>
    <w:unhideWhenUsed/>
    <w:rsid w:val="003F04A3"/>
    <w:pPr>
      <w:tabs>
        <w:tab w:val="center" w:pos="4513"/>
        <w:tab w:val="right" w:pos="9026"/>
      </w:tabs>
    </w:pPr>
  </w:style>
  <w:style w:type="character" w:customStyle="1" w:styleId="HeaderChar">
    <w:name w:val="Header Char"/>
    <w:basedOn w:val="DefaultParagraphFont"/>
    <w:link w:val="Header"/>
    <w:uiPriority w:val="99"/>
    <w:rsid w:val="003F04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2400</Words>
  <Characters>13686</Characters>
  <Application>Microsoft Office Word</Application>
  <DocSecurity>0</DocSecurity>
  <Lines>114</Lines>
  <Paragraphs>32</Paragraphs>
  <ScaleCrop>false</ScaleCrop>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1170</cp:lastModifiedBy>
  <cp:revision>19</cp:revision>
  <dcterms:created xsi:type="dcterms:W3CDTF">2026-05-13T05:52:00Z</dcterms:created>
  <dcterms:modified xsi:type="dcterms:W3CDTF">2026-05-13T09:54:00Z</dcterms:modified>
</cp:coreProperties>
</file>