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A8365" w14:textId="77777777" w:rsidR="009C7362" w:rsidRPr="00834ABA" w:rsidRDefault="009C7362" w:rsidP="009C7362">
      <w:pPr>
        <w:spacing w:line="360" w:lineRule="auto"/>
        <w:rPr>
          <w:rFonts w:ascii="Times New Roman" w:hAnsi="Times New Roman" w:cs="Times New Roman"/>
          <w:b/>
          <w:color w:val="000000" w:themeColor="text1"/>
          <w:lang w:val="en-US"/>
        </w:rPr>
      </w:pPr>
      <w:r w:rsidRPr="00834ABA">
        <w:rPr>
          <w:rFonts w:ascii="Times New Roman" w:hAnsi="Times New Roman" w:cs="Times New Roman"/>
          <w:b/>
          <w:bCs/>
          <w:color w:val="000000" w:themeColor="text1"/>
          <w:lang w:val="en-US"/>
        </w:rPr>
        <w:t>Profile of Patients Hospitalized for Miliary Tuberculosis in the Department of Infectious and Tropical Diseases at the Fann National University Teaching Hospital, Dakar (Senegal)</w:t>
      </w:r>
    </w:p>
    <w:p w14:paraId="3E466FD2" w14:textId="77777777" w:rsidR="00DA32A1" w:rsidRPr="00834ABA" w:rsidRDefault="00DA32A1" w:rsidP="00E471D1">
      <w:pPr>
        <w:spacing w:line="360" w:lineRule="auto"/>
        <w:rPr>
          <w:rFonts w:ascii="Times New Roman" w:hAnsi="Times New Roman" w:cs="Times New Roman"/>
          <w:b/>
          <w:color w:val="000000" w:themeColor="text1"/>
          <w:lang w:val="en-US"/>
        </w:rPr>
      </w:pPr>
      <w:bookmarkStart w:id="0" w:name="_GoBack"/>
      <w:bookmarkEnd w:id="0"/>
    </w:p>
    <w:p w14:paraId="0B697FB5" w14:textId="09F2AF94" w:rsidR="00D44AB9" w:rsidRPr="00834ABA" w:rsidRDefault="00D44AB9" w:rsidP="00E471D1">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t>Abstract</w:t>
      </w:r>
    </w:p>
    <w:p w14:paraId="473DE998" w14:textId="77777777" w:rsidR="005572A7" w:rsidRPr="00834ABA" w:rsidRDefault="005572A7" w:rsidP="005572A7">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t>Introduction</w:t>
      </w:r>
    </w:p>
    <w:p w14:paraId="2D3757F8" w14:textId="77777777" w:rsidR="005572A7" w:rsidRPr="00834ABA" w:rsidRDefault="005572A7" w:rsidP="005572A7">
      <w:pPr>
        <w:spacing w:line="360" w:lineRule="auto"/>
        <w:rPr>
          <w:rFonts w:ascii="Times New Roman" w:hAnsi="Times New Roman" w:cs="Times New Roman"/>
          <w:bCs/>
          <w:color w:val="000000" w:themeColor="text1"/>
          <w:lang w:val="en-US"/>
        </w:rPr>
      </w:pPr>
      <w:r w:rsidRPr="00834ABA">
        <w:rPr>
          <w:rFonts w:ascii="Times New Roman" w:hAnsi="Times New Roman" w:cs="Times New Roman"/>
          <w:bCs/>
          <w:color w:val="000000" w:themeColor="text1"/>
          <w:lang w:val="en-US"/>
        </w:rPr>
        <w:t>Miliary tuberculosis is a severe form of tuberculosis resulting from the hematogenous dissemination of Mycobacterium tuberculosis. The aim of this study was to describe the epidemiological, clinical, paraclinical, and outcome characteristics of patients hospitalized for miliary tuberculosis in the Infectious Diseases Department of the Fann University Teaching Hospital.</w:t>
      </w:r>
    </w:p>
    <w:p w14:paraId="28E17D85" w14:textId="77777777" w:rsidR="005572A7" w:rsidRPr="00834ABA" w:rsidRDefault="005572A7" w:rsidP="005572A7">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t>Patients and Methods</w:t>
      </w:r>
    </w:p>
    <w:p w14:paraId="292D9B23" w14:textId="081485A8" w:rsidR="005572A7" w:rsidRPr="00834ABA" w:rsidRDefault="005572A7" w:rsidP="005572A7">
      <w:pPr>
        <w:spacing w:line="360" w:lineRule="auto"/>
        <w:rPr>
          <w:rFonts w:ascii="Times New Roman" w:hAnsi="Times New Roman" w:cs="Times New Roman"/>
          <w:bCs/>
          <w:color w:val="000000" w:themeColor="text1"/>
          <w:lang w:val="en-US"/>
        </w:rPr>
      </w:pPr>
      <w:r w:rsidRPr="00834ABA">
        <w:rPr>
          <w:rFonts w:ascii="Times New Roman" w:hAnsi="Times New Roman" w:cs="Times New Roman"/>
          <w:bCs/>
          <w:color w:val="000000" w:themeColor="text1"/>
          <w:lang w:val="en-US"/>
        </w:rPr>
        <w:t>We conducted a retrospective, descriptive, observational study including patients hospitalized for miliary tuberculosis in the Department of Infectious and Tropical Diseases of the Fann University Teaching Hospital from January 1, 2018, to December 31, 2024.</w:t>
      </w:r>
    </w:p>
    <w:p w14:paraId="55A54BAE" w14:textId="77777777" w:rsidR="005572A7" w:rsidRPr="00834ABA" w:rsidRDefault="005572A7" w:rsidP="005572A7">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t>Results</w:t>
      </w:r>
    </w:p>
    <w:p w14:paraId="7CC6D209" w14:textId="6C15F074" w:rsidR="005572A7" w:rsidRPr="00834ABA" w:rsidRDefault="005572A7" w:rsidP="005572A7">
      <w:pPr>
        <w:spacing w:line="360" w:lineRule="auto"/>
        <w:rPr>
          <w:rFonts w:ascii="Times New Roman" w:hAnsi="Times New Roman" w:cs="Times New Roman"/>
          <w:bCs/>
          <w:color w:val="000000" w:themeColor="text1"/>
          <w:lang w:val="en-US"/>
        </w:rPr>
      </w:pPr>
      <w:r w:rsidRPr="00834ABA">
        <w:rPr>
          <w:rFonts w:ascii="Times New Roman" w:hAnsi="Times New Roman" w:cs="Times New Roman"/>
          <w:bCs/>
          <w:color w:val="000000" w:themeColor="text1"/>
          <w:lang w:val="en-US"/>
        </w:rPr>
        <w:t>Among 1,115 patients hospitalized for tuberculosis, 96 presented with miliary tuberculosis, representing 8.60% of all tuberculosis cases. The median age was 37 years (IQR: 28–45). Human immunodeficiency virus (HIV) infection was the most frequent comorbidity (48.96%). The predominant general symptoms were fever (97.92%) and impaired general condition (86.46%). The most frequently affected systems were the respiratory (53.13%), neurological (39.58%), and splenic-lymph node systems (34.38%).</w:t>
      </w:r>
    </w:p>
    <w:p w14:paraId="000F065E" w14:textId="456AAB5B" w:rsidR="005572A7" w:rsidRPr="00834ABA" w:rsidRDefault="005572A7" w:rsidP="005572A7">
      <w:pPr>
        <w:spacing w:line="360" w:lineRule="auto"/>
        <w:rPr>
          <w:rFonts w:ascii="Times New Roman" w:hAnsi="Times New Roman" w:cs="Times New Roman"/>
          <w:bCs/>
          <w:color w:val="000000" w:themeColor="text1"/>
          <w:lang w:val="en-US"/>
        </w:rPr>
      </w:pPr>
      <w:r w:rsidRPr="00834ABA">
        <w:rPr>
          <w:rFonts w:ascii="Times New Roman" w:hAnsi="Times New Roman" w:cs="Times New Roman"/>
          <w:bCs/>
          <w:color w:val="000000" w:themeColor="text1"/>
          <w:lang w:val="en-US"/>
        </w:rPr>
        <w:t>Regarding paraclinical findings, pancytopenia was present in 10.39% of patients, while hepatic cytolysis was observed in 42.31%. Microbiological confirmation of tuberculosis was obtained in 50% of cases. The in-hospital case fatality rate was 38.54%.</w:t>
      </w:r>
    </w:p>
    <w:p w14:paraId="5B73E258" w14:textId="77777777" w:rsidR="005572A7" w:rsidRPr="00834ABA" w:rsidRDefault="005572A7" w:rsidP="005572A7">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t>Conclusion</w:t>
      </w:r>
    </w:p>
    <w:p w14:paraId="4BF5AE30" w14:textId="014EE315" w:rsidR="005572A7" w:rsidRPr="00834ABA" w:rsidRDefault="005572A7" w:rsidP="005572A7">
      <w:pPr>
        <w:spacing w:line="360" w:lineRule="auto"/>
        <w:rPr>
          <w:rFonts w:ascii="Times New Roman" w:hAnsi="Times New Roman" w:cs="Times New Roman"/>
          <w:bCs/>
          <w:color w:val="000000" w:themeColor="text1"/>
          <w:lang w:val="en-US"/>
        </w:rPr>
      </w:pPr>
      <w:r w:rsidRPr="00834ABA">
        <w:rPr>
          <w:rFonts w:ascii="Times New Roman" w:hAnsi="Times New Roman" w:cs="Times New Roman"/>
          <w:bCs/>
          <w:color w:val="000000" w:themeColor="text1"/>
          <w:lang w:val="en-US"/>
        </w:rPr>
        <w:t>Miliary tuberculosis primarily affects young adults, often living with HIV, and is characterized by a systemic clinical presentation. The high case fatality rate highlights the importance of early diagnosis and prompt, appropriate management.</w:t>
      </w:r>
    </w:p>
    <w:p w14:paraId="776659F7" w14:textId="2B28409B" w:rsidR="005572A7" w:rsidRPr="00834ABA" w:rsidRDefault="005572A7" w:rsidP="005572A7">
      <w:pPr>
        <w:spacing w:line="360" w:lineRule="auto"/>
        <w:rPr>
          <w:rFonts w:ascii="Times New Roman" w:hAnsi="Times New Roman" w:cs="Times New Roman"/>
          <w:b/>
          <w:color w:val="000000" w:themeColor="text1"/>
          <w:lang w:val="en-US"/>
        </w:rPr>
      </w:pPr>
      <w:r w:rsidRPr="00834ABA">
        <w:rPr>
          <w:rFonts w:ascii="Times New Roman" w:hAnsi="Times New Roman" w:cs="Times New Roman"/>
          <w:b/>
          <w:color w:val="000000" w:themeColor="text1"/>
          <w:lang w:val="en-US"/>
        </w:rPr>
        <w:lastRenderedPageBreak/>
        <w:t xml:space="preserve">Keywords: </w:t>
      </w:r>
      <w:r w:rsidRPr="00834ABA">
        <w:rPr>
          <w:rFonts w:ascii="Times New Roman" w:hAnsi="Times New Roman" w:cs="Times New Roman"/>
          <w:bCs/>
          <w:color w:val="000000" w:themeColor="text1"/>
          <w:lang w:val="en-US"/>
        </w:rPr>
        <w:t>Miliary tuberculosis – Tuberculosis – Dakar</w:t>
      </w:r>
    </w:p>
    <w:p w14:paraId="0CD0E592" w14:textId="6BECB771" w:rsidR="00EE3271" w:rsidRPr="00834ABA" w:rsidRDefault="00A95224" w:rsidP="00DC5462">
      <w:pPr>
        <w:pStyle w:val="Heading1"/>
        <w:spacing w:before="0"/>
        <w:rPr>
          <w:color w:val="000000" w:themeColor="text1"/>
          <w:lang w:val="en-US"/>
        </w:rPr>
      </w:pPr>
      <w:r w:rsidRPr="00834ABA">
        <w:rPr>
          <w:color w:val="000000" w:themeColor="text1"/>
          <w:lang w:val="en-US"/>
        </w:rPr>
        <w:t>Introduction</w:t>
      </w:r>
    </w:p>
    <w:p w14:paraId="4503D087" w14:textId="77777777" w:rsidR="00EE3271" w:rsidRPr="00834ABA" w:rsidRDefault="00EE3271"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Tuberculosis is an infectious, contagious, endemic-epidemic disease, transmitted from person to person, caused by the Mycobacterium tuberculosis complex. [1]</w:t>
      </w:r>
      <w:r w:rsidRPr="00834ABA">
        <w:rPr>
          <w:rFonts w:ascii="Times New Roman" w:eastAsia="Times New Roman" w:hAnsi="Times New Roman" w:cs="Times New Roman"/>
          <w:color w:val="000000" w:themeColor="text1"/>
          <w:kern w:val="0"/>
          <w:lang w:val="en-US"/>
          <w14:ligatures w14:val="none"/>
        </w:rPr>
        <w:br/>
        <w:t>It remains a major public health problem worldwide. According to estimates, 10.7 million people contracted tuberculosis globally in 2024, with 1.23 million deaths [2]. More than 80% of cases and deaths occur in low- and middle-income countries. In 2024, the WHO region that recorded the highest number of new tuberculosis cases was South-East Asia (34% of new cases), followed by the Western Pacific region (27%) and the African region (25%) [2].</w:t>
      </w:r>
    </w:p>
    <w:p w14:paraId="3E63B79D" w14:textId="15EB06C5" w:rsidR="00EE3271" w:rsidRPr="00834ABA" w:rsidRDefault="00D21D3C"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Tuberculosis </w:t>
      </w:r>
      <w:r w:rsidR="00CE7985" w:rsidRPr="00834ABA">
        <w:rPr>
          <w:rFonts w:ascii="Times New Roman" w:eastAsia="Times New Roman" w:hAnsi="Times New Roman" w:cs="Times New Roman"/>
          <w:color w:val="000000" w:themeColor="text1"/>
          <w:kern w:val="0"/>
          <w:lang w:val="en-US"/>
          <w14:ligatures w14:val="none"/>
        </w:rPr>
        <w:t>is present</w:t>
      </w:r>
      <w:r w:rsidRPr="00834ABA">
        <w:rPr>
          <w:rFonts w:ascii="Times New Roman" w:eastAsia="Times New Roman" w:hAnsi="Times New Roman" w:cs="Times New Roman"/>
          <w:color w:val="000000" w:themeColor="text1"/>
          <w:kern w:val="0"/>
          <w:lang w:val="en-US"/>
          <w14:ligatures w14:val="none"/>
        </w:rPr>
        <w:t xml:space="preserve"> in various clinicopathological forms</w:t>
      </w:r>
      <w:r w:rsidR="00EE3271" w:rsidRPr="00834ABA">
        <w:rPr>
          <w:rFonts w:ascii="Times New Roman" w:eastAsia="Times New Roman" w:hAnsi="Times New Roman" w:cs="Times New Roman"/>
          <w:color w:val="000000" w:themeColor="text1"/>
          <w:kern w:val="0"/>
          <w:lang w:val="en-US"/>
          <w14:ligatures w14:val="none"/>
        </w:rPr>
        <w:t>, some of which are severe, including hematogenous miliary tuberculosis</w:t>
      </w:r>
      <w:r w:rsidRPr="00834ABA">
        <w:rPr>
          <w:rFonts w:ascii="Times New Roman" w:eastAsia="Times New Roman" w:hAnsi="Times New Roman" w:cs="Times New Roman"/>
          <w:color w:val="000000" w:themeColor="text1"/>
          <w:kern w:val="0"/>
          <w:lang w:val="en-US"/>
          <w14:ligatures w14:val="none"/>
        </w:rPr>
        <w:t>.</w:t>
      </w:r>
      <w:r w:rsidR="00EE3271" w:rsidRPr="00834ABA">
        <w:rPr>
          <w:rFonts w:ascii="Times New Roman" w:eastAsia="Times New Roman" w:hAnsi="Times New Roman" w:cs="Times New Roman"/>
          <w:color w:val="000000" w:themeColor="text1"/>
          <w:kern w:val="0"/>
          <w:lang w:val="en-US"/>
          <w14:ligatures w14:val="none"/>
        </w:rPr>
        <w:t xml:space="preserve"> It is defined as a </w:t>
      </w:r>
      <w:proofErr w:type="spellStart"/>
      <w:r w:rsidR="0043422B" w:rsidRPr="00834ABA">
        <w:rPr>
          <w:rFonts w:ascii="Times New Roman" w:eastAsia="Times New Roman" w:hAnsi="Times New Roman" w:cs="Times New Roman"/>
          <w:color w:val="000000" w:themeColor="text1"/>
          <w:kern w:val="0"/>
          <w:lang w:val="en-US"/>
          <w14:ligatures w14:val="none"/>
        </w:rPr>
        <w:t>septicaemia</w:t>
      </w:r>
      <w:proofErr w:type="spellEnd"/>
      <w:r w:rsidR="00EE3271" w:rsidRPr="00834ABA">
        <w:rPr>
          <w:rFonts w:ascii="Times New Roman" w:eastAsia="Times New Roman" w:hAnsi="Times New Roman" w:cs="Times New Roman"/>
          <w:color w:val="000000" w:themeColor="text1"/>
          <w:kern w:val="0"/>
          <w:lang w:val="en-US"/>
          <w14:ligatures w14:val="none"/>
        </w:rPr>
        <w:t xml:space="preserve"> caused by Koch’s bacillus, resulting in dissemination to one or more </w:t>
      </w:r>
      <w:r w:rsidR="00CE2735" w:rsidRPr="00834ABA">
        <w:rPr>
          <w:rFonts w:ascii="Times New Roman" w:eastAsia="Times New Roman" w:hAnsi="Times New Roman" w:cs="Times New Roman"/>
          <w:color w:val="000000" w:themeColor="text1"/>
          <w:kern w:val="0"/>
          <w:lang w:val="en-US"/>
          <w14:ligatures w14:val="none"/>
        </w:rPr>
        <w:t>organs</w:t>
      </w:r>
      <w:r w:rsidR="00EE3271" w:rsidRPr="00834ABA">
        <w:rPr>
          <w:rFonts w:ascii="Times New Roman" w:eastAsia="Times New Roman" w:hAnsi="Times New Roman" w:cs="Times New Roman"/>
          <w:color w:val="000000" w:themeColor="text1"/>
          <w:kern w:val="0"/>
          <w:lang w:val="en-US"/>
          <w14:ligatures w14:val="none"/>
        </w:rPr>
        <w:t xml:space="preserve"> in the body, </w:t>
      </w:r>
      <w:r w:rsidR="00CE2735" w:rsidRPr="00834ABA">
        <w:rPr>
          <w:rFonts w:ascii="Times New Roman" w:eastAsia="Times New Roman" w:hAnsi="Times New Roman" w:cs="Times New Roman"/>
          <w:color w:val="000000" w:themeColor="text1"/>
          <w:kern w:val="0"/>
          <w:lang w:val="en-US"/>
          <w14:ligatures w14:val="none"/>
        </w:rPr>
        <w:t>particularly to the lungs, producing small nodules</w:t>
      </w:r>
      <w:r w:rsidR="00EE3271" w:rsidRPr="00834ABA">
        <w:rPr>
          <w:rFonts w:ascii="Times New Roman" w:eastAsia="Times New Roman" w:hAnsi="Times New Roman" w:cs="Times New Roman"/>
          <w:color w:val="000000" w:themeColor="text1"/>
          <w:kern w:val="0"/>
          <w:lang w:val="en-US"/>
          <w14:ligatures w14:val="none"/>
        </w:rPr>
        <w:t xml:space="preserve"> </w:t>
      </w:r>
      <w:r w:rsidR="00C70360" w:rsidRPr="00834ABA">
        <w:rPr>
          <w:rFonts w:ascii="Times New Roman" w:eastAsia="Times New Roman" w:hAnsi="Times New Roman" w:cs="Times New Roman"/>
          <w:color w:val="000000" w:themeColor="text1"/>
          <w:kern w:val="0"/>
          <w:lang w:val="en-US"/>
          <w14:ligatures w14:val="none"/>
        </w:rPr>
        <w:t>in a millet-</w:t>
      </w:r>
      <w:r w:rsidR="00CE2735" w:rsidRPr="00834ABA">
        <w:rPr>
          <w:rFonts w:ascii="Times New Roman" w:eastAsia="Times New Roman" w:hAnsi="Times New Roman" w:cs="Times New Roman"/>
          <w:color w:val="000000" w:themeColor="text1"/>
          <w:kern w:val="0"/>
          <w:lang w:val="en-US"/>
          <w14:ligatures w14:val="none"/>
        </w:rPr>
        <w:t>seed-like pattern.</w:t>
      </w:r>
      <w:r w:rsidR="00EE3271" w:rsidRPr="00834ABA">
        <w:rPr>
          <w:rFonts w:ascii="Times New Roman" w:eastAsia="Times New Roman" w:hAnsi="Times New Roman" w:cs="Times New Roman"/>
          <w:color w:val="000000" w:themeColor="text1"/>
          <w:kern w:val="0"/>
          <w:lang w:val="en-US"/>
          <w14:ligatures w14:val="none"/>
        </w:rPr>
        <w:t>” [3].</w:t>
      </w:r>
      <w:r w:rsidR="00EE3271" w:rsidRPr="00834ABA">
        <w:rPr>
          <w:rFonts w:ascii="Times New Roman" w:eastAsia="Times New Roman" w:hAnsi="Times New Roman" w:cs="Times New Roman"/>
          <w:color w:val="000000" w:themeColor="text1"/>
          <w:kern w:val="0"/>
          <w:lang w:val="en-US"/>
          <w14:ligatures w14:val="none"/>
        </w:rPr>
        <w:br/>
        <w:t>Miliary tuberculosis accounts for 1 to 3% of all tuberculosis cases, and about 20% of extrapulmonary tuberculosis cases [4,5]. It represents the most severe form of tuberculosis. If untreated, it is associated with high mortality, which can reach up to 100% [6]. It is a therapeutic emergency that requires the immediate initiation of anti-tuberculosis treatment in any febrile miliary case. It may progress rapidly and lead to multiorgan failure [7]. Its prognosis depends on the timeliness of diagnosis and management [8].</w:t>
      </w:r>
    </w:p>
    <w:p w14:paraId="16451282" w14:textId="47398CA7" w:rsidR="00282A06" w:rsidRPr="00834ABA" w:rsidRDefault="00225C49"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M</w:t>
      </w:r>
      <w:r w:rsidR="00EE3271" w:rsidRPr="00834ABA">
        <w:rPr>
          <w:rFonts w:ascii="Times New Roman" w:eastAsia="Times New Roman" w:hAnsi="Times New Roman" w:cs="Times New Roman"/>
          <w:color w:val="000000" w:themeColor="text1"/>
          <w:kern w:val="0"/>
          <w:lang w:val="en-US"/>
          <w14:ligatures w14:val="none"/>
        </w:rPr>
        <w:t xml:space="preserve">iliary </w:t>
      </w:r>
      <w:r w:rsidR="002D3592" w:rsidRPr="00834ABA">
        <w:rPr>
          <w:rFonts w:ascii="Times New Roman" w:eastAsia="Times New Roman" w:hAnsi="Times New Roman" w:cs="Times New Roman"/>
          <w:color w:val="000000" w:themeColor="text1"/>
          <w:kern w:val="0"/>
          <w:lang w:val="en-US"/>
          <w14:ligatures w14:val="none"/>
        </w:rPr>
        <w:t>tuberculosis occurs</w:t>
      </w:r>
      <w:r w:rsidR="00EE3271" w:rsidRPr="00834ABA">
        <w:rPr>
          <w:rFonts w:ascii="Times New Roman" w:eastAsia="Times New Roman" w:hAnsi="Times New Roman" w:cs="Times New Roman"/>
          <w:color w:val="000000" w:themeColor="text1"/>
          <w:kern w:val="0"/>
          <w:lang w:val="en-US"/>
          <w14:ligatures w14:val="none"/>
        </w:rPr>
        <w:t xml:space="preserve"> mainly in immunocompromised individuals, or in the presence of comorbidities in immunocompetent </w:t>
      </w:r>
      <w:r w:rsidR="00BE0C2C" w:rsidRPr="00834ABA">
        <w:rPr>
          <w:rFonts w:ascii="Times New Roman" w:eastAsia="Times New Roman" w:hAnsi="Times New Roman" w:cs="Times New Roman"/>
          <w:color w:val="000000" w:themeColor="text1"/>
          <w:kern w:val="0"/>
          <w:lang w:val="en-US"/>
          <w14:ligatures w14:val="none"/>
        </w:rPr>
        <w:t>individuals</w:t>
      </w:r>
      <w:r w:rsidR="00EE3271" w:rsidRPr="00834ABA">
        <w:rPr>
          <w:rFonts w:ascii="Times New Roman" w:eastAsia="Times New Roman" w:hAnsi="Times New Roman" w:cs="Times New Roman"/>
          <w:color w:val="000000" w:themeColor="text1"/>
          <w:kern w:val="0"/>
          <w:lang w:val="en-US"/>
          <w14:ligatures w14:val="none"/>
        </w:rPr>
        <w:t xml:space="preserve"> [3,9,10]. Clinically, it presents with nonspecific systemic symptoms</w:t>
      </w:r>
      <w:r w:rsidR="002D3592" w:rsidRPr="00834ABA">
        <w:rPr>
          <w:rFonts w:ascii="Times New Roman" w:eastAsia="Times New Roman" w:hAnsi="Times New Roman" w:cs="Times New Roman"/>
          <w:color w:val="000000" w:themeColor="text1"/>
          <w:kern w:val="0"/>
          <w:lang w:val="en-US"/>
          <w14:ligatures w14:val="none"/>
        </w:rPr>
        <w:t xml:space="preserve"> such as fever and weight loss</w:t>
      </w:r>
      <w:r w:rsidR="00EE3271" w:rsidRPr="00834ABA">
        <w:rPr>
          <w:rFonts w:ascii="Times New Roman" w:eastAsia="Times New Roman" w:hAnsi="Times New Roman" w:cs="Times New Roman"/>
          <w:color w:val="000000" w:themeColor="text1"/>
          <w:kern w:val="0"/>
          <w:lang w:val="en-US"/>
          <w14:ligatures w14:val="none"/>
        </w:rPr>
        <w:t xml:space="preserve"> [11,12]. Diagnosis is most often radiological: the typical appearance is that of a scattering of fine, punctiform opacities, equal in size, resembling millet seeds (1–2 mm in diameter), rounded, well-defined, and slightly dense; opacities are regularly disseminated throughout both lung fields, diffusely and symmetrically [13].</w:t>
      </w:r>
    </w:p>
    <w:p w14:paraId="022D44FD" w14:textId="78234B3C" w:rsidR="00EE3271" w:rsidRPr="00834ABA" w:rsidRDefault="00EE3271"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Despite significant efforts to combat tuberculosis in Senegal over several decades, it remains a public health problem. The incidence is 132 cases per 100,000 inhabitants [2]. However, there is considerable disparity in the distribution of cases among the country’s 14 administrative regions. The most affected regions are Dakar, which accounts for 40.14% of patients, as well as </w:t>
      </w:r>
      <w:proofErr w:type="spellStart"/>
      <w:r w:rsidRPr="00834ABA">
        <w:rPr>
          <w:rFonts w:ascii="Times New Roman" w:eastAsia="Times New Roman" w:hAnsi="Times New Roman" w:cs="Times New Roman"/>
          <w:color w:val="000000" w:themeColor="text1"/>
          <w:kern w:val="0"/>
          <w:lang w:val="en-US"/>
          <w14:ligatures w14:val="none"/>
        </w:rPr>
        <w:t>Thiès</w:t>
      </w:r>
      <w:proofErr w:type="spellEnd"/>
      <w:r w:rsidRPr="00834ABA">
        <w:rPr>
          <w:rFonts w:ascii="Times New Roman" w:eastAsia="Times New Roman" w:hAnsi="Times New Roman" w:cs="Times New Roman"/>
          <w:color w:val="000000" w:themeColor="text1"/>
          <w:kern w:val="0"/>
          <w:lang w:val="en-US"/>
          <w14:ligatures w14:val="none"/>
        </w:rPr>
        <w:t xml:space="preserve">, </w:t>
      </w:r>
      <w:proofErr w:type="spellStart"/>
      <w:r w:rsidRPr="00834ABA">
        <w:rPr>
          <w:rFonts w:ascii="Times New Roman" w:eastAsia="Times New Roman" w:hAnsi="Times New Roman" w:cs="Times New Roman"/>
          <w:color w:val="000000" w:themeColor="text1"/>
          <w:kern w:val="0"/>
          <w:lang w:val="en-US"/>
          <w14:ligatures w14:val="none"/>
        </w:rPr>
        <w:t>Diourbel</w:t>
      </w:r>
      <w:proofErr w:type="spellEnd"/>
      <w:r w:rsidRPr="00834ABA">
        <w:rPr>
          <w:rFonts w:ascii="Times New Roman" w:eastAsia="Times New Roman" w:hAnsi="Times New Roman" w:cs="Times New Roman"/>
          <w:color w:val="000000" w:themeColor="text1"/>
          <w:kern w:val="0"/>
          <w:lang w:val="en-US"/>
          <w14:ligatures w14:val="none"/>
        </w:rPr>
        <w:t xml:space="preserve">, and </w:t>
      </w:r>
      <w:proofErr w:type="spellStart"/>
      <w:r w:rsidRPr="00834ABA">
        <w:rPr>
          <w:rFonts w:ascii="Times New Roman" w:eastAsia="Times New Roman" w:hAnsi="Times New Roman" w:cs="Times New Roman"/>
          <w:color w:val="000000" w:themeColor="text1"/>
          <w:kern w:val="0"/>
          <w:lang w:val="en-US"/>
          <w14:ligatures w14:val="none"/>
        </w:rPr>
        <w:t>Ziguinchor</w:t>
      </w:r>
      <w:proofErr w:type="spellEnd"/>
      <w:r w:rsidRPr="00834ABA">
        <w:rPr>
          <w:rFonts w:ascii="Times New Roman" w:eastAsia="Times New Roman" w:hAnsi="Times New Roman" w:cs="Times New Roman"/>
          <w:color w:val="000000" w:themeColor="text1"/>
          <w:kern w:val="0"/>
          <w:lang w:val="en-US"/>
          <w14:ligatures w14:val="none"/>
        </w:rPr>
        <w:t xml:space="preserve"> [14].</w:t>
      </w:r>
      <w:r w:rsidRPr="00834ABA">
        <w:rPr>
          <w:rFonts w:ascii="Times New Roman" w:eastAsia="Times New Roman" w:hAnsi="Times New Roman" w:cs="Times New Roman"/>
          <w:color w:val="000000" w:themeColor="text1"/>
          <w:kern w:val="0"/>
          <w:lang w:val="en-US"/>
          <w14:ligatures w14:val="none"/>
        </w:rPr>
        <w:br/>
        <w:t>The Department of Infecti</w:t>
      </w:r>
      <w:r w:rsidR="00B65232" w:rsidRPr="00834ABA">
        <w:rPr>
          <w:rFonts w:ascii="Times New Roman" w:eastAsia="Times New Roman" w:hAnsi="Times New Roman" w:cs="Times New Roman"/>
          <w:color w:val="000000" w:themeColor="text1"/>
          <w:kern w:val="0"/>
          <w:lang w:val="en-US"/>
          <w14:ligatures w14:val="none"/>
        </w:rPr>
        <w:t>ous and Tropical Diseases</w:t>
      </w:r>
      <w:r w:rsidRPr="00834ABA">
        <w:rPr>
          <w:rFonts w:ascii="Times New Roman" w:eastAsia="Times New Roman" w:hAnsi="Times New Roman" w:cs="Times New Roman"/>
          <w:color w:val="000000" w:themeColor="text1"/>
          <w:kern w:val="0"/>
          <w:lang w:val="en-US"/>
          <w14:ligatures w14:val="none"/>
        </w:rPr>
        <w:t xml:space="preserve"> at the University Hospital Center of Fann, located in the Dakar region, is a reference </w:t>
      </w:r>
      <w:r w:rsidR="00130CEC" w:rsidRPr="00834ABA">
        <w:rPr>
          <w:rFonts w:ascii="Times New Roman" w:eastAsia="Times New Roman" w:hAnsi="Times New Roman" w:cs="Times New Roman"/>
          <w:color w:val="000000" w:themeColor="text1"/>
          <w:kern w:val="0"/>
          <w:lang w:val="en-US"/>
          <w14:ligatures w14:val="none"/>
        </w:rPr>
        <w:t>center</w:t>
      </w:r>
      <w:r w:rsidRPr="00834ABA">
        <w:rPr>
          <w:rFonts w:ascii="Times New Roman" w:eastAsia="Times New Roman" w:hAnsi="Times New Roman" w:cs="Times New Roman"/>
          <w:color w:val="000000" w:themeColor="text1"/>
          <w:kern w:val="0"/>
          <w:lang w:val="en-US"/>
          <w14:ligatures w14:val="none"/>
        </w:rPr>
        <w:t xml:space="preserve"> for the management of tuberculosis </w:t>
      </w:r>
      <w:r w:rsidR="00130CEC" w:rsidRPr="00834ABA">
        <w:rPr>
          <w:rFonts w:ascii="Times New Roman" w:eastAsia="Times New Roman" w:hAnsi="Times New Roman" w:cs="Times New Roman"/>
          <w:color w:val="000000" w:themeColor="text1"/>
          <w:kern w:val="0"/>
          <w:lang w:val="en-US"/>
          <w14:ligatures w14:val="none"/>
        </w:rPr>
        <w:lastRenderedPageBreak/>
        <w:t xml:space="preserve">cases. In addition to its </w:t>
      </w:r>
      <w:r w:rsidR="004A75EA" w:rsidRPr="00834ABA">
        <w:rPr>
          <w:rFonts w:ascii="Times New Roman" w:eastAsia="Times New Roman" w:hAnsi="Times New Roman" w:cs="Times New Roman"/>
          <w:color w:val="000000" w:themeColor="text1"/>
          <w:kern w:val="0"/>
          <w:lang w:val="en-US"/>
          <w14:ligatures w14:val="none"/>
        </w:rPr>
        <w:t xml:space="preserve">dedicated </w:t>
      </w:r>
      <w:r w:rsidR="00130CEC" w:rsidRPr="00834ABA">
        <w:rPr>
          <w:rFonts w:ascii="Times New Roman" w:eastAsia="Times New Roman" w:hAnsi="Times New Roman" w:cs="Times New Roman"/>
          <w:color w:val="000000" w:themeColor="text1"/>
          <w:kern w:val="0"/>
          <w:lang w:val="en-US"/>
          <w14:ligatures w14:val="none"/>
        </w:rPr>
        <w:t xml:space="preserve">tuberculosis outpatient </w:t>
      </w:r>
      <w:r w:rsidR="00102447" w:rsidRPr="00834ABA">
        <w:rPr>
          <w:rFonts w:ascii="Times New Roman" w:eastAsia="Times New Roman" w:hAnsi="Times New Roman" w:cs="Times New Roman"/>
          <w:color w:val="000000" w:themeColor="text1"/>
          <w:kern w:val="0"/>
          <w:lang w:val="en-US"/>
          <w14:ligatures w14:val="none"/>
        </w:rPr>
        <w:t xml:space="preserve">treatment </w:t>
      </w:r>
      <w:r w:rsidR="00E351C9" w:rsidRPr="00834ABA">
        <w:rPr>
          <w:rFonts w:ascii="Times New Roman" w:eastAsia="Times New Roman" w:hAnsi="Times New Roman" w:cs="Times New Roman"/>
          <w:color w:val="000000" w:themeColor="text1"/>
          <w:kern w:val="0"/>
          <w:lang w:val="en-US"/>
          <w14:ligatures w14:val="none"/>
        </w:rPr>
        <w:t>facility,</w:t>
      </w:r>
      <w:r w:rsidR="004A75EA" w:rsidRPr="00834ABA">
        <w:rPr>
          <w:rFonts w:ascii="Times New Roman" w:eastAsia="Times New Roman" w:hAnsi="Times New Roman" w:cs="Times New Roman"/>
          <w:color w:val="000000" w:themeColor="text1"/>
          <w:kern w:val="0"/>
          <w:lang w:val="en-US"/>
          <w14:ligatures w14:val="none"/>
        </w:rPr>
        <w:t xml:space="preserve"> the department </w:t>
      </w:r>
      <w:r w:rsidRPr="00834ABA">
        <w:rPr>
          <w:rFonts w:ascii="Times New Roman" w:eastAsia="Times New Roman" w:hAnsi="Times New Roman" w:cs="Times New Roman"/>
          <w:color w:val="000000" w:themeColor="text1"/>
          <w:kern w:val="0"/>
          <w:lang w:val="en-US"/>
          <w14:ligatures w14:val="none"/>
        </w:rPr>
        <w:t xml:space="preserve">also provides </w:t>
      </w:r>
      <w:r w:rsidR="004A75EA" w:rsidRPr="00834ABA">
        <w:rPr>
          <w:rFonts w:ascii="Times New Roman" w:eastAsia="Times New Roman" w:hAnsi="Times New Roman" w:cs="Times New Roman"/>
          <w:color w:val="000000" w:themeColor="text1"/>
          <w:kern w:val="0"/>
          <w:lang w:val="en-US"/>
          <w14:ligatures w14:val="none"/>
        </w:rPr>
        <w:t>inpatient</w:t>
      </w:r>
      <w:r w:rsidRPr="00834ABA">
        <w:rPr>
          <w:rFonts w:ascii="Times New Roman" w:eastAsia="Times New Roman" w:hAnsi="Times New Roman" w:cs="Times New Roman"/>
          <w:color w:val="000000" w:themeColor="text1"/>
          <w:kern w:val="0"/>
          <w:lang w:val="en-US"/>
          <w14:ligatures w14:val="none"/>
        </w:rPr>
        <w:t xml:space="preserve"> care for </w:t>
      </w:r>
      <w:r w:rsidR="005E29C6" w:rsidRPr="00834ABA">
        <w:rPr>
          <w:rFonts w:ascii="Times New Roman" w:eastAsia="Times New Roman" w:hAnsi="Times New Roman" w:cs="Times New Roman"/>
          <w:color w:val="000000" w:themeColor="text1"/>
          <w:kern w:val="0"/>
          <w:lang w:val="en-US"/>
          <w14:ligatures w14:val="none"/>
        </w:rPr>
        <w:t>tuberculosis patients</w:t>
      </w:r>
      <w:r w:rsidRPr="00834ABA">
        <w:rPr>
          <w:rFonts w:ascii="Times New Roman" w:eastAsia="Times New Roman" w:hAnsi="Times New Roman" w:cs="Times New Roman"/>
          <w:color w:val="000000" w:themeColor="text1"/>
          <w:kern w:val="0"/>
          <w:lang w:val="en-US"/>
          <w14:ligatures w14:val="none"/>
        </w:rPr>
        <w:t>.</w:t>
      </w:r>
      <w:r w:rsidR="005E29C6" w:rsidRPr="00834ABA">
        <w:rPr>
          <w:rFonts w:ascii="Times New Roman" w:eastAsia="Times New Roman" w:hAnsi="Times New Roman" w:cs="Times New Roman"/>
          <w:color w:val="000000" w:themeColor="text1"/>
          <w:kern w:val="0"/>
          <w:lang w:val="en-US"/>
          <w14:ligatures w14:val="none"/>
        </w:rPr>
        <w:t xml:space="preserve"> </w:t>
      </w:r>
      <w:r w:rsidR="004521A3" w:rsidRPr="00834ABA">
        <w:rPr>
          <w:rFonts w:ascii="Times New Roman" w:eastAsia="Times New Roman" w:hAnsi="Times New Roman" w:cs="Times New Roman"/>
          <w:color w:val="000000" w:themeColor="text1"/>
          <w:kern w:val="0"/>
          <w:lang w:val="en-US"/>
          <w14:ligatures w14:val="none"/>
        </w:rPr>
        <w:t xml:space="preserve">In Dakar, few studies are </w:t>
      </w:r>
      <w:r w:rsidR="00236A41" w:rsidRPr="00834ABA">
        <w:rPr>
          <w:rFonts w:ascii="Times New Roman" w:eastAsia="Times New Roman" w:hAnsi="Times New Roman" w:cs="Times New Roman"/>
          <w:color w:val="000000" w:themeColor="text1"/>
          <w:kern w:val="0"/>
          <w:lang w:val="en-US"/>
          <w14:ligatures w14:val="none"/>
        </w:rPr>
        <w:t xml:space="preserve">conducted in </w:t>
      </w:r>
      <w:r w:rsidR="00D641C5" w:rsidRPr="00834ABA">
        <w:rPr>
          <w:rFonts w:ascii="Times New Roman" w:eastAsia="Times New Roman" w:hAnsi="Times New Roman" w:cs="Times New Roman"/>
          <w:color w:val="000000" w:themeColor="text1"/>
          <w:kern w:val="0"/>
          <w:lang w:val="en-US"/>
          <w14:ligatures w14:val="none"/>
        </w:rPr>
        <w:t xml:space="preserve">Department of Respiratory Medicine. </w:t>
      </w:r>
      <w:r w:rsidR="005E29C6" w:rsidRPr="00834ABA">
        <w:rPr>
          <w:rFonts w:ascii="Times New Roman" w:eastAsia="Times New Roman" w:hAnsi="Times New Roman" w:cs="Times New Roman"/>
          <w:color w:val="000000" w:themeColor="text1"/>
          <w:kern w:val="0"/>
          <w:lang w:val="en-US"/>
          <w14:ligatures w14:val="none"/>
        </w:rPr>
        <w:t>To date, no studies have been found to be</w:t>
      </w:r>
      <w:r w:rsidRPr="00834ABA">
        <w:rPr>
          <w:rFonts w:ascii="Times New Roman" w:eastAsia="Times New Roman" w:hAnsi="Times New Roman" w:cs="Times New Roman"/>
          <w:color w:val="000000" w:themeColor="text1"/>
          <w:kern w:val="0"/>
          <w:lang w:val="en-US"/>
          <w14:ligatures w14:val="none"/>
        </w:rPr>
        <w:t xml:space="preserve"> conducted in the department focusing on miliary tuberculosis. The objective of our study was to describe the epidemiological, clinical, paraclinical, and evolutionary characteristics of patients hospitalized for miliary tuberculosis at the</w:t>
      </w:r>
      <w:r w:rsidR="007B1282"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Department of Infectious Diseases of Fann</w:t>
      </w:r>
      <w:r w:rsidR="007B1282" w:rsidRPr="00834ABA">
        <w:rPr>
          <w:rFonts w:ascii="Times New Roman" w:eastAsia="Times New Roman" w:hAnsi="Times New Roman" w:cs="Times New Roman"/>
          <w:color w:val="000000" w:themeColor="text1"/>
          <w:kern w:val="0"/>
          <w:lang w:val="en-US"/>
          <w14:ligatures w14:val="none"/>
        </w:rPr>
        <w:t xml:space="preserve"> Hospital</w:t>
      </w:r>
      <w:r w:rsidR="002C25B8" w:rsidRPr="00834ABA">
        <w:rPr>
          <w:rFonts w:ascii="Times New Roman" w:eastAsia="Times New Roman" w:hAnsi="Times New Roman" w:cs="Times New Roman"/>
          <w:color w:val="000000" w:themeColor="text1"/>
          <w:kern w:val="0"/>
          <w:lang w:val="en-US"/>
          <w14:ligatures w14:val="none"/>
        </w:rPr>
        <w:t>, Dakar, Senegal.</w:t>
      </w:r>
    </w:p>
    <w:p w14:paraId="54103BA9" w14:textId="77777777" w:rsidR="00293FE6" w:rsidRPr="00834ABA" w:rsidRDefault="00293FE6" w:rsidP="00293FE6">
      <w:pPr>
        <w:pStyle w:val="Heading1"/>
        <w:rPr>
          <w:color w:val="000000" w:themeColor="text1"/>
          <w:lang w:val="en-US"/>
        </w:rPr>
      </w:pPr>
      <w:bookmarkStart w:id="1" w:name="_Toc135052168"/>
      <w:bookmarkStart w:id="2" w:name="_Toc145364528"/>
      <w:bookmarkStart w:id="3" w:name="_Toc151745179"/>
      <w:bookmarkStart w:id="4" w:name="_Toc184750132"/>
      <w:bookmarkStart w:id="5" w:name="_Toc215016652"/>
      <w:r w:rsidRPr="00834ABA">
        <w:rPr>
          <w:color w:val="000000" w:themeColor="text1"/>
          <w:lang w:val="en-US"/>
        </w:rPr>
        <w:t>Methods</w:t>
      </w:r>
    </w:p>
    <w:bookmarkEnd w:id="1"/>
    <w:bookmarkEnd w:id="2"/>
    <w:bookmarkEnd w:id="3"/>
    <w:bookmarkEnd w:id="4"/>
    <w:bookmarkEnd w:id="5"/>
    <w:p w14:paraId="0DCD9545" w14:textId="77777777" w:rsidR="00293FE6" w:rsidRPr="00834ABA" w:rsidRDefault="00293FE6" w:rsidP="00DC5462">
      <w:pPr>
        <w:pStyle w:val="Heading2"/>
        <w:spacing w:before="0"/>
        <w:rPr>
          <w:color w:val="000000" w:themeColor="text1"/>
          <w:lang w:val="en-US"/>
        </w:rPr>
      </w:pPr>
      <w:r w:rsidRPr="00834ABA">
        <w:rPr>
          <w:color w:val="000000" w:themeColor="text1"/>
          <w:lang w:val="en-US"/>
        </w:rPr>
        <w:t>Study design</w:t>
      </w:r>
    </w:p>
    <w:p w14:paraId="3DDFF6EA" w14:textId="68DB8D67" w:rsidR="00293FE6" w:rsidRPr="00834ABA" w:rsidRDefault="003B109A"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An observational, retrospective, and descriptive study was conducted using medical records of patients hospitalized at the Department of Infectious and Tropical Diseases of the University Hospital Center of Fann from January 1, 2018, to December 31, 2024. This university hospital is in Dakar, the region with the highest incidence of tuberculosis in the country. We included patients hospitalized for tuberculosis, regardless of its location, who presented with a miliary pattern on thoracic imaging (standard chest radiography or computed tomography). Patients with missing information (medical history, clinical examination, or imaging) were excluded.</w:t>
      </w:r>
    </w:p>
    <w:p w14:paraId="6B8A0A60" w14:textId="29BCEE00" w:rsidR="00DC5462" w:rsidRPr="00834ABA" w:rsidRDefault="00DC5462" w:rsidP="00DC5462">
      <w:pPr>
        <w:pStyle w:val="Heading2"/>
        <w:spacing w:before="0"/>
        <w:rPr>
          <w:color w:val="000000" w:themeColor="text1"/>
          <w:lang w:val="en-US"/>
        </w:rPr>
      </w:pPr>
      <w:r w:rsidRPr="00834ABA">
        <w:rPr>
          <w:color w:val="000000" w:themeColor="text1"/>
          <w:lang w:val="en-US"/>
        </w:rPr>
        <w:t xml:space="preserve">Data Collection and Processing </w:t>
      </w:r>
    </w:p>
    <w:p w14:paraId="07861DB0" w14:textId="70C9E71C" w:rsidR="00DC5462" w:rsidRPr="00834ABA" w:rsidRDefault="00DC54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Data were collected from the medical records of hospitalized patients using a survey </w:t>
      </w:r>
      <w:r w:rsidR="00A76B62" w:rsidRPr="00834ABA">
        <w:rPr>
          <w:rFonts w:ascii="Times New Roman" w:eastAsia="Times New Roman" w:hAnsi="Times New Roman" w:cs="Times New Roman"/>
          <w:color w:val="000000" w:themeColor="text1"/>
          <w:kern w:val="0"/>
          <w:lang w:val="en-US"/>
          <w14:ligatures w14:val="none"/>
        </w:rPr>
        <w:t>form that</w:t>
      </w:r>
      <w:r w:rsidRPr="00834ABA">
        <w:rPr>
          <w:rFonts w:ascii="Times New Roman" w:eastAsia="Times New Roman" w:hAnsi="Times New Roman" w:cs="Times New Roman"/>
          <w:color w:val="000000" w:themeColor="text1"/>
          <w:kern w:val="0"/>
          <w:lang w:val="en-US"/>
          <w14:ligatures w14:val="none"/>
        </w:rPr>
        <w:t xml:space="preserve"> </w:t>
      </w:r>
      <w:r w:rsidR="00940ACA" w:rsidRPr="00834ABA">
        <w:rPr>
          <w:rFonts w:ascii="Times New Roman" w:eastAsia="Times New Roman" w:hAnsi="Times New Roman" w:cs="Times New Roman"/>
          <w:color w:val="000000" w:themeColor="text1"/>
          <w:kern w:val="0"/>
          <w:lang w:val="en-US"/>
          <w14:ligatures w14:val="none"/>
        </w:rPr>
        <w:t>recorded</w:t>
      </w:r>
      <w:r w:rsidRPr="00834ABA">
        <w:rPr>
          <w:rFonts w:ascii="Times New Roman" w:eastAsia="Times New Roman" w:hAnsi="Times New Roman" w:cs="Times New Roman"/>
          <w:color w:val="000000" w:themeColor="text1"/>
          <w:kern w:val="0"/>
          <w:lang w:val="en-US"/>
          <w14:ligatures w14:val="none"/>
        </w:rPr>
        <w:t xml:space="preserve"> </w:t>
      </w:r>
      <w:r w:rsidR="005C5D70" w:rsidRPr="00834ABA">
        <w:rPr>
          <w:rFonts w:ascii="Times New Roman" w:eastAsia="Times New Roman" w:hAnsi="Times New Roman" w:cs="Times New Roman"/>
          <w:color w:val="000000" w:themeColor="text1"/>
          <w:kern w:val="0"/>
          <w:lang w:val="en-US"/>
          <w14:ligatures w14:val="none"/>
        </w:rPr>
        <w:t>epidemiological</w:t>
      </w:r>
      <w:r w:rsidR="00A76B62" w:rsidRPr="00834ABA">
        <w:rPr>
          <w:rFonts w:ascii="Times New Roman" w:eastAsia="Times New Roman" w:hAnsi="Times New Roman" w:cs="Times New Roman"/>
          <w:color w:val="000000" w:themeColor="text1"/>
          <w:kern w:val="0"/>
          <w:lang w:val="en-US"/>
          <w14:ligatures w14:val="none"/>
        </w:rPr>
        <w:t xml:space="preserve"> (age, sex, </w:t>
      </w:r>
      <w:r w:rsidR="00D43A6B" w:rsidRPr="00834ABA">
        <w:rPr>
          <w:rFonts w:ascii="Times New Roman" w:eastAsia="Times New Roman" w:hAnsi="Times New Roman" w:cs="Times New Roman"/>
          <w:color w:val="000000" w:themeColor="text1"/>
          <w:kern w:val="0"/>
          <w:lang w:val="en-US"/>
          <w14:ligatures w14:val="none"/>
        </w:rPr>
        <w:t xml:space="preserve">marital status, </w:t>
      </w:r>
      <w:r w:rsidR="00BC4060" w:rsidRPr="00834ABA">
        <w:rPr>
          <w:rFonts w:ascii="Times New Roman" w:eastAsia="Times New Roman" w:hAnsi="Times New Roman" w:cs="Times New Roman"/>
          <w:color w:val="000000" w:themeColor="text1"/>
          <w:kern w:val="0"/>
          <w:lang w:val="en-US"/>
          <w14:ligatures w14:val="none"/>
        </w:rPr>
        <w:t>residence</w:t>
      </w:r>
      <w:r w:rsidR="005C5D70" w:rsidRPr="00834ABA">
        <w:rPr>
          <w:rFonts w:ascii="Times New Roman" w:eastAsia="Times New Roman" w:hAnsi="Times New Roman" w:cs="Times New Roman"/>
          <w:color w:val="000000" w:themeColor="text1"/>
          <w:kern w:val="0"/>
          <w:lang w:val="en-US"/>
          <w14:ligatures w14:val="none"/>
        </w:rPr>
        <w:t>, comorbidities</w:t>
      </w:r>
      <w:r w:rsidR="00BC4060"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clinical,</w:t>
      </w:r>
      <w:r w:rsidR="00100178" w:rsidRPr="00834ABA">
        <w:rPr>
          <w:rFonts w:ascii="Times New Roman" w:eastAsia="Times New Roman" w:hAnsi="Times New Roman" w:cs="Times New Roman"/>
          <w:color w:val="000000" w:themeColor="text1"/>
          <w:kern w:val="0"/>
          <w:lang w:val="en-US"/>
          <w14:ligatures w14:val="none"/>
        </w:rPr>
        <w:t xml:space="preserve"> </w:t>
      </w:r>
      <w:r w:rsidR="00BC4060" w:rsidRPr="00834ABA">
        <w:rPr>
          <w:rFonts w:ascii="Times New Roman" w:eastAsia="Times New Roman" w:hAnsi="Times New Roman" w:cs="Times New Roman"/>
          <w:color w:val="000000" w:themeColor="text1"/>
          <w:kern w:val="0"/>
          <w:lang w:val="en-US"/>
          <w14:ligatures w14:val="none"/>
        </w:rPr>
        <w:t>laboratory</w:t>
      </w:r>
      <w:r w:rsidR="00100178" w:rsidRPr="00834ABA">
        <w:rPr>
          <w:rFonts w:ascii="Times New Roman" w:eastAsia="Times New Roman" w:hAnsi="Times New Roman" w:cs="Times New Roman"/>
          <w:color w:val="000000" w:themeColor="text1"/>
          <w:kern w:val="0"/>
          <w:lang w:val="en-US"/>
          <w14:ligatures w14:val="none"/>
        </w:rPr>
        <w:t xml:space="preserve"> findings (</w:t>
      </w:r>
      <w:r w:rsidR="00BF0E7C" w:rsidRPr="00834ABA">
        <w:rPr>
          <w:rFonts w:ascii="Times New Roman" w:eastAsia="Times New Roman" w:hAnsi="Times New Roman" w:cs="Times New Roman"/>
          <w:color w:val="000000" w:themeColor="text1"/>
          <w:kern w:val="0"/>
          <w:lang w:val="en-US"/>
          <w14:ligatures w14:val="none"/>
        </w:rPr>
        <w:t>Serum transaminases, urea, serum creatinine, sputum smear for acid-fast bacilli (AFB), Xpert MTB/RIF assay, HIV serology, blood culture</w:t>
      </w:r>
      <w:r w:rsidR="00100178" w:rsidRPr="00834ABA">
        <w:rPr>
          <w:rFonts w:ascii="Times New Roman" w:eastAsia="Times New Roman" w:hAnsi="Times New Roman" w:cs="Times New Roman"/>
          <w:color w:val="000000" w:themeColor="text1"/>
          <w:kern w:val="0"/>
          <w:lang w:val="en-US"/>
          <w14:ligatures w14:val="none"/>
        </w:rPr>
        <w:t xml:space="preserve">), </w:t>
      </w:r>
      <w:r w:rsidR="00DA3DB2" w:rsidRPr="00834ABA">
        <w:rPr>
          <w:rFonts w:ascii="Times New Roman" w:eastAsia="Times New Roman" w:hAnsi="Times New Roman" w:cs="Times New Roman"/>
          <w:color w:val="000000" w:themeColor="text1"/>
          <w:kern w:val="0"/>
          <w:lang w:val="en-US"/>
          <w14:ligatures w14:val="none"/>
        </w:rPr>
        <w:t>radiological findings</w:t>
      </w:r>
      <w:r w:rsidRPr="00834ABA">
        <w:rPr>
          <w:rFonts w:ascii="Times New Roman" w:eastAsia="Times New Roman" w:hAnsi="Times New Roman" w:cs="Times New Roman"/>
          <w:color w:val="000000" w:themeColor="text1"/>
          <w:kern w:val="0"/>
          <w:lang w:val="en-US"/>
          <w14:ligatures w14:val="none"/>
        </w:rPr>
        <w:t xml:space="preserve">, therapeutic, and </w:t>
      </w:r>
      <w:r w:rsidR="00940ACA" w:rsidRPr="00834ABA">
        <w:rPr>
          <w:rFonts w:ascii="Times New Roman" w:eastAsia="Times New Roman" w:hAnsi="Times New Roman" w:cs="Times New Roman"/>
          <w:color w:val="000000" w:themeColor="text1"/>
          <w:kern w:val="0"/>
          <w:lang w:val="en-US"/>
          <w14:ligatures w14:val="none"/>
        </w:rPr>
        <w:t>clinical outcome</w:t>
      </w:r>
      <w:r w:rsidRPr="00834ABA">
        <w:rPr>
          <w:rFonts w:ascii="Times New Roman" w:eastAsia="Times New Roman" w:hAnsi="Times New Roman" w:cs="Times New Roman"/>
          <w:color w:val="000000" w:themeColor="text1"/>
          <w:kern w:val="0"/>
          <w:lang w:val="en-US"/>
          <w14:ligatures w14:val="none"/>
        </w:rPr>
        <w:t xml:space="preserve"> information.</w:t>
      </w:r>
    </w:p>
    <w:p w14:paraId="0515B250" w14:textId="75E440BA" w:rsidR="00DC5462" w:rsidRPr="00834ABA" w:rsidRDefault="00DC5462" w:rsidP="00D76E2E">
      <w:pPr>
        <w:pStyle w:val="Heading2"/>
        <w:rPr>
          <w:color w:val="000000" w:themeColor="text1"/>
          <w:lang w:val="en-US"/>
        </w:rPr>
      </w:pPr>
      <w:r w:rsidRPr="00834ABA">
        <w:rPr>
          <w:color w:val="000000" w:themeColor="text1"/>
          <w:lang w:val="en-US"/>
        </w:rPr>
        <w:t xml:space="preserve">Operational Definitions </w:t>
      </w:r>
    </w:p>
    <w:p w14:paraId="3F2DA40E" w14:textId="55164EFE" w:rsidR="00DC5462" w:rsidRPr="00834ABA" w:rsidRDefault="00DC54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The diagnosis of tuberculosis was established in the presence of acid-fast bacilli (AFB) and/or a positive Xpert MTB/RIF test; or based on epidemiological criteria (endemic area, immunosuppression), clinical features (chronic symptoms, nocturnal fever), and therapeutic evidence (lack of improvement under nonspecific antibiotic treatment). Miliary tuberculosis was defined </w:t>
      </w:r>
      <w:r w:rsidR="00626A8A" w:rsidRPr="00834ABA">
        <w:rPr>
          <w:rFonts w:ascii="Times New Roman" w:eastAsia="Times New Roman" w:hAnsi="Times New Roman" w:cs="Times New Roman"/>
          <w:color w:val="000000" w:themeColor="text1"/>
          <w:kern w:val="0"/>
          <w:lang w:val="en-US"/>
          <w14:ligatures w14:val="none"/>
        </w:rPr>
        <w:t>on thoracic imaging</w:t>
      </w:r>
      <w:r w:rsidR="00F86B0B"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by the presence of fine punctiform opacities, the size of a millet seed (1–2 mm in diameter)</w:t>
      </w:r>
      <w:r w:rsidR="007B0304" w:rsidRPr="00834ABA">
        <w:rPr>
          <w:rFonts w:ascii="Times New Roman" w:eastAsia="Times New Roman" w:hAnsi="Times New Roman" w:cs="Times New Roman"/>
          <w:color w:val="000000" w:themeColor="text1"/>
          <w:kern w:val="0"/>
          <w:lang w:val="en-US"/>
          <w14:ligatures w14:val="none"/>
        </w:rPr>
        <w:t xml:space="preserve">, rounded, well-demarcated, and </w:t>
      </w:r>
      <w:r w:rsidRPr="00834ABA">
        <w:rPr>
          <w:rFonts w:ascii="Times New Roman" w:eastAsia="Times New Roman" w:hAnsi="Times New Roman" w:cs="Times New Roman"/>
          <w:color w:val="000000" w:themeColor="text1"/>
          <w:kern w:val="0"/>
          <w:lang w:val="en-US"/>
          <w14:ligatures w14:val="none"/>
        </w:rPr>
        <w:t>regularly disseminated throughout both lung fields in a diffuse and symmetrical pattern.</w:t>
      </w:r>
    </w:p>
    <w:p w14:paraId="24F6AE4D" w14:textId="66C3EE92" w:rsidR="00DC5462" w:rsidRPr="00834ABA" w:rsidRDefault="00DC5462" w:rsidP="00D76E2E">
      <w:pPr>
        <w:pStyle w:val="Heading2"/>
        <w:rPr>
          <w:color w:val="000000" w:themeColor="text1"/>
          <w:lang w:val="en-US"/>
        </w:rPr>
      </w:pPr>
      <w:r w:rsidRPr="00834ABA">
        <w:rPr>
          <w:color w:val="000000" w:themeColor="text1"/>
          <w:lang w:val="en-US"/>
        </w:rPr>
        <w:lastRenderedPageBreak/>
        <w:t xml:space="preserve">Statistical Analyses </w:t>
      </w:r>
    </w:p>
    <w:p w14:paraId="54FB92FD" w14:textId="73438679" w:rsidR="00DC5462" w:rsidRPr="00834ABA" w:rsidRDefault="00DC54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Data were </w:t>
      </w:r>
      <w:r w:rsidR="00CE7985" w:rsidRPr="00834ABA">
        <w:rPr>
          <w:rFonts w:ascii="Times New Roman" w:eastAsia="Times New Roman" w:hAnsi="Times New Roman" w:cs="Times New Roman"/>
          <w:color w:val="000000" w:themeColor="text1"/>
          <w:kern w:val="0"/>
          <w:lang w:val="en-US"/>
          <w14:ligatures w14:val="none"/>
        </w:rPr>
        <w:t>analyzed</w:t>
      </w:r>
      <w:r w:rsidRPr="00834ABA">
        <w:rPr>
          <w:rFonts w:ascii="Times New Roman" w:eastAsia="Times New Roman" w:hAnsi="Times New Roman" w:cs="Times New Roman"/>
          <w:color w:val="000000" w:themeColor="text1"/>
          <w:kern w:val="0"/>
          <w:lang w:val="en-US"/>
          <w14:ligatures w14:val="none"/>
        </w:rPr>
        <w:t xml:space="preserve"> using R software version 2025-02-09 after categorization of the different variables according to predefined modalities. Qualitative variables were expressed as proportions, and quantitative variables as means with standard deviation (in the case of normal distribution) or as medians with interquartile ranges (in the case of non-normal distribution).</w:t>
      </w:r>
    </w:p>
    <w:p w14:paraId="62AA881E" w14:textId="7E4AB200" w:rsidR="00292D62" w:rsidRPr="00834ABA" w:rsidRDefault="00292D62" w:rsidP="00F13C75">
      <w:pPr>
        <w:pStyle w:val="Heading2"/>
        <w:rPr>
          <w:lang w:val="en-US"/>
        </w:rPr>
      </w:pPr>
      <w:r w:rsidRPr="00834ABA">
        <w:rPr>
          <w:lang w:val="en-US"/>
        </w:rPr>
        <w:t>Ethical</w:t>
      </w:r>
      <w:r w:rsidR="00F13C75" w:rsidRPr="00834ABA">
        <w:rPr>
          <w:lang w:val="en-US"/>
        </w:rPr>
        <w:t xml:space="preserve"> considerations</w:t>
      </w:r>
    </w:p>
    <w:p w14:paraId="759302D7" w14:textId="57AEA987" w:rsidR="00292D62" w:rsidRPr="00834ABA" w:rsidRDefault="00292D62" w:rsidP="00DC5462">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Anonymity and confidentiality were respected throughout the data collection process for patients. It was impossible to identify patients through the results, as their personal information was coded with numbers.</w:t>
      </w:r>
    </w:p>
    <w:p w14:paraId="54009AA7" w14:textId="03D50989" w:rsidR="00747B91" w:rsidRPr="00834ABA" w:rsidRDefault="00747B91" w:rsidP="006E58D1">
      <w:pPr>
        <w:pStyle w:val="Heading1"/>
        <w:rPr>
          <w:color w:val="000000" w:themeColor="text1"/>
          <w:lang w:val="en-US"/>
        </w:rPr>
      </w:pPr>
      <w:r w:rsidRPr="00834ABA">
        <w:rPr>
          <w:color w:val="000000" w:themeColor="text1"/>
          <w:lang w:val="en-US"/>
        </w:rPr>
        <w:t xml:space="preserve">Results  </w:t>
      </w:r>
    </w:p>
    <w:p w14:paraId="644D6B63" w14:textId="52FC7EB6"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During our 6-year study period, 1,115 patients were hospitalized in the department for tuberculosis. Among them, 96 presented with a miliary pattern on chest radiography, </w:t>
      </w:r>
      <w:r w:rsidR="00C126F7" w:rsidRPr="00834ABA">
        <w:rPr>
          <w:rFonts w:ascii="Times New Roman" w:hAnsi="Times New Roman" w:cs="Times New Roman"/>
          <w:bCs/>
          <w:color w:val="000000" w:themeColor="text1"/>
          <w:lang w:val="en-US"/>
        </w:rPr>
        <w:t>representing 8.60% of all tuberculosis cases.</w:t>
      </w:r>
    </w:p>
    <w:p w14:paraId="091D9F38" w14:textId="59DB55F4" w:rsidR="00747B91" w:rsidRPr="00834ABA" w:rsidRDefault="008F6A62" w:rsidP="006E58D1">
      <w:pPr>
        <w:pStyle w:val="Heading2"/>
        <w:rPr>
          <w:color w:val="000000" w:themeColor="text1"/>
          <w:lang w:val="en-US"/>
        </w:rPr>
      </w:pPr>
      <w:r w:rsidRPr="00834ABA">
        <w:rPr>
          <w:color w:val="000000" w:themeColor="text1"/>
          <w:lang w:val="en-US"/>
        </w:rPr>
        <w:t>Demographics</w:t>
      </w:r>
      <w:r w:rsidR="00747B91" w:rsidRPr="00834ABA">
        <w:rPr>
          <w:color w:val="000000" w:themeColor="text1"/>
          <w:lang w:val="en-US"/>
        </w:rPr>
        <w:t xml:space="preserve"> Characteristics  </w:t>
      </w:r>
    </w:p>
    <w:p w14:paraId="386658AC" w14:textId="12CA112C" w:rsidR="00747B91" w:rsidRPr="00834ABA" w:rsidRDefault="00747B91" w:rsidP="004B1F77">
      <w:pPr>
        <w:spacing w:line="360" w:lineRule="auto"/>
        <w:rPr>
          <w:rFonts w:ascii="Times New Roman" w:hAnsi="Times New Roman" w:cs="Times New Roman"/>
          <w:color w:val="000000" w:themeColor="text1"/>
          <w:lang w:val="en-US"/>
        </w:rPr>
      </w:pPr>
      <w:r w:rsidRPr="00834ABA">
        <w:rPr>
          <w:rFonts w:ascii="Times New Roman" w:eastAsia="Times New Roman" w:hAnsi="Times New Roman" w:cs="Times New Roman"/>
          <w:color w:val="000000" w:themeColor="text1"/>
          <w:kern w:val="0"/>
          <w:lang w:val="en-US"/>
          <w14:ligatures w14:val="none"/>
        </w:rPr>
        <w:t>The median age was 37 years, with an interquartile range (IQR) of 28–45 years. The age group between 30 and 39 years was the most represented, accounting for 31.25%. A male predominance was observed, with a male-to-female sex ratio of 1.46. More than half of the patients (60.42%) came from the Dakar suburbs, while nearly one in ten (11.46%) originated from other regions.</w:t>
      </w:r>
      <w:r w:rsidR="008F6A62" w:rsidRPr="00834ABA">
        <w:rPr>
          <w:rFonts w:ascii="Times New Roman" w:eastAsia="Times New Roman" w:hAnsi="Times New Roman" w:cs="Times New Roman"/>
          <w:color w:val="000000" w:themeColor="text1"/>
          <w:kern w:val="0"/>
          <w:lang w:val="en-US"/>
          <w14:ligatures w14:val="none"/>
        </w:rPr>
        <w:t xml:space="preserve"> </w:t>
      </w:r>
      <w:r w:rsidR="008F6A62" w:rsidRPr="00834ABA">
        <w:rPr>
          <w:rFonts w:ascii="Times New Roman" w:hAnsi="Times New Roman" w:cs="Times New Roman"/>
          <w:color w:val="000000" w:themeColor="text1"/>
          <w:lang w:val="en-US"/>
        </w:rPr>
        <w:t>Full demographic characteristics are presented in Table 1.</w:t>
      </w:r>
    </w:p>
    <w:p w14:paraId="49649207" w14:textId="7BE59498" w:rsidR="00747B91" w:rsidRPr="00834ABA" w:rsidRDefault="00747B91" w:rsidP="006E58D1">
      <w:pPr>
        <w:pStyle w:val="Heading2"/>
        <w:rPr>
          <w:color w:val="000000" w:themeColor="text1"/>
          <w:lang w:val="en-US"/>
        </w:rPr>
      </w:pPr>
      <w:r w:rsidRPr="00834ABA">
        <w:rPr>
          <w:color w:val="000000" w:themeColor="text1"/>
          <w:lang w:val="en-US"/>
        </w:rPr>
        <w:t>Co</w:t>
      </w:r>
      <w:r w:rsidR="001219BF" w:rsidRPr="00834ABA">
        <w:rPr>
          <w:color w:val="000000" w:themeColor="text1"/>
          <w:lang w:val="en-US"/>
        </w:rPr>
        <w:t>-</w:t>
      </w:r>
      <w:r w:rsidRPr="00834ABA">
        <w:rPr>
          <w:color w:val="000000" w:themeColor="text1"/>
          <w:lang w:val="en-US"/>
        </w:rPr>
        <w:t xml:space="preserve">morbidities  </w:t>
      </w:r>
    </w:p>
    <w:p w14:paraId="5017AE3A" w14:textId="0D0891B1"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More than half of the patients (63.54%) had at least one underlying condition. HIV infection was the most common comorbidity, found in 48.96% of cases. Approximately 12.5% of patients were smokers, and 10.42% had a history of tuberculosis. Hypertension, diabetes, and asthma were each reported in 4.17% of cases</w:t>
      </w:r>
      <w:r w:rsidR="00E3764F"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Figure 1</w:t>
      </w:r>
      <w:r w:rsidR="00E3764F"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w:t>
      </w:r>
    </w:p>
    <w:p w14:paraId="3783BC31" w14:textId="281BEA0E" w:rsidR="00747B91" w:rsidRPr="00834ABA" w:rsidRDefault="00747B91" w:rsidP="006E58D1">
      <w:pPr>
        <w:pStyle w:val="Heading2"/>
        <w:rPr>
          <w:color w:val="000000" w:themeColor="text1"/>
          <w:lang w:val="en-US"/>
        </w:rPr>
      </w:pPr>
      <w:r w:rsidRPr="00834ABA">
        <w:rPr>
          <w:color w:val="000000" w:themeColor="text1"/>
          <w:lang w:val="en-US"/>
        </w:rPr>
        <w:t xml:space="preserve">Clinical Features  </w:t>
      </w:r>
    </w:p>
    <w:p w14:paraId="0935F9B5" w14:textId="159721FE" w:rsidR="00747B91" w:rsidRPr="00834ABA" w:rsidRDefault="00570933"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Median consultation </w:t>
      </w:r>
      <w:r w:rsidR="002318FE" w:rsidRPr="00834ABA">
        <w:rPr>
          <w:rFonts w:ascii="Times New Roman" w:eastAsia="Times New Roman" w:hAnsi="Times New Roman" w:cs="Times New Roman"/>
          <w:color w:val="000000" w:themeColor="text1"/>
          <w:kern w:val="0"/>
          <w:lang w:val="en-US"/>
          <w14:ligatures w14:val="none"/>
        </w:rPr>
        <w:t>delay was</w:t>
      </w:r>
      <w:r w:rsidR="00747B91" w:rsidRPr="00834ABA">
        <w:rPr>
          <w:rFonts w:ascii="Times New Roman" w:eastAsia="Times New Roman" w:hAnsi="Times New Roman" w:cs="Times New Roman"/>
          <w:color w:val="000000" w:themeColor="text1"/>
          <w:kern w:val="0"/>
          <w:lang w:val="en-US"/>
          <w14:ligatures w14:val="none"/>
        </w:rPr>
        <w:t xml:space="preserve"> 90 days, with an IQR of</w:t>
      </w:r>
      <w:r w:rsidR="003D52C5" w:rsidRPr="00834ABA">
        <w:rPr>
          <w:rFonts w:ascii="Times New Roman" w:eastAsia="Times New Roman" w:hAnsi="Times New Roman" w:cs="Times New Roman"/>
          <w:color w:val="000000" w:themeColor="text1"/>
          <w:kern w:val="0"/>
          <w:lang w:val="en-US"/>
          <w14:ligatures w14:val="none"/>
        </w:rPr>
        <w:t xml:space="preserve"> 20–71 days. Fever (97.92%) and</w:t>
      </w:r>
      <w:r w:rsidR="003D52C5" w:rsidRPr="00834ABA">
        <w:rPr>
          <w:rFonts w:ascii="Times New Roman" w:hAnsi="Times New Roman" w:cs="Times New Roman"/>
          <w:color w:val="000000" w:themeColor="text1"/>
          <w:lang w:val="en-US"/>
        </w:rPr>
        <w:t xml:space="preserve"> generalized weakness</w:t>
      </w:r>
      <w:r w:rsidR="003D52C5" w:rsidRPr="00834ABA">
        <w:rPr>
          <w:rFonts w:ascii="Times New Roman" w:eastAsia="Times New Roman" w:hAnsi="Times New Roman" w:cs="Times New Roman"/>
          <w:color w:val="000000" w:themeColor="text1"/>
          <w:kern w:val="0"/>
          <w:lang w:val="en-US"/>
          <w14:ligatures w14:val="none"/>
        </w:rPr>
        <w:t xml:space="preserve"> </w:t>
      </w:r>
      <w:r w:rsidR="00747B91" w:rsidRPr="00834ABA">
        <w:rPr>
          <w:rFonts w:ascii="Times New Roman" w:eastAsia="Times New Roman" w:hAnsi="Times New Roman" w:cs="Times New Roman"/>
          <w:color w:val="000000" w:themeColor="text1"/>
          <w:kern w:val="0"/>
          <w:lang w:val="en-US"/>
          <w14:ligatures w14:val="none"/>
        </w:rPr>
        <w:t>(86.46%) were the most frequent symptoms</w:t>
      </w:r>
      <w:r w:rsidR="00C855D7" w:rsidRPr="00834ABA">
        <w:rPr>
          <w:rFonts w:ascii="Times New Roman" w:eastAsia="Times New Roman" w:hAnsi="Times New Roman" w:cs="Times New Roman"/>
          <w:color w:val="000000" w:themeColor="text1"/>
          <w:kern w:val="0"/>
          <w:lang w:val="en-US"/>
          <w14:ligatures w14:val="none"/>
        </w:rPr>
        <w:t xml:space="preserve"> </w:t>
      </w:r>
      <w:r w:rsidR="000F2E1B" w:rsidRPr="00834ABA">
        <w:rPr>
          <w:rFonts w:ascii="Times New Roman" w:eastAsia="Times New Roman" w:hAnsi="Times New Roman" w:cs="Times New Roman"/>
          <w:color w:val="000000" w:themeColor="text1"/>
          <w:kern w:val="0"/>
          <w:lang w:val="en-US"/>
          <w14:ligatures w14:val="none"/>
        </w:rPr>
        <w:t>(</w:t>
      </w:r>
      <w:r w:rsidR="00C855D7" w:rsidRPr="00834ABA">
        <w:rPr>
          <w:rFonts w:ascii="Times New Roman" w:eastAsia="Times New Roman" w:hAnsi="Times New Roman" w:cs="Times New Roman"/>
          <w:color w:val="000000" w:themeColor="text1"/>
          <w:kern w:val="0"/>
          <w:lang w:val="en-US"/>
          <w14:ligatures w14:val="none"/>
        </w:rPr>
        <w:t>Figure 2)</w:t>
      </w:r>
      <w:r w:rsidR="00747B91" w:rsidRPr="00834ABA">
        <w:rPr>
          <w:rFonts w:ascii="Times New Roman" w:eastAsia="Times New Roman" w:hAnsi="Times New Roman" w:cs="Times New Roman"/>
          <w:color w:val="000000" w:themeColor="text1"/>
          <w:kern w:val="0"/>
          <w:lang w:val="en-US"/>
          <w14:ligatures w14:val="none"/>
        </w:rPr>
        <w:t>. The most affected systems were respiratory (53.13%), neurological (39.58%), and</w:t>
      </w:r>
      <w:r w:rsidR="00896BFD" w:rsidRPr="00834ABA">
        <w:rPr>
          <w:rFonts w:ascii="Times New Roman" w:eastAsia="Times New Roman" w:hAnsi="Times New Roman" w:cs="Times New Roman"/>
          <w:color w:val="000000" w:themeColor="text1"/>
          <w:kern w:val="0"/>
          <w:lang w:val="en-US"/>
          <w14:ligatures w14:val="none"/>
        </w:rPr>
        <w:t xml:space="preserve"> </w:t>
      </w:r>
      <w:r w:rsidR="009C0903" w:rsidRPr="00834ABA">
        <w:rPr>
          <w:rFonts w:ascii="Times New Roman" w:hAnsi="Times New Roman" w:cs="Times New Roman"/>
          <w:color w:val="000000" w:themeColor="text1"/>
          <w:lang w:val="en-US"/>
        </w:rPr>
        <w:t xml:space="preserve">splenic/lymph node </w:t>
      </w:r>
      <w:r w:rsidR="00AC24C8" w:rsidRPr="00834ABA">
        <w:rPr>
          <w:rFonts w:ascii="Times New Roman" w:eastAsia="Times New Roman" w:hAnsi="Times New Roman" w:cs="Times New Roman"/>
          <w:color w:val="000000" w:themeColor="text1"/>
          <w:kern w:val="0"/>
          <w:lang w:val="en-US"/>
          <w14:ligatures w14:val="none"/>
        </w:rPr>
        <w:t>involvement</w:t>
      </w:r>
      <w:r w:rsidR="00747B91" w:rsidRPr="00834ABA">
        <w:rPr>
          <w:rFonts w:ascii="Times New Roman" w:eastAsia="Times New Roman" w:hAnsi="Times New Roman" w:cs="Times New Roman"/>
          <w:color w:val="000000" w:themeColor="text1"/>
          <w:kern w:val="0"/>
          <w:lang w:val="en-US"/>
          <w14:ligatures w14:val="none"/>
        </w:rPr>
        <w:t xml:space="preserve"> (34.38%). Respiratory signs were dominated by cough (46.88%) and </w:t>
      </w:r>
      <w:r w:rsidR="00B177D5" w:rsidRPr="00834ABA">
        <w:rPr>
          <w:rFonts w:ascii="Times New Roman" w:eastAsia="Times New Roman" w:hAnsi="Times New Roman" w:cs="Times New Roman"/>
          <w:color w:val="000000" w:themeColor="text1"/>
          <w:kern w:val="0"/>
          <w:lang w:val="en-US"/>
          <w14:ligatures w14:val="none"/>
        </w:rPr>
        <w:t>dyspnea</w:t>
      </w:r>
      <w:r w:rsidR="00747B91" w:rsidRPr="00834ABA">
        <w:rPr>
          <w:rFonts w:ascii="Times New Roman" w:eastAsia="Times New Roman" w:hAnsi="Times New Roman" w:cs="Times New Roman"/>
          <w:color w:val="000000" w:themeColor="text1"/>
          <w:kern w:val="0"/>
          <w:lang w:val="en-US"/>
          <w14:ligatures w14:val="none"/>
        </w:rPr>
        <w:t xml:space="preserve"> (27.08%)</w:t>
      </w:r>
      <w:r w:rsidR="001D7118" w:rsidRPr="00834ABA">
        <w:rPr>
          <w:rFonts w:ascii="Times New Roman" w:eastAsia="Times New Roman" w:hAnsi="Times New Roman" w:cs="Times New Roman"/>
          <w:color w:val="000000" w:themeColor="text1"/>
          <w:kern w:val="0"/>
          <w:lang w:val="en-US"/>
          <w14:ligatures w14:val="none"/>
        </w:rPr>
        <w:t>, as shown in Figure 2</w:t>
      </w:r>
      <w:r w:rsidR="00747B91" w:rsidRPr="00834ABA">
        <w:rPr>
          <w:rFonts w:ascii="Times New Roman" w:eastAsia="Times New Roman" w:hAnsi="Times New Roman" w:cs="Times New Roman"/>
          <w:color w:val="000000" w:themeColor="text1"/>
          <w:kern w:val="0"/>
          <w:lang w:val="en-US"/>
          <w14:ligatures w14:val="none"/>
        </w:rPr>
        <w:t xml:space="preserve">. Neurologically, nearly one-third of patients presented with </w:t>
      </w:r>
      <w:r w:rsidR="00747B91" w:rsidRPr="00834ABA">
        <w:rPr>
          <w:rFonts w:ascii="Times New Roman" w:eastAsia="Times New Roman" w:hAnsi="Times New Roman" w:cs="Times New Roman"/>
          <w:color w:val="000000" w:themeColor="text1"/>
          <w:kern w:val="0"/>
          <w:lang w:val="en-US"/>
          <w14:ligatures w14:val="none"/>
        </w:rPr>
        <w:lastRenderedPageBreak/>
        <w:t xml:space="preserve">meningeal </w:t>
      </w:r>
      <w:r w:rsidR="00794123" w:rsidRPr="00834ABA">
        <w:rPr>
          <w:rFonts w:ascii="Times New Roman" w:eastAsia="Times New Roman" w:hAnsi="Times New Roman" w:cs="Times New Roman"/>
          <w:color w:val="000000" w:themeColor="text1"/>
          <w:kern w:val="0"/>
          <w:lang w:val="en-US"/>
          <w14:ligatures w14:val="none"/>
        </w:rPr>
        <w:t>signs</w:t>
      </w:r>
      <w:r w:rsidR="00747B91" w:rsidRPr="00834ABA">
        <w:rPr>
          <w:rFonts w:ascii="Times New Roman" w:eastAsia="Times New Roman" w:hAnsi="Times New Roman" w:cs="Times New Roman"/>
          <w:color w:val="000000" w:themeColor="text1"/>
          <w:kern w:val="0"/>
          <w:lang w:val="en-US"/>
          <w14:ligatures w14:val="none"/>
        </w:rPr>
        <w:t xml:space="preserve">; about 18.75% had altered </w:t>
      </w:r>
      <w:r w:rsidR="002A0BF1" w:rsidRPr="00834ABA">
        <w:rPr>
          <w:rFonts w:ascii="Times New Roman" w:eastAsia="Times New Roman" w:hAnsi="Times New Roman" w:cs="Times New Roman"/>
          <w:color w:val="000000" w:themeColor="text1"/>
          <w:kern w:val="0"/>
          <w:lang w:val="en-US"/>
          <w14:ligatures w14:val="none"/>
        </w:rPr>
        <w:t xml:space="preserve">level of </w:t>
      </w:r>
      <w:r w:rsidR="00747B91" w:rsidRPr="00834ABA">
        <w:rPr>
          <w:rFonts w:ascii="Times New Roman" w:eastAsia="Times New Roman" w:hAnsi="Times New Roman" w:cs="Times New Roman"/>
          <w:color w:val="000000" w:themeColor="text1"/>
          <w:kern w:val="0"/>
          <w:lang w:val="en-US"/>
          <w14:ligatures w14:val="none"/>
        </w:rPr>
        <w:t xml:space="preserve">consciousness with a Glasgow score &lt; 13, and 7.29% had cranial nerve palsy. One patient presented with splenomegaly. Lymphadenopathy was found in 34.38% of patients, most often cervical (93.94%) and non-inflammatory (26.03%). </w:t>
      </w:r>
      <w:r w:rsidR="00DC6F13" w:rsidRPr="00834ABA">
        <w:rPr>
          <w:rFonts w:ascii="Times New Roman" w:eastAsia="Times New Roman" w:hAnsi="Times New Roman" w:cs="Times New Roman"/>
          <w:color w:val="000000" w:themeColor="text1"/>
          <w:kern w:val="0"/>
          <w:lang w:val="en-US"/>
          <w14:ligatures w14:val="none"/>
        </w:rPr>
        <w:t>Gastrointestinal</w:t>
      </w:r>
      <w:r w:rsidR="00747B91" w:rsidRPr="00834ABA">
        <w:rPr>
          <w:rFonts w:ascii="Times New Roman" w:eastAsia="Times New Roman" w:hAnsi="Times New Roman" w:cs="Times New Roman"/>
          <w:color w:val="000000" w:themeColor="text1"/>
          <w:kern w:val="0"/>
          <w:lang w:val="en-US"/>
          <w14:ligatures w14:val="none"/>
        </w:rPr>
        <w:t xml:space="preserve"> </w:t>
      </w:r>
      <w:r w:rsidR="00D70264" w:rsidRPr="00834ABA">
        <w:rPr>
          <w:rFonts w:ascii="Times New Roman" w:eastAsia="Times New Roman" w:hAnsi="Times New Roman" w:cs="Times New Roman"/>
          <w:color w:val="000000" w:themeColor="text1"/>
          <w:kern w:val="0"/>
          <w:lang w:val="en-US"/>
          <w14:ligatures w14:val="none"/>
        </w:rPr>
        <w:t>symptoms</w:t>
      </w:r>
      <w:r w:rsidR="00747B91" w:rsidRPr="00834ABA">
        <w:rPr>
          <w:rFonts w:ascii="Times New Roman" w:eastAsia="Times New Roman" w:hAnsi="Times New Roman" w:cs="Times New Roman"/>
          <w:color w:val="000000" w:themeColor="text1"/>
          <w:kern w:val="0"/>
          <w:lang w:val="en-US"/>
          <w14:ligatures w14:val="none"/>
        </w:rPr>
        <w:t xml:space="preserve"> included </w:t>
      </w:r>
      <w:r w:rsidR="00CE7985" w:rsidRPr="00834ABA">
        <w:rPr>
          <w:rFonts w:ascii="Times New Roman" w:eastAsia="Times New Roman" w:hAnsi="Times New Roman" w:cs="Times New Roman"/>
          <w:color w:val="000000" w:themeColor="text1"/>
          <w:kern w:val="0"/>
          <w:lang w:val="en-US"/>
          <w14:ligatures w14:val="none"/>
        </w:rPr>
        <w:t>diarrhea</w:t>
      </w:r>
      <w:r w:rsidR="00747B91" w:rsidRPr="00834ABA">
        <w:rPr>
          <w:rFonts w:ascii="Times New Roman" w:eastAsia="Times New Roman" w:hAnsi="Times New Roman" w:cs="Times New Roman"/>
          <w:color w:val="000000" w:themeColor="text1"/>
          <w:kern w:val="0"/>
          <w:lang w:val="en-US"/>
          <w14:ligatures w14:val="none"/>
        </w:rPr>
        <w:t xml:space="preserve"> and abdominal pain, while only 2.08% of patients presented with ascites</w:t>
      </w:r>
      <w:r w:rsidR="00A923CE" w:rsidRPr="00834ABA">
        <w:rPr>
          <w:rFonts w:ascii="Times New Roman" w:eastAsia="Times New Roman" w:hAnsi="Times New Roman" w:cs="Times New Roman"/>
          <w:color w:val="000000" w:themeColor="text1"/>
          <w:kern w:val="0"/>
          <w:lang w:val="en-US"/>
          <w14:ligatures w14:val="none"/>
        </w:rPr>
        <w:t xml:space="preserve"> </w:t>
      </w:r>
      <w:r w:rsidR="001D7118" w:rsidRPr="00834ABA">
        <w:rPr>
          <w:rFonts w:ascii="Times New Roman" w:eastAsia="Times New Roman" w:hAnsi="Times New Roman" w:cs="Times New Roman"/>
          <w:color w:val="000000" w:themeColor="text1"/>
          <w:kern w:val="0"/>
          <w:lang w:val="en-US"/>
          <w14:ligatures w14:val="none"/>
        </w:rPr>
        <w:t>(Figure 2)</w:t>
      </w:r>
      <w:r w:rsidR="00747B91" w:rsidRPr="00834ABA">
        <w:rPr>
          <w:rFonts w:ascii="Times New Roman" w:eastAsia="Times New Roman" w:hAnsi="Times New Roman" w:cs="Times New Roman"/>
          <w:color w:val="000000" w:themeColor="text1"/>
          <w:kern w:val="0"/>
          <w:lang w:val="en-US"/>
          <w14:ligatures w14:val="none"/>
        </w:rPr>
        <w:t>.</w:t>
      </w:r>
    </w:p>
    <w:p w14:paraId="76B94B60" w14:textId="05F7FB4A" w:rsidR="00747B91" w:rsidRPr="00834ABA" w:rsidRDefault="00747B91" w:rsidP="006E58D1">
      <w:pPr>
        <w:pStyle w:val="Heading2"/>
        <w:rPr>
          <w:color w:val="000000" w:themeColor="text1"/>
          <w:lang w:val="en-US"/>
        </w:rPr>
      </w:pPr>
      <w:r w:rsidRPr="00834ABA">
        <w:rPr>
          <w:color w:val="000000" w:themeColor="text1"/>
          <w:lang w:val="en-US"/>
        </w:rPr>
        <w:t xml:space="preserve"> Laboratory Findings  </w:t>
      </w:r>
    </w:p>
    <w:p w14:paraId="3D8D8BAD" w14:textId="047968DC"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The median white blood cell count was 7.3 × 10³/mm³ (IQR: 5.4</w:t>
      </w:r>
      <w:r w:rsidR="00712A7C"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xml:space="preserve">9.9 × 10³/mm³), with leukopenia observed in 13.83% of patients. The median </w:t>
      </w:r>
      <w:r w:rsidR="00007E43" w:rsidRPr="00834ABA">
        <w:rPr>
          <w:rFonts w:ascii="Times New Roman" w:eastAsia="Times New Roman" w:hAnsi="Times New Roman" w:cs="Times New Roman"/>
          <w:color w:val="000000" w:themeColor="text1"/>
          <w:kern w:val="0"/>
          <w:lang w:val="en-US"/>
          <w14:ligatures w14:val="none"/>
        </w:rPr>
        <w:t>h</w:t>
      </w:r>
      <w:r w:rsidR="00332163" w:rsidRPr="00834ABA">
        <w:rPr>
          <w:rFonts w:ascii="Times New Roman" w:eastAsia="Times New Roman" w:hAnsi="Times New Roman" w:cs="Times New Roman"/>
          <w:color w:val="000000" w:themeColor="text1"/>
          <w:kern w:val="0"/>
          <w:lang w:val="en-US"/>
          <w14:ligatures w14:val="none"/>
        </w:rPr>
        <w:t>emoglobin</w:t>
      </w:r>
      <w:r w:rsidRPr="00834ABA">
        <w:rPr>
          <w:rFonts w:ascii="Times New Roman" w:eastAsia="Times New Roman" w:hAnsi="Times New Roman" w:cs="Times New Roman"/>
          <w:color w:val="000000" w:themeColor="text1"/>
          <w:kern w:val="0"/>
          <w:lang w:val="en-US"/>
          <w14:ligatures w14:val="none"/>
        </w:rPr>
        <w:t xml:space="preserve"> level was 9.55 g/dL (IQR: 7.83–11.38 g/dL), with anemia present in 29.49% of patients. The median platelet count was 271 × 10³/mm³ (IQR: 192</w:t>
      </w:r>
      <w:r w:rsidR="00712A7C"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xml:space="preserve">366 × 10³/mm³), with thrombocytopenia in 15.05% of </w:t>
      </w:r>
      <w:r w:rsidR="005278E0" w:rsidRPr="00834ABA">
        <w:rPr>
          <w:rFonts w:ascii="Times New Roman" w:eastAsia="Times New Roman" w:hAnsi="Times New Roman" w:cs="Times New Roman"/>
          <w:color w:val="000000" w:themeColor="text1"/>
          <w:kern w:val="0"/>
          <w:lang w:val="en-US"/>
          <w14:ligatures w14:val="none"/>
        </w:rPr>
        <w:t>patients</w:t>
      </w:r>
      <w:r w:rsidRPr="00834ABA">
        <w:rPr>
          <w:rFonts w:ascii="Times New Roman" w:eastAsia="Times New Roman" w:hAnsi="Times New Roman" w:cs="Times New Roman"/>
          <w:color w:val="000000" w:themeColor="text1"/>
          <w:kern w:val="0"/>
          <w:lang w:val="en-US"/>
          <w14:ligatures w14:val="none"/>
        </w:rPr>
        <w:t>. Pancytopenia was observed in 10.39% of patients. Me</w:t>
      </w:r>
      <w:r w:rsidR="00935288" w:rsidRPr="00834ABA">
        <w:rPr>
          <w:rFonts w:ascii="Times New Roman" w:eastAsia="Times New Roman" w:hAnsi="Times New Roman" w:cs="Times New Roman"/>
          <w:color w:val="000000" w:themeColor="text1"/>
          <w:kern w:val="0"/>
          <w:lang w:val="en-US"/>
          <w14:ligatures w14:val="none"/>
        </w:rPr>
        <w:t xml:space="preserve">dian </w:t>
      </w:r>
      <w:r w:rsidR="00BD59E6" w:rsidRPr="00834ABA">
        <w:rPr>
          <w:rFonts w:ascii="Times New Roman" w:eastAsia="Times New Roman" w:hAnsi="Times New Roman" w:cs="Times New Roman"/>
          <w:color w:val="000000" w:themeColor="text1"/>
          <w:kern w:val="0"/>
          <w:lang w:val="en-US"/>
          <w14:ligatures w14:val="none"/>
        </w:rPr>
        <w:t xml:space="preserve">of aspartate </w:t>
      </w:r>
      <w:r w:rsidR="00F7438A" w:rsidRPr="00834ABA">
        <w:rPr>
          <w:rFonts w:ascii="Times New Roman" w:eastAsia="Times New Roman" w:hAnsi="Times New Roman" w:cs="Times New Roman"/>
          <w:color w:val="000000" w:themeColor="text1"/>
          <w:kern w:val="0"/>
          <w:lang w:val="en-US"/>
          <w14:ligatures w14:val="none"/>
        </w:rPr>
        <w:t>aminotransferase</w:t>
      </w:r>
      <w:r w:rsidR="00BD59E6" w:rsidRPr="00834ABA">
        <w:rPr>
          <w:rFonts w:ascii="Times New Roman" w:eastAsia="Times New Roman" w:hAnsi="Times New Roman" w:cs="Times New Roman"/>
          <w:color w:val="000000" w:themeColor="text1"/>
          <w:kern w:val="0"/>
          <w:lang w:val="en-US"/>
          <w14:ligatures w14:val="none"/>
        </w:rPr>
        <w:t>) (</w:t>
      </w:r>
      <w:r w:rsidRPr="00834ABA">
        <w:rPr>
          <w:rFonts w:ascii="Times New Roman" w:eastAsia="Times New Roman" w:hAnsi="Times New Roman" w:cs="Times New Roman"/>
          <w:color w:val="000000" w:themeColor="text1"/>
          <w:kern w:val="0"/>
          <w:lang w:val="en-US"/>
          <w14:ligatures w14:val="none"/>
        </w:rPr>
        <w:t>AST</w:t>
      </w:r>
      <w:r w:rsidR="00BD59E6"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xml:space="preserve"> and </w:t>
      </w:r>
      <w:r w:rsidR="001D21A2" w:rsidRPr="00834ABA">
        <w:rPr>
          <w:rFonts w:ascii="Times New Roman" w:eastAsia="Times New Roman" w:hAnsi="Times New Roman" w:cs="Times New Roman"/>
          <w:color w:val="000000" w:themeColor="text1"/>
          <w:kern w:val="0"/>
          <w:lang w:val="en-US"/>
          <w14:ligatures w14:val="none"/>
        </w:rPr>
        <w:t>Alanine aminotransferase (ALT)</w:t>
      </w:r>
      <w:r w:rsidRPr="00834ABA">
        <w:rPr>
          <w:rFonts w:ascii="Times New Roman" w:eastAsia="Times New Roman" w:hAnsi="Times New Roman" w:cs="Times New Roman"/>
          <w:color w:val="000000" w:themeColor="text1"/>
          <w:kern w:val="0"/>
          <w:lang w:val="en-US"/>
          <w14:ligatures w14:val="none"/>
        </w:rPr>
        <w:t xml:space="preserve"> were </w:t>
      </w:r>
      <w:r w:rsidR="00895715" w:rsidRPr="00834ABA">
        <w:rPr>
          <w:rFonts w:ascii="Times New Roman" w:eastAsia="Times New Roman" w:hAnsi="Times New Roman" w:cs="Times New Roman"/>
          <w:color w:val="000000" w:themeColor="text1"/>
          <w:kern w:val="0"/>
          <w:lang w:val="en-US"/>
          <w14:ligatures w14:val="none"/>
        </w:rPr>
        <w:t>56</w:t>
      </w:r>
      <w:r w:rsidRPr="00834ABA">
        <w:rPr>
          <w:rFonts w:ascii="Times New Roman" w:eastAsia="Times New Roman" w:hAnsi="Times New Roman" w:cs="Times New Roman"/>
          <w:color w:val="000000" w:themeColor="text1"/>
          <w:kern w:val="0"/>
          <w:lang w:val="en-US"/>
          <w14:ligatures w14:val="none"/>
        </w:rPr>
        <w:t xml:space="preserve"> IU/</w:t>
      </w:r>
      <w:r w:rsidR="003E6952" w:rsidRPr="00834ABA">
        <w:rPr>
          <w:rFonts w:ascii="Times New Roman" w:eastAsia="Times New Roman" w:hAnsi="Times New Roman" w:cs="Times New Roman"/>
          <w:color w:val="000000" w:themeColor="text1"/>
          <w:kern w:val="0"/>
          <w:lang w:val="en-US"/>
          <w14:ligatures w14:val="none"/>
        </w:rPr>
        <w:t>l</w:t>
      </w:r>
      <w:r w:rsidRPr="00834ABA">
        <w:rPr>
          <w:rFonts w:ascii="Times New Roman" w:eastAsia="Times New Roman" w:hAnsi="Times New Roman" w:cs="Times New Roman"/>
          <w:color w:val="000000" w:themeColor="text1"/>
          <w:kern w:val="0"/>
          <w:lang w:val="en-US"/>
          <w14:ligatures w14:val="none"/>
        </w:rPr>
        <w:t xml:space="preserve"> (</w:t>
      </w:r>
      <w:r w:rsidR="00935288" w:rsidRPr="00834ABA">
        <w:rPr>
          <w:rFonts w:ascii="Times New Roman" w:eastAsia="Times New Roman" w:hAnsi="Times New Roman" w:cs="Times New Roman"/>
          <w:color w:val="000000" w:themeColor="text1"/>
          <w:kern w:val="0"/>
          <w:lang w:val="en-US"/>
          <w14:ligatures w14:val="none"/>
        </w:rPr>
        <w:t xml:space="preserve">IQR: </w:t>
      </w:r>
      <w:r w:rsidR="00712A7C" w:rsidRPr="00834ABA">
        <w:rPr>
          <w:rFonts w:ascii="Times New Roman" w:eastAsia="Times New Roman" w:hAnsi="Times New Roman" w:cs="Times New Roman"/>
          <w:color w:val="000000" w:themeColor="text1"/>
          <w:kern w:val="0"/>
          <w:lang w:val="en-US"/>
          <w14:ligatures w14:val="none"/>
        </w:rPr>
        <w:t>33-86</w:t>
      </w:r>
      <w:r w:rsidR="00D71095" w:rsidRPr="00834ABA">
        <w:rPr>
          <w:rFonts w:ascii="Times New Roman" w:eastAsia="Times New Roman" w:hAnsi="Times New Roman" w:cs="Times New Roman"/>
          <w:color w:val="000000" w:themeColor="text1"/>
          <w:kern w:val="0"/>
          <w:lang w:val="en-US"/>
          <w14:ligatures w14:val="none"/>
        </w:rPr>
        <w:t xml:space="preserve"> IU/l</w:t>
      </w:r>
      <w:r w:rsidRPr="00834ABA">
        <w:rPr>
          <w:rFonts w:ascii="Times New Roman" w:eastAsia="Times New Roman" w:hAnsi="Times New Roman" w:cs="Times New Roman"/>
          <w:color w:val="000000" w:themeColor="text1"/>
          <w:kern w:val="0"/>
          <w:lang w:val="en-US"/>
          <w14:ligatures w14:val="none"/>
        </w:rPr>
        <w:t xml:space="preserve">) and </w:t>
      </w:r>
      <w:r w:rsidR="003F0254" w:rsidRPr="00834ABA">
        <w:rPr>
          <w:rFonts w:ascii="Times New Roman" w:eastAsia="Times New Roman" w:hAnsi="Times New Roman" w:cs="Times New Roman"/>
          <w:color w:val="000000" w:themeColor="text1"/>
          <w:kern w:val="0"/>
          <w:lang w:val="en-US"/>
          <w14:ligatures w14:val="none"/>
        </w:rPr>
        <w:t>33</w:t>
      </w:r>
      <w:r w:rsidRPr="00834ABA">
        <w:rPr>
          <w:rFonts w:ascii="Times New Roman" w:eastAsia="Times New Roman" w:hAnsi="Times New Roman" w:cs="Times New Roman"/>
          <w:color w:val="000000" w:themeColor="text1"/>
          <w:kern w:val="0"/>
          <w:lang w:val="en-US"/>
          <w14:ligatures w14:val="none"/>
        </w:rPr>
        <w:t xml:space="preserve"> IU/L (</w:t>
      </w:r>
      <w:r w:rsidR="003F0254" w:rsidRPr="00834ABA">
        <w:rPr>
          <w:rFonts w:ascii="Times New Roman" w:eastAsia="Times New Roman" w:hAnsi="Times New Roman" w:cs="Times New Roman"/>
          <w:color w:val="000000" w:themeColor="text1"/>
          <w:kern w:val="0"/>
          <w:lang w:val="en-US"/>
          <w14:ligatures w14:val="none"/>
        </w:rPr>
        <w:t>IQR:</w:t>
      </w:r>
      <w:r w:rsidR="00D71095" w:rsidRPr="00834ABA">
        <w:rPr>
          <w:color w:val="000000" w:themeColor="text1"/>
          <w:lang w:val="en-US"/>
        </w:rPr>
        <w:t xml:space="preserve"> </w:t>
      </w:r>
      <w:r w:rsidR="00D71095" w:rsidRPr="00834ABA">
        <w:rPr>
          <w:rFonts w:ascii="Times New Roman" w:eastAsia="Times New Roman" w:hAnsi="Times New Roman" w:cs="Times New Roman"/>
          <w:color w:val="000000" w:themeColor="text1"/>
          <w:kern w:val="0"/>
          <w:lang w:val="en-US"/>
          <w14:ligatures w14:val="none"/>
        </w:rPr>
        <w:t>19-50</w:t>
      </w:r>
      <w:r w:rsidR="003F0254" w:rsidRPr="00834ABA">
        <w:rPr>
          <w:rFonts w:ascii="Times New Roman" w:eastAsia="Times New Roman" w:hAnsi="Times New Roman" w:cs="Times New Roman"/>
          <w:color w:val="000000" w:themeColor="text1"/>
          <w:kern w:val="0"/>
          <w:lang w:val="en-US"/>
          <w14:ligatures w14:val="none"/>
        </w:rPr>
        <w:t xml:space="preserve"> </w:t>
      </w:r>
      <w:r w:rsidR="00F450A7" w:rsidRPr="00834ABA">
        <w:rPr>
          <w:rFonts w:ascii="Times New Roman" w:eastAsia="Times New Roman" w:hAnsi="Times New Roman" w:cs="Times New Roman"/>
          <w:color w:val="000000" w:themeColor="text1"/>
          <w:kern w:val="0"/>
          <w:lang w:val="en-US"/>
          <w14:ligatures w14:val="none"/>
        </w:rPr>
        <w:t>IU/l</w:t>
      </w:r>
      <w:r w:rsidRPr="00834ABA">
        <w:rPr>
          <w:rFonts w:ascii="Times New Roman" w:eastAsia="Times New Roman" w:hAnsi="Times New Roman" w:cs="Times New Roman"/>
          <w:color w:val="000000" w:themeColor="text1"/>
          <w:kern w:val="0"/>
          <w:lang w:val="en-US"/>
          <w14:ligatures w14:val="none"/>
        </w:rPr>
        <w:t xml:space="preserve">), respectively. </w:t>
      </w:r>
      <w:r w:rsidR="004101B8" w:rsidRPr="00834ABA">
        <w:rPr>
          <w:rFonts w:ascii="Times New Roman" w:eastAsia="Times New Roman" w:hAnsi="Times New Roman" w:cs="Times New Roman"/>
          <w:color w:val="000000" w:themeColor="text1"/>
          <w:kern w:val="0"/>
          <w:lang w:val="en-US"/>
          <w14:ligatures w14:val="none"/>
        </w:rPr>
        <w:t>Hepatocellular injury</w:t>
      </w:r>
      <w:r w:rsidRPr="00834ABA">
        <w:rPr>
          <w:rFonts w:ascii="Times New Roman" w:eastAsia="Times New Roman" w:hAnsi="Times New Roman" w:cs="Times New Roman"/>
          <w:color w:val="000000" w:themeColor="text1"/>
          <w:kern w:val="0"/>
          <w:lang w:val="en-US"/>
          <w14:ligatures w14:val="none"/>
        </w:rPr>
        <w:t xml:space="preserve"> was noted in 42.31% of patients. The mean CRP level was 119 mg/L (± 82), with a median of 108 mg/L (IQR: 50–166 mg/L)</w:t>
      </w:r>
      <w:r w:rsidR="00D0709E">
        <w:rPr>
          <w:rFonts w:ascii="Times New Roman" w:eastAsia="Times New Roman" w:hAnsi="Times New Roman" w:cs="Times New Roman"/>
          <w:color w:val="000000" w:themeColor="text1"/>
          <w:kern w:val="0"/>
          <w:lang w:val="en-US"/>
          <w14:ligatures w14:val="none"/>
        </w:rPr>
        <w:t xml:space="preserve"> (Table 2)</w:t>
      </w:r>
      <w:r w:rsidRPr="00834ABA">
        <w:rPr>
          <w:rFonts w:ascii="Times New Roman" w:eastAsia="Times New Roman" w:hAnsi="Times New Roman" w:cs="Times New Roman"/>
          <w:color w:val="000000" w:themeColor="text1"/>
          <w:kern w:val="0"/>
          <w:lang w:val="en-US"/>
          <w14:ligatures w14:val="none"/>
        </w:rPr>
        <w:t>.</w:t>
      </w:r>
    </w:p>
    <w:p w14:paraId="3F5FE545" w14:textId="003B6B1D"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Microbiological confirmation of </w:t>
      </w:r>
      <w:r w:rsidRPr="00834ABA">
        <w:rPr>
          <w:rFonts w:ascii="Times New Roman" w:eastAsia="Times New Roman" w:hAnsi="Times New Roman" w:cs="Times New Roman"/>
          <w:i/>
          <w:color w:val="000000" w:themeColor="text1"/>
          <w:kern w:val="0"/>
          <w:lang w:val="en-US"/>
          <w14:ligatures w14:val="none"/>
        </w:rPr>
        <w:t>Mycobacterium tuberculosis</w:t>
      </w:r>
      <w:r w:rsidRPr="00834ABA">
        <w:rPr>
          <w:rFonts w:ascii="Times New Roman" w:eastAsia="Times New Roman" w:hAnsi="Times New Roman" w:cs="Times New Roman"/>
          <w:color w:val="000000" w:themeColor="text1"/>
          <w:kern w:val="0"/>
          <w:lang w:val="en-US"/>
          <w14:ligatures w14:val="none"/>
        </w:rPr>
        <w:t xml:space="preserve"> infection was obtained in 48 patients, representing 50% of the study population. Among the 22 sputum samples analyzed, microscopy was positive in 14 patients (63.63%). Xpert MTB/RIF testing identified the </w:t>
      </w:r>
      <w:r w:rsidR="00FF084F" w:rsidRPr="00834ABA">
        <w:rPr>
          <w:rFonts w:ascii="Times New Roman" w:eastAsia="Times New Roman" w:hAnsi="Times New Roman" w:cs="Times New Roman"/>
          <w:color w:val="000000" w:themeColor="text1"/>
          <w:kern w:val="0"/>
          <w:lang w:val="en-US"/>
          <w14:ligatures w14:val="none"/>
        </w:rPr>
        <w:t>bacilli</w:t>
      </w:r>
      <w:r w:rsidRPr="00834ABA">
        <w:rPr>
          <w:rFonts w:ascii="Times New Roman" w:eastAsia="Times New Roman" w:hAnsi="Times New Roman" w:cs="Times New Roman"/>
          <w:color w:val="000000" w:themeColor="text1"/>
          <w:kern w:val="0"/>
          <w:lang w:val="en-US"/>
          <w14:ligatures w14:val="none"/>
        </w:rPr>
        <w:t xml:space="preserve"> in 64.44% of respiratory samples (29/45) and 38.89% of cerebrospinal fluid samples (7/18).</w:t>
      </w:r>
    </w:p>
    <w:p w14:paraId="5CEB5983" w14:textId="74DEAF51" w:rsidR="00747B91" w:rsidRPr="00834ABA" w:rsidRDefault="00747B91" w:rsidP="006E58D1">
      <w:pPr>
        <w:pStyle w:val="Heading2"/>
        <w:rPr>
          <w:color w:val="000000" w:themeColor="text1"/>
          <w:lang w:val="en-US"/>
        </w:rPr>
      </w:pPr>
      <w:r w:rsidRPr="00834ABA">
        <w:rPr>
          <w:color w:val="000000" w:themeColor="text1"/>
          <w:lang w:val="en-US"/>
        </w:rPr>
        <w:t xml:space="preserve">Radiological Findings  </w:t>
      </w:r>
    </w:p>
    <w:p w14:paraId="4BD5E170" w14:textId="43D23E18"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Of the 96 cases, a miliary pattern was observed on standard chest </w:t>
      </w:r>
      <w:r w:rsidR="00CD5E18">
        <w:rPr>
          <w:rFonts w:ascii="Times New Roman" w:eastAsia="Times New Roman" w:hAnsi="Times New Roman" w:cs="Times New Roman"/>
          <w:color w:val="000000" w:themeColor="text1"/>
          <w:kern w:val="0"/>
          <w:lang w:val="en-US"/>
          <w14:ligatures w14:val="none"/>
        </w:rPr>
        <w:t>X-ray</w:t>
      </w:r>
      <w:r w:rsidRPr="00834ABA">
        <w:rPr>
          <w:rFonts w:ascii="Times New Roman" w:eastAsia="Times New Roman" w:hAnsi="Times New Roman" w:cs="Times New Roman"/>
          <w:color w:val="000000" w:themeColor="text1"/>
          <w:kern w:val="0"/>
          <w:lang w:val="en-US"/>
          <w14:ligatures w14:val="none"/>
        </w:rPr>
        <w:t xml:space="preserve"> in 90 patients and on </w:t>
      </w:r>
      <w:r w:rsidR="00A76E1F" w:rsidRPr="00834ABA">
        <w:rPr>
          <w:rFonts w:ascii="Times New Roman" w:eastAsia="Times New Roman" w:hAnsi="Times New Roman" w:cs="Times New Roman"/>
          <w:color w:val="000000" w:themeColor="text1"/>
          <w:kern w:val="0"/>
          <w:lang w:val="en-US"/>
          <w14:ligatures w14:val="none"/>
        </w:rPr>
        <w:t xml:space="preserve">chest </w:t>
      </w:r>
      <w:r w:rsidRPr="00834ABA">
        <w:rPr>
          <w:rFonts w:ascii="Times New Roman" w:eastAsia="Times New Roman" w:hAnsi="Times New Roman" w:cs="Times New Roman"/>
          <w:color w:val="000000" w:themeColor="text1"/>
          <w:kern w:val="0"/>
          <w:lang w:val="en-US"/>
          <w14:ligatures w14:val="none"/>
        </w:rPr>
        <w:t>computed tomography (CT)</w:t>
      </w:r>
      <w:r w:rsidR="000740A6"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in 6 patients.</w:t>
      </w:r>
    </w:p>
    <w:p w14:paraId="62D0069A" w14:textId="7C4D22F6"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Among the 41 abdominal ultrasounds performed, the main abnormalities observed were abdominal lymphadenopathy (39.47%), hepatomegaly (31.25%), ascites (31.71%), and splenomegaly (26.83%).</w:t>
      </w:r>
      <w:r w:rsidR="00612A65"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Regarding brain CT scans performed in 13 patients, cerebral ischemic lesions were observed in 8.70% of cases, intracranial </w:t>
      </w:r>
      <w:r w:rsidR="00F7438A" w:rsidRPr="00834ABA">
        <w:rPr>
          <w:rFonts w:ascii="Times New Roman" w:eastAsia="Times New Roman" w:hAnsi="Times New Roman" w:cs="Times New Roman"/>
          <w:color w:val="000000" w:themeColor="text1"/>
          <w:kern w:val="0"/>
          <w:lang w:val="en-US"/>
          <w14:ligatures w14:val="none"/>
        </w:rPr>
        <w:t>hemorrhage</w:t>
      </w:r>
      <w:r w:rsidRPr="00834ABA">
        <w:rPr>
          <w:rFonts w:ascii="Times New Roman" w:eastAsia="Times New Roman" w:hAnsi="Times New Roman" w:cs="Times New Roman"/>
          <w:color w:val="000000" w:themeColor="text1"/>
          <w:kern w:val="0"/>
          <w:lang w:val="en-US"/>
          <w14:ligatures w14:val="none"/>
        </w:rPr>
        <w:t xml:space="preserve"> in 7.25%, hydrocephalus in 5.80%, and meningoencephalitis in 2.90%.</w:t>
      </w:r>
      <w:r w:rsidR="00612A65"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Spinal CT scans, performed in 22 patients, revealed spondylodiscitis in 1.41%, </w:t>
      </w:r>
      <w:proofErr w:type="spellStart"/>
      <w:r w:rsidRPr="00834ABA">
        <w:rPr>
          <w:rFonts w:ascii="Times New Roman" w:eastAsia="Times New Roman" w:hAnsi="Times New Roman" w:cs="Times New Roman"/>
          <w:color w:val="000000" w:themeColor="text1"/>
          <w:kern w:val="0"/>
          <w:lang w:val="en-US"/>
          <w14:ligatures w14:val="none"/>
        </w:rPr>
        <w:t>epiduritis</w:t>
      </w:r>
      <w:proofErr w:type="spellEnd"/>
      <w:r w:rsidRPr="00834ABA">
        <w:rPr>
          <w:rFonts w:ascii="Times New Roman" w:eastAsia="Times New Roman" w:hAnsi="Times New Roman" w:cs="Times New Roman"/>
          <w:color w:val="000000" w:themeColor="text1"/>
          <w:kern w:val="0"/>
          <w:lang w:val="en-US"/>
          <w14:ligatures w14:val="none"/>
        </w:rPr>
        <w:t xml:space="preserve"> in 2%, and </w:t>
      </w:r>
      <w:r w:rsidR="00C904C3" w:rsidRPr="00834ABA">
        <w:rPr>
          <w:rFonts w:ascii="Times New Roman" w:eastAsia="Times New Roman" w:hAnsi="Times New Roman" w:cs="Times New Roman"/>
          <w:color w:val="000000" w:themeColor="text1"/>
          <w:kern w:val="0"/>
          <w:lang w:val="en-US"/>
          <w14:ligatures w14:val="none"/>
        </w:rPr>
        <w:t>osteolytic lesions</w:t>
      </w:r>
      <w:r w:rsidRPr="00834ABA">
        <w:rPr>
          <w:rFonts w:ascii="Times New Roman" w:eastAsia="Times New Roman" w:hAnsi="Times New Roman" w:cs="Times New Roman"/>
          <w:color w:val="000000" w:themeColor="text1"/>
          <w:kern w:val="0"/>
          <w:lang w:val="en-US"/>
          <w14:ligatures w14:val="none"/>
        </w:rPr>
        <w:t xml:space="preserve"> in 2% of cases.</w:t>
      </w:r>
      <w:r w:rsidR="000B370B"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Finally, among the 18 thoracic CT scans performed, pulmonary embolism was identified in 11.54% of cases</w:t>
      </w:r>
      <w:r w:rsidR="00CE6569">
        <w:rPr>
          <w:rFonts w:ascii="Times New Roman" w:eastAsia="Times New Roman" w:hAnsi="Times New Roman" w:cs="Times New Roman"/>
          <w:color w:val="000000" w:themeColor="text1"/>
          <w:kern w:val="0"/>
          <w:lang w:val="en-US"/>
          <w14:ligatures w14:val="none"/>
        </w:rPr>
        <w:t xml:space="preserve"> </w:t>
      </w:r>
      <w:r w:rsidR="00D0709E">
        <w:rPr>
          <w:rFonts w:ascii="Times New Roman" w:eastAsia="Times New Roman" w:hAnsi="Times New Roman" w:cs="Times New Roman"/>
          <w:color w:val="000000" w:themeColor="text1"/>
          <w:kern w:val="0"/>
          <w:lang w:val="en-US"/>
          <w14:ligatures w14:val="none"/>
        </w:rPr>
        <w:t>(T</w:t>
      </w:r>
      <w:r w:rsidR="00CE6569">
        <w:rPr>
          <w:rFonts w:ascii="Times New Roman" w:eastAsia="Times New Roman" w:hAnsi="Times New Roman" w:cs="Times New Roman"/>
          <w:color w:val="000000" w:themeColor="text1"/>
          <w:kern w:val="0"/>
          <w:lang w:val="en-US"/>
          <w14:ligatures w14:val="none"/>
        </w:rPr>
        <w:t>able 3</w:t>
      </w:r>
      <w:r w:rsidR="00D0709E">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w:t>
      </w:r>
    </w:p>
    <w:p w14:paraId="619A260C" w14:textId="580B98AE" w:rsidR="00747B91" w:rsidRPr="00834ABA" w:rsidRDefault="00747B91" w:rsidP="006E58D1">
      <w:pPr>
        <w:pStyle w:val="Heading2"/>
        <w:rPr>
          <w:color w:val="000000" w:themeColor="text1"/>
          <w:lang w:val="en-US"/>
        </w:rPr>
      </w:pPr>
      <w:r w:rsidRPr="00834ABA">
        <w:rPr>
          <w:color w:val="000000" w:themeColor="text1"/>
          <w:lang w:val="en-US"/>
        </w:rPr>
        <w:lastRenderedPageBreak/>
        <w:t xml:space="preserve">Therapeutic </w:t>
      </w:r>
      <w:r w:rsidR="00304436" w:rsidRPr="00834ABA">
        <w:rPr>
          <w:color w:val="000000" w:themeColor="text1"/>
          <w:lang w:val="en-US"/>
        </w:rPr>
        <w:t>a</w:t>
      </w:r>
      <w:r w:rsidRPr="00834ABA">
        <w:rPr>
          <w:color w:val="000000" w:themeColor="text1"/>
          <w:lang w:val="en-US"/>
        </w:rPr>
        <w:t xml:space="preserve">spects </w:t>
      </w:r>
      <w:r w:rsidR="00304436" w:rsidRPr="00834ABA">
        <w:rPr>
          <w:color w:val="000000" w:themeColor="text1"/>
          <w:lang w:val="en-US"/>
        </w:rPr>
        <w:t>and outcomes</w:t>
      </w:r>
    </w:p>
    <w:p w14:paraId="3A66BA75" w14:textId="3C9A6605" w:rsidR="00747B91" w:rsidRPr="00834ABA" w:rsidRDefault="00834ABA" w:rsidP="00304436">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All patients received anti-tuberculosis therapy based on RHZE, combined with vitamin B6 supplementation. Approximately 81.28% of patients received adjunctive corticosteroid therapy due to respiratory failure or meningeal/neurological involvement</w:t>
      </w:r>
      <w:r w:rsidR="00747B91" w:rsidRPr="00834ABA">
        <w:rPr>
          <w:rFonts w:ascii="Times New Roman" w:eastAsia="Times New Roman" w:hAnsi="Times New Roman" w:cs="Times New Roman"/>
          <w:color w:val="000000" w:themeColor="text1"/>
          <w:kern w:val="0"/>
          <w:lang w:val="en-US"/>
          <w14:ligatures w14:val="none"/>
        </w:rPr>
        <w:t>.</w:t>
      </w:r>
    </w:p>
    <w:p w14:paraId="6DB71B20" w14:textId="120BDE18" w:rsidR="00747B91" w:rsidRPr="00834ABA" w:rsidRDefault="00747B91" w:rsidP="00747B91">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The median duration of hospitalization was 11 days, with an IQR of 4–21 days. During the study period, 37 patients died, corresponding to a hospital case fatality rate of 38.54%.</w:t>
      </w:r>
    </w:p>
    <w:p w14:paraId="1131EEA9" w14:textId="004D0BF1" w:rsidR="00706389" w:rsidRPr="00834ABA" w:rsidRDefault="00706389" w:rsidP="00706389">
      <w:pPr>
        <w:pStyle w:val="Heading1"/>
        <w:rPr>
          <w:color w:val="000000" w:themeColor="text1"/>
          <w:lang w:val="en-US"/>
        </w:rPr>
      </w:pPr>
      <w:r w:rsidRPr="00834ABA">
        <w:rPr>
          <w:color w:val="000000" w:themeColor="text1"/>
          <w:lang w:val="en-US"/>
        </w:rPr>
        <w:t>Discussion</w:t>
      </w:r>
    </w:p>
    <w:p w14:paraId="4E5810F2" w14:textId="39766DF3" w:rsidR="00706389" w:rsidRPr="00834ABA" w:rsidRDefault="00706389" w:rsidP="00706389">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We conducted an observational, retrospective, and descriptive study involving 96 cases of miliary tuberculosis. In our study, the median age was 37 years (IQR [28–45]). The most represented age group was between 20 and 50 years. Similar results have been reported in numerous studies from other African countries, where </w:t>
      </w:r>
      <w:r w:rsidR="00F711E0" w:rsidRPr="00834ABA">
        <w:rPr>
          <w:rFonts w:ascii="Times New Roman" w:eastAsia="Times New Roman" w:hAnsi="Times New Roman" w:cs="Times New Roman"/>
          <w:color w:val="000000" w:themeColor="text1"/>
          <w:kern w:val="0"/>
          <w:lang w:val="en-US"/>
          <w14:ligatures w14:val="none"/>
        </w:rPr>
        <w:t>most</w:t>
      </w:r>
      <w:r w:rsidRPr="00834ABA">
        <w:rPr>
          <w:rFonts w:ascii="Times New Roman" w:eastAsia="Times New Roman" w:hAnsi="Times New Roman" w:cs="Times New Roman"/>
          <w:color w:val="000000" w:themeColor="text1"/>
          <w:kern w:val="0"/>
          <w:lang w:val="en-US"/>
          <w14:ligatures w14:val="none"/>
        </w:rPr>
        <w:t xml:space="preserve"> patients fall within the 20–50 age range [6,8,15]. These findings highlight that in Africa, tuberculosis predominantly affects young adults, who represent the economically active population of our countries. However, in the Middle East, a study conducted in Saudi Arabia showed that most patients were over 60 years old [16]. In Europe, a study in Spain reported that patients were generally older than 50 years [17]. A clear male predominance was observed in our study, with a male-to-female sex ratio of 1.46. Similar findings have been reported in another study in Senegal [15] and in Tunisia [6]. Conversely, a female predominance has been described in Algeria and Morocco [8,5].</w:t>
      </w:r>
    </w:p>
    <w:p w14:paraId="238F01FC" w14:textId="154C5212" w:rsidR="00706389" w:rsidRPr="00834ABA" w:rsidRDefault="00706389" w:rsidP="00706389">
      <w:pPr>
        <w:spacing w:after="80" w:line="360" w:lineRule="auto"/>
        <w:rPr>
          <w:rFonts w:ascii="Times New Roman" w:eastAsia="Times New Roman" w:hAnsi="Times New Roman" w:cs="Times New Roman"/>
          <w:color w:val="000000" w:themeColor="text1"/>
          <w:kern w:val="0"/>
          <w:lang w:val="en-US"/>
          <w14:ligatures w14:val="none"/>
        </w:rPr>
      </w:pPr>
      <w:r w:rsidRPr="007601C3">
        <w:rPr>
          <w:rFonts w:ascii="Times New Roman" w:eastAsia="Times New Roman" w:hAnsi="Times New Roman" w:cs="Times New Roman"/>
          <w:color w:val="000000" w:themeColor="text1"/>
          <w:kern w:val="0"/>
          <w:lang w:val="en-GB"/>
          <w14:ligatures w14:val="none"/>
        </w:rPr>
        <w:t xml:space="preserve">In our study, the most common comorbidity was HIV infection, present in 48% of cases. </w:t>
      </w:r>
      <w:r w:rsidR="007601C3" w:rsidRPr="007601C3">
        <w:rPr>
          <w:rFonts w:ascii="Times New Roman" w:eastAsia="Times New Roman" w:hAnsi="Times New Roman" w:cs="Times New Roman"/>
          <w:color w:val="000000" w:themeColor="text1"/>
          <w:kern w:val="0"/>
          <w:lang w:val="en-GB"/>
          <w14:ligatures w14:val="none"/>
        </w:rPr>
        <w:t>I</w:t>
      </w:r>
      <w:r w:rsidR="009C4C4E" w:rsidRPr="007601C3">
        <w:rPr>
          <w:rFonts w:ascii="Times New Roman" w:eastAsia="Times New Roman" w:hAnsi="Times New Roman" w:cs="Times New Roman"/>
          <w:color w:val="000000" w:themeColor="text1"/>
          <w:kern w:val="0"/>
          <w:lang w:val="en-GB"/>
          <w14:ligatures w14:val="none"/>
        </w:rPr>
        <w:t xml:space="preserve">ndeed, our department serves as a referral </w:t>
      </w:r>
      <w:r w:rsidR="00DC5193">
        <w:rPr>
          <w:rFonts w:ascii="Times New Roman" w:eastAsia="Times New Roman" w:hAnsi="Times New Roman" w:cs="Times New Roman"/>
          <w:color w:val="000000" w:themeColor="text1"/>
          <w:kern w:val="0"/>
          <w:lang w:val="en-GB"/>
          <w14:ligatures w14:val="none"/>
        </w:rPr>
        <w:t>hospital</w:t>
      </w:r>
      <w:r w:rsidR="009C4C4E" w:rsidRPr="007601C3">
        <w:rPr>
          <w:rFonts w:ascii="Times New Roman" w:eastAsia="Times New Roman" w:hAnsi="Times New Roman" w:cs="Times New Roman"/>
          <w:color w:val="000000" w:themeColor="text1"/>
          <w:kern w:val="0"/>
          <w:lang w:val="en-GB"/>
          <w14:ligatures w14:val="none"/>
        </w:rPr>
        <w:t xml:space="preserve"> for the management of HIV infection. </w:t>
      </w:r>
      <w:r w:rsidRPr="007601C3">
        <w:rPr>
          <w:rFonts w:ascii="Times New Roman" w:eastAsia="Times New Roman" w:hAnsi="Times New Roman" w:cs="Times New Roman"/>
          <w:color w:val="000000" w:themeColor="text1"/>
          <w:kern w:val="0"/>
          <w:lang w:val="en-GB"/>
          <w14:ligatures w14:val="none"/>
        </w:rPr>
        <w:t>Comparable results showing a high proportion of HIV-positive patients have been reported in other African studies: 32% in Senegal [15], 54.41% in Côte</w:t>
      </w:r>
      <w:r w:rsidRPr="00834ABA">
        <w:rPr>
          <w:rFonts w:ascii="Times New Roman" w:eastAsia="Times New Roman" w:hAnsi="Times New Roman" w:cs="Times New Roman"/>
          <w:color w:val="000000" w:themeColor="text1"/>
          <w:kern w:val="0"/>
          <w:lang w:val="en-US"/>
          <w14:ligatures w14:val="none"/>
        </w:rPr>
        <w:t xml:space="preserve"> d’Ivoire [19], 58.4% in Cameroon [20], and 23.38% in Mali [21]. Major reviews confirm the impact of HIV on the epidemiology of miliary tuberculosis. Advanced-stage immunosuppression plays a role in increasing the frequency of miliary forms and altering their epidemiological profile [22]. The epidemiology and clinical presentation of miliary tuberculosis have been strongly influenced by the HIV pandemic [23]. In contrast, lower prevalence rates have been observed in studies conducted in other countries, with 4.17% in China [24] and 6% in the United Kingdom [25]. In these latter studies, immunosuppressive treatments and diabetes mellitus were the most frequently identified predisposing factors.</w:t>
      </w:r>
    </w:p>
    <w:p w14:paraId="404BF3DE" w14:textId="43411220" w:rsidR="00706389" w:rsidRPr="00834ABA" w:rsidRDefault="00706389" w:rsidP="00706389">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lastRenderedPageBreak/>
        <w:t xml:space="preserve">The median diagnostic delay was 90 days (IQR: 20–71 days). Overall, we observed a significant delay in diagnosis. In Africa, the diagnosis of miliary tuberculosis is often late due to nonspecific clinical signs, frequently confused with other endemic infections such as malaria or bacterial sepsis. Additional socioeconomic factors, such as delayed healthcare-seeking and self-medication, also contribute. Fever (86.68%) and </w:t>
      </w:r>
      <w:r w:rsidR="007F629E" w:rsidRPr="00834ABA">
        <w:rPr>
          <w:rFonts w:ascii="Times New Roman" w:hAnsi="Times New Roman" w:cs="Times New Roman"/>
          <w:color w:val="000000" w:themeColor="text1"/>
          <w:lang w:val="en-US"/>
        </w:rPr>
        <w:t>generalized weakness</w:t>
      </w:r>
      <w:r w:rsidR="007F629E"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(97.92%) were the most common general signs. These findings are consistent with those reported in the literature: in Cameroon [20], weight loss (85.7%) and fever (72.6%); in Côte d’Ivoire [19], fever and weight loss in 98.52% and 73.53% of cases, respectively; and in China, fever and </w:t>
      </w:r>
      <w:r w:rsidR="00A71DAB" w:rsidRPr="00834ABA">
        <w:rPr>
          <w:rFonts w:ascii="Times New Roman" w:eastAsia="Times New Roman" w:hAnsi="Times New Roman" w:cs="Times New Roman"/>
          <w:color w:val="000000" w:themeColor="text1"/>
          <w:kern w:val="0"/>
          <w:lang w:val="en-US"/>
          <w14:ligatures w14:val="none"/>
        </w:rPr>
        <w:t>generalized weakness</w:t>
      </w:r>
      <w:r w:rsidRPr="00834ABA">
        <w:rPr>
          <w:rFonts w:ascii="Times New Roman" w:eastAsia="Times New Roman" w:hAnsi="Times New Roman" w:cs="Times New Roman"/>
          <w:color w:val="000000" w:themeColor="text1"/>
          <w:kern w:val="0"/>
          <w:lang w:val="en-US"/>
          <w14:ligatures w14:val="none"/>
        </w:rPr>
        <w:t xml:space="preserve"> in 88.54% of cases [24]. Fever is explained by pyrogenic cytokines, antigenic load, and caseous necrosis phenomena associated with granulomas [26].</w:t>
      </w:r>
    </w:p>
    <w:p w14:paraId="3CD764E3" w14:textId="4B45BFE9" w:rsidR="00706389" w:rsidRPr="00834ABA" w:rsidRDefault="00706389" w:rsidP="00706389">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In our study, clinical signs were predominantly pulmonary (53.13%), followed by neurological (39.58%) a</w:t>
      </w:r>
      <w:r w:rsidR="009F12C3" w:rsidRPr="00834ABA">
        <w:rPr>
          <w:rFonts w:ascii="Times New Roman" w:eastAsia="Times New Roman" w:hAnsi="Times New Roman" w:cs="Times New Roman"/>
          <w:color w:val="000000" w:themeColor="text1"/>
          <w:kern w:val="0"/>
          <w:lang w:val="en-US"/>
          <w14:ligatures w14:val="none"/>
        </w:rPr>
        <w:t xml:space="preserve">nd </w:t>
      </w:r>
      <w:r w:rsidR="009F12C3" w:rsidRPr="00834ABA">
        <w:rPr>
          <w:rFonts w:ascii="Times New Roman" w:hAnsi="Times New Roman" w:cs="Times New Roman"/>
          <w:color w:val="000000" w:themeColor="text1"/>
          <w:lang w:val="en-US"/>
        </w:rPr>
        <w:t>lymphoreticular (splenic and lymph node)</w:t>
      </w:r>
      <w:r w:rsidR="009F12C3"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(34.38%). The predominance of pulmonary signs has also been reported in studies from Côte d’Ivoire [19], Cameroon [20], Mali [21], and China [24]. The main pulmonary signs observed were cough (48.88%) and </w:t>
      </w:r>
      <w:r w:rsidR="00161164" w:rsidRPr="00834ABA">
        <w:rPr>
          <w:rFonts w:ascii="Times New Roman" w:eastAsia="Times New Roman" w:hAnsi="Times New Roman" w:cs="Times New Roman"/>
          <w:color w:val="000000" w:themeColor="text1"/>
          <w:kern w:val="0"/>
          <w:lang w:val="en-US"/>
          <w14:ligatures w14:val="none"/>
        </w:rPr>
        <w:t>dyspnea</w:t>
      </w:r>
      <w:r w:rsidRPr="00834ABA">
        <w:rPr>
          <w:rFonts w:ascii="Times New Roman" w:eastAsia="Times New Roman" w:hAnsi="Times New Roman" w:cs="Times New Roman"/>
          <w:color w:val="000000" w:themeColor="text1"/>
          <w:kern w:val="0"/>
          <w:lang w:val="en-US"/>
          <w14:ligatures w14:val="none"/>
        </w:rPr>
        <w:t xml:space="preserve"> (27.08%). Similar findings have been reported in Morocco [8], with cough in 94% of cases and </w:t>
      </w:r>
      <w:r w:rsidR="00161164" w:rsidRPr="00834ABA">
        <w:rPr>
          <w:rFonts w:ascii="Times New Roman" w:eastAsia="Times New Roman" w:hAnsi="Times New Roman" w:cs="Times New Roman"/>
          <w:color w:val="000000" w:themeColor="text1"/>
          <w:kern w:val="0"/>
          <w:lang w:val="en-US"/>
          <w14:ligatures w14:val="none"/>
        </w:rPr>
        <w:t xml:space="preserve">dyspnea </w:t>
      </w:r>
      <w:r w:rsidRPr="00834ABA">
        <w:rPr>
          <w:rFonts w:ascii="Times New Roman" w:eastAsia="Times New Roman" w:hAnsi="Times New Roman" w:cs="Times New Roman"/>
          <w:color w:val="000000" w:themeColor="text1"/>
          <w:kern w:val="0"/>
          <w:lang w:val="en-US"/>
          <w14:ligatures w14:val="none"/>
        </w:rPr>
        <w:t>in 78%, and in Turkey, with cough in 60% and dyspnea in 30% of cases [27]. In our study, the most frequent extrapulmonary manifestations were neurological, as also reported in other studies [24,27,28]. In a study conducted in China, nearly all (87.59%) patients with miliary tuberculosis who underwent screening for central nervous system involvement presented with neurological localization [29]. Therefore, systematic screening for neurological involvement should be strongly recommended for all patients with miliary tuberculosis.</w:t>
      </w:r>
    </w:p>
    <w:p w14:paraId="2E463F1E" w14:textId="29079D9D" w:rsidR="00706389" w:rsidRPr="00834ABA" w:rsidRDefault="00706389" w:rsidP="00706389">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We found anemia in 30</w:t>
      </w:r>
      <w:r w:rsidR="00CD5E18" w:rsidRPr="00834ABA">
        <w:rPr>
          <w:rFonts w:ascii="Times New Roman" w:eastAsia="Times New Roman" w:hAnsi="Times New Roman" w:cs="Times New Roman"/>
          <w:color w:val="000000" w:themeColor="text1"/>
          <w:kern w:val="0"/>
          <w:lang w:val="en-US"/>
          <w14:ligatures w14:val="none"/>
        </w:rPr>
        <w:t>%</w:t>
      </w:r>
      <w:r w:rsidRPr="00834ABA">
        <w:rPr>
          <w:rFonts w:ascii="Times New Roman" w:eastAsia="Times New Roman" w:hAnsi="Times New Roman" w:cs="Times New Roman"/>
          <w:color w:val="000000" w:themeColor="text1"/>
          <w:kern w:val="0"/>
          <w:lang w:val="en-US"/>
          <w14:ligatures w14:val="none"/>
        </w:rPr>
        <w:t xml:space="preserve"> cases, thrombocytopenia in 15%, leukopenia in 13%, and pancytopenia in 8%. Various hematological abnormalities have been described in patients with tuberculosis infection, including anemia, leukopenia, neutropenia, lymphopenia, thrombocytopenia, and even pancytopenia [30]. </w:t>
      </w:r>
      <w:r w:rsidR="00F663B8" w:rsidRPr="00834ABA">
        <w:rPr>
          <w:rFonts w:ascii="Times New Roman" w:hAnsi="Times New Roman" w:cs="Times New Roman"/>
          <w:color w:val="000000" w:themeColor="text1"/>
          <w:lang w:val="en-US"/>
        </w:rPr>
        <w:t>Several factors may explain these hematologic abnormalities, including hypersplenism, histiocytic hyperplasia, maturation arrest of hematopoietic cells, and bone marrow infiltration by tuberculous granulomas, which may result in reversible or irreversible fibrosis</w:t>
      </w:r>
      <w:r w:rsidR="00F663B8"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[31–33]. </w:t>
      </w:r>
      <w:r w:rsidR="00F663B8" w:rsidRPr="00834ABA">
        <w:rPr>
          <w:rFonts w:ascii="Times New Roman" w:eastAsia="Times New Roman" w:hAnsi="Times New Roman" w:cs="Times New Roman"/>
          <w:color w:val="000000" w:themeColor="text1"/>
          <w:kern w:val="0"/>
          <w:lang w:val="en-US"/>
          <w14:ligatures w14:val="none"/>
        </w:rPr>
        <w:t>Hepatocellular injury</w:t>
      </w:r>
      <w:r w:rsidRPr="00834ABA">
        <w:rPr>
          <w:rFonts w:ascii="Times New Roman" w:eastAsia="Times New Roman" w:hAnsi="Times New Roman" w:cs="Times New Roman"/>
          <w:color w:val="000000" w:themeColor="text1"/>
          <w:kern w:val="0"/>
          <w:lang w:val="en-US"/>
          <w14:ligatures w14:val="none"/>
        </w:rPr>
        <w:t xml:space="preserve"> was observed in 42.31% of cases. Similar findings were reported in Turkey, with elevated </w:t>
      </w:r>
      <w:r w:rsidR="00C77B78" w:rsidRPr="00834ABA">
        <w:rPr>
          <w:rFonts w:ascii="Times New Roman" w:eastAsia="Times New Roman" w:hAnsi="Times New Roman" w:cs="Times New Roman"/>
          <w:color w:val="000000" w:themeColor="text1"/>
          <w:kern w:val="0"/>
          <w:lang w:val="en-US"/>
          <w14:ligatures w14:val="none"/>
        </w:rPr>
        <w:t>AST and ALT levels</w:t>
      </w:r>
      <w:r w:rsidRPr="00834ABA">
        <w:rPr>
          <w:rFonts w:ascii="Times New Roman" w:eastAsia="Times New Roman" w:hAnsi="Times New Roman" w:cs="Times New Roman"/>
          <w:color w:val="000000" w:themeColor="text1"/>
          <w:kern w:val="0"/>
          <w:lang w:val="en-US"/>
          <w14:ligatures w14:val="none"/>
        </w:rPr>
        <w:t xml:space="preserve"> in 38% of patients [27]. In our study, patients had predominantly elevated CRP levels, </w:t>
      </w:r>
      <w:r w:rsidRPr="00834ABA">
        <w:rPr>
          <w:rFonts w:ascii="Times New Roman" w:eastAsia="Times New Roman" w:hAnsi="Times New Roman" w:cs="Times New Roman"/>
          <w:color w:val="000000" w:themeColor="text1"/>
          <w:kern w:val="0"/>
          <w:lang w:val="en-US"/>
          <w14:ligatures w14:val="none"/>
        </w:rPr>
        <w:lastRenderedPageBreak/>
        <w:t>with a median of 108 mg/L. Comparable results have been reported in other studies, particularly in severe forms [24,25,34].</w:t>
      </w:r>
    </w:p>
    <w:p w14:paraId="57F035E4" w14:textId="0A58ABE0" w:rsidR="00706389" w:rsidRPr="00834ABA" w:rsidRDefault="00706389" w:rsidP="00706389">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 xml:space="preserve">In our study, tuberculosis was confirmed in 50% of cases. </w:t>
      </w:r>
      <w:r w:rsidR="003E0328" w:rsidRPr="00834ABA">
        <w:rPr>
          <w:rFonts w:ascii="Times New Roman" w:hAnsi="Times New Roman" w:cs="Times New Roman"/>
          <w:color w:val="000000" w:themeColor="text1"/>
          <w:lang w:val="en-US"/>
        </w:rPr>
        <w:t>Microscopy was positive in 63.6</w:t>
      </w:r>
      <w:r w:rsidR="00630E93" w:rsidRPr="00834ABA">
        <w:rPr>
          <w:rFonts w:ascii="Times New Roman" w:hAnsi="Times New Roman" w:cs="Times New Roman"/>
          <w:color w:val="000000" w:themeColor="text1"/>
          <w:lang w:val="en-US"/>
        </w:rPr>
        <w:t>3</w:t>
      </w:r>
      <w:r w:rsidR="003E0328" w:rsidRPr="00834ABA">
        <w:rPr>
          <w:rFonts w:ascii="Times New Roman" w:hAnsi="Times New Roman" w:cs="Times New Roman"/>
          <w:color w:val="000000" w:themeColor="text1"/>
          <w:lang w:val="en-US"/>
        </w:rPr>
        <w:t xml:space="preserve">% (14/22) of respiratory samples, while Xpert MTB/RIF detected </w:t>
      </w:r>
      <w:r w:rsidR="003E0328" w:rsidRPr="00834ABA">
        <w:rPr>
          <w:rStyle w:val="Emphasis"/>
          <w:rFonts w:ascii="Times New Roman" w:hAnsi="Times New Roman" w:cs="Times New Roman"/>
          <w:color w:val="000000" w:themeColor="text1"/>
          <w:lang w:val="en-US"/>
        </w:rPr>
        <w:t>Mycobacterium tuberculosis</w:t>
      </w:r>
      <w:r w:rsidR="003E0328" w:rsidRPr="00834ABA">
        <w:rPr>
          <w:rFonts w:ascii="Times New Roman" w:hAnsi="Times New Roman" w:cs="Times New Roman"/>
          <w:color w:val="000000" w:themeColor="text1"/>
          <w:lang w:val="en-US"/>
        </w:rPr>
        <w:t xml:space="preserve"> in 64.4</w:t>
      </w:r>
      <w:r w:rsidR="00630E93" w:rsidRPr="00834ABA">
        <w:rPr>
          <w:rFonts w:ascii="Times New Roman" w:hAnsi="Times New Roman" w:cs="Times New Roman"/>
          <w:color w:val="000000" w:themeColor="text1"/>
          <w:lang w:val="en-US"/>
        </w:rPr>
        <w:t>4</w:t>
      </w:r>
      <w:r w:rsidR="003E0328" w:rsidRPr="00834ABA">
        <w:rPr>
          <w:rFonts w:ascii="Times New Roman" w:hAnsi="Times New Roman" w:cs="Times New Roman"/>
          <w:color w:val="000000" w:themeColor="text1"/>
          <w:lang w:val="en-US"/>
        </w:rPr>
        <w:t>% (29/45) of respiratory samples and 38.</w:t>
      </w:r>
      <w:r w:rsidR="00630E93" w:rsidRPr="00834ABA">
        <w:rPr>
          <w:rFonts w:ascii="Times New Roman" w:hAnsi="Times New Roman" w:cs="Times New Roman"/>
          <w:color w:val="000000" w:themeColor="text1"/>
          <w:lang w:val="en-US"/>
        </w:rPr>
        <w:t>8</w:t>
      </w:r>
      <w:r w:rsidR="003E0328" w:rsidRPr="00834ABA">
        <w:rPr>
          <w:rFonts w:ascii="Times New Roman" w:hAnsi="Times New Roman" w:cs="Times New Roman"/>
          <w:color w:val="000000" w:themeColor="text1"/>
          <w:lang w:val="en-US"/>
        </w:rPr>
        <w:t>9% (7/18) of cerebrospinal fluid samples.</w:t>
      </w:r>
      <w:r w:rsidR="00630E93" w:rsidRPr="00834ABA">
        <w:rPr>
          <w:rFonts w:ascii="Times New Roman" w:eastAsia="Times New Roman" w:hAnsi="Times New Roman" w:cs="Times New Roman"/>
          <w:color w:val="000000" w:themeColor="text1"/>
          <w:kern w:val="0"/>
          <w:lang w:val="en-US"/>
          <w14:ligatures w14:val="none"/>
        </w:rPr>
        <w:t xml:space="preserve"> </w:t>
      </w:r>
      <w:r w:rsidRPr="00834ABA">
        <w:rPr>
          <w:rFonts w:ascii="Times New Roman" w:eastAsia="Times New Roman" w:hAnsi="Times New Roman" w:cs="Times New Roman"/>
          <w:color w:val="000000" w:themeColor="text1"/>
          <w:kern w:val="0"/>
          <w:lang w:val="en-US"/>
          <w14:ligatures w14:val="none"/>
        </w:rPr>
        <w:t xml:space="preserve">Similar results were reported in the United Kingdom, with 58% confirmed cases [25], and in Turkey, with 51% confirmed cases of miliary tuberculosis in endemic countries [27]. </w:t>
      </w:r>
      <w:r w:rsidR="0049332A" w:rsidRPr="00834ABA">
        <w:rPr>
          <w:rFonts w:ascii="Times New Roman" w:hAnsi="Times New Roman" w:cs="Times New Roman"/>
          <w:color w:val="000000" w:themeColor="text1"/>
          <w:lang w:val="en-US"/>
        </w:rPr>
        <w:t>Molecular tools, such as the Xpert MTB/RIF assay, provide significant support in the diagnosis of miliary tuberculosis; previous studies have reported higher positivity rates compared to microscopy [24,29,35]. Culture remains the gold standard for tuberculosis diagnosis [36], but it was not performed in our patients in this study</w:t>
      </w:r>
      <w:r w:rsidRPr="00834ABA">
        <w:rPr>
          <w:rFonts w:ascii="Times New Roman" w:eastAsia="Times New Roman" w:hAnsi="Times New Roman" w:cs="Times New Roman"/>
          <w:color w:val="000000" w:themeColor="text1"/>
          <w:kern w:val="0"/>
          <w:lang w:val="en-US"/>
          <w14:ligatures w14:val="none"/>
        </w:rPr>
        <w:t xml:space="preserve">. Moreover, in countries with high tuberculosis </w:t>
      </w:r>
      <w:r w:rsidR="00023F49" w:rsidRPr="00834ABA">
        <w:rPr>
          <w:rFonts w:ascii="Times New Roman" w:eastAsia="Times New Roman" w:hAnsi="Times New Roman" w:cs="Times New Roman"/>
          <w:color w:val="000000" w:themeColor="text1"/>
          <w:kern w:val="0"/>
          <w:lang w:val="en-US"/>
          <w14:ligatures w14:val="none"/>
        </w:rPr>
        <w:t>burden</w:t>
      </w:r>
      <w:r w:rsidRPr="00834ABA">
        <w:rPr>
          <w:rFonts w:ascii="Times New Roman" w:eastAsia="Times New Roman" w:hAnsi="Times New Roman" w:cs="Times New Roman"/>
          <w:color w:val="000000" w:themeColor="text1"/>
          <w:kern w:val="0"/>
          <w:lang w:val="en-US"/>
          <w14:ligatures w14:val="none"/>
        </w:rPr>
        <w:t xml:space="preserve">, a suggestive </w:t>
      </w:r>
      <w:r w:rsidR="00023F49" w:rsidRPr="00834ABA">
        <w:rPr>
          <w:rFonts w:ascii="Times New Roman" w:hAnsi="Times New Roman" w:cs="Times New Roman"/>
          <w:color w:val="000000" w:themeColor="text1"/>
          <w:lang w:val="en-US"/>
        </w:rPr>
        <w:t xml:space="preserve">radiologic and clinical </w:t>
      </w:r>
      <w:r w:rsidRPr="00834ABA">
        <w:rPr>
          <w:rFonts w:ascii="Times New Roman" w:eastAsia="Times New Roman" w:hAnsi="Times New Roman" w:cs="Times New Roman"/>
          <w:color w:val="000000" w:themeColor="text1"/>
          <w:kern w:val="0"/>
          <w:lang w:val="en-US"/>
          <w14:ligatures w14:val="none"/>
        </w:rPr>
        <w:t>presentation may be considered sufficient to establish the diagnosis and initiate treatment.</w:t>
      </w:r>
    </w:p>
    <w:p w14:paraId="59B089B8" w14:textId="5FF33C46" w:rsidR="00D1272A" w:rsidRDefault="00706389" w:rsidP="00A90D0F">
      <w:pPr>
        <w:spacing w:after="80" w:line="360" w:lineRule="auto"/>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The hospital case fatality rate was 38.54%. Similar results have been observed in sub-Saharan Africa, notably in Côte d’Ivoire (33.82%) [19], Cameroon (20.8%) [20], and Mali (38.5%) [37]. In contrast, lower percentages have been reported in northern hemisphere countries, with 13.5% in Canada [5] and 2% in the United Kingdom [25].</w:t>
      </w:r>
      <w:r w:rsidR="00A90D0F" w:rsidRPr="00834ABA">
        <w:rPr>
          <w:rFonts w:ascii="Times New Roman" w:eastAsia="Times New Roman" w:hAnsi="Times New Roman" w:cs="Times New Roman"/>
          <w:color w:val="000000" w:themeColor="text1"/>
          <w:kern w:val="0"/>
          <w:lang w:val="en-US"/>
          <w14:ligatures w14:val="none"/>
        </w:rPr>
        <w:t xml:space="preserve"> Africa is characterized by a high prevalence of TB/HIV co-infection, which remains a major </w:t>
      </w:r>
      <w:r w:rsidR="004046C0" w:rsidRPr="00834ABA">
        <w:rPr>
          <w:rFonts w:ascii="Times New Roman" w:eastAsia="Times New Roman" w:hAnsi="Times New Roman" w:cs="Times New Roman"/>
          <w:color w:val="000000" w:themeColor="text1"/>
          <w:kern w:val="0"/>
          <w:lang w:val="en-US"/>
          <w14:ligatures w14:val="none"/>
        </w:rPr>
        <w:t xml:space="preserve">determinant </w:t>
      </w:r>
      <w:r w:rsidR="0044446B" w:rsidRPr="00834ABA">
        <w:rPr>
          <w:rFonts w:ascii="Times New Roman" w:eastAsia="Times New Roman" w:hAnsi="Times New Roman" w:cs="Times New Roman"/>
          <w:color w:val="000000" w:themeColor="text1"/>
          <w:kern w:val="0"/>
          <w:lang w:val="en-US"/>
          <w14:ligatures w14:val="none"/>
        </w:rPr>
        <w:t>of</w:t>
      </w:r>
      <w:r w:rsidR="00A90D0F" w:rsidRPr="00834ABA">
        <w:rPr>
          <w:rFonts w:ascii="Times New Roman" w:eastAsia="Times New Roman" w:hAnsi="Times New Roman" w:cs="Times New Roman"/>
          <w:color w:val="000000" w:themeColor="text1"/>
          <w:kern w:val="0"/>
          <w:lang w:val="en-US"/>
          <w14:ligatures w14:val="none"/>
        </w:rPr>
        <w:t xml:space="preserve"> the epidemic and a key </w:t>
      </w:r>
      <w:r w:rsidR="004046C0" w:rsidRPr="00834ABA">
        <w:rPr>
          <w:rFonts w:ascii="Times New Roman" w:eastAsia="Times New Roman" w:hAnsi="Times New Roman" w:cs="Times New Roman"/>
          <w:color w:val="000000" w:themeColor="text1"/>
          <w:kern w:val="0"/>
          <w:lang w:val="en-US"/>
          <w14:ligatures w14:val="none"/>
        </w:rPr>
        <w:t xml:space="preserve">contributor </w:t>
      </w:r>
      <w:r w:rsidR="00A90D0F" w:rsidRPr="00834ABA">
        <w:rPr>
          <w:rFonts w:ascii="Times New Roman" w:eastAsia="Times New Roman" w:hAnsi="Times New Roman" w:cs="Times New Roman"/>
          <w:color w:val="000000" w:themeColor="text1"/>
          <w:kern w:val="0"/>
          <w:lang w:val="en-US"/>
          <w14:ligatures w14:val="none"/>
        </w:rPr>
        <w:t xml:space="preserve">to TB-related mortality [38]. In our cohort, nearly one in two patients (48.96%) </w:t>
      </w:r>
      <w:r w:rsidR="00194E04" w:rsidRPr="00834ABA">
        <w:rPr>
          <w:rFonts w:ascii="Times New Roman" w:eastAsia="Times New Roman" w:hAnsi="Times New Roman" w:cs="Times New Roman"/>
          <w:color w:val="000000" w:themeColor="text1"/>
          <w:kern w:val="0"/>
          <w:lang w:val="en-US"/>
          <w14:ligatures w14:val="none"/>
        </w:rPr>
        <w:t>were</w:t>
      </w:r>
      <w:r w:rsidR="00A90D0F" w:rsidRPr="00834ABA">
        <w:rPr>
          <w:rFonts w:ascii="Times New Roman" w:eastAsia="Times New Roman" w:hAnsi="Times New Roman" w:cs="Times New Roman"/>
          <w:color w:val="000000" w:themeColor="text1"/>
          <w:kern w:val="0"/>
          <w:lang w:val="en-US"/>
          <w14:ligatures w14:val="none"/>
        </w:rPr>
        <w:t xml:space="preserve"> infected with HIV. Studies conducted across the continent have identified HIV infection </w:t>
      </w:r>
      <w:r w:rsidR="00231DE4" w:rsidRPr="00834ABA">
        <w:rPr>
          <w:rFonts w:ascii="Times New Roman" w:eastAsia="Times New Roman" w:hAnsi="Times New Roman" w:cs="Times New Roman"/>
          <w:color w:val="000000" w:themeColor="text1"/>
          <w:kern w:val="0"/>
          <w:lang w:val="en-US"/>
          <w14:ligatures w14:val="none"/>
        </w:rPr>
        <w:t xml:space="preserve">as a </w:t>
      </w:r>
      <w:r w:rsidR="00A90D0F" w:rsidRPr="00834ABA">
        <w:rPr>
          <w:rFonts w:ascii="Times New Roman" w:eastAsia="Times New Roman" w:hAnsi="Times New Roman" w:cs="Times New Roman"/>
          <w:color w:val="000000" w:themeColor="text1"/>
          <w:kern w:val="0"/>
          <w:lang w:val="en-US"/>
          <w14:ligatures w14:val="none"/>
        </w:rPr>
        <w:t>factor associated with poor treatment outcomes [39–42]. Furthermore, evidence from African cohorts indicates that HIV infection is an independent predictor of TB-related mortality [43].</w:t>
      </w:r>
      <w:r w:rsidR="00D1272A" w:rsidRPr="00834ABA">
        <w:rPr>
          <w:rFonts w:ascii="Times New Roman" w:eastAsia="Times New Roman" w:hAnsi="Times New Roman" w:cs="Times New Roman"/>
          <w:color w:val="000000" w:themeColor="text1"/>
          <w:kern w:val="0"/>
          <w:lang w:val="en-US"/>
          <w14:ligatures w14:val="none"/>
        </w:rPr>
        <w:t xml:space="preserve"> Other factors identified in our study, such as </w:t>
      </w:r>
      <w:r w:rsidR="00B177D5" w:rsidRPr="00834ABA">
        <w:rPr>
          <w:rFonts w:ascii="Times New Roman" w:eastAsia="Times New Roman" w:hAnsi="Times New Roman" w:cs="Times New Roman"/>
          <w:color w:val="000000" w:themeColor="text1"/>
          <w:kern w:val="0"/>
          <w:lang w:val="en-US"/>
          <w14:ligatures w14:val="none"/>
        </w:rPr>
        <w:t xml:space="preserve">dyspnea </w:t>
      </w:r>
      <w:r w:rsidR="00D1272A" w:rsidRPr="00834ABA">
        <w:rPr>
          <w:rFonts w:ascii="Times New Roman" w:eastAsia="Times New Roman" w:hAnsi="Times New Roman" w:cs="Times New Roman"/>
          <w:color w:val="000000" w:themeColor="text1"/>
          <w:kern w:val="0"/>
          <w:lang w:val="en-US"/>
          <w14:ligatures w14:val="none"/>
        </w:rPr>
        <w:t xml:space="preserve">(27.08%) and altered </w:t>
      </w:r>
      <w:r w:rsidR="006F0CA3" w:rsidRPr="00834ABA">
        <w:rPr>
          <w:rFonts w:ascii="Times New Roman" w:eastAsia="Times New Roman" w:hAnsi="Times New Roman" w:cs="Times New Roman"/>
          <w:color w:val="000000" w:themeColor="text1"/>
          <w:kern w:val="0"/>
          <w:lang w:val="en-US"/>
          <w14:ligatures w14:val="none"/>
        </w:rPr>
        <w:t xml:space="preserve">level of </w:t>
      </w:r>
      <w:r w:rsidR="00D1272A" w:rsidRPr="00834ABA">
        <w:rPr>
          <w:rFonts w:ascii="Times New Roman" w:eastAsia="Times New Roman" w:hAnsi="Times New Roman" w:cs="Times New Roman"/>
          <w:color w:val="000000" w:themeColor="text1"/>
          <w:kern w:val="0"/>
          <w:lang w:val="en-US"/>
          <w14:ligatures w14:val="none"/>
        </w:rPr>
        <w:t>consciousness (18.75%), may also represent poor prognostic indicators [7,44].</w:t>
      </w:r>
    </w:p>
    <w:p w14:paraId="5D9707C9" w14:textId="01EFAACD" w:rsidR="001F5933" w:rsidRPr="00DE4C2F" w:rsidRDefault="001F5933" w:rsidP="001F5933">
      <w:pPr>
        <w:rPr>
          <w:rFonts w:ascii="Times New Roman" w:hAnsi="Times New Roman" w:cs="Times New Roman"/>
          <w:b/>
          <w:bCs/>
          <w:lang w:val="en-GB" w:bidi="ar-LY"/>
        </w:rPr>
      </w:pPr>
      <w:r w:rsidRPr="00DE4C2F">
        <w:rPr>
          <w:rFonts w:ascii="Times New Roman" w:hAnsi="Times New Roman" w:cs="Times New Roman"/>
          <w:b/>
          <w:bCs/>
          <w:lang w:val="en-GB" w:bidi="ar-LY"/>
        </w:rPr>
        <w:t xml:space="preserve">Strengths and </w:t>
      </w:r>
      <w:r w:rsidR="004619A8" w:rsidRPr="00DE4C2F">
        <w:rPr>
          <w:rFonts w:ascii="Times New Roman" w:hAnsi="Times New Roman" w:cs="Times New Roman"/>
          <w:b/>
          <w:bCs/>
          <w:lang w:val="en-GB" w:bidi="ar-LY"/>
        </w:rPr>
        <w:t>l</w:t>
      </w:r>
      <w:r w:rsidRPr="00DE4C2F">
        <w:rPr>
          <w:rFonts w:ascii="Times New Roman" w:hAnsi="Times New Roman" w:cs="Times New Roman"/>
          <w:b/>
          <w:bCs/>
          <w:lang w:val="en-GB" w:bidi="ar-LY"/>
        </w:rPr>
        <w:t xml:space="preserve">imitations </w:t>
      </w:r>
    </w:p>
    <w:p w14:paraId="0612A4D5" w14:textId="77777777" w:rsidR="001F5933" w:rsidRPr="00DE4C2F" w:rsidRDefault="001F5933" w:rsidP="001F5933">
      <w:pPr>
        <w:spacing w:after="80" w:line="360" w:lineRule="auto"/>
        <w:rPr>
          <w:rFonts w:ascii="Times New Roman" w:eastAsia="Times New Roman" w:hAnsi="Times New Roman" w:cs="Times New Roman"/>
          <w:color w:val="000000" w:themeColor="text1"/>
          <w:kern w:val="0"/>
          <w:lang w:val="en-GB" w:bidi="ar-LY"/>
          <w14:ligatures w14:val="none"/>
        </w:rPr>
      </w:pPr>
      <w:r w:rsidRPr="00DE4C2F">
        <w:rPr>
          <w:rFonts w:ascii="Times New Roman" w:eastAsia="Times New Roman" w:hAnsi="Times New Roman" w:cs="Times New Roman"/>
          <w:color w:val="000000" w:themeColor="text1"/>
          <w:kern w:val="0"/>
          <w:lang w:val="en-GB" w:bidi="ar-LY"/>
          <w14:ligatures w14:val="none"/>
        </w:rPr>
        <w:t>This study’s main strength lies in its six-year retrospective design conducted in a referral tertiary hospital, allowing a detailed description of miliary tuberculosis in a high-burden setting. The use of clinical, biological, and radiological data enhances the robustness of the findings.</w:t>
      </w:r>
    </w:p>
    <w:p w14:paraId="0505C2DD" w14:textId="6E6601A6" w:rsidR="001F5933" w:rsidRPr="00DE4C2F" w:rsidRDefault="001F5933" w:rsidP="00A90D0F">
      <w:pPr>
        <w:spacing w:after="80" w:line="360" w:lineRule="auto"/>
        <w:rPr>
          <w:rFonts w:ascii="Times New Roman" w:eastAsia="Times New Roman" w:hAnsi="Times New Roman" w:cs="Times New Roman"/>
          <w:color w:val="000000" w:themeColor="text1"/>
          <w:kern w:val="0"/>
          <w:lang w:val="en-GB" w:bidi="ar-LY"/>
          <w14:ligatures w14:val="none"/>
        </w:rPr>
      </w:pPr>
      <w:r w:rsidRPr="00DE4C2F">
        <w:rPr>
          <w:rFonts w:ascii="Times New Roman" w:eastAsia="Times New Roman" w:hAnsi="Times New Roman" w:cs="Times New Roman"/>
          <w:color w:val="000000" w:themeColor="text1"/>
          <w:kern w:val="0"/>
          <w:lang w:val="en-GB" w:bidi="ar-LY"/>
          <w14:ligatures w14:val="none"/>
        </w:rPr>
        <w:t>However, the study has several limitations. Its retrospective nature may have led to missing data, and its single-</w:t>
      </w:r>
      <w:proofErr w:type="spellStart"/>
      <w:r w:rsidRPr="00DE4C2F">
        <w:rPr>
          <w:rFonts w:ascii="Times New Roman" w:eastAsia="Times New Roman" w:hAnsi="Times New Roman" w:cs="Times New Roman"/>
          <w:color w:val="000000" w:themeColor="text1"/>
          <w:kern w:val="0"/>
          <w:lang w:val="en-GB" w:bidi="ar-LY"/>
          <w14:ligatures w14:val="none"/>
        </w:rPr>
        <w:t>center</w:t>
      </w:r>
      <w:proofErr w:type="spellEnd"/>
      <w:r w:rsidRPr="00DE4C2F">
        <w:rPr>
          <w:rFonts w:ascii="Times New Roman" w:eastAsia="Times New Roman" w:hAnsi="Times New Roman" w:cs="Times New Roman"/>
          <w:color w:val="000000" w:themeColor="text1"/>
          <w:kern w:val="0"/>
          <w:lang w:val="en-GB" w:bidi="ar-LY"/>
          <w14:ligatures w14:val="none"/>
        </w:rPr>
        <w:t xml:space="preserve"> design limits the generalizability of the results. In addition, microbiological confirmation was obtained in only a proportion of cases, which may introduce a classification bias.</w:t>
      </w:r>
    </w:p>
    <w:p w14:paraId="14474647" w14:textId="640860B9" w:rsidR="00D6326C" w:rsidRPr="00834ABA" w:rsidRDefault="00D6326C" w:rsidP="00A95224">
      <w:pPr>
        <w:pStyle w:val="Heading1"/>
        <w:rPr>
          <w:color w:val="000000" w:themeColor="text1"/>
          <w:lang w:val="en-US"/>
        </w:rPr>
      </w:pPr>
      <w:r w:rsidRPr="00834ABA">
        <w:rPr>
          <w:color w:val="000000" w:themeColor="text1"/>
          <w:lang w:val="en-US"/>
        </w:rPr>
        <w:lastRenderedPageBreak/>
        <w:t>Conclusion</w:t>
      </w:r>
    </w:p>
    <w:p w14:paraId="5687D6E1" w14:textId="3F3E649E" w:rsidR="0020111E" w:rsidRPr="00834ABA" w:rsidRDefault="00E4195E" w:rsidP="00D6326C">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A disseminated form of the disease, miliary </w:t>
      </w:r>
      <w:r w:rsidR="00194E04" w:rsidRPr="00834ABA">
        <w:rPr>
          <w:rFonts w:ascii="Times New Roman" w:hAnsi="Times New Roman" w:cs="Times New Roman"/>
          <w:color w:val="000000" w:themeColor="text1"/>
          <w:lang w:val="en-US"/>
        </w:rPr>
        <w:t>tuberculosis,</w:t>
      </w:r>
      <w:r w:rsidRPr="00834ABA">
        <w:rPr>
          <w:rFonts w:ascii="Times New Roman" w:hAnsi="Times New Roman" w:cs="Times New Roman"/>
          <w:color w:val="000000" w:themeColor="text1"/>
          <w:lang w:val="en-US"/>
        </w:rPr>
        <w:t xml:space="preserve"> remains a reason for admission to our department. Like tuberculosis in general, miliary tuberculosis typically affects young adults, and HIV infection remains the main comorbidity. It is characterized by clinical polymorphism, and mortality remains high despite treatment. Further studies are needed in our department to identify factors associated with </w:t>
      </w:r>
      <w:r w:rsidR="00194E04" w:rsidRPr="00834ABA">
        <w:rPr>
          <w:rFonts w:ascii="Times New Roman" w:hAnsi="Times New Roman" w:cs="Times New Roman"/>
          <w:color w:val="000000" w:themeColor="text1"/>
          <w:lang w:val="en-US"/>
        </w:rPr>
        <w:t>poor</w:t>
      </w:r>
      <w:r w:rsidRPr="00834ABA">
        <w:rPr>
          <w:rFonts w:ascii="Times New Roman" w:hAnsi="Times New Roman" w:cs="Times New Roman"/>
          <w:color w:val="000000" w:themeColor="text1"/>
          <w:lang w:val="en-US"/>
        </w:rPr>
        <w:t xml:space="preserve"> prognosis.</w:t>
      </w:r>
    </w:p>
    <w:p w14:paraId="53EAD97F" w14:textId="588F0159" w:rsidR="00212A98" w:rsidRPr="00834ABA" w:rsidRDefault="00212A98" w:rsidP="00212A98">
      <w:pPr>
        <w:pStyle w:val="Heading1"/>
        <w:rPr>
          <w:color w:val="000000" w:themeColor="text1"/>
          <w:lang w:val="en-US"/>
        </w:rPr>
      </w:pPr>
      <w:r w:rsidRPr="00834ABA">
        <w:rPr>
          <w:color w:val="000000" w:themeColor="text1"/>
          <w:lang w:val="en-US"/>
        </w:rPr>
        <w:t>References</w:t>
      </w:r>
    </w:p>
    <w:p w14:paraId="796BE723" w14:textId="27D1EB0D"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 Jilani TN, Avula A, Zafar Gondal A, Siddiqui AH. Active Tuberculosis. In: </w:t>
      </w:r>
      <w:proofErr w:type="spellStart"/>
      <w:r w:rsidRPr="00834ABA">
        <w:rPr>
          <w:rFonts w:ascii="Times New Roman" w:hAnsi="Times New Roman" w:cs="Times New Roman"/>
          <w:color w:val="000000" w:themeColor="text1"/>
          <w:lang w:val="en-US"/>
        </w:rPr>
        <w:t>StatPearls</w:t>
      </w:r>
      <w:proofErr w:type="spellEnd"/>
      <w:r w:rsidRPr="00834ABA">
        <w:rPr>
          <w:rFonts w:ascii="Times New Roman" w:hAnsi="Times New Roman" w:cs="Times New Roman"/>
          <w:color w:val="000000" w:themeColor="text1"/>
          <w:lang w:val="en-US"/>
        </w:rPr>
        <w:t xml:space="preserve"> [Internet]. Treasure Island (FL): </w:t>
      </w:r>
      <w:proofErr w:type="spellStart"/>
      <w:r w:rsidRPr="00834ABA">
        <w:rPr>
          <w:rFonts w:ascii="Times New Roman" w:hAnsi="Times New Roman" w:cs="Times New Roman"/>
          <w:color w:val="000000" w:themeColor="text1"/>
          <w:lang w:val="en-US"/>
        </w:rPr>
        <w:t>StatPearls</w:t>
      </w:r>
      <w:proofErr w:type="spellEnd"/>
      <w:r w:rsidRPr="00834ABA">
        <w:rPr>
          <w:rFonts w:ascii="Times New Roman" w:hAnsi="Times New Roman" w:cs="Times New Roman"/>
          <w:color w:val="000000" w:themeColor="text1"/>
          <w:lang w:val="en-US"/>
        </w:rPr>
        <w:t xml:space="preserve"> Publishing; 2025 [</w:t>
      </w:r>
      <w:proofErr w:type="spellStart"/>
      <w:r w:rsidRPr="00834ABA">
        <w:rPr>
          <w:rFonts w:ascii="Times New Roman" w:hAnsi="Times New Roman" w:cs="Times New Roman"/>
          <w:color w:val="000000" w:themeColor="text1"/>
          <w:lang w:val="en-US"/>
        </w:rPr>
        <w:t>cité</w:t>
      </w:r>
      <w:proofErr w:type="spellEnd"/>
      <w:r w:rsidRPr="00834ABA">
        <w:rPr>
          <w:rFonts w:ascii="Times New Roman" w:hAnsi="Times New Roman" w:cs="Times New Roman"/>
          <w:color w:val="000000" w:themeColor="text1"/>
          <w:lang w:val="en-US"/>
        </w:rPr>
        <w:t xml:space="preserve"> 15 </w:t>
      </w:r>
      <w:proofErr w:type="spellStart"/>
      <w:r w:rsidRPr="00834ABA">
        <w:rPr>
          <w:rFonts w:ascii="Times New Roman" w:hAnsi="Times New Roman" w:cs="Times New Roman"/>
          <w:color w:val="000000" w:themeColor="text1"/>
          <w:lang w:val="en-US"/>
        </w:rPr>
        <w:t>juill</w:t>
      </w:r>
      <w:proofErr w:type="spellEnd"/>
      <w:r w:rsidRPr="00834ABA">
        <w:rPr>
          <w:rFonts w:ascii="Times New Roman" w:hAnsi="Times New Roman" w:cs="Times New Roman"/>
          <w:color w:val="000000" w:themeColor="text1"/>
          <w:lang w:val="en-US"/>
        </w:rPr>
        <w:t xml:space="preserve"> 2025]. Disponible </w:t>
      </w:r>
      <w:proofErr w:type="gramStart"/>
      <w:r w:rsidR="00E10301" w:rsidRPr="00834ABA">
        <w:rPr>
          <w:rFonts w:ascii="Times New Roman" w:hAnsi="Times New Roman" w:cs="Times New Roman"/>
          <w:color w:val="000000" w:themeColor="text1"/>
          <w:lang w:val="en-US"/>
        </w:rPr>
        <w:t>sur :</w:t>
      </w:r>
      <w:proofErr w:type="gramEnd"/>
      <w:r w:rsidRPr="00834ABA">
        <w:rPr>
          <w:rFonts w:ascii="Times New Roman" w:hAnsi="Times New Roman" w:cs="Times New Roman"/>
          <w:color w:val="000000" w:themeColor="text1"/>
          <w:lang w:val="en-US"/>
        </w:rPr>
        <w:t xml:space="preserve"> http://www.ncbi.nlm.nih.gov/books/NBK513246/</w:t>
      </w:r>
    </w:p>
    <w:p w14:paraId="3B8F2B7E" w14:textId="4405437C"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2. World Health Organization. Global tuberculosis report 2025 [Internet]. Geneva: World Health Organization; 2025. Disponible sur:</w:t>
      </w:r>
      <w:r w:rsidR="006370E9" w:rsidRPr="00834ABA">
        <w:rPr>
          <w:rFonts w:ascii="Times New Roman" w:hAnsi="Times New Roman" w:cs="Times New Roman"/>
          <w:color w:val="000000" w:themeColor="text1"/>
          <w:lang w:val="en-US"/>
        </w:rPr>
        <w:t xml:space="preserve"> </w:t>
      </w:r>
      <w:r w:rsidR="007630E5" w:rsidRPr="00834ABA">
        <w:rPr>
          <w:rFonts w:ascii="Times New Roman" w:hAnsi="Times New Roman" w:cs="Times New Roman"/>
          <w:color w:val="000000" w:themeColor="text1"/>
          <w:lang w:val="en-US"/>
        </w:rPr>
        <w:t xml:space="preserve">    </w:t>
      </w:r>
      <w:r w:rsidRPr="00834ABA">
        <w:rPr>
          <w:rFonts w:ascii="Times New Roman" w:hAnsi="Times New Roman" w:cs="Times New Roman"/>
          <w:color w:val="000000" w:themeColor="text1"/>
          <w:lang w:val="en-US"/>
        </w:rPr>
        <w:t>https://www.who.int/publications/i/item/9789240116924</w:t>
      </w:r>
    </w:p>
    <w:p w14:paraId="7E844B53" w14:textId="6FA3C204"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 </w:t>
      </w:r>
      <w:proofErr w:type="spellStart"/>
      <w:r w:rsidRPr="00834ABA">
        <w:rPr>
          <w:rFonts w:ascii="Times New Roman" w:hAnsi="Times New Roman" w:cs="Times New Roman"/>
          <w:color w:val="000000" w:themeColor="text1"/>
          <w:lang w:val="en-US"/>
        </w:rPr>
        <w:t>Ounteini</w:t>
      </w:r>
      <w:proofErr w:type="spellEnd"/>
      <w:r w:rsidRPr="00834ABA">
        <w:rPr>
          <w:rFonts w:ascii="Times New Roman" w:hAnsi="Times New Roman" w:cs="Times New Roman"/>
          <w:color w:val="000000" w:themeColor="text1"/>
          <w:lang w:val="en-US"/>
        </w:rPr>
        <w:t xml:space="preserve"> AM, </w:t>
      </w:r>
      <w:proofErr w:type="spellStart"/>
      <w:r w:rsidRPr="00834ABA">
        <w:rPr>
          <w:rFonts w:ascii="Times New Roman" w:hAnsi="Times New Roman" w:cs="Times New Roman"/>
          <w:color w:val="000000" w:themeColor="text1"/>
          <w:lang w:val="en-US"/>
        </w:rPr>
        <w:t>Aziagbe</w:t>
      </w:r>
      <w:proofErr w:type="spellEnd"/>
      <w:r w:rsidRPr="00834ABA">
        <w:rPr>
          <w:rFonts w:ascii="Times New Roman" w:hAnsi="Times New Roman" w:cs="Times New Roman"/>
          <w:color w:val="000000" w:themeColor="text1"/>
          <w:lang w:val="en-US"/>
        </w:rPr>
        <w:t xml:space="preserve"> A, </w:t>
      </w:r>
      <w:proofErr w:type="spellStart"/>
      <w:r w:rsidRPr="00834ABA">
        <w:rPr>
          <w:rFonts w:ascii="Times New Roman" w:hAnsi="Times New Roman" w:cs="Times New Roman"/>
          <w:color w:val="000000" w:themeColor="text1"/>
          <w:lang w:val="en-US"/>
        </w:rPr>
        <w:t>Adehossi</w:t>
      </w:r>
      <w:proofErr w:type="spellEnd"/>
      <w:r w:rsidRPr="00834ABA">
        <w:rPr>
          <w:rFonts w:ascii="Times New Roman" w:hAnsi="Times New Roman" w:cs="Times New Roman"/>
          <w:color w:val="000000" w:themeColor="text1"/>
          <w:lang w:val="en-US"/>
        </w:rPr>
        <w:t xml:space="preserve"> E, </w:t>
      </w:r>
      <w:proofErr w:type="spellStart"/>
      <w:r w:rsidRPr="00834ABA">
        <w:rPr>
          <w:rFonts w:ascii="Times New Roman" w:hAnsi="Times New Roman" w:cs="Times New Roman"/>
          <w:color w:val="000000" w:themeColor="text1"/>
          <w:lang w:val="en-US"/>
        </w:rPr>
        <w:t>Moustapha</w:t>
      </w:r>
      <w:proofErr w:type="spellEnd"/>
      <w:r w:rsidRPr="00834ABA">
        <w:rPr>
          <w:rFonts w:ascii="Times New Roman" w:hAnsi="Times New Roman" w:cs="Times New Roman"/>
          <w:color w:val="000000" w:themeColor="text1"/>
          <w:lang w:val="en-US"/>
        </w:rPr>
        <w:t xml:space="preserve"> B, </w:t>
      </w:r>
      <w:proofErr w:type="spellStart"/>
      <w:r w:rsidRPr="00834ABA">
        <w:rPr>
          <w:rFonts w:ascii="Times New Roman" w:hAnsi="Times New Roman" w:cs="Times New Roman"/>
          <w:color w:val="000000" w:themeColor="text1"/>
          <w:lang w:val="en-US"/>
        </w:rPr>
        <w:t>Efalou</w:t>
      </w:r>
      <w:proofErr w:type="spellEnd"/>
      <w:r w:rsidRPr="00834ABA">
        <w:rPr>
          <w:rFonts w:ascii="Times New Roman" w:hAnsi="Times New Roman" w:cs="Times New Roman"/>
          <w:color w:val="000000" w:themeColor="text1"/>
          <w:lang w:val="en-US"/>
        </w:rPr>
        <w:t xml:space="preserve"> P, </w:t>
      </w:r>
      <w:proofErr w:type="spellStart"/>
      <w:r w:rsidRPr="00834ABA">
        <w:rPr>
          <w:rFonts w:ascii="Times New Roman" w:hAnsi="Times New Roman" w:cs="Times New Roman"/>
          <w:color w:val="000000" w:themeColor="text1"/>
          <w:lang w:val="en-US"/>
        </w:rPr>
        <w:t>Adambou</w:t>
      </w:r>
      <w:proofErr w:type="spellEnd"/>
      <w:r w:rsidRPr="00834ABA">
        <w:rPr>
          <w:rFonts w:ascii="Times New Roman" w:hAnsi="Times New Roman" w:cs="Times New Roman"/>
          <w:color w:val="000000" w:themeColor="text1"/>
          <w:lang w:val="en-US"/>
        </w:rPr>
        <w:t xml:space="preserve"> T. Pulmonary </w:t>
      </w:r>
      <w:proofErr w:type="spellStart"/>
      <w:r w:rsidRPr="00834ABA">
        <w:rPr>
          <w:rFonts w:ascii="Times New Roman" w:hAnsi="Times New Roman" w:cs="Times New Roman"/>
          <w:color w:val="000000" w:themeColor="text1"/>
          <w:lang w:val="en-US"/>
        </w:rPr>
        <w:t>miliaries</w:t>
      </w:r>
      <w:proofErr w:type="spellEnd"/>
      <w:r w:rsidRPr="00834ABA">
        <w:rPr>
          <w:rFonts w:ascii="Times New Roman" w:hAnsi="Times New Roman" w:cs="Times New Roman"/>
          <w:color w:val="000000" w:themeColor="text1"/>
          <w:lang w:val="en-US"/>
        </w:rPr>
        <w:t xml:space="preserve">: Etiological, therapeutic and evolving aspects at Sylvanus Olympio Chu of Lomé. 12(38). </w:t>
      </w:r>
    </w:p>
    <w:p w14:paraId="344AA517" w14:textId="7856FC33"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4. Vohra S, Dhaliwal HS. Miliary Tuberculosis. In: </w:t>
      </w:r>
      <w:proofErr w:type="spellStart"/>
      <w:r w:rsidRPr="00834ABA">
        <w:rPr>
          <w:rFonts w:ascii="Times New Roman" w:hAnsi="Times New Roman" w:cs="Times New Roman"/>
          <w:color w:val="000000" w:themeColor="text1"/>
          <w:lang w:val="en-US"/>
        </w:rPr>
        <w:t>StatPearls</w:t>
      </w:r>
      <w:proofErr w:type="spellEnd"/>
      <w:r w:rsidRPr="00834ABA">
        <w:rPr>
          <w:rFonts w:ascii="Times New Roman" w:hAnsi="Times New Roman" w:cs="Times New Roman"/>
          <w:color w:val="000000" w:themeColor="text1"/>
          <w:lang w:val="en-US"/>
        </w:rPr>
        <w:t xml:space="preserve"> [Internet]. Treasure Island (FL): </w:t>
      </w:r>
      <w:proofErr w:type="spellStart"/>
      <w:r w:rsidRPr="00834ABA">
        <w:rPr>
          <w:rFonts w:ascii="Times New Roman" w:hAnsi="Times New Roman" w:cs="Times New Roman"/>
          <w:color w:val="000000" w:themeColor="text1"/>
          <w:lang w:val="en-US"/>
        </w:rPr>
        <w:t>StatPearls</w:t>
      </w:r>
      <w:proofErr w:type="spellEnd"/>
      <w:r w:rsidRPr="00834ABA">
        <w:rPr>
          <w:rFonts w:ascii="Times New Roman" w:hAnsi="Times New Roman" w:cs="Times New Roman"/>
          <w:color w:val="000000" w:themeColor="text1"/>
          <w:lang w:val="en-US"/>
        </w:rPr>
        <w:t xml:space="preserve"> Publishing; 2025 [</w:t>
      </w:r>
      <w:proofErr w:type="spellStart"/>
      <w:r w:rsidRPr="00834ABA">
        <w:rPr>
          <w:rFonts w:ascii="Times New Roman" w:hAnsi="Times New Roman" w:cs="Times New Roman"/>
          <w:color w:val="000000" w:themeColor="text1"/>
          <w:lang w:val="en-US"/>
        </w:rPr>
        <w:t>cité</w:t>
      </w:r>
      <w:proofErr w:type="spellEnd"/>
      <w:r w:rsidRPr="00834ABA">
        <w:rPr>
          <w:rFonts w:ascii="Times New Roman" w:hAnsi="Times New Roman" w:cs="Times New Roman"/>
          <w:color w:val="000000" w:themeColor="text1"/>
          <w:lang w:val="en-US"/>
        </w:rPr>
        <w:t xml:space="preserve"> 19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2026]. Disponible sur: http://www.ncbi.nlm.nih.gov/books/NBK562300/</w:t>
      </w:r>
    </w:p>
    <w:p w14:paraId="2EAC3999" w14:textId="3C162E55"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5. Huang Y, Long R, Ferrara G, </w:t>
      </w:r>
      <w:proofErr w:type="spellStart"/>
      <w:r w:rsidRPr="00834ABA">
        <w:rPr>
          <w:rFonts w:ascii="Times New Roman" w:hAnsi="Times New Roman" w:cs="Times New Roman"/>
          <w:color w:val="000000" w:themeColor="text1"/>
          <w:lang w:val="en-US"/>
        </w:rPr>
        <w:t>Egedahl</w:t>
      </w:r>
      <w:proofErr w:type="spellEnd"/>
      <w:r w:rsidRPr="00834ABA">
        <w:rPr>
          <w:rFonts w:ascii="Times New Roman" w:hAnsi="Times New Roman" w:cs="Times New Roman"/>
          <w:color w:val="000000" w:themeColor="text1"/>
          <w:lang w:val="en-US"/>
        </w:rPr>
        <w:t xml:space="preserve"> ML, </w:t>
      </w:r>
      <w:proofErr w:type="spellStart"/>
      <w:r w:rsidRPr="00834ABA">
        <w:rPr>
          <w:rFonts w:ascii="Times New Roman" w:hAnsi="Times New Roman" w:cs="Times New Roman"/>
          <w:color w:val="000000" w:themeColor="text1"/>
          <w:lang w:val="en-US"/>
        </w:rPr>
        <w:t>Doroshenko</w:t>
      </w:r>
      <w:proofErr w:type="spellEnd"/>
      <w:r w:rsidRPr="00834ABA">
        <w:rPr>
          <w:rFonts w:ascii="Times New Roman" w:hAnsi="Times New Roman" w:cs="Times New Roman"/>
          <w:color w:val="000000" w:themeColor="text1"/>
          <w:lang w:val="en-US"/>
        </w:rPr>
        <w:t xml:space="preserve"> A, Heffernan C, et al. Refining the definition of miliary/disseminated tuberculosis in Canada. Int J Infect Dis. </w:t>
      </w:r>
      <w:proofErr w:type="spellStart"/>
      <w:r w:rsidRPr="00834ABA">
        <w:rPr>
          <w:rFonts w:ascii="Times New Roman" w:hAnsi="Times New Roman" w:cs="Times New Roman"/>
          <w:color w:val="000000" w:themeColor="text1"/>
          <w:lang w:val="en-US"/>
        </w:rPr>
        <w:t>nov</w:t>
      </w:r>
      <w:proofErr w:type="spellEnd"/>
      <w:r w:rsidRPr="00834ABA">
        <w:rPr>
          <w:rFonts w:ascii="Times New Roman" w:hAnsi="Times New Roman" w:cs="Times New Roman"/>
          <w:color w:val="000000" w:themeColor="text1"/>
          <w:lang w:val="en-US"/>
        </w:rPr>
        <w:t xml:space="preserve"> </w:t>
      </w:r>
      <w:proofErr w:type="gramStart"/>
      <w:r w:rsidRPr="00834ABA">
        <w:rPr>
          <w:rFonts w:ascii="Times New Roman" w:hAnsi="Times New Roman" w:cs="Times New Roman"/>
          <w:color w:val="000000" w:themeColor="text1"/>
          <w:lang w:val="en-US"/>
        </w:rPr>
        <w:t>2024;148:107238</w:t>
      </w:r>
      <w:proofErr w:type="gramEnd"/>
      <w:r w:rsidRPr="00834ABA">
        <w:rPr>
          <w:rFonts w:ascii="Times New Roman" w:hAnsi="Times New Roman" w:cs="Times New Roman"/>
          <w:color w:val="000000" w:themeColor="text1"/>
          <w:lang w:val="en-US"/>
        </w:rPr>
        <w:t xml:space="preserve">. </w:t>
      </w:r>
    </w:p>
    <w:p w14:paraId="202A7F0C" w14:textId="39FC4BD2"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6. </w:t>
      </w:r>
      <w:proofErr w:type="spellStart"/>
      <w:r w:rsidRPr="00834ABA">
        <w:rPr>
          <w:rFonts w:ascii="Times New Roman" w:hAnsi="Times New Roman" w:cs="Times New Roman"/>
          <w:color w:val="000000" w:themeColor="text1"/>
          <w:lang w:val="en-US"/>
        </w:rPr>
        <w:t>Jarrar</w:t>
      </w:r>
      <w:proofErr w:type="spellEnd"/>
      <w:r w:rsidRPr="00834ABA">
        <w:rPr>
          <w:rFonts w:ascii="Times New Roman" w:hAnsi="Times New Roman" w:cs="Times New Roman"/>
          <w:color w:val="000000" w:themeColor="text1"/>
          <w:lang w:val="en-US"/>
        </w:rPr>
        <w:t xml:space="preserve"> A, </w:t>
      </w:r>
      <w:proofErr w:type="spellStart"/>
      <w:r w:rsidRPr="00834ABA">
        <w:rPr>
          <w:rFonts w:ascii="Times New Roman" w:hAnsi="Times New Roman" w:cs="Times New Roman"/>
          <w:color w:val="000000" w:themeColor="text1"/>
          <w:lang w:val="en-US"/>
        </w:rPr>
        <w:t>Zaibi</w:t>
      </w:r>
      <w:proofErr w:type="spellEnd"/>
      <w:r w:rsidRPr="00834ABA">
        <w:rPr>
          <w:rFonts w:ascii="Times New Roman" w:hAnsi="Times New Roman" w:cs="Times New Roman"/>
          <w:color w:val="000000" w:themeColor="text1"/>
          <w:lang w:val="en-US"/>
        </w:rPr>
        <w:t xml:space="preserve"> H, </w:t>
      </w:r>
      <w:proofErr w:type="spellStart"/>
      <w:r w:rsidRPr="00834ABA">
        <w:rPr>
          <w:rFonts w:ascii="Times New Roman" w:hAnsi="Times New Roman" w:cs="Times New Roman"/>
          <w:color w:val="000000" w:themeColor="text1"/>
          <w:lang w:val="en-US"/>
        </w:rPr>
        <w:t>Fessi</w:t>
      </w:r>
      <w:proofErr w:type="spellEnd"/>
      <w:r w:rsidRPr="00834ABA">
        <w:rPr>
          <w:rFonts w:ascii="Times New Roman" w:hAnsi="Times New Roman" w:cs="Times New Roman"/>
          <w:color w:val="000000" w:themeColor="text1"/>
          <w:lang w:val="en-US"/>
        </w:rPr>
        <w:t xml:space="preserve"> R, </w:t>
      </w:r>
      <w:proofErr w:type="spellStart"/>
      <w:r w:rsidRPr="00834ABA">
        <w:rPr>
          <w:rFonts w:ascii="Times New Roman" w:hAnsi="Times New Roman" w:cs="Times New Roman"/>
          <w:color w:val="000000" w:themeColor="text1"/>
          <w:lang w:val="en-US"/>
        </w:rPr>
        <w:t>Zayen</w:t>
      </w:r>
      <w:proofErr w:type="spellEnd"/>
      <w:r w:rsidRPr="00834ABA">
        <w:rPr>
          <w:rFonts w:ascii="Times New Roman" w:hAnsi="Times New Roman" w:cs="Times New Roman"/>
          <w:color w:val="000000" w:themeColor="text1"/>
          <w:lang w:val="en-US"/>
        </w:rPr>
        <w:t xml:space="preserve"> K, </w:t>
      </w:r>
      <w:proofErr w:type="spellStart"/>
      <w:r w:rsidRPr="00834ABA">
        <w:rPr>
          <w:rFonts w:ascii="Times New Roman" w:hAnsi="Times New Roman" w:cs="Times New Roman"/>
          <w:color w:val="000000" w:themeColor="text1"/>
          <w:lang w:val="en-US"/>
        </w:rPr>
        <w:t>Guediri</w:t>
      </w:r>
      <w:proofErr w:type="spellEnd"/>
      <w:r w:rsidRPr="00834ABA">
        <w:rPr>
          <w:rFonts w:ascii="Times New Roman" w:hAnsi="Times New Roman" w:cs="Times New Roman"/>
          <w:color w:val="000000" w:themeColor="text1"/>
          <w:lang w:val="en-US"/>
        </w:rPr>
        <w:t xml:space="preserve"> N, </w:t>
      </w:r>
      <w:proofErr w:type="spellStart"/>
      <w:r w:rsidRPr="00834ABA">
        <w:rPr>
          <w:rFonts w:ascii="Times New Roman" w:hAnsi="Times New Roman" w:cs="Times New Roman"/>
          <w:color w:val="000000" w:themeColor="text1"/>
          <w:lang w:val="en-US"/>
        </w:rPr>
        <w:t>Sellaouti</w:t>
      </w:r>
      <w:proofErr w:type="spellEnd"/>
      <w:r w:rsidRPr="00834ABA">
        <w:rPr>
          <w:rFonts w:ascii="Times New Roman" w:hAnsi="Times New Roman" w:cs="Times New Roman"/>
          <w:color w:val="000000" w:themeColor="text1"/>
          <w:lang w:val="en-US"/>
        </w:rPr>
        <w:t xml:space="preserve"> M, et al. Le </w:t>
      </w:r>
      <w:proofErr w:type="spellStart"/>
      <w:r w:rsidRPr="00834ABA">
        <w:rPr>
          <w:rFonts w:ascii="Times New Roman" w:hAnsi="Times New Roman" w:cs="Times New Roman"/>
          <w:color w:val="000000" w:themeColor="text1"/>
          <w:lang w:val="en-US"/>
        </w:rPr>
        <w:t>profil</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clinique</w:t>
      </w:r>
      <w:proofErr w:type="spellEnd"/>
      <w:r w:rsidRPr="00834ABA">
        <w:rPr>
          <w:rFonts w:ascii="Times New Roman" w:hAnsi="Times New Roman" w:cs="Times New Roman"/>
          <w:color w:val="000000" w:themeColor="text1"/>
          <w:lang w:val="en-US"/>
        </w:rPr>
        <w:t xml:space="preserve"> et </w:t>
      </w:r>
      <w:proofErr w:type="spellStart"/>
      <w:r w:rsidRPr="00834ABA">
        <w:rPr>
          <w:rFonts w:ascii="Times New Roman" w:hAnsi="Times New Roman" w:cs="Times New Roman"/>
          <w:color w:val="000000" w:themeColor="text1"/>
          <w:lang w:val="en-US"/>
        </w:rPr>
        <w:t>évolutif</w:t>
      </w:r>
      <w:proofErr w:type="spellEnd"/>
      <w:r w:rsidRPr="00834ABA">
        <w:rPr>
          <w:rFonts w:ascii="Times New Roman" w:hAnsi="Times New Roman" w:cs="Times New Roman"/>
          <w:color w:val="000000" w:themeColor="text1"/>
          <w:lang w:val="en-US"/>
        </w:rPr>
        <w:t xml:space="preserve"> de la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chez les patients </w:t>
      </w:r>
      <w:proofErr w:type="spellStart"/>
      <w:r w:rsidRPr="00834ABA">
        <w:rPr>
          <w:rFonts w:ascii="Times New Roman" w:hAnsi="Times New Roman" w:cs="Times New Roman"/>
          <w:color w:val="000000" w:themeColor="text1"/>
          <w:lang w:val="en-US"/>
        </w:rPr>
        <w:t>immunocompétents</w:t>
      </w:r>
      <w:proofErr w:type="spellEnd"/>
      <w:r w:rsidRPr="00834ABA">
        <w:rPr>
          <w:rFonts w:ascii="Times New Roman" w:hAnsi="Times New Roman" w:cs="Times New Roman"/>
          <w:color w:val="000000" w:themeColor="text1"/>
          <w:lang w:val="en-US"/>
        </w:rPr>
        <w:t xml:space="preserve">. Revue des Maladies </w:t>
      </w:r>
      <w:proofErr w:type="spellStart"/>
      <w:r w:rsidRPr="00834ABA">
        <w:rPr>
          <w:rFonts w:ascii="Times New Roman" w:hAnsi="Times New Roman" w:cs="Times New Roman"/>
          <w:color w:val="000000" w:themeColor="text1"/>
          <w:lang w:val="en-US"/>
        </w:rPr>
        <w:t>Respiratoires</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Actualités</w:t>
      </w:r>
      <w:proofErr w:type="spellEnd"/>
      <w:r w:rsidRPr="00834ABA">
        <w:rPr>
          <w:rFonts w:ascii="Times New Roman" w:hAnsi="Times New Roman" w:cs="Times New Roman"/>
          <w:color w:val="000000" w:themeColor="text1"/>
          <w:lang w:val="en-US"/>
        </w:rPr>
        <w:t xml:space="preserve">.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2020;12(1):265. </w:t>
      </w:r>
    </w:p>
    <w:p w14:paraId="1958A862" w14:textId="1EF58212"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7. Taniguchi J, Aso S, Jo T, Matsui H, Fushimi K, Yasunaga H. Factors affecting in-hospital mortality in patients with miliary tuberculosis: A retrospective cohort study. Respiratory Investigation. 1 </w:t>
      </w:r>
      <w:proofErr w:type="spellStart"/>
      <w:r w:rsidRPr="00834ABA">
        <w:rPr>
          <w:rFonts w:ascii="Times New Roman" w:hAnsi="Times New Roman" w:cs="Times New Roman"/>
          <w:color w:val="000000" w:themeColor="text1"/>
          <w:lang w:val="en-US"/>
        </w:rPr>
        <w:t>juill</w:t>
      </w:r>
      <w:proofErr w:type="spellEnd"/>
      <w:r w:rsidRPr="00834ABA">
        <w:rPr>
          <w:rFonts w:ascii="Times New Roman" w:hAnsi="Times New Roman" w:cs="Times New Roman"/>
          <w:color w:val="000000" w:themeColor="text1"/>
          <w:lang w:val="en-US"/>
        </w:rPr>
        <w:t xml:space="preserve"> 2024;62(4):520‑5. </w:t>
      </w:r>
    </w:p>
    <w:p w14:paraId="794073D7" w14:textId="4B8BAAA7"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lastRenderedPageBreak/>
        <w:t xml:space="preserve">8. </w:t>
      </w:r>
      <w:proofErr w:type="spellStart"/>
      <w:r w:rsidRPr="00834ABA">
        <w:rPr>
          <w:rFonts w:ascii="Times New Roman" w:hAnsi="Times New Roman" w:cs="Times New Roman"/>
          <w:color w:val="000000" w:themeColor="text1"/>
          <w:lang w:val="en-US"/>
        </w:rPr>
        <w:t>Ait</w:t>
      </w:r>
      <w:proofErr w:type="spellEnd"/>
      <w:r w:rsidRPr="00834ABA">
        <w:rPr>
          <w:rFonts w:ascii="Times New Roman" w:hAnsi="Times New Roman" w:cs="Times New Roman"/>
          <w:color w:val="000000" w:themeColor="text1"/>
          <w:lang w:val="en-US"/>
        </w:rPr>
        <w:t xml:space="preserve"> Ahmed F, Diani S, </w:t>
      </w:r>
      <w:proofErr w:type="spellStart"/>
      <w:r w:rsidRPr="00834ABA">
        <w:rPr>
          <w:rFonts w:ascii="Times New Roman" w:hAnsi="Times New Roman" w:cs="Times New Roman"/>
          <w:color w:val="000000" w:themeColor="text1"/>
          <w:lang w:val="en-US"/>
        </w:rPr>
        <w:t>Aharmim</w:t>
      </w:r>
      <w:proofErr w:type="spellEnd"/>
      <w:r w:rsidRPr="00834ABA">
        <w:rPr>
          <w:rFonts w:ascii="Times New Roman" w:hAnsi="Times New Roman" w:cs="Times New Roman"/>
          <w:color w:val="000000" w:themeColor="text1"/>
          <w:lang w:val="en-US"/>
        </w:rPr>
        <w:t xml:space="preserve"> M, </w:t>
      </w:r>
      <w:proofErr w:type="spellStart"/>
      <w:r w:rsidRPr="00834ABA">
        <w:rPr>
          <w:rFonts w:ascii="Times New Roman" w:hAnsi="Times New Roman" w:cs="Times New Roman"/>
          <w:color w:val="000000" w:themeColor="text1"/>
          <w:lang w:val="en-US"/>
        </w:rPr>
        <w:t>Mourabit</w:t>
      </w:r>
      <w:proofErr w:type="spellEnd"/>
      <w:r w:rsidRPr="00834ABA">
        <w:rPr>
          <w:rFonts w:ascii="Times New Roman" w:hAnsi="Times New Roman" w:cs="Times New Roman"/>
          <w:color w:val="000000" w:themeColor="text1"/>
          <w:lang w:val="en-US"/>
        </w:rPr>
        <w:t xml:space="preserve"> S, </w:t>
      </w:r>
      <w:proofErr w:type="spellStart"/>
      <w:r w:rsidRPr="00834ABA">
        <w:rPr>
          <w:rFonts w:ascii="Times New Roman" w:hAnsi="Times New Roman" w:cs="Times New Roman"/>
          <w:color w:val="000000" w:themeColor="text1"/>
          <w:lang w:val="en-US"/>
        </w:rPr>
        <w:t>Bourkadi</w:t>
      </w:r>
      <w:proofErr w:type="spellEnd"/>
      <w:r w:rsidRPr="00834ABA">
        <w:rPr>
          <w:rFonts w:ascii="Times New Roman" w:hAnsi="Times New Roman" w:cs="Times New Roman"/>
          <w:color w:val="000000" w:themeColor="text1"/>
          <w:lang w:val="en-US"/>
        </w:rPr>
        <w:t xml:space="preserve"> JE. La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proofErr w:type="gram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w:t>
      </w:r>
      <w:proofErr w:type="gram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profil</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épidémioclinique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biologique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radiologique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thérapeutique</w:t>
      </w:r>
      <w:proofErr w:type="spellEnd"/>
      <w:r w:rsidRPr="00834ABA">
        <w:rPr>
          <w:rFonts w:ascii="Times New Roman" w:hAnsi="Times New Roman" w:cs="Times New Roman"/>
          <w:color w:val="000000" w:themeColor="text1"/>
          <w:lang w:val="en-US"/>
        </w:rPr>
        <w:t xml:space="preserve"> et </w:t>
      </w:r>
      <w:proofErr w:type="spellStart"/>
      <w:r w:rsidRPr="00834ABA">
        <w:rPr>
          <w:rFonts w:ascii="Times New Roman" w:hAnsi="Times New Roman" w:cs="Times New Roman"/>
          <w:color w:val="000000" w:themeColor="text1"/>
          <w:lang w:val="en-US"/>
        </w:rPr>
        <w:t>évolutif</w:t>
      </w:r>
      <w:proofErr w:type="spellEnd"/>
      <w:r w:rsidRPr="00834ABA">
        <w:rPr>
          <w:rFonts w:ascii="Times New Roman" w:hAnsi="Times New Roman" w:cs="Times New Roman"/>
          <w:color w:val="000000" w:themeColor="text1"/>
          <w:lang w:val="en-US"/>
        </w:rPr>
        <w:t xml:space="preserve">. Revue des Maladies </w:t>
      </w:r>
      <w:proofErr w:type="spellStart"/>
      <w:r w:rsidRPr="00834ABA">
        <w:rPr>
          <w:rFonts w:ascii="Times New Roman" w:hAnsi="Times New Roman" w:cs="Times New Roman"/>
          <w:color w:val="000000" w:themeColor="text1"/>
          <w:lang w:val="en-US"/>
        </w:rPr>
        <w:t>Respiratoires</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Actualités</w:t>
      </w:r>
      <w:proofErr w:type="spellEnd"/>
      <w:r w:rsidRPr="00834ABA">
        <w:rPr>
          <w:rFonts w:ascii="Times New Roman" w:hAnsi="Times New Roman" w:cs="Times New Roman"/>
          <w:color w:val="000000" w:themeColor="text1"/>
          <w:lang w:val="en-US"/>
        </w:rPr>
        <w:t xml:space="preserve">.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2023;15(1):266‑7. </w:t>
      </w:r>
    </w:p>
    <w:p w14:paraId="38A900CF" w14:textId="481EB8C3"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9. Thiam K, Touré Badiane NO, Ndiaye EHM, Mbaye FBR, Dia Kane Y, Diatta A, et al.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dans le service de </w:t>
      </w:r>
      <w:proofErr w:type="spellStart"/>
      <w:r w:rsidRPr="00834ABA">
        <w:rPr>
          <w:rFonts w:ascii="Times New Roman" w:hAnsi="Times New Roman" w:cs="Times New Roman"/>
          <w:color w:val="000000" w:themeColor="text1"/>
          <w:lang w:val="en-US"/>
        </w:rPr>
        <w:t>pneumologie</w:t>
      </w:r>
      <w:proofErr w:type="spellEnd"/>
      <w:r w:rsidRPr="00834ABA">
        <w:rPr>
          <w:rFonts w:ascii="Times New Roman" w:hAnsi="Times New Roman" w:cs="Times New Roman"/>
          <w:color w:val="000000" w:themeColor="text1"/>
          <w:lang w:val="en-US"/>
        </w:rPr>
        <w:t xml:space="preserve"> du CHNU de Fann, Dakar (</w:t>
      </w:r>
      <w:proofErr w:type="spellStart"/>
      <w:r w:rsidRPr="00834ABA">
        <w:rPr>
          <w:rFonts w:ascii="Times New Roman" w:hAnsi="Times New Roman" w:cs="Times New Roman"/>
          <w:color w:val="000000" w:themeColor="text1"/>
          <w:lang w:val="en-US"/>
        </w:rPr>
        <w:t>Sénégal</w:t>
      </w:r>
      <w:proofErr w:type="spellEnd"/>
      <w:proofErr w:type="gramStart"/>
      <w:r w:rsidRPr="00834ABA">
        <w:rPr>
          <w:rFonts w:ascii="Times New Roman" w:hAnsi="Times New Roman" w:cs="Times New Roman"/>
          <w:color w:val="000000" w:themeColor="text1"/>
          <w:lang w:val="en-US"/>
        </w:rPr>
        <w:t>) :</w:t>
      </w:r>
      <w:proofErr w:type="gramEnd"/>
      <w:r w:rsidRPr="00834ABA">
        <w:rPr>
          <w:rFonts w:ascii="Times New Roman" w:hAnsi="Times New Roman" w:cs="Times New Roman"/>
          <w:color w:val="000000" w:themeColor="text1"/>
          <w:lang w:val="en-US"/>
        </w:rPr>
        <w:t xml:space="preserve"> à </w:t>
      </w:r>
      <w:proofErr w:type="spellStart"/>
      <w:r w:rsidRPr="00834ABA">
        <w:rPr>
          <w:rFonts w:ascii="Times New Roman" w:hAnsi="Times New Roman" w:cs="Times New Roman"/>
          <w:color w:val="000000" w:themeColor="text1"/>
          <w:lang w:val="en-US"/>
        </w:rPr>
        <w:t>propos</w:t>
      </w:r>
      <w:proofErr w:type="spellEnd"/>
      <w:r w:rsidRPr="00834ABA">
        <w:rPr>
          <w:rFonts w:ascii="Times New Roman" w:hAnsi="Times New Roman" w:cs="Times New Roman"/>
          <w:color w:val="000000" w:themeColor="text1"/>
          <w:lang w:val="en-US"/>
        </w:rPr>
        <w:t xml:space="preserve"> de 51 </w:t>
      </w:r>
      <w:proofErr w:type="spellStart"/>
      <w:r w:rsidRPr="00834ABA">
        <w:rPr>
          <w:rFonts w:ascii="Times New Roman" w:hAnsi="Times New Roman" w:cs="Times New Roman"/>
          <w:color w:val="000000" w:themeColor="text1"/>
          <w:lang w:val="en-US"/>
        </w:rPr>
        <w:t>cas</w:t>
      </w:r>
      <w:proofErr w:type="spellEnd"/>
      <w:r w:rsidRPr="00834ABA">
        <w:rPr>
          <w:rFonts w:ascii="Times New Roman" w:hAnsi="Times New Roman" w:cs="Times New Roman"/>
          <w:color w:val="000000" w:themeColor="text1"/>
          <w:lang w:val="en-US"/>
        </w:rPr>
        <w:t xml:space="preserve">. Revue des Maladies Respiratoires.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2017;</w:t>
      </w:r>
      <w:proofErr w:type="gramStart"/>
      <w:r w:rsidRPr="00834ABA">
        <w:rPr>
          <w:rFonts w:ascii="Times New Roman" w:hAnsi="Times New Roman" w:cs="Times New Roman"/>
          <w:color w:val="000000" w:themeColor="text1"/>
          <w:lang w:val="en-US"/>
        </w:rPr>
        <w:t>34:A</w:t>
      </w:r>
      <w:proofErr w:type="gramEnd"/>
      <w:r w:rsidRPr="00834ABA">
        <w:rPr>
          <w:rFonts w:ascii="Times New Roman" w:hAnsi="Times New Roman" w:cs="Times New Roman"/>
          <w:color w:val="000000" w:themeColor="text1"/>
          <w:lang w:val="en-US"/>
        </w:rPr>
        <w:t xml:space="preserve">229. </w:t>
      </w:r>
    </w:p>
    <w:p w14:paraId="4690C8DC" w14:textId="5DA2E07D"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10. </w:t>
      </w:r>
      <w:proofErr w:type="spellStart"/>
      <w:r w:rsidRPr="00834ABA">
        <w:rPr>
          <w:rFonts w:ascii="Times New Roman" w:hAnsi="Times New Roman" w:cs="Times New Roman"/>
          <w:color w:val="000000" w:themeColor="text1"/>
          <w:lang w:val="en-US"/>
        </w:rPr>
        <w:t>Hedhli</w:t>
      </w:r>
      <w:proofErr w:type="spellEnd"/>
      <w:r w:rsidRPr="00834ABA">
        <w:rPr>
          <w:rFonts w:ascii="Times New Roman" w:hAnsi="Times New Roman" w:cs="Times New Roman"/>
          <w:color w:val="000000" w:themeColor="text1"/>
          <w:lang w:val="en-US"/>
        </w:rPr>
        <w:t xml:space="preserve"> A, Slim A, </w:t>
      </w:r>
      <w:proofErr w:type="spellStart"/>
      <w:r w:rsidRPr="00834ABA">
        <w:rPr>
          <w:rFonts w:ascii="Times New Roman" w:hAnsi="Times New Roman" w:cs="Times New Roman"/>
          <w:color w:val="000000" w:themeColor="text1"/>
          <w:lang w:val="en-US"/>
        </w:rPr>
        <w:t>Mjid</w:t>
      </w:r>
      <w:proofErr w:type="spellEnd"/>
      <w:r w:rsidRPr="00834ABA">
        <w:rPr>
          <w:rFonts w:ascii="Times New Roman" w:hAnsi="Times New Roman" w:cs="Times New Roman"/>
          <w:color w:val="000000" w:themeColor="text1"/>
          <w:lang w:val="en-US"/>
        </w:rPr>
        <w:t xml:space="preserve"> M, </w:t>
      </w:r>
      <w:proofErr w:type="spellStart"/>
      <w:r w:rsidRPr="00834ABA">
        <w:rPr>
          <w:rFonts w:ascii="Times New Roman" w:hAnsi="Times New Roman" w:cs="Times New Roman"/>
          <w:color w:val="000000" w:themeColor="text1"/>
          <w:lang w:val="en-US"/>
        </w:rPr>
        <w:t>Cheikhrouhou</w:t>
      </w:r>
      <w:proofErr w:type="spellEnd"/>
      <w:r w:rsidRPr="00834ABA">
        <w:rPr>
          <w:rFonts w:ascii="Times New Roman" w:hAnsi="Times New Roman" w:cs="Times New Roman"/>
          <w:color w:val="000000" w:themeColor="text1"/>
          <w:lang w:val="en-US"/>
        </w:rPr>
        <w:t xml:space="preserve"> S, </w:t>
      </w:r>
      <w:proofErr w:type="spellStart"/>
      <w:r w:rsidRPr="00834ABA">
        <w:rPr>
          <w:rFonts w:ascii="Times New Roman" w:hAnsi="Times New Roman" w:cs="Times New Roman"/>
          <w:color w:val="000000" w:themeColor="text1"/>
          <w:lang w:val="en-US"/>
        </w:rPr>
        <w:t>Mbarek</w:t>
      </w:r>
      <w:proofErr w:type="spellEnd"/>
      <w:r w:rsidRPr="00834ABA">
        <w:rPr>
          <w:rFonts w:ascii="Times New Roman" w:hAnsi="Times New Roman" w:cs="Times New Roman"/>
          <w:color w:val="000000" w:themeColor="text1"/>
          <w:lang w:val="en-US"/>
        </w:rPr>
        <w:t xml:space="preserve"> N, </w:t>
      </w:r>
      <w:proofErr w:type="spellStart"/>
      <w:r w:rsidRPr="00834ABA">
        <w:rPr>
          <w:rFonts w:ascii="Times New Roman" w:hAnsi="Times New Roman" w:cs="Times New Roman"/>
          <w:color w:val="000000" w:themeColor="text1"/>
          <w:lang w:val="en-US"/>
        </w:rPr>
        <w:t>Loued</w:t>
      </w:r>
      <w:proofErr w:type="spellEnd"/>
      <w:r w:rsidRPr="00834ABA">
        <w:rPr>
          <w:rFonts w:ascii="Times New Roman" w:hAnsi="Times New Roman" w:cs="Times New Roman"/>
          <w:color w:val="000000" w:themeColor="text1"/>
          <w:lang w:val="en-US"/>
        </w:rPr>
        <w:t xml:space="preserve"> L, et al. </w:t>
      </w:r>
      <w:proofErr w:type="spellStart"/>
      <w:r w:rsidRPr="00834ABA">
        <w:rPr>
          <w:rFonts w:ascii="Times New Roman" w:hAnsi="Times New Roman" w:cs="Times New Roman"/>
          <w:color w:val="000000" w:themeColor="text1"/>
          <w:lang w:val="en-US"/>
        </w:rPr>
        <w:t>Particularités</w:t>
      </w:r>
      <w:proofErr w:type="spellEnd"/>
      <w:r w:rsidRPr="00834ABA">
        <w:rPr>
          <w:rFonts w:ascii="Times New Roman" w:hAnsi="Times New Roman" w:cs="Times New Roman"/>
          <w:color w:val="000000" w:themeColor="text1"/>
          <w:lang w:val="en-US"/>
        </w:rPr>
        <w:t xml:space="preserve"> de la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chez les </w:t>
      </w:r>
      <w:proofErr w:type="spellStart"/>
      <w:r w:rsidRPr="00834ABA">
        <w:rPr>
          <w:rFonts w:ascii="Times New Roman" w:hAnsi="Times New Roman" w:cs="Times New Roman"/>
          <w:color w:val="000000" w:themeColor="text1"/>
          <w:lang w:val="en-US"/>
        </w:rPr>
        <w:t>sujets</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immunocompétents</w:t>
      </w:r>
      <w:proofErr w:type="spellEnd"/>
      <w:r w:rsidRPr="00834ABA">
        <w:rPr>
          <w:rFonts w:ascii="Times New Roman" w:hAnsi="Times New Roman" w:cs="Times New Roman"/>
          <w:color w:val="000000" w:themeColor="text1"/>
          <w:lang w:val="en-US"/>
        </w:rPr>
        <w:t xml:space="preserve">. Revue des Maladies Respiratoires.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2018;</w:t>
      </w:r>
      <w:proofErr w:type="gramStart"/>
      <w:r w:rsidRPr="00834ABA">
        <w:rPr>
          <w:rFonts w:ascii="Times New Roman" w:hAnsi="Times New Roman" w:cs="Times New Roman"/>
          <w:color w:val="000000" w:themeColor="text1"/>
          <w:lang w:val="en-US"/>
        </w:rPr>
        <w:t>35:A</w:t>
      </w:r>
      <w:proofErr w:type="gramEnd"/>
      <w:r w:rsidRPr="00834ABA">
        <w:rPr>
          <w:rFonts w:ascii="Times New Roman" w:hAnsi="Times New Roman" w:cs="Times New Roman"/>
          <w:color w:val="000000" w:themeColor="text1"/>
          <w:lang w:val="en-US"/>
        </w:rPr>
        <w:t xml:space="preserve">265. </w:t>
      </w:r>
    </w:p>
    <w:p w14:paraId="3B767A96" w14:textId="4C8AF878"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11. Sharma SK, Mohan A. Miliary Tuberculosis. Microbiol </w:t>
      </w:r>
      <w:proofErr w:type="spellStart"/>
      <w:r w:rsidRPr="00834ABA">
        <w:rPr>
          <w:rFonts w:ascii="Times New Roman" w:hAnsi="Times New Roman" w:cs="Times New Roman"/>
          <w:color w:val="000000" w:themeColor="text1"/>
          <w:lang w:val="en-US"/>
        </w:rPr>
        <w:t>Spectr</w:t>
      </w:r>
      <w:proofErr w:type="spellEnd"/>
      <w:r w:rsidRPr="00834ABA">
        <w:rPr>
          <w:rFonts w:ascii="Times New Roman" w:hAnsi="Times New Roman" w:cs="Times New Roman"/>
          <w:color w:val="000000" w:themeColor="text1"/>
          <w:lang w:val="en-US"/>
        </w:rPr>
        <w:t xml:space="preserve">. mars 2017;5(2). </w:t>
      </w:r>
    </w:p>
    <w:p w14:paraId="4B499E17" w14:textId="160F7E92"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12. Kwas H. [</w:t>
      </w:r>
      <w:proofErr w:type="spellStart"/>
      <w:r w:rsidRPr="00834ABA">
        <w:rPr>
          <w:rFonts w:ascii="Times New Roman" w:hAnsi="Times New Roman" w:cs="Times New Roman"/>
          <w:color w:val="000000" w:themeColor="text1"/>
          <w:lang w:val="en-US"/>
        </w:rPr>
        <w:t>Miliary</w:t>
      </w:r>
      <w:proofErr w:type="spellEnd"/>
      <w:r w:rsidRPr="00834ABA">
        <w:rPr>
          <w:rFonts w:ascii="Times New Roman" w:hAnsi="Times New Roman" w:cs="Times New Roman"/>
          <w:color w:val="000000" w:themeColor="text1"/>
          <w:lang w:val="en-US"/>
        </w:rPr>
        <w:t xml:space="preserve"> or disseminated </w:t>
      </w:r>
      <w:proofErr w:type="spellStart"/>
      <w:proofErr w:type="gramStart"/>
      <w:r w:rsidRPr="00834ABA">
        <w:rPr>
          <w:rFonts w:ascii="Times New Roman" w:hAnsi="Times New Roman" w:cs="Times New Roman"/>
          <w:color w:val="000000" w:themeColor="text1"/>
          <w:lang w:val="en-US"/>
        </w:rPr>
        <w:t>t</w:t>
      </w:r>
      <w:r w:rsidR="00663AB8" w:rsidRPr="00834ABA">
        <w:rPr>
          <w:rFonts w:ascii="Times New Roman" w:hAnsi="Times New Roman" w:cs="Times New Roman"/>
          <w:color w:val="000000" w:themeColor="text1"/>
          <w:lang w:val="en-US"/>
        </w:rPr>
        <w:t>tuberculosis:</w:t>
      </w:r>
      <w:r w:rsidRPr="00834ABA">
        <w:rPr>
          <w:rFonts w:ascii="Times New Roman" w:hAnsi="Times New Roman" w:cs="Times New Roman"/>
          <w:color w:val="000000" w:themeColor="text1"/>
          <w:lang w:val="en-US"/>
        </w:rPr>
        <w:t>epidemiology</w:t>
      </w:r>
      <w:proofErr w:type="spellEnd"/>
      <w:proofErr w:type="gramEnd"/>
      <w:r w:rsidRPr="00834ABA">
        <w:rPr>
          <w:rFonts w:ascii="Times New Roman" w:hAnsi="Times New Roman" w:cs="Times New Roman"/>
          <w:color w:val="000000" w:themeColor="text1"/>
          <w:lang w:val="en-US"/>
        </w:rPr>
        <w:t xml:space="preserve">, diagnosis and management]. Rev Med Liege. </w:t>
      </w:r>
      <w:proofErr w:type="spellStart"/>
      <w:r w:rsidRPr="00834ABA">
        <w:rPr>
          <w:rFonts w:ascii="Times New Roman" w:hAnsi="Times New Roman" w:cs="Times New Roman"/>
          <w:color w:val="000000" w:themeColor="text1"/>
          <w:lang w:val="en-US"/>
        </w:rPr>
        <w:t>nov</w:t>
      </w:r>
      <w:proofErr w:type="spellEnd"/>
      <w:r w:rsidRPr="00834ABA">
        <w:rPr>
          <w:rFonts w:ascii="Times New Roman" w:hAnsi="Times New Roman" w:cs="Times New Roman"/>
          <w:color w:val="000000" w:themeColor="text1"/>
          <w:lang w:val="en-US"/>
        </w:rPr>
        <w:t xml:space="preserve"> 2024;79(11):724‑30. </w:t>
      </w:r>
    </w:p>
    <w:p w14:paraId="6242AAC6" w14:textId="6B7774D0"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13. Sharma SK, Mohan A, Sharma A. Challenges in the diagnosis &amp; treatment of miliary tuberculosis. Indian Journal of Medical Research. </w:t>
      </w:r>
      <w:proofErr w:type="spellStart"/>
      <w:r w:rsidRPr="00834ABA">
        <w:rPr>
          <w:rFonts w:ascii="Times New Roman" w:hAnsi="Times New Roman" w:cs="Times New Roman"/>
          <w:color w:val="000000" w:themeColor="text1"/>
          <w:lang w:val="en-US"/>
        </w:rPr>
        <w:t>mai</w:t>
      </w:r>
      <w:proofErr w:type="spellEnd"/>
      <w:r w:rsidRPr="00834ABA">
        <w:rPr>
          <w:rFonts w:ascii="Times New Roman" w:hAnsi="Times New Roman" w:cs="Times New Roman"/>
          <w:color w:val="000000" w:themeColor="text1"/>
          <w:lang w:val="en-US"/>
        </w:rPr>
        <w:t xml:space="preserve"> 2012;135(5):703. </w:t>
      </w:r>
    </w:p>
    <w:p w14:paraId="329E66A4" w14:textId="6B9A9378"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14. Ministère de la Santé et de </w:t>
      </w:r>
      <w:proofErr w:type="spellStart"/>
      <w:r w:rsidRPr="00834ABA">
        <w:rPr>
          <w:rFonts w:ascii="Times New Roman" w:hAnsi="Times New Roman" w:cs="Times New Roman"/>
          <w:color w:val="000000" w:themeColor="text1"/>
          <w:lang w:val="en-US"/>
        </w:rPr>
        <w:t>l’Action</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sociale</w:t>
      </w:r>
      <w:proofErr w:type="spellEnd"/>
      <w:r w:rsidRPr="00834ABA">
        <w:rPr>
          <w:rFonts w:ascii="Times New Roman" w:hAnsi="Times New Roman" w:cs="Times New Roman"/>
          <w:color w:val="000000" w:themeColor="text1"/>
          <w:lang w:val="en-US"/>
        </w:rPr>
        <w:t xml:space="preserve">. Plan </w:t>
      </w:r>
      <w:proofErr w:type="spellStart"/>
      <w:r w:rsidRPr="00834ABA">
        <w:rPr>
          <w:rFonts w:ascii="Times New Roman" w:hAnsi="Times New Roman" w:cs="Times New Roman"/>
          <w:color w:val="000000" w:themeColor="text1"/>
          <w:lang w:val="en-US"/>
        </w:rPr>
        <w:t>stratégique</w:t>
      </w:r>
      <w:proofErr w:type="spellEnd"/>
      <w:r w:rsidRPr="00834ABA">
        <w:rPr>
          <w:rFonts w:ascii="Times New Roman" w:hAnsi="Times New Roman" w:cs="Times New Roman"/>
          <w:color w:val="000000" w:themeColor="text1"/>
          <w:lang w:val="en-US"/>
        </w:rPr>
        <w:t xml:space="preserve"> national pour </w:t>
      </w:r>
      <w:proofErr w:type="spellStart"/>
      <w:r w:rsidRPr="00834ABA">
        <w:rPr>
          <w:rFonts w:ascii="Times New Roman" w:hAnsi="Times New Roman" w:cs="Times New Roman"/>
          <w:color w:val="000000" w:themeColor="text1"/>
          <w:lang w:val="en-US"/>
        </w:rPr>
        <w:t>une</w:t>
      </w:r>
      <w:proofErr w:type="spellEnd"/>
      <w:r w:rsidRPr="00834ABA">
        <w:rPr>
          <w:rFonts w:ascii="Times New Roman" w:hAnsi="Times New Roman" w:cs="Times New Roman"/>
          <w:color w:val="000000" w:themeColor="text1"/>
          <w:lang w:val="en-US"/>
        </w:rPr>
        <w:t xml:space="preserve"> riposte </w:t>
      </w:r>
      <w:proofErr w:type="spellStart"/>
      <w:r w:rsidRPr="00834ABA">
        <w:rPr>
          <w:rFonts w:ascii="Times New Roman" w:hAnsi="Times New Roman" w:cs="Times New Roman"/>
          <w:color w:val="000000" w:themeColor="text1"/>
          <w:lang w:val="en-US"/>
        </w:rPr>
        <w:t>multisectorielle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intégrée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contre</w:t>
      </w:r>
      <w:proofErr w:type="spellEnd"/>
      <w:r w:rsidRPr="00834ABA">
        <w:rPr>
          <w:rFonts w:ascii="Times New Roman" w:hAnsi="Times New Roman" w:cs="Times New Roman"/>
          <w:color w:val="000000" w:themeColor="text1"/>
          <w:lang w:val="en-US"/>
        </w:rPr>
        <w:t xml:space="preserve"> le </w:t>
      </w:r>
      <w:proofErr w:type="spellStart"/>
      <w:r w:rsidRPr="00834ABA">
        <w:rPr>
          <w:rFonts w:ascii="Times New Roman" w:hAnsi="Times New Roman" w:cs="Times New Roman"/>
          <w:color w:val="000000" w:themeColor="text1"/>
          <w:lang w:val="en-US"/>
        </w:rPr>
        <w:t>sida</w:t>
      </w:r>
      <w:proofErr w:type="spellEnd"/>
      <w:r w:rsidRPr="00834ABA">
        <w:rPr>
          <w:rFonts w:ascii="Times New Roman" w:hAnsi="Times New Roman" w:cs="Times New Roman"/>
          <w:color w:val="000000" w:themeColor="text1"/>
          <w:lang w:val="en-US"/>
        </w:rPr>
        <w:t xml:space="preserve">, la </w:t>
      </w:r>
      <w:proofErr w:type="spellStart"/>
      <w:r w:rsidRPr="00834ABA">
        <w:rPr>
          <w:rFonts w:ascii="Times New Roman" w:hAnsi="Times New Roman" w:cs="Times New Roman"/>
          <w:color w:val="000000" w:themeColor="text1"/>
          <w:lang w:val="en-US"/>
        </w:rPr>
        <w:t>tuberculose</w:t>
      </w:r>
      <w:proofErr w:type="spellEnd"/>
      <w:r w:rsidRPr="00834ABA">
        <w:rPr>
          <w:rFonts w:ascii="Times New Roman" w:hAnsi="Times New Roman" w:cs="Times New Roman"/>
          <w:color w:val="000000" w:themeColor="text1"/>
          <w:lang w:val="en-US"/>
        </w:rPr>
        <w:t xml:space="preserve">, les </w:t>
      </w:r>
      <w:proofErr w:type="spellStart"/>
      <w:r w:rsidRPr="00834ABA">
        <w:rPr>
          <w:rFonts w:ascii="Times New Roman" w:hAnsi="Times New Roman" w:cs="Times New Roman"/>
          <w:color w:val="000000" w:themeColor="text1"/>
          <w:lang w:val="en-US"/>
        </w:rPr>
        <w:t>hépatites</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virales</w:t>
      </w:r>
      <w:proofErr w:type="spellEnd"/>
      <w:r w:rsidRPr="00834ABA">
        <w:rPr>
          <w:rFonts w:ascii="Times New Roman" w:hAnsi="Times New Roman" w:cs="Times New Roman"/>
          <w:color w:val="000000" w:themeColor="text1"/>
          <w:lang w:val="en-US"/>
        </w:rPr>
        <w:t xml:space="preserve"> et les IST, 2023–2030 [Internet]. </w:t>
      </w:r>
      <w:proofErr w:type="gramStart"/>
      <w:r w:rsidR="00C15D28" w:rsidRPr="00834ABA">
        <w:rPr>
          <w:rFonts w:ascii="Times New Roman" w:hAnsi="Times New Roman" w:cs="Times New Roman"/>
          <w:color w:val="000000" w:themeColor="text1"/>
          <w:lang w:val="en-US"/>
        </w:rPr>
        <w:t>Dakar :</w:t>
      </w:r>
      <w:proofErr w:type="gram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Gouvernement</w:t>
      </w:r>
      <w:proofErr w:type="spellEnd"/>
      <w:r w:rsidRPr="00834ABA">
        <w:rPr>
          <w:rFonts w:ascii="Times New Roman" w:hAnsi="Times New Roman" w:cs="Times New Roman"/>
          <w:color w:val="000000" w:themeColor="text1"/>
          <w:lang w:val="en-US"/>
        </w:rPr>
        <w:t xml:space="preserve"> du </w:t>
      </w:r>
      <w:proofErr w:type="spellStart"/>
      <w:r w:rsidR="00C15D28" w:rsidRPr="00834ABA">
        <w:rPr>
          <w:rFonts w:ascii="Times New Roman" w:hAnsi="Times New Roman" w:cs="Times New Roman"/>
          <w:color w:val="000000" w:themeColor="text1"/>
          <w:lang w:val="en-US"/>
        </w:rPr>
        <w:t>Sénégal</w:t>
      </w:r>
      <w:proofErr w:type="spellEnd"/>
      <w:r w:rsidR="00C15D28" w:rsidRPr="00834ABA">
        <w:rPr>
          <w:rFonts w:ascii="Times New Roman" w:hAnsi="Times New Roman" w:cs="Times New Roman"/>
          <w:color w:val="000000" w:themeColor="text1"/>
          <w:lang w:val="en-US"/>
        </w:rPr>
        <w:t xml:space="preserve"> ;</w:t>
      </w:r>
      <w:r w:rsidRPr="00834ABA">
        <w:rPr>
          <w:rFonts w:ascii="Times New Roman" w:hAnsi="Times New Roman" w:cs="Times New Roman"/>
          <w:color w:val="000000" w:themeColor="text1"/>
          <w:lang w:val="en-US"/>
        </w:rPr>
        <w:t xml:space="preserve"> 2023. Disponible </w:t>
      </w:r>
      <w:proofErr w:type="gramStart"/>
      <w:r w:rsidR="00C15D28" w:rsidRPr="00834ABA">
        <w:rPr>
          <w:rFonts w:ascii="Times New Roman" w:hAnsi="Times New Roman" w:cs="Times New Roman"/>
          <w:color w:val="000000" w:themeColor="text1"/>
          <w:lang w:val="en-US"/>
        </w:rPr>
        <w:t>sur :</w:t>
      </w:r>
      <w:proofErr w:type="gramEnd"/>
      <w:r w:rsidRPr="00834ABA">
        <w:rPr>
          <w:rFonts w:ascii="Times New Roman" w:hAnsi="Times New Roman" w:cs="Times New Roman"/>
          <w:color w:val="000000" w:themeColor="text1"/>
          <w:lang w:val="en-US"/>
        </w:rPr>
        <w:t xml:space="preserve"> https://www.cnls-senegal.org/wp-content/uploads/2023/09/PSN-CNLS-2023-2030.pdf</w:t>
      </w:r>
    </w:p>
    <w:p w14:paraId="01D46CF6" w14:textId="23654237"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15. Touré NO, Cissé MF, Dia Kane Y, Diatta A, Bouker Bakioui B, Ndiaye EHM, et al.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proofErr w:type="gram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w:t>
      </w:r>
      <w:proofErr w:type="gramEnd"/>
      <w:r w:rsidRPr="00834ABA">
        <w:rPr>
          <w:rFonts w:ascii="Times New Roman" w:hAnsi="Times New Roman" w:cs="Times New Roman"/>
          <w:color w:val="000000" w:themeColor="text1"/>
          <w:lang w:val="en-US"/>
        </w:rPr>
        <w:t xml:space="preserve"> à </w:t>
      </w:r>
      <w:proofErr w:type="spellStart"/>
      <w:r w:rsidRPr="00834ABA">
        <w:rPr>
          <w:rFonts w:ascii="Times New Roman" w:hAnsi="Times New Roman" w:cs="Times New Roman"/>
          <w:color w:val="000000" w:themeColor="text1"/>
          <w:lang w:val="en-US"/>
        </w:rPr>
        <w:t>propos</w:t>
      </w:r>
      <w:proofErr w:type="spellEnd"/>
      <w:r w:rsidRPr="00834ABA">
        <w:rPr>
          <w:rFonts w:ascii="Times New Roman" w:hAnsi="Times New Roman" w:cs="Times New Roman"/>
          <w:color w:val="000000" w:themeColor="text1"/>
          <w:lang w:val="en-US"/>
        </w:rPr>
        <w:t xml:space="preserve"> de 49 </w:t>
      </w:r>
      <w:proofErr w:type="spellStart"/>
      <w:r w:rsidRPr="00834ABA">
        <w:rPr>
          <w:rFonts w:ascii="Times New Roman" w:hAnsi="Times New Roman" w:cs="Times New Roman"/>
          <w:color w:val="000000" w:themeColor="text1"/>
          <w:lang w:val="en-US"/>
        </w:rPr>
        <w:t>cas</w:t>
      </w:r>
      <w:proofErr w:type="spellEnd"/>
      <w:r w:rsidRPr="00834ABA">
        <w:rPr>
          <w:rFonts w:ascii="Times New Roman" w:hAnsi="Times New Roman" w:cs="Times New Roman"/>
          <w:color w:val="000000" w:themeColor="text1"/>
          <w:lang w:val="en-US"/>
        </w:rPr>
        <w:t xml:space="preserve">. Revue des Maladies Respiratoires. 1 </w:t>
      </w:r>
      <w:proofErr w:type="gramStart"/>
      <w:r w:rsidRPr="00834ABA">
        <w:rPr>
          <w:rFonts w:ascii="Times New Roman" w:hAnsi="Times New Roman" w:cs="Times New Roman"/>
          <w:color w:val="000000" w:themeColor="text1"/>
          <w:lang w:val="en-US"/>
        </w:rPr>
        <w:t>mars</w:t>
      </w:r>
      <w:proofErr w:type="gramEnd"/>
      <w:r w:rsidRPr="00834ABA">
        <w:rPr>
          <w:rFonts w:ascii="Times New Roman" w:hAnsi="Times New Roman" w:cs="Times New Roman"/>
          <w:color w:val="000000" w:themeColor="text1"/>
          <w:lang w:val="en-US"/>
        </w:rPr>
        <w:t xml:space="preserve"> 2011;28(3):312‑6. </w:t>
      </w:r>
    </w:p>
    <w:p w14:paraId="4D64C281" w14:textId="7EA9F737"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16. Al-</w:t>
      </w:r>
      <w:proofErr w:type="spellStart"/>
      <w:r w:rsidRPr="00834ABA">
        <w:rPr>
          <w:rFonts w:ascii="Times New Roman" w:hAnsi="Times New Roman" w:cs="Times New Roman"/>
          <w:color w:val="000000" w:themeColor="text1"/>
          <w:lang w:val="en-US"/>
        </w:rPr>
        <w:t>Jahdali</w:t>
      </w:r>
      <w:proofErr w:type="spellEnd"/>
      <w:r w:rsidRPr="00834ABA">
        <w:rPr>
          <w:rFonts w:ascii="Times New Roman" w:hAnsi="Times New Roman" w:cs="Times New Roman"/>
          <w:color w:val="000000" w:themeColor="text1"/>
          <w:lang w:val="en-US"/>
        </w:rPr>
        <w:t xml:space="preserve"> H, Al-Zahrani K, </w:t>
      </w:r>
      <w:proofErr w:type="spellStart"/>
      <w:r w:rsidRPr="00834ABA">
        <w:rPr>
          <w:rFonts w:ascii="Times New Roman" w:hAnsi="Times New Roman" w:cs="Times New Roman"/>
          <w:color w:val="000000" w:themeColor="text1"/>
          <w:lang w:val="en-US"/>
        </w:rPr>
        <w:t>Amene</w:t>
      </w:r>
      <w:proofErr w:type="spellEnd"/>
      <w:r w:rsidRPr="00834ABA">
        <w:rPr>
          <w:rFonts w:ascii="Times New Roman" w:hAnsi="Times New Roman" w:cs="Times New Roman"/>
          <w:color w:val="000000" w:themeColor="text1"/>
          <w:lang w:val="en-US"/>
        </w:rPr>
        <w:t xml:space="preserve"> P, </w:t>
      </w:r>
      <w:proofErr w:type="spellStart"/>
      <w:r w:rsidRPr="00834ABA">
        <w:rPr>
          <w:rFonts w:ascii="Times New Roman" w:hAnsi="Times New Roman" w:cs="Times New Roman"/>
          <w:color w:val="000000" w:themeColor="text1"/>
          <w:lang w:val="en-US"/>
        </w:rPr>
        <w:t>Memish</w:t>
      </w:r>
      <w:proofErr w:type="spellEnd"/>
      <w:r w:rsidRPr="00834ABA">
        <w:rPr>
          <w:rFonts w:ascii="Times New Roman" w:hAnsi="Times New Roman" w:cs="Times New Roman"/>
          <w:color w:val="000000" w:themeColor="text1"/>
          <w:lang w:val="en-US"/>
        </w:rPr>
        <w:t xml:space="preserve"> Z, Al-</w:t>
      </w:r>
      <w:proofErr w:type="spellStart"/>
      <w:r w:rsidRPr="00834ABA">
        <w:rPr>
          <w:rFonts w:ascii="Times New Roman" w:hAnsi="Times New Roman" w:cs="Times New Roman"/>
          <w:color w:val="000000" w:themeColor="text1"/>
          <w:lang w:val="en-US"/>
        </w:rPr>
        <w:t>Shimemeri</w:t>
      </w:r>
      <w:proofErr w:type="spellEnd"/>
      <w:r w:rsidRPr="00834ABA">
        <w:rPr>
          <w:rFonts w:ascii="Times New Roman" w:hAnsi="Times New Roman" w:cs="Times New Roman"/>
          <w:color w:val="000000" w:themeColor="text1"/>
          <w:lang w:val="en-US"/>
        </w:rPr>
        <w:t xml:space="preserve"> A, </w:t>
      </w:r>
      <w:proofErr w:type="spellStart"/>
      <w:r w:rsidRPr="00834ABA">
        <w:rPr>
          <w:rFonts w:ascii="Times New Roman" w:hAnsi="Times New Roman" w:cs="Times New Roman"/>
          <w:color w:val="000000" w:themeColor="text1"/>
          <w:lang w:val="en-US"/>
        </w:rPr>
        <w:t>Moamary</w:t>
      </w:r>
      <w:proofErr w:type="spellEnd"/>
      <w:r w:rsidRPr="00834ABA">
        <w:rPr>
          <w:rFonts w:ascii="Times New Roman" w:hAnsi="Times New Roman" w:cs="Times New Roman"/>
          <w:color w:val="000000" w:themeColor="text1"/>
          <w:lang w:val="en-US"/>
        </w:rPr>
        <w:t xml:space="preserve"> M, et al. Clinical aspects of miliary tuberculosis in Saudi adults. Int J </w:t>
      </w:r>
      <w:proofErr w:type="spellStart"/>
      <w:r w:rsidRPr="00834ABA">
        <w:rPr>
          <w:rFonts w:ascii="Times New Roman" w:hAnsi="Times New Roman" w:cs="Times New Roman"/>
          <w:color w:val="000000" w:themeColor="text1"/>
          <w:lang w:val="en-US"/>
        </w:rPr>
        <w:t>Tuberc</w:t>
      </w:r>
      <w:proofErr w:type="spellEnd"/>
      <w:r w:rsidRPr="00834ABA">
        <w:rPr>
          <w:rFonts w:ascii="Times New Roman" w:hAnsi="Times New Roman" w:cs="Times New Roman"/>
          <w:color w:val="000000" w:themeColor="text1"/>
          <w:lang w:val="en-US"/>
        </w:rPr>
        <w:t xml:space="preserve"> Lung Dis. mars 2000;4(3):252‑5. </w:t>
      </w:r>
    </w:p>
    <w:p w14:paraId="2D869DFE" w14:textId="597E04DF"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17. Veiga González M, Riestra Martínez M, Fresno </w:t>
      </w:r>
      <w:proofErr w:type="spellStart"/>
      <w:r w:rsidRPr="00834ABA">
        <w:rPr>
          <w:rFonts w:ascii="Times New Roman" w:hAnsi="Times New Roman" w:cs="Times New Roman"/>
          <w:color w:val="000000" w:themeColor="text1"/>
          <w:lang w:val="en-US"/>
        </w:rPr>
        <w:t>Forcelledo</w:t>
      </w:r>
      <w:proofErr w:type="spellEnd"/>
      <w:r w:rsidRPr="00834ABA">
        <w:rPr>
          <w:rFonts w:ascii="Times New Roman" w:hAnsi="Times New Roman" w:cs="Times New Roman"/>
          <w:color w:val="000000" w:themeColor="text1"/>
          <w:lang w:val="en-US"/>
        </w:rPr>
        <w:t xml:space="preserve"> M, González </w:t>
      </w:r>
      <w:proofErr w:type="spellStart"/>
      <w:r w:rsidRPr="00834ABA">
        <w:rPr>
          <w:rFonts w:ascii="Times New Roman" w:hAnsi="Times New Roman" w:cs="Times New Roman"/>
          <w:color w:val="000000" w:themeColor="text1"/>
          <w:lang w:val="en-US"/>
        </w:rPr>
        <w:t>González</w:t>
      </w:r>
      <w:proofErr w:type="spellEnd"/>
      <w:r w:rsidRPr="00834ABA">
        <w:rPr>
          <w:rFonts w:ascii="Times New Roman" w:hAnsi="Times New Roman" w:cs="Times New Roman"/>
          <w:color w:val="000000" w:themeColor="text1"/>
          <w:lang w:val="en-US"/>
        </w:rPr>
        <w:t xml:space="preserve"> M, </w:t>
      </w:r>
      <w:proofErr w:type="spellStart"/>
      <w:r w:rsidRPr="00834ABA">
        <w:rPr>
          <w:rFonts w:ascii="Times New Roman" w:hAnsi="Times New Roman" w:cs="Times New Roman"/>
          <w:color w:val="000000" w:themeColor="text1"/>
          <w:lang w:val="en-US"/>
        </w:rPr>
        <w:t>Ablanedo</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Ablanedo</w:t>
      </w:r>
      <w:proofErr w:type="spellEnd"/>
      <w:r w:rsidRPr="00834ABA">
        <w:rPr>
          <w:rFonts w:ascii="Times New Roman" w:hAnsi="Times New Roman" w:cs="Times New Roman"/>
          <w:color w:val="000000" w:themeColor="text1"/>
          <w:lang w:val="en-US"/>
        </w:rPr>
        <w:t xml:space="preserve"> P, Herrero Zapatero A. [Miliary tuberculosis. Autopsy study of 29 cases]. </w:t>
      </w:r>
      <w:proofErr w:type="gramStart"/>
      <w:r w:rsidRPr="00834ABA">
        <w:rPr>
          <w:rFonts w:ascii="Times New Roman" w:hAnsi="Times New Roman" w:cs="Times New Roman"/>
          <w:color w:val="000000" w:themeColor="text1"/>
          <w:lang w:val="en-US"/>
        </w:rPr>
        <w:t>An</w:t>
      </w:r>
      <w:proofErr w:type="gramEnd"/>
      <w:r w:rsidRPr="00834ABA">
        <w:rPr>
          <w:rFonts w:ascii="Times New Roman" w:hAnsi="Times New Roman" w:cs="Times New Roman"/>
          <w:color w:val="000000" w:themeColor="text1"/>
          <w:lang w:val="en-US"/>
        </w:rPr>
        <w:t xml:space="preserve"> Med Interna.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1995;12(1):17‑20. </w:t>
      </w:r>
    </w:p>
    <w:p w14:paraId="2067DC90" w14:textId="528DBDA5"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18. Amraoui A, </w:t>
      </w:r>
      <w:proofErr w:type="spellStart"/>
      <w:r w:rsidRPr="00834ABA">
        <w:rPr>
          <w:rFonts w:ascii="Times New Roman" w:hAnsi="Times New Roman" w:cs="Times New Roman"/>
          <w:color w:val="000000" w:themeColor="text1"/>
          <w:lang w:val="en-US"/>
        </w:rPr>
        <w:t>Mokadem</w:t>
      </w:r>
      <w:proofErr w:type="spellEnd"/>
      <w:r w:rsidRPr="00834ABA">
        <w:rPr>
          <w:rFonts w:ascii="Times New Roman" w:hAnsi="Times New Roman" w:cs="Times New Roman"/>
          <w:color w:val="000000" w:themeColor="text1"/>
          <w:lang w:val="en-US"/>
        </w:rPr>
        <w:t xml:space="preserve"> F, </w:t>
      </w:r>
      <w:proofErr w:type="spellStart"/>
      <w:r w:rsidRPr="00834ABA">
        <w:rPr>
          <w:rFonts w:ascii="Times New Roman" w:hAnsi="Times New Roman" w:cs="Times New Roman"/>
          <w:color w:val="000000" w:themeColor="text1"/>
          <w:lang w:val="en-US"/>
        </w:rPr>
        <w:t>Saighi</w:t>
      </w:r>
      <w:proofErr w:type="spellEnd"/>
      <w:r w:rsidRPr="00834ABA">
        <w:rPr>
          <w:rFonts w:ascii="Times New Roman" w:hAnsi="Times New Roman" w:cs="Times New Roman"/>
          <w:color w:val="000000" w:themeColor="text1"/>
          <w:lang w:val="en-US"/>
        </w:rPr>
        <w:t xml:space="preserve"> O. Le </w:t>
      </w:r>
      <w:proofErr w:type="spellStart"/>
      <w:r w:rsidRPr="00834ABA">
        <w:rPr>
          <w:rFonts w:ascii="Times New Roman" w:hAnsi="Times New Roman" w:cs="Times New Roman"/>
          <w:color w:val="000000" w:themeColor="text1"/>
          <w:lang w:val="en-US"/>
        </w:rPr>
        <w:t>profil</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épidémiologique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clinique</w:t>
      </w:r>
      <w:proofErr w:type="spellEnd"/>
      <w:r w:rsidRPr="00834ABA">
        <w:rPr>
          <w:rFonts w:ascii="Times New Roman" w:hAnsi="Times New Roman" w:cs="Times New Roman"/>
          <w:color w:val="000000" w:themeColor="text1"/>
          <w:lang w:val="en-US"/>
        </w:rPr>
        <w:t xml:space="preserve"> et </w:t>
      </w:r>
      <w:proofErr w:type="spellStart"/>
      <w:r w:rsidRPr="00834ABA">
        <w:rPr>
          <w:rFonts w:ascii="Times New Roman" w:hAnsi="Times New Roman" w:cs="Times New Roman"/>
          <w:color w:val="000000" w:themeColor="text1"/>
          <w:lang w:val="en-US"/>
        </w:rPr>
        <w:t>radiologique</w:t>
      </w:r>
      <w:proofErr w:type="spellEnd"/>
      <w:r w:rsidRPr="00834ABA">
        <w:rPr>
          <w:rFonts w:ascii="Times New Roman" w:hAnsi="Times New Roman" w:cs="Times New Roman"/>
          <w:color w:val="000000" w:themeColor="text1"/>
          <w:lang w:val="en-US"/>
        </w:rPr>
        <w:t xml:space="preserve"> de la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proofErr w:type="gram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w:t>
      </w:r>
      <w:proofErr w:type="gramEnd"/>
      <w:r w:rsidRPr="00834ABA">
        <w:rPr>
          <w:rFonts w:ascii="Times New Roman" w:hAnsi="Times New Roman" w:cs="Times New Roman"/>
          <w:color w:val="000000" w:themeColor="text1"/>
          <w:lang w:val="en-US"/>
        </w:rPr>
        <w:t xml:space="preserve"> à </w:t>
      </w:r>
      <w:proofErr w:type="spellStart"/>
      <w:r w:rsidRPr="00834ABA">
        <w:rPr>
          <w:rFonts w:ascii="Times New Roman" w:hAnsi="Times New Roman" w:cs="Times New Roman"/>
          <w:color w:val="000000" w:themeColor="text1"/>
          <w:lang w:val="en-US"/>
        </w:rPr>
        <w:t>propos</w:t>
      </w:r>
      <w:proofErr w:type="spellEnd"/>
      <w:r w:rsidRPr="00834ABA">
        <w:rPr>
          <w:rFonts w:ascii="Times New Roman" w:hAnsi="Times New Roman" w:cs="Times New Roman"/>
          <w:color w:val="000000" w:themeColor="text1"/>
          <w:lang w:val="en-US"/>
        </w:rPr>
        <w:t xml:space="preserve"> de 37 </w:t>
      </w:r>
      <w:proofErr w:type="spellStart"/>
      <w:r w:rsidRPr="00834ABA">
        <w:rPr>
          <w:rFonts w:ascii="Times New Roman" w:hAnsi="Times New Roman" w:cs="Times New Roman"/>
          <w:color w:val="000000" w:themeColor="text1"/>
          <w:lang w:val="en-US"/>
        </w:rPr>
        <w:t>cas</w:t>
      </w:r>
      <w:proofErr w:type="spellEnd"/>
      <w:r w:rsidRPr="00834ABA">
        <w:rPr>
          <w:rFonts w:ascii="Times New Roman" w:hAnsi="Times New Roman" w:cs="Times New Roman"/>
          <w:color w:val="000000" w:themeColor="text1"/>
          <w:lang w:val="en-US"/>
        </w:rPr>
        <w:t xml:space="preserve">. Revue des Maladies Respiratoires.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2016;</w:t>
      </w:r>
      <w:proofErr w:type="gramStart"/>
      <w:r w:rsidRPr="00834ABA">
        <w:rPr>
          <w:rFonts w:ascii="Times New Roman" w:hAnsi="Times New Roman" w:cs="Times New Roman"/>
          <w:color w:val="000000" w:themeColor="text1"/>
          <w:lang w:val="en-US"/>
        </w:rPr>
        <w:t>33:A</w:t>
      </w:r>
      <w:proofErr w:type="gramEnd"/>
      <w:r w:rsidRPr="00834ABA">
        <w:rPr>
          <w:rFonts w:ascii="Times New Roman" w:hAnsi="Times New Roman" w:cs="Times New Roman"/>
          <w:color w:val="000000" w:themeColor="text1"/>
          <w:lang w:val="en-US"/>
        </w:rPr>
        <w:t xml:space="preserve">167. </w:t>
      </w:r>
    </w:p>
    <w:p w14:paraId="4B853822" w14:textId="073B8036"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lastRenderedPageBreak/>
        <w:t xml:space="preserve">19. </w:t>
      </w:r>
      <w:proofErr w:type="spellStart"/>
      <w:r w:rsidRPr="00834ABA">
        <w:rPr>
          <w:rFonts w:ascii="Times New Roman" w:hAnsi="Times New Roman" w:cs="Times New Roman"/>
          <w:color w:val="000000" w:themeColor="text1"/>
          <w:lang w:val="en-US"/>
        </w:rPr>
        <w:t>Eudoscie</w:t>
      </w:r>
      <w:proofErr w:type="spellEnd"/>
      <w:r w:rsidRPr="00834ABA">
        <w:rPr>
          <w:rFonts w:ascii="Times New Roman" w:hAnsi="Times New Roman" w:cs="Times New Roman"/>
          <w:color w:val="000000" w:themeColor="text1"/>
          <w:lang w:val="en-US"/>
        </w:rPr>
        <w:t xml:space="preserve"> DA, </w:t>
      </w:r>
      <w:proofErr w:type="spellStart"/>
      <w:r w:rsidRPr="00834ABA">
        <w:rPr>
          <w:rFonts w:ascii="Times New Roman" w:hAnsi="Times New Roman" w:cs="Times New Roman"/>
          <w:color w:val="000000" w:themeColor="text1"/>
          <w:lang w:val="en-US"/>
        </w:rPr>
        <w:t>Alima</w:t>
      </w:r>
      <w:proofErr w:type="spellEnd"/>
      <w:r w:rsidRPr="00834ABA">
        <w:rPr>
          <w:rFonts w:ascii="Times New Roman" w:hAnsi="Times New Roman" w:cs="Times New Roman"/>
          <w:color w:val="000000" w:themeColor="text1"/>
          <w:lang w:val="en-US"/>
        </w:rPr>
        <w:t xml:space="preserve"> K, Olivier KM, Eric A, Benjamin K, Nancy M, et al. </w:t>
      </w:r>
      <w:r w:rsidR="002A26CD" w:rsidRPr="00834ABA">
        <w:rPr>
          <w:rFonts w:ascii="Times New Roman" w:hAnsi="Times New Roman" w:cs="Times New Roman"/>
          <w:color w:val="000000" w:themeColor="text1"/>
          <w:lang w:val="en-US"/>
        </w:rPr>
        <w:t xml:space="preserve">Epidemiological, Clinical and Evolutionary Aspects of Miliary Tuberculosis (MT) in the Pulmonology Department of </w:t>
      </w:r>
      <w:proofErr w:type="spellStart"/>
      <w:r w:rsidR="002A26CD" w:rsidRPr="00834ABA">
        <w:rPr>
          <w:rFonts w:ascii="Times New Roman" w:hAnsi="Times New Roman" w:cs="Times New Roman"/>
          <w:color w:val="000000" w:themeColor="text1"/>
          <w:lang w:val="en-US"/>
        </w:rPr>
        <w:t>Cocody</w:t>
      </w:r>
      <w:proofErr w:type="spellEnd"/>
      <w:r w:rsidR="002A26CD" w:rsidRPr="00834ABA">
        <w:rPr>
          <w:rFonts w:ascii="Times New Roman" w:hAnsi="Times New Roman" w:cs="Times New Roman"/>
          <w:color w:val="000000" w:themeColor="text1"/>
          <w:lang w:val="en-US"/>
        </w:rPr>
        <w:t xml:space="preserve"> University Hospital, Abidjan, 2016–2020.</w:t>
      </w:r>
      <w:r w:rsidR="002A26CD" w:rsidRPr="00834ABA">
        <w:rPr>
          <w:rFonts w:ascii="Times New Roman" w:hAnsi="Times New Roman" w:cs="Times New Roman"/>
          <w:b/>
          <w:bCs/>
          <w:color w:val="000000" w:themeColor="text1"/>
          <w:lang w:val="en-US"/>
        </w:rPr>
        <w:t> </w:t>
      </w:r>
      <w:r w:rsidR="002A26CD" w:rsidRPr="00834ABA">
        <w:rPr>
          <w:rFonts w:ascii="Times New Roman" w:hAnsi="Times New Roman" w:cs="Times New Roman"/>
          <w:color w:val="000000" w:themeColor="text1"/>
          <w:lang w:val="en-US"/>
        </w:rPr>
        <w:t xml:space="preserve">J Fran Vent </w:t>
      </w:r>
      <w:proofErr w:type="spellStart"/>
      <w:r w:rsidR="002A26CD" w:rsidRPr="00834ABA">
        <w:rPr>
          <w:rFonts w:ascii="Times New Roman" w:hAnsi="Times New Roman" w:cs="Times New Roman"/>
          <w:color w:val="000000" w:themeColor="text1"/>
          <w:lang w:val="en-US"/>
        </w:rPr>
        <w:t>PulmS</w:t>
      </w:r>
      <w:proofErr w:type="spellEnd"/>
      <w:r w:rsidR="002A26CD" w:rsidRPr="00834ABA">
        <w:rPr>
          <w:rFonts w:ascii="Times New Roman" w:hAnsi="Times New Roman" w:cs="Times New Roman"/>
          <w:color w:val="000000" w:themeColor="text1"/>
          <w:lang w:val="en-US"/>
        </w:rPr>
        <w:t> 2026;51(17):1-7</w:t>
      </w:r>
      <w:r w:rsidRPr="00834ABA">
        <w:rPr>
          <w:rFonts w:ascii="Times New Roman" w:hAnsi="Times New Roman" w:cs="Times New Roman"/>
          <w:color w:val="000000" w:themeColor="text1"/>
          <w:lang w:val="en-US"/>
        </w:rPr>
        <w:t xml:space="preserve"> </w:t>
      </w:r>
    </w:p>
    <w:p w14:paraId="50C7568E" w14:textId="5DB86D07"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20. </w:t>
      </w:r>
      <w:proofErr w:type="spellStart"/>
      <w:r w:rsidRPr="00834ABA">
        <w:rPr>
          <w:rFonts w:ascii="Times New Roman" w:hAnsi="Times New Roman" w:cs="Times New Roman"/>
          <w:color w:val="000000" w:themeColor="text1"/>
          <w:lang w:val="en-US"/>
        </w:rPr>
        <w:t>Ahibena</w:t>
      </w:r>
      <w:proofErr w:type="spellEnd"/>
      <w:r w:rsidRPr="00834ABA">
        <w:rPr>
          <w:rFonts w:ascii="Times New Roman" w:hAnsi="Times New Roman" w:cs="Times New Roman"/>
          <w:color w:val="000000" w:themeColor="text1"/>
          <w:lang w:val="en-US"/>
        </w:rPr>
        <w:t xml:space="preserve"> LWE, </w:t>
      </w:r>
      <w:proofErr w:type="spellStart"/>
      <w:r w:rsidRPr="00834ABA">
        <w:rPr>
          <w:rFonts w:ascii="Times New Roman" w:hAnsi="Times New Roman" w:cs="Times New Roman"/>
          <w:color w:val="000000" w:themeColor="text1"/>
          <w:lang w:val="en-US"/>
        </w:rPr>
        <w:t>Bitchong</w:t>
      </w:r>
      <w:proofErr w:type="spellEnd"/>
      <w:r w:rsidRPr="00834ABA">
        <w:rPr>
          <w:rFonts w:ascii="Times New Roman" w:hAnsi="Times New Roman" w:cs="Times New Roman"/>
          <w:color w:val="000000" w:themeColor="text1"/>
          <w:lang w:val="en-US"/>
        </w:rPr>
        <w:t xml:space="preserve"> CE, </w:t>
      </w:r>
      <w:proofErr w:type="spellStart"/>
      <w:r w:rsidRPr="00834ABA">
        <w:rPr>
          <w:rFonts w:ascii="Times New Roman" w:hAnsi="Times New Roman" w:cs="Times New Roman"/>
          <w:color w:val="000000" w:themeColor="text1"/>
          <w:lang w:val="en-US"/>
        </w:rPr>
        <w:t>Massongo</w:t>
      </w:r>
      <w:proofErr w:type="spellEnd"/>
      <w:r w:rsidRPr="00834ABA">
        <w:rPr>
          <w:rFonts w:ascii="Times New Roman" w:hAnsi="Times New Roman" w:cs="Times New Roman"/>
          <w:color w:val="000000" w:themeColor="text1"/>
          <w:lang w:val="en-US"/>
        </w:rPr>
        <w:t xml:space="preserve"> M, Sine VR, Ze EA. Aspect </w:t>
      </w:r>
      <w:proofErr w:type="spellStart"/>
      <w:r w:rsidRPr="00834ABA">
        <w:rPr>
          <w:rFonts w:ascii="Times New Roman" w:hAnsi="Times New Roman" w:cs="Times New Roman"/>
          <w:color w:val="000000" w:themeColor="text1"/>
          <w:lang w:val="en-US"/>
        </w:rPr>
        <w:t>épidémiologiques</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cliniques</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paracliniques</w:t>
      </w:r>
      <w:proofErr w:type="spellEnd"/>
      <w:r w:rsidRPr="00834ABA">
        <w:rPr>
          <w:rFonts w:ascii="Times New Roman" w:hAnsi="Times New Roman" w:cs="Times New Roman"/>
          <w:color w:val="000000" w:themeColor="text1"/>
          <w:lang w:val="en-US"/>
        </w:rPr>
        <w:t xml:space="preserve"> et </w:t>
      </w:r>
      <w:proofErr w:type="spellStart"/>
      <w:r w:rsidRPr="00834ABA">
        <w:rPr>
          <w:rFonts w:ascii="Times New Roman" w:hAnsi="Times New Roman" w:cs="Times New Roman"/>
          <w:color w:val="000000" w:themeColor="text1"/>
          <w:lang w:val="en-US"/>
        </w:rPr>
        <w:t>évolutifs</w:t>
      </w:r>
      <w:proofErr w:type="spellEnd"/>
      <w:r w:rsidRPr="00834ABA">
        <w:rPr>
          <w:rFonts w:ascii="Times New Roman" w:hAnsi="Times New Roman" w:cs="Times New Roman"/>
          <w:color w:val="000000" w:themeColor="text1"/>
          <w:lang w:val="en-US"/>
        </w:rPr>
        <w:t xml:space="preserve"> de la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à </w:t>
      </w:r>
      <w:proofErr w:type="spellStart"/>
      <w:r w:rsidRPr="00834ABA">
        <w:rPr>
          <w:rFonts w:ascii="Times New Roman" w:hAnsi="Times New Roman" w:cs="Times New Roman"/>
          <w:color w:val="000000" w:themeColor="text1"/>
          <w:lang w:val="en-US"/>
        </w:rPr>
        <w:t>l’hôpital</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Jamot</w:t>
      </w:r>
      <w:proofErr w:type="spellEnd"/>
      <w:r w:rsidRPr="00834ABA">
        <w:rPr>
          <w:rFonts w:ascii="Times New Roman" w:hAnsi="Times New Roman" w:cs="Times New Roman"/>
          <w:color w:val="000000" w:themeColor="text1"/>
          <w:lang w:val="en-US"/>
        </w:rPr>
        <w:t xml:space="preserve">-de-Yaoundé. Revue des Maladies Respiratoires.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2018;</w:t>
      </w:r>
      <w:proofErr w:type="gramStart"/>
      <w:r w:rsidRPr="00834ABA">
        <w:rPr>
          <w:rFonts w:ascii="Times New Roman" w:hAnsi="Times New Roman" w:cs="Times New Roman"/>
          <w:color w:val="000000" w:themeColor="text1"/>
          <w:lang w:val="en-US"/>
        </w:rPr>
        <w:t>35:A</w:t>
      </w:r>
      <w:proofErr w:type="gramEnd"/>
      <w:r w:rsidRPr="00834ABA">
        <w:rPr>
          <w:rFonts w:ascii="Times New Roman" w:hAnsi="Times New Roman" w:cs="Times New Roman"/>
          <w:color w:val="000000" w:themeColor="text1"/>
          <w:lang w:val="en-US"/>
        </w:rPr>
        <w:t xml:space="preserve">262. </w:t>
      </w:r>
    </w:p>
    <w:p w14:paraId="0A505623" w14:textId="551D3CF5"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21. </w:t>
      </w:r>
      <w:proofErr w:type="spellStart"/>
      <w:r w:rsidRPr="00834ABA">
        <w:rPr>
          <w:rFonts w:ascii="Times New Roman" w:hAnsi="Times New Roman" w:cs="Times New Roman"/>
          <w:color w:val="000000" w:themeColor="text1"/>
          <w:lang w:val="en-US"/>
        </w:rPr>
        <w:t>Toloba</w:t>
      </w:r>
      <w:proofErr w:type="spellEnd"/>
      <w:r w:rsidRPr="00834ABA">
        <w:rPr>
          <w:rFonts w:ascii="Times New Roman" w:hAnsi="Times New Roman" w:cs="Times New Roman"/>
          <w:color w:val="000000" w:themeColor="text1"/>
          <w:lang w:val="en-US"/>
        </w:rPr>
        <w:t xml:space="preserve"> Y, Diallo S, Maïga Y, Sissoko BF, </w:t>
      </w:r>
      <w:proofErr w:type="spellStart"/>
      <w:r w:rsidRPr="00834ABA">
        <w:rPr>
          <w:rFonts w:ascii="Times New Roman" w:hAnsi="Times New Roman" w:cs="Times New Roman"/>
          <w:color w:val="000000" w:themeColor="text1"/>
          <w:lang w:val="en-US"/>
        </w:rPr>
        <w:t>Keïta</w:t>
      </w:r>
      <w:proofErr w:type="spellEnd"/>
      <w:r w:rsidRPr="00834ABA">
        <w:rPr>
          <w:rFonts w:ascii="Times New Roman" w:hAnsi="Times New Roman" w:cs="Times New Roman"/>
          <w:color w:val="000000" w:themeColor="text1"/>
          <w:lang w:val="en-US"/>
        </w:rPr>
        <w:t xml:space="preserve"> B.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au Mali pendant la </w:t>
      </w:r>
      <w:proofErr w:type="spellStart"/>
      <w:r w:rsidRPr="00834ABA">
        <w:rPr>
          <w:rFonts w:ascii="Times New Roman" w:hAnsi="Times New Roman" w:cs="Times New Roman"/>
          <w:color w:val="000000" w:themeColor="text1"/>
          <w:lang w:val="en-US"/>
        </w:rPr>
        <w:t>décennie</w:t>
      </w:r>
      <w:proofErr w:type="spellEnd"/>
      <w:r w:rsidRPr="00834ABA">
        <w:rPr>
          <w:rFonts w:ascii="Times New Roman" w:hAnsi="Times New Roman" w:cs="Times New Roman"/>
          <w:color w:val="000000" w:themeColor="text1"/>
          <w:lang w:val="en-US"/>
        </w:rPr>
        <w:t xml:space="preserve"> 2000–2009. Revue de </w:t>
      </w:r>
      <w:proofErr w:type="spellStart"/>
      <w:r w:rsidRPr="00834ABA">
        <w:rPr>
          <w:rFonts w:ascii="Times New Roman" w:hAnsi="Times New Roman" w:cs="Times New Roman"/>
          <w:color w:val="000000" w:themeColor="text1"/>
          <w:lang w:val="en-US"/>
        </w:rPr>
        <w:t>Pneumologie</w:t>
      </w:r>
      <w:proofErr w:type="spellEnd"/>
      <w:r w:rsidRPr="00834ABA">
        <w:rPr>
          <w:rFonts w:ascii="Times New Roman" w:hAnsi="Times New Roman" w:cs="Times New Roman"/>
          <w:color w:val="000000" w:themeColor="text1"/>
          <w:lang w:val="en-US"/>
        </w:rPr>
        <w:t xml:space="preserve"> Clinique. 1 </w:t>
      </w:r>
      <w:proofErr w:type="spellStart"/>
      <w:r w:rsidRPr="00834ABA">
        <w:rPr>
          <w:rFonts w:ascii="Times New Roman" w:hAnsi="Times New Roman" w:cs="Times New Roman"/>
          <w:color w:val="000000" w:themeColor="text1"/>
          <w:lang w:val="en-US"/>
        </w:rPr>
        <w:t>févr</w:t>
      </w:r>
      <w:proofErr w:type="spellEnd"/>
      <w:r w:rsidRPr="00834ABA">
        <w:rPr>
          <w:rFonts w:ascii="Times New Roman" w:hAnsi="Times New Roman" w:cs="Times New Roman"/>
          <w:color w:val="000000" w:themeColor="text1"/>
          <w:lang w:val="en-US"/>
        </w:rPr>
        <w:t xml:space="preserve"> 2012;68(1):17‑22. </w:t>
      </w:r>
    </w:p>
    <w:p w14:paraId="47053A4E" w14:textId="43A4E74F"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22. Sharma SK, Mohan A, Sharma A, Mitra DK. Miliary tuberculosis: new insights into an old disease. Lancet Infect Dis. </w:t>
      </w:r>
      <w:proofErr w:type="spellStart"/>
      <w:r w:rsidRPr="00834ABA">
        <w:rPr>
          <w:rFonts w:ascii="Times New Roman" w:hAnsi="Times New Roman" w:cs="Times New Roman"/>
          <w:color w:val="000000" w:themeColor="text1"/>
          <w:lang w:val="en-US"/>
        </w:rPr>
        <w:t>juill</w:t>
      </w:r>
      <w:proofErr w:type="spellEnd"/>
      <w:r w:rsidRPr="00834ABA">
        <w:rPr>
          <w:rFonts w:ascii="Times New Roman" w:hAnsi="Times New Roman" w:cs="Times New Roman"/>
          <w:color w:val="000000" w:themeColor="text1"/>
          <w:lang w:val="en-US"/>
        </w:rPr>
        <w:t xml:space="preserve"> 2005;5(7):415‑30. </w:t>
      </w:r>
    </w:p>
    <w:p w14:paraId="2E9AA804" w14:textId="3F01D067"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23. Sharma SK, Mohan A, Sharma A. Miliary tuberculosis: A new look at an old foe. J Clin </w:t>
      </w:r>
      <w:proofErr w:type="spellStart"/>
      <w:r w:rsidRPr="00834ABA">
        <w:rPr>
          <w:rFonts w:ascii="Times New Roman" w:hAnsi="Times New Roman" w:cs="Times New Roman"/>
          <w:color w:val="000000" w:themeColor="text1"/>
          <w:lang w:val="en-US"/>
        </w:rPr>
        <w:t>Tuberc</w:t>
      </w:r>
      <w:proofErr w:type="spellEnd"/>
      <w:r w:rsidRPr="00834ABA">
        <w:rPr>
          <w:rFonts w:ascii="Times New Roman" w:hAnsi="Times New Roman" w:cs="Times New Roman"/>
          <w:color w:val="000000" w:themeColor="text1"/>
          <w:lang w:val="en-US"/>
        </w:rPr>
        <w:t xml:space="preserve"> Other </w:t>
      </w:r>
      <w:proofErr w:type="spellStart"/>
      <w:r w:rsidRPr="00834ABA">
        <w:rPr>
          <w:rFonts w:ascii="Times New Roman" w:hAnsi="Times New Roman" w:cs="Times New Roman"/>
          <w:color w:val="000000" w:themeColor="text1"/>
          <w:lang w:val="en-US"/>
        </w:rPr>
        <w:t>Mycobact</w:t>
      </w:r>
      <w:proofErr w:type="spellEnd"/>
      <w:r w:rsidRPr="00834ABA">
        <w:rPr>
          <w:rFonts w:ascii="Times New Roman" w:hAnsi="Times New Roman" w:cs="Times New Roman"/>
          <w:color w:val="000000" w:themeColor="text1"/>
          <w:lang w:val="en-US"/>
        </w:rPr>
        <w:t xml:space="preserve"> Dis. </w:t>
      </w:r>
      <w:proofErr w:type="spellStart"/>
      <w:r w:rsidRPr="00834ABA">
        <w:rPr>
          <w:rFonts w:ascii="Times New Roman" w:hAnsi="Times New Roman" w:cs="Times New Roman"/>
          <w:color w:val="000000" w:themeColor="text1"/>
          <w:lang w:val="en-US"/>
        </w:rPr>
        <w:t>mai</w:t>
      </w:r>
      <w:proofErr w:type="spellEnd"/>
      <w:r w:rsidRPr="00834ABA">
        <w:rPr>
          <w:rFonts w:ascii="Times New Roman" w:hAnsi="Times New Roman" w:cs="Times New Roman"/>
          <w:color w:val="000000" w:themeColor="text1"/>
          <w:lang w:val="en-US"/>
        </w:rPr>
        <w:t xml:space="preserve"> </w:t>
      </w:r>
      <w:proofErr w:type="gramStart"/>
      <w:r w:rsidRPr="00834ABA">
        <w:rPr>
          <w:rFonts w:ascii="Times New Roman" w:hAnsi="Times New Roman" w:cs="Times New Roman"/>
          <w:color w:val="000000" w:themeColor="text1"/>
          <w:lang w:val="en-US"/>
        </w:rPr>
        <w:t>2016;3:13</w:t>
      </w:r>
      <w:proofErr w:type="gramEnd"/>
      <w:r w:rsidRPr="00834ABA">
        <w:rPr>
          <w:rFonts w:ascii="Times New Roman" w:hAnsi="Times New Roman" w:cs="Times New Roman"/>
          <w:color w:val="000000" w:themeColor="text1"/>
          <w:lang w:val="en-US"/>
        </w:rPr>
        <w:t xml:space="preserve">‑27. </w:t>
      </w:r>
    </w:p>
    <w:p w14:paraId="7E2C6795" w14:textId="00EDD49A"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24. Wei X, Xie M, Wu S, Bao Y. The clinical features and prognostic factors of miliary tuberculosis in a high tuberculosis burden area. Annals of Medicine. 31 </w:t>
      </w:r>
      <w:proofErr w:type="spellStart"/>
      <w:r w:rsidRPr="00834ABA">
        <w:rPr>
          <w:rFonts w:ascii="Times New Roman" w:hAnsi="Times New Roman" w:cs="Times New Roman"/>
          <w:color w:val="000000" w:themeColor="text1"/>
          <w:lang w:val="en-US"/>
        </w:rPr>
        <w:t>déc</w:t>
      </w:r>
      <w:proofErr w:type="spellEnd"/>
      <w:r w:rsidRPr="00834ABA">
        <w:rPr>
          <w:rFonts w:ascii="Times New Roman" w:hAnsi="Times New Roman" w:cs="Times New Roman"/>
          <w:color w:val="000000" w:themeColor="text1"/>
          <w:lang w:val="en-US"/>
        </w:rPr>
        <w:t xml:space="preserve"> 2024;56(1):2356647. </w:t>
      </w:r>
    </w:p>
    <w:p w14:paraId="088EBFEF" w14:textId="1E8C217F"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25. Underwood J, Cresswell F, Salam AP, Keeley AJ, Cleland C, John L, et al. Complications of miliary tuberculosis: low mortality and predictive biomarkers from a UK cohort. BMC Infectious Diseases. 20 </w:t>
      </w:r>
      <w:proofErr w:type="spellStart"/>
      <w:r w:rsidRPr="00834ABA">
        <w:rPr>
          <w:rFonts w:ascii="Times New Roman" w:hAnsi="Times New Roman" w:cs="Times New Roman"/>
          <w:color w:val="000000" w:themeColor="text1"/>
          <w:lang w:val="en-US"/>
        </w:rPr>
        <w:t>avr</w:t>
      </w:r>
      <w:proofErr w:type="spellEnd"/>
      <w:r w:rsidRPr="00834ABA">
        <w:rPr>
          <w:rFonts w:ascii="Times New Roman" w:hAnsi="Times New Roman" w:cs="Times New Roman"/>
          <w:color w:val="000000" w:themeColor="text1"/>
          <w:lang w:val="en-US"/>
        </w:rPr>
        <w:t xml:space="preserve"> 2017;17(1):295. </w:t>
      </w:r>
    </w:p>
    <w:p w14:paraId="6765F097" w14:textId="1EFE583F"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26. Rodriguez-Takeuchi SY, </w:t>
      </w:r>
      <w:proofErr w:type="spellStart"/>
      <w:r w:rsidRPr="00834ABA">
        <w:rPr>
          <w:rFonts w:ascii="Times New Roman" w:hAnsi="Times New Roman" w:cs="Times New Roman"/>
          <w:color w:val="000000" w:themeColor="text1"/>
          <w:lang w:val="en-US"/>
        </w:rPr>
        <w:t>Renjifo</w:t>
      </w:r>
      <w:proofErr w:type="spellEnd"/>
      <w:r w:rsidRPr="00834ABA">
        <w:rPr>
          <w:rFonts w:ascii="Times New Roman" w:hAnsi="Times New Roman" w:cs="Times New Roman"/>
          <w:color w:val="000000" w:themeColor="text1"/>
          <w:lang w:val="en-US"/>
        </w:rPr>
        <w:t xml:space="preserve"> ME, Medina FJ. Extrapulmonary Tuberculosis: Pathophysiology and Imaging Findings. </w:t>
      </w:r>
      <w:proofErr w:type="spellStart"/>
      <w:r w:rsidRPr="00834ABA">
        <w:rPr>
          <w:rFonts w:ascii="Times New Roman" w:hAnsi="Times New Roman" w:cs="Times New Roman"/>
          <w:color w:val="000000" w:themeColor="text1"/>
          <w:lang w:val="en-US"/>
        </w:rPr>
        <w:t>Radiographics</w:t>
      </w:r>
      <w:proofErr w:type="spellEnd"/>
      <w:r w:rsidRPr="00834ABA">
        <w:rPr>
          <w:rFonts w:ascii="Times New Roman" w:hAnsi="Times New Roman" w:cs="Times New Roman"/>
          <w:color w:val="000000" w:themeColor="text1"/>
          <w:lang w:val="en-US"/>
        </w:rPr>
        <w:t xml:space="preserve">. 2019;39(7):2023‑37. </w:t>
      </w:r>
    </w:p>
    <w:p w14:paraId="4CCBB69C" w14:textId="09B279FB"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27. Mert A, Arslan F, </w:t>
      </w:r>
      <w:proofErr w:type="spellStart"/>
      <w:r w:rsidRPr="00834ABA">
        <w:rPr>
          <w:rFonts w:ascii="Times New Roman" w:hAnsi="Times New Roman" w:cs="Times New Roman"/>
          <w:color w:val="000000" w:themeColor="text1"/>
          <w:lang w:val="en-US"/>
        </w:rPr>
        <w:t>Kuyucu</w:t>
      </w:r>
      <w:proofErr w:type="spellEnd"/>
      <w:r w:rsidRPr="00834ABA">
        <w:rPr>
          <w:rFonts w:ascii="Times New Roman" w:hAnsi="Times New Roman" w:cs="Times New Roman"/>
          <w:color w:val="000000" w:themeColor="text1"/>
          <w:lang w:val="en-US"/>
        </w:rPr>
        <w:t xml:space="preserve"> T, </w:t>
      </w:r>
      <w:proofErr w:type="spellStart"/>
      <w:r w:rsidRPr="00834ABA">
        <w:rPr>
          <w:rFonts w:ascii="Times New Roman" w:hAnsi="Times New Roman" w:cs="Times New Roman"/>
          <w:color w:val="000000" w:themeColor="text1"/>
          <w:lang w:val="en-US"/>
        </w:rPr>
        <w:t>Koç</w:t>
      </w:r>
      <w:proofErr w:type="spellEnd"/>
      <w:r w:rsidRPr="00834ABA">
        <w:rPr>
          <w:rFonts w:ascii="Times New Roman" w:hAnsi="Times New Roman" w:cs="Times New Roman"/>
          <w:color w:val="000000" w:themeColor="text1"/>
          <w:lang w:val="en-US"/>
        </w:rPr>
        <w:t xml:space="preserve"> EN, Yilmaz M, Turan D, et al. </w:t>
      </w:r>
      <w:proofErr w:type="spellStart"/>
      <w:r w:rsidRPr="00834ABA">
        <w:rPr>
          <w:rFonts w:ascii="Times New Roman" w:hAnsi="Times New Roman" w:cs="Times New Roman"/>
          <w:color w:val="000000" w:themeColor="text1"/>
          <w:lang w:val="en-US"/>
        </w:rPr>
        <w:t>Miliary</w:t>
      </w:r>
      <w:proofErr w:type="spellEnd"/>
      <w:r w:rsidRPr="00834ABA">
        <w:rPr>
          <w:rFonts w:ascii="Times New Roman" w:hAnsi="Times New Roman" w:cs="Times New Roman"/>
          <w:color w:val="000000" w:themeColor="text1"/>
          <w:lang w:val="en-US"/>
        </w:rPr>
        <w:t xml:space="preserve"> tuberculosis: </w:t>
      </w:r>
      <w:proofErr w:type="spellStart"/>
      <w:r w:rsidRPr="00834ABA">
        <w:rPr>
          <w:rFonts w:ascii="Times New Roman" w:hAnsi="Times New Roman" w:cs="Times New Roman"/>
          <w:color w:val="000000" w:themeColor="text1"/>
          <w:lang w:val="en-US"/>
        </w:rPr>
        <w:t>Epidemiologicaland</w:t>
      </w:r>
      <w:proofErr w:type="spellEnd"/>
      <w:r w:rsidRPr="00834ABA">
        <w:rPr>
          <w:rFonts w:ascii="Times New Roman" w:hAnsi="Times New Roman" w:cs="Times New Roman"/>
          <w:color w:val="000000" w:themeColor="text1"/>
          <w:lang w:val="en-US"/>
        </w:rPr>
        <w:t xml:space="preserve"> clinical analysis of large-case series from moderate to low tuberculosis endemic Country. Medicine (Baltimore). </w:t>
      </w:r>
      <w:proofErr w:type="spellStart"/>
      <w:r w:rsidRPr="00834ABA">
        <w:rPr>
          <w:rFonts w:ascii="Times New Roman" w:hAnsi="Times New Roman" w:cs="Times New Roman"/>
          <w:color w:val="000000" w:themeColor="text1"/>
          <w:lang w:val="en-US"/>
        </w:rPr>
        <w:t>févr</w:t>
      </w:r>
      <w:proofErr w:type="spellEnd"/>
      <w:r w:rsidRPr="00834ABA">
        <w:rPr>
          <w:rFonts w:ascii="Times New Roman" w:hAnsi="Times New Roman" w:cs="Times New Roman"/>
          <w:color w:val="000000" w:themeColor="text1"/>
          <w:lang w:val="en-US"/>
        </w:rPr>
        <w:t xml:space="preserve"> 2017;96(5</w:t>
      </w:r>
      <w:proofErr w:type="gramStart"/>
      <w:r w:rsidRPr="00834ABA">
        <w:rPr>
          <w:rFonts w:ascii="Times New Roman" w:hAnsi="Times New Roman" w:cs="Times New Roman"/>
          <w:color w:val="000000" w:themeColor="text1"/>
          <w:lang w:val="en-US"/>
        </w:rPr>
        <w:t>):e</w:t>
      </w:r>
      <w:proofErr w:type="gramEnd"/>
      <w:r w:rsidRPr="00834ABA">
        <w:rPr>
          <w:rFonts w:ascii="Times New Roman" w:hAnsi="Times New Roman" w:cs="Times New Roman"/>
          <w:color w:val="000000" w:themeColor="text1"/>
          <w:lang w:val="en-US"/>
        </w:rPr>
        <w:t xml:space="preserve">5875. </w:t>
      </w:r>
    </w:p>
    <w:p w14:paraId="3E294BC6" w14:textId="010075C3"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28. </w:t>
      </w:r>
      <w:proofErr w:type="spellStart"/>
      <w:r w:rsidRPr="00834ABA">
        <w:rPr>
          <w:rFonts w:ascii="Times New Roman" w:hAnsi="Times New Roman" w:cs="Times New Roman"/>
          <w:color w:val="000000" w:themeColor="text1"/>
          <w:lang w:val="en-US"/>
        </w:rPr>
        <w:t>Sebbar</w:t>
      </w:r>
      <w:proofErr w:type="spellEnd"/>
      <w:r w:rsidRPr="00834ABA">
        <w:rPr>
          <w:rFonts w:ascii="Times New Roman" w:hAnsi="Times New Roman" w:cs="Times New Roman"/>
          <w:color w:val="000000" w:themeColor="text1"/>
          <w:lang w:val="en-US"/>
        </w:rPr>
        <w:t xml:space="preserve"> A, </w:t>
      </w:r>
      <w:proofErr w:type="spellStart"/>
      <w:r w:rsidRPr="00834ABA">
        <w:rPr>
          <w:rFonts w:ascii="Times New Roman" w:hAnsi="Times New Roman" w:cs="Times New Roman"/>
          <w:color w:val="000000" w:themeColor="text1"/>
          <w:lang w:val="en-US"/>
        </w:rPr>
        <w:t>Benjelloun</w:t>
      </w:r>
      <w:proofErr w:type="spellEnd"/>
      <w:r w:rsidRPr="00834ABA">
        <w:rPr>
          <w:rFonts w:ascii="Times New Roman" w:hAnsi="Times New Roman" w:cs="Times New Roman"/>
          <w:color w:val="000000" w:themeColor="text1"/>
          <w:lang w:val="en-US"/>
        </w:rPr>
        <w:t xml:space="preserve"> H, </w:t>
      </w:r>
      <w:proofErr w:type="spellStart"/>
      <w:r w:rsidRPr="00834ABA">
        <w:rPr>
          <w:rFonts w:ascii="Times New Roman" w:hAnsi="Times New Roman" w:cs="Times New Roman"/>
          <w:color w:val="000000" w:themeColor="text1"/>
          <w:lang w:val="en-US"/>
        </w:rPr>
        <w:t>Zaghba</w:t>
      </w:r>
      <w:proofErr w:type="spellEnd"/>
      <w:r w:rsidRPr="00834ABA">
        <w:rPr>
          <w:rFonts w:ascii="Times New Roman" w:hAnsi="Times New Roman" w:cs="Times New Roman"/>
          <w:color w:val="000000" w:themeColor="text1"/>
          <w:lang w:val="en-US"/>
        </w:rPr>
        <w:t xml:space="preserve"> N, Yassine N. Les </w:t>
      </w:r>
      <w:proofErr w:type="spellStart"/>
      <w:r w:rsidRPr="00834ABA">
        <w:rPr>
          <w:rFonts w:ascii="Times New Roman" w:hAnsi="Times New Roman" w:cs="Times New Roman"/>
          <w:color w:val="000000" w:themeColor="text1"/>
          <w:lang w:val="en-US"/>
        </w:rPr>
        <w:t>atteintes</w:t>
      </w:r>
      <w:proofErr w:type="spellEnd"/>
      <w:r w:rsidRPr="00834ABA">
        <w:rPr>
          <w:rFonts w:ascii="Times New Roman" w:hAnsi="Times New Roman" w:cs="Times New Roman"/>
          <w:color w:val="000000" w:themeColor="text1"/>
          <w:lang w:val="en-US"/>
        </w:rPr>
        <w:t xml:space="preserve"> extra-</w:t>
      </w:r>
      <w:proofErr w:type="spellStart"/>
      <w:r w:rsidRPr="00834ABA">
        <w:rPr>
          <w:rFonts w:ascii="Times New Roman" w:hAnsi="Times New Roman" w:cs="Times New Roman"/>
          <w:color w:val="000000" w:themeColor="text1"/>
          <w:lang w:val="en-US"/>
        </w:rPr>
        <w:t>pulmonaires</w:t>
      </w:r>
      <w:proofErr w:type="spellEnd"/>
      <w:r w:rsidRPr="00834ABA">
        <w:rPr>
          <w:rFonts w:ascii="Times New Roman" w:hAnsi="Times New Roman" w:cs="Times New Roman"/>
          <w:color w:val="000000" w:themeColor="text1"/>
          <w:lang w:val="en-US"/>
        </w:rPr>
        <w:t xml:space="preserve"> au </w:t>
      </w:r>
      <w:proofErr w:type="spellStart"/>
      <w:r w:rsidRPr="00834ABA">
        <w:rPr>
          <w:rFonts w:ascii="Times New Roman" w:hAnsi="Times New Roman" w:cs="Times New Roman"/>
          <w:color w:val="000000" w:themeColor="text1"/>
          <w:lang w:val="en-US"/>
        </w:rPr>
        <w:t>cours</w:t>
      </w:r>
      <w:proofErr w:type="spellEnd"/>
      <w:r w:rsidRPr="00834ABA">
        <w:rPr>
          <w:rFonts w:ascii="Times New Roman" w:hAnsi="Times New Roman" w:cs="Times New Roman"/>
          <w:color w:val="000000" w:themeColor="text1"/>
          <w:lang w:val="en-US"/>
        </w:rPr>
        <w:t xml:space="preserve"> de la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Revue des Maladies Respiratoires.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2016;</w:t>
      </w:r>
      <w:proofErr w:type="gramStart"/>
      <w:r w:rsidRPr="00834ABA">
        <w:rPr>
          <w:rFonts w:ascii="Times New Roman" w:hAnsi="Times New Roman" w:cs="Times New Roman"/>
          <w:color w:val="000000" w:themeColor="text1"/>
          <w:lang w:val="en-US"/>
        </w:rPr>
        <w:t>33:A</w:t>
      </w:r>
      <w:proofErr w:type="gramEnd"/>
      <w:r w:rsidRPr="00834ABA">
        <w:rPr>
          <w:rFonts w:ascii="Times New Roman" w:hAnsi="Times New Roman" w:cs="Times New Roman"/>
          <w:color w:val="000000" w:themeColor="text1"/>
          <w:lang w:val="en-US"/>
        </w:rPr>
        <w:t xml:space="preserve">165‑6. </w:t>
      </w:r>
    </w:p>
    <w:p w14:paraId="514CC13F" w14:textId="49D4BA6B"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29. Wang G, Liang R, Sun Q, Liao X, Wang C, Huang H. Extremely high levels of central nervous system involvement in miliary tuberculosis. BMC Infect Dis. 29 </w:t>
      </w:r>
      <w:proofErr w:type="spellStart"/>
      <w:r w:rsidRPr="00834ABA">
        <w:rPr>
          <w:rFonts w:ascii="Times New Roman" w:hAnsi="Times New Roman" w:cs="Times New Roman"/>
          <w:color w:val="000000" w:themeColor="text1"/>
          <w:lang w:val="en-US"/>
        </w:rPr>
        <w:t>avr</w:t>
      </w:r>
      <w:proofErr w:type="spellEnd"/>
      <w:r w:rsidRPr="00834ABA">
        <w:rPr>
          <w:rFonts w:ascii="Times New Roman" w:hAnsi="Times New Roman" w:cs="Times New Roman"/>
          <w:color w:val="000000" w:themeColor="text1"/>
          <w:lang w:val="en-US"/>
        </w:rPr>
        <w:t xml:space="preserve"> </w:t>
      </w:r>
      <w:proofErr w:type="gramStart"/>
      <w:r w:rsidRPr="00834ABA">
        <w:rPr>
          <w:rFonts w:ascii="Times New Roman" w:hAnsi="Times New Roman" w:cs="Times New Roman"/>
          <w:color w:val="000000" w:themeColor="text1"/>
          <w:lang w:val="en-US"/>
        </w:rPr>
        <w:t>2022;22:417</w:t>
      </w:r>
      <w:proofErr w:type="gramEnd"/>
      <w:r w:rsidRPr="00834ABA">
        <w:rPr>
          <w:rFonts w:ascii="Times New Roman" w:hAnsi="Times New Roman" w:cs="Times New Roman"/>
          <w:color w:val="000000" w:themeColor="text1"/>
          <w:lang w:val="en-US"/>
        </w:rPr>
        <w:t xml:space="preserve">. </w:t>
      </w:r>
    </w:p>
    <w:p w14:paraId="089E7152" w14:textId="723A8387"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lastRenderedPageBreak/>
        <w:t xml:space="preserve">30. </w:t>
      </w:r>
      <w:proofErr w:type="spellStart"/>
      <w:r w:rsidRPr="00834ABA">
        <w:rPr>
          <w:rFonts w:ascii="Times New Roman" w:hAnsi="Times New Roman" w:cs="Times New Roman"/>
          <w:color w:val="000000" w:themeColor="text1"/>
          <w:lang w:val="en-US"/>
        </w:rPr>
        <w:t>Chihh</w:t>
      </w:r>
      <w:proofErr w:type="spellEnd"/>
      <w:r w:rsidRPr="00834ABA">
        <w:rPr>
          <w:rFonts w:ascii="Times New Roman" w:hAnsi="Times New Roman" w:cs="Times New Roman"/>
          <w:color w:val="000000" w:themeColor="text1"/>
          <w:lang w:val="en-US"/>
        </w:rPr>
        <w:t xml:space="preserve"> Y, </w:t>
      </w:r>
      <w:proofErr w:type="spellStart"/>
      <w:r w:rsidRPr="00834ABA">
        <w:rPr>
          <w:rFonts w:ascii="Times New Roman" w:hAnsi="Times New Roman" w:cs="Times New Roman"/>
          <w:color w:val="000000" w:themeColor="text1"/>
          <w:lang w:val="en-US"/>
        </w:rPr>
        <w:t>Ammouri</w:t>
      </w:r>
      <w:proofErr w:type="spellEnd"/>
      <w:r w:rsidRPr="00834ABA">
        <w:rPr>
          <w:rFonts w:ascii="Times New Roman" w:hAnsi="Times New Roman" w:cs="Times New Roman"/>
          <w:color w:val="000000" w:themeColor="text1"/>
          <w:lang w:val="en-US"/>
        </w:rPr>
        <w:t xml:space="preserve"> W, </w:t>
      </w:r>
      <w:proofErr w:type="spellStart"/>
      <w:r w:rsidRPr="00834ABA">
        <w:rPr>
          <w:rFonts w:ascii="Times New Roman" w:hAnsi="Times New Roman" w:cs="Times New Roman"/>
          <w:color w:val="000000" w:themeColor="text1"/>
          <w:lang w:val="en-US"/>
        </w:rPr>
        <w:t>Toumi</w:t>
      </w:r>
      <w:proofErr w:type="spellEnd"/>
      <w:r w:rsidRPr="00834ABA">
        <w:rPr>
          <w:rFonts w:ascii="Times New Roman" w:hAnsi="Times New Roman" w:cs="Times New Roman"/>
          <w:color w:val="000000" w:themeColor="text1"/>
          <w:lang w:val="en-US"/>
        </w:rPr>
        <w:t xml:space="preserve"> S, </w:t>
      </w:r>
      <w:proofErr w:type="spellStart"/>
      <w:r w:rsidRPr="00834ABA">
        <w:rPr>
          <w:rFonts w:ascii="Times New Roman" w:hAnsi="Times New Roman" w:cs="Times New Roman"/>
          <w:color w:val="000000" w:themeColor="text1"/>
          <w:lang w:val="en-US"/>
        </w:rPr>
        <w:t>Bourkia</w:t>
      </w:r>
      <w:proofErr w:type="spellEnd"/>
      <w:r w:rsidRPr="00834ABA">
        <w:rPr>
          <w:rFonts w:ascii="Times New Roman" w:hAnsi="Times New Roman" w:cs="Times New Roman"/>
          <w:color w:val="000000" w:themeColor="text1"/>
          <w:lang w:val="en-US"/>
        </w:rPr>
        <w:t xml:space="preserve"> M, </w:t>
      </w:r>
      <w:proofErr w:type="spellStart"/>
      <w:r w:rsidRPr="00834ABA">
        <w:rPr>
          <w:rFonts w:ascii="Times New Roman" w:hAnsi="Times New Roman" w:cs="Times New Roman"/>
          <w:color w:val="000000" w:themeColor="text1"/>
          <w:lang w:val="en-US"/>
        </w:rPr>
        <w:t>Khibri</w:t>
      </w:r>
      <w:proofErr w:type="spellEnd"/>
      <w:r w:rsidRPr="00834ABA">
        <w:rPr>
          <w:rFonts w:ascii="Times New Roman" w:hAnsi="Times New Roman" w:cs="Times New Roman"/>
          <w:color w:val="000000" w:themeColor="text1"/>
          <w:lang w:val="en-US"/>
        </w:rPr>
        <w:t xml:space="preserve"> H, Maamar M, et al. La </w:t>
      </w:r>
      <w:proofErr w:type="spellStart"/>
      <w:r w:rsidRPr="00834ABA">
        <w:rPr>
          <w:rFonts w:ascii="Times New Roman" w:hAnsi="Times New Roman" w:cs="Times New Roman"/>
          <w:color w:val="000000" w:themeColor="text1"/>
          <w:lang w:val="en-US"/>
        </w:rPr>
        <w:t>tuberculose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reste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toujours</w:t>
      </w:r>
      <w:proofErr w:type="spellEnd"/>
      <w:r w:rsidRPr="00834ABA">
        <w:rPr>
          <w:rFonts w:ascii="Times New Roman" w:hAnsi="Times New Roman" w:cs="Times New Roman"/>
          <w:color w:val="000000" w:themeColor="text1"/>
          <w:lang w:val="en-US"/>
        </w:rPr>
        <w:t xml:space="preserve"> la </w:t>
      </w:r>
      <w:proofErr w:type="spellStart"/>
      <w:r w:rsidRPr="00834ABA">
        <w:rPr>
          <w:rFonts w:ascii="Times New Roman" w:hAnsi="Times New Roman" w:cs="Times New Roman"/>
          <w:color w:val="000000" w:themeColor="text1"/>
          <w:lang w:val="en-US"/>
        </w:rPr>
        <w:t>grande</w:t>
      </w:r>
      <w:proofErr w:type="spellEnd"/>
      <w:r w:rsidRPr="00834ABA">
        <w:rPr>
          <w:rFonts w:ascii="Times New Roman" w:hAnsi="Times New Roman" w:cs="Times New Roman"/>
          <w:color w:val="000000" w:themeColor="text1"/>
          <w:lang w:val="en-US"/>
        </w:rPr>
        <w:t xml:space="preserve"> </w:t>
      </w:r>
      <w:proofErr w:type="spellStart"/>
      <w:proofErr w:type="gramStart"/>
      <w:r w:rsidRPr="00834ABA">
        <w:rPr>
          <w:rFonts w:ascii="Times New Roman" w:hAnsi="Times New Roman" w:cs="Times New Roman"/>
          <w:color w:val="000000" w:themeColor="text1"/>
          <w:lang w:val="en-US"/>
        </w:rPr>
        <w:t>simulatrice</w:t>
      </w:r>
      <w:proofErr w:type="spellEnd"/>
      <w:r w:rsidRPr="00834ABA">
        <w:rPr>
          <w:rFonts w:ascii="Times New Roman" w:hAnsi="Times New Roman" w:cs="Times New Roman"/>
          <w:color w:val="000000" w:themeColor="text1"/>
          <w:lang w:val="en-US"/>
        </w:rPr>
        <w:t xml:space="preserve"> !</w:t>
      </w:r>
      <w:proofErr w:type="gramEnd"/>
      <w:r w:rsidRPr="00834ABA">
        <w:rPr>
          <w:rFonts w:ascii="Times New Roman" w:hAnsi="Times New Roman" w:cs="Times New Roman"/>
          <w:color w:val="000000" w:themeColor="text1"/>
          <w:lang w:val="en-US"/>
        </w:rPr>
        <w:t xml:space="preserve"> À </w:t>
      </w:r>
      <w:proofErr w:type="spellStart"/>
      <w:r w:rsidRPr="00834ABA">
        <w:rPr>
          <w:rFonts w:ascii="Times New Roman" w:hAnsi="Times New Roman" w:cs="Times New Roman"/>
          <w:color w:val="000000" w:themeColor="text1"/>
          <w:lang w:val="en-US"/>
        </w:rPr>
        <w:t>propos</w:t>
      </w:r>
      <w:proofErr w:type="spellEnd"/>
      <w:r w:rsidRPr="00834ABA">
        <w:rPr>
          <w:rFonts w:ascii="Times New Roman" w:hAnsi="Times New Roman" w:cs="Times New Roman"/>
          <w:color w:val="000000" w:themeColor="text1"/>
          <w:lang w:val="en-US"/>
        </w:rPr>
        <w:t xml:space="preserve"> d’un </w:t>
      </w:r>
      <w:proofErr w:type="spellStart"/>
      <w:r w:rsidRPr="00834ABA">
        <w:rPr>
          <w:rFonts w:ascii="Times New Roman" w:hAnsi="Times New Roman" w:cs="Times New Roman"/>
          <w:color w:val="000000" w:themeColor="text1"/>
          <w:lang w:val="en-US"/>
        </w:rPr>
        <w:t>cas</w:t>
      </w:r>
      <w:proofErr w:type="spellEnd"/>
      <w:r w:rsidRPr="00834ABA">
        <w:rPr>
          <w:rFonts w:ascii="Times New Roman" w:hAnsi="Times New Roman" w:cs="Times New Roman"/>
          <w:color w:val="000000" w:themeColor="text1"/>
          <w:lang w:val="en-US"/>
        </w:rPr>
        <w:t xml:space="preserve"> de syndrome </w:t>
      </w:r>
      <w:proofErr w:type="spellStart"/>
      <w:r w:rsidRPr="00834ABA">
        <w:rPr>
          <w:rFonts w:ascii="Times New Roman" w:hAnsi="Times New Roman" w:cs="Times New Roman"/>
          <w:color w:val="000000" w:themeColor="text1"/>
          <w:lang w:val="en-US"/>
        </w:rPr>
        <w:t>myélodysplasique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secondaire</w:t>
      </w:r>
      <w:proofErr w:type="spellEnd"/>
      <w:r w:rsidRPr="00834ABA">
        <w:rPr>
          <w:rFonts w:ascii="Times New Roman" w:hAnsi="Times New Roman" w:cs="Times New Roman"/>
          <w:color w:val="000000" w:themeColor="text1"/>
          <w:lang w:val="en-US"/>
        </w:rPr>
        <w:t xml:space="preserve"> à </w:t>
      </w:r>
      <w:proofErr w:type="spellStart"/>
      <w:r w:rsidRPr="00834ABA">
        <w:rPr>
          <w:rFonts w:ascii="Times New Roman" w:hAnsi="Times New Roman" w:cs="Times New Roman"/>
          <w:color w:val="000000" w:themeColor="text1"/>
          <w:lang w:val="en-US"/>
        </w:rPr>
        <w:t>une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tuberculose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disséminée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en</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rémission</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hématologique</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complète</w:t>
      </w:r>
      <w:proofErr w:type="spellEnd"/>
      <w:r w:rsidRPr="00834ABA">
        <w:rPr>
          <w:rFonts w:ascii="Times New Roman" w:hAnsi="Times New Roman" w:cs="Times New Roman"/>
          <w:color w:val="000000" w:themeColor="text1"/>
          <w:lang w:val="en-US"/>
        </w:rPr>
        <w:t xml:space="preserve"> sous </w:t>
      </w:r>
      <w:proofErr w:type="spellStart"/>
      <w:r w:rsidRPr="00834ABA">
        <w:rPr>
          <w:rFonts w:ascii="Times New Roman" w:hAnsi="Times New Roman" w:cs="Times New Roman"/>
          <w:color w:val="000000" w:themeColor="text1"/>
          <w:lang w:val="en-US"/>
        </w:rPr>
        <w:t>traitement</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antituberculeux</w:t>
      </w:r>
      <w:proofErr w:type="spellEnd"/>
      <w:r w:rsidRPr="00834ABA">
        <w:rPr>
          <w:rFonts w:ascii="Times New Roman" w:hAnsi="Times New Roman" w:cs="Times New Roman"/>
          <w:color w:val="000000" w:themeColor="text1"/>
          <w:lang w:val="en-US"/>
        </w:rPr>
        <w:t xml:space="preserve">. La Revue de </w:t>
      </w:r>
      <w:proofErr w:type="spellStart"/>
      <w:r w:rsidRPr="00834ABA">
        <w:rPr>
          <w:rFonts w:ascii="Times New Roman" w:hAnsi="Times New Roman" w:cs="Times New Roman"/>
          <w:color w:val="000000" w:themeColor="text1"/>
          <w:lang w:val="en-US"/>
        </w:rPr>
        <w:t>Médecine</w:t>
      </w:r>
      <w:proofErr w:type="spellEnd"/>
      <w:r w:rsidRPr="00834ABA">
        <w:rPr>
          <w:rFonts w:ascii="Times New Roman" w:hAnsi="Times New Roman" w:cs="Times New Roman"/>
          <w:color w:val="000000" w:themeColor="text1"/>
          <w:lang w:val="en-US"/>
        </w:rPr>
        <w:t xml:space="preserve"> Interne. 1 </w:t>
      </w:r>
      <w:proofErr w:type="spellStart"/>
      <w:r w:rsidRPr="00834ABA">
        <w:rPr>
          <w:rFonts w:ascii="Times New Roman" w:hAnsi="Times New Roman" w:cs="Times New Roman"/>
          <w:color w:val="000000" w:themeColor="text1"/>
          <w:lang w:val="en-US"/>
        </w:rPr>
        <w:t>déc</w:t>
      </w:r>
      <w:proofErr w:type="spellEnd"/>
      <w:r w:rsidRPr="00834ABA">
        <w:rPr>
          <w:rFonts w:ascii="Times New Roman" w:hAnsi="Times New Roman" w:cs="Times New Roman"/>
          <w:color w:val="000000" w:themeColor="text1"/>
          <w:lang w:val="en-US"/>
        </w:rPr>
        <w:t xml:space="preserve"> 2018;</w:t>
      </w:r>
      <w:proofErr w:type="gramStart"/>
      <w:r w:rsidRPr="00834ABA">
        <w:rPr>
          <w:rFonts w:ascii="Times New Roman" w:hAnsi="Times New Roman" w:cs="Times New Roman"/>
          <w:color w:val="000000" w:themeColor="text1"/>
          <w:lang w:val="en-US"/>
        </w:rPr>
        <w:t>39:A</w:t>
      </w:r>
      <w:proofErr w:type="gramEnd"/>
      <w:r w:rsidRPr="00834ABA">
        <w:rPr>
          <w:rFonts w:ascii="Times New Roman" w:hAnsi="Times New Roman" w:cs="Times New Roman"/>
          <w:color w:val="000000" w:themeColor="text1"/>
          <w:lang w:val="en-US"/>
        </w:rPr>
        <w:t xml:space="preserve">176‑7. </w:t>
      </w:r>
    </w:p>
    <w:p w14:paraId="416E0BB0" w14:textId="2C84804B"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31. Avasthi R, Mohanty D, Chaudhary SC, Mishra K. Disseminated tuberculosis: interesting hematological observations. J Assoc Physicians India. </w:t>
      </w:r>
      <w:proofErr w:type="spellStart"/>
      <w:r w:rsidRPr="00834ABA">
        <w:rPr>
          <w:rFonts w:ascii="Times New Roman" w:hAnsi="Times New Roman" w:cs="Times New Roman"/>
          <w:color w:val="000000" w:themeColor="text1"/>
          <w:lang w:val="en-US"/>
        </w:rPr>
        <w:t>avr</w:t>
      </w:r>
      <w:proofErr w:type="spellEnd"/>
      <w:r w:rsidRPr="00834ABA">
        <w:rPr>
          <w:rFonts w:ascii="Times New Roman" w:hAnsi="Times New Roman" w:cs="Times New Roman"/>
          <w:color w:val="000000" w:themeColor="text1"/>
          <w:lang w:val="en-US"/>
        </w:rPr>
        <w:t xml:space="preserve"> </w:t>
      </w:r>
      <w:proofErr w:type="gramStart"/>
      <w:r w:rsidRPr="00834ABA">
        <w:rPr>
          <w:rFonts w:ascii="Times New Roman" w:hAnsi="Times New Roman" w:cs="Times New Roman"/>
          <w:color w:val="000000" w:themeColor="text1"/>
          <w:lang w:val="en-US"/>
        </w:rPr>
        <w:t>2010;58:243</w:t>
      </w:r>
      <w:proofErr w:type="gramEnd"/>
      <w:r w:rsidRPr="00834ABA">
        <w:rPr>
          <w:rFonts w:ascii="Times New Roman" w:hAnsi="Times New Roman" w:cs="Times New Roman"/>
          <w:color w:val="000000" w:themeColor="text1"/>
          <w:lang w:val="en-US"/>
        </w:rPr>
        <w:t xml:space="preserve">‑4. </w:t>
      </w:r>
    </w:p>
    <w:p w14:paraId="35C341EB" w14:textId="09416320"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32. Alghamdi AA, Awan FS, </w:t>
      </w:r>
      <w:proofErr w:type="spellStart"/>
      <w:r w:rsidRPr="00834ABA">
        <w:rPr>
          <w:rFonts w:ascii="Times New Roman" w:hAnsi="Times New Roman" w:cs="Times New Roman"/>
          <w:color w:val="000000" w:themeColor="text1"/>
          <w:lang w:val="en-US"/>
        </w:rPr>
        <w:t>Maniyar</w:t>
      </w:r>
      <w:proofErr w:type="spellEnd"/>
      <w:r w:rsidRPr="00834ABA">
        <w:rPr>
          <w:rFonts w:ascii="Times New Roman" w:hAnsi="Times New Roman" w:cs="Times New Roman"/>
          <w:color w:val="000000" w:themeColor="text1"/>
          <w:lang w:val="en-US"/>
        </w:rPr>
        <w:t xml:space="preserve"> IH, Alghamdi NA. Unusual Manifestation of Extrapulmonary Tuberculosis. Case Rep Med. </w:t>
      </w:r>
      <w:proofErr w:type="gramStart"/>
      <w:r w:rsidRPr="00834ABA">
        <w:rPr>
          <w:rFonts w:ascii="Times New Roman" w:hAnsi="Times New Roman" w:cs="Times New Roman"/>
          <w:color w:val="000000" w:themeColor="text1"/>
          <w:lang w:val="en-US"/>
        </w:rPr>
        <w:t>2013;2013:353798</w:t>
      </w:r>
      <w:proofErr w:type="gramEnd"/>
      <w:r w:rsidRPr="00834ABA">
        <w:rPr>
          <w:rFonts w:ascii="Times New Roman" w:hAnsi="Times New Roman" w:cs="Times New Roman"/>
          <w:color w:val="000000" w:themeColor="text1"/>
          <w:lang w:val="en-US"/>
        </w:rPr>
        <w:t xml:space="preserve">. </w:t>
      </w:r>
    </w:p>
    <w:p w14:paraId="1EC4AC30" w14:textId="7A361E9D"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33. Kuo PH, Yang PC, Kuo SS, Luh KT. Severe immune hemolytic anemia in disseminated tuberculosis with response to antituberculosis therapy. Chest. </w:t>
      </w:r>
      <w:proofErr w:type="spellStart"/>
      <w:r w:rsidRPr="00834ABA">
        <w:rPr>
          <w:rFonts w:ascii="Times New Roman" w:hAnsi="Times New Roman" w:cs="Times New Roman"/>
          <w:color w:val="000000" w:themeColor="text1"/>
          <w:lang w:val="en-US"/>
        </w:rPr>
        <w:t>juin</w:t>
      </w:r>
      <w:proofErr w:type="spellEnd"/>
      <w:r w:rsidRPr="00834ABA">
        <w:rPr>
          <w:rFonts w:ascii="Times New Roman" w:hAnsi="Times New Roman" w:cs="Times New Roman"/>
          <w:color w:val="000000" w:themeColor="text1"/>
          <w:lang w:val="en-US"/>
        </w:rPr>
        <w:t xml:space="preserve"> 2001;119(6):1961‑3. </w:t>
      </w:r>
    </w:p>
    <w:p w14:paraId="7A0E82C7" w14:textId="1883252E"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34. </w:t>
      </w:r>
      <w:r w:rsidR="00D335FF" w:rsidRPr="00834ABA">
        <w:rPr>
          <w:rFonts w:ascii="Times New Roman" w:hAnsi="Times New Roman" w:cs="Times New Roman"/>
          <w:color w:val="000000" w:themeColor="text1"/>
          <w:lang w:val="en-US"/>
        </w:rPr>
        <w:t xml:space="preserve">Lee J, Lim JK, Kim EJ, Lee DH, Kim YK, Yoo SS, Lee SY, Cha SI, Park JY, Kim CH. Comparison of clinical manifestations and treatment outcome according to age groups in adult patients with miliary tuberculosis. J Thorac Dis 2018;10(5):2881-2889. </w:t>
      </w:r>
      <w:proofErr w:type="spellStart"/>
      <w:r w:rsidR="00D335FF" w:rsidRPr="00834ABA">
        <w:rPr>
          <w:rFonts w:ascii="Times New Roman" w:hAnsi="Times New Roman" w:cs="Times New Roman"/>
          <w:color w:val="000000" w:themeColor="text1"/>
          <w:lang w:val="en-US"/>
        </w:rPr>
        <w:t>doi</w:t>
      </w:r>
      <w:proofErr w:type="spellEnd"/>
      <w:r w:rsidR="00D335FF" w:rsidRPr="00834ABA">
        <w:rPr>
          <w:rFonts w:ascii="Times New Roman" w:hAnsi="Times New Roman" w:cs="Times New Roman"/>
          <w:color w:val="000000" w:themeColor="text1"/>
          <w:lang w:val="en-US"/>
        </w:rPr>
        <w:t>: 10.21037/jtd.2018.04.139</w:t>
      </w:r>
    </w:p>
    <w:p w14:paraId="19BC083A" w14:textId="551FADAE"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35. Han Y, Kim SJ, Lee SH, Sim YS, Ryu YJ, Chang JH, et al. High blood neutrophil-lymphocyte ratio associated with poor outcomes in miliary tuberculosis. J Thorac Dis.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2018;10(1):339‑46. </w:t>
      </w:r>
    </w:p>
    <w:p w14:paraId="5D945D54" w14:textId="3A73C3DC"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36. Hepple P, Ford N, McNerney R. Microscopy compared to culture for the diagnosis of tuberculosis in induced sputum samples: a systematic review. Int J </w:t>
      </w:r>
      <w:proofErr w:type="spellStart"/>
      <w:r w:rsidRPr="00834ABA">
        <w:rPr>
          <w:rFonts w:ascii="Times New Roman" w:hAnsi="Times New Roman" w:cs="Times New Roman"/>
          <w:color w:val="000000" w:themeColor="text1"/>
          <w:lang w:val="en-US"/>
        </w:rPr>
        <w:t>Tuberc</w:t>
      </w:r>
      <w:proofErr w:type="spellEnd"/>
      <w:r w:rsidRPr="00834ABA">
        <w:rPr>
          <w:rFonts w:ascii="Times New Roman" w:hAnsi="Times New Roman" w:cs="Times New Roman"/>
          <w:color w:val="000000" w:themeColor="text1"/>
          <w:lang w:val="en-US"/>
        </w:rPr>
        <w:t xml:space="preserve"> Lung Dis. </w:t>
      </w:r>
      <w:proofErr w:type="spellStart"/>
      <w:r w:rsidRPr="00834ABA">
        <w:rPr>
          <w:rFonts w:ascii="Times New Roman" w:hAnsi="Times New Roman" w:cs="Times New Roman"/>
          <w:color w:val="000000" w:themeColor="text1"/>
          <w:lang w:val="en-US"/>
        </w:rPr>
        <w:t>mai</w:t>
      </w:r>
      <w:proofErr w:type="spellEnd"/>
      <w:r w:rsidRPr="00834ABA">
        <w:rPr>
          <w:rFonts w:ascii="Times New Roman" w:hAnsi="Times New Roman" w:cs="Times New Roman"/>
          <w:color w:val="000000" w:themeColor="text1"/>
          <w:lang w:val="en-US"/>
        </w:rPr>
        <w:t xml:space="preserve"> 2012;16(5):579‑88. </w:t>
      </w:r>
    </w:p>
    <w:p w14:paraId="1FCD4B91" w14:textId="642D571C"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37. Ouattara K, </w:t>
      </w:r>
      <w:proofErr w:type="spellStart"/>
      <w:r w:rsidRPr="00834ABA">
        <w:rPr>
          <w:rFonts w:ascii="Times New Roman" w:hAnsi="Times New Roman" w:cs="Times New Roman"/>
          <w:color w:val="000000" w:themeColor="text1"/>
          <w:lang w:val="en-US"/>
        </w:rPr>
        <w:t>Kanouté</w:t>
      </w:r>
      <w:proofErr w:type="spellEnd"/>
      <w:r w:rsidRPr="00834ABA">
        <w:rPr>
          <w:rFonts w:ascii="Times New Roman" w:hAnsi="Times New Roman" w:cs="Times New Roman"/>
          <w:color w:val="000000" w:themeColor="text1"/>
          <w:lang w:val="en-US"/>
        </w:rPr>
        <w:t xml:space="preserve"> T, </w:t>
      </w:r>
      <w:proofErr w:type="spellStart"/>
      <w:r w:rsidRPr="00834ABA">
        <w:rPr>
          <w:rFonts w:ascii="Times New Roman" w:hAnsi="Times New Roman" w:cs="Times New Roman"/>
          <w:color w:val="000000" w:themeColor="text1"/>
          <w:lang w:val="en-US"/>
        </w:rPr>
        <w:t>Soumare</w:t>
      </w:r>
      <w:proofErr w:type="spellEnd"/>
      <w:r w:rsidRPr="00834ABA">
        <w:rPr>
          <w:rFonts w:ascii="Times New Roman" w:hAnsi="Times New Roman" w:cs="Times New Roman"/>
          <w:color w:val="000000" w:themeColor="text1"/>
          <w:lang w:val="en-US"/>
        </w:rPr>
        <w:t xml:space="preserve"> DN, </w:t>
      </w:r>
      <w:proofErr w:type="spellStart"/>
      <w:r w:rsidRPr="00834ABA">
        <w:rPr>
          <w:rFonts w:ascii="Times New Roman" w:hAnsi="Times New Roman" w:cs="Times New Roman"/>
          <w:color w:val="000000" w:themeColor="text1"/>
          <w:lang w:val="en-US"/>
        </w:rPr>
        <w:t>Kamian</w:t>
      </w:r>
      <w:proofErr w:type="spellEnd"/>
      <w:r w:rsidRPr="00834ABA">
        <w:rPr>
          <w:rFonts w:ascii="Times New Roman" w:hAnsi="Times New Roman" w:cs="Times New Roman"/>
          <w:color w:val="000000" w:themeColor="text1"/>
          <w:lang w:val="en-US"/>
        </w:rPr>
        <w:t xml:space="preserve"> YM, Yossi O, Baya B, et al. </w:t>
      </w:r>
      <w:proofErr w:type="spellStart"/>
      <w:r w:rsidRPr="00834ABA">
        <w:rPr>
          <w:rFonts w:ascii="Times New Roman" w:hAnsi="Times New Roman" w:cs="Times New Roman"/>
          <w:color w:val="000000" w:themeColor="text1"/>
          <w:lang w:val="en-US"/>
        </w:rPr>
        <w:t>Miliaire</w:t>
      </w:r>
      <w:proofErr w:type="spellEnd"/>
      <w:r w:rsidRPr="00834ABA">
        <w:rPr>
          <w:rFonts w:ascii="Times New Roman" w:hAnsi="Times New Roman" w:cs="Times New Roman"/>
          <w:color w:val="000000" w:themeColor="text1"/>
          <w:lang w:val="en-US"/>
        </w:rPr>
        <w:t xml:space="preserve"> </w:t>
      </w:r>
      <w:proofErr w:type="spellStart"/>
      <w:proofErr w:type="gramStart"/>
      <w:r w:rsidRPr="00834ABA">
        <w:rPr>
          <w:rFonts w:ascii="Times New Roman" w:hAnsi="Times New Roman" w:cs="Times New Roman"/>
          <w:color w:val="000000" w:themeColor="text1"/>
          <w:lang w:val="en-US"/>
        </w:rPr>
        <w:t>tuberculeuse</w:t>
      </w:r>
      <w:proofErr w:type="spellEnd"/>
      <w:r w:rsidRPr="00834ABA">
        <w:rPr>
          <w:rFonts w:ascii="Times New Roman" w:hAnsi="Times New Roman" w:cs="Times New Roman"/>
          <w:color w:val="000000" w:themeColor="text1"/>
          <w:lang w:val="en-US"/>
        </w:rPr>
        <w:t xml:space="preserve"> :</w:t>
      </w:r>
      <w:proofErr w:type="gram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profil</w:t>
      </w:r>
      <w:proofErr w:type="spellEnd"/>
      <w:r w:rsidRPr="00834ABA">
        <w:rPr>
          <w:rFonts w:ascii="Times New Roman" w:hAnsi="Times New Roman" w:cs="Times New Roman"/>
          <w:color w:val="000000" w:themeColor="text1"/>
          <w:lang w:val="en-US"/>
        </w:rPr>
        <w:t xml:space="preserve"> </w:t>
      </w:r>
      <w:proofErr w:type="spellStart"/>
      <w:r w:rsidRPr="00834ABA">
        <w:rPr>
          <w:rFonts w:ascii="Times New Roman" w:hAnsi="Times New Roman" w:cs="Times New Roman"/>
          <w:color w:val="000000" w:themeColor="text1"/>
          <w:lang w:val="en-US"/>
        </w:rPr>
        <w:t>épidémioclinique</w:t>
      </w:r>
      <w:proofErr w:type="spellEnd"/>
      <w:r w:rsidRPr="00834ABA">
        <w:rPr>
          <w:rFonts w:ascii="Times New Roman" w:hAnsi="Times New Roman" w:cs="Times New Roman"/>
          <w:color w:val="000000" w:themeColor="text1"/>
          <w:lang w:val="en-US"/>
        </w:rPr>
        <w:t xml:space="preserve"> et </w:t>
      </w:r>
      <w:proofErr w:type="spellStart"/>
      <w:r w:rsidRPr="00834ABA">
        <w:rPr>
          <w:rFonts w:ascii="Times New Roman" w:hAnsi="Times New Roman" w:cs="Times New Roman"/>
          <w:color w:val="000000" w:themeColor="text1"/>
          <w:lang w:val="en-US"/>
        </w:rPr>
        <w:t>évolution</w:t>
      </w:r>
      <w:proofErr w:type="spellEnd"/>
      <w:r w:rsidRPr="00834ABA">
        <w:rPr>
          <w:rFonts w:ascii="Times New Roman" w:hAnsi="Times New Roman" w:cs="Times New Roman"/>
          <w:color w:val="000000" w:themeColor="text1"/>
          <w:lang w:val="en-US"/>
        </w:rPr>
        <w:t xml:space="preserve">. Revue des Maladies Respiratoires. 1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2018;</w:t>
      </w:r>
      <w:proofErr w:type="gramStart"/>
      <w:r w:rsidRPr="00834ABA">
        <w:rPr>
          <w:rFonts w:ascii="Times New Roman" w:hAnsi="Times New Roman" w:cs="Times New Roman"/>
          <w:color w:val="000000" w:themeColor="text1"/>
          <w:lang w:val="en-US"/>
        </w:rPr>
        <w:t>35:A</w:t>
      </w:r>
      <w:proofErr w:type="gramEnd"/>
      <w:r w:rsidRPr="00834ABA">
        <w:rPr>
          <w:rFonts w:ascii="Times New Roman" w:hAnsi="Times New Roman" w:cs="Times New Roman"/>
          <w:color w:val="000000" w:themeColor="text1"/>
          <w:lang w:val="en-US"/>
        </w:rPr>
        <w:t xml:space="preserve">265‑6. </w:t>
      </w:r>
    </w:p>
    <w:p w14:paraId="21D8AA4E" w14:textId="5BD06130"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38. Teferi MY, El-Khatib Z, </w:t>
      </w:r>
      <w:proofErr w:type="spellStart"/>
      <w:r w:rsidRPr="00834ABA">
        <w:rPr>
          <w:rFonts w:ascii="Times New Roman" w:hAnsi="Times New Roman" w:cs="Times New Roman"/>
          <w:color w:val="000000" w:themeColor="text1"/>
          <w:lang w:val="en-US"/>
        </w:rPr>
        <w:t>Boltena</w:t>
      </w:r>
      <w:proofErr w:type="spellEnd"/>
      <w:r w:rsidRPr="00834ABA">
        <w:rPr>
          <w:rFonts w:ascii="Times New Roman" w:hAnsi="Times New Roman" w:cs="Times New Roman"/>
          <w:color w:val="000000" w:themeColor="text1"/>
          <w:lang w:val="en-US"/>
        </w:rPr>
        <w:t xml:space="preserve"> MT, </w:t>
      </w:r>
      <w:proofErr w:type="spellStart"/>
      <w:r w:rsidRPr="00834ABA">
        <w:rPr>
          <w:rFonts w:ascii="Times New Roman" w:hAnsi="Times New Roman" w:cs="Times New Roman"/>
          <w:color w:val="000000" w:themeColor="text1"/>
          <w:lang w:val="en-US"/>
        </w:rPr>
        <w:t>Andualem</w:t>
      </w:r>
      <w:proofErr w:type="spellEnd"/>
      <w:r w:rsidRPr="00834ABA">
        <w:rPr>
          <w:rFonts w:ascii="Times New Roman" w:hAnsi="Times New Roman" w:cs="Times New Roman"/>
          <w:color w:val="000000" w:themeColor="text1"/>
          <w:lang w:val="en-US"/>
        </w:rPr>
        <w:t xml:space="preserve"> AT, Asamoah BO, Biru M, et al. Tuberculosis Treatment Outcome and Predictors in Africa: A Systematic Review and Meta-Analysis. Int J Environ Res Public Health. 12 oct 2021;18(20):10678. </w:t>
      </w:r>
    </w:p>
    <w:p w14:paraId="100A47C2" w14:textId="5D2729D9"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39. Ohene SA, </w:t>
      </w:r>
      <w:proofErr w:type="spellStart"/>
      <w:r w:rsidRPr="00834ABA">
        <w:rPr>
          <w:rFonts w:ascii="Times New Roman" w:hAnsi="Times New Roman" w:cs="Times New Roman"/>
          <w:color w:val="000000" w:themeColor="text1"/>
          <w:lang w:val="en-US"/>
        </w:rPr>
        <w:t>Fordah</w:t>
      </w:r>
      <w:proofErr w:type="spellEnd"/>
      <w:r w:rsidRPr="00834ABA">
        <w:rPr>
          <w:rFonts w:ascii="Times New Roman" w:hAnsi="Times New Roman" w:cs="Times New Roman"/>
          <w:color w:val="000000" w:themeColor="text1"/>
          <w:lang w:val="en-US"/>
        </w:rPr>
        <w:t xml:space="preserve"> S, Dela </w:t>
      </w:r>
      <w:proofErr w:type="spellStart"/>
      <w:r w:rsidRPr="00834ABA">
        <w:rPr>
          <w:rFonts w:ascii="Times New Roman" w:hAnsi="Times New Roman" w:cs="Times New Roman"/>
          <w:color w:val="000000" w:themeColor="text1"/>
          <w:lang w:val="en-US"/>
        </w:rPr>
        <w:t>Boni</w:t>
      </w:r>
      <w:proofErr w:type="spellEnd"/>
      <w:r w:rsidRPr="00834ABA">
        <w:rPr>
          <w:rFonts w:ascii="Times New Roman" w:hAnsi="Times New Roman" w:cs="Times New Roman"/>
          <w:color w:val="000000" w:themeColor="text1"/>
          <w:lang w:val="en-US"/>
        </w:rPr>
        <w:t xml:space="preserve"> P. Childhood tuberculosis and treatment outcomes in Accra: a retrospective analysis. BMC Infect Dis. 28 </w:t>
      </w:r>
      <w:proofErr w:type="spellStart"/>
      <w:r w:rsidRPr="00834ABA">
        <w:rPr>
          <w:rFonts w:ascii="Times New Roman" w:hAnsi="Times New Roman" w:cs="Times New Roman"/>
          <w:color w:val="000000" w:themeColor="text1"/>
          <w:lang w:val="en-US"/>
        </w:rPr>
        <w:t>août</w:t>
      </w:r>
      <w:proofErr w:type="spellEnd"/>
      <w:r w:rsidRPr="00834ABA">
        <w:rPr>
          <w:rFonts w:ascii="Times New Roman" w:hAnsi="Times New Roman" w:cs="Times New Roman"/>
          <w:color w:val="000000" w:themeColor="text1"/>
          <w:lang w:val="en-US"/>
        </w:rPr>
        <w:t xml:space="preserve"> 2019;19(1):749. </w:t>
      </w:r>
    </w:p>
    <w:p w14:paraId="756F93A6" w14:textId="3B56D137"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40. Waitt CJ, Squire SB. A systematic review of risk factors for death in adults during and after tuberculosis treatment. Int J </w:t>
      </w:r>
      <w:proofErr w:type="spellStart"/>
      <w:r w:rsidRPr="00834ABA">
        <w:rPr>
          <w:rFonts w:ascii="Times New Roman" w:hAnsi="Times New Roman" w:cs="Times New Roman"/>
          <w:color w:val="000000" w:themeColor="text1"/>
          <w:lang w:val="en-US"/>
        </w:rPr>
        <w:t>Tuberc</w:t>
      </w:r>
      <w:proofErr w:type="spellEnd"/>
      <w:r w:rsidRPr="00834ABA">
        <w:rPr>
          <w:rFonts w:ascii="Times New Roman" w:hAnsi="Times New Roman" w:cs="Times New Roman"/>
          <w:color w:val="000000" w:themeColor="text1"/>
          <w:lang w:val="en-US"/>
        </w:rPr>
        <w:t xml:space="preserve"> Lung Dis. </w:t>
      </w:r>
      <w:proofErr w:type="spellStart"/>
      <w:r w:rsidRPr="00834ABA">
        <w:rPr>
          <w:rFonts w:ascii="Times New Roman" w:hAnsi="Times New Roman" w:cs="Times New Roman"/>
          <w:color w:val="000000" w:themeColor="text1"/>
          <w:lang w:val="en-US"/>
        </w:rPr>
        <w:t>juill</w:t>
      </w:r>
      <w:proofErr w:type="spellEnd"/>
      <w:r w:rsidRPr="00834ABA">
        <w:rPr>
          <w:rFonts w:ascii="Times New Roman" w:hAnsi="Times New Roman" w:cs="Times New Roman"/>
          <w:color w:val="000000" w:themeColor="text1"/>
          <w:lang w:val="en-US"/>
        </w:rPr>
        <w:t xml:space="preserve"> 2011;15(7):871‑85. </w:t>
      </w:r>
    </w:p>
    <w:p w14:paraId="54802DA8" w14:textId="427D4BC3"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lastRenderedPageBreak/>
        <w:t xml:space="preserve">41. Adamu AL, Aliyu MH, </w:t>
      </w:r>
      <w:proofErr w:type="spellStart"/>
      <w:r w:rsidRPr="00834ABA">
        <w:rPr>
          <w:rFonts w:ascii="Times New Roman" w:hAnsi="Times New Roman" w:cs="Times New Roman"/>
          <w:color w:val="000000" w:themeColor="text1"/>
          <w:lang w:val="en-US"/>
        </w:rPr>
        <w:t>Galadanci</w:t>
      </w:r>
      <w:proofErr w:type="spellEnd"/>
      <w:r w:rsidRPr="00834ABA">
        <w:rPr>
          <w:rFonts w:ascii="Times New Roman" w:hAnsi="Times New Roman" w:cs="Times New Roman"/>
          <w:color w:val="000000" w:themeColor="text1"/>
          <w:lang w:val="en-US"/>
        </w:rPr>
        <w:t xml:space="preserve"> NA, Musa BM, Lawan UM, Bashir U, et al. The impact of rural residence and HIV infection on poor tuberculosis treatment outcomes in a large urban hospital: a retrospective cohort analysis. Int J Equity Health. 8 </w:t>
      </w:r>
      <w:proofErr w:type="spellStart"/>
      <w:r w:rsidRPr="00834ABA">
        <w:rPr>
          <w:rFonts w:ascii="Times New Roman" w:hAnsi="Times New Roman" w:cs="Times New Roman"/>
          <w:color w:val="000000" w:themeColor="text1"/>
          <w:lang w:val="en-US"/>
        </w:rPr>
        <w:t>janv</w:t>
      </w:r>
      <w:proofErr w:type="spellEnd"/>
      <w:r w:rsidRPr="00834ABA">
        <w:rPr>
          <w:rFonts w:ascii="Times New Roman" w:hAnsi="Times New Roman" w:cs="Times New Roman"/>
          <w:color w:val="000000" w:themeColor="text1"/>
          <w:lang w:val="en-US"/>
        </w:rPr>
        <w:t xml:space="preserve"> 2018;17(1):4. </w:t>
      </w:r>
    </w:p>
    <w:p w14:paraId="546464AA" w14:textId="0CA4FF21"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42. Asres A, Jerene D, Deressa W. Delays to treatment initiation is associated with tuberculosis treatment outcomes among patients on directly observed treatment short course in Southwest Ethiopia: a follow-up study. BMC </w:t>
      </w:r>
      <w:proofErr w:type="spellStart"/>
      <w:r w:rsidRPr="00834ABA">
        <w:rPr>
          <w:rFonts w:ascii="Times New Roman" w:hAnsi="Times New Roman" w:cs="Times New Roman"/>
          <w:color w:val="000000" w:themeColor="text1"/>
          <w:lang w:val="en-US"/>
        </w:rPr>
        <w:t>Pulm</w:t>
      </w:r>
      <w:proofErr w:type="spellEnd"/>
      <w:r w:rsidRPr="00834ABA">
        <w:rPr>
          <w:rFonts w:ascii="Times New Roman" w:hAnsi="Times New Roman" w:cs="Times New Roman"/>
          <w:color w:val="000000" w:themeColor="text1"/>
          <w:lang w:val="en-US"/>
        </w:rPr>
        <w:t xml:space="preserve"> Med. 2 </w:t>
      </w:r>
      <w:proofErr w:type="spellStart"/>
      <w:r w:rsidRPr="00834ABA">
        <w:rPr>
          <w:rFonts w:ascii="Times New Roman" w:hAnsi="Times New Roman" w:cs="Times New Roman"/>
          <w:color w:val="000000" w:themeColor="text1"/>
          <w:lang w:val="en-US"/>
        </w:rPr>
        <w:t>mai</w:t>
      </w:r>
      <w:proofErr w:type="spellEnd"/>
      <w:r w:rsidRPr="00834ABA">
        <w:rPr>
          <w:rFonts w:ascii="Times New Roman" w:hAnsi="Times New Roman" w:cs="Times New Roman"/>
          <w:color w:val="000000" w:themeColor="text1"/>
          <w:lang w:val="en-US"/>
        </w:rPr>
        <w:t xml:space="preserve"> 2018;18(1):64. </w:t>
      </w:r>
    </w:p>
    <w:p w14:paraId="2A76B769" w14:textId="30DC47CA"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43. </w:t>
      </w:r>
      <w:proofErr w:type="spellStart"/>
      <w:r w:rsidRPr="00834ABA">
        <w:rPr>
          <w:rFonts w:ascii="Times New Roman" w:hAnsi="Times New Roman" w:cs="Times New Roman"/>
          <w:color w:val="000000" w:themeColor="text1"/>
          <w:lang w:val="en-US"/>
        </w:rPr>
        <w:t>Schwœbel</w:t>
      </w:r>
      <w:proofErr w:type="spellEnd"/>
      <w:r w:rsidRPr="00834ABA">
        <w:rPr>
          <w:rFonts w:ascii="Times New Roman" w:hAnsi="Times New Roman" w:cs="Times New Roman"/>
          <w:color w:val="000000" w:themeColor="text1"/>
          <w:lang w:val="en-US"/>
        </w:rPr>
        <w:t xml:space="preserve"> V, </w:t>
      </w:r>
      <w:proofErr w:type="spellStart"/>
      <w:r w:rsidRPr="00834ABA">
        <w:rPr>
          <w:rFonts w:ascii="Times New Roman" w:hAnsi="Times New Roman" w:cs="Times New Roman"/>
          <w:color w:val="000000" w:themeColor="text1"/>
          <w:lang w:val="en-US"/>
        </w:rPr>
        <w:t>Trébucq</w:t>
      </w:r>
      <w:proofErr w:type="spellEnd"/>
      <w:r w:rsidRPr="00834ABA">
        <w:rPr>
          <w:rFonts w:ascii="Times New Roman" w:hAnsi="Times New Roman" w:cs="Times New Roman"/>
          <w:color w:val="000000" w:themeColor="text1"/>
          <w:lang w:val="en-US"/>
        </w:rPr>
        <w:t xml:space="preserve"> A, </w:t>
      </w:r>
      <w:proofErr w:type="spellStart"/>
      <w:r w:rsidRPr="00834ABA">
        <w:rPr>
          <w:rFonts w:ascii="Times New Roman" w:hAnsi="Times New Roman" w:cs="Times New Roman"/>
          <w:color w:val="000000" w:themeColor="text1"/>
          <w:lang w:val="en-US"/>
        </w:rPr>
        <w:t>Kashongwe</w:t>
      </w:r>
      <w:proofErr w:type="spellEnd"/>
      <w:r w:rsidRPr="00834ABA">
        <w:rPr>
          <w:rFonts w:ascii="Times New Roman" w:hAnsi="Times New Roman" w:cs="Times New Roman"/>
          <w:color w:val="000000" w:themeColor="text1"/>
          <w:lang w:val="en-US"/>
        </w:rPr>
        <w:t xml:space="preserve"> Z, Bakayoko AS, </w:t>
      </w:r>
      <w:proofErr w:type="spellStart"/>
      <w:r w:rsidRPr="00834ABA">
        <w:rPr>
          <w:rFonts w:ascii="Times New Roman" w:hAnsi="Times New Roman" w:cs="Times New Roman"/>
          <w:color w:val="000000" w:themeColor="text1"/>
          <w:lang w:val="en-US"/>
        </w:rPr>
        <w:t>Kuaban</w:t>
      </w:r>
      <w:proofErr w:type="spellEnd"/>
      <w:r w:rsidRPr="00834ABA">
        <w:rPr>
          <w:rFonts w:ascii="Times New Roman" w:hAnsi="Times New Roman" w:cs="Times New Roman"/>
          <w:color w:val="000000" w:themeColor="text1"/>
          <w:lang w:val="en-US"/>
        </w:rPr>
        <w:t xml:space="preserve"> C, </w:t>
      </w:r>
      <w:proofErr w:type="spellStart"/>
      <w:r w:rsidRPr="00834ABA">
        <w:rPr>
          <w:rFonts w:ascii="Times New Roman" w:hAnsi="Times New Roman" w:cs="Times New Roman"/>
          <w:color w:val="000000" w:themeColor="text1"/>
          <w:lang w:val="en-US"/>
        </w:rPr>
        <w:t>Noeske</w:t>
      </w:r>
      <w:proofErr w:type="spellEnd"/>
      <w:r w:rsidRPr="00834ABA">
        <w:rPr>
          <w:rFonts w:ascii="Times New Roman" w:hAnsi="Times New Roman" w:cs="Times New Roman"/>
          <w:color w:val="000000" w:themeColor="text1"/>
          <w:lang w:val="en-US"/>
        </w:rPr>
        <w:t xml:space="preserve"> J, et al. Outcomes of a nine-month regimen for rifampicin-resistant tuberculosis up to 24 months after treatment completion in nine African countries. </w:t>
      </w:r>
      <w:proofErr w:type="spellStart"/>
      <w:r w:rsidRPr="00834ABA">
        <w:rPr>
          <w:rFonts w:ascii="Times New Roman" w:hAnsi="Times New Roman" w:cs="Times New Roman"/>
          <w:color w:val="000000" w:themeColor="text1"/>
          <w:lang w:val="en-US"/>
        </w:rPr>
        <w:t>EClinicalMedicine</w:t>
      </w:r>
      <w:proofErr w:type="spellEnd"/>
      <w:r w:rsidRPr="00834ABA">
        <w:rPr>
          <w:rFonts w:ascii="Times New Roman" w:hAnsi="Times New Roman" w:cs="Times New Roman"/>
          <w:color w:val="000000" w:themeColor="text1"/>
          <w:lang w:val="en-US"/>
        </w:rPr>
        <w:t xml:space="preserve">. mars </w:t>
      </w:r>
      <w:proofErr w:type="gramStart"/>
      <w:r w:rsidRPr="00834ABA">
        <w:rPr>
          <w:rFonts w:ascii="Times New Roman" w:hAnsi="Times New Roman" w:cs="Times New Roman"/>
          <w:color w:val="000000" w:themeColor="text1"/>
          <w:lang w:val="en-US"/>
        </w:rPr>
        <w:t>2020;20:100268</w:t>
      </w:r>
      <w:proofErr w:type="gramEnd"/>
      <w:r w:rsidRPr="00834ABA">
        <w:rPr>
          <w:rFonts w:ascii="Times New Roman" w:hAnsi="Times New Roman" w:cs="Times New Roman"/>
          <w:color w:val="000000" w:themeColor="text1"/>
          <w:lang w:val="en-US"/>
        </w:rPr>
        <w:t xml:space="preserve">. </w:t>
      </w:r>
    </w:p>
    <w:p w14:paraId="2766EEF8" w14:textId="0DBAF012" w:rsidR="00715AFE" w:rsidRPr="00834ABA" w:rsidRDefault="00715AFE" w:rsidP="00715AFE">
      <w:pPr>
        <w:spacing w:line="360" w:lineRule="auto"/>
        <w:rPr>
          <w:rFonts w:ascii="Times New Roman" w:hAnsi="Times New Roman" w:cs="Times New Roman"/>
          <w:color w:val="000000" w:themeColor="text1"/>
          <w:lang w:val="en-US"/>
        </w:rPr>
      </w:pPr>
      <w:r w:rsidRPr="00834ABA">
        <w:rPr>
          <w:rFonts w:ascii="Times New Roman" w:hAnsi="Times New Roman" w:cs="Times New Roman"/>
          <w:color w:val="000000" w:themeColor="text1"/>
          <w:lang w:val="en-US"/>
        </w:rPr>
        <w:t xml:space="preserve">44. Wakamatsu K, Nagata N, </w:t>
      </w:r>
      <w:proofErr w:type="spellStart"/>
      <w:r w:rsidRPr="00834ABA">
        <w:rPr>
          <w:rFonts w:ascii="Times New Roman" w:hAnsi="Times New Roman" w:cs="Times New Roman"/>
          <w:color w:val="000000" w:themeColor="text1"/>
          <w:lang w:val="en-US"/>
        </w:rPr>
        <w:t>Kumazoe</w:t>
      </w:r>
      <w:proofErr w:type="spellEnd"/>
      <w:r w:rsidRPr="00834ABA">
        <w:rPr>
          <w:rFonts w:ascii="Times New Roman" w:hAnsi="Times New Roman" w:cs="Times New Roman"/>
          <w:color w:val="000000" w:themeColor="text1"/>
          <w:lang w:val="en-US"/>
        </w:rPr>
        <w:t xml:space="preserve"> H, </w:t>
      </w:r>
      <w:proofErr w:type="spellStart"/>
      <w:r w:rsidRPr="00834ABA">
        <w:rPr>
          <w:rFonts w:ascii="Times New Roman" w:hAnsi="Times New Roman" w:cs="Times New Roman"/>
          <w:color w:val="000000" w:themeColor="text1"/>
          <w:lang w:val="en-US"/>
        </w:rPr>
        <w:t>Honjyo</w:t>
      </w:r>
      <w:proofErr w:type="spellEnd"/>
      <w:r w:rsidRPr="00834ABA">
        <w:rPr>
          <w:rFonts w:ascii="Times New Roman" w:hAnsi="Times New Roman" w:cs="Times New Roman"/>
          <w:color w:val="000000" w:themeColor="text1"/>
          <w:lang w:val="en-US"/>
        </w:rPr>
        <w:t xml:space="preserve"> S, Hara M, Nagaoka A, et al. Prognostic factors in patients with miliary tuberculosis. Journal of Clinical Tuberculosis and Other Mycobacterial Diseases. 1 </w:t>
      </w:r>
      <w:proofErr w:type="spellStart"/>
      <w:r w:rsidRPr="00834ABA">
        <w:rPr>
          <w:rFonts w:ascii="Times New Roman" w:hAnsi="Times New Roman" w:cs="Times New Roman"/>
          <w:color w:val="000000" w:themeColor="text1"/>
          <w:lang w:val="en-US"/>
        </w:rPr>
        <w:t>août</w:t>
      </w:r>
      <w:proofErr w:type="spellEnd"/>
      <w:r w:rsidRPr="00834ABA">
        <w:rPr>
          <w:rFonts w:ascii="Times New Roman" w:hAnsi="Times New Roman" w:cs="Times New Roman"/>
          <w:color w:val="000000" w:themeColor="text1"/>
          <w:lang w:val="en-US"/>
        </w:rPr>
        <w:t xml:space="preserve"> </w:t>
      </w:r>
      <w:proofErr w:type="gramStart"/>
      <w:r w:rsidRPr="00834ABA">
        <w:rPr>
          <w:rFonts w:ascii="Times New Roman" w:hAnsi="Times New Roman" w:cs="Times New Roman"/>
          <w:color w:val="000000" w:themeColor="text1"/>
          <w:lang w:val="en-US"/>
        </w:rPr>
        <w:t>2018;12:66</w:t>
      </w:r>
      <w:proofErr w:type="gramEnd"/>
      <w:r w:rsidRPr="00834ABA">
        <w:rPr>
          <w:rFonts w:ascii="Times New Roman" w:hAnsi="Times New Roman" w:cs="Times New Roman"/>
          <w:color w:val="000000" w:themeColor="text1"/>
          <w:lang w:val="en-US"/>
        </w:rPr>
        <w:t xml:space="preserve">‑72. </w:t>
      </w:r>
    </w:p>
    <w:p w14:paraId="753DBCEC" w14:textId="77777777" w:rsidR="00715AFE" w:rsidRPr="00834ABA" w:rsidRDefault="00715AFE" w:rsidP="00D6326C">
      <w:pPr>
        <w:spacing w:line="360" w:lineRule="auto"/>
        <w:rPr>
          <w:rFonts w:ascii="Times New Roman" w:hAnsi="Times New Roman" w:cs="Times New Roman"/>
          <w:color w:val="000000" w:themeColor="text1"/>
          <w:lang w:val="en-US"/>
        </w:rPr>
      </w:pPr>
    </w:p>
    <w:p w14:paraId="0D0942A1" w14:textId="77777777" w:rsidR="00715AFE" w:rsidRPr="00834ABA" w:rsidRDefault="00715AFE" w:rsidP="00D6326C">
      <w:pPr>
        <w:spacing w:line="360" w:lineRule="auto"/>
        <w:rPr>
          <w:rFonts w:ascii="Times New Roman" w:hAnsi="Times New Roman" w:cs="Times New Roman"/>
          <w:color w:val="000000" w:themeColor="text1"/>
          <w:lang w:val="en-US"/>
        </w:rPr>
      </w:pPr>
    </w:p>
    <w:p w14:paraId="7FC03667" w14:textId="77777777" w:rsidR="00715AFE" w:rsidRPr="00834ABA" w:rsidRDefault="00715AFE" w:rsidP="00D6326C">
      <w:pPr>
        <w:spacing w:line="360" w:lineRule="auto"/>
        <w:rPr>
          <w:rFonts w:ascii="Times New Roman" w:hAnsi="Times New Roman" w:cs="Times New Roman"/>
          <w:color w:val="000000" w:themeColor="text1"/>
          <w:lang w:val="en-US"/>
        </w:rPr>
      </w:pPr>
    </w:p>
    <w:p w14:paraId="2B3FEF95" w14:textId="77777777" w:rsidR="00715AFE" w:rsidRPr="00834ABA" w:rsidRDefault="00715AFE" w:rsidP="00D6326C">
      <w:pPr>
        <w:spacing w:line="360" w:lineRule="auto"/>
        <w:rPr>
          <w:rFonts w:ascii="Times New Roman" w:hAnsi="Times New Roman" w:cs="Times New Roman"/>
          <w:color w:val="000000" w:themeColor="text1"/>
          <w:lang w:val="en-US"/>
        </w:rPr>
      </w:pPr>
    </w:p>
    <w:p w14:paraId="258FC6D5" w14:textId="77777777" w:rsidR="00715AFE" w:rsidRPr="00834ABA" w:rsidRDefault="00715AFE" w:rsidP="00D6326C">
      <w:pPr>
        <w:spacing w:line="360" w:lineRule="auto"/>
        <w:rPr>
          <w:rFonts w:ascii="Times New Roman" w:hAnsi="Times New Roman" w:cs="Times New Roman"/>
          <w:color w:val="000000" w:themeColor="text1"/>
          <w:lang w:val="en-US"/>
        </w:rPr>
      </w:pPr>
    </w:p>
    <w:p w14:paraId="7B45ACEB" w14:textId="77777777" w:rsidR="00715AFE" w:rsidRPr="00834ABA" w:rsidRDefault="00715AFE" w:rsidP="00D6326C">
      <w:pPr>
        <w:spacing w:line="360" w:lineRule="auto"/>
        <w:rPr>
          <w:rFonts w:ascii="Times New Roman" w:hAnsi="Times New Roman" w:cs="Times New Roman"/>
          <w:color w:val="000000" w:themeColor="text1"/>
          <w:lang w:val="en-US"/>
        </w:rPr>
      </w:pPr>
    </w:p>
    <w:p w14:paraId="32A8F2E8" w14:textId="77777777" w:rsidR="00715AFE" w:rsidRPr="00834ABA" w:rsidRDefault="00715AFE" w:rsidP="00D6326C">
      <w:pPr>
        <w:spacing w:line="360" w:lineRule="auto"/>
        <w:rPr>
          <w:rFonts w:ascii="Times New Roman" w:hAnsi="Times New Roman" w:cs="Times New Roman"/>
          <w:color w:val="000000" w:themeColor="text1"/>
          <w:lang w:val="en-US"/>
        </w:rPr>
      </w:pPr>
    </w:p>
    <w:p w14:paraId="1808AE24" w14:textId="77777777" w:rsidR="00715AFE" w:rsidRPr="00834ABA" w:rsidRDefault="00715AFE" w:rsidP="00D6326C">
      <w:pPr>
        <w:spacing w:line="360" w:lineRule="auto"/>
        <w:rPr>
          <w:rFonts w:ascii="Times New Roman" w:hAnsi="Times New Roman" w:cs="Times New Roman"/>
          <w:color w:val="000000" w:themeColor="text1"/>
          <w:lang w:val="en-US"/>
        </w:rPr>
      </w:pPr>
    </w:p>
    <w:p w14:paraId="3AADC232" w14:textId="77777777" w:rsidR="00715AFE" w:rsidRPr="00834ABA" w:rsidRDefault="00715AFE" w:rsidP="00D6326C">
      <w:pPr>
        <w:spacing w:line="360" w:lineRule="auto"/>
        <w:rPr>
          <w:rFonts w:ascii="Times New Roman" w:hAnsi="Times New Roman" w:cs="Times New Roman"/>
          <w:color w:val="000000" w:themeColor="text1"/>
          <w:lang w:val="en-US"/>
        </w:rPr>
      </w:pPr>
    </w:p>
    <w:p w14:paraId="0FF458DB" w14:textId="77777777" w:rsidR="00715AFE" w:rsidRPr="00834ABA" w:rsidRDefault="00715AFE" w:rsidP="00D6326C">
      <w:pPr>
        <w:spacing w:line="360" w:lineRule="auto"/>
        <w:rPr>
          <w:rFonts w:ascii="Times New Roman" w:hAnsi="Times New Roman" w:cs="Times New Roman"/>
          <w:color w:val="000000" w:themeColor="text1"/>
          <w:lang w:val="en-US"/>
        </w:rPr>
      </w:pPr>
    </w:p>
    <w:p w14:paraId="523A5C04" w14:textId="77777777" w:rsidR="00715AFE" w:rsidRPr="00834ABA" w:rsidRDefault="00715AFE" w:rsidP="00D6326C">
      <w:pPr>
        <w:spacing w:line="360" w:lineRule="auto"/>
        <w:rPr>
          <w:rFonts w:ascii="Times New Roman" w:hAnsi="Times New Roman" w:cs="Times New Roman"/>
          <w:color w:val="000000" w:themeColor="text1"/>
          <w:lang w:val="en-US"/>
        </w:rPr>
      </w:pPr>
    </w:p>
    <w:p w14:paraId="3874AA4A" w14:textId="77777777" w:rsidR="00715AFE" w:rsidRPr="00834ABA" w:rsidRDefault="00715AFE" w:rsidP="00D6326C">
      <w:pPr>
        <w:spacing w:line="360" w:lineRule="auto"/>
        <w:rPr>
          <w:rFonts w:ascii="Times New Roman" w:hAnsi="Times New Roman" w:cs="Times New Roman"/>
          <w:color w:val="000000" w:themeColor="text1"/>
          <w:lang w:val="en-US"/>
        </w:rPr>
      </w:pPr>
    </w:p>
    <w:p w14:paraId="4993AC07" w14:textId="77777777" w:rsidR="00715AFE" w:rsidRPr="00834ABA" w:rsidRDefault="00715AFE" w:rsidP="00D6326C">
      <w:pPr>
        <w:spacing w:line="360" w:lineRule="auto"/>
        <w:rPr>
          <w:rFonts w:ascii="Times New Roman" w:hAnsi="Times New Roman" w:cs="Times New Roman"/>
          <w:color w:val="000000" w:themeColor="text1"/>
          <w:lang w:val="en-US"/>
        </w:rPr>
      </w:pPr>
    </w:p>
    <w:p w14:paraId="1F7C0CCB" w14:textId="77777777" w:rsidR="00715AFE" w:rsidRPr="00834ABA" w:rsidRDefault="00715AFE" w:rsidP="00D6326C">
      <w:pPr>
        <w:spacing w:line="360" w:lineRule="auto"/>
        <w:rPr>
          <w:rFonts w:ascii="Times New Roman" w:hAnsi="Times New Roman" w:cs="Times New Roman"/>
          <w:color w:val="000000" w:themeColor="text1"/>
          <w:lang w:val="en-US"/>
        </w:rPr>
      </w:pPr>
    </w:p>
    <w:p w14:paraId="60C8193F" w14:textId="77777777" w:rsidR="00715AFE" w:rsidRPr="00834ABA" w:rsidRDefault="00715AFE" w:rsidP="00D6326C">
      <w:pPr>
        <w:spacing w:line="360" w:lineRule="auto"/>
        <w:rPr>
          <w:rFonts w:ascii="Times New Roman" w:hAnsi="Times New Roman" w:cs="Times New Roman"/>
          <w:color w:val="000000" w:themeColor="text1"/>
          <w:lang w:val="en-US"/>
        </w:rPr>
      </w:pPr>
    </w:p>
    <w:p w14:paraId="229CD3EA" w14:textId="77777777" w:rsidR="00715AFE" w:rsidRPr="00834ABA" w:rsidRDefault="00715AFE" w:rsidP="00D6326C">
      <w:pPr>
        <w:spacing w:line="360" w:lineRule="auto"/>
        <w:rPr>
          <w:rFonts w:ascii="Times New Roman" w:hAnsi="Times New Roman" w:cs="Times New Roman"/>
          <w:color w:val="000000" w:themeColor="text1"/>
          <w:lang w:val="en-US"/>
        </w:rPr>
      </w:pPr>
    </w:p>
    <w:p w14:paraId="70B7547F" w14:textId="2FCDA464" w:rsidR="002416AD" w:rsidRPr="00834ABA" w:rsidRDefault="002416AD" w:rsidP="002416AD">
      <w:pPr>
        <w:pStyle w:val="Heading1"/>
        <w:rPr>
          <w:color w:val="000000" w:themeColor="text1"/>
          <w:lang w:val="en-US"/>
        </w:rPr>
      </w:pPr>
      <w:r w:rsidRPr="00834ABA">
        <w:rPr>
          <w:color w:val="000000" w:themeColor="text1"/>
          <w:lang w:val="en-US"/>
        </w:rPr>
        <w:t>Tables and figures</w:t>
      </w:r>
    </w:p>
    <w:p w14:paraId="4EBD815E" w14:textId="3278EF65" w:rsidR="001D457F" w:rsidRPr="00834ABA" w:rsidRDefault="00440083" w:rsidP="001D457F">
      <w:pPr>
        <w:rPr>
          <w:rFonts w:ascii="Times New Roman" w:hAnsi="Times New Roman" w:cs="Times New Roman"/>
          <w:b/>
          <w:bCs/>
          <w:color w:val="000000" w:themeColor="text1"/>
          <w:lang w:val="en-US"/>
        </w:rPr>
      </w:pPr>
      <w:r w:rsidRPr="00834ABA">
        <w:rPr>
          <w:rFonts w:ascii="Times New Roman" w:hAnsi="Times New Roman" w:cs="Times New Roman"/>
          <w:b/>
          <w:bCs/>
          <w:color w:val="000000" w:themeColor="text1"/>
          <w:lang w:val="en-US"/>
        </w:rPr>
        <w:t xml:space="preserve">Table 1: </w:t>
      </w:r>
      <w:r w:rsidR="006408D6" w:rsidRPr="00834ABA">
        <w:rPr>
          <w:rFonts w:ascii="Times New Roman" w:hAnsi="Times New Roman" w:cs="Times New Roman"/>
          <w:b/>
          <w:bCs/>
          <w:color w:val="000000" w:themeColor="text1"/>
          <w:lang w:val="en-US"/>
        </w:rPr>
        <w:t>Baseline c</w:t>
      </w:r>
      <w:r w:rsidRPr="00834ABA">
        <w:rPr>
          <w:rFonts w:ascii="Times New Roman" w:hAnsi="Times New Roman" w:cs="Times New Roman"/>
          <w:b/>
          <w:bCs/>
          <w:color w:val="000000" w:themeColor="text1"/>
          <w:lang w:val="en-US"/>
        </w:rPr>
        <w:t>haracteristics of</w:t>
      </w:r>
      <w:r w:rsidR="006C4636" w:rsidRPr="00834ABA">
        <w:rPr>
          <w:rFonts w:ascii="Times New Roman" w:hAnsi="Times New Roman" w:cs="Times New Roman"/>
          <w:b/>
          <w:bCs/>
          <w:color w:val="000000" w:themeColor="text1"/>
          <w:lang w:val="en-US"/>
        </w:rPr>
        <w:t xml:space="preserve"> patients with miliary tuberculosis</w:t>
      </w:r>
    </w:p>
    <w:tbl>
      <w:tblPr>
        <w:tblStyle w:val="TableGrid"/>
        <w:tblW w:w="6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1560"/>
      </w:tblGrid>
      <w:tr w:rsidR="001D457F" w:rsidRPr="00834ABA" w14:paraId="3C56081B" w14:textId="77777777" w:rsidTr="00772188">
        <w:trPr>
          <w:trHeight w:val="300"/>
          <w:jc w:val="center"/>
        </w:trPr>
        <w:tc>
          <w:tcPr>
            <w:tcW w:w="3256" w:type="dxa"/>
            <w:tcBorders>
              <w:top w:val="single" w:sz="4" w:space="0" w:color="auto"/>
              <w:bottom w:val="single" w:sz="4" w:space="0" w:color="auto"/>
            </w:tcBorders>
            <w:noWrap/>
            <w:hideMark/>
          </w:tcPr>
          <w:p w14:paraId="49FA34E4" w14:textId="63AC6190" w:rsidR="001D457F" w:rsidRPr="00834ABA" w:rsidRDefault="001D457F" w:rsidP="0053463D">
            <w:pP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Characteristics</w:t>
            </w:r>
          </w:p>
        </w:tc>
        <w:tc>
          <w:tcPr>
            <w:tcW w:w="1842" w:type="dxa"/>
            <w:tcBorders>
              <w:top w:val="single" w:sz="4" w:space="0" w:color="auto"/>
              <w:bottom w:val="single" w:sz="4" w:space="0" w:color="auto"/>
            </w:tcBorders>
            <w:noWrap/>
            <w:hideMark/>
          </w:tcPr>
          <w:p w14:paraId="1ECBE752" w14:textId="080F2FD0"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Frequency (n)</w:t>
            </w:r>
          </w:p>
        </w:tc>
        <w:tc>
          <w:tcPr>
            <w:tcW w:w="1560" w:type="dxa"/>
            <w:tcBorders>
              <w:top w:val="single" w:sz="4" w:space="0" w:color="auto"/>
              <w:bottom w:val="single" w:sz="4" w:space="0" w:color="auto"/>
            </w:tcBorders>
            <w:noWrap/>
            <w:hideMark/>
          </w:tcPr>
          <w:p w14:paraId="0F75FC20" w14:textId="71651070"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Percent (%)</w:t>
            </w:r>
          </w:p>
        </w:tc>
      </w:tr>
      <w:tr w:rsidR="001D457F" w:rsidRPr="00834ABA" w14:paraId="58292E2A" w14:textId="77777777" w:rsidTr="00772188">
        <w:trPr>
          <w:trHeight w:val="300"/>
          <w:jc w:val="center"/>
        </w:trPr>
        <w:tc>
          <w:tcPr>
            <w:tcW w:w="3256" w:type="dxa"/>
            <w:tcBorders>
              <w:top w:val="single" w:sz="4" w:space="0" w:color="auto"/>
            </w:tcBorders>
            <w:noWrap/>
          </w:tcPr>
          <w:p w14:paraId="4B81BB4A" w14:textId="643BA0A0" w:rsidR="001D457F" w:rsidRPr="00834ABA" w:rsidRDefault="001D457F" w:rsidP="0053463D">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Age, years</w:t>
            </w:r>
          </w:p>
        </w:tc>
        <w:tc>
          <w:tcPr>
            <w:tcW w:w="1842" w:type="dxa"/>
            <w:tcBorders>
              <w:top w:val="single" w:sz="4" w:space="0" w:color="auto"/>
            </w:tcBorders>
            <w:noWrap/>
          </w:tcPr>
          <w:p w14:paraId="4AFAEAA9"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c>
          <w:tcPr>
            <w:tcW w:w="1560" w:type="dxa"/>
            <w:tcBorders>
              <w:top w:val="single" w:sz="4" w:space="0" w:color="auto"/>
            </w:tcBorders>
            <w:noWrap/>
          </w:tcPr>
          <w:p w14:paraId="17093B00"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r>
      <w:tr w:rsidR="001D457F" w:rsidRPr="00834ABA" w14:paraId="2D0BC7DD" w14:textId="77777777" w:rsidTr="00772188">
        <w:trPr>
          <w:trHeight w:val="300"/>
          <w:jc w:val="center"/>
        </w:trPr>
        <w:tc>
          <w:tcPr>
            <w:tcW w:w="3256" w:type="dxa"/>
            <w:noWrap/>
            <w:hideMark/>
          </w:tcPr>
          <w:p w14:paraId="3EDCDFD1" w14:textId="02C2B08D" w:rsidR="001D457F" w:rsidRPr="00834ABA" w:rsidRDefault="00475FF5"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&lt; </w:t>
            </w:r>
            <w:r w:rsidR="001D457F" w:rsidRPr="00834ABA">
              <w:rPr>
                <w:rFonts w:ascii="Times New Roman" w:eastAsia="Times New Roman" w:hAnsi="Times New Roman" w:cs="Times New Roman"/>
                <w:color w:val="000000" w:themeColor="text1"/>
                <w:kern w:val="0"/>
                <w:lang w:val="en-US" w:eastAsia="ja-JP"/>
                <w14:ligatures w14:val="none"/>
              </w:rPr>
              <w:t xml:space="preserve">20 </w:t>
            </w:r>
          </w:p>
        </w:tc>
        <w:tc>
          <w:tcPr>
            <w:tcW w:w="1842" w:type="dxa"/>
            <w:noWrap/>
            <w:hideMark/>
          </w:tcPr>
          <w:p w14:paraId="3A83379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6</w:t>
            </w:r>
          </w:p>
        </w:tc>
        <w:tc>
          <w:tcPr>
            <w:tcW w:w="1560" w:type="dxa"/>
            <w:noWrap/>
            <w:hideMark/>
          </w:tcPr>
          <w:p w14:paraId="56F9179D"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6,25</w:t>
            </w:r>
          </w:p>
        </w:tc>
      </w:tr>
      <w:tr w:rsidR="001D457F" w:rsidRPr="00834ABA" w14:paraId="30066B9D" w14:textId="77777777" w:rsidTr="00772188">
        <w:trPr>
          <w:trHeight w:val="300"/>
          <w:jc w:val="center"/>
        </w:trPr>
        <w:tc>
          <w:tcPr>
            <w:tcW w:w="3256" w:type="dxa"/>
            <w:noWrap/>
            <w:hideMark/>
          </w:tcPr>
          <w:p w14:paraId="37FF3D5B"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20 - 29 </w:t>
            </w:r>
          </w:p>
        </w:tc>
        <w:tc>
          <w:tcPr>
            <w:tcW w:w="1842" w:type="dxa"/>
            <w:noWrap/>
            <w:hideMark/>
          </w:tcPr>
          <w:p w14:paraId="55E19E41"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w:t>
            </w:r>
          </w:p>
        </w:tc>
        <w:tc>
          <w:tcPr>
            <w:tcW w:w="1560" w:type="dxa"/>
            <w:noWrap/>
            <w:hideMark/>
          </w:tcPr>
          <w:p w14:paraId="4B81076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20,83</w:t>
            </w:r>
          </w:p>
        </w:tc>
      </w:tr>
      <w:tr w:rsidR="001D457F" w:rsidRPr="00834ABA" w14:paraId="53E09774" w14:textId="77777777" w:rsidTr="00772188">
        <w:trPr>
          <w:trHeight w:val="300"/>
          <w:jc w:val="center"/>
        </w:trPr>
        <w:tc>
          <w:tcPr>
            <w:tcW w:w="3256" w:type="dxa"/>
            <w:noWrap/>
            <w:hideMark/>
          </w:tcPr>
          <w:p w14:paraId="015B346A"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30 - 39 </w:t>
            </w:r>
          </w:p>
        </w:tc>
        <w:tc>
          <w:tcPr>
            <w:tcW w:w="1842" w:type="dxa"/>
            <w:noWrap/>
            <w:hideMark/>
          </w:tcPr>
          <w:p w14:paraId="22F679D6"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30</w:t>
            </w:r>
          </w:p>
        </w:tc>
        <w:tc>
          <w:tcPr>
            <w:tcW w:w="1560" w:type="dxa"/>
            <w:noWrap/>
            <w:hideMark/>
          </w:tcPr>
          <w:p w14:paraId="64ACCA7A"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31,25</w:t>
            </w:r>
          </w:p>
        </w:tc>
      </w:tr>
      <w:tr w:rsidR="001D457F" w:rsidRPr="00834ABA" w14:paraId="4DDB7CCA" w14:textId="77777777" w:rsidTr="00772188">
        <w:trPr>
          <w:trHeight w:val="300"/>
          <w:jc w:val="center"/>
        </w:trPr>
        <w:tc>
          <w:tcPr>
            <w:tcW w:w="3256" w:type="dxa"/>
            <w:noWrap/>
            <w:hideMark/>
          </w:tcPr>
          <w:p w14:paraId="6A1F194D"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40 - 49 </w:t>
            </w:r>
          </w:p>
        </w:tc>
        <w:tc>
          <w:tcPr>
            <w:tcW w:w="1842" w:type="dxa"/>
            <w:noWrap/>
            <w:hideMark/>
          </w:tcPr>
          <w:p w14:paraId="461A88D9"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w:t>
            </w:r>
          </w:p>
        </w:tc>
        <w:tc>
          <w:tcPr>
            <w:tcW w:w="1560" w:type="dxa"/>
            <w:noWrap/>
            <w:hideMark/>
          </w:tcPr>
          <w:p w14:paraId="0300B990"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20,83</w:t>
            </w:r>
          </w:p>
        </w:tc>
      </w:tr>
      <w:tr w:rsidR="001D457F" w:rsidRPr="00834ABA" w14:paraId="2C6B720C" w14:textId="77777777" w:rsidTr="00772188">
        <w:trPr>
          <w:trHeight w:val="300"/>
          <w:jc w:val="center"/>
        </w:trPr>
        <w:tc>
          <w:tcPr>
            <w:tcW w:w="3256" w:type="dxa"/>
            <w:noWrap/>
            <w:hideMark/>
          </w:tcPr>
          <w:p w14:paraId="784F230E" w14:textId="77777777" w:rsidR="001D457F" w:rsidRPr="00834ABA" w:rsidRDefault="001D457F"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50 - 59 </w:t>
            </w:r>
          </w:p>
        </w:tc>
        <w:tc>
          <w:tcPr>
            <w:tcW w:w="1842" w:type="dxa"/>
            <w:noWrap/>
            <w:hideMark/>
          </w:tcPr>
          <w:p w14:paraId="0F00C07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12</w:t>
            </w:r>
          </w:p>
        </w:tc>
        <w:tc>
          <w:tcPr>
            <w:tcW w:w="1560" w:type="dxa"/>
            <w:noWrap/>
            <w:hideMark/>
          </w:tcPr>
          <w:p w14:paraId="2AE4F3D8"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12,50</w:t>
            </w:r>
          </w:p>
        </w:tc>
      </w:tr>
      <w:tr w:rsidR="001D457F" w:rsidRPr="00834ABA" w14:paraId="087B1EE3" w14:textId="77777777" w:rsidTr="00772188">
        <w:trPr>
          <w:trHeight w:val="300"/>
          <w:jc w:val="center"/>
        </w:trPr>
        <w:tc>
          <w:tcPr>
            <w:tcW w:w="3256" w:type="dxa"/>
            <w:noWrap/>
            <w:hideMark/>
          </w:tcPr>
          <w:p w14:paraId="31030243" w14:textId="3ABA232A" w:rsidR="001D457F" w:rsidRPr="00834ABA" w:rsidRDefault="00475FF5"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 xml:space="preserve">≥ </w:t>
            </w:r>
            <w:r w:rsidR="001D457F" w:rsidRPr="00834ABA">
              <w:rPr>
                <w:rFonts w:ascii="Times New Roman" w:eastAsia="Times New Roman" w:hAnsi="Times New Roman" w:cs="Times New Roman"/>
                <w:color w:val="000000" w:themeColor="text1"/>
                <w:kern w:val="0"/>
                <w:lang w:val="en-US" w:eastAsia="ja-JP"/>
                <w14:ligatures w14:val="none"/>
              </w:rPr>
              <w:t xml:space="preserve">60 </w:t>
            </w:r>
          </w:p>
        </w:tc>
        <w:tc>
          <w:tcPr>
            <w:tcW w:w="1842" w:type="dxa"/>
            <w:noWrap/>
            <w:hideMark/>
          </w:tcPr>
          <w:p w14:paraId="5B7A9E41"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8</w:t>
            </w:r>
          </w:p>
        </w:tc>
        <w:tc>
          <w:tcPr>
            <w:tcW w:w="1560" w:type="dxa"/>
            <w:noWrap/>
            <w:hideMark/>
          </w:tcPr>
          <w:p w14:paraId="0A15FC42"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8,33</w:t>
            </w:r>
          </w:p>
        </w:tc>
      </w:tr>
      <w:tr w:rsidR="001D457F" w:rsidRPr="00834ABA" w14:paraId="0C4C9AE5" w14:textId="77777777" w:rsidTr="00772188">
        <w:trPr>
          <w:trHeight w:val="300"/>
          <w:jc w:val="center"/>
        </w:trPr>
        <w:tc>
          <w:tcPr>
            <w:tcW w:w="3256" w:type="dxa"/>
            <w:noWrap/>
            <w:hideMark/>
          </w:tcPr>
          <w:p w14:paraId="765C92B3" w14:textId="4ED61D95" w:rsidR="001D457F" w:rsidRPr="00834ABA" w:rsidRDefault="00E253AE" w:rsidP="0053463D">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Male sex</w:t>
            </w:r>
          </w:p>
        </w:tc>
        <w:tc>
          <w:tcPr>
            <w:tcW w:w="1842" w:type="dxa"/>
            <w:noWrap/>
            <w:hideMark/>
          </w:tcPr>
          <w:p w14:paraId="5874CB9F"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57</w:t>
            </w:r>
          </w:p>
        </w:tc>
        <w:tc>
          <w:tcPr>
            <w:tcW w:w="1560" w:type="dxa"/>
            <w:noWrap/>
            <w:hideMark/>
          </w:tcPr>
          <w:p w14:paraId="13B47080"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59,38</w:t>
            </w:r>
          </w:p>
        </w:tc>
      </w:tr>
      <w:tr w:rsidR="001D457F" w:rsidRPr="00834ABA" w14:paraId="3A972EB6" w14:textId="77777777" w:rsidTr="00772188">
        <w:trPr>
          <w:trHeight w:val="300"/>
          <w:jc w:val="center"/>
        </w:trPr>
        <w:tc>
          <w:tcPr>
            <w:tcW w:w="3256" w:type="dxa"/>
            <w:noWrap/>
          </w:tcPr>
          <w:p w14:paraId="71DF061A" w14:textId="58112DEE" w:rsidR="001D457F" w:rsidRPr="00834ABA" w:rsidRDefault="00E253AE" w:rsidP="0053463D">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Marital status</w:t>
            </w:r>
          </w:p>
        </w:tc>
        <w:tc>
          <w:tcPr>
            <w:tcW w:w="1842" w:type="dxa"/>
            <w:noWrap/>
          </w:tcPr>
          <w:p w14:paraId="13F9F528"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c>
          <w:tcPr>
            <w:tcW w:w="1560" w:type="dxa"/>
            <w:noWrap/>
          </w:tcPr>
          <w:p w14:paraId="773EAD9C"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p>
        </w:tc>
      </w:tr>
      <w:tr w:rsidR="001D457F" w:rsidRPr="00834ABA" w14:paraId="250EF500" w14:textId="77777777" w:rsidTr="00772188">
        <w:trPr>
          <w:trHeight w:val="300"/>
          <w:jc w:val="center"/>
        </w:trPr>
        <w:tc>
          <w:tcPr>
            <w:tcW w:w="3256" w:type="dxa"/>
            <w:noWrap/>
            <w:hideMark/>
          </w:tcPr>
          <w:p w14:paraId="54E7CB77" w14:textId="27418FA0" w:rsidR="001D457F" w:rsidRPr="00834ABA" w:rsidRDefault="009A40C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Married</w:t>
            </w:r>
          </w:p>
        </w:tc>
        <w:tc>
          <w:tcPr>
            <w:tcW w:w="1842" w:type="dxa"/>
            <w:noWrap/>
            <w:hideMark/>
          </w:tcPr>
          <w:p w14:paraId="5B757BC8"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48</w:t>
            </w:r>
          </w:p>
        </w:tc>
        <w:tc>
          <w:tcPr>
            <w:tcW w:w="1560" w:type="dxa"/>
            <w:noWrap/>
            <w:hideMark/>
          </w:tcPr>
          <w:p w14:paraId="451A828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50,00</w:t>
            </w:r>
          </w:p>
        </w:tc>
      </w:tr>
      <w:tr w:rsidR="001D457F" w:rsidRPr="00834ABA" w14:paraId="06E8C446" w14:textId="77777777" w:rsidTr="00772188">
        <w:trPr>
          <w:trHeight w:val="300"/>
          <w:jc w:val="center"/>
        </w:trPr>
        <w:tc>
          <w:tcPr>
            <w:tcW w:w="3256" w:type="dxa"/>
            <w:noWrap/>
            <w:hideMark/>
          </w:tcPr>
          <w:p w14:paraId="49D9C70F" w14:textId="420692CF" w:rsidR="001D457F" w:rsidRPr="00834ABA" w:rsidRDefault="009A40C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Single</w:t>
            </w:r>
          </w:p>
        </w:tc>
        <w:tc>
          <w:tcPr>
            <w:tcW w:w="1842" w:type="dxa"/>
            <w:noWrap/>
            <w:hideMark/>
          </w:tcPr>
          <w:p w14:paraId="42B65DEB"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31</w:t>
            </w:r>
          </w:p>
        </w:tc>
        <w:tc>
          <w:tcPr>
            <w:tcW w:w="1560" w:type="dxa"/>
            <w:noWrap/>
            <w:hideMark/>
          </w:tcPr>
          <w:p w14:paraId="693DE78C"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32,29</w:t>
            </w:r>
          </w:p>
        </w:tc>
      </w:tr>
      <w:tr w:rsidR="001D457F" w:rsidRPr="00834ABA" w14:paraId="48881DAA" w14:textId="77777777" w:rsidTr="00772188">
        <w:trPr>
          <w:trHeight w:val="300"/>
          <w:jc w:val="center"/>
        </w:trPr>
        <w:tc>
          <w:tcPr>
            <w:tcW w:w="3256" w:type="dxa"/>
            <w:noWrap/>
            <w:hideMark/>
          </w:tcPr>
          <w:p w14:paraId="2EA4D304" w14:textId="77256937" w:rsidR="001D457F" w:rsidRPr="00834ABA" w:rsidRDefault="00C57DF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Divorced</w:t>
            </w:r>
          </w:p>
        </w:tc>
        <w:tc>
          <w:tcPr>
            <w:tcW w:w="1842" w:type="dxa"/>
            <w:noWrap/>
            <w:hideMark/>
          </w:tcPr>
          <w:p w14:paraId="043FFA27"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w:t>
            </w:r>
          </w:p>
        </w:tc>
        <w:tc>
          <w:tcPr>
            <w:tcW w:w="1560" w:type="dxa"/>
            <w:noWrap/>
            <w:hideMark/>
          </w:tcPr>
          <w:p w14:paraId="256C5867"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5,21</w:t>
            </w:r>
          </w:p>
        </w:tc>
      </w:tr>
      <w:tr w:rsidR="001D457F" w:rsidRPr="00834ABA" w14:paraId="56A3874E" w14:textId="77777777" w:rsidTr="00772188">
        <w:trPr>
          <w:trHeight w:val="300"/>
          <w:jc w:val="center"/>
        </w:trPr>
        <w:tc>
          <w:tcPr>
            <w:tcW w:w="3256" w:type="dxa"/>
            <w:noWrap/>
            <w:hideMark/>
          </w:tcPr>
          <w:p w14:paraId="28E6F014" w14:textId="2A7F291B" w:rsidR="001D457F" w:rsidRPr="00834ABA" w:rsidRDefault="00C57DF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Widowed</w:t>
            </w:r>
          </w:p>
        </w:tc>
        <w:tc>
          <w:tcPr>
            <w:tcW w:w="1842" w:type="dxa"/>
            <w:noWrap/>
            <w:hideMark/>
          </w:tcPr>
          <w:p w14:paraId="3E9509A1"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w:t>
            </w:r>
          </w:p>
        </w:tc>
        <w:tc>
          <w:tcPr>
            <w:tcW w:w="1560" w:type="dxa"/>
            <w:noWrap/>
            <w:hideMark/>
          </w:tcPr>
          <w:p w14:paraId="769F4192" w14:textId="77777777" w:rsidR="001D457F" w:rsidRPr="00834ABA" w:rsidRDefault="001D457F"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5,21</w:t>
            </w:r>
          </w:p>
        </w:tc>
      </w:tr>
      <w:tr w:rsidR="00FB028C" w:rsidRPr="00834ABA" w14:paraId="527E0536" w14:textId="77777777" w:rsidTr="00772188">
        <w:trPr>
          <w:trHeight w:val="300"/>
          <w:jc w:val="center"/>
        </w:trPr>
        <w:tc>
          <w:tcPr>
            <w:tcW w:w="3256" w:type="dxa"/>
            <w:noWrap/>
          </w:tcPr>
          <w:p w14:paraId="1AAF3CFF" w14:textId="0C5D3AD8" w:rsidR="00FB028C" w:rsidRPr="00834ABA" w:rsidRDefault="00C57DF7" w:rsidP="00772188">
            <w:pPr>
              <w:ind w:left="164"/>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14:ligatures w14:val="none"/>
              </w:rPr>
              <w:t>Unknown</w:t>
            </w:r>
          </w:p>
        </w:tc>
        <w:tc>
          <w:tcPr>
            <w:tcW w:w="1842" w:type="dxa"/>
            <w:noWrap/>
          </w:tcPr>
          <w:p w14:paraId="4FC3C4CC" w14:textId="6B7EC45D" w:rsidR="00FB028C" w:rsidRPr="00834ABA" w:rsidRDefault="00FB028C" w:rsidP="00772188">
            <w:pPr>
              <w:jc w:val="center"/>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eastAsia="ja-JP"/>
                <w14:ligatures w14:val="none"/>
              </w:rPr>
              <w:t>7</w:t>
            </w:r>
          </w:p>
        </w:tc>
        <w:tc>
          <w:tcPr>
            <w:tcW w:w="1560" w:type="dxa"/>
            <w:noWrap/>
          </w:tcPr>
          <w:p w14:paraId="2461AEDC" w14:textId="79401BD1" w:rsidR="00FB028C" w:rsidRPr="00834ABA" w:rsidRDefault="00FB028C" w:rsidP="00772188">
            <w:pPr>
              <w:jc w:val="center"/>
              <w:rPr>
                <w:rFonts w:ascii="Times New Roman" w:eastAsia="Times New Roman" w:hAnsi="Times New Roman" w:cs="Times New Roman"/>
                <w:color w:val="000000" w:themeColor="text1"/>
                <w:kern w:val="0"/>
                <w:lang w:val="en-US"/>
                <w14:ligatures w14:val="none"/>
              </w:rPr>
            </w:pPr>
            <w:r w:rsidRPr="00834ABA">
              <w:rPr>
                <w:rFonts w:ascii="Times New Roman" w:eastAsia="Times New Roman" w:hAnsi="Times New Roman" w:cs="Times New Roman"/>
                <w:color w:val="000000" w:themeColor="text1"/>
                <w:kern w:val="0"/>
                <w:lang w:val="en-US" w:eastAsia="ja-JP"/>
                <w14:ligatures w14:val="none"/>
              </w:rPr>
              <w:t>7,29</w:t>
            </w:r>
          </w:p>
        </w:tc>
      </w:tr>
      <w:tr w:rsidR="004E1A63" w:rsidRPr="00834ABA" w14:paraId="7C5F1CF6" w14:textId="77777777" w:rsidTr="00772188">
        <w:trPr>
          <w:trHeight w:val="300"/>
          <w:jc w:val="center"/>
        </w:trPr>
        <w:tc>
          <w:tcPr>
            <w:tcW w:w="3256" w:type="dxa"/>
            <w:noWrap/>
          </w:tcPr>
          <w:p w14:paraId="5A8AB28C" w14:textId="61BA19E9" w:rsidR="004E1A63" w:rsidRPr="00834ABA" w:rsidRDefault="001E6117" w:rsidP="004E1A63">
            <w:pPr>
              <w:rPr>
                <w:rFonts w:ascii="Times New Roman" w:eastAsia="Times New Roman" w:hAnsi="Times New Roman" w:cs="Times New Roman"/>
                <w:b/>
                <w:bCs/>
                <w:color w:val="000000" w:themeColor="text1"/>
                <w:kern w:val="0"/>
                <w:lang w:val="en-US" w:eastAsia="ja-JP"/>
                <w14:ligatures w14:val="none"/>
              </w:rPr>
            </w:pPr>
            <w:r w:rsidRPr="00834ABA">
              <w:rPr>
                <w:rFonts w:ascii="Times New Roman" w:eastAsia="Times New Roman" w:hAnsi="Times New Roman" w:cs="Times New Roman"/>
                <w:b/>
                <w:bCs/>
                <w:color w:val="000000" w:themeColor="text1"/>
                <w:kern w:val="0"/>
                <w:lang w:val="en-US" w:eastAsia="ja-JP"/>
                <w14:ligatures w14:val="none"/>
              </w:rPr>
              <w:t>Area of residence</w:t>
            </w:r>
          </w:p>
        </w:tc>
        <w:tc>
          <w:tcPr>
            <w:tcW w:w="1842" w:type="dxa"/>
            <w:noWrap/>
          </w:tcPr>
          <w:p w14:paraId="15F07E54"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p>
        </w:tc>
        <w:tc>
          <w:tcPr>
            <w:tcW w:w="1560" w:type="dxa"/>
            <w:noWrap/>
          </w:tcPr>
          <w:p w14:paraId="462B0B59"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p>
        </w:tc>
      </w:tr>
      <w:tr w:rsidR="001E6117" w:rsidRPr="00834ABA" w14:paraId="351E80D8" w14:textId="77777777" w:rsidTr="00772188">
        <w:trPr>
          <w:trHeight w:val="300"/>
          <w:jc w:val="center"/>
        </w:trPr>
        <w:tc>
          <w:tcPr>
            <w:tcW w:w="3256" w:type="dxa"/>
            <w:noWrap/>
            <w:hideMark/>
          </w:tcPr>
          <w:p w14:paraId="67E6FC15" w14:textId="593004AB" w:rsidR="001E6117" w:rsidRPr="00834ABA" w:rsidRDefault="001E6117" w:rsidP="00772188">
            <w:pPr>
              <w:ind w:left="164"/>
              <w:rPr>
                <w:rFonts w:ascii="Times New Roman" w:eastAsia="Times New Roman" w:hAnsi="Times New Roman" w:cs="Times New Roman"/>
                <w:color w:val="000000" w:themeColor="text1"/>
                <w:kern w:val="0"/>
                <w:lang w:val="en-US" w:eastAsia="ja-JP"/>
                <w14:ligatures w14:val="none"/>
              </w:rPr>
            </w:pPr>
            <w:r w:rsidRPr="00834ABA">
              <w:rPr>
                <w:rStyle w:val="Strong"/>
                <w:rFonts w:ascii="Times New Roman" w:hAnsi="Times New Roman" w:cs="Times New Roman"/>
                <w:b w:val="0"/>
                <w:bCs w:val="0"/>
                <w:color w:val="000000" w:themeColor="text1"/>
                <w:lang w:val="en-US"/>
              </w:rPr>
              <w:t>Dakar suburbs</w:t>
            </w:r>
          </w:p>
        </w:tc>
        <w:tc>
          <w:tcPr>
            <w:tcW w:w="1842" w:type="dxa"/>
            <w:noWrap/>
            <w:hideMark/>
          </w:tcPr>
          <w:p w14:paraId="23618F11"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58</w:t>
            </w:r>
          </w:p>
        </w:tc>
        <w:tc>
          <w:tcPr>
            <w:tcW w:w="1560" w:type="dxa"/>
            <w:noWrap/>
            <w:hideMark/>
          </w:tcPr>
          <w:p w14:paraId="70BA460E"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60,42</w:t>
            </w:r>
          </w:p>
        </w:tc>
      </w:tr>
      <w:tr w:rsidR="001E6117" w:rsidRPr="00834ABA" w14:paraId="0E337EA9" w14:textId="77777777" w:rsidTr="00772188">
        <w:trPr>
          <w:trHeight w:val="300"/>
          <w:jc w:val="center"/>
        </w:trPr>
        <w:tc>
          <w:tcPr>
            <w:tcW w:w="3256" w:type="dxa"/>
            <w:noWrap/>
            <w:hideMark/>
          </w:tcPr>
          <w:p w14:paraId="6E41BEC0" w14:textId="25661B3F" w:rsidR="001E6117" w:rsidRPr="00834ABA" w:rsidRDefault="001E6117" w:rsidP="00772188">
            <w:pPr>
              <w:ind w:left="164"/>
              <w:rPr>
                <w:rFonts w:ascii="Times New Roman" w:eastAsia="Times New Roman" w:hAnsi="Times New Roman" w:cs="Times New Roman"/>
                <w:color w:val="000000" w:themeColor="text1"/>
                <w:kern w:val="0"/>
                <w:lang w:val="en-US" w:eastAsia="ja-JP"/>
                <w14:ligatures w14:val="none"/>
              </w:rPr>
            </w:pPr>
            <w:r w:rsidRPr="00834ABA">
              <w:rPr>
                <w:rStyle w:val="Strong"/>
                <w:rFonts w:ascii="Times New Roman" w:hAnsi="Times New Roman" w:cs="Times New Roman"/>
                <w:b w:val="0"/>
                <w:bCs w:val="0"/>
                <w:color w:val="000000" w:themeColor="text1"/>
                <w:lang w:val="en-US"/>
              </w:rPr>
              <w:t>Central Dakar</w:t>
            </w:r>
          </w:p>
        </w:tc>
        <w:tc>
          <w:tcPr>
            <w:tcW w:w="1842" w:type="dxa"/>
            <w:noWrap/>
            <w:hideMark/>
          </w:tcPr>
          <w:p w14:paraId="6B3FB53F"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24</w:t>
            </w:r>
          </w:p>
        </w:tc>
        <w:tc>
          <w:tcPr>
            <w:tcW w:w="1560" w:type="dxa"/>
            <w:noWrap/>
            <w:hideMark/>
          </w:tcPr>
          <w:p w14:paraId="06192881" w14:textId="77777777" w:rsidR="001E6117" w:rsidRPr="00834ABA" w:rsidRDefault="001E6117"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25,00</w:t>
            </w:r>
          </w:p>
        </w:tc>
      </w:tr>
      <w:tr w:rsidR="004E1A63" w:rsidRPr="00834ABA" w14:paraId="39999BA5" w14:textId="77777777" w:rsidTr="00772188">
        <w:trPr>
          <w:trHeight w:val="300"/>
          <w:jc w:val="center"/>
        </w:trPr>
        <w:tc>
          <w:tcPr>
            <w:tcW w:w="3256" w:type="dxa"/>
            <w:noWrap/>
            <w:hideMark/>
          </w:tcPr>
          <w:p w14:paraId="688EC9CC" w14:textId="2A97C8E1" w:rsidR="004E1A63" w:rsidRPr="00834ABA" w:rsidRDefault="001E6117"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Province</w:t>
            </w:r>
          </w:p>
        </w:tc>
        <w:tc>
          <w:tcPr>
            <w:tcW w:w="1842" w:type="dxa"/>
            <w:noWrap/>
            <w:hideMark/>
          </w:tcPr>
          <w:p w14:paraId="48E07DFC"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11</w:t>
            </w:r>
          </w:p>
        </w:tc>
        <w:tc>
          <w:tcPr>
            <w:tcW w:w="1560" w:type="dxa"/>
            <w:noWrap/>
            <w:hideMark/>
          </w:tcPr>
          <w:p w14:paraId="674E1572"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11,46</w:t>
            </w:r>
          </w:p>
        </w:tc>
      </w:tr>
      <w:tr w:rsidR="004E1A63" w:rsidRPr="00834ABA" w14:paraId="1FDD1ADB" w14:textId="77777777" w:rsidTr="00772188">
        <w:trPr>
          <w:trHeight w:val="300"/>
          <w:jc w:val="center"/>
        </w:trPr>
        <w:tc>
          <w:tcPr>
            <w:tcW w:w="3256" w:type="dxa"/>
            <w:noWrap/>
            <w:hideMark/>
          </w:tcPr>
          <w:p w14:paraId="54F4CBA0" w14:textId="2BD72905" w:rsidR="004E1A63" w:rsidRPr="00834ABA" w:rsidRDefault="00772188"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Outside the country</w:t>
            </w:r>
          </w:p>
        </w:tc>
        <w:tc>
          <w:tcPr>
            <w:tcW w:w="1842" w:type="dxa"/>
            <w:noWrap/>
            <w:hideMark/>
          </w:tcPr>
          <w:p w14:paraId="4E34AC4A"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w:t>
            </w:r>
          </w:p>
        </w:tc>
        <w:tc>
          <w:tcPr>
            <w:tcW w:w="1560" w:type="dxa"/>
            <w:noWrap/>
            <w:hideMark/>
          </w:tcPr>
          <w:p w14:paraId="55C273B0"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2,08</w:t>
            </w:r>
          </w:p>
        </w:tc>
      </w:tr>
      <w:tr w:rsidR="004E1A63" w:rsidRPr="00834ABA" w14:paraId="3616D4F6" w14:textId="77777777" w:rsidTr="00772188">
        <w:trPr>
          <w:trHeight w:val="300"/>
          <w:jc w:val="center"/>
        </w:trPr>
        <w:tc>
          <w:tcPr>
            <w:tcW w:w="3256" w:type="dxa"/>
            <w:tcBorders>
              <w:bottom w:val="single" w:sz="4" w:space="0" w:color="auto"/>
            </w:tcBorders>
            <w:noWrap/>
            <w:hideMark/>
          </w:tcPr>
          <w:p w14:paraId="005BF6F7" w14:textId="4FAB7F8B" w:rsidR="004E1A63" w:rsidRPr="00834ABA" w:rsidRDefault="00772188" w:rsidP="00772188">
            <w:pPr>
              <w:ind w:left="164"/>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14:ligatures w14:val="none"/>
              </w:rPr>
              <w:t>Unknown</w:t>
            </w:r>
          </w:p>
        </w:tc>
        <w:tc>
          <w:tcPr>
            <w:tcW w:w="1842" w:type="dxa"/>
            <w:tcBorders>
              <w:bottom w:val="single" w:sz="4" w:space="0" w:color="auto"/>
            </w:tcBorders>
            <w:noWrap/>
            <w:hideMark/>
          </w:tcPr>
          <w:p w14:paraId="631E0612"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w:t>
            </w:r>
          </w:p>
        </w:tc>
        <w:tc>
          <w:tcPr>
            <w:tcW w:w="1560" w:type="dxa"/>
            <w:tcBorders>
              <w:bottom w:val="single" w:sz="4" w:space="0" w:color="auto"/>
            </w:tcBorders>
            <w:noWrap/>
            <w:hideMark/>
          </w:tcPr>
          <w:p w14:paraId="11DBBE0E" w14:textId="77777777" w:rsidR="004E1A63" w:rsidRPr="00834ABA" w:rsidRDefault="004E1A63" w:rsidP="00772188">
            <w:pPr>
              <w:jc w:val="center"/>
              <w:rPr>
                <w:rFonts w:ascii="Times New Roman" w:eastAsia="Times New Roman" w:hAnsi="Times New Roman" w:cs="Times New Roman"/>
                <w:color w:val="000000" w:themeColor="text1"/>
                <w:kern w:val="0"/>
                <w:lang w:val="en-US" w:eastAsia="ja-JP"/>
                <w14:ligatures w14:val="none"/>
              </w:rPr>
            </w:pPr>
            <w:r w:rsidRPr="00834ABA">
              <w:rPr>
                <w:rFonts w:ascii="Times New Roman" w:eastAsia="Times New Roman" w:hAnsi="Times New Roman" w:cs="Times New Roman"/>
                <w:color w:val="000000" w:themeColor="text1"/>
                <w:kern w:val="0"/>
                <w:lang w:val="en-US" w:eastAsia="ja-JP"/>
                <w14:ligatures w14:val="none"/>
              </w:rPr>
              <w:t>1,04</w:t>
            </w:r>
          </w:p>
        </w:tc>
      </w:tr>
    </w:tbl>
    <w:p w14:paraId="6AEE1074" w14:textId="77777777" w:rsidR="001D457F" w:rsidRPr="00834ABA" w:rsidRDefault="001D457F" w:rsidP="001D457F">
      <w:pPr>
        <w:rPr>
          <w:color w:val="000000" w:themeColor="text1"/>
          <w:lang w:val="en-US"/>
        </w:rPr>
      </w:pPr>
    </w:p>
    <w:p w14:paraId="33B34462" w14:textId="210EA413" w:rsidR="002416AD" w:rsidRPr="00834ABA" w:rsidRDefault="00E95F3F" w:rsidP="0020111E">
      <w:pPr>
        <w:jc w:val="center"/>
        <w:rPr>
          <w:color w:val="000000" w:themeColor="text1"/>
          <w:lang w:val="en-US"/>
        </w:rPr>
      </w:pPr>
      <w:r w:rsidRPr="00834ABA">
        <w:rPr>
          <w:color w:val="000000" w:themeColor="text1"/>
          <w:lang w:val="en-US"/>
        </w:rPr>
        <w:lastRenderedPageBreak/>
        <w:br w:type="textWrapping" w:clear="all"/>
      </w:r>
      <w:r w:rsidR="00D66845" w:rsidRPr="00834ABA">
        <w:rPr>
          <w:noProof/>
          <w:color w:val="000000" w:themeColor="text1"/>
          <w:lang w:val="en-US" w:eastAsia="en-GB"/>
        </w:rPr>
        <w:drawing>
          <wp:anchor distT="0" distB="0" distL="114300" distR="114300" simplePos="0" relativeHeight="251658240" behindDoc="0" locked="0" layoutInCell="1" allowOverlap="1" wp14:anchorId="49B92CF7" wp14:editId="0FE2B282">
            <wp:simplePos x="0" y="0"/>
            <wp:positionH relativeFrom="column">
              <wp:posOffset>0</wp:posOffset>
            </wp:positionH>
            <wp:positionV relativeFrom="paragraph">
              <wp:posOffset>529590</wp:posOffset>
            </wp:positionV>
            <wp:extent cx="5715000" cy="5276850"/>
            <wp:effectExtent l="0" t="0" r="0" b="0"/>
            <wp:wrapSquare wrapText="bothSides"/>
            <wp:docPr id="733343228" name="Graphique 733343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535A545" w14:textId="77777777" w:rsidR="001219BF" w:rsidRPr="00834ABA" w:rsidRDefault="001219BF" w:rsidP="001219BF">
      <w:pPr>
        <w:rPr>
          <w:rFonts w:ascii="Times New Roman" w:hAnsi="Times New Roman" w:cs="Times New Roman"/>
          <w:b/>
          <w:bCs/>
          <w:color w:val="000000" w:themeColor="text1"/>
          <w:lang w:val="en-US"/>
        </w:rPr>
      </w:pPr>
    </w:p>
    <w:p w14:paraId="7A46C96A" w14:textId="766CC5EA" w:rsidR="001219BF" w:rsidRPr="00834ABA" w:rsidRDefault="006A0517" w:rsidP="001219BF">
      <w:pPr>
        <w:rPr>
          <w:rFonts w:ascii="Times New Roman" w:hAnsi="Times New Roman" w:cs="Times New Roman"/>
          <w:b/>
          <w:bCs/>
          <w:color w:val="000000" w:themeColor="text1"/>
          <w:lang w:val="en-US"/>
        </w:rPr>
      </w:pPr>
      <w:r w:rsidRPr="00834ABA">
        <w:rPr>
          <w:rFonts w:ascii="Times New Roman" w:hAnsi="Times New Roman" w:cs="Times New Roman"/>
          <w:b/>
          <w:bCs/>
          <w:color w:val="000000" w:themeColor="text1"/>
          <w:lang w:val="en-US"/>
        </w:rPr>
        <w:t xml:space="preserve">Figure </w:t>
      </w:r>
      <w:r w:rsidR="00A737ED">
        <w:rPr>
          <w:rFonts w:ascii="Times New Roman" w:hAnsi="Times New Roman" w:cs="Times New Roman"/>
          <w:b/>
          <w:bCs/>
          <w:color w:val="000000" w:themeColor="text1"/>
          <w:lang w:val="en-US"/>
        </w:rPr>
        <w:t>1</w:t>
      </w:r>
      <w:r w:rsidRPr="00834ABA">
        <w:rPr>
          <w:rFonts w:ascii="Times New Roman" w:hAnsi="Times New Roman" w:cs="Times New Roman"/>
          <w:b/>
          <w:bCs/>
          <w:color w:val="000000" w:themeColor="text1"/>
          <w:lang w:val="en-US"/>
        </w:rPr>
        <w:t xml:space="preserve">: </w:t>
      </w:r>
      <w:r w:rsidR="001219BF" w:rsidRPr="00834ABA">
        <w:rPr>
          <w:rFonts w:ascii="Times New Roman" w:hAnsi="Times New Roman" w:cs="Times New Roman"/>
          <w:b/>
          <w:bCs/>
          <w:color w:val="000000" w:themeColor="text1"/>
          <w:lang w:val="en-US"/>
        </w:rPr>
        <w:t>Co-morbidities of patients with miliary tuberculosis</w:t>
      </w:r>
    </w:p>
    <w:p w14:paraId="70A3429C" w14:textId="08A9D475" w:rsidR="006963A9" w:rsidRPr="00834ABA" w:rsidRDefault="006963A9" w:rsidP="00770AD2">
      <w:pPr>
        <w:rPr>
          <w:rFonts w:ascii="Times New Roman" w:hAnsi="Times New Roman" w:cs="Times New Roman"/>
          <w:b/>
          <w:bCs/>
          <w:color w:val="000000" w:themeColor="text1"/>
          <w:lang w:val="en-US"/>
        </w:rPr>
      </w:pPr>
    </w:p>
    <w:p w14:paraId="0F7AA3FF" w14:textId="77777777" w:rsidR="006963A9" w:rsidRPr="00834ABA" w:rsidRDefault="006963A9" w:rsidP="0020111E">
      <w:pPr>
        <w:jc w:val="center"/>
        <w:rPr>
          <w:color w:val="000000" w:themeColor="text1"/>
          <w:lang w:val="en-US"/>
        </w:rPr>
      </w:pPr>
    </w:p>
    <w:p w14:paraId="59D3485F" w14:textId="34019737" w:rsidR="006963A9" w:rsidRPr="00834ABA" w:rsidRDefault="006963A9" w:rsidP="0020111E">
      <w:pPr>
        <w:jc w:val="center"/>
        <w:rPr>
          <w:noProof/>
          <w:color w:val="000000" w:themeColor="text1"/>
          <w:lang w:val="en-US"/>
        </w:rPr>
      </w:pPr>
      <w:r w:rsidRPr="00834ABA">
        <w:rPr>
          <w:noProof/>
          <w:color w:val="000000" w:themeColor="text1"/>
          <w:lang w:val="en-US" w:eastAsia="en-GB"/>
        </w:rPr>
        <w:lastRenderedPageBreak/>
        <w:drawing>
          <wp:inline distT="0" distB="0" distL="0" distR="0" wp14:anchorId="3C12D9F2" wp14:editId="5354FA7E">
            <wp:extent cx="6096000" cy="4438650"/>
            <wp:effectExtent l="0" t="0" r="0" b="0"/>
            <wp:docPr id="9032811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E2F824" w14:textId="60A3F20D" w:rsidR="00C93E94" w:rsidRDefault="00770AD2" w:rsidP="00CF0A70">
      <w:pPr>
        <w:rPr>
          <w:rFonts w:ascii="Times New Roman" w:hAnsi="Times New Roman" w:cs="Times New Roman"/>
          <w:b/>
          <w:bCs/>
          <w:color w:val="000000" w:themeColor="text1"/>
          <w:lang w:val="en-US"/>
        </w:rPr>
      </w:pPr>
      <w:r w:rsidRPr="00834ABA">
        <w:rPr>
          <w:rFonts w:ascii="Times New Roman" w:hAnsi="Times New Roman" w:cs="Times New Roman"/>
          <w:b/>
          <w:bCs/>
          <w:color w:val="000000" w:themeColor="text1"/>
          <w:lang w:val="en-US"/>
        </w:rPr>
        <w:t xml:space="preserve">Figure </w:t>
      </w:r>
      <w:r w:rsidR="00A737ED">
        <w:rPr>
          <w:rFonts w:ascii="Times New Roman" w:hAnsi="Times New Roman" w:cs="Times New Roman"/>
          <w:b/>
          <w:bCs/>
          <w:color w:val="000000" w:themeColor="text1"/>
          <w:lang w:val="en-US"/>
        </w:rPr>
        <w:t>2</w:t>
      </w:r>
      <w:r w:rsidRPr="00834ABA">
        <w:rPr>
          <w:rFonts w:ascii="Times New Roman" w:hAnsi="Times New Roman" w:cs="Times New Roman"/>
          <w:b/>
          <w:bCs/>
          <w:color w:val="000000" w:themeColor="text1"/>
          <w:lang w:val="en-US"/>
        </w:rPr>
        <w:t xml:space="preserve">: </w:t>
      </w:r>
      <w:r w:rsidR="00251F4B" w:rsidRPr="00834ABA">
        <w:rPr>
          <w:rFonts w:ascii="Times New Roman" w:hAnsi="Times New Roman" w:cs="Times New Roman"/>
          <w:b/>
          <w:bCs/>
          <w:color w:val="000000" w:themeColor="text1"/>
          <w:lang w:val="en-US"/>
        </w:rPr>
        <w:t>Clinical characteristics of miliary tuberculosis</w:t>
      </w:r>
    </w:p>
    <w:p w14:paraId="4146BE17" w14:textId="77777777" w:rsidR="00C93E94" w:rsidRDefault="00C93E94" w:rsidP="00CF0A70">
      <w:pPr>
        <w:rPr>
          <w:rFonts w:ascii="Times New Roman" w:hAnsi="Times New Roman" w:cs="Times New Roman"/>
          <w:b/>
          <w:bCs/>
          <w:color w:val="000000" w:themeColor="text1"/>
          <w:lang w:val="en-US"/>
        </w:rPr>
      </w:pPr>
    </w:p>
    <w:p w14:paraId="1049CF7D" w14:textId="7159B1EF" w:rsidR="00C93E94" w:rsidRPr="00C93E94" w:rsidRDefault="00CF0A70" w:rsidP="00CF0A70">
      <w:pPr>
        <w:rPr>
          <w:rFonts w:ascii="Times New Roman" w:hAnsi="Times New Roman" w:cs="Times New Roman"/>
          <w:b/>
          <w:bCs/>
        </w:rPr>
      </w:pPr>
      <w:r w:rsidRPr="00CF0A70">
        <w:rPr>
          <w:rFonts w:ascii="Times New Roman" w:hAnsi="Times New Roman" w:cs="Times New Roman"/>
          <w:b/>
          <w:bCs/>
          <w:color w:val="000000" w:themeColor="text1"/>
          <w:lang w:val="en-US"/>
        </w:rPr>
        <w:t>Table 2</w:t>
      </w:r>
      <w:r>
        <w:rPr>
          <w:rFonts w:ascii="Times New Roman" w:hAnsi="Times New Roman" w:cs="Times New Roman"/>
          <w:b/>
          <w:bCs/>
          <w:color w:val="000000" w:themeColor="text1"/>
          <w:lang w:val="en-US"/>
        </w:rPr>
        <w:t xml:space="preserve">: </w:t>
      </w:r>
      <w:proofErr w:type="spellStart"/>
      <w:r w:rsidR="00C93E94" w:rsidRPr="00C93E94">
        <w:rPr>
          <w:rFonts w:ascii="Times New Roman" w:hAnsi="Times New Roman" w:cs="Times New Roman"/>
          <w:b/>
          <w:bCs/>
        </w:rPr>
        <w:t>Biological</w:t>
      </w:r>
      <w:proofErr w:type="spellEnd"/>
      <w:r w:rsidR="00C93E94" w:rsidRPr="00C93E94">
        <w:rPr>
          <w:rFonts w:ascii="Times New Roman" w:hAnsi="Times New Roman" w:cs="Times New Roman"/>
          <w:b/>
          <w:bCs/>
        </w:rPr>
        <w:t xml:space="preserve"> </w:t>
      </w:r>
      <w:proofErr w:type="spellStart"/>
      <w:r w:rsidR="00C93E94" w:rsidRPr="00C93E94">
        <w:rPr>
          <w:rFonts w:ascii="Times New Roman" w:hAnsi="Times New Roman" w:cs="Times New Roman"/>
          <w:b/>
          <w:bCs/>
        </w:rPr>
        <w:t>parameters</w:t>
      </w:r>
      <w:proofErr w:type="spellEnd"/>
      <w:r w:rsidR="00C93E94" w:rsidRPr="00C93E94">
        <w:rPr>
          <w:rFonts w:ascii="Times New Roman" w:hAnsi="Times New Roman" w:cs="Times New Roman"/>
          <w:b/>
          <w:bCs/>
        </w:rPr>
        <w:t xml:space="preserve"> of patients at admission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57"/>
        <w:gridCol w:w="1701"/>
        <w:gridCol w:w="1985"/>
      </w:tblGrid>
      <w:tr w:rsidR="00CF0A70" w:rsidRPr="00CF0A70" w14:paraId="4B9CEE27" w14:textId="77777777" w:rsidTr="00CF0A70">
        <w:trPr>
          <w:tblHeader/>
          <w:tblCellSpacing w:w="15" w:type="dxa"/>
          <w:jc w:val="center"/>
        </w:trPr>
        <w:tc>
          <w:tcPr>
            <w:tcW w:w="3412" w:type="dxa"/>
            <w:tcBorders>
              <w:top w:val="single" w:sz="4" w:space="0" w:color="auto"/>
              <w:bottom w:val="single" w:sz="4" w:space="0" w:color="auto"/>
            </w:tcBorders>
            <w:vAlign w:val="center"/>
            <w:hideMark/>
          </w:tcPr>
          <w:p w14:paraId="035BA4F5" w14:textId="77777777" w:rsidR="00CF0A70" w:rsidRPr="00CF0A70" w:rsidRDefault="00CF0A70" w:rsidP="00FF2473">
            <w:pPr>
              <w:spacing w:line="360" w:lineRule="auto"/>
              <w:rPr>
                <w:rFonts w:ascii="Times New Roman" w:hAnsi="Times New Roman" w:cs="Times New Roman"/>
                <w:b/>
                <w:bCs/>
              </w:rPr>
            </w:pPr>
            <w:r w:rsidRPr="00CF0A70">
              <w:rPr>
                <w:rFonts w:ascii="Times New Roman" w:hAnsi="Times New Roman" w:cs="Times New Roman"/>
                <w:b/>
                <w:bCs/>
              </w:rPr>
              <w:t>Variables</w:t>
            </w:r>
          </w:p>
        </w:tc>
        <w:tc>
          <w:tcPr>
            <w:tcW w:w="1671" w:type="dxa"/>
            <w:tcBorders>
              <w:top w:val="single" w:sz="4" w:space="0" w:color="auto"/>
              <w:bottom w:val="single" w:sz="4" w:space="0" w:color="auto"/>
            </w:tcBorders>
            <w:vAlign w:val="center"/>
            <w:hideMark/>
          </w:tcPr>
          <w:p w14:paraId="6DD3EB98" w14:textId="77777777" w:rsidR="00CF0A70" w:rsidRPr="00CF0A70" w:rsidRDefault="00CF0A70" w:rsidP="00FF2473">
            <w:pPr>
              <w:spacing w:line="360" w:lineRule="auto"/>
              <w:jc w:val="center"/>
              <w:rPr>
                <w:rFonts w:ascii="Times New Roman" w:hAnsi="Times New Roman" w:cs="Times New Roman"/>
                <w:b/>
                <w:bCs/>
              </w:rPr>
            </w:pPr>
            <w:proofErr w:type="spellStart"/>
            <w:r w:rsidRPr="00CF0A70">
              <w:rPr>
                <w:rFonts w:ascii="Times New Roman" w:hAnsi="Times New Roman" w:cs="Times New Roman"/>
                <w:b/>
                <w:bCs/>
              </w:rPr>
              <w:t>Mean</w:t>
            </w:r>
            <w:proofErr w:type="spellEnd"/>
            <w:r w:rsidRPr="00CF0A70">
              <w:rPr>
                <w:rFonts w:ascii="Times New Roman" w:hAnsi="Times New Roman" w:cs="Times New Roman"/>
                <w:b/>
                <w:bCs/>
              </w:rPr>
              <w:t xml:space="preserve"> (± </w:t>
            </w:r>
            <w:proofErr w:type="spellStart"/>
            <w:r w:rsidRPr="00CF0A70">
              <w:rPr>
                <w:rFonts w:ascii="Times New Roman" w:hAnsi="Times New Roman" w:cs="Times New Roman"/>
                <w:b/>
                <w:bCs/>
              </w:rPr>
              <w:t>sd</w:t>
            </w:r>
            <w:proofErr w:type="spellEnd"/>
            <w:r w:rsidRPr="00CF0A70">
              <w:rPr>
                <w:rFonts w:ascii="Times New Roman" w:hAnsi="Times New Roman" w:cs="Times New Roman"/>
                <w:b/>
                <w:bCs/>
              </w:rPr>
              <w:t>)</w:t>
            </w:r>
          </w:p>
        </w:tc>
        <w:tc>
          <w:tcPr>
            <w:tcW w:w="1940" w:type="dxa"/>
            <w:tcBorders>
              <w:top w:val="single" w:sz="4" w:space="0" w:color="auto"/>
              <w:bottom w:val="single" w:sz="4" w:space="0" w:color="auto"/>
            </w:tcBorders>
            <w:vAlign w:val="center"/>
            <w:hideMark/>
          </w:tcPr>
          <w:p w14:paraId="760226F1" w14:textId="77777777" w:rsidR="00CF0A70" w:rsidRPr="00CF0A70" w:rsidRDefault="00CF0A70" w:rsidP="00FF2473">
            <w:pPr>
              <w:spacing w:line="360" w:lineRule="auto"/>
              <w:jc w:val="center"/>
              <w:rPr>
                <w:rFonts w:ascii="Times New Roman" w:hAnsi="Times New Roman" w:cs="Times New Roman"/>
                <w:b/>
                <w:bCs/>
              </w:rPr>
            </w:pPr>
            <w:r w:rsidRPr="00CF0A70">
              <w:rPr>
                <w:rFonts w:ascii="Times New Roman" w:hAnsi="Times New Roman" w:cs="Times New Roman"/>
                <w:b/>
                <w:bCs/>
              </w:rPr>
              <w:t>Median (IQR)</w:t>
            </w:r>
          </w:p>
        </w:tc>
      </w:tr>
      <w:tr w:rsidR="00CF0A70" w:rsidRPr="00CF0A70" w14:paraId="4652AA47" w14:textId="77777777" w:rsidTr="00CF0A70">
        <w:trPr>
          <w:tblCellSpacing w:w="15" w:type="dxa"/>
          <w:jc w:val="center"/>
        </w:trPr>
        <w:tc>
          <w:tcPr>
            <w:tcW w:w="3412" w:type="dxa"/>
            <w:vAlign w:val="center"/>
            <w:hideMark/>
          </w:tcPr>
          <w:p w14:paraId="5E6918B8"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 xml:space="preserve">White </w:t>
            </w:r>
            <w:proofErr w:type="spellStart"/>
            <w:r w:rsidRPr="00CF0A70">
              <w:rPr>
                <w:rFonts w:ascii="Times New Roman" w:hAnsi="Times New Roman" w:cs="Times New Roman"/>
              </w:rPr>
              <w:t>blood</w:t>
            </w:r>
            <w:proofErr w:type="spellEnd"/>
            <w:r w:rsidRPr="00CF0A70">
              <w:rPr>
                <w:rFonts w:ascii="Times New Roman" w:hAnsi="Times New Roman" w:cs="Times New Roman"/>
              </w:rPr>
              <w:t xml:space="preserve"> </w:t>
            </w:r>
            <w:proofErr w:type="spellStart"/>
            <w:r w:rsidRPr="00CF0A70">
              <w:rPr>
                <w:rFonts w:ascii="Times New Roman" w:hAnsi="Times New Roman" w:cs="Times New Roman"/>
              </w:rPr>
              <w:t>cells</w:t>
            </w:r>
            <w:proofErr w:type="spellEnd"/>
            <w:r w:rsidRPr="00CF0A70">
              <w:rPr>
                <w:rFonts w:ascii="Times New Roman" w:hAnsi="Times New Roman" w:cs="Times New Roman"/>
              </w:rPr>
              <w:t xml:space="preserve"> (10³/mm³)</w:t>
            </w:r>
          </w:p>
        </w:tc>
        <w:tc>
          <w:tcPr>
            <w:tcW w:w="1671" w:type="dxa"/>
            <w:vAlign w:val="center"/>
            <w:hideMark/>
          </w:tcPr>
          <w:p w14:paraId="00E640C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8.2 (± 5.9)</w:t>
            </w:r>
          </w:p>
        </w:tc>
        <w:tc>
          <w:tcPr>
            <w:tcW w:w="1940" w:type="dxa"/>
            <w:vAlign w:val="center"/>
            <w:hideMark/>
          </w:tcPr>
          <w:p w14:paraId="1C500EC0"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7.3 (5.4–9.9)</w:t>
            </w:r>
          </w:p>
        </w:tc>
      </w:tr>
      <w:tr w:rsidR="00CF0A70" w:rsidRPr="00CF0A70" w14:paraId="7FD65311" w14:textId="77777777" w:rsidTr="00CF0A70">
        <w:trPr>
          <w:tblCellSpacing w:w="15" w:type="dxa"/>
          <w:jc w:val="center"/>
        </w:trPr>
        <w:tc>
          <w:tcPr>
            <w:tcW w:w="3412" w:type="dxa"/>
            <w:vAlign w:val="center"/>
            <w:hideMark/>
          </w:tcPr>
          <w:p w14:paraId="6C5B328E" w14:textId="77777777" w:rsidR="00CF0A70" w:rsidRPr="00CF0A70" w:rsidRDefault="00CF0A70" w:rsidP="00FF2473">
            <w:pPr>
              <w:spacing w:line="360" w:lineRule="auto"/>
              <w:rPr>
                <w:rFonts w:ascii="Times New Roman" w:hAnsi="Times New Roman" w:cs="Times New Roman"/>
              </w:rPr>
            </w:pPr>
            <w:proofErr w:type="spellStart"/>
            <w:r w:rsidRPr="00CF0A70">
              <w:rPr>
                <w:rFonts w:ascii="Times New Roman" w:hAnsi="Times New Roman" w:cs="Times New Roman"/>
              </w:rPr>
              <w:t>Hemoglobin</w:t>
            </w:r>
            <w:proofErr w:type="spellEnd"/>
            <w:r w:rsidRPr="00CF0A70">
              <w:rPr>
                <w:rFonts w:ascii="Times New Roman" w:hAnsi="Times New Roman" w:cs="Times New Roman"/>
              </w:rPr>
              <w:t xml:space="preserve"> (g/</w:t>
            </w:r>
            <w:proofErr w:type="spellStart"/>
            <w:r w:rsidRPr="00CF0A70">
              <w:rPr>
                <w:rFonts w:ascii="Times New Roman" w:hAnsi="Times New Roman" w:cs="Times New Roman"/>
              </w:rPr>
              <w:t>dL</w:t>
            </w:r>
            <w:proofErr w:type="spellEnd"/>
            <w:r w:rsidRPr="00CF0A70">
              <w:rPr>
                <w:rFonts w:ascii="Times New Roman" w:hAnsi="Times New Roman" w:cs="Times New Roman"/>
              </w:rPr>
              <w:t>)</w:t>
            </w:r>
          </w:p>
        </w:tc>
        <w:tc>
          <w:tcPr>
            <w:tcW w:w="1671" w:type="dxa"/>
            <w:vAlign w:val="center"/>
            <w:hideMark/>
          </w:tcPr>
          <w:p w14:paraId="01AF6222"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9.45 (± 2.36)</w:t>
            </w:r>
          </w:p>
        </w:tc>
        <w:tc>
          <w:tcPr>
            <w:tcW w:w="1940" w:type="dxa"/>
            <w:vAlign w:val="center"/>
            <w:hideMark/>
          </w:tcPr>
          <w:p w14:paraId="40545F3C"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9.55 (7.83–11.38)</w:t>
            </w:r>
          </w:p>
        </w:tc>
      </w:tr>
      <w:tr w:rsidR="00CF0A70" w:rsidRPr="00CF0A70" w14:paraId="01BB18C2" w14:textId="77777777" w:rsidTr="00CF0A70">
        <w:trPr>
          <w:tblCellSpacing w:w="15" w:type="dxa"/>
          <w:jc w:val="center"/>
        </w:trPr>
        <w:tc>
          <w:tcPr>
            <w:tcW w:w="3412" w:type="dxa"/>
            <w:vAlign w:val="center"/>
            <w:hideMark/>
          </w:tcPr>
          <w:p w14:paraId="5C3DB4F3" w14:textId="77777777" w:rsidR="00CF0A70" w:rsidRPr="00CF0A70" w:rsidRDefault="00CF0A70" w:rsidP="00FF2473">
            <w:pPr>
              <w:spacing w:line="360" w:lineRule="auto"/>
              <w:rPr>
                <w:rFonts w:ascii="Times New Roman" w:hAnsi="Times New Roman" w:cs="Times New Roman"/>
              </w:rPr>
            </w:pPr>
            <w:proofErr w:type="spellStart"/>
            <w:r w:rsidRPr="00CF0A70">
              <w:rPr>
                <w:rFonts w:ascii="Times New Roman" w:hAnsi="Times New Roman" w:cs="Times New Roman"/>
              </w:rPr>
              <w:t>Platelets</w:t>
            </w:r>
            <w:proofErr w:type="spellEnd"/>
            <w:r w:rsidRPr="00CF0A70">
              <w:rPr>
                <w:rFonts w:ascii="Times New Roman" w:hAnsi="Times New Roman" w:cs="Times New Roman"/>
              </w:rPr>
              <w:t xml:space="preserve"> (10³/mm³)</w:t>
            </w:r>
          </w:p>
        </w:tc>
        <w:tc>
          <w:tcPr>
            <w:tcW w:w="1671" w:type="dxa"/>
            <w:vAlign w:val="center"/>
            <w:hideMark/>
          </w:tcPr>
          <w:p w14:paraId="4653BF32"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290 (± 143)</w:t>
            </w:r>
          </w:p>
        </w:tc>
        <w:tc>
          <w:tcPr>
            <w:tcW w:w="1940" w:type="dxa"/>
            <w:vAlign w:val="center"/>
            <w:hideMark/>
          </w:tcPr>
          <w:p w14:paraId="15DAB0BE"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271 (192–366)</w:t>
            </w:r>
          </w:p>
        </w:tc>
      </w:tr>
      <w:tr w:rsidR="00CF0A70" w:rsidRPr="00CF0A70" w14:paraId="5A964D0E" w14:textId="77777777" w:rsidTr="00CF0A70">
        <w:trPr>
          <w:tblCellSpacing w:w="15" w:type="dxa"/>
          <w:jc w:val="center"/>
        </w:trPr>
        <w:tc>
          <w:tcPr>
            <w:tcW w:w="3412" w:type="dxa"/>
            <w:vAlign w:val="center"/>
            <w:hideMark/>
          </w:tcPr>
          <w:p w14:paraId="01B172A4" w14:textId="77777777" w:rsidR="00CF0A70" w:rsidRPr="00CF0A70" w:rsidRDefault="00CF0A70" w:rsidP="00FF2473">
            <w:pPr>
              <w:spacing w:line="360" w:lineRule="auto"/>
              <w:rPr>
                <w:rFonts w:ascii="Times New Roman" w:hAnsi="Times New Roman" w:cs="Times New Roman"/>
              </w:rPr>
            </w:pPr>
            <w:proofErr w:type="spellStart"/>
            <w:r w:rsidRPr="00CF0A70">
              <w:rPr>
                <w:rFonts w:ascii="Times New Roman" w:hAnsi="Times New Roman" w:cs="Times New Roman"/>
              </w:rPr>
              <w:t>Renal</w:t>
            </w:r>
            <w:proofErr w:type="spellEnd"/>
            <w:r w:rsidRPr="00CF0A70">
              <w:rPr>
                <w:rFonts w:ascii="Times New Roman" w:hAnsi="Times New Roman" w:cs="Times New Roman"/>
              </w:rPr>
              <w:t xml:space="preserve"> clearance (</w:t>
            </w:r>
            <w:proofErr w:type="spellStart"/>
            <w:r w:rsidRPr="00CF0A70">
              <w:rPr>
                <w:rFonts w:ascii="Times New Roman" w:hAnsi="Times New Roman" w:cs="Times New Roman"/>
              </w:rPr>
              <w:t>mL</w:t>
            </w:r>
            <w:proofErr w:type="spellEnd"/>
            <w:r w:rsidRPr="00CF0A70">
              <w:rPr>
                <w:rFonts w:ascii="Times New Roman" w:hAnsi="Times New Roman" w:cs="Times New Roman"/>
              </w:rPr>
              <w:t>/min/1.73 m²)</w:t>
            </w:r>
          </w:p>
        </w:tc>
        <w:tc>
          <w:tcPr>
            <w:tcW w:w="1671" w:type="dxa"/>
            <w:vAlign w:val="center"/>
            <w:hideMark/>
          </w:tcPr>
          <w:p w14:paraId="0F87BED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110 (± 37)</w:t>
            </w:r>
          </w:p>
        </w:tc>
        <w:tc>
          <w:tcPr>
            <w:tcW w:w="1940" w:type="dxa"/>
            <w:vAlign w:val="center"/>
            <w:hideMark/>
          </w:tcPr>
          <w:p w14:paraId="65B136F5"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113 (91–135)</w:t>
            </w:r>
          </w:p>
        </w:tc>
      </w:tr>
      <w:tr w:rsidR="00CF0A70" w:rsidRPr="00CF0A70" w14:paraId="18D1A08B" w14:textId="77777777" w:rsidTr="00CF0A70">
        <w:trPr>
          <w:tblCellSpacing w:w="15" w:type="dxa"/>
          <w:jc w:val="center"/>
        </w:trPr>
        <w:tc>
          <w:tcPr>
            <w:tcW w:w="3412" w:type="dxa"/>
            <w:vAlign w:val="center"/>
            <w:hideMark/>
          </w:tcPr>
          <w:p w14:paraId="531709F8"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AST (IU/L)</w:t>
            </w:r>
          </w:p>
        </w:tc>
        <w:tc>
          <w:tcPr>
            <w:tcW w:w="1671" w:type="dxa"/>
            <w:vAlign w:val="center"/>
            <w:hideMark/>
          </w:tcPr>
          <w:p w14:paraId="35E660E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73 (± 57)</w:t>
            </w:r>
          </w:p>
        </w:tc>
        <w:tc>
          <w:tcPr>
            <w:tcW w:w="1940" w:type="dxa"/>
            <w:vAlign w:val="center"/>
            <w:hideMark/>
          </w:tcPr>
          <w:p w14:paraId="6220A11C"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56 (33–86)</w:t>
            </w:r>
          </w:p>
        </w:tc>
      </w:tr>
      <w:tr w:rsidR="00CF0A70" w:rsidRPr="00CF0A70" w14:paraId="3CAD8903" w14:textId="77777777" w:rsidTr="00CF0A70">
        <w:trPr>
          <w:tblCellSpacing w:w="15" w:type="dxa"/>
          <w:jc w:val="center"/>
        </w:trPr>
        <w:tc>
          <w:tcPr>
            <w:tcW w:w="3412" w:type="dxa"/>
            <w:vAlign w:val="center"/>
            <w:hideMark/>
          </w:tcPr>
          <w:p w14:paraId="3D08A127"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ALT (IU/L)</w:t>
            </w:r>
          </w:p>
        </w:tc>
        <w:tc>
          <w:tcPr>
            <w:tcW w:w="1671" w:type="dxa"/>
            <w:vAlign w:val="center"/>
            <w:hideMark/>
          </w:tcPr>
          <w:p w14:paraId="0F1B38E7"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47 (± 45)</w:t>
            </w:r>
          </w:p>
        </w:tc>
        <w:tc>
          <w:tcPr>
            <w:tcW w:w="1940" w:type="dxa"/>
            <w:vAlign w:val="center"/>
            <w:hideMark/>
          </w:tcPr>
          <w:p w14:paraId="2262A054"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33 (19–50)</w:t>
            </w:r>
          </w:p>
        </w:tc>
      </w:tr>
      <w:tr w:rsidR="00CF0A70" w:rsidRPr="00CF0A70" w14:paraId="366953D5" w14:textId="77777777" w:rsidTr="00CF0A70">
        <w:trPr>
          <w:tblCellSpacing w:w="15" w:type="dxa"/>
          <w:jc w:val="center"/>
        </w:trPr>
        <w:tc>
          <w:tcPr>
            <w:tcW w:w="3412" w:type="dxa"/>
            <w:tcBorders>
              <w:bottom w:val="single" w:sz="4" w:space="0" w:color="auto"/>
            </w:tcBorders>
            <w:vAlign w:val="center"/>
            <w:hideMark/>
          </w:tcPr>
          <w:p w14:paraId="686E1167" w14:textId="77777777" w:rsidR="00CF0A70" w:rsidRPr="00CF0A70" w:rsidRDefault="00CF0A70" w:rsidP="00FF2473">
            <w:pPr>
              <w:spacing w:line="360" w:lineRule="auto"/>
              <w:rPr>
                <w:rFonts w:ascii="Times New Roman" w:hAnsi="Times New Roman" w:cs="Times New Roman"/>
              </w:rPr>
            </w:pPr>
            <w:r w:rsidRPr="00CF0A70">
              <w:rPr>
                <w:rFonts w:ascii="Times New Roman" w:hAnsi="Times New Roman" w:cs="Times New Roman"/>
              </w:rPr>
              <w:t>CRP (mg/L)</w:t>
            </w:r>
          </w:p>
        </w:tc>
        <w:tc>
          <w:tcPr>
            <w:tcW w:w="1671" w:type="dxa"/>
            <w:tcBorders>
              <w:bottom w:val="single" w:sz="4" w:space="0" w:color="auto"/>
            </w:tcBorders>
            <w:vAlign w:val="center"/>
            <w:hideMark/>
          </w:tcPr>
          <w:p w14:paraId="619E8A09"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119 (± 82)</w:t>
            </w:r>
          </w:p>
        </w:tc>
        <w:tc>
          <w:tcPr>
            <w:tcW w:w="1940" w:type="dxa"/>
            <w:tcBorders>
              <w:bottom w:val="single" w:sz="4" w:space="0" w:color="auto"/>
            </w:tcBorders>
            <w:vAlign w:val="center"/>
            <w:hideMark/>
          </w:tcPr>
          <w:p w14:paraId="1A227182" w14:textId="77777777" w:rsidR="00CF0A70" w:rsidRPr="00CF0A70" w:rsidRDefault="00CF0A70" w:rsidP="00FF2473">
            <w:pPr>
              <w:spacing w:line="360" w:lineRule="auto"/>
              <w:jc w:val="center"/>
              <w:rPr>
                <w:rFonts w:ascii="Times New Roman" w:hAnsi="Times New Roman" w:cs="Times New Roman"/>
              </w:rPr>
            </w:pPr>
            <w:r w:rsidRPr="00CF0A70">
              <w:rPr>
                <w:rFonts w:ascii="Times New Roman" w:hAnsi="Times New Roman" w:cs="Times New Roman"/>
              </w:rPr>
              <w:t>108 (50–166)</w:t>
            </w:r>
          </w:p>
        </w:tc>
      </w:tr>
    </w:tbl>
    <w:p w14:paraId="2B74907E" w14:textId="2000EF4F" w:rsidR="00C93E94" w:rsidRDefault="00C93E94" w:rsidP="00C93E94">
      <w:pPr>
        <w:rPr>
          <w:rFonts w:ascii="Times New Roman" w:hAnsi="Times New Roman" w:cs="Times New Roman"/>
          <w:b/>
          <w:bCs/>
          <w:lang w:val="en-US"/>
        </w:rPr>
      </w:pPr>
      <w:r w:rsidRPr="00C93E94">
        <w:rPr>
          <w:rFonts w:ascii="Times New Roman" w:hAnsi="Times New Roman" w:cs="Times New Roman"/>
          <w:b/>
          <w:bCs/>
          <w:lang w:val="en-US"/>
        </w:rPr>
        <w:lastRenderedPageBreak/>
        <w:t xml:space="preserve">Table </w:t>
      </w:r>
      <w:r w:rsidR="00A737ED">
        <w:rPr>
          <w:rFonts w:ascii="Times New Roman" w:hAnsi="Times New Roman" w:cs="Times New Roman"/>
          <w:b/>
          <w:bCs/>
          <w:lang w:val="en-US"/>
        </w:rPr>
        <w:t>3</w:t>
      </w:r>
      <w:r w:rsidRPr="00C93E94">
        <w:rPr>
          <w:rFonts w:ascii="Times New Roman" w:hAnsi="Times New Roman" w:cs="Times New Roman"/>
          <w:b/>
          <w:bCs/>
          <w:lang w:val="en-US"/>
        </w:rPr>
        <w:t xml:space="preserve">: Radiological Findings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03"/>
        <w:gridCol w:w="1701"/>
        <w:gridCol w:w="1701"/>
      </w:tblGrid>
      <w:tr w:rsidR="00235914" w:rsidRPr="00235914" w14:paraId="7B9CDA41" w14:textId="77777777" w:rsidTr="00FF2473">
        <w:trPr>
          <w:tblHeader/>
          <w:tblCellSpacing w:w="15" w:type="dxa"/>
        </w:trPr>
        <w:tc>
          <w:tcPr>
            <w:tcW w:w="3758" w:type="dxa"/>
            <w:tcBorders>
              <w:top w:val="single" w:sz="4" w:space="0" w:color="auto"/>
              <w:bottom w:val="single" w:sz="4" w:space="0" w:color="auto"/>
            </w:tcBorders>
            <w:vAlign w:val="center"/>
            <w:hideMark/>
          </w:tcPr>
          <w:p w14:paraId="75ACC4C3" w14:textId="77777777" w:rsidR="00235914" w:rsidRPr="00235914" w:rsidRDefault="00235914" w:rsidP="00043887">
            <w:pPr>
              <w:spacing w:after="0" w:line="240" w:lineRule="auto"/>
              <w:rPr>
                <w:rFonts w:ascii="Times New Roman" w:hAnsi="Times New Roman" w:cs="Times New Roman"/>
                <w:b/>
                <w:bCs/>
              </w:rPr>
            </w:pPr>
            <w:proofErr w:type="spellStart"/>
            <w:r w:rsidRPr="00235914">
              <w:rPr>
                <w:rFonts w:ascii="Times New Roman" w:hAnsi="Times New Roman" w:cs="Times New Roman"/>
                <w:b/>
                <w:bCs/>
              </w:rPr>
              <w:t>Radiological</w:t>
            </w:r>
            <w:proofErr w:type="spellEnd"/>
            <w:r w:rsidRPr="00235914">
              <w:rPr>
                <w:rFonts w:ascii="Times New Roman" w:hAnsi="Times New Roman" w:cs="Times New Roman"/>
                <w:b/>
                <w:bCs/>
              </w:rPr>
              <w:t xml:space="preserve"> </w:t>
            </w:r>
            <w:proofErr w:type="spellStart"/>
            <w:r w:rsidRPr="00235914">
              <w:rPr>
                <w:rFonts w:ascii="Times New Roman" w:hAnsi="Times New Roman" w:cs="Times New Roman"/>
                <w:b/>
                <w:bCs/>
              </w:rPr>
              <w:t>fingings</w:t>
            </w:r>
            <w:proofErr w:type="spellEnd"/>
          </w:p>
        </w:tc>
        <w:tc>
          <w:tcPr>
            <w:tcW w:w="1671" w:type="dxa"/>
            <w:tcBorders>
              <w:top w:val="single" w:sz="4" w:space="0" w:color="auto"/>
              <w:bottom w:val="single" w:sz="4" w:space="0" w:color="auto"/>
            </w:tcBorders>
            <w:vAlign w:val="center"/>
            <w:hideMark/>
          </w:tcPr>
          <w:p w14:paraId="00056C72"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Number</w:t>
            </w:r>
          </w:p>
        </w:tc>
        <w:tc>
          <w:tcPr>
            <w:tcW w:w="1656" w:type="dxa"/>
            <w:tcBorders>
              <w:top w:val="single" w:sz="4" w:space="0" w:color="auto"/>
              <w:bottom w:val="single" w:sz="4" w:space="0" w:color="auto"/>
            </w:tcBorders>
            <w:vAlign w:val="center"/>
            <w:hideMark/>
          </w:tcPr>
          <w:p w14:paraId="6B1E11C6"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Percent (%)</w:t>
            </w:r>
          </w:p>
        </w:tc>
      </w:tr>
      <w:tr w:rsidR="00235914" w:rsidRPr="00235914" w14:paraId="43238F99" w14:textId="77777777" w:rsidTr="00FF2473">
        <w:trPr>
          <w:tblHeader/>
          <w:tblCellSpacing w:w="15" w:type="dxa"/>
        </w:trPr>
        <w:tc>
          <w:tcPr>
            <w:tcW w:w="3758" w:type="dxa"/>
            <w:vAlign w:val="center"/>
          </w:tcPr>
          <w:p w14:paraId="4B6DEB05" w14:textId="77777777" w:rsidR="00235914" w:rsidRPr="00235914" w:rsidRDefault="00235914" w:rsidP="00043887">
            <w:pPr>
              <w:spacing w:after="0" w:line="240" w:lineRule="auto"/>
              <w:rPr>
                <w:rFonts w:ascii="Times New Roman" w:hAnsi="Times New Roman" w:cs="Times New Roman"/>
                <w:b/>
                <w:bCs/>
              </w:rPr>
            </w:pPr>
            <w:proofErr w:type="spellStart"/>
            <w:r w:rsidRPr="00235914">
              <w:rPr>
                <w:rFonts w:ascii="Times New Roman" w:hAnsi="Times New Roman" w:cs="Times New Roman"/>
                <w:b/>
                <w:bCs/>
              </w:rPr>
              <w:t>Miliary</w:t>
            </w:r>
            <w:proofErr w:type="spellEnd"/>
            <w:r w:rsidRPr="00235914">
              <w:rPr>
                <w:rFonts w:ascii="Times New Roman" w:hAnsi="Times New Roman" w:cs="Times New Roman"/>
                <w:b/>
                <w:bCs/>
              </w:rPr>
              <w:t xml:space="preserve"> pattern on </w:t>
            </w:r>
            <w:proofErr w:type="spellStart"/>
            <w:r w:rsidRPr="00235914">
              <w:rPr>
                <w:rFonts w:ascii="Times New Roman" w:hAnsi="Times New Roman" w:cs="Times New Roman"/>
                <w:b/>
                <w:bCs/>
              </w:rPr>
              <w:t>chest</w:t>
            </w:r>
            <w:proofErr w:type="spellEnd"/>
            <w:r w:rsidRPr="00235914">
              <w:rPr>
                <w:rFonts w:ascii="Times New Roman" w:hAnsi="Times New Roman" w:cs="Times New Roman"/>
                <w:b/>
                <w:bCs/>
              </w:rPr>
              <w:t xml:space="preserve"> </w:t>
            </w:r>
            <w:proofErr w:type="spellStart"/>
            <w:r w:rsidRPr="00235914">
              <w:rPr>
                <w:rFonts w:ascii="Times New Roman" w:hAnsi="Times New Roman" w:cs="Times New Roman"/>
                <w:b/>
                <w:bCs/>
              </w:rPr>
              <w:t>imaging</w:t>
            </w:r>
            <w:proofErr w:type="spellEnd"/>
          </w:p>
        </w:tc>
        <w:tc>
          <w:tcPr>
            <w:tcW w:w="1671" w:type="dxa"/>
            <w:vAlign w:val="center"/>
          </w:tcPr>
          <w:p w14:paraId="52DDFEF3"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96</w:t>
            </w:r>
          </w:p>
        </w:tc>
        <w:tc>
          <w:tcPr>
            <w:tcW w:w="1656" w:type="dxa"/>
            <w:vAlign w:val="center"/>
          </w:tcPr>
          <w:p w14:paraId="298A8BD7" w14:textId="77777777" w:rsidR="00235914" w:rsidRPr="00235914" w:rsidRDefault="00235914" w:rsidP="00043887">
            <w:pPr>
              <w:spacing w:after="0" w:line="240" w:lineRule="auto"/>
              <w:jc w:val="center"/>
              <w:rPr>
                <w:rFonts w:ascii="Times New Roman" w:hAnsi="Times New Roman" w:cs="Times New Roman"/>
                <w:b/>
                <w:bCs/>
              </w:rPr>
            </w:pPr>
            <w:r w:rsidRPr="00235914">
              <w:rPr>
                <w:rFonts w:ascii="Times New Roman" w:hAnsi="Times New Roman" w:cs="Times New Roman"/>
                <w:b/>
                <w:bCs/>
              </w:rPr>
              <w:t>100</w:t>
            </w:r>
          </w:p>
        </w:tc>
      </w:tr>
      <w:tr w:rsidR="00235914" w:rsidRPr="00235914" w14:paraId="0F9FDDC8" w14:textId="77777777" w:rsidTr="00FF2473">
        <w:trPr>
          <w:tblHeader/>
          <w:tblCellSpacing w:w="15" w:type="dxa"/>
        </w:trPr>
        <w:tc>
          <w:tcPr>
            <w:tcW w:w="3758" w:type="dxa"/>
            <w:vAlign w:val="center"/>
          </w:tcPr>
          <w:p w14:paraId="4648A7EA" w14:textId="77777777" w:rsidR="00235914" w:rsidRPr="00235914" w:rsidRDefault="00235914" w:rsidP="00043887">
            <w:pPr>
              <w:spacing w:after="0" w:line="240" w:lineRule="auto"/>
              <w:ind w:left="426"/>
              <w:rPr>
                <w:rFonts w:ascii="Times New Roman" w:hAnsi="Times New Roman" w:cs="Times New Roman"/>
              </w:rPr>
            </w:pPr>
            <w:r w:rsidRPr="00235914">
              <w:rPr>
                <w:rFonts w:ascii="Times New Roman" w:hAnsi="Times New Roman" w:cs="Times New Roman"/>
              </w:rPr>
              <w:t>Chest X-ray</w:t>
            </w:r>
          </w:p>
        </w:tc>
        <w:tc>
          <w:tcPr>
            <w:tcW w:w="1671" w:type="dxa"/>
            <w:vAlign w:val="center"/>
          </w:tcPr>
          <w:p w14:paraId="6C5E92D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90</w:t>
            </w:r>
          </w:p>
        </w:tc>
        <w:tc>
          <w:tcPr>
            <w:tcW w:w="1656" w:type="dxa"/>
            <w:vAlign w:val="center"/>
          </w:tcPr>
          <w:p w14:paraId="03347CA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93.75</w:t>
            </w:r>
          </w:p>
        </w:tc>
      </w:tr>
      <w:tr w:rsidR="00235914" w:rsidRPr="00235914" w14:paraId="7101B66E" w14:textId="77777777" w:rsidTr="00FF2473">
        <w:trPr>
          <w:tblHeader/>
          <w:tblCellSpacing w:w="15" w:type="dxa"/>
        </w:trPr>
        <w:tc>
          <w:tcPr>
            <w:tcW w:w="3758" w:type="dxa"/>
            <w:vAlign w:val="center"/>
          </w:tcPr>
          <w:p w14:paraId="030BE87A"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Computed</w:t>
            </w:r>
            <w:proofErr w:type="spellEnd"/>
            <w:r w:rsidRPr="00235914">
              <w:rPr>
                <w:rFonts w:ascii="Times New Roman" w:hAnsi="Times New Roman" w:cs="Times New Roman"/>
              </w:rPr>
              <w:t xml:space="preserve"> </w:t>
            </w:r>
            <w:proofErr w:type="spellStart"/>
            <w:r w:rsidRPr="00235914">
              <w:rPr>
                <w:rFonts w:ascii="Times New Roman" w:hAnsi="Times New Roman" w:cs="Times New Roman"/>
              </w:rPr>
              <w:t>tomography</w:t>
            </w:r>
            <w:proofErr w:type="spellEnd"/>
          </w:p>
        </w:tc>
        <w:tc>
          <w:tcPr>
            <w:tcW w:w="1671" w:type="dxa"/>
            <w:vAlign w:val="center"/>
          </w:tcPr>
          <w:p w14:paraId="7AE237E1"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6</w:t>
            </w:r>
          </w:p>
        </w:tc>
        <w:tc>
          <w:tcPr>
            <w:tcW w:w="1656" w:type="dxa"/>
            <w:vAlign w:val="center"/>
          </w:tcPr>
          <w:p w14:paraId="5386AF58"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6.25</w:t>
            </w:r>
          </w:p>
        </w:tc>
      </w:tr>
      <w:tr w:rsidR="00235914" w:rsidRPr="00235914" w14:paraId="4CFC54E4" w14:textId="77777777" w:rsidTr="00FF2473">
        <w:trPr>
          <w:tblCellSpacing w:w="15" w:type="dxa"/>
        </w:trPr>
        <w:tc>
          <w:tcPr>
            <w:tcW w:w="3758" w:type="dxa"/>
            <w:vAlign w:val="center"/>
            <w:hideMark/>
          </w:tcPr>
          <w:p w14:paraId="69C096A4"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 xml:space="preserve">Abdominal </w:t>
            </w:r>
            <w:proofErr w:type="spellStart"/>
            <w:r w:rsidRPr="00235914">
              <w:rPr>
                <w:rFonts w:ascii="Times New Roman" w:hAnsi="Times New Roman" w:cs="Times New Roman"/>
                <w:b/>
                <w:bCs/>
              </w:rPr>
              <w:t>ultrasound</w:t>
            </w:r>
            <w:proofErr w:type="spellEnd"/>
            <w:r w:rsidRPr="00235914">
              <w:rPr>
                <w:rFonts w:ascii="Times New Roman" w:hAnsi="Times New Roman" w:cs="Times New Roman"/>
                <w:b/>
                <w:bCs/>
              </w:rPr>
              <w:t xml:space="preserve"> (n = 41)</w:t>
            </w:r>
          </w:p>
        </w:tc>
        <w:tc>
          <w:tcPr>
            <w:tcW w:w="1671" w:type="dxa"/>
            <w:vAlign w:val="center"/>
            <w:hideMark/>
          </w:tcPr>
          <w:p w14:paraId="1C5FF503"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284728FE"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7D6F0976" w14:textId="77777777" w:rsidTr="00FF2473">
        <w:trPr>
          <w:tblCellSpacing w:w="15" w:type="dxa"/>
        </w:trPr>
        <w:tc>
          <w:tcPr>
            <w:tcW w:w="3758" w:type="dxa"/>
            <w:vAlign w:val="center"/>
            <w:hideMark/>
          </w:tcPr>
          <w:p w14:paraId="075186A6"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Hepatomegaly</w:t>
            </w:r>
            <w:proofErr w:type="spellEnd"/>
          </w:p>
        </w:tc>
        <w:tc>
          <w:tcPr>
            <w:tcW w:w="1671" w:type="dxa"/>
            <w:vAlign w:val="center"/>
            <w:hideMark/>
          </w:tcPr>
          <w:p w14:paraId="5DA73D4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15</w:t>
            </w:r>
          </w:p>
        </w:tc>
        <w:tc>
          <w:tcPr>
            <w:tcW w:w="1656" w:type="dxa"/>
            <w:vAlign w:val="center"/>
            <w:hideMark/>
          </w:tcPr>
          <w:p w14:paraId="73E6EF16"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31.25</w:t>
            </w:r>
          </w:p>
        </w:tc>
      </w:tr>
      <w:tr w:rsidR="00235914" w:rsidRPr="00235914" w14:paraId="5C38A59A" w14:textId="77777777" w:rsidTr="00FF2473">
        <w:trPr>
          <w:tblCellSpacing w:w="15" w:type="dxa"/>
        </w:trPr>
        <w:tc>
          <w:tcPr>
            <w:tcW w:w="3758" w:type="dxa"/>
            <w:vAlign w:val="center"/>
            <w:hideMark/>
          </w:tcPr>
          <w:p w14:paraId="27CAF86B"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Splenomegaly</w:t>
            </w:r>
            <w:proofErr w:type="spellEnd"/>
          </w:p>
        </w:tc>
        <w:tc>
          <w:tcPr>
            <w:tcW w:w="1671" w:type="dxa"/>
            <w:vAlign w:val="center"/>
            <w:hideMark/>
          </w:tcPr>
          <w:p w14:paraId="30A8E0C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11</w:t>
            </w:r>
          </w:p>
        </w:tc>
        <w:tc>
          <w:tcPr>
            <w:tcW w:w="1656" w:type="dxa"/>
            <w:vAlign w:val="center"/>
            <w:hideMark/>
          </w:tcPr>
          <w:p w14:paraId="59C45689"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26.83</w:t>
            </w:r>
          </w:p>
        </w:tc>
      </w:tr>
      <w:tr w:rsidR="00235914" w:rsidRPr="00235914" w14:paraId="2689AE94" w14:textId="77777777" w:rsidTr="00FF2473">
        <w:trPr>
          <w:tblCellSpacing w:w="15" w:type="dxa"/>
        </w:trPr>
        <w:tc>
          <w:tcPr>
            <w:tcW w:w="3758" w:type="dxa"/>
            <w:vAlign w:val="center"/>
            <w:hideMark/>
          </w:tcPr>
          <w:p w14:paraId="0435EB00"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Lymphadenopathy</w:t>
            </w:r>
            <w:proofErr w:type="spellEnd"/>
          </w:p>
        </w:tc>
        <w:tc>
          <w:tcPr>
            <w:tcW w:w="1671" w:type="dxa"/>
            <w:vAlign w:val="center"/>
            <w:hideMark/>
          </w:tcPr>
          <w:p w14:paraId="2385219D"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15</w:t>
            </w:r>
          </w:p>
        </w:tc>
        <w:tc>
          <w:tcPr>
            <w:tcW w:w="1656" w:type="dxa"/>
            <w:vAlign w:val="center"/>
            <w:hideMark/>
          </w:tcPr>
          <w:p w14:paraId="456749D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39.47</w:t>
            </w:r>
          </w:p>
        </w:tc>
      </w:tr>
      <w:tr w:rsidR="00235914" w:rsidRPr="00235914" w14:paraId="3296955C" w14:textId="77777777" w:rsidTr="00FF2473">
        <w:trPr>
          <w:tblCellSpacing w:w="15" w:type="dxa"/>
        </w:trPr>
        <w:tc>
          <w:tcPr>
            <w:tcW w:w="3758" w:type="dxa"/>
            <w:vAlign w:val="center"/>
            <w:hideMark/>
          </w:tcPr>
          <w:p w14:paraId="0AFB30F2" w14:textId="77777777" w:rsidR="00235914" w:rsidRPr="00235914" w:rsidRDefault="00235914" w:rsidP="00043887">
            <w:pPr>
              <w:spacing w:after="0" w:line="240" w:lineRule="auto"/>
              <w:ind w:left="426"/>
              <w:rPr>
                <w:rFonts w:ascii="Times New Roman" w:hAnsi="Times New Roman" w:cs="Times New Roman"/>
              </w:rPr>
            </w:pPr>
            <w:r w:rsidRPr="00235914">
              <w:rPr>
                <w:rFonts w:ascii="Times New Roman" w:hAnsi="Times New Roman" w:cs="Times New Roman"/>
              </w:rPr>
              <w:t>Ascites</w:t>
            </w:r>
          </w:p>
        </w:tc>
        <w:tc>
          <w:tcPr>
            <w:tcW w:w="1671" w:type="dxa"/>
            <w:vAlign w:val="center"/>
            <w:hideMark/>
          </w:tcPr>
          <w:p w14:paraId="61916AD6"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13</w:t>
            </w:r>
          </w:p>
        </w:tc>
        <w:tc>
          <w:tcPr>
            <w:tcW w:w="1656" w:type="dxa"/>
            <w:vAlign w:val="center"/>
            <w:hideMark/>
          </w:tcPr>
          <w:p w14:paraId="22BC730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31.71</w:t>
            </w:r>
          </w:p>
        </w:tc>
      </w:tr>
      <w:tr w:rsidR="00235914" w:rsidRPr="00235914" w14:paraId="5BB5E81D" w14:textId="77777777" w:rsidTr="00FF2473">
        <w:trPr>
          <w:tblCellSpacing w:w="15" w:type="dxa"/>
        </w:trPr>
        <w:tc>
          <w:tcPr>
            <w:tcW w:w="3758" w:type="dxa"/>
            <w:vAlign w:val="center"/>
            <w:hideMark/>
          </w:tcPr>
          <w:p w14:paraId="55ECC9E1"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Brain CT scan (n = 13)</w:t>
            </w:r>
          </w:p>
        </w:tc>
        <w:tc>
          <w:tcPr>
            <w:tcW w:w="1671" w:type="dxa"/>
            <w:vAlign w:val="center"/>
            <w:hideMark/>
          </w:tcPr>
          <w:p w14:paraId="7809A64F"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253E2248"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51077D01" w14:textId="77777777" w:rsidTr="00FF2473">
        <w:trPr>
          <w:tblCellSpacing w:w="15" w:type="dxa"/>
        </w:trPr>
        <w:tc>
          <w:tcPr>
            <w:tcW w:w="3758" w:type="dxa"/>
            <w:vAlign w:val="center"/>
            <w:hideMark/>
          </w:tcPr>
          <w:p w14:paraId="6C969712"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Ischemia</w:t>
            </w:r>
            <w:proofErr w:type="spellEnd"/>
          </w:p>
        </w:tc>
        <w:tc>
          <w:tcPr>
            <w:tcW w:w="1671" w:type="dxa"/>
            <w:vAlign w:val="center"/>
            <w:hideMark/>
          </w:tcPr>
          <w:p w14:paraId="682E7503"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6</w:t>
            </w:r>
          </w:p>
        </w:tc>
        <w:tc>
          <w:tcPr>
            <w:tcW w:w="1656" w:type="dxa"/>
            <w:vAlign w:val="center"/>
            <w:hideMark/>
          </w:tcPr>
          <w:p w14:paraId="594BEE7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8.70</w:t>
            </w:r>
          </w:p>
        </w:tc>
      </w:tr>
      <w:tr w:rsidR="00235914" w:rsidRPr="00235914" w14:paraId="56E5CFBC" w14:textId="77777777" w:rsidTr="00FF2473">
        <w:trPr>
          <w:tblCellSpacing w:w="15" w:type="dxa"/>
        </w:trPr>
        <w:tc>
          <w:tcPr>
            <w:tcW w:w="3758" w:type="dxa"/>
            <w:vAlign w:val="center"/>
            <w:hideMark/>
          </w:tcPr>
          <w:p w14:paraId="2753774A"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Hemorrhage</w:t>
            </w:r>
            <w:proofErr w:type="spellEnd"/>
          </w:p>
        </w:tc>
        <w:tc>
          <w:tcPr>
            <w:tcW w:w="1671" w:type="dxa"/>
            <w:vAlign w:val="center"/>
            <w:hideMark/>
          </w:tcPr>
          <w:p w14:paraId="48142940"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5</w:t>
            </w:r>
          </w:p>
        </w:tc>
        <w:tc>
          <w:tcPr>
            <w:tcW w:w="1656" w:type="dxa"/>
            <w:vAlign w:val="center"/>
            <w:hideMark/>
          </w:tcPr>
          <w:p w14:paraId="487F4E25"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7.25</w:t>
            </w:r>
          </w:p>
        </w:tc>
      </w:tr>
      <w:tr w:rsidR="00235914" w:rsidRPr="00235914" w14:paraId="5EC1D837" w14:textId="77777777" w:rsidTr="00FF2473">
        <w:trPr>
          <w:tblCellSpacing w:w="15" w:type="dxa"/>
        </w:trPr>
        <w:tc>
          <w:tcPr>
            <w:tcW w:w="3758" w:type="dxa"/>
            <w:vAlign w:val="center"/>
            <w:hideMark/>
          </w:tcPr>
          <w:p w14:paraId="495F4786"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Hydrocephalus</w:t>
            </w:r>
            <w:proofErr w:type="spellEnd"/>
          </w:p>
        </w:tc>
        <w:tc>
          <w:tcPr>
            <w:tcW w:w="1671" w:type="dxa"/>
            <w:vAlign w:val="center"/>
            <w:hideMark/>
          </w:tcPr>
          <w:p w14:paraId="6747AC8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4</w:t>
            </w:r>
          </w:p>
        </w:tc>
        <w:tc>
          <w:tcPr>
            <w:tcW w:w="1656" w:type="dxa"/>
            <w:vAlign w:val="center"/>
            <w:hideMark/>
          </w:tcPr>
          <w:p w14:paraId="43B3AB5D"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5.80</w:t>
            </w:r>
          </w:p>
        </w:tc>
      </w:tr>
      <w:tr w:rsidR="00235914" w:rsidRPr="00235914" w14:paraId="39A35B83" w14:textId="77777777" w:rsidTr="00FF2473">
        <w:trPr>
          <w:tblCellSpacing w:w="15" w:type="dxa"/>
        </w:trPr>
        <w:tc>
          <w:tcPr>
            <w:tcW w:w="3758" w:type="dxa"/>
            <w:vAlign w:val="center"/>
            <w:hideMark/>
          </w:tcPr>
          <w:p w14:paraId="4D90901E"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Meningoencephalitis</w:t>
            </w:r>
            <w:proofErr w:type="spellEnd"/>
          </w:p>
        </w:tc>
        <w:tc>
          <w:tcPr>
            <w:tcW w:w="1671" w:type="dxa"/>
            <w:vAlign w:val="center"/>
            <w:hideMark/>
          </w:tcPr>
          <w:p w14:paraId="3DF5BC7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w:t>
            </w:r>
          </w:p>
        </w:tc>
        <w:tc>
          <w:tcPr>
            <w:tcW w:w="1656" w:type="dxa"/>
            <w:vAlign w:val="center"/>
            <w:hideMark/>
          </w:tcPr>
          <w:p w14:paraId="174B2A5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2.90</w:t>
            </w:r>
          </w:p>
        </w:tc>
      </w:tr>
      <w:tr w:rsidR="00235914" w:rsidRPr="00235914" w14:paraId="0A6C7B54" w14:textId="77777777" w:rsidTr="00FF2473">
        <w:trPr>
          <w:tblCellSpacing w:w="15" w:type="dxa"/>
        </w:trPr>
        <w:tc>
          <w:tcPr>
            <w:tcW w:w="3758" w:type="dxa"/>
            <w:vAlign w:val="center"/>
            <w:hideMark/>
          </w:tcPr>
          <w:p w14:paraId="4AFA949E"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Spinal CT scan (n = 22)</w:t>
            </w:r>
          </w:p>
        </w:tc>
        <w:tc>
          <w:tcPr>
            <w:tcW w:w="1671" w:type="dxa"/>
            <w:vAlign w:val="center"/>
            <w:hideMark/>
          </w:tcPr>
          <w:p w14:paraId="0A245E0C"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3038B45F"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068F17B7" w14:textId="77777777" w:rsidTr="00FF2473">
        <w:trPr>
          <w:tblCellSpacing w:w="15" w:type="dxa"/>
        </w:trPr>
        <w:tc>
          <w:tcPr>
            <w:tcW w:w="3758" w:type="dxa"/>
            <w:vAlign w:val="center"/>
            <w:hideMark/>
          </w:tcPr>
          <w:p w14:paraId="7EC3FEAF"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Spondylodiscitis</w:t>
            </w:r>
            <w:proofErr w:type="spellEnd"/>
          </w:p>
        </w:tc>
        <w:tc>
          <w:tcPr>
            <w:tcW w:w="1671" w:type="dxa"/>
            <w:vAlign w:val="center"/>
            <w:hideMark/>
          </w:tcPr>
          <w:p w14:paraId="400E701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w:t>
            </w:r>
          </w:p>
        </w:tc>
        <w:tc>
          <w:tcPr>
            <w:tcW w:w="1656" w:type="dxa"/>
            <w:vAlign w:val="center"/>
            <w:hideMark/>
          </w:tcPr>
          <w:p w14:paraId="04F00226"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1.41</w:t>
            </w:r>
          </w:p>
        </w:tc>
      </w:tr>
      <w:tr w:rsidR="00235914" w:rsidRPr="00235914" w14:paraId="404DD836" w14:textId="77777777" w:rsidTr="00FF2473">
        <w:trPr>
          <w:tblCellSpacing w:w="15" w:type="dxa"/>
        </w:trPr>
        <w:tc>
          <w:tcPr>
            <w:tcW w:w="3758" w:type="dxa"/>
            <w:vAlign w:val="center"/>
            <w:hideMark/>
          </w:tcPr>
          <w:p w14:paraId="3A8D8BE4"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Epiduritis</w:t>
            </w:r>
            <w:proofErr w:type="spellEnd"/>
          </w:p>
        </w:tc>
        <w:tc>
          <w:tcPr>
            <w:tcW w:w="1671" w:type="dxa"/>
            <w:vAlign w:val="center"/>
            <w:hideMark/>
          </w:tcPr>
          <w:p w14:paraId="633C7D72"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w:t>
            </w:r>
          </w:p>
        </w:tc>
        <w:tc>
          <w:tcPr>
            <w:tcW w:w="1656" w:type="dxa"/>
            <w:vAlign w:val="center"/>
            <w:hideMark/>
          </w:tcPr>
          <w:p w14:paraId="22A57387"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2.00</w:t>
            </w:r>
          </w:p>
        </w:tc>
      </w:tr>
      <w:tr w:rsidR="00235914" w:rsidRPr="00235914" w14:paraId="4BD38720" w14:textId="77777777" w:rsidTr="00FF2473">
        <w:trPr>
          <w:tblCellSpacing w:w="15" w:type="dxa"/>
        </w:trPr>
        <w:tc>
          <w:tcPr>
            <w:tcW w:w="3758" w:type="dxa"/>
            <w:vAlign w:val="center"/>
            <w:hideMark/>
          </w:tcPr>
          <w:p w14:paraId="056C651D"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Geodes</w:t>
            </w:r>
            <w:proofErr w:type="spellEnd"/>
          </w:p>
        </w:tc>
        <w:tc>
          <w:tcPr>
            <w:tcW w:w="1671" w:type="dxa"/>
            <w:vAlign w:val="center"/>
            <w:hideMark/>
          </w:tcPr>
          <w:p w14:paraId="2A6FC6A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w:t>
            </w:r>
          </w:p>
        </w:tc>
        <w:tc>
          <w:tcPr>
            <w:tcW w:w="1656" w:type="dxa"/>
            <w:vAlign w:val="center"/>
            <w:hideMark/>
          </w:tcPr>
          <w:p w14:paraId="1D25BD15"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2.00</w:t>
            </w:r>
          </w:p>
        </w:tc>
      </w:tr>
      <w:tr w:rsidR="00235914" w:rsidRPr="00235914" w14:paraId="3652C18A" w14:textId="77777777" w:rsidTr="00FF2473">
        <w:trPr>
          <w:tblCellSpacing w:w="15" w:type="dxa"/>
        </w:trPr>
        <w:tc>
          <w:tcPr>
            <w:tcW w:w="3758" w:type="dxa"/>
            <w:vAlign w:val="center"/>
            <w:hideMark/>
          </w:tcPr>
          <w:p w14:paraId="0CF3AED2" w14:textId="77777777" w:rsidR="00235914" w:rsidRPr="00235914" w:rsidRDefault="00235914" w:rsidP="00043887">
            <w:pPr>
              <w:spacing w:after="0" w:line="240" w:lineRule="auto"/>
              <w:rPr>
                <w:rFonts w:ascii="Times New Roman" w:hAnsi="Times New Roman" w:cs="Times New Roman"/>
              </w:rPr>
            </w:pPr>
            <w:r w:rsidRPr="00235914">
              <w:rPr>
                <w:rFonts w:ascii="Times New Roman" w:hAnsi="Times New Roman" w:cs="Times New Roman"/>
                <w:b/>
                <w:bCs/>
              </w:rPr>
              <w:t>Thoracic CT scan (n = 18)</w:t>
            </w:r>
          </w:p>
        </w:tc>
        <w:tc>
          <w:tcPr>
            <w:tcW w:w="1671" w:type="dxa"/>
            <w:vAlign w:val="center"/>
            <w:hideMark/>
          </w:tcPr>
          <w:p w14:paraId="7B8659BF" w14:textId="77777777" w:rsidR="00235914" w:rsidRPr="00235914" w:rsidRDefault="00235914" w:rsidP="00043887">
            <w:pPr>
              <w:spacing w:after="0" w:line="240" w:lineRule="auto"/>
              <w:jc w:val="center"/>
              <w:rPr>
                <w:rFonts w:ascii="Times New Roman" w:hAnsi="Times New Roman" w:cs="Times New Roman"/>
              </w:rPr>
            </w:pPr>
          </w:p>
        </w:tc>
        <w:tc>
          <w:tcPr>
            <w:tcW w:w="1656" w:type="dxa"/>
            <w:vAlign w:val="center"/>
            <w:hideMark/>
          </w:tcPr>
          <w:p w14:paraId="6C2DDBB6" w14:textId="77777777" w:rsidR="00235914" w:rsidRPr="00235914" w:rsidRDefault="00235914" w:rsidP="00043887">
            <w:pPr>
              <w:spacing w:after="0" w:line="240" w:lineRule="auto"/>
              <w:jc w:val="center"/>
              <w:rPr>
                <w:rFonts w:ascii="Times New Roman" w:hAnsi="Times New Roman" w:cs="Times New Roman"/>
              </w:rPr>
            </w:pPr>
          </w:p>
        </w:tc>
      </w:tr>
      <w:tr w:rsidR="00235914" w:rsidRPr="00235914" w14:paraId="7E76AB6D" w14:textId="77777777" w:rsidTr="00FF2473">
        <w:trPr>
          <w:tblCellSpacing w:w="15" w:type="dxa"/>
        </w:trPr>
        <w:tc>
          <w:tcPr>
            <w:tcW w:w="3758" w:type="dxa"/>
            <w:tcBorders>
              <w:bottom w:val="single" w:sz="4" w:space="0" w:color="auto"/>
            </w:tcBorders>
            <w:vAlign w:val="center"/>
            <w:hideMark/>
          </w:tcPr>
          <w:p w14:paraId="1FD79EAE" w14:textId="77777777" w:rsidR="00235914" w:rsidRPr="00235914" w:rsidRDefault="00235914" w:rsidP="00043887">
            <w:pPr>
              <w:spacing w:after="0" w:line="240" w:lineRule="auto"/>
              <w:ind w:left="426"/>
              <w:rPr>
                <w:rFonts w:ascii="Times New Roman" w:hAnsi="Times New Roman" w:cs="Times New Roman"/>
              </w:rPr>
            </w:pPr>
            <w:proofErr w:type="spellStart"/>
            <w:r w:rsidRPr="00235914">
              <w:rPr>
                <w:rFonts w:ascii="Times New Roman" w:hAnsi="Times New Roman" w:cs="Times New Roman"/>
              </w:rPr>
              <w:t>Pulmonary</w:t>
            </w:r>
            <w:proofErr w:type="spellEnd"/>
            <w:r w:rsidRPr="00235914">
              <w:rPr>
                <w:rFonts w:ascii="Times New Roman" w:hAnsi="Times New Roman" w:cs="Times New Roman"/>
              </w:rPr>
              <w:t xml:space="preserve"> </w:t>
            </w:r>
            <w:proofErr w:type="spellStart"/>
            <w:r w:rsidRPr="00235914">
              <w:rPr>
                <w:rFonts w:ascii="Times New Roman" w:hAnsi="Times New Roman" w:cs="Times New Roman"/>
              </w:rPr>
              <w:t>embolism</w:t>
            </w:r>
            <w:proofErr w:type="spellEnd"/>
          </w:p>
        </w:tc>
        <w:tc>
          <w:tcPr>
            <w:tcW w:w="1671" w:type="dxa"/>
            <w:tcBorders>
              <w:bottom w:val="single" w:sz="4" w:space="0" w:color="auto"/>
            </w:tcBorders>
            <w:vAlign w:val="center"/>
            <w:hideMark/>
          </w:tcPr>
          <w:p w14:paraId="2DEF40FE"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3</w:t>
            </w:r>
          </w:p>
        </w:tc>
        <w:tc>
          <w:tcPr>
            <w:tcW w:w="1656" w:type="dxa"/>
            <w:tcBorders>
              <w:bottom w:val="single" w:sz="4" w:space="0" w:color="auto"/>
            </w:tcBorders>
            <w:vAlign w:val="center"/>
            <w:hideMark/>
          </w:tcPr>
          <w:p w14:paraId="4E9D2A90" w14:textId="77777777" w:rsidR="00235914" w:rsidRPr="00235914" w:rsidRDefault="00235914" w:rsidP="00043887">
            <w:pPr>
              <w:spacing w:after="0" w:line="240" w:lineRule="auto"/>
              <w:jc w:val="center"/>
              <w:rPr>
                <w:rFonts w:ascii="Times New Roman" w:hAnsi="Times New Roman" w:cs="Times New Roman"/>
              </w:rPr>
            </w:pPr>
            <w:r w:rsidRPr="00235914">
              <w:rPr>
                <w:rFonts w:ascii="Times New Roman" w:hAnsi="Times New Roman" w:cs="Times New Roman"/>
              </w:rPr>
              <w:t>11.54</w:t>
            </w:r>
          </w:p>
        </w:tc>
      </w:tr>
    </w:tbl>
    <w:p w14:paraId="79B37C19" w14:textId="77777777" w:rsidR="00235914" w:rsidRPr="00C93E94" w:rsidRDefault="00235914" w:rsidP="00C93E94">
      <w:pPr>
        <w:rPr>
          <w:rFonts w:ascii="Times New Roman" w:hAnsi="Times New Roman" w:cs="Times New Roman"/>
          <w:b/>
          <w:bCs/>
          <w:lang w:val="en-US"/>
        </w:rPr>
      </w:pPr>
    </w:p>
    <w:p w14:paraId="70D10FEC" w14:textId="31D800F9" w:rsidR="00770AD2" w:rsidRPr="00834ABA" w:rsidRDefault="00770AD2" w:rsidP="00CF0A70">
      <w:pPr>
        <w:rPr>
          <w:color w:val="000000" w:themeColor="text1"/>
          <w:lang w:val="en-US"/>
        </w:rPr>
      </w:pPr>
    </w:p>
    <w:sectPr w:rsidR="00770AD2" w:rsidRPr="00834ABA" w:rsidSect="009E21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B67FE" w14:textId="77777777" w:rsidR="00B062DD" w:rsidRDefault="00B062DD" w:rsidP="00FE7774">
      <w:pPr>
        <w:spacing w:after="0" w:line="240" w:lineRule="auto"/>
      </w:pPr>
      <w:r>
        <w:separator/>
      </w:r>
    </w:p>
  </w:endnote>
  <w:endnote w:type="continuationSeparator" w:id="0">
    <w:p w14:paraId="7B8991D1" w14:textId="77777777" w:rsidR="00B062DD" w:rsidRDefault="00B062DD" w:rsidP="00FE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07CF" w14:textId="77777777" w:rsidR="00FE7774" w:rsidRDefault="00FE7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F496" w14:textId="77777777" w:rsidR="00FE7774" w:rsidRDefault="00FE7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39E3" w14:textId="77777777" w:rsidR="00FE7774" w:rsidRDefault="00FE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639F4" w14:textId="77777777" w:rsidR="00B062DD" w:rsidRDefault="00B062DD" w:rsidP="00FE7774">
      <w:pPr>
        <w:spacing w:after="0" w:line="240" w:lineRule="auto"/>
      </w:pPr>
      <w:r>
        <w:separator/>
      </w:r>
    </w:p>
  </w:footnote>
  <w:footnote w:type="continuationSeparator" w:id="0">
    <w:p w14:paraId="0BE89C22" w14:textId="77777777" w:rsidR="00B062DD" w:rsidRDefault="00B062DD" w:rsidP="00FE7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A19B" w14:textId="4AA4661E" w:rsidR="00FE7774" w:rsidRDefault="00FE7774">
    <w:pPr>
      <w:pStyle w:val="Header"/>
    </w:pPr>
    <w:r>
      <w:rPr>
        <w:noProof/>
      </w:rPr>
      <w:pict w14:anchorId="529C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417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4168F" w14:textId="34F4C26C" w:rsidR="00FE7774" w:rsidRDefault="00FE7774">
    <w:pPr>
      <w:pStyle w:val="Header"/>
    </w:pPr>
    <w:r>
      <w:rPr>
        <w:noProof/>
      </w:rPr>
      <w:pict w14:anchorId="3BAB4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417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1022" w14:textId="125DB91D" w:rsidR="00FE7774" w:rsidRDefault="00FE7774">
    <w:pPr>
      <w:pStyle w:val="Header"/>
    </w:pPr>
    <w:r>
      <w:rPr>
        <w:noProof/>
      </w:rPr>
      <w:pict w14:anchorId="2DDD0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417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D195F"/>
    <w:multiLevelType w:val="multilevel"/>
    <w:tmpl w:val="9A6C9E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5E"/>
    <w:rsid w:val="000053EF"/>
    <w:rsid w:val="00007E43"/>
    <w:rsid w:val="00017360"/>
    <w:rsid w:val="00023F49"/>
    <w:rsid w:val="00023FD2"/>
    <w:rsid w:val="000418AA"/>
    <w:rsid w:val="00041C5C"/>
    <w:rsid w:val="00043887"/>
    <w:rsid w:val="00055B53"/>
    <w:rsid w:val="00057EDF"/>
    <w:rsid w:val="000740A6"/>
    <w:rsid w:val="00097A38"/>
    <w:rsid w:val="000A21A4"/>
    <w:rsid w:val="000A61EF"/>
    <w:rsid w:val="000B11E0"/>
    <w:rsid w:val="000B370B"/>
    <w:rsid w:val="000C12A0"/>
    <w:rsid w:val="000C3250"/>
    <w:rsid w:val="000D6463"/>
    <w:rsid w:val="000E273B"/>
    <w:rsid w:val="000F2E1B"/>
    <w:rsid w:val="00100178"/>
    <w:rsid w:val="00102447"/>
    <w:rsid w:val="001219BF"/>
    <w:rsid w:val="00130CEC"/>
    <w:rsid w:val="00161164"/>
    <w:rsid w:val="001632DC"/>
    <w:rsid w:val="00194E04"/>
    <w:rsid w:val="001A3F98"/>
    <w:rsid w:val="001A4845"/>
    <w:rsid w:val="001C59C6"/>
    <w:rsid w:val="001C5A15"/>
    <w:rsid w:val="001D20BD"/>
    <w:rsid w:val="001D21A2"/>
    <w:rsid w:val="001D457F"/>
    <w:rsid w:val="001D7118"/>
    <w:rsid w:val="001E38CD"/>
    <w:rsid w:val="001E6117"/>
    <w:rsid w:val="001E7893"/>
    <w:rsid w:val="001F30DE"/>
    <w:rsid w:val="001F5933"/>
    <w:rsid w:val="0020111E"/>
    <w:rsid w:val="00212A98"/>
    <w:rsid w:val="00223BF6"/>
    <w:rsid w:val="00225C49"/>
    <w:rsid w:val="002318FE"/>
    <w:rsid w:val="00231DE4"/>
    <w:rsid w:val="00234902"/>
    <w:rsid w:val="00234AC1"/>
    <w:rsid w:val="00235914"/>
    <w:rsid w:val="00236A41"/>
    <w:rsid w:val="002416AD"/>
    <w:rsid w:val="00251F4B"/>
    <w:rsid w:val="00264B87"/>
    <w:rsid w:val="002707DF"/>
    <w:rsid w:val="002721F4"/>
    <w:rsid w:val="00282A06"/>
    <w:rsid w:val="00286D67"/>
    <w:rsid w:val="002925E0"/>
    <w:rsid w:val="00292D62"/>
    <w:rsid w:val="00293FE6"/>
    <w:rsid w:val="002A0BF1"/>
    <w:rsid w:val="002A26CD"/>
    <w:rsid w:val="002B1006"/>
    <w:rsid w:val="002B7D89"/>
    <w:rsid w:val="002C25B8"/>
    <w:rsid w:val="002C74AF"/>
    <w:rsid w:val="002D2DEB"/>
    <w:rsid w:val="002D3592"/>
    <w:rsid w:val="002F505B"/>
    <w:rsid w:val="00304436"/>
    <w:rsid w:val="00321D57"/>
    <w:rsid w:val="00325C5E"/>
    <w:rsid w:val="00331CF0"/>
    <w:rsid w:val="00332163"/>
    <w:rsid w:val="0034274A"/>
    <w:rsid w:val="0034289E"/>
    <w:rsid w:val="00356FB1"/>
    <w:rsid w:val="00356FEE"/>
    <w:rsid w:val="00365D0E"/>
    <w:rsid w:val="003A062D"/>
    <w:rsid w:val="003A635C"/>
    <w:rsid w:val="003A68A3"/>
    <w:rsid w:val="003B080A"/>
    <w:rsid w:val="003B109A"/>
    <w:rsid w:val="003B28D7"/>
    <w:rsid w:val="003B402F"/>
    <w:rsid w:val="003C19D8"/>
    <w:rsid w:val="003D308F"/>
    <w:rsid w:val="003D52C5"/>
    <w:rsid w:val="003E0328"/>
    <w:rsid w:val="003E6952"/>
    <w:rsid w:val="003F0254"/>
    <w:rsid w:val="00400664"/>
    <w:rsid w:val="004046C0"/>
    <w:rsid w:val="004101B8"/>
    <w:rsid w:val="00413195"/>
    <w:rsid w:val="00414274"/>
    <w:rsid w:val="0043422B"/>
    <w:rsid w:val="004377E0"/>
    <w:rsid w:val="00440083"/>
    <w:rsid w:val="004404DC"/>
    <w:rsid w:val="0044446B"/>
    <w:rsid w:val="004521A3"/>
    <w:rsid w:val="004531EC"/>
    <w:rsid w:val="00454C60"/>
    <w:rsid w:val="004619A8"/>
    <w:rsid w:val="004621BF"/>
    <w:rsid w:val="00475FF5"/>
    <w:rsid w:val="0049332A"/>
    <w:rsid w:val="004A75EA"/>
    <w:rsid w:val="004B1F77"/>
    <w:rsid w:val="004B2C0B"/>
    <w:rsid w:val="004B7834"/>
    <w:rsid w:val="004D67F6"/>
    <w:rsid w:val="004E1A63"/>
    <w:rsid w:val="004E286B"/>
    <w:rsid w:val="004E5752"/>
    <w:rsid w:val="004F01CA"/>
    <w:rsid w:val="0051408F"/>
    <w:rsid w:val="005278E0"/>
    <w:rsid w:val="0053363B"/>
    <w:rsid w:val="005455C3"/>
    <w:rsid w:val="005572A7"/>
    <w:rsid w:val="00570933"/>
    <w:rsid w:val="00574C58"/>
    <w:rsid w:val="005A4D10"/>
    <w:rsid w:val="005B03DD"/>
    <w:rsid w:val="005B16D0"/>
    <w:rsid w:val="005B5087"/>
    <w:rsid w:val="005B5940"/>
    <w:rsid w:val="005C5D70"/>
    <w:rsid w:val="005E29C6"/>
    <w:rsid w:val="005E64A4"/>
    <w:rsid w:val="006000B1"/>
    <w:rsid w:val="00611215"/>
    <w:rsid w:val="0061175C"/>
    <w:rsid w:val="00612554"/>
    <w:rsid w:val="00612A65"/>
    <w:rsid w:val="00626A8A"/>
    <w:rsid w:val="00630E93"/>
    <w:rsid w:val="006370E9"/>
    <w:rsid w:val="00637257"/>
    <w:rsid w:val="006408D6"/>
    <w:rsid w:val="006436F2"/>
    <w:rsid w:val="00663AB8"/>
    <w:rsid w:val="0067642B"/>
    <w:rsid w:val="006861B7"/>
    <w:rsid w:val="00690CA1"/>
    <w:rsid w:val="00691BA4"/>
    <w:rsid w:val="0069385D"/>
    <w:rsid w:val="00694C27"/>
    <w:rsid w:val="006963A9"/>
    <w:rsid w:val="006A0517"/>
    <w:rsid w:val="006C4636"/>
    <w:rsid w:val="006C66F0"/>
    <w:rsid w:val="006E2A8B"/>
    <w:rsid w:val="006E58D1"/>
    <w:rsid w:val="006F0CA3"/>
    <w:rsid w:val="00704C46"/>
    <w:rsid w:val="00706389"/>
    <w:rsid w:val="00710E13"/>
    <w:rsid w:val="0071169C"/>
    <w:rsid w:val="00712A7C"/>
    <w:rsid w:val="00715AFE"/>
    <w:rsid w:val="00743477"/>
    <w:rsid w:val="007455DA"/>
    <w:rsid w:val="00747B91"/>
    <w:rsid w:val="007601C3"/>
    <w:rsid w:val="007630E5"/>
    <w:rsid w:val="00766560"/>
    <w:rsid w:val="00770AD2"/>
    <w:rsid w:val="00771A50"/>
    <w:rsid w:val="00772188"/>
    <w:rsid w:val="00784949"/>
    <w:rsid w:val="00794123"/>
    <w:rsid w:val="007958CD"/>
    <w:rsid w:val="007B0054"/>
    <w:rsid w:val="007B0304"/>
    <w:rsid w:val="007B1282"/>
    <w:rsid w:val="007D71B2"/>
    <w:rsid w:val="007E618E"/>
    <w:rsid w:val="007F2551"/>
    <w:rsid w:val="007F629E"/>
    <w:rsid w:val="00802EDE"/>
    <w:rsid w:val="00813E9B"/>
    <w:rsid w:val="00832071"/>
    <w:rsid w:val="00833818"/>
    <w:rsid w:val="00834ABA"/>
    <w:rsid w:val="00834E8E"/>
    <w:rsid w:val="00847BA8"/>
    <w:rsid w:val="00856E36"/>
    <w:rsid w:val="0086530E"/>
    <w:rsid w:val="00883E8F"/>
    <w:rsid w:val="0088474C"/>
    <w:rsid w:val="00891232"/>
    <w:rsid w:val="00895715"/>
    <w:rsid w:val="00896BFD"/>
    <w:rsid w:val="008C12B2"/>
    <w:rsid w:val="008C7487"/>
    <w:rsid w:val="008D1257"/>
    <w:rsid w:val="008E1BDC"/>
    <w:rsid w:val="008E1D7D"/>
    <w:rsid w:val="008E2BDA"/>
    <w:rsid w:val="008E78B2"/>
    <w:rsid w:val="008F6A62"/>
    <w:rsid w:val="009042D6"/>
    <w:rsid w:val="0091689E"/>
    <w:rsid w:val="00935288"/>
    <w:rsid w:val="00940ACA"/>
    <w:rsid w:val="00966F0A"/>
    <w:rsid w:val="00982A26"/>
    <w:rsid w:val="00996F5A"/>
    <w:rsid w:val="009A40C7"/>
    <w:rsid w:val="009B1403"/>
    <w:rsid w:val="009C0903"/>
    <w:rsid w:val="009C2689"/>
    <w:rsid w:val="009C4C4E"/>
    <w:rsid w:val="009C7355"/>
    <w:rsid w:val="009C7362"/>
    <w:rsid w:val="009D1583"/>
    <w:rsid w:val="009D62AB"/>
    <w:rsid w:val="009E2191"/>
    <w:rsid w:val="009E3B22"/>
    <w:rsid w:val="009E7ACB"/>
    <w:rsid w:val="009F0AA5"/>
    <w:rsid w:val="009F0C2C"/>
    <w:rsid w:val="009F12C3"/>
    <w:rsid w:val="00A45803"/>
    <w:rsid w:val="00A71DAB"/>
    <w:rsid w:val="00A737ED"/>
    <w:rsid w:val="00A756E3"/>
    <w:rsid w:val="00A76B62"/>
    <w:rsid w:val="00A76E1F"/>
    <w:rsid w:val="00A860CF"/>
    <w:rsid w:val="00A90D0F"/>
    <w:rsid w:val="00A923CE"/>
    <w:rsid w:val="00A94ACB"/>
    <w:rsid w:val="00A95224"/>
    <w:rsid w:val="00AB328A"/>
    <w:rsid w:val="00AB500A"/>
    <w:rsid w:val="00AC24C8"/>
    <w:rsid w:val="00AD1E8E"/>
    <w:rsid w:val="00AD38B0"/>
    <w:rsid w:val="00AF09B0"/>
    <w:rsid w:val="00B062DD"/>
    <w:rsid w:val="00B1621E"/>
    <w:rsid w:val="00B177D5"/>
    <w:rsid w:val="00B56716"/>
    <w:rsid w:val="00B65232"/>
    <w:rsid w:val="00BB1C72"/>
    <w:rsid w:val="00BC3DF2"/>
    <w:rsid w:val="00BC4060"/>
    <w:rsid w:val="00BC649C"/>
    <w:rsid w:val="00BD2BE7"/>
    <w:rsid w:val="00BD59E6"/>
    <w:rsid w:val="00BE0C2C"/>
    <w:rsid w:val="00BF0E7C"/>
    <w:rsid w:val="00BF3344"/>
    <w:rsid w:val="00C02B71"/>
    <w:rsid w:val="00C126F7"/>
    <w:rsid w:val="00C15D28"/>
    <w:rsid w:val="00C57DF7"/>
    <w:rsid w:val="00C70360"/>
    <w:rsid w:val="00C77B78"/>
    <w:rsid w:val="00C811E3"/>
    <w:rsid w:val="00C855D7"/>
    <w:rsid w:val="00C904C3"/>
    <w:rsid w:val="00C93E94"/>
    <w:rsid w:val="00CA5BD5"/>
    <w:rsid w:val="00CA7B43"/>
    <w:rsid w:val="00CC6DB7"/>
    <w:rsid w:val="00CD5E18"/>
    <w:rsid w:val="00CE2735"/>
    <w:rsid w:val="00CE6569"/>
    <w:rsid w:val="00CE7985"/>
    <w:rsid w:val="00CE7DC9"/>
    <w:rsid w:val="00CF0A70"/>
    <w:rsid w:val="00D03A29"/>
    <w:rsid w:val="00D0709E"/>
    <w:rsid w:val="00D1037B"/>
    <w:rsid w:val="00D1272A"/>
    <w:rsid w:val="00D21D3C"/>
    <w:rsid w:val="00D25AEB"/>
    <w:rsid w:val="00D27C22"/>
    <w:rsid w:val="00D335FF"/>
    <w:rsid w:val="00D33D23"/>
    <w:rsid w:val="00D41173"/>
    <w:rsid w:val="00D43A6B"/>
    <w:rsid w:val="00D44AB9"/>
    <w:rsid w:val="00D476D3"/>
    <w:rsid w:val="00D6326C"/>
    <w:rsid w:val="00D641C5"/>
    <w:rsid w:val="00D66845"/>
    <w:rsid w:val="00D70264"/>
    <w:rsid w:val="00D71095"/>
    <w:rsid w:val="00D729FA"/>
    <w:rsid w:val="00D72A14"/>
    <w:rsid w:val="00D740E2"/>
    <w:rsid w:val="00D76E2E"/>
    <w:rsid w:val="00D77CBB"/>
    <w:rsid w:val="00D805FD"/>
    <w:rsid w:val="00D95B68"/>
    <w:rsid w:val="00DA32A1"/>
    <w:rsid w:val="00DA3DB2"/>
    <w:rsid w:val="00DB09C2"/>
    <w:rsid w:val="00DC5193"/>
    <w:rsid w:val="00DC5462"/>
    <w:rsid w:val="00DC6F13"/>
    <w:rsid w:val="00DC723E"/>
    <w:rsid w:val="00DD2F43"/>
    <w:rsid w:val="00DD3AF1"/>
    <w:rsid w:val="00DE3647"/>
    <w:rsid w:val="00DE3851"/>
    <w:rsid w:val="00DE4C2F"/>
    <w:rsid w:val="00DF2341"/>
    <w:rsid w:val="00DF5BFC"/>
    <w:rsid w:val="00DF7018"/>
    <w:rsid w:val="00E005FD"/>
    <w:rsid w:val="00E01D31"/>
    <w:rsid w:val="00E03512"/>
    <w:rsid w:val="00E10301"/>
    <w:rsid w:val="00E253AE"/>
    <w:rsid w:val="00E27F3F"/>
    <w:rsid w:val="00E351C9"/>
    <w:rsid w:val="00E3764F"/>
    <w:rsid w:val="00E4195E"/>
    <w:rsid w:val="00E43236"/>
    <w:rsid w:val="00E471D1"/>
    <w:rsid w:val="00E47E6F"/>
    <w:rsid w:val="00E561E3"/>
    <w:rsid w:val="00E630E1"/>
    <w:rsid w:val="00E6725D"/>
    <w:rsid w:val="00E86F25"/>
    <w:rsid w:val="00E95F3F"/>
    <w:rsid w:val="00EA112B"/>
    <w:rsid w:val="00EA1360"/>
    <w:rsid w:val="00EA4DB9"/>
    <w:rsid w:val="00EA7D95"/>
    <w:rsid w:val="00EC4D4A"/>
    <w:rsid w:val="00ED69A6"/>
    <w:rsid w:val="00EE3271"/>
    <w:rsid w:val="00EE7C10"/>
    <w:rsid w:val="00F13C75"/>
    <w:rsid w:val="00F21403"/>
    <w:rsid w:val="00F27DAC"/>
    <w:rsid w:val="00F450A7"/>
    <w:rsid w:val="00F663B8"/>
    <w:rsid w:val="00F711E0"/>
    <w:rsid w:val="00F72DB8"/>
    <w:rsid w:val="00F73704"/>
    <w:rsid w:val="00F7438A"/>
    <w:rsid w:val="00F86B0B"/>
    <w:rsid w:val="00F92A14"/>
    <w:rsid w:val="00FB028C"/>
    <w:rsid w:val="00FC6B7F"/>
    <w:rsid w:val="00FE7774"/>
    <w:rsid w:val="00FF084F"/>
    <w:rsid w:val="00FF17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CE794"/>
  <w15:chartTrackingRefBased/>
  <w15:docId w15:val="{2AD697D7-6ECF-4920-B238-E8E7093D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BF"/>
  </w:style>
  <w:style w:type="paragraph" w:styleId="Heading1">
    <w:name w:val="heading 1"/>
    <w:basedOn w:val="Normal"/>
    <w:next w:val="Normal"/>
    <w:link w:val="Heading1Char"/>
    <w:uiPriority w:val="9"/>
    <w:qFormat/>
    <w:rsid w:val="00A95224"/>
    <w:pPr>
      <w:keepNext/>
      <w:keepLines/>
      <w:numPr>
        <w:numId w:val="1"/>
      </w:numPr>
      <w:spacing w:before="360" w:after="80"/>
      <w:outlineLvl w:val="0"/>
    </w:pPr>
    <w:rPr>
      <w:rFonts w:ascii="Times New Roman" w:eastAsiaTheme="majorEastAsia" w:hAnsi="Times New Roman" w:cs="Times New Roman"/>
      <w:b/>
      <w:bCs/>
      <w:lang w:val="en-GB"/>
    </w:rPr>
  </w:style>
  <w:style w:type="paragraph" w:styleId="Heading2">
    <w:name w:val="heading 2"/>
    <w:basedOn w:val="Normal"/>
    <w:next w:val="Normal"/>
    <w:link w:val="Heading2Char"/>
    <w:uiPriority w:val="9"/>
    <w:unhideWhenUsed/>
    <w:qFormat/>
    <w:rsid w:val="00802EDE"/>
    <w:pPr>
      <w:keepNext/>
      <w:keepLines/>
      <w:numPr>
        <w:ilvl w:val="1"/>
        <w:numId w:val="1"/>
      </w:numPr>
      <w:spacing w:before="160" w:after="80"/>
      <w:outlineLvl w:val="1"/>
    </w:pPr>
    <w:rPr>
      <w:rFonts w:ascii="Times New Roman" w:eastAsiaTheme="majorEastAsia" w:hAnsi="Times New Roman" w:cs="Times New Roman"/>
      <w:b/>
      <w:bCs/>
    </w:rPr>
  </w:style>
  <w:style w:type="paragraph" w:styleId="Heading3">
    <w:name w:val="heading 3"/>
    <w:basedOn w:val="Normal"/>
    <w:next w:val="Normal"/>
    <w:link w:val="Heading3Char"/>
    <w:uiPriority w:val="9"/>
    <w:unhideWhenUsed/>
    <w:qFormat/>
    <w:rsid w:val="00E4195E"/>
    <w:pPr>
      <w:keepNext/>
      <w:keepLines/>
      <w:numPr>
        <w:ilvl w:val="2"/>
        <w:numId w:val="1"/>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195E"/>
    <w:pPr>
      <w:keepNext/>
      <w:keepLines/>
      <w:numPr>
        <w:ilvl w:val="3"/>
        <w:numId w:val="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95E"/>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95E"/>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95E"/>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95E"/>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95E"/>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24"/>
    <w:rPr>
      <w:rFonts w:ascii="Times New Roman" w:eastAsiaTheme="majorEastAsia" w:hAnsi="Times New Roman" w:cs="Times New Roman"/>
      <w:b/>
      <w:bCs/>
      <w:lang w:val="en-GB"/>
    </w:rPr>
  </w:style>
  <w:style w:type="character" w:customStyle="1" w:styleId="Heading2Char">
    <w:name w:val="Heading 2 Char"/>
    <w:basedOn w:val="DefaultParagraphFont"/>
    <w:link w:val="Heading2"/>
    <w:uiPriority w:val="9"/>
    <w:rsid w:val="00802EDE"/>
    <w:rPr>
      <w:rFonts w:ascii="Times New Roman" w:eastAsiaTheme="majorEastAsia" w:hAnsi="Times New Roman" w:cs="Times New Roman"/>
      <w:b/>
      <w:bCs/>
    </w:rPr>
  </w:style>
  <w:style w:type="character" w:customStyle="1" w:styleId="Heading3Char">
    <w:name w:val="Heading 3 Char"/>
    <w:basedOn w:val="DefaultParagraphFont"/>
    <w:link w:val="Heading3"/>
    <w:uiPriority w:val="9"/>
    <w:semiHidden/>
    <w:rsid w:val="00E419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9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9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95E"/>
    <w:rPr>
      <w:rFonts w:eastAsiaTheme="majorEastAsia" w:cstheme="majorBidi"/>
      <w:color w:val="272727" w:themeColor="text1" w:themeTint="D8"/>
    </w:rPr>
  </w:style>
  <w:style w:type="paragraph" w:styleId="Title">
    <w:name w:val="Title"/>
    <w:basedOn w:val="Normal"/>
    <w:next w:val="Normal"/>
    <w:link w:val="TitleChar"/>
    <w:uiPriority w:val="10"/>
    <w:qFormat/>
    <w:rsid w:val="00E41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95E"/>
    <w:pPr>
      <w:spacing w:before="160"/>
      <w:jc w:val="center"/>
    </w:pPr>
    <w:rPr>
      <w:i/>
      <w:iCs/>
      <w:color w:val="404040" w:themeColor="text1" w:themeTint="BF"/>
    </w:rPr>
  </w:style>
  <w:style w:type="character" w:customStyle="1" w:styleId="QuoteChar">
    <w:name w:val="Quote Char"/>
    <w:basedOn w:val="DefaultParagraphFont"/>
    <w:link w:val="Quote"/>
    <w:uiPriority w:val="29"/>
    <w:rsid w:val="00E4195E"/>
    <w:rPr>
      <w:i/>
      <w:iCs/>
      <w:color w:val="404040" w:themeColor="text1" w:themeTint="BF"/>
    </w:rPr>
  </w:style>
  <w:style w:type="paragraph" w:styleId="ListParagraph">
    <w:name w:val="List Paragraph"/>
    <w:basedOn w:val="Normal"/>
    <w:uiPriority w:val="34"/>
    <w:qFormat/>
    <w:rsid w:val="00E4195E"/>
    <w:pPr>
      <w:ind w:left="720"/>
      <w:contextualSpacing/>
    </w:pPr>
  </w:style>
  <w:style w:type="character" w:styleId="IntenseEmphasis">
    <w:name w:val="Intense Emphasis"/>
    <w:basedOn w:val="DefaultParagraphFont"/>
    <w:uiPriority w:val="21"/>
    <w:qFormat/>
    <w:rsid w:val="00E4195E"/>
    <w:rPr>
      <w:i/>
      <w:iCs/>
      <w:color w:val="2F5496" w:themeColor="accent1" w:themeShade="BF"/>
    </w:rPr>
  </w:style>
  <w:style w:type="paragraph" w:styleId="IntenseQuote">
    <w:name w:val="Intense Quote"/>
    <w:basedOn w:val="Normal"/>
    <w:next w:val="Normal"/>
    <w:link w:val="IntenseQuoteChar"/>
    <w:uiPriority w:val="30"/>
    <w:qFormat/>
    <w:rsid w:val="00E41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95E"/>
    <w:rPr>
      <w:i/>
      <w:iCs/>
      <w:color w:val="2F5496" w:themeColor="accent1" w:themeShade="BF"/>
    </w:rPr>
  </w:style>
  <w:style w:type="character" w:styleId="IntenseReference">
    <w:name w:val="Intense Reference"/>
    <w:basedOn w:val="DefaultParagraphFont"/>
    <w:uiPriority w:val="32"/>
    <w:qFormat/>
    <w:rsid w:val="00E4195E"/>
    <w:rPr>
      <w:b/>
      <w:bCs/>
      <w:smallCaps/>
      <w:color w:val="2F5496" w:themeColor="accent1" w:themeShade="BF"/>
      <w:spacing w:val="5"/>
    </w:rPr>
  </w:style>
  <w:style w:type="paragraph" w:styleId="NormalWeb">
    <w:name w:val="Normal (Web)"/>
    <w:basedOn w:val="Normal"/>
    <w:uiPriority w:val="99"/>
    <w:semiHidden/>
    <w:unhideWhenUsed/>
    <w:rsid w:val="00EE32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3271"/>
    <w:rPr>
      <w:b/>
      <w:bCs/>
    </w:rPr>
  </w:style>
  <w:style w:type="table" w:styleId="TableGrid">
    <w:name w:val="Table Grid"/>
    <w:basedOn w:val="TableNormal"/>
    <w:uiPriority w:val="39"/>
    <w:rsid w:val="001D457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5FF"/>
    <w:rPr>
      <w:color w:val="0563C1" w:themeColor="hyperlink"/>
      <w:u w:val="single"/>
    </w:rPr>
  </w:style>
  <w:style w:type="character" w:customStyle="1" w:styleId="Mentionnonrsolue1">
    <w:name w:val="Mention non résolue1"/>
    <w:basedOn w:val="DefaultParagraphFont"/>
    <w:uiPriority w:val="99"/>
    <w:semiHidden/>
    <w:unhideWhenUsed/>
    <w:rsid w:val="00D335FF"/>
    <w:rPr>
      <w:color w:val="605E5C"/>
      <w:shd w:val="clear" w:color="auto" w:fill="E1DFDD"/>
    </w:rPr>
  </w:style>
  <w:style w:type="character" w:styleId="Emphasis">
    <w:name w:val="Emphasis"/>
    <w:basedOn w:val="DefaultParagraphFont"/>
    <w:uiPriority w:val="20"/>
    <w:qFormat/>
    <w:rsid w:val="00E01D31"/>
    <w:rPr>
      <w:i/>
      <w:iCs/>
    </w:rPr>
  </w:style>
  <w:style w:type="character" w:styleId="UnresolvedMention">
    <w:name w:val="Unresolved Mention"/>
    <w:basedOn w:val="DefaultParagraphFont"/>
    <w:uiPriority w:val="99"/>
    <w:semiHidden/>
    <w:unhideWhenUsed/>
    <w:rsid w:val="00A737ED"/>
    <w:rPr>
      <w:color w:val="605E5C"/>
      <w:shd w:val="clear" w:color="auto" w:fill="E1DFDD"/>
    </w:rPr>
  </w:style>
  <w:style w:type="paragraph" w:styleId="Header">
    <w:name w:val="header"/>
    <w:basedOn w:val="Normal"/>
    <w:link w:val="HeaderChar"/>
    <w:uiPriority w:val="99"/>
    <w:unhideWhenUsed/>
    <w:rsid w:val="00FE7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774"/>
  </w:style>
  <w:style w:type="paragraph" w:styleId="Footer">
    <w:name w:val="footer"/>
    <w:basedOn w:val="Normal"/>
    <w:link w:val="FooterChar"/>
    <w:uiPriority w:val="99"/>
    <w:unhideWhenUsed/>
    <w:rsid w:val="00FE7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71072594584214"/>
          <c:y val="1.4234875444839857E-2"/>
          <c:w val="0.6467268591426073"/>
          <c:h val="0.82892033513604402"/>
        </c:manualLayout>
      </c:layout>
      <c:barChart>
        <c:barDir val="bar"/>
        <c:grouping val="clustered"/>
        <c:varyColors val="0"/>
        <c:ser>
          <c:idx val="0"/>
          <c:order val="0"/>
          <c:tx>
            <c:strRef>
              <c:f>Feuil1!$B$1</c:f>
              <c:strCache>
                <c:ptCount val="1"/>
                <c:pt idx="0">
                  <c:v>Série 1</c:v>
                </c:pt>
              </c:strCache>
            </c:strRef>
          </c:tx>
          <c:spPr>
            <a:solidFill>
              <a:schemeClr val="accent1"/>
            </a:solidFill>
            <a:ln>
              <a:noFill/>
            </a:ln>
            <a:effectLst/>
          </c:spPr>
          <c:invertIfNegative val="0"/>
          <c:dLbls>
            <c:dLbl>
              <c:idx val="0"/>
              <c:tx>
                <c:rich>
                  <a:bodyPr/>
                  <a:lstStyle/>
                  <a:p>
                    <a:r>
                      <a:rPr lang="en-US"/>
                      <a:t>48.96</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6A6-4E3B-8A39-52A8945381AE}"/>
                </c:ext>
              </c:extLst>
            </c:dLbl>
            <c:dLbl>
              <c:idx val="1"/>
              <c:tx>
                <c:rich>
                  <a:bodyPr/>
                  <a:lstStyle/>
                  <a:p>
                    <a:r>
                      <a:rPr lang="en-US"/>
                      <a:t>12.5</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6A6-4E3B-8A39-52A8945381AE}"/>
                </c:ext>
              </c:extLst>
            </c:dLbl>
            <c:dLbl>
              <c:idx val="2"/>
              <c:tx>
                <c:rich>
                  <a:bodyPr/>
                  <a:lstStyle/>
                  <a:p>
                    <a:r>
                      <a:rPr lang="en-US"/>
                      <a:t>10.42</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6A6-4E3B-8A39-52A8945381AE}"/>
                </c:ext>
              </c:extLst>
            </c:dLbl>
            <c:dLbl>
              <c:idx val="3"/>
              <c:tx>
                <c:rich>
                  <a:bodyPr/>
                  <a:lstStyle/>
                  <a:p>
                    <a:r>
                      <a:rPr lang="en-US"/>
                      <a:t>8.33</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6A6-4E3B-8A39-52A8945381AE}"/>
                </c:ext>
              </c:extLst>
            </c:dLbl>
            <c:dLbl>
              <c:idx val="4"/>
              <c:tx>
                <c:rich>
                  <a:bodyPr/>
                  <a:lstStyle/>
                  <a:p>
                    <a:r>
                      <a:rPr lang="en-US"/>
                      <a:t>7.29</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D6A6-4E3B-8A39-52A8945381AE}"/>
                </c:ext>
              </c:extLst>
            </c:dLbl>
            <c:dLbl>
              <c:idx val="5"/>
              <c:tx>
                <c:rich>
                  <a:bodyPr/>
                  <a:lstStyle/>
                  <a:p>
                    <a:r>
                      <a:rPr lang="en-US"/>
                      <a:t>4.17</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D6A6-4E3B-8A39-52A8945381AE}"/>
                </c:ext>
              </c:extLst>
            </c:dLbl>
            <c:dLbl>
              <c:idx val="6"/>
              <c:tx>
                <c:rich>
                  <a:bodyPr/>
                  <a:lstStyle/>
                  <a:p>
                    <a:r>
                      <a:rPr lang="en-US"/>
                      <a:t>4.17</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D6A6-4E3B-8A39-52A8945381AE}"/>
                </c:ext>
              </c:extLst>
            </c:dLbl>
            <c:dLbl>
              <c:idx val="7"/>
              <c:tx>
                <c:rich>
                  <a:bodyPr/>
                  <a:lstStyle/>
                  <a:p>
                    <a:r>
                      <a:rPr lang="en-US"/>
                      <a:t>4.17</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D6A6-4E3B-8A39-52A8945381AE}"/>
                </c:ext>
              </c:extLst>
            </c:dLbl>
            <c:dLbl>
              <c:idx val="8"/>
              <c:tx>
                <c:rich>
                  <a:bodyPr/>
                  <a:lstStyle/>
                  <a:p>
                    <a:r>
                      <a:rPr lang="en-US"/>
                      <a:t>3.13</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D6A6-4E3B-8A39-52A8945381AE}"/>
                </c:ext>
              </c:extLst>
            </c:dLbl>
            <c:dLbl>
              <c:idx val="9"/>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i="0" u="none" strike="noStrike" kern="1200" baseline="0">
                        <a:solidFill>
                          <a:sysClr val="windowText" lastClr="000000"/>
                        </a:solidFill>
                        <a:latin typeface="Times New Roman" panose="02020603050405020304" pitchFamily="18" charset="0"/>
                        <a:cs typeface="Times New Roman" panose="02020603050405020304" pitchFamily="18" charset="0"/>
                      </a:rPr>
                      <a:t>1.04</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D6A6-4E3B-8A39-52A8945381AE}"/>
                </c:ext>
              </c:extLst>
            </c:dLbl>
            <c:dLbl>
              <c:idx val="10"/>
              <c:tx>
                <c:rich>
                  <a:bodyPr/>
                  <a:lstStyle/>
                  <a:p>
                    <a:r>
                      <a:rPr lang="en-US"/>
                      <a:t>1.04</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D6A6-4E3B-8A39-52A8945381AE}"/>
                </c:ext>
              </c:extLst>
            </c:dLbl>
            <c:dLbl>
              <c:idx val="11"/>
              <c:tx>
                <c:rich>
                  <a:bodyPr/>
                  <a:lstStyle/>
                  <a:p>
                    <a:r>
                      <a:rPr lang="en-US"/>
                      <a:t>1.04</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D6A6-4E3B-8A39-52A8945381A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Feuil1!$A$2:$A$13</c:f>
              <c:strCache>
                <c:ptCount val="12"/>
                <c:pt idx="0">
                  <c:v>HIV</c:v>
                </c:pt>
                <c:pt idx="1">
                  <c:v>Smoking</c:v>
                </c:pt>
                <c:pt idx="2">
                  <c:v>History of tuberculosis</c:v>
                </c:pt>
                <c:pt idx="3">
                  <c:v>Hepatitis B</c:v>
                </c:pt>
                <c:pt idx="4">
                  <c:v>Alcohol use</c:v>
                </c:pt>
                <c:pt idx="5">
                  <c:v>Diabetes</c:v>
                </c:pt>
                <c:pt idx="6">
                  <c:v>Hypertension</c:v>
                </c:pt>
                <c:pt idx="7">
                  <c:v>Asthma</c:v>
                </c:pt>
                <c:pt idx="8">
                  <c:v>Malignancy</c:v>
                </c:pt>
                <c:pt idx="9">
                  <c:v>Sickle cell disease</c:v>
                </c:pt>
                <c:pt idx="10">
                  <c:v>Heart disease</c:v>
                </c:pt>
                <c:pt idx="11">
                  <c:v>COPD</c:v>
                </c:pt>
              </c:strCache>
            </c:strRef>
          </c:cat>
          <c:val>
            <c:numRef>
              <c:f>Feuil1!$B$2:$B$13</c:f>
              <c:numCache>
                <c:formatCode>General</c:formatCode>
                <c:ptCount val="12"/>
                <c:pt idx="0">
                  <c:v>48.96</c:v>
                </c:pt>
                <c:pt idx="1">
                  <c:v>12.5</c:v>
                </c:pt>
                <c:pt idx="2">
                  <c:v>10.42</c:v>
                </c:pt>
                <c:pt idx="3">
                  <c:v>8.33</c:v>
                </c:pt>
                <c:pt idx="4">
                  <c:v>7.29</c:v>
                </c:pt>
                <c:pt idx="5">
                  <c:v>4.17</c:v>
                </c:pt>
                <c:pt idx="6">
                  <c:v>4.17</c:v>
                </c:pt>
                <c:pt idx="7">
                  <c:v>4.17</c:v>
                </c:pt>
                <c:pt idx="8">
                  <c:v>3.13</c:v>
                </c:pt>
                <c:pt idx="9">
                  <c:v>1.04</c:v>
                </c:pt>
                <c:pt idx="10">
                  <c:v>1.04</c:v>
                </c:pt>
                <c:pt idx="11">
                  <c:v>1.04</c:v>
                </c:pt>
              </c:numCache>
            </c:numRef>
          </c:val>
          <c:extLst>
            <c:ext xmlns:c16="http://schemas.microsoft.com/office/drawing/2014/chart" uri="{C3380CC4-5D6E-409C-BE32-E72D297353CC}">
              <c16:uniqueId val="{0000000C-D6A6-4E3B-8A39-52A8945381AE}"/>
            </c:ext>
          </c:extLst>
        </c:ser>
        <c:dLbls>
          <c:dLblPos val="outEnd"/>
          <c:showLegendKey val="0"/>
          <c:showVal val="1"/>
          <c:showCatName val="0"/>
          <c:showSerName val="0"/>
          <c:showPercent val="0"/>
          <c:showBubbleSize val="0"/>
        </c:dLbls>
        <c:gapWidth val="182"/>
        <c:axId val="603189928"/>
        <c:axId val="603189536"/>
      </c:barChart>
      <c:catAx>
        <c:axId val="603189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3189536"/>
        <c:crosses val="autoZero"/>
        <c:auto val="1"/>
        <c:lblAlgn val="ctr"/>
        <c:lblOffset val="100"/>
        <c:noMultiLvlLbl val="0"/>
      </c:catAx>
      <c:valAx>
        <c:axId val="603189536"/>
        <c:scaling>
          <c:orientation val="minMax"/>
          <c:max val="50"/>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SN"/>
                  <a:t>Percent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2700">
            <a:solidFill>
              <a:schemeClr val="tx1"/>
            </a:solidFill>
            <a:tailEnd type="arrow"/>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3189928"/>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493225065616798"/>
          <c:y val="4.9497293116782679E-2"/>
          <c:w val="0.59694274934383207"/>
          <c:h val="0.8571770696044968"/>
        </c:manualLayout>
      </c:layout>
      <c:barChart>
        <c:barDir val="bar"/>
        <c:grouping val="clustered"/>
        <c:varyColors val="0"/>
        <c:ser>
          <c:idx val="0"/>
          <c:order val="0"/>
          <c:tx>
            <c:strRef>
              <c:f>Feuil1!$B$1</c:f>
              <c:strCache>
                <c:ptCount val="1"/>
                <c:pt idx="0">
                  <c:v>Série 1</c:v>
                </c:pt>
              </c:strCache>
            </c:strRef>
          </c:tx>
          <c:spPr>
            <a:solidFill>
              <a:schemeClr val="accent1"/>
            </a:solidFill>
            <a:ln>
              <a:noFill/>
            </a:ln>
            <a:effectLst/>
          </c:spPr>
          <c:invertIfNegative val="0"/>
          <c:dLbls>
            <c:dLbl>
              <c:idx val="0"/>
              <c:tx>
                <c:rich>
                  <a:bodyPr/>
                  <a:lstStyle/>
                  <a:p>
                    <a:r>
                      <a:rPr lang="en-US"/>
                      <a:t>97.92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920-45DB-BDCE-50B8E2DD817C}"/>
                </c:ext>
              </c:extLst>
            </c:dLbl>
            <c:dLbl>
              <c:idx val="1"/>
              <c:tx>
                <c:rich>
                  <a:bodyPr/>
                  <a:lstStyle/>
                  <a:p>
                    <a:r>
                      <a:rPr lang="en-US"/>
                      <a:t>86.46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920-45DB-BDCE-50B8E2DD817C}"/>
                </c:ext>
              </c:extLst>
            </c:dLbl>
            <c:dLbl>
              <c:idx val="2"/>
              <c:tx>
                <c:rich>
                  <a:bodyPr/>
                  <a:lstStyle/>
                  <a:p>
                    <a:r>
                      <a:rPr lang="en-US"/>
                      <a:t>46.88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920-45DB-BDCE-50B8E2DD817C}"/>
                </c:ext>
              </c:extLst>
            </c:dLbl>
            <c:dLbl>
              <c:idx val="3"/>
              <c:tx>
                <c:rich>
                  <a:bodyPr/>
                  <a:lstStyle/>
                  <a:p>
                    <a:r>
                      <a:rPr lang="en-US"/>
                      <a:t>34.38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20-45DB-BDCE-50B8E2DD817C}"/>
                </c:ext>
              </c:extLst>
            </c:dLbl>
            <c:dLbl>
              <c:idx val="4"/>
              <c:tx>
                <c:rich>
                  <a:bodyPr/>
                  <a:lstStyle/>
                  <a:p>
                    <a:r>
                      <a:rPr lang="en-US"/>
                      <a:t>27.08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920-45DB-BDCE-50B8E2DD817C}"/>
                </c:ext>
              </c:extLst>
            </c:dLbl>
            <c:dLbl>
              <c:idx val="5"/>
              <c:tx>
                <c:rich>
                  <a:bodyPr/>
                  <a:lstStyle/>
                  <a:p>
                    <a:r>
                      <a:rPr lang="en-US"/>
                      <a:t>18.75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920-45DB-BDCE-50B8E2DD817C}"/>
                </c:ext>
              </c:extLst>
            </c:dLbl>
            <c:dLbl>
              <c:idx val="6"/>
              <c:tx>
                <c:rich>
                  <a:bodyPr/>
                  <a:lstStyle/>
                  <a:p>
                    <a:r>
                      <a:rPr lang="en-US"/>
                      <a:t>15.63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920-45DB-BDCE-50B8E2DD817C}"/>
                </c:ext>
              </c:extLst>
            </c:dLbl>
            <c:dLbl>
              <c:idx val="7"/>
              <c:tx>
                <c:rich>
                  <a:bodyPr/>
                  <a:lstStyle/>
                  <a:p>
                    <a:r>
                      <a:rPr lang="en-US"/>
                      <a:t>14.58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920-45DB-BDCE-50B8E2DD817C}"/>
                </c:ext>
              </c:extLst>
            </c:dLbl>
            <c:dLbl>
              <c:idx val="8"/>
              <c:tx>
                <c:rich>
                  <a:bodyPr/>
                  <a:lstStyle/>
                  <a:p>
                    <a:r>
                      <a:rPr lang="en-US"/>
                      <a:t>14.54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920-45DB-BDCE-50B8E2DD817C}"/>
                </c:ext>
              </c:extLst>
            </c:dLbl>
            <c:dLbl>
              <c:idx val="9"/>
              <c:tx>
                <c:rich>
                  <a:bodyPr/>
                  <a:lstStyle/>
                  <a:p>
                    <a:r>
                      <a:rPr lang="en-US"/>
                      <a:t>13.54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20-45DB-BDCE-50B8E2DD817C}"/>
                </c:ext>
              </c:extLst>
            </c:dLbl>
            <c:dLbl>
              <c:idx val="10"/>
              <c:tx>
                <c:rich>
                  <a:bodyPr/>
                  <a:lstStyle/>
                  <a:p>
                    <a:r>
                      <a:rPr lang="en-US"/>
                      <a:t>12.55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920-45DB-BDCE-50B8E2DD817C}"/>
                </c:ext>
              </c:extLst>
            </c:dLbl>
            <c:dLbl>
              <c:idx val="11"/>
              <c:tx>
                <c:rich>
                  <a:bodyPr/>
                  <a:lstStyle/>
                  <a:p>
                    <a:r>
                      <a:rPr lang="en-US"/>
                      <a:t>7.29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20-45DB-BDCE-50B8E2DD817C}"/>
                </c:ext>
              </c:extLst>
            </c:dLbl>
            <c:dLbl>
              <c:idx val="12"/>
              <c:tx>
                <c:rich>
                  <a:bodyPr/>
                  <a:lstStyle/>
                  <a:p>
                    <a:r>
                      <a:rPr lang="en-US"/>
                      <a:t>4.17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920-45DB-BDCE-50B8E2DD817C}"/>
                </c:ext>
              </c:extLst>
            </c:dLbl>
            <c:dLbl>
              <c:idx val="13"/>
              <c:tx>
                <c:rich>
                  <a:bodyPr/>
                  <a:lstStyle/>
                  <a:p>
                    <a:r>
                      <a:rPr lang="en-US"/>
                      <a:t>3.12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52-4DCC-B9FB-5DF51F10F845}"/>
                </c:ext>
              </c:extLst>
            </c:dLbl>
            <c:dLbl>
              <c:idx val="14"/>
              <c:tx>
                <c:rich>
                  <a:bodyPr/>
                  <a:lstStyle/>
                  <a:p>
                    <a:r>
                      <a:rPr lang="en-US"/>
                      <a:t>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52-4DCC-B9FB-5DF51F10F845}"/>
                </c:ext>
              </c:extLst>
            </c:dLbl>
            <c:dLbl>
              <c:idx val="15"/>
              <c:tx>
                <c:rich>
                  <a:bodyPr/>
                  <a:lstStyle/>
                  <a:p>
                    <a:r>
                      <a:rPr lang="en-US"/>
                      <a:t>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B9-4058-9E30-E40F654C9910}"/>
                </c:ext>
              </c:extLst>
            </c:dLbl>
            <c:dLbl>
              <c:idx val="16"/>
              <c:tx>
                <c:rich>
                  <a:bodyPr/>
                  <a:lstStyle/>
                  <a:p>
                    <a:r>
                      <a:rPr lang="en-US"/>
                      <a:t>1.04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B9-4058-9E30-E40F654C991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Feuil1!$A$2:$A$18</c:f>
              <c:strCache>
                <c:ptCount val="17"/>
                <c:pt idx="0">
                  <c:v>Fever</c:v>
                </c:pt>
                <c:pt idx="1">
                  <c:v>Generalized weakness </c:v>
                </c:pt>
                <c:pt idx="2">
                  <c:v>Cough</c:v>
                </c:pt>
                <c:pt idx="3">
                  <c:v>Lymphadenopathy</c:v>
                </c:pt>
                <c:pt idx="4">
                  <c:v>Dyspnea</c:v>
                </c:pt>
                <c:pt idx="5">
                  <c:v>Coma</c:v>
                </c:pt>
                <c:pt idx="6">
                  <c:v>Chest pain</c:v>
                </c:pt>
                <c:pt idx="7">
                  <c:v>Vomiting</c:v>
                </c:pt>
                <c:pt idx="8">
                  <c:v>Diarrhea</c:v>
                </c:pt>
                <c:pt idx="9">
                  <c:v>Meningeal syndrome</c:v>
                </c:pt>
                <c:pt idx="10">
                  <c:v>Abdominal pain</c:v>
                </c:pt>
                <c:pt idx="11">
                  <c:v>Cranial nerve palsy</c:v>
                </c:pt>
                <c:pt idx="12">
                  <c:v>Hepatomegaly</c:v>
                </c:pt>
                <c:pt idx="13">
                  <c:v>Hemoptysis</c:v>
                </c:pt>
                <c:pt idx="14">
                  <c:v>Ascites</c:v>
                </c:pt>
                <c:pt idx="15">
                  <c:v>Back pain</c:v>
                </c:pt>
                <c:pt idx="16">
                  <c:v>Signs of spinal cord compression</c:v>
                </c:pt>
              </c:strCache>
            </c:strRef>
          </c:cat>
          <c:val>
            <c:numRef>
              <c:f>Feuil1!$B$2:$B$18</c:f>
              <c:numCache>
                <c:formatCode>0.00</c:formatCode>
                <c:ptCount val="17"/>
                <c:pt idx="0">
                  <c:v>97.92</c:v>
                </c:pt>
                <c:pt idx="1">
                  <c:v>86.46</c:v>
                </c:pt>
                <c:pt idx="2">
                  <c:v>46.88</c:v>
                </c:pt>
                <c:pt idx="3">
                  <c:v>34.380000000000003</c:v>
                </c:pt>
                <c:pt idx="4">
                  <c:v>27.08</c:v>
                </c:pt>
                <c:pt idx="5">
                  <c:v>18.75</c:v>
                </c:pt>
                <c:pt idx="6">
                  <c:v>15.63</c:v>
                </c:pt>
                <c:pt idx="7">
                  <c:v>14.58</c:v>
                </c:pt>
                <c:pt idx="8">
                  <c:v>14.54</c:v>
                </c:pt>
                <c:pt idx="9">
                  <c:v>13.54</c:v>
                </c:pt>
                <c:pt idx="10">
                  <c:v>12.55</c:v>
                </c:pt>
                <c:pt idx="11">
                  <c:v>7.29</c:v>
                </c:pt>
                <c:pt idx="12">
                  <c:v>4.17</c:v>
                </c:pt>
                <c:pt idx="13">
                  <c:v>3.12</c:v>
                </c:pt>
                <c:pt idx="14">
                  <c:v>2.08</c:v>
                </c:pt>
                <c:pt idx="15">
                  <c:v>2.08</c:v>
                </c:pt>
                <c:pt idx="16">
                  <c:v>1.04</c:v>
                </c:pt>
              </c:numCache>
            </c:numRef>
          </c:val>
          <c:extLst>
            <c:ext xmlns:c16="http://schemas.microsoft.com/office/drawing/2014/chart" uri="{C3380CC4-5D6E-409C-BE32-E72D297353CC}">
              <c16:uniqueId val="{00000000-0920-45DB-BDCE-50B8E2DD817C}"/>
            </c:ext>
          </c:extLst>
        </c:ser>
        <c:dLbls>
          <c:showLegendKey val="0"/>
          <c:showVal val="0"/>
          <c:showCatName val="0"/>
          <c:showSerName val="0"/>
          <c:showPercent val="0"/>
          <c:showBubbleSize val="0"/>
        </c:dLbls>
        <c:gapWidth val="182"/>
        <c:axId val="1468041519"/>
        <c:axId val="1289565199"/>
      </c:barChart>
      <c:catAx>
        <c:axId val="14680415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9565199"/>
        <c:crosses val="autoZero"/>
        <c:auto val="1"/>
        <c:lblAlgn val="ctr"/>
        <c:lblOffset val="100"/>
        <c:noMultiLvlLbl val="0"/>
      </c:catAx>
      <c:valAx>
        <c:axId val="12895651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ysClr val="windowText" lastClr="000000"/>
                    </a:solidFill>
                    <a:latin typeface="Times New Roman" panose="02020603050405020304" pitchFamily="18" charset="0"/>
                    <a:cs typeface="Times New Roman" panose="02020603050405020304" pitchFamily="18" charset="0"/>
                  </a:rPr>
                  <a:t>Percent (%)</a:t>
                </a:r>
              </a:p>
            </c:rich>
          </c:tx>
          <c:layout>
            <c:manualLayout>
              <c:xMode val="edge"/>
              <c:yMode val="edge"/>
              <c:x val="0.56991108923884515"/>
              <c:y val="0.951931330472102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solidFill>
            <a:schemeClr val="bg1"/>
          </a:solidFill>
          <a:ln w="12700">
            <a:solidFill>
              <a:schemeClr val="tx1"/>
            </a:solidFill>
            <a:tailEnd type="arrow"/>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8041519"/>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65197-C818-4D10-833C-C9BF6D05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4515</Words>
  <Characters>25737</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Aboubakar Sidikh BADIANE</dc:creator>
  <cp:keywords/>
  <dc:description/>
  <cp:lastModifiedBy>SDI 1166</cp:lastModifiedBy>
  <cp:revision>20</cp:revision>
  <dcterms:created xsi:type="dcterms:W3CDTF">2026-05-01T10:04:00Z</dcterms:created>
  <dcterms:modified xsi:type="dcterms:W3CDTF">2026-05-02T09:52:00Z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400511a2-7599-431f-8eea-c20384520bc9</vt:lpwstr>
  </property>
  <property fmtid="{D5CDD505-2E9C-101B-9397-08002B2CF9AE}" pid="3" name="ZOTERO_PREF_1">
    <vt:lpwstr>&lt;data data-version="3" zotero-version="7.0.32"&gt;&lt;session id="MtiKmlwK"/&gt;&lt;style id="http://www.zotero.org/styles/nlm-citation-sequence-brackets" locale="fr-FR" hasBibliography="1" bibliographyStyleHasBeenSet="0"/&gt;&lt;prefs&gt;&lt;pref name="fieldType" value="Field"/</vt:lpwstr>
  </property>
  <property fmtid="{D5CDD505-2E9C-101B-9397-08002B2CF9AE}" pid="4" name="ZOTERO_PREF_2">
    <vt:lpwstr>&gt;&lt;/prefs&gt;&lt;/data&gt;</vt:lpwstr>
  </property>
</Properties>
</file>