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DF8CA" w14:textId="77777777" w:rsidR="00F41DA3" w:rsidRDefault="00B93071" w:rsidP="00B93071">
      <w:pPr>
        <w:tabs>
          <w:tab w:val="left" w:pos="4176"/>
        </w:tabs>
        <w:spacing w:line="240" w:lineRule="auto"/>
        <w:jc w:val="both"/>
        <w:rPr>
          <w:rFonts w:ascii="Times New Roman" w:hAnsi="Times New Roman"/>
          <w:i/>
          <w:iCs/>
          <w:sz w:val="24"/>
          <w:szCs w:val="24"/>
        </w:rPr>
      </w:pPr>
      <w:r w:rsidRPr="00B93071">
        <w:rPr>
          <w:rFonts w:ascii="Times New Roman" w:hAnsi="Times New Roman"/>
          <w:sz w:val="24"/>
          <w:szCs w:val="24"/>
        </w:rPr>
        <w:t xml:space="preserve">Qualitative and Quantitative Phytochemical Profiling of Selected Medicinal Plants: </w:t>
      </w:r>
      <w:r w:rsidRPr="00B93071">
        <w:rPr>
          <w:rFonts w:ascii="Times New Roman" w:hAnsi="Times New Roman"/>
          <w:i/>
          <w:iCs/>
          <w:sz w:val="24"/>
          <w:szCs w:val="24"/>
        </w:rPr>
        <w:t>Emilia sonchifolia</w:t>
      </w:r>
      <w:r w:rsidRPr="00B93071">
        <w:rPr>
          <w:rFonts w:ascii="Times New Roman" w:hAnsi="Times New Roman"/>
          <w:sz w:val="24"/>
          <w:szCs w:val="24"/>
        </w:rPr>
        <w:t xml:space="preserve">, </w:t>
      </w:r>
      <w:r w:rsidRPr="00B93071">
        <w:rPr>
          <w:rFonts w:ascii="Times New Roman" w:hAnsi="Times New Roman"/>
          <w:i/>
          <w:iCs/>
          <w:sz w:val="24"/>
          <w:szCs w:val="24"/>
        </w:rPr>
        <w:t>Bridelia ferruginea</w:t>
      </w:r>
      <w:r w:rsidRPr="00B93071">
        <w:rPr>
          <w:rFonts w:ascii="Times New Roman" w:hAnsi="Times New Roman"/>
          <w:sz w:val="24"/>
          <w:szCs w:val="24"/>
        </w:rPr>
        <w:t xml:space="preserve">, and </w:t>
      </w:r>
      <w:r w:rsidRPr="00B93071">
        <w:rPr>
          <w:rFonts w:ascii="Times New Roman" w:hAnsi="Times New Roman"/>
          <w:i/>
          <w:iCs/>
          <w:sz w:val="24"/>
          <w:szCs w:val="24"/>
        </w:rPr>
        <w:t xml:space="preserve">Rhizophora </w:t>
      </w:r>
      <w:r>
        <w:rPr>
          <w:rFonts w:ascii="Times New Roman" w:hAnsi="Times New Roman"/>
          <w:i/>
          <w:iCs/>
          <w:sz w:val="24"/>
          <w:szCs w:val="24"/>
        </w:rPr>
        <w:t>racemosa</w:t>
      </w:r>
    </w:p>
    <w:p w14:paraId="63C9976F" w14:textId="77777777" w:rsidR="00034B2D" w:rsidRDefault="00034B2D" w:rsidP="00B93071">
      <w:pPr>
        <w:tabs>
          <w:tab w:val="left" w:pos="4176"/>
        </w:tabs>
        <w:spacing w:line="240" w:lineRule="auto"/>
        <w:jc w:val="both"/>
        <w:rPr>
          <w:rFonts w:ascii="Times New Roman" w:hAnsi="Times New Roman"/>
          <w:iCs/>
          <w:sz w:val="24"/>
          <w:szCs w:val="24"/>
        </w:rPr>
      </w:pPr>
    </w:p>
    <w:p w14:paraId="312C5BCB" w14:textId="77777777" w:rsidR="00034B2D" w:rsidRDefault="00034B2D" w:rsidP="00B93071">
      <w:pPr>
        <w:tabs>
          <w:tab w:val="left" w:pos="4176"/>
        </w:tabs>
        <w:spacing w:line="240" w:lineRule="auto"/>
        <w:jc w:val="both"/>
        <w:rPr>
          <w:rFonts w:ascii="Times New Roman" w:hAnsi="Times New Roman"/>
          <w:b/>
          <w:bCs/>
          <w:sz w:val="24"/>
          <w:szCs w:val="24"/>
        </w:rPr>
      </w:pPr>
    </w:p>
    <w:p w14:paraId="0824CFFE" w14:textId="77777777" w:rsidR="00DE3031" w:rsidRDefault="00DE3031" w:rsidP="00B93071">
      <w:pPr>
        <w:tabs>
          <w:tab w:val="left" w:pos="4176"/>
        </w:tabs>
        <w:spacing w:line="240" w:lineRule="auto"/>
        <w:jc w:val="both"/>
        <w:rPr>
          <w:rFonts w:ascii="Times New Roman" w:hAnsi="Times New Roman"/>
          <w:b/>
          <w:bCs/>
          <w:sz w:val="24"/>
          <w:szCs w:val="24"/>
        </w:rPr>
      </w:pPr>
    </w:p>
    <w:p w14:paraId="21DECBAE" w14:textId="71D15E8A" w:rsidR="00B93071" w:rsidRPr="00B93071" w:rsidRDefault="00B93071" w:rsidP="00B93071">
      <w:pPr>
        <w:tabs>
          <w:tab w:val="left" w:pos="4176"/>
        </w:tabs>
        <w:spacing w:line="240" w:lineRule="auto"/>
        <w:jc w:val="both"/>
        <w:rPr>
          <w:rFonts w:ascii="Times New Roman" w:hAnsi="Times New Roman"/>
          <w:b/>
          <w:bCs/>
          <w:sz w:val="24"/>
          <w:szCs w:val="24"/>
        </w:rPr>
      </w:pPr>
      <w:r w:rsidRPr="00B93071">
        <w:rPr>
          <w:rFonts w:ascii="Times New Roman" w:hAnsi="Times New Roman"/>
          <w:b/>
          <w:bCs/>
          <w:sz w:val="24"/>
          <w:szCs w:val="24"/>
        </w:rPr>
        <w:t>Abstract</w:t>
      </w:r>
    </w:p>
    <w:p w14:paraId="7B3884A2" w14:textId="77777777" w:rsidR="00B93071" w:rsidRDefault="00B93071" w:rsidP="00B93071">
      <w:pPr>
        <w:tabs>
          <w:tab w:val="left" w:pos="4176"/>
        </w:tabs>
        <w:spacing w:line="240" w:lineRule="auto"/>
        <w:jc w:val="both"/>
        <w:rPr>
          <w:rFonts w:ascii="Times New Roman" w:hAnsi="Times New Roman"/>
          <w:sz w:val="24"/>
          <w:szCs w:val="24"/>
        </w:rPr>
      </w:pPr>
      <w:r w:rsidRPr="00B93071">
        <w:rPr>
          <w:rFonts w:ascii="Times New Roman" w:hAnsi="Times New Roman"/>
          <w:sz w:val="24"/>
          <w:szCs w:val="24"/>
        </w:rPr>
        <w:t xml:space="preserve">Medicinal plants remain a vital source of bioactive compounds with significant therapeutic potential, particularly in regions where traditional medicine is widely practiced. This study aimed to evaluate the qualitative and quantitative phytochemical composition of aqueous extracts of </w:t>
      </w:r>
      <w:r w:rsidRPr="00B93071">
        <w:rPr>
          <w:rFonts w:ascii="Times New Roman" w:hAnsi="Times New Roman"/>
          <w:i/>
          <w:iCs/>
          <w:sz w:val="24"/>
          <w:szCs w:val="24"/>
        </w:rPr>
        <w:t>Emilia sonchifolia</w:t>
      </w:r>
      <w:r w:rsidRPr="00B93071">
        <w:rPr>
          <w:rFonts w:ascii="Times New Roman" w:hAnsi="Times New Roman"/>
          <w:sz w:val="24"/>
          <w:szCs w:val="24"/>
        </w:rPr>
        <w:t xml:space="preserve"> leaves, </w:t>
      </w:r>
      <w:r w:rsidRPr="00B93071">
        <w:rPr>
          <w:rFonts w:ascii="Times New Roman" w:hAnsi="Times New Roman"/>
          <w:i/>
          <w:iCs/>
          <w:sz w:val="24"/>
          <w:szCs w:val="24"/>
        </w:rPr>
        <w:t>Bridelia ferruginea</w:t>
      </w:r>
      <w:r w:rsidRPr="00B93071">
        <w:rPr>
          <w:rFonts w:ascii="Times New Roman" w:hAnsi="Times New Roman"/>
          <w:sz w:val="24"/>
          <w:szCs w:val="24"/>
        </w:rPr>
        <w:t xml:space="preserve"> leaves, and </w:t>
      </w:r>
      <w:r w:rsidRPr="00B93071">
        <w:rPr>
          <w:rFonts w:ascii="Times New Roman" w:hAnsi="Times New Roman"/>
          <w:i/>
          <w:iCs/>
          <w:sz w:val="24"/>
          <w:szCs w:val="24"/>
        </w:rPr>
        <w:t>Rhizophora racemosa</w:t>
      </w:r>
      <w:r w:rsidRPr="00B93071">
        <w:rPr>
          <w:rFonts w:ascii="Times New Roman" w:hAnsi="Times New Roman"/>
          <w:sz w:val="24"/>
          <w:szCs w:val="24"/>
        </w:rPr>
        <w:t xml:space="preserve"> stem bark in order to provide scientific evidence supporting their ethnomedicinal uses. Standard phytochemical screening methods were employed to identify major classes of secondary metabolites, while spectrophotometric and gravimetric techniques were used for quantitative determination of total phenolics, flavonoids, alkaloids, saponins, and tannins.</w:t>
      </w:r>
      <w:r>
        <w:rPr>
          <w:rFonts w:ascii="Times New Roman" w:hAnsi="Times New Roman"/>
          <w:sz w:val="24"/>
          <w:szCs w:val="24"/>
        </w:rPr>
        <w:t xml:space="preserve"> </w:t>
      </w:r>
      <w:r w:rsidRPr="00B93071">
        <w:rPr>
          <w:rFonts w:ascii="Times New Roman" w:hAnsi="Times New Roman"/>
          <w:sz w:val="24"/>
          <w:szCs w:val="24"/>
        </w:rPr>
        <w:t xml:space="preserve">Qualitative analysis revealed the presence of key phytochemicals including flavonoids, alkaloids, saponins, tannins, glycosides, terpenoids, steroids, carbohydrates, and proteins across the </w:t>
      </w:r>
      <w:proofErr w:type="gramStart"/>
      <w:r w:rsidRPr="00B93071">
        <w:rPr>
          <w:rFonts w:ascii="Times New Roman" w:hAnsi="Times New Roman"/>
          <w:sz w:val="24"/>
          <w:szCs w:val="24"/>
        </w:rPr>
        <w:t>three plant</w:t>
      </w:r>
      <w:proofErr w:type="gramEnd"/>
      <w:r w:rsidRPr="00B93071">
        <w:rPr>
          <w:rFonts w:ascii="Times New Roman" w:hAnsi="Times New Roman"/>
          <w:sz w:val="24"/>
          <w:szCs w:val="24"/>
        </w:rPr>
        <w:t xml:space="preserve"> species, with notable variations in their distribution. Quantitative results showed that </w:t>
      </w:r>
      <w:r w:rsidRPr="00B93071">
        <w:rPr>
          <w:rFonts w:ascii="Times New Roman" w:hAnsi="Times New Roman"/>
          <w:i/>
          <w:iCs/>
          <w:sz w:val="24"/>
          <w:szCs w:val="24"/>
        </w:rPr>
        <w:t>E. sonchifolia</w:t>
      </w:r>
      <w:r w:rsidRPr="00B93071">
        <w:rPr>
          <w:rFonts w:ascii="Times New Roman" w:hAnsi="Times New Roman"/>
          <w:sz w:val="24"/>
          <w:szCs w:val="24"/>
        </w:rPr>
        <w:t xml:space="preserve"> possessed the highest levels of total phenolics (166.07 ± 1.88 mg GAE/g) and flavonoids (287.18 ± 8.42 mg QE/g), indicating strong antioxidant potential. </w:t>
      </w:r>
      <w:r w:rsidRPr="00B93071">
        <w:rPr>
          <w:rFonts w:ascii="Times New Roman" w:hAnsi="Times New Roman"/>
          <w:i/>
          <w:iCs/>
          <w:sz w:val="24"/>
          <w:szCs w:val="24"/>
        </w:rPr>
        <w:t>R. racemosa</w:t>
      </w:r>
      <w:r w:rsidRPr="00B93071">
        <w:rPr>
          <w:rFonts w:ascii="Times New Roman" w:hAnsi="Times New Roman"/>
          <w:sz w:val="24"/>
          <w:szCs w:val="24"/>
        </w:rPr>
        <w:t xml:space="preserve"> exhibited the highest concentrations of saponins (133.75 ± 1.34 mg/100 g), tannins (212.36 ± 3.40 mg GAE/g), and alkaloids (126.78 ± 1.39 mg AE/g), suggesting potent antimicrobial and immunomodulatory properties. </w:t>
      </w:r>
      <w:r w:rsidRPr="00B93071">
        <w:rPr>
          <w:rFonts w:ascii="Times New Roman" w:hAnsi="Times New Roman"/>
          <w:i/>
          <w:iCs/>
          <w:sz w:val="24"/>
          <w:szCs w:val="24"/>
        </w:rPr>
        <w:t>B. ferruginea</w:t>
      </w:r>
      <w:r w:rsidRPr="00B93071">
        <w:rPr>
          <w:rFonts w:ascii="Times New Roman" w:hAnsi="Times New Roman"/>
          <w:sz w:val="24"/>
          <w:szCs w:val="24"/>
        </w:rPr>
        <w:t xml:space="preserve"> demonstrated moderate but balanced levels of phytochemicals, particularly alkaloids and carbohydrates, supporting its combined nutritional and medicinal relevance.</w:t>
      </w:r>
      <w:r>
        <w:rPr>
          <w:rFonts w:ascii="Times New Roman" w:hAnsi="Times New Roman"/>
          <w:sz w:val="24"/>
          <w:szCs w:val="24"/>
        </w:rPr>
        <w:t xml:space="preserve"> </w:t>
      </w:r>
      <w:r w:rsidRPr="00B93071">
        <w:rPr>
          <w:rFonts w:ascii="Times New Roman" w:hAnsi="Times New Roman"/>
          <w:sz w:val="24"/>
          <w:szCs w:val="24"/>
        </w:rPr>
        <w:t>Overall, the study highlights significant interspecies variation in phytochemical composition, which may influence the biological activities and therapeutic applications of these plants. The findings provide a scientific basis for their traditional uses and underscore their potential as sources of natural bioactive compounds. Further studies focusing on the isolation, characterization, and pharmacological evaluation of individual constituents are recommended to fully explore their medicinal potential.</w:t>
      </w:r>
    </w:p>
    <w:p w14:paraId="4245446C" w14:textId="77777777" w:rsidR="00B93071" w:rsidRPr="00B93071" w:rsidRDefault="009D0F6E" w:rsidP="00B93071">
      <w:pPr>
        <w:tabs>
          <w:tab w:val="left" w:pos="4176"/>
        </w:tabs>
        <w:spacing w:line="240" w:lineRule="auto"/>
        <w:jc w:val="both"/>
        <w:rPr>
          <w:rFonts w:ascii="Times New Roman" w:hAnsi="Times New Roman"/>
          <w:sz w:val="24"/>
          <w:szCs w:val="24"/>
        </w:rPr>
      </w:pPr>
      <w:r>
        <w:rPr>
          <w:rFonts w:ascii="Times New Roman" w:hAnsi="Times New Roman"/>
          <w:sz w:val="24"/>
          <w:szCs w:val="24"/>
        </w:rPr>
        <w:t xml:space="preserve">Keywords: </w:t>
      </w:r>
      <w:r w:rsidR="001360BF" w:rsidRPr="001360BF">
        <w:rPr>
          <w:rFonts w:ascii="Times New Roman" w:hAnsi="Times New Roman"/>
          <w:i/>
          <w:iCs/>
          <w:sz w:val="24"/>
          <w:szCs w:val="24"/>
        </w:rPr>
        <w:t>Emilia sonchifolia</w:t>
      </w:r>
      <w:r w:rsidR="001360BF" w:rsidRPr="001360BF">
        <w:rPr>
          <w:rFonts w:ascii="Times New Roman" w:hAnsi="Times New Roman"/>
          <w:sz w:val="24"/>
          <w:szCs w:val="24"/>
        </w:rPr>
        <w:t>, </w:t>
      </w:r>
      <w:r w:rsidR="001360BF" w:rsidRPr="001360BF">
        <w:rPr>
          <w:rFonts w:ascii="Times New Roman" w:hAnsi="Times New Roman"/>
          <w:i/>
          <w:iCs/>
          <w:sz w:val="24"/>
          <w:szCs w:val="24"/>
        </w:rPr>
        <w:t>Bridelia ferruginea</w:t>
      </w:r>
      <w:r w:rsidR="001360BF" w:rsidRPr="001360BF">
        <w:rPr>
          <w:rFonts w:ascii="Times New Roman" w:hAnsi="Times New Roman"/>
          <w:sz w:val="24"/>
          <w:szCs w:val="24"/>
        </w:rPr>
        <w:t>, </w:t>
      </w:r>
      <w:r w:rsidR="00D265AA" w:rsidRPr="00D265AA">
        <w:rPr>
          <w:rFonts w:ascii="Times New Roman" w:hAnsi="Times New Roman"/>
          <w:i/>
          <w:iCs/>
          <w:sz w:val="24"/>
          <w:szCs w:val="24"/>
        </w:rPr>
        <w:t>Rhizophora racemosa</w:t>
      </w:r>
      <w:r w:rsidR="001360BF">
        <w:rPr>
          <w:rFonts w:ascii="Times New Roman" w:hAnsi="Times New Roman"/>
          <w:i/>
          <w:iCs/>
          <w:sz w:val="24"/>
          <w:szCs w:val="24"/>
        </w:rPr>
        <w:t xml:space="preserve">, </w:t>
      </w:r>
      <w:r w:rsidR="001360BF">
        <w:rPr>
          <w:rFonts w:ascii="Times New Roman" w:hAnsi="Times New Roman"/>
          <w:sz w:val="24"/>
          <w:szCs w:val="24"/>
        </w:rPr>
        <w:t>p</w:t>
      </w:r>
      <w:r>
        <w:rPr>
          <w:rFonts w:ascii="Times New Roman" w:hAnsi="Times New Roman"/>
          <w:sz w:val="24"/>
          <w:szCs w:val="24"/>
        </w:rPr>
        <w:t>hytochemicals, phenolics, alkaloids, saponins, glycosides.</w:t>
      </w:r>
    </w:p>
    <w:p w14:paraId="765EA997" w14:textId="77777777" w:rsidR="00E12A2B" w:rsidRPr="00E12A2B" w:rsidRDefault="00F41DA3" w:rsidP="00E12A2B">
      <w:pPr>
        <w:tabs>
          <w:tab w:val="left" w:pos="4176"/>
        </w:tabs>
        <w:spacing w:line="240" w:lineRule="auto"/>
        <w:jc w:val="both"/>
        <w:rPr>
          <w:rFonts w:ascii="Times New Roman" w:hAnsi="Times New Roman"/>
          <w:b/>
          <w:bCs/>
          <w:sz w:val="24"/>
          <w:szCs w:val="24"/>
        </w:rPr>
      </w:pPr>
      <w:r w:rsidRPr="00F41DA3">
        <w:rPr>
          <w:rFonts w:ascii="Times New Roman" w:hAnsi="Times New Roman"/>
          <w:b/>
          <w:bCs/>
          <w:sz w:val="24"/>
          <w:szCs w:val="24"/>
        </w:rPr>
        <w:t>Introduction</w:t>
      </w:r>
    </w:p>
    <w:p w14:paraId="4B35071B"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Medicinal plants remain indispensable in global healthcare delivery, especially in developing nations where access to synthetic medicines is often limited or unaffordable. A large segment of the world’s population continues to rely on herbal remedies as a primary means of treatment and disease management. In recent years, scientific interest in medicinal plants has increased considerably because they contain structurally diverse natural compounds that serve as templates for the development of modern therapeutic agents, including antimicrobial, anticancer, and antimalarial drugs (Atanasov et al., 2021; Newman &amp; Cragg, 2020). Furthermore, the rapid increase in chronic diseases and antimicrobial resistance has intensified the search for safer and more effective bioactive compounds from natural sources.</w:t>
      </w:r>
    </w:p>
    <w:p w14:paraId="4C5E701F"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lastRenderedPageBreak/>
        <w:t>The therapeutic value of medicinal plants is primarily linked to the presence of phytochemicals, which are biologically active secondary metabolites synthesized by plants for protection and adaptation to environmental stress. These metabolites include flavonoids, alkaloids, phenolics, tannins, glycosides, saponins, and terpenoids, many of which have demonstrated important pharmacological effects such as antioxidant, antimicrobial, anti-inflammatory, antidiabetic, and anticancer activities (Yadav &amp; Meena, 2021). Consequently, phytochemical investigations are increasingly recognized as essential tools for validating traditional medicinal claims and identifying compounds with pharmaceutical potential.</w:t>
      </w:r>
    </w:p>
    <w:p w14:paraId="5E0042E1"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Evaluation of phytochemicals may involve both qualitative and quantitative approaches. Qualitative screening helps determine the classes of metabolites present in plant materials, whereas quantitative analysis measures their concentrations and relative abundance. Together, these analyses provide valuable information regarding the chemical profile of medicinal plants and their possible biological activities. Such studies also contribute to identifying factors that influence phytochemical composition, including plant species, environmental conditions, and extraction procedures (Chihomvu et al., 2024).</w:t>
      </w:r>
    </w:p>
    <w:p w14:paraId="4B12A7FA"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 xml:space="preserve">Emilia sonchifolia (L.) DC., </w:t>
      </w:r>
      <w:proofErr w:type="gramStart"/>
      <w:r w:rsidRPr="0085555A">
        <w:rPr>
          <w:rFonts w:ascii="Times New Roman" w:hAnsi="Times New Roman"/>
          <w:sz w:val="24"/>
          <w:szCs w:val="24"/>
        </w:rPr>
        <w:t>a</w:t>
      </w:r>
      <w:proofErr w:type="gramEnd"/>
      <w:r w:rsidRPr="0085555A">
        <w:rPr>
          <w:rFonts w:ascii="Times New Roman" w:hAnsi="Times New Roman"/>
          <w:sz w:val="24"/>
          <w:szCs w:val="24"/>
        </w:rPr>
        <w:t xml:space="preserve"> herbaceous plant belonging to the family Asteraceae, is commonly distributed in tropical and subtropical environments. Despite often being classified as a weed, the plant has long been employed in folkloric medicine for the treatment of fever, inflammation, wounds, and digestive disorders. Earlier investigations have identified several bioactive constituents in the plant, particularly flavonoids, alkaloids, and phenolic compounds, which may explain its antioxidant, anti-inflammatory, and antimicrobial effects (Ugwoke et al., 2021; Uche et al., 2024). Nevertheless, variations in phytochemical content have been observed across different geographical regions and extraction methods, indicating the necessity for additional studies.</w:t>
      </w:r>
    </w:p>
    <w:p w14:paraId="25C2ED6D"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Bridelia ferruginea Benth., a medicinal plant widely utilized across West Africa, belongs to the Euphorbiaceae family. Various parts of the plant are traditionally used in managing infections, diabetes, inflammatory diseases, and gastrointestinal disorders. Previous phytochemical studies have shown that the plant contains tannins, alkaloids, flavonoids, and triterpenes associated with numerous biological activities (Yeboah et al., 2022). In addition, recent findings suggest that extracts of B. ferruginea possess antioxidant and cytoprotective effects, making the plant a promising candidate for the management of disorders linked to oxidative stress (Ojo et al., 2022; Deeh et al., 2024).</w:t>
      </w:r>
    </w:p>
    <w:p w14:paraId="421B2CA3"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Mangrove species such as Rhizophora racemosa are also recognized for their medicinal importance. These plants survive under harsh saline conditions and environmental stress, factors that stimulate the synthesis of unique secondary metabolites with potent biological properties. Traditionally, R. racemosa has been used for treating wounds, infections, and inflammatory conditions. Its stem bark has been reported to contain significant amounts of tannins, flavonoids, and other phenolic substances that contribute to its antimicrobial and antioxidant activities (Sadeer et al., 2023). However, compared with many terrestrial medicinal plants, detailed phytochemical information on this species is still insufficient.</w:t>
      </w:r>
    </w:p>
    <w:p w14:paraId="278C5257"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 xml:space="preserve">Although many medicinal plants have been individually investigated, comparative phytochemical studies involving several species under similar conditions remain limited, particularly in biodiverse regions such as tropical Africa. Variations in ecological conditions, extraction techniques, and genetic differences among plant species may significantly affect metabolite </w:t>
      </w:r>
      <w:r w:rsidRPr="0085555A">
        <w:rPr>
          <w:rFonts w:ascii="Times New Roman" w:hAnsi="Times New Roman"/>
          <w:sz w:val="24"/>
          <w:szCs w:val="24"/>
        </w:rPr>
        <w:lastRenderedPageBreak/>
        <w:t>composition and biological effectiveness (Yadav &amp; Meena, 2021). Comparative analyses are therefore important for identifying species-specific phytochemical patterns and their potential therapeutic implications.</w:t>
      </w:r>
    </w:p>
    <w:p w14:paraId="4D3FA760"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Combining phytochemical profiling with pharmacological and biochemical investigations is important for understanding the mechanisms responsible for the medicinal effects of plants. Such integrated approaches may facilitate the discovery of novel bioactive compounds and promote evidence-based utilization of herbal remedies (Atanasov et al., 2021). As demand for plant-derived therapeutics continues to increase, scientifically validated information regarding the composition and biological potential of medicinal plants becomes increasingly necessary.</w:t>
      </w:r>
    </w:p>
    <w:p w14:paraId="1E04EA90"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Therefore, the present study evaluated the qualitative and quantitative phytochemical composition of aqueous extracts obtained from the leaves of Emilia sonchifolia and Bridelia ferruginea, as well as the stem bark of Rhizophora racemosa. The study aimed to compare the occurrence and concentration of important secondary metabolites in these plants in order to provide scientific support for their traditional applications and contribute to the search for bioactive compounds of therapeutic significance.</w:t>
      </w:r>
    </w:p>
    <w:p w14:paraId="0FD346A2" w14:textId="77777777" w:rsidR="005C2DC2" w:rsidRPr="00E12A2B" w:rsidRDefault="005C2DC2" w:rsidP="00B93071">
      <w:pPr>
        <w:tabs>
          <w:tab w:val="left" w:pos="4176"/>
        </w:tabs>
        <w:spacing w:line="240" w:lineRule="auto"/>
        <w:jc w:val="both"/>
        <w:rPr>
          <w:rFonts w:ascii="Times New Roman" w:hAnsi="Times New Roman"/>
          <w:sz w:val="24"/>
          <w:szCs w:val="24"/>
        </w:rPr>
      </w:pPr>
    </w:p>
    <w:p w14:paraId="3749628F" w14:textId="77777777" w:rsidR="00F41DA3" w:rsidRPr="00AE54C4" w:rsidRDefault="00C24776" w:rsidP="00B93071">
      <w:pPr>
        <w:tabs>
          <w:tab w:val="left" w:pos="4176"/>
        </w:tabs>
        <w:spacing w:line="240" w:lineRule="auto"/>
        <w:jc w:val="both"/>
        <w:rPr>
          <w:rFonts w:ascii="Times New Roman" w:hAnsi="Times New Roman"/>
          <w:b/>
          <w:sz w:val="24"/>
          <w:szCs w:val="24"/>
        </w:rPr>
      </w:pPr>
      <w:r w:rsidRPr="00AE54C4">
        <w:rPr>
          <w:rFonts w:ascii="Times New Roman" w:hAnsi="Times New Roman"/>
          <w:b/>
          <w:sz w:val="24"/>
          <w:szCs w:val="24"/>
        </w:rPr>
        <w:t>MATERIALS AND METHOD</w:t>
      </w:r>
    </w:p>
    <w:p w14:paraId="1556DA26"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Apparatus and Equipment</w:t>
      </w:r>
    </w:p>
    <w:p w14:paraId="3FFBA13F"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All analytical measurements were performed using standard laboratory instruments, including a UV–Visible spectrophotometer (Model S23A, Medifield Equipment &amp; Scientific Ltd., England), a bench centrifuge (Model BL-110, Biomedical Engineering Inc., USA), a thermostatically controlled water bath (Biomedical Engineering Inc., USA), and a precision electronic balance (Shimadzu Model 1123, Japan).</w:t>
      </w:r>
    </w:p>
    <w:p w14:paraId="3365C5A1" w14:textId="77777777" w:rsidR="000A3627" w:rsidRPr="000A3627" w:rsidRDefault="000A3627" w:rsidP="000A3627">
      <w:pPr>
        <w:tabs>
          <w:tab w:val="left" w:pos="4176"/>
        </w:tabs>
        <w:spacing w:line="240" w:lineRule="auto"/>
        <w:jc w:val="both"/>
        <w:rPr>
          <w:rFonts w:ascii="Times New Roman" w:hAnsi="Times New Roman"/>
          <w:sz w:val="24"/>
          <w:szCs w:val="24"/>
        </w:rPr>
      </w:pPr>
    </w:p>
    <w:p w14:paraId="625B7FDD"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Chemicals and Reagents</w:t>
      </w:r>
    </w:p>
    <w:p w14:paraId="6B451AF9"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All reagents utilized in this study were of analytical grade. Folin–Ciocalteu reagent, quercetin, gallic acid, Millon’s reagent, ninhydrin, Mayer’s reagent, Wagner’s reagent, and Fehling’s solutions were obtained from Loba Chemie (India). Additional reagents, including hydrochloric acid (HCl), sulfuric acid (H₂SO₄), sodium hydroxide (NaOH), sodium carbonate (Na₂CO₃), aluminium chloride (AlCl₃), and sodium chloride (NaCl), were procured from BDH Chemicals (England). Organic solvents such as ethanol, methanol, chloroform, diethyl ether, n-butanol, and acetic acid were sourced from JDH Chemicals (Bangladesh).</w:t>
      </w:r>
    </w:p>
    <w:p w14:paraId="5528AC8E" w14:textId="77777777" w:rsidR="000A3627" w:rsidRPr="000A3627" w:rsidRDefault="000A3627" w:rsidP="000A3627">
      <w:pPr>
        <w:tabs>
          <w:tab w:val="left" w:pos="4176"/>
        </w:tabs>
        <w:spacing w:line="240" w:lineRule="auto"/>
        <w:jc w:val="both"/>
        <w:rPr>
          <w:rFonts w:ascii="Times New Roman" w:hAnsi="Times New Roman"/>
          <w:sz w:val="24"/>
          <w:szCs w:val="24"/>
        </w:rPr>
      </w:pPr>
    </w:p>
    <w:p w14:paraId="1470A538"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Collection and Preparation of Plant Materials</w:t>
      </w:r>
    </w:p>
    <w:p w14:paraId="407F22D2"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 xml:space="preserve">Fresh leaves of </w:t>
      </w:r>
      <w:r w:rsidRPr="000A3627">
        <w:rPr>
          <w:rFonts w:ascii="Times New Roman" w:hAnsi="Times New Roman"/>
          <w:i/>
          <w:iCs/>
          <w:sz w:val="24"/>
          <w:szCs w:val="24"/>
        </w:rPr>
        <w:t>Emilia sonchifolia</w:t>
      </w:r>
      <w:r w:rsidRPr="000A3627">
        <w:rPr>
          <w:rFonts w:ascii="Times New Roman" w:hAnsi="Times New Roman"/>
          <w:sz w:val="24"/>
          <w:szCs w:val="24"/>
        </w:rPr>
        <w:t xml:space="preserve"> and </w:t>
      </w:r>
      <w:r w:rsidRPr="000A3627">
        <w:rPr>
          <w:rFonts w:ascii="Times New Roman" w:hAnsi="Times New Roman"/>
          <w:i/>
          <w:iCs/>
          <w:sz w:val="24"/>
          <w:szCs w:val="24"/>
        </w:rPr>
        <w:t>Bridelia ferruginea</w:t>
      </w:r>
      <w:r w:rsidRPr="000A3627">
        <w:rPr>
          <w:rFonts w:ascii="Times New Roman" w:hAnsi="Times New Roman"/>
          <w:sz w:val="24"/>
          <w:szCs w:val="24"/>
        </w:rPr>
        <w:t xml:space="preserve"> were collected from the Niger Delta University campus, Bayelsa State, Nigeria, while stem bark of </w:t>
      </w:r>
      <w:r w:rsidRPr="000A3627">
        <w:rPr>
          <w:rFonts w:ascii="Times New Roman" w:hAnsi="Times New Roman"/>
          <w:i/>
          <w:iCs/>
          <w:sz w:val="24"/>
          <w:szCs w:val="24"/>
        </w:rPr>
        <w:t>Rhizophora racemosa</w:t>
      </w:r>
      <w:r w:rsidRPr="000A3627">
        <w:rPr>
          <w:rFonts w:ascii="Times New Roman" w:hAnsi="Times New Roman"/>
          <w:sz w:val="24"/>
          <w:szCs w:val="24"/>
        </w:rPr>
        <w:t xml:space="preserve"> was obtained from Edema community in Ogbia Local Government Area. Botanical identification and authentication were carried out by Prof. Kola Ajibesin (Department of Pharmacognosy, Niger Delta University).</w:t>
      </w:r>
    </w:p>
    <w:p w14:paraId="6867A515"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lastRenderedPageBreak/>
        <w:t>The plant materials were thoroughly rinsed with clean water to remove debris and subsequently air-dried under shade at ambient temperature for approximately two weeks to prevent degradation of thermolabile constituents. The dried samples were then pulverized into fine powder using a mechanical grinder and stored in airtight containers until extraction.</w:t>
      </w:r>
    </w:p>
    <w:p w14:paraId="6B350BD0" w14:textId="77777777" w:rsidR="000A3627" w:rsidRPr="000A3627" w:rsidRDefault="000A3627" w:rsidP="000A3627">
      <w:pPr>
        <w:tabs>
          <w:tab w:val="left" w:pos="4176"/>
        </w:tabs>
        <w:spacing w:line="240" w:lineRule="auto"/>
        <w:jc w:val="both"/>
        <w:rPr>
          <w:rFonts w:ascii="Times New Roman" w:hAnsi="Times New Roman"/>
          <w:sz w:val="24"/>
          <w:szCs w:val="24"/>
        </w:rPr>
      </w:pPr>
    </w:p>
    <w:p w14:paraId="6D132E0F"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Preparation of Aqueous Extracts</w:t>
      </w:r>
    </w:p>
    <w:p w14:paraId="13DAED43"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Aqueous extraction was performed following a maceration procedure as described by standard phytochemical protocols (Harborne, 1998). Briefly, 100 g of each powdered plant material was soaked in 1 L of distilled water and allowed to stand for 72 hours with intermittent agitation to enhance extraction efficiency. The mixtures were filtered using Whatman No. 1 filter paper, and the filtrates were concentrated using a water bath maintained at 60°C. The resulting crude extracts were stored under refrigeration (4°C) until further analysis.</w:t>
      </w:r>
    </w:p>
    <w:p w14:paraId="50CCE7E6" w14:textId="77777777" w:rsidR="000A3627" w:rsidRPr="000A3627" w:rsidRDefault="000A3627" w:rsidP="000A3627">
      <w:pPr>
        <w:tabs>
          <w:tab w:val="left" w:pos="4176"/>
        </w:tabs>
        <w:spacing w:line="240" w:lineRule="auto"/>
        <w:jc w:val="both"/>
        <w:rPr>
          <w:rFonts w:ascii="Times New Roman" w:hAnsi="Times New Roman"/>
          <w:sz w:val="24"/>
          <w:szCs w:val="24"/>
        </w:rPr>
      </w:pPr>
    </w:p>
    <w:p w14:paraId="5FE9441C"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Qualitative Phytochemical Screening</w:t>
      </w:r>
    </w:p>
    <w:p w14:paraId="12E6D30C"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Preliminary phytochemical analysis was conducted to detect the presence of major classes of secondary metabolites using stand</w:t>
      </w:r>
      <w:r w:rsidR="008F3903">
        <w:rPr>
          <w:rFonts w:ascii="Times New Roman" w:hAnsi="Times New Roman"/>
          <w:sz w:val="24"/>
          <w:szCs w:val="24"/>
        </w:rPr>
        <w:t>ard procedures (</w:t>
      </w:r>
      <w:r w:rsidRPr="000A3627">
        <w:rPr>
          <w:rFonts w:ascii="Times New Roman" w:hAnsi="Times New Roman"/>
          <w:sz w:val="24"/>
          <w:szCs w:val="24"/>
        </w:rPr>
        <w:t>Trease &amp; Evans, 2009).</w:t>
      </w:r>
    </w:p>
    <w:p w14:paraId="3C3B23EA" w14:textId="77777777" w:rsidR="000A3627" w:rsidRPr="000A3627" w:rsidRDefault="008F3903" w:rsidP="000A3627">
      <w:pPr>
        <w:numPr>
          <w:ilvl w:val="0"/>
          <w:numId w:val="7"/>
        </w:numPr>
        <w:tabs>
          <w:tab w:val="left" w:pos="4176"/>
        </w:tabs>
        <w:spacing w:line="240" w:lineRule="auto"/>
        <w:jc w:val="both"/>
        <w:rPr>
          <w:rFonts w:ascii="Times New Roman" w:hAnsi="Times New Roman"/>
          <w:sz w:val="24"/>
          <w:szCs w:val="24"/>
        </w:rPr>
      </w:pPr>
      <w:r>
        <w:rPr>
          <w:rFonts w:ascii="Times New Roman" w:hAnsi="Times New Roman"/>
          <w:b/>
          <w:bCs/>
          <w:sz w:val="24"/>
          <w:szCs w:val="24"/>
        </w:rPr>
        <w:t>Proteins</w:t>
      </w:r>
      <w:r w:rsidR="000A3627" w:rsidRPr="000A3627">
        <w:rPr>
          <w:rFonts w:ascii="Times New Roman" w:hAnsi="Times New Roman"/>
          <w:b/>
          <w:bCs/>
          <w:sz w:val="24"/>
          <w:szCs w:val="24"/>
        </w:rPr>
        <w:t>:</w:t>
      </w:r>
      <w:r w:rsidR="000A3627" w:rsidRPr="000A3627">
        <w:rPr>
          <w:rFonts w:ascii="Times New Roman" w:hAnsi="Times New Roman"/>
          <w:sz w:val="24"/>
          <w:szCs w:val="24"/>
        </w:rPr>
        <w:t xml:space="preserve"> Determined using Millon’s and ninhydrin tests. A color change to red (Millon’s) or violet (ninhydrin) indicated positive results. </w:t>
      </w:r>
    </w:p>
    <w:p w14:paraId="43DD9675"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Carbohydrates:</w:t>
      </w:r>
      <w:r w:rsidRPr="000A3627">
        <w:rPr>
          <w:rFonts w:ascii="Times New Roman" w:hAnsi="Times New Roman"/>
          <w:sz w:val="24"/>
          <w:szCs w:val="24"/>
        </w:rPr>
        <w:t xml:space="preserve"> Identified using iodine, Molisch, Fehling’s, and Benedict’s tests, based on characteristic color changes or precipitate formation. </w:t>
      </w:r>
    </w:p>
    <w:p w14:paraId="26E1E72A"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Phenolics and Tannins:</w:t>
      </w:r>
      <w:r w:rsidRPr="000A3627">
        <w:rPr>
          <w:rFonts w:ascii="Times New Roman" w:hAnsi="Times New Roman"/>
          <w:sz w:val="24"/>
          <w:szCs w:val="24"/>
        </w:rPr>
        <w:t xml:space="preserve"> Detected by ferric chloride test, indicated by blue-green or dark coloration. </w:t>
      </w:r>
    </w:p>
    <w:p w14:paraId="436DF5DF"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Flavonoids:</w:t>
      </w:r>
      <w:r w:rsidRPr="000A3627">
        <w:rPr>
          <w:rFonts w:ascii="Times New Roman" w:hAnsi="Times New Roman"/>
          <w:sz w:val="24"/>
          <w:szCs w:val="24"/>
        </w:rPr>
        <w:t xml:space="preserve"> Evaluated using Shinoda and alkaline reagent tests, where development of pink/red or yellow coloration confirmed presence. </w:t>
      </w:r>
    </w:p>
    <w:p w14:paraId="6C7E4E04"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Saponins:</w:t>
      </w:r>
      <w:r w:rsidRPr="000A3627">
        <w:rPr>
          <w:rFonts w:ascii="Times New Roman" w:hAnsi="Times New Roman"/>
          <w:sz w:val="24"/>
          <w:szCs w:val="24"/>
        </w:rPr>
        <w:t xml:space="preserve"> Frothing test was employed, where persistent foam formation indicated positive presence. </w:t>
      </w:r>
    </w:p>
    <w:p w14:paraId="4483DFC5"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Glycosides:</w:t>
      </w:r>
      <w:r w:rsidRPr="000A3627">
        <w:rPr>
          <w:rFonts w:ascii="Times New Roman" w:hAnsi="Times New Roman"/>
          <w:sz w:val="24"/>
          <w:szCs w:val="24"/>
        </w:rPr>
        <w:t xml:space="preserve"> Liebermann’s, Salkowski’s, and Keller–Killiani tests were used to identify steroidal and cardiac glycosides based on color transitions. </w:t>
      </w:r>
    </w:p>
    <w:p w14:paraId="122C6D33"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Steroids:</w:t>
      </w:r>
      <w:r w:rsidRPr="000A3627">
        <w:rPr>
          <w:rFonts w:ascii="Times New Roman" w:hAnsi="Times New Roman"/>
          <w:sz w:val="24"/>
          <w:szCs w:val="24"/>
        </w:rPr>
        <w:t xml:space="preserve"> Determined by characteristic color changes upon reaction with concentrated acids. </w:t>
      </w:r>
    </w:p>
    <w:p w14:paraId="4D65EED4"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Terpenoids:</w:t>
      </w:r>
      <w:r w:rsidRPr="000A3627">
        <w:rPr>
          <w:rFonts w:ascii="Times New Roman" w:hAnsi="Times New Roman"/>
          <w:sz w:val="24"/>
          <w:szCs w:val="24"/>
        </w:rPr>
        <w:t xml:space="preserve"> Identified by formation of a greyish coloration following acid treatment. </w:t>
      </w:r>
    </w:p>
    <w:p w14:paraId="5A8828C9"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Alkaloids:</w:t>
      </w:r>
      <w:r w:rsidRPr="000A3627">
        <w:rPr>
          <w:rFonts w:ascii="Times New Roman" w:hAnsi="Times New Roman"/>
          <w:sz w:val="24"/>
          <w:szCs w:val="24"/>
        </w:rPr>
        <w:t xml:space="preserve"> Detected using Mayer’s and Wagner’s reagents, indicated by turbidity or precipitate formation. </w:t>
      </w:r>
    </w:p>
    <w:p w14:paraId="349184D5" w14:textId="77777777" w:rsidR="000A3627" w:rsidRPr="000A3627" w:rsidRDefault="000A3627" w:rsidP="000A3627">
      <w:pPr>
        <w:tabs>
          <w:tab w:val="left" w:pos="4176"/>
        </w:tabs>
        <w:spacing w:line="240" w:lineRule="auto"/>
        <w:jc w:val="both"/>
        <w:rPr>
          <w:rFonts w:ascii="Times New Roman" w:hAnsi="Times New Roman"/>
          <w:sz w:val="24"/>
          <w:szCs w:val="24"/>
        </w:rPr>
      </w:pPr>
    </w:p>
    <w:p w14:paraId="4DA1A2BD" w14:textId="77777777" w:rsidR="008F3903" w:rsidRDefault="008F3903" w:rsidP="000A3627">
      <w:pPr>
        <w:tabs>
          <w:tab w:val="left" w:pos="4176"/>
        </w:tabs>
        <w:spacing w:line="240" w:lineRule="auto"/>
        <w:jc w:val="both"/>
        <w:rPr>
          <w:rFonts w:ascii="Times New Roman" w:hAnsi="Times New Roman"/>
          <w:b/>
          <w:bCs/>
          <w:sz w:val="24"/>
          <w:szCs w:val="24"/>
        </w:rPr>
      </w:pPr>
    </w:p>
    <w:p w14:paraId="4CED11D0" w14:textId="77777777" w:rsidR="008F3903" w:rsidRDefault="008F3903" w:rsidP="000A3627">
      <w:pPr>
        <w:tabs>
          <w:tab w:val="left" w:pos="4176"/>
        </w:tabs>
        <w:spacing w:line="240" w:lineRule="auto"/>
        <w:jc w:val="both"/>
        <w:rPr>
          <w:rFonts w:ascii="Times New Roman" w:hAnsi="Times New Roman"/>
          <w:b/>
          <w:bCs/>
          <w:sz w:val="24"/>
          <w:szCs w:val="24"/>
        </w:rPr>
      </w:pPr>
    </w:p>
    <w:p w14:paraId="3DD13AA5"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lastRenderedPageBreak/>
        <w:t>Quantitative Phytochemical Analysis</w:t>
      </w:r>
    </w:p>
    <w:p w14:paraId="1EC39CDE"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Determination of Total Phenolic Content</w:t>
      </w:r>
    </w:p>
    <w:p w14:paraId="5165AAB8"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Total phenolic content was quantified using the Folin–Ciocalteu method (Singleton et al., 1999). Briefly, 1 mL of extract was mixed with Folin–Ciocalteu reagent and sodium carbonate solution, followed by incubation at room temperature. Absorbance was measured at 765 nm using a spectrophotometer. Gallic acid was used as the calibration standard, and results were expressed as milligrams of gallic acid equivalents (mg GAE/g extract).</w:t>
      </w:r>
    </w:p>
    <w:p w14:paraId="445325EB"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Determination of Total Flavonoid Content</w:t>
      </w:r>
    </w:p>
    <w:p w14:paraId="44E27061" w14:textId="77777777" w:rsidR="000A3627" w:rsidRPr="008F3903"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Flavonoid content was estimated using the aluminium chloride colorimetric method (Chang et al., 2002). The extract was reacted with aluminium chloride and potassium acetate, and the absorbance was recorded at 420 nm after incubation. Quercetin served as the reference standard, and results were expressed as milligrams of quercetin equivalents (mg QE/g extract).</w:t>
      </w:r>
    </w:p>
    <w:p w14:paraId="3DFE0212"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Determination of Tannin Content</w:t>
      </w:r>
    </w:p>
    <w:p w14:paraId="54A2354B"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Tannin content was determined using an acid extraction and gravimetric method (Okwu &amp; Iroabuchi, 2009). The sample was boiled in hydrochloric acid, filtered, and extracted with diethyl ether. The residue obtained after evaporation was weighed, and tannin content was calculated as mg/100 g of sample.</w:t>
      </w:r>
    </w:p>
    <w:p w14:paraId="6DE36665" w14:textId="77777777" w:rsidR="000A3627" w:rsidRPr="000A3627" w:rsidRDefault="000A3627" w:rsidP="000A3627">
      <w:pPr>
        <w:tabs>
          <w:tab w:val="left" w:pos="4176"/>
        </w:tabs>
        <w:spacing w:line="240" w:lineRule="auto"/>
        <w:jc w:val="both"/>
        <w:rPr>
          <w:rFonts w:ascii="Times New Roman" w:hAnsi="Times New Roman"/>
          <w:sz w:val="24"/>
          <w:szCs w:val="24"/>
        </w:rPr>
      </w:pPr>
    </w:p>
    <w:p w14:paraId="47DC1CF6"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Determination of Saponin Content</w:t>
      </w:r>
    </w:p>
    <w:p w14:paraId="624FF556"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Saponin content was determined using a gravimetric method involving ethanol extraction, partitioning with diethyl ether and n-butanol, followed by purification with sodium chloride solution (Obadoni &amp; Ochuko, 2001). The final residue obtained after evaporation and drying was weighed, and results were expressed as mg/100 g of sample.</w:t>
      </w:r>
    </w:p>
    <w:p w14:paraId="3083DAA1" w14:textId="77777777" w:rsidR="000A3627" w:rsidRPr="000A3627" w:rsidRDefault="000A3627" w:rsidP="000A3627">
      <w:pPr>
        <w:tabs>
          <w:tab w:val="left" w:pos="4176"/>
        </w:tabs>
        <w:spacing w:line="240" w:lineRule="auto"/>
        <w:jc w:val="both"/>
        <w:rPr>
          <w:rFonts w:ascii="Times New Roman" w:hAnsi="Times New Roman"/>
          <w:sz w:val="24"/>
          <w:szCs w:val="24"/>
        </w:rPr>
      </w:pPr>
    </w:p>
    <w:p w14:paraId="4D672C07"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Determination of Alkaloid Content</w:t>
      </w:r>
    </w:p>
    <w:p w14:paraId="0A10E4B5"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Alkaloids were quantified using an alkaline precipitation method (Harborne, 1998). The extract was treated with acetic acid in ethanol, concentrated, and precipitated with ammonium hydroxide. The precipitate obtained was filtered, dried, and weighed to determine alkaloid content.</w:t>
      </w:r>
    </w:p>
    <w:p w14:paraId="4522B744" w14:textId="77777777" w:rsidR="000A3627" w:rsidRPr="000A3627" w:rsidRDefault="000A3627" w:rsidP="000A3627">
      <w:pPr>
        <w:tabs>
          <w:tab w:val="left" w:pos="4176"/>
        </w:tabs>
        <w:spacing w:line="240" w:lineRule="auto"/>
        <w:jc w:val="both"/>
        <w:rPr>
          <w:rFonts w:ascii="Times New Roman" w:hAnsi="Times New Roman"/>
          <w:sz w:val="24"/>
          <w:szCs w:val="24"/>
        </w:rPr>
      </w:pPr>
    </w:p>
    <w:p w14:paraId="5FDD786E" w14:textId="77777777" w:rsidR="000A3627" w:rsidRPr="00686B92" w:rsidRDefault="000A3627" w:rsidP="000A3627">
      <w:pPr>
        <w:tabs>
          <w:tab w:val="left" w:pos="4176"/>
        </w:tabs>
        <w:spacing w:line="240" w:lineRule="auto"/>
        <w:jc w:val="both"/>
        <w:rPr>
          <w:rFonts w:ascii="Times New Roman" w:hAnsi="Times New Roman"/>
          <w:b/>
          <w:sz w:val="24"/>
          <w:szCs w:val="24"/>
        </w:rPr>
      </w:pPr>
      <w:r w:rsidRPr="00686B92">
        <w:rPr>
          <w:rFonts w:ascii="Times New Roman" w:hAnsi="Times New Roman"/>
          <w:b/>
          <w:sz w:val="24"/>
          <w:szCs w:val="24"/>
        </w:rPr>
        <w:t xml:space="preserve">Statistical Analyses </w:t>
      </w:r>
    </w:p>
    <w:p w14:paraId="4E61EDCD" w14:textId="77777777" w:rsid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The data were expressed as mean ± standard deviation (SD). A one-way analysis of variance (ANOVA) followed by Tukey’s test was performed using SPSS (Version 25.0, IBM, USA). Statistical significance was set at p &lt; 0.05.</w:t>
      </w:r>
    </w:p>
    <w:p w14:paraId="1DECA326" w14:textId="77777777" w:rsidR="00686B92" w:rsidRDefault="00686B92" w:rsidP="000A3627">
      <w:pPr>
        <w:tabs>
          <w:tab w:val="left" w:pos="4176"/>
        </w:tabs>
        <w:spacing w:line="240" w:lineRule="auto"/>
        <w:jc w:val="both"/>
        <w:rPr>
          <w:rFonts w:ascii="Times New Roman" w:hAnsi="Times New Roman"/>
          <w:sz w:val="24"/>
          <w:szCs w:val="24"/>
        </w:rPr>
      </w:pPr>
    </w:p>
    <w:p w14:paraId="1A3B9BD5" w14:textId="77777777" w:rsidR="00686B92" w:rsidRPr="000A3627" w:rsidRDefault="00686B92" w:rsidP="000A3627">
      <w:pPr>
        <w:tabs>
          <w:tab w:val="left" w:pos="4176"/>
        </w:tabs>
        <w:spacing w:line="240" w:lineRule="auto"/>
        <w:jc w:val="both"/>
        <w:rPr>
          <w:rFonts w:ascii="Times New Roman" w:hAnsi="Times New Roman"/>
          <w:sz w:val="24"/>
          <w:szCs w:val="24"/>
        </w:rPr>
      </w:pPr>
    </w:p>
    <w:p w14:paraId="7BD6089A" w14:textId="77777777" w:rsidR="000A3627" w:rsidRPr="000A3627" w:rsidRDefault="000A3627" w:rsidP="000A3627">
      <w:pPr>
        <w:tabs>
          <w:tab w:val="left" w:pos="4176"/>
        </w:tabs>
        <w:spacing w:line="240" w:lineRule="auto"/>
        <w:jc w:val="both"/>
        <w:rPr>
          <w:rFonts w:ascii="Times New Roman" w:hAnsi="Times New Roman"/>
          <w:sz w:val="24"/>
          <w:szCs w:val="24"/>
        </w:rPr>
      </w:pPr>
    </w:p>
    <w:p w14:paraId="5D14EE0F" w14:textId="77777777" w:rsidR="00F41DA3" w:rsidRPr="00686B92" w:rsidRDefault="00686B92" w:rsidP="00B93071">
      <w:pPr>
        <w:tabs>
          <w:tab w:val="left" w:pos="4176"/>
        </w:tabs>
        <w:spacing w:line="240" w:lineRule="auto"/>
        <w:jc w:val="both"/>
        <w:rPr>
          <w:rFonts w:ascii="Times New Roman" w:hAnsi="Times New Roman"/>
          <w:b/>
          <w:sz w:val="24"/>
          <w:szCs w:val="24"/>
        </w:rPr>
      </w:pPr>
      <w:r w:rsidRPr="00686B92">
        <w:rPr>
          <w:rFonts w:ascii="Times New Roman" w:hAnsi="Times New Roman"/>
          <w:b/>
          <w:sz w:val="24"/>
          <w:szCs w:val="24"/>
        </w:rPr>
        <w:lastRenderedPageBreak/>
        <w:t>Results</w:t>
      </w:r>
    </w:p>
    <w:p w14:paraId="06FDA7DE" w14:textId="77777777" w:rsidR="008462B8" w:rsidRDefault="000F4B16" w:rsidP="00B93071">
      <w:pPr>
        <w:tabs>
          <w:tab w:val="left" w:pos="4176"/>
        </w:tabs>
        <w:spacing w:line="240" w:lineRule="auto"/>
        <w:jc w:val="both"/>
        <w:rPr>
          <w:rFonts w:ascii="Times New Roman" w:hAnsi="Times New Roman"/>
          <w:sz w:val="24"/>
          <w:szCs w:val="24"/>
        </w:rPr>
      </w:pPr>
      <w:r>
        <w:rPr>
          <w:rFonts w:ascii="Times New Roman" w:hAnsi="Times New Roman"/>
          <w:sz w:val="24"/>
          <w:szCs w:val="24"/>
        </w:rPr>
        <w:t xml:space="preserve">Table </w:t>
      </w:r>
      <w:r w:rsidR="001E473E" w:rsidRPr="0046269D">
        <w:rPr>
          <w:rFonts w:ascii="Times New Roman" w:hAnsi="Times New Roman"/>
          <w:sz w:val="24"/>
          <w:szCs w:val="24"/>
        </w:rPr>
        <w:t xml:space="preserve">1 presents the qualitative phytochemical screening of aqueous leaf extracts of </w:t>
      </w:r>
      <w:r w:rsidR="001E473E" w:rsidRPr="0046269D">
        <w:rPr>
          <w:rFonts w:ascii="Times New Roman" w:hAnsi="Times New Roman"/>
          <w:i/>
          <w:iCs/>
          <w:sz w:val="24"/>
          <w:szCs w:val="24"/>
        </w:rPr>
        <w:t xml:space="preserve">Emilia </w:t>
      </w:r>
      <w:bookmarkStart w:id="0" w:name="_Hlk203195908"/>
      <w:r w:rsidR="001E473E" w:rsidRPr="0046269D">
        <w:rPr>
          <w:rFonts w:ascii="Times New Roman" w:hAnsi="Times New Roman"/>
          <w:i/>
          <w:iCs/>
          <w:sz w:val="24"/>
          <w:szCs w:val="24"/>
        </w:rPr>
        <w:t>sonchifolia</w:t>
      </w:r>
      <w:r w:rsidR="001E473E" w:rsidRPr="0046269D">
        <w:rPr>
          <w:rFonts w:ascii="Times New Roman" w:hAnsi="Times New Roman"/>
          <w:sz w:val="24"/>
          <w:szCs w:val="24"/>
        </w:rPr>
        <w:t xml:space="preserve"> and </w:t>
      </w:r>
      <w:r w:rsidR="00D265AA" w:rsidRPr="00D265AA">
        <w:rPr>
          <w:rFonts w:ascii="Times New Roman" w:hAnsi="Times New Roman"/>
          <w:i/>
          <w:iCs/>
          <w:sz w:val="24"/>
          <w:szCs w:val="24"/>
        </w:rPr>
        <w:t>Bridelia ferruginea</w:t>
      </w:r>
      <w:r w:rsidR="001E473E" w:rsidRPr="0046269D">
        <w:rPr>
          <w:rFonts w:ascii="Times New Roman" w:hAnsi="Times New Roman"/>
          <w:sz w:val="24"/>
          <w:szCs w:val="24"/>
        </w:rPr>
        <w:t>,</w:t>
      </w:r>
      <w:r w:rsidR="001E473E" w:rsidRPr="0046269D">
        <w:rPr>
          <w:rFonts w:ascii="Times New Roman" w:hAnsi="Times New Roman"/>
          <w:i/>
          <w:iCs/>
          <w:sz w:val="24"/>
          <w:szCs w:val="24"/>
        </w:rPr>
        <w:t xml:space="preserve"> </w:t>
      </w:r>
      <w:r w:rsidR="001E473E" w:rsidRPr="0046269D">
        <w:rPr>
          <w:rFonts w:ascii="Times New Roman" w:hAnsi="Times New Roman"/>
          <w:sz w:val="24"/>
          <w:szCs w:val="24"/>
        </w:rPr>
        <w:t xml:space="preserve">and aqueous stem-bark extract of </w:t>
      </w:r>
      <w:r w:rsidR="001E473E" w:rsidRPr="0046269D">
        <w:rPr>
          <w:rFonts w:ascii="Times New Roman" w:hAnsi="Times New Roman"/>
          <w:i/>
          <w:iCs/>
          <w:sz w:val="24"/>
          <w:szCs w:val="24"/>
        </w:rPr>
        <w:t>Rhizophora racemosa</w:t>
      </w:r>
      <w:bookmarkEnd w:id="0"/>
      <w:r w:rsidR="001E473E" w:rsidRPr="0046269D">
        <w:rPr>
          <w:rFonts w:ascii="Times New Roman" w:hAnsi="Times New Roman"/>
          <w:sz w:val="24"/>
          <w:szCs w:val="24"/>
        </w:rPr>
        <w:t xml:space="preserve">. Results revealed notable variations in their constituent profiles. </w:t>
      </w:r>
      <w:r w:rsidR="001E473E" w:rsidRPr="0046269D">
        <w:rPr>
          <w:rFonts w:ascii="Times New Roman" w:hAnsi="Times New Roman"/>
          <w:i/>
          <w:iCs/>
          <w:sz w:val="24"/>
          <w:szCs w:val="24"/>
        </w:rPr>
        <w:t>Emilia sonchifolia</w:t>
      </w:r>
      <w:r w:rsidR="001E473E" w:rsidRPr="0046269D">
        <w:rPr>
          <w:rFonts w:ascii="Times New Roman" w:hAnsi="Times New Roman"/>
          <w:sz w:val="24"/>
          <w:szCs w:val="24"/>
        </w:rPr>
        <w:t xml:space="preserve"> exhibited a rich presence of flavonoids, alkaloids, terpenoids, steroids, reducing sugars, glycosides, carbohydrates, and tannins, with moderate levels of saponins and proteins. </w:t>
      </w:r>
      <w:r w:rsidR="001E473E" w:rsidRPr="0046269D">
        <w:rPr>
          <w:rFonts w:ascii="Times New Roman" w:hAnsi="Times New Roman"/>
          <w:i/>
          <w:iCs/>
          <w:sz w:val="24"/>
          <w:szCs w:val="24"/>
        </w:rPr>
        <w:t>Bridelia ferruginea</w:t>
      </w:r>
      <w:r w:rsidR="001E473E" w:rsidRPr="0046269D">
        <w:rPr>
          <w:rFonts w:ascii="Times New Roman" w:hAnsi="Times New Roman"/>
          <w:sz w:val="24"/>
          <w:szCs w:val="24"/>
        </w:rPr>
        <w:t xml:space="preserve"> showed strong alkaloid, saponin, reducing sugar, and carbohydrate content, accompanied by moderate levels of flavonoids, steroids, glycosides, and proteins, but lacked terpenoids. </w:t>
      </w:r>
      <w:r w:rsidR="001E473E" w:rsidRPr="0046269D">
        <w:rPr>
          <w:rFonts w:ascii="Times New Roman" w:hAnsi="Times New Roman"/>
          <w:i/>
          <w:iCs/>
          <w:sz w:val="24"/>
          <w:szCs w:val="24"/>
        </w:rPr>
        <w:t>Rhizophora racemosa</w:t>
      </w:r>
      <w:r w:rsidR="001E473E" w:rsidRPr="0046269D">
        <w:rPr>
          <w:rFonts w:ascii="Times New Roman" w:hAnsi="Times New Roman"/>
          <w:sz w:val="24"/>
          <w:szCs w:val="24"/>
        </w:rPr>
        <w:t xml:space="preserve"> contained prominent alkaloids, saponins, flavonoids, tannins, and moderate terpenoids, proteins, and carbohydrates, while steroids, reducing sugars, and glycosides </w:t>
      </w:r>
      <w:r w:rsidR="001E473E">
        <w:rPr>
          <w:rFonts w:ascii="Times New Roman" w:hAnsi="Times New Roman"/>
          <w:sz w:val="24"/>
          <w:szCs w:val="24"/>
        </w:rPr>
        <w:t>were absent or minimal</w:t>
      </w:r>
    </w:p>
    <w:p w14:paraId="4C1DB123" w14:textId="77777777" w:rsidR="008462B8" w:rsidRDefault="008462B8" w:rsidP="00B93071">
      <w:pPr>
        <w:tabs>
          <w:tab w:val="left" w:pos="4176"/>
        </w:tabs>
        <w:spacing w:line="240" w:lineRule="auto"/>
        <w:jc w:val="both"/>
        <w:rPr>
          <w:rFonts w:ascii="Times New Roman" w:hAnsi="Times New Roman"/>
          <w:sz w:val="24"/>
          <w:szCs w:val="24"/>
        </w:rPr>
      </w:pPr>
    </w:p>
    <w:p w14:paraId="2A215C1D" w14:textId="77777777" w:rsidR="001E473E" w:rsidRPr="0046269D" w:rsidRDefault="00DA691E" w:rsidP="00B93071">
      <w:pPr>
        <w:tabs>
          <w:tab w:val="left" w:pos="4176"/>
        </w:tabs>
        <w:spacing w:line="240" w:lineRule="auto"/>
        <w:jc w:val="both"/>
        <w:rPr>
          <w:rFonts w:ascii="Times New Roman" w:hAnsi="Times New Roman"/>
          <w:sz w:val="24"/>
          <w:szCs w:val="24"/>
        </w:rPr>
      </w:pPr>
      <w:r>
        <w:rPr>
          <w:rFonts w:ascii="Times New Roman" w:hAnsi="Times New Roman"/>
          <w:sz w:val="24"/>
          <w:szCs w:val="24"/>
        </w:rPr>
        <w:t xml:space="preserve">Table </w:t>
      </w:r>
      <w:r w:rsidR="001E473E" w:rsidRPr="0046269D">
        <w:rPr>
          <w:rFonts w:ascii="Times New Roman" w:hAnsi="Times New Roman"/>
          <w:sz w:val="24"/>
          <w:szCs w:val="24"/>
        </w:rPr>
        <w:t xml:space="preserve">1. Qualitative phytochemical screening of aqueous extract of </w:t>
      </w:r>
      <w:r w:rsidR="001E473E" w:rsidRPr="0046269D">
        <w:rPr>
          <w:rFonts w:ascii="Times New Roman" w:hAnsi="Times New Roman"/>
          <w:i/>
          <w:iCs/>
          <w:sz w:val="24"/>
          <w:szCs w:val="24"/>
        </w:rPr>
        <w:t>Emilia sonchifolia</w:t>
      </w:r>
      <w:r w:rsidR="001E473E" w:rsidRPr="0046269D">
        <w:rPr>
          <w:rFonts w:ascii="Times New Roman" w:hAnsi="Times New Roman"/>
          <w:sz w:val="24"/>
          <w:szCs w:val="24"/>
        </w:rPr>
        <w:t>,</w:t>
      </w:r>
      <w:r w:rsidR="001E473E" w:rsidRPr="0046269D">
        <w:rPr>
          <w:rFonts w:ascii="Times New Roman" w:hAnsi="Times New Roman"/>
          <w:i/>
          <w:iCs/>
          <w:sz w:val="24"/>
          <w:szCs w:val="24"/>
        </w:rPr>
        <w:t xml:space="preserve"> </w:t>
      </w:r>
      <w:r w:rsidR="00D265AA" w:rsidRPr="00D265AA">
        <w:rPr>
          <w:rFonts w:ascii="Times New Roman" w:hAnsi="Times New Roman"/>
          <w:i/>
          <w:iCs/>
          <w:sz w:val="24"/>
          <w:szCs w:val="24"/>
        </w:rPr>
        <w:t>Bridelia ferruginea</w:t>
      </w:r>
      <w:r w:rsidR="001E473E" w:rsidRPr="0046269D">
        <w:rPr>
          <w:rFonts w:ascii="Times New Roman" w:hAnsi="Times New Roman"/>
          <w:sz w:val="24"/>
          <w:szCs w:val="24"/>
        </w:rPr>
        <w:t>,</w:t>
      </w:r>
      <w:r w:rsidR="001E473E" w:rsidRPr="0046269D">
        <w:rPr>
          <w:rFonts w:ascii="Times New Roman" w:hAnsi="Times New Roman"/>
          <w:i/>
          <w:iCs/>
          <w:sz w:val="24"/>
          <w:szCs w:val="24"/>
        </w:rPr>
        <w:t xml:space="preserve"> </w:t>
      </w:r>
      <w:r w:rsidR="001E473E" w:rsidRPr="0046269D">
        <w:rPr>
          <w:rFonts w:ascii="Times New Roman" w:hAnsi="Times New Roman"/>
          <w:sz w:val="24"/>
          <w:szCs w:val="24"/>
        </w:rPr>
        <w:t>and</w:t>
      </w:r>
      <w:r w:rsidR="001E473E" w:rsidRPr="0046269D">
        <w:rPr>
          <w:rFonts w:ascii="Times New Roman" w:hAnsi="Times New Roman"/>
          <w:i/>
          <w:iCs/>
          <w:sz w:val="24"/>
          <w:szCs w:val="24"/>
        </w:rPr>
        <w:t xml:space="preserve"> Rhizophora racemosa</w:t>
      </w:r>
      <w:r w:rsidR="001E473E" w:rsidRPr="0046269D">
        <w:rPr>
          <w:rFonts w:ascii="Times New Roman" w:hAnsi="Times New Roman"/>
          <w:sz w:val="24"/>
          <w:szCs w:val="24"/>
        </w:rPr>
        <w:t>.</w:t>
      </w:r>
    </w:p>
    <w:tbl>
      <w:tblPr>
        <w:tblW w:w="0" w:type="auto"/>
        <w:tblBorders>
          <w:top w:val="single" w:sz="4" w:space="0" w:color="auto"/>
          <w:bottom w:val="single" w:sz="4" w:space="0" w:color="auto"/>
        </w:tblBorders>
        <w:tblLook w:val="04A0" w:firstRow="1" w:lastRow="0" w:firstColumn="1" w:lastColumn="0" w:noHBand="0" w:noVBand="1"/>
      </w:tblPr>
      <w:tblGrid>
        <w:gridCol w:w="2337"/>
        <w:gridCol w:w="2337"/>
        <w:gridCol w:w="2338"/>
        <w:gridCol w:w="2338"/>
      </w:tblGrid>
      <w:tr w:rsidR="001E473E" w:rsidRPr="004767AA" w14:paraId="570A5354" w14:textId="77777777" w:rsidTr="00AA3649">
        <w:tc>
          <w:tcPr>
            <w:tcW w:w="2337" w:type="dxa"/>
            <w:tcBorders>
              <w:top w:val="single" w:sz="4" w:space="0" w:color="auto"/>
              <w:bottom w:val="single" w:sz="4" w:space="0" w:color="auto"/>
            </w:tcBorders>
          </w:tcPr>
          <w:p w14:paraId="5CD79A8D"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Phytochemicals</w:t>
            </w:r>
          </w:p>
        </w:tc>
        <w:tc>
          <w:tcPr>
            <w:tcW w:w="2337" w:type="dxa"/>
            <w:tcBorders>
              <w:top w:val="single" w:sz="4" w:space="0" w:color="auto"/>
              <w:bottom w:val="single" w:sz="4" w:space="0" w:color="auto"/>
            </w:tcBorders>
          </w:tcPr>
          <w:p w14:paraId="56510124"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i/>
                <w:iCs/>
                <w:sz w:val="24"/>
                <w:szCs w:val="24"/>
              </w:rPr>
              <w:t>Emilia sonchifolia</w:t>
            </w:r>
          </w:p>
        </w:tc>
        <w:tc>
          <w:tcPr>
            <w:tcW w:w="2338" w:type="dxa"/>
            <w:tcBorders>
              <w:top w:val="single" w:sz="4" w:space="0" w:color="auto"/>
              <w:bottom w:val="single" w:sz="4" w:space="0" w:color="auto"/>
            </w:tcBorders>
          </w:tcPr>
          <w:p w14:paraId="7CA5ADD2" w14:textId="77777777" w:rsidR="001E473E" w:rsidRPr="004767AA" w:rsidRDefault="00D265AA" w:rsidP="00B93071">
            <w:pPr>
              <w:tabs>
                <w:tab w:val="left" w:pos="4176"/>
              </w:tabs>
              <w:spacing w:after="0" w:line="240" w:lineRule="auto"/>
              <w:jc w:val="both"/>
              <w:rPr>
                <w:rFonts w:ascii="Times New Roman" w:hAnsi="Times New Roman"/>
                <w:i/>
                <w:iCs/>
                <w:sz w:val="24"/>
                <w:szCs w:val="24"/>
              </w:rPr>
            </w:pPr>
            <w:r w:rsidRPr="00D265AA">
              <w:rPr>
                <w:rFonts w:ascii="Times New Roman" w:hAnsi="Times New Roman"/>
                <w:i/>
                <w:iCs/>
                <w:sz w:val="24"/>
                <w:szCs w:val="24"/>
              </w:rPr>
              <w:t>Bridelia ferruginea</w:t>
            </w:r>
          </w:p>
        </w:tc>
        <w:tc>
          <w:tcPr>
            <w:tcW w:w="2338" w:type="dxa"/>
            <w:tcBorders>
              <w:top w:val="single" w:sz="4" w:space="0" w:color="auto"/>
              <w:bottom w:val="single" w:sz="4" w:space="0" w:color="auto"/>
            </w:tcBorders>
          </w:tcPr>
          <w:p w14:paraId="7B0A5921" w14:textId="77777777" w:rsidR="001E473E" w:rsidRPr="004767AA" w:rsidRDefault="001E473E" w:rsidP="00B93071">
            <w:pPr>
              <w:tabs>
                <w:tab w:val="left" w:pos="4176"/>
              </w:tabs>
              <w:spacing w:after="0" w:line="240" w:lineRule="auto"/>
              <w:jc w:val="both"/>
              <w:rPr>
                <w:rFonts w:ascii="Times New Roman" w:hAnsi="Times New Roman"/>
                <w:i/>
                <w:iCs/>
                <w:sz w:val="24"/>
                <w:szCs w:val="24"/>
              </w:rPr>
            </w:pPr>
            <w:r w:rsidRPr="004767AA">
              <w:rPr>
                <w:rFonts w:ascii="Times New Roman" w:hAnsi="Times New Roman"/>
                <w:i/>
                <w:iCs/>
                <w:sz w:val="24"/>
                <w:szCs w:val="24"/>
              </w:rPr>
              <w:t>Rhizophora racemosa</w:t>
            </w:r>
          </w:p>
        </w:tc>
      </w:tr>
      <w:tr w:rsidR="001E473E" w:rsidRPr="004767AA" w14:paraId="29CD0795" w14:textId="77777777" w:rsidTr="00AA3649">
        <w:tc>
          <w:tcPr>
            <w:tcW w:w="2337" w:type="dxa"/>
            <w:tcBorders>
              <w:top w:val="single" w:sz="4" w:space="0" w:color="auto"/>
            </w:tcBorders>
          </w:tcPr>
          <w:p w14:paraId="422B9F99"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Flavonoids</w:t>
            </w:r>
          </w:p>
        </w:tc>
        <w:tc>
          <w:tcPr>
            <w:tcW w:w="2337" w:type="dxa"/>
            <w:tcBorders>
              <w:top w:val="single" w:sz="4" w:space="0" w:color="auto"/>
            </w:tcBorders>
          </w:tcPr>
          <w:p w14:paraId="1E968182"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Borders>
              <w:top w:val="single" w:sz="4" w:space="0" w:color="auto"/>
            </w:tcBorders>
          </w:tcPr>
          <w:p w14:paraId="0EF3124D"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Borders>
              <w:top w:val="single" w:sz="4" w:space="0" w:color="auto"/>
            </w:tcBorders>
          </w:tcPr>
          <w:p w14:paraId="1E11BEAF"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0FE02068" w14:textId="77777777" w:rsidTr="00AA3649">
        <w:tc>
          <w:tcPr>
            <w:tcW w:w="2337" w:type="dxa"/>
          </w:tcPr>
          <w:p w14:paraId="39A8A7F6"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Alkaloids</w:t>
            </w:r>
          </w:p>
        </w:tc>
        <w:tc>
          <w:tcPr>
            <w:tcW w:w="2337" w:type="dxa"/>
          </w:tcPr>
          <w:p w14:paraId="16405120"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3C74FA6A"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6EB77A6A"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1C1875B9" w14:textId="77777777" w:rsidTr="00AA3649">
        <w:tc>
          <w:tcPr>
            <w:tcW w:w="2337" w:type="dxa"/>
          </w:tcPr>
          <w:p w14:paraId="2447FED7"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Saponins</w:t>
            </w:r>
          </w:p>
        </w:tc>
        <w:tc>
          <w:tcPr>
            <w:tcW w:w="2337" w:type="dxa"/>
          </w:tcPr>
          <w:p w14:paraId="79083566"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4AF58C34"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4910945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6FF806C1" w14:textId="77777777" w:rsidTr="00AA3649">
        <w:tc>
          <w:tcPr>
            <w:tcW w:w="2337" w:type="dxa"/>
          </w:tcPr>
          <w:p w14:paraId="71690E0D"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Terpeniods</w:t>
            </w:r>
          </w:p>
        </w:tc>
        <w:tc>
          <w:tcPr>
            <w:tcW w:w="2337" w:type="dxa"/>
          </w:tcPr>
          <w:p w14:paraId="664CEC60"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30150F32"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32F4AF5B"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6547B259" w14:textId="77777777" w:rsidTr="00AA3649">
        <w:tc>
          <w:tcPr>
            <w:tcW w:w="2337" w:type="dxa"/>
          </w:tcPr>
          <w:p w14:paraId="19280C02"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Steroids</w:t>
            </w:r>
          </w:p>
        </w:tc>
        <w:tc>
          <w:tcPr>
            <w:tcW w:w="2337" w:type="dxa"/>
          </w:tcPr>
          <w:p w14:paraId="30615FCD" w14:textId="77777777" w:rsidR="001E473E" w:rsidRPr="004767AA" w:rsidRDefault="001E473E" w:rsidP="00B93071">
            <w:pPr>
              <w:tabs>
                <w:tab w:val="left" w:pos="4176"/>
              </w:tabs>
              <w:spacing w:after="0" w:line="240" w:lineRule="auto"/>
              <w:jc w:val="both"/>
              <w:rPr>
                <w:rFonts w:ascii="Times New Roman" w:hAnsi="Times New Roman"/>
                <w:sz w:val="24"/>
                <w:szCs w:val="24"/>
                <w:vertAlign w:val="subscript"/>
              </w:rPr>
            </w:pPr>
            <w:r w:rsidRPr="004767AA">
              <w:rPr>
                <w:rFonts w:ascii="Times New Roman" w:hAnsi="Times New Roman"/>
                <w:sz w:val="24"/>
                <w:szCs w:val="24"/>
              </w:rPr>
              <w:t>++</w:t>
            </w:r>
          </w:p>
        </w:tc>
        <w:tc>
          <w:tcPr>
            <w:tcW w:w="2338" w:type="dxa"/>
          </w:tcPr>
          <w:p w14:paraId="22A5025B"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2F583075"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6C90B76C" w14:textId="77777777" w:rsidTr="00AA3649">
        <w:tc>
          <w:tcPr>
            <w:tcW w:w="2337" w:type="dxa"/>
          </w:tcPr>
          <w:p w14:paraId="0A91E2DE"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Reducing sugar</w:t>
            </w:r>
          </w:p>
        </w:tc>
        <w:tc>
          <w:tcPr>
            <w:tcW w:w="2337" w:type="dxa"/>
          </w:tcPr>
          <w:p w14:paraId="19B90CA8"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6B2750B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5E5135FB"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03F543B8" w14:textId="77777777" w:rsidTr="00AA3649">
        <w:tc>
          <w:tcPr>
            <w:tcW w:w="2337" w:type="dxa"/>
          </w:tcPr>
          <w:p w14:paraId="06D990E4"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Glycosides</w:t>
            </w:r>
          </w:p>
        </w:tc>
        <w:tc>
          <w:tcPr>
            <w:tcW w:w="2337" w:type="dxa"/>
          </w:tcPr>
          <w:p w14:paraId="6398289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5F5AC1D6"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37CB0E6D"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23E84EA1" w14:textId="77777777" w:rsidTr="00AA3649">
        <w:tc>
          <w:tcPr>
            <w:tcW w:w="2337" w:type="dxa"/>
          </w:tcPr>
          <w:p w14:paraId="73338E55"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Protein</w:t>
            </w:r>
          </w:p>
        </w:tc>
        <w:tc>
          <w:tcPr>
            <w:tcW w:w="2337" w:type="dxa"/>
          </w:tcPr>
          <w:p w14:paraId="1BE83E54"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37ABE246"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58147563"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2828708E" w14:textId="77777777" w:rsidTr="00AA3649">
        <w:tc>
          <w:tcPr>
            <w:tcW w:w="2337" w:type="dxa"/>
          </w:tcPr>
          <w:p w14:paraId="221D2D0A"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Carbohydrates</w:t>
            </w:r>
          </w:p>
        </w:tc>
        <w:tc>
          <w:tcPr>
            <w:tcW w:w="2337" w:type="dxa"/>
          </w:tcPr>
          <w:p w14:paraId="54559519"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7245D052"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7B55DDB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7A6133EA" w14:textId="77777777" w:rsidTr="00AA3649">
        <w:tc>
          <w:tcPr>
            <w:tcW w:w="2337" w:type="dxa"/>
          </w:tcPr>
          <w:p w14:paraId="3272C9C9"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Tannins</w:t>
            </w:r>
          </w:p>
        </w:tc>
        <w:tc>
          <w:tcPr>
            <w:tcW w:w="2337" w:type="dxa"/>
          </w:tcPr>
          <w:p w14:paraId="78B3E175"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27DD439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6E77861F"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bl>
    <w:p w14:paraId="7E11A47F" w14:textId="77777777" w:rsidR="001E473E" w:rsidRPr="0046269D" w:rsidRDefault="001E473E" w:rsidP="00B93071">
      <w:pPr>
        <w:spacing w:line="240" w:lineRule="auto"/>
        <w:jc w:val="both"/>
        <w:rPr>
          <w:rFonts w:ascii="Times New Roman" w:hAnsi="Times New Roman"/>
          <w:sz w:val="24"/>
          <w:szCs w:val="24"/>
        </w:rPr>
      </w:pPr>
      <w:r w:rsidRPr="004767AA">
        <w:rPr>
          <w:rFonts w:ascii="Times New Roman" w:hAnsi="Times New Roman"/>
          <w:sz w:val="24"/>
          <w:szCs w:val="24"/>
        </w:rPr>
        <w:t xml:space="preserve">++: </w:t>
      </w:r>
      <w:r>
        <w:rPr>
          <w:rFonts w:ascii="Times New Roman" w:hAnsi="Times New Roman"/>
          <w:sz w:val="24"/>
          <w:szCs w:val="24"/>
        </w:rPr>
        <w:t>abundant, +: moderate -: absent</w:t>
      </w:r>
    </w:p>
    <w:p w14:paraId="05E08C29" w14:textId="77777777" w:rsidR="00686B92" w:rsidRDefault="00686B92" w:rsidP="00B93071">
      <w:pPr>
        <w:tabs>
          <w:tab w:val="left" w:pos="4176"/>
        </w:tabs>
        <w:spacing w:line="240" w:lineRule="auto"/>
        <w:jc w:val="both"/>
        <w:rPr>
          <w:rFonts w:ascii="Times New Roman" w:hAnsi="Times New Roman"/>
          <w:sz w:val="24"/>
          <w:szCs w:val="24"/>
        </w:rPr>
      </w:pPr>
    </w:p>
    <w:p w14:paraId="126DA34A" w14:textId="77777777" w:rsidR="001E473E" w:rsidRPr="0046269D" w:rsidRDefault="000F4B16" w:rsidP="00B93071">
      <w:pPr>
        <w:tabs>
          <w:tab w:val="left" w:pos="4176"/>
        </w:tabs>
        <w:spacing w:line="240" w:lineRule="auto"/>
        <w:jc w:val="both"/>
        <w:rPr>
          <w:rFonts w:ascii="Times New Roman" w:hAnsi="Times New Roman"/>
          <w:sz w:val="24"/>
          <w:szCs w:val="24"/>
        </w:rPr>
      </w:pPr>
      <w:r>
        <w:rPr>
          <w:rFonts w:ascii="Times New Roman" w:hAnsi="Times New Roman"/>
          <w:sz w:val="24"/>
          <w:szCs w:val="24"/>
        </w:rPr>
        <w:t xml:space="preserve">Table </w:t>
      </w:r>
      <w:r w:rsidR="001E473E" w:rsidRPr="0046269D">
        <w:rPr>
          <w:rFonts w:ascii="Times New Roman" w:hAnsi="Times New Roman"/>
          <w:sz w:val="24"/>
          <w:szCs w:val="24"/>
        </w:rPr>
        <w:t>2 presents the quantitative phytochemical composition of aqueous leaf extracts of</w:t>
      </w:r>
      <w:r w:rsidR="001E473E" w:rsidRPr="0046269D">
        <w:rPr>
          <w:rFonts w:ascii="Times New Roman" w:hAnsi="Times New Roman"/>
          <w:i/>
          <w:iCs/>
          <w:sz w:val="24"/>
          <w:szCs w:val="24"/>
        </w:rPr>
        <w:t xml:space="preserve"> Emilia sonchifolia</w:t>
      </w:r>
      <w:r w:rsidR="001E473E" w:rsidRPr="0046269D">
        <w:rPr>
          <w:rFonts w:ascii="Times New Roman" w:hAnsi="Times New Roman"/>
          <w:sz w:val="24"/>
          <w:szCs w:val="24"/>
        </w:rPr>
        <w:t xml:space="preserve"> and</w:t>
      </w:r>
      <w:r w:rsidR="001E473E" w:rsidRPr="0046269D">
        <w:rPr>
          <w:rFonts w:ascii="Times New Roman" w:hAnsi="Times New Roman"/>
          <w:i/>
          <w:iCs/>
          <w:sz w:val="24"/>
          <w:szCs w:val="24"/>
        </w:rPr>
        <w:t xml:space="preserve"> </w:t>
      </w:r>
      <w:r w:rsidR="00D265AA" w:rsidRPr="00D265AA">
        <w:rPr>
          <w:rFonts w:ascii="Times New Roman" w:hAnsi="Times New Roman"/>
          <w:i/>
          <w:iCs/>
          <w:sz w:val="24"/>
          <w:szCs w:val="24"/>
        </w:rPr>
        <w:t>Bridelia ferruginea</w:t>
      </w:r>
      <w:r w:rsidR="001E473E" w:rsidRPr="0046269D">
        <w:rPr>
          <w:rFonts w:ascii="Times New Roman" w:hAnsi="Times New Roman"/>
          <w:sz w:val="24"/>
          <w:szCs w:val="24"/>
        </w:rPr>
        <w:t>,</w:t>
      </w:r>
      <w:r w:rsidR="001E473E" w:rsidRPr="0046269D">
        <w:rPr>
          <w:rFonts w:ascii="Times New Roman" w:hAnsi="Times New Roman"/>
          <w:i/>
          <w:iCs/>
          <w:sz w:val="24"/>
          <w:szCs w:val="24"/>
        </w:rPr>
        <w:t xml:space="preserve"> </w:t>
      </w:r>
      <w:r w:rsidR="001E473E" w:rsidRPr="0046269D">
        <w:rPr>
          <w:rFonts w:ascii="Times New Roman" w:hAnsi="Times New Roman"/>
          <w:sz w:val="24"/>
          <w:szCs w:val="24"/>
        </w:rPr>
        <w:t xml:space="preserve">and aqueous stem-bark extract of </w:t>
      </w:r>
      <w:r w:rsidR="001E473E" w:rsidRPr="0046269D">
        <w:rPr>
          <w:rFonts w:ascii="Times New Roman" w:hAnsi="Times New Roman"/>
          <w:i/>
          <w:iCs/>
          <w:sz w:val="24"/>
          <w:szCs w:val="24"/>
        </w:rPr>
        <w:t>Rhizophora racemosa</w:t>
      </w:r>
      <w:r w:rsidR="001E473E" w:rsidRPr="0046269D">
        <w:rPr>
          <w:rFonts w:ascii="Times New Roman" w:hAnsi="Times New Roman"/>
          <w:sz w:val="24"/>
          <w:szCs w:val="24"/>
        </w:rPr>
        <w:t xml:space="preserve">. Total Phenolics were highest in </w:t>
      </w:r>
      <w:r w:rsidR="001E473E" w:rsidRPr="0046269D">
        <w:rPr>
          <w:rFonts w:ascii="Times New Roman" w:hAnsi="Times New Roman"/>
          <w:i/>
          <w:iCs/>
          <w:sz w:val="24"/>
          <w:szCs w:val="24"/>
        </w:rPr>
        <w:t>Emilia sonchifolia</w:t>
      </w:r>
      <w:r w:rsidR="001E473E" w:rsidRPr="0046269D">
        <w:rPr>
          <w:rFonts w:ascii="Times New Roman" w:hAnsi="Times New Roman"/>
          <w:sz w:val="24"/>
          <w:szCs w:val="24"/>
        </w:rPr>
        <w:t xml:space="preserve">, followed by </w:t>
      </w:r>
      <w:r w:rsidR="001E473E" w:rsidRPr="0046269D">
        <w:rPr>
          <w:rFonts w:ascii="Times New Roman" w:hAnsi="Times New Roman"/>
          <w:i/>
          <w:iCs/>
          <w:sz w:val="24"/>
          <w:szCs w:val="24"/>
        </w:rPr>
        <w:t>Bridelia ferruginea</w:t>
      </w:r>
      <w:r w:rsidR="001E473E" w:rsidRPr="0046269D">
        <w:rPr>
          <w:rFonts w:ascii="Times New Roman" w:hAnsi="Times New Roman"/>
          <w:sz w:val="24"/>
          <w:szCs w:val="24"/>
        </w:rPr>
        <w:t xml:space="preserve">, and lowest in </w:t>
      </w:r>
      <w:r w:rsidR="001E473E" w:rsidRPr="0046269D">
        <w:rPr>
          <w:rFonts w:ascii="Times New Roman" w:hAnsi="Times New Roman"/>
          <w:i/>
          <w:iCs/>
          <w:sz w:val="24"/>
          <w:szCs w:val="24"/>
        </w:rPr>
        <w:t>Rhizophora racemosa</w:t>
      </w:r>
      <w:r w:rsidR="001E473E" w:rsidRPr="0046269D">
        <w:rPr>
          <w:rFonts w:ascii="Times New Roman" w:hAnsi="Times New Roman"/>
          <w:sz w:val="24"/>
          <w:szCs w:val="24"/>
        </w:rPr>
        <w:t xml:space="preserve">. Flavonoids content was highest in </w:t>
      </w:r>
      <w:r w:rsidR="001E473E" w:rsidRPr="0046269D">
        <w:rPr>
          <w:rFonts w:ascii="Times New Roman" w:hAnsi="Times New Roman"/>
          <w:i/>
          <w:iCs/>
          <w:sz w:val="24"/>
          <w:szCs w:val="24"/>
        </w:rPr>
        <w:t>Emilia sonchifolia</w:t>
      </w:r>
      <w:r w:rsidR="001E473E" w:rsidRPr="0046269D">
        <w:rPr>
          <w:rFonts w:ascii="Times New Roman" w:hAnsi="Times New Roman"/>
          <w:sz w:val="24"/>
          <w:szCs w:val="24"/>
        </w:rPr>
        <w:t xml:space="preserve">, while </w:t>
      </w:r>
      <w:r w:rsidR="001E473E" w:rsidRPr="0046269D">
        <w:rPr>
          <w:rFonts w:ascii="Times New Roman" w:hAnsi="Times New Roman"/>
          <w:i/>
          <w:iCs/>
          <w:sz w:val="24"/>
          <w:szCs w:val="24"/>
        </w:rPr>
        <w:t>Rhizophora racemosa</w:t>
      </w:r>
      <w:r w:rsidR="001E473E" w:rsidRPr="0046269D">
        <w:rPr>
          <w:rFonts w:ascii="Times New Roman" w:hAnsi="Times New Roman"/>
          <w:sz w:val="24"/>
          <w:szCs w:val="24"/>
        </w:rPr>
        <w:t xml:space="preserve"> had slightly more than </w:t>
      </w:r>
      <w:r w:rsidR="001E473E" w:rsidRPr="0046269D">
        <w:rPr>
          <w:rFonts w:ascii="Times New Roman" w:hAnsi="Times New Roman"/>
          <w:i/>
          <w:iCs/>
          <w:sz w:val="24"/>
          <w:szCs w:val="24"/>
        </w:rPr>
        <w:t>Bridelia ferruginea</w:t>
      </w:r>
      <w:r w:rsidR="001E473E" w:rsidRPr="0046269D">
        <w:rPr>
          <w:rFonts w:ascii="Times New Roman" w:hAnsi="Times New Roman"/>
          <w:sz w:val="24"/>
          <w:szCs w:val="24"/>
        </w:rPr>
        <w:t xml:space="preserve">.  Alkaloids and saponins were most abundant in </w:t>
      </w:r>
      <w:r w:rsidR="001E473E" w:rsidRPr="0046269D">
        <w:rPr>
          <w:rFonts w:ascii="Times New Roman" w:hAnsi="Times New Roman"/>
          <w:i/>
          <w:iCs/>
          <w:sz w:val="24"/>
          <w:szCs w:val="24"/>
        </w:rPr>
        <w:t>Rhizophora racemosa</w:t>
      </w:r>
      <w:r w:rsidR="001E473E" w:rsidRPr="0046269D">
        <w:rPr>
          <w:rFonts w:ascii="Times New Roman" w:hAnsi="Times New Roman"/>
          <w:sz w:val="24"/>
          <w:szCs w:val="24"/>
        </w:rPr>
        <w:t xml:space="preserve">, closely followed by </w:t>
      </w:r>
      <w:r w:rsidR="001E473E" w:rsidRPr="0046269D">
        <w:rPr>
          <w:rFonts w:ascii="Times New Roman" w:hAnsi="Times New Roman"/>
          <w:i/>
          <w:iCs/>
          <w:sz w:val="24"/>
          <w:szCs w:val="24"/>
        </w:rPr>
        <w:t>Bridelia ferruginea</w:t>
      </w:r>
      <w:r w:rsidR="001E473E" w:rsidRPr="0046269D">
        <w:rPr>
          <w:rFonts w:ascii="Times New Roman" w:hAnsi="Times New Roman"/>
          <w:sz w:val="24"/>
          <w:szCs w:val="24"/>
        </w:rPr>
        <w:t xml:space="preserve">, and least in </w:t>
      </w:r>
      <w:r w:rsidR="001E473E" w:rsidRPr="0046269D">
        <w:rPr>
          <w:rFonts w:ascii="Times New Roman" w:hAnsi="Times New Roman"/>
          <w:i/>
          <w:iCs/>
          <w:sz w:val="24"/>
          <w:szCs w:val="24"/>
        </w:rPr>
        <w:t>Emilia sonchifolia</w:t>
      </w:r>
      <w:r w:rsidR="001E473E" w:rsidRPr="0046269D">
        <w:rPr>
          <w:rFonts w:ascii="Times New Roman" w:hAnsi="Times New Roman"/>
          <w:sz w:val="24"/>
          <w:szCs w:val="24"/>
        </w:rPr>
        <w:t xml:space="preserve">. Tannins were most concentrated in </w:t>
      </w:r>
      <w:r w:rsidR="001E473E" w:rsidRPr="0046269D">
        <w:rPr>
          <w:rFonts w:ascii="Times New Roman" w:hAnsi="Times New Roman"/>
          <w:i/>
          <w:iCs/>
          <w:sz w:val="24"/>
          <w:szCs w:val="24"/>
        </w:rPr>
        <w:t>Rhizophora racemosa</w:t>
      </w:r>
      <w:r w:rsidR="001E473E" w:rsidRPr="0046269D">
        <w:rPr>
          <w:rFonts w:ascii="Times New Roman" w:hAnsi="Times New Roman"/>
          <w:sz w:val="24"/>
          <w:szCs w:val="24"/>
        </w:rPr>
        <w:t xml:space="preserve">, followed by </w:t>
      </w:r>
      <w:r w:rsidR="001E473E" w:rsidRPr="0046269D">
        <w:rPr>
          <w:rFonts w:ascii="Times New Roman" w:hAnsi="Times New Roman"/>
          <w:i/>
          <w:iCs/>
          <w:sz w:val="24"/>
          <w:szCs w:val="24"/>
        </w:rPr>
        <w:t>Emilia sonchifolia</w:t>
      </w:r>
      <w:r w:rsidR="001E473E" w:rsidRPr="0046269D">
        <w:rPr>
          <w:rFonts w:ascii="Times New Roman" w:hAnsi="Times New Roman"/>
          <w:sz w:val="24"/>
          <w:szCs w:val="24"/>
        </w:rPr>
        <w:t xml:space="preserve">, and then </w:t>
      </w:r>
      <w:r w:rsidR="001E473E" w:rsidRPr="0046269D">
        <w:rPr>
          <w:rFonts w:ascii="Times New Roman" w:hAnsi="Times New Roman"/>
          <w:i/>
          <w:iCs/>
          <w:sz w:val="24"/>
          <w:szCs w:val="24"/>
        </w:rPr>
        <w:t>Bridelia ferruginea</w:t>
      </w:r>
      <w:r w:rsidR="001E473E" w:rsidRPr="0046269D">
        <w:rPr>
          <w:rFonts w:ascii="Times New Roman" w:hAnsi="Times New Roman"/>
          <w:sz w:val="24"/>
          <w:szCs w:val="24"/>
        </w:rPr>
        <w:t>.</w:t>
      </w:r>
    </w:p>
    <w:p w14:paraId="131E0FAC" w14:textId="77777777" w:rsidR="00DA691E" w:rsidRDefault="00DA691E" w:rsidP="00B93071">
      <w:pPr>
        <w:tabs>
          <w:tab w:val="left" w:pos="4176"/>
        </w:tabs>
        <w:spacing w:line="240" w:lineRule="auto"/>
        <w:jc w:val="both"/>
        <w:rPr>
          <w:rFonts w:ascii="Times New Roman" w:hAnsi="Times New Roman"/>
          <w:sz w:val="24"/>
          <w:szCs w:val="24"/>
        </w:rPr>
      </w:pPr>
    </w:p>
    <w:p w14:paraId="034BFF66" w14:textId="77777777" w:rsidR="00DA691E" w:rsidRDefault="00DA691E" w:rsidP="00B93071">
      <w:pPr>
        <w:tabs>
          <w:tab w:val="left" w:pos="4176"/>
        </w:tabs>
        <w:spacing w:line="240" w:lineRule="auto"/>
        <w:jc w:val="both"/>
        <w:rPr>
          <w:rFonts w:ascii="Times New Roman" w:hAnsi="Times New Roman"/>
          <w:sz w:val="24"/>
          <w:szCs w:val="24"/>
        </w:rPr>
      </w:pPr>
    </w:p>
    <w:p w14:paraId="15918B3A" w14:textId="77777777" w:rsidR="00DA691E" w:rsidRDefault="00DA691E" w:rsidP="00B93071">
      <w:pPr>
        <w:tabs>
          <w:tab w:val="left" w:pos="4176"/>
        </w:tabs>
        <w:spacing w:line="240" w:lineRule="auto"/>
        <w:jc w:val="both"/>
        <w:rPr>
          <w:rFonts w:ascii="Times New Roman" w:hAnsi="Times New Roman"/>
          <w:sz w:val="24"/>
          <w:szCs w:val="24"/>
        </w:rPr>
      </w:pPr>
    </w:p>
    <w:p w14:paraId="0B96F922" w14:textId="77777777" w:rsidR="00DA691E" w:rsidRDefault="00DA691E" w:rsidP="00B93071">
      <w:pPr>
        <w:tabs>
          <w:tab w:val="left" w:pos="4176"/>
        </w:tabs>
        <w:spacing w:line="240" w:lineRule="auto"/>
        <w:jc w:val="both"/>
        <w:rPr>
          <w:rFonts w:ascii="Times New Roman" w:hAnsi="Times New Roman"/>
          <w:sz w:val="24"/>
          <w:szCs w:val="24"/>
        </w:rPr>
      </w:pPr>
    </w:p>
    <w:p w14:paraId="39E0354A" w14:textId="77777777" w:rsidR="001E473E" w:rsidRPr="0046269D" w:rsidRDefault="00FD5FEE" w:rsidP="00B93071">
      <w:pPr>
        <w:tabs>
          <w:tab w:val="left" w:pos="4176"/>
        </w:tabs>
        <w:spacing w:line="240" w:lineRule="auto"/>
        <w:jc w:val="both"/>
        <w:rPr>
          <w:rFonts w:ascii="Times New Roman" w:hAnsi="Times New Roman"/>
          <w:sz w:val="24"/>
          <w:szCs w:val="24"/>
        </w:rPr>
      </w:pPr>
      <w:r>
        <w:rPr>
          <w:rFonts w:ascii="Times New Roman" w:hAnsi="Times New Roman"/>
          <w:sz w:val="24"/>
          <w:szCs w:val="24"/>
        </w:rPr>
        <w:t xml:space="preserve">Table </w:t>
      </w:r>
      <w:r w:rsidR="001E473E" w:rsidRPr="0046269D">
        <w:rPr>
          <w:rFonts w:ascii="Times New Roman" w:hAnsi="Times New Roman"/>
          <w:sz w:val="24"/>
          <w:szCs w:val="24"/>
        </w:rPr>
        <w:t>2. Quantitative phytochemical composition of aqueous leaf extracts of</w:t>
      </w:r>
      <w:r w:rsidR="001E473E" w:rsidRPr="0046269D">
        <w:rPr>
          <w:rFonts w:ascii="Times New Roman" w:hAnsi="Times New Roman"/>
          <w:i/>
          <w:iCs/>
          <w:sz w:val="24"/>
          <w:szCs w:val="24"/>
        </w:rPr>
        <w:t xml:space="preserve"> Emilia sonchifolia</w:t>
      </w:r>
      <w:r w:rsidR="001E473E" w:rsidRPr="0046269D">
        <w:rPr>
          <w:rFonts w:ascii="Times New Roman" w:hAnsi="Times New Roman"/>
          <w:sz w:val="24"/>
          <w:szCs w:val="24"/>
        </w:rPr>
        <w:t xml:space="preserve"> and </w:t>
      </w:r>
      <w:r w:rsidR="00D265AA" w:rsidRPr="00D265AA">
        <w:rPr>
          <w:rFonts w:ascii="Times New Roman" w:hAnsi="Times New Roman"/>
          <w:i/>
          <w:iCs/>
          <w:sz w:val="24"/>
          <w:szCs w:val="24"/>
        </w:rPr>
        <w:t>Bridelia ferruginea</w:t>
      </w:r>
      <w:r w:rsidR="001E473E" w:rsidRPr="0046269D">
        <w:rPr>
          <w:rFonts w:ascii="Times New Roman" w:hAnsi="Times New Roman"/>
          <w:sz w:val="24"/>
          <w:szCs w:val="24"/>
        </w:rPr>
        <w:t>,</w:t>
      </w:r>
      <w:r w:rsidR="001E473E" w:rsidRPr="0046269D">
        <w:rPr>
          <w:rFonts w:ascii="Times New Roman" w:hAnsi="Times New Roman"/>
          <w:i/>
          <w:iCs/>
          <w:sz w:val="24"/>
          <w:szCs w:val="24"/>
        </w:rPr>
        <w:t xml:space="preserve"> </w:t>
      </w:r>
      <w:r w:rsidR="001E473E" w:rsidRPr="0046269D">
        <w:rPr>
          <w:rFonts w:ascii="Times New Roman" w:hAnsi="Times New Roman"/>
          <w:sz w:val="24"/>
          <w:szCs w:val="24"/>
        </w:rPr>
        <w:t xml:space="preserve">and aqueous stem-bark extract of </w:t>
      </w:r>
      <w:r w:rsidR="001E473E" w:rsidRPr="0046269D">
        <w:rPr>
          <w:rFonts w:ascii="Times New Roman" w:hAnsi="Times New Roman"/>
          <w:i/>
          <w:iCs/>
          <w:sz w:val="24"/>
          <w:szCs w:val="24"/>
        </w:rPr>
        <w:t>Rhizophora racemosa</w:t>
      </w:r>
      <w:r w:rsidR="001E473E" w:rsidRPr="0046269D">
        <w:rPr>
          <w:rFonts w:ascii="Times New Roman" w:hAnsi="Times New Roman"/>
          <w:sz w:val="24"/>
          <w:szCs w:val="24"/>
        </w:rPr>
        <w:t>.</w:t>
      </w:r>
    </w:p>
    <w:tbl>
      <w:tblPr>
        <w:tblW w:w="0" w:type="auto"/>
        <w:tblBorders>
          <w:top w:val="single" w:sz="4" w:space="0" w:color="auto"/>
          <w:bottom w:val="single" w:sz="4" w:space="0" w:color="auto"/>
        </w:tblBorders>
        <w:tblLook w:val="04A0" w:firstRow="1" w:lastRow="0" w:firstColumn="1" w:lastColumn="0" w:noHBand="0" w:noVBand="1"/>
      </w:tblPr>
      <w:tblGrid>
        <w:gridCol w:w="2380"/>
        <w:gridCol w:w="1877"/>
        <w:gridCol w:w="1407"/>
        <w:gridCol w:w="1877"/>
        <w:gridCol w:w="1819"/>
      </w:tblGrid>
      <w:tr w:rsidR="001E473E" w:rsidRPr="004767AA" w14:paraId="1E80217B" w14:textId="77777777" w:rsidTr="00AA3649">
        <w:tc>
          <w:tcPr>
            <w:tcW w:w="2380" w:type="dxa"/>
            <w:tcBorders>
              <w:top w:val="single" w:sz="4" w:space="0" w:color="auto"/>
              <w:bottom w:val="single" w:sz="4" w:space="0" w:color="auto"/>
            </w:tcBorders>
          </w:tcPr>
          <w:p w14:paraId="69692A9A" w14:textId="77777777" w:rsidR="001E473E" w:rsidRPr="004767AA" w:rsidRDefault="001E473E" w:rsidP="00B93071">
            <w:pPr>
              <w:tabs>
                <w:tab w:val="left" w:pos="4176"/>
              </w:tabs>
              <w:spacing w:after="0" w:line="240" w:lineRule="auto"/>
              <w:jc w:val="both"/>
              <w:rPr>
                <w:rFonts w:ascii="Times New Roman" w:hAnsi="Times New Roman"/>
                <w:sz w:val="24"/>
                <w:szCs w:val="24"/>
              </w:rPr>
            </w:pPr>
          </w:p>
        </w:tc>
        <w:tc>
          <w:tcPr>
            <w:tcW w:w="1877" w:type="dxa"/>
            <w:tcBorders>
              <w:top w:val="single" w:sz="4" w:space="0" w:color="auto"/>
              <w:bottom w:val="single" w:sz="4" w:space="0" w:color="auto"/>
            </w:tcBorders>
          </w:tcPr>
          <w:p w14:paraId="0294442B"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i/>
                <w:iCs/>
                <w:sz w:val="24"/>
                <w:szCs w:val="24"/>
              </w:rPr>
              <w:t>Emilia sonchifolia</w:t>
            </w:r>
          </w:p>
        </w:tc>
        <w:tc>
          <w:tcPr>
            <w:tcW w:w="1407" w:type="dxa"/>
            <w:tcBorders>
              <w:top w:val="single" w:sz="4" w:space="0" w:color="auto"/>
              <w:bottom w:val="single" w:sz="4" w:space="0" w:color="auto"/>
            </w:tcBorders>
          </w:tcPr>
          <w:p w14:paraId="0D07E085" w14:textId="77777777" w:rsidR="001E473E" w:rsidRPr="004767AA" w:rsidRDefault="001E473E" w:rsidP="00B93071">
            <w:pPr>
              <w:tabs>
                <w:tab w:val="left" w:pos="4176"/>
              </w:tabs>
              <w:spacing w:after="0" w:line="240" w:lineRule="auto"/>
              <w:jc w:val="both"/>
              <w:rPr>
                <w:rFonts w:ascii="Times New Roman" w:hAnsi="Times New Roman"/>
                <w:i/>
                <w:iCs/>
                <w:sz w:val="24"/>
                <w:szCs w:val="24"/>
              </w:rPr>
            </w:pPr>
          </w:p>
        </w:tc>
        <w:tc>
          <w:tcPr>
            <w:tcW w:w="1877" w:type="dxa"/>
            <w:tcBorders>
              <w:top w:val="single" w:sz="4" w:space="0" w:color="auto"/>
              <w:bottom w:val="single" w:sz="4" w:space="0" w:color="auto"/>
            </w:tcBorders>
          </w:tcPr>
          <w:p w14:paraId="023CF8F5" w14:textId="77777777" w:rsidR="001E473E" w:rsidRPr="004767AA" w:rsidRDefault="00D265AA" w:rsidP="00B93071">
            <w:pPr>
              <w:tabs>
                <w:tab w:val="left" w:pos="4176"/>
              </w:tabs>
              <w:spacing w:after="0" w:line="240" w:lineRule="auto"/>
              <w:jc w:val="both"/>
              <w:rPr>
                <w:rFonts w:ascii="Times New Roman" w:hAnsi="Times New Roman"/>
                <w:i/>
                <w:iCs/>
                <w:sz w:val="24"/>
                <w:szCs w:val="24"/>
              </w:rPr>
            </w:pPr>
            <w:r w:rsidRPr="00D265AA">
              <w:rPr>
                <w:rFonts w:ascii="Times New Roman" w:hAnsi="Times New Roman"/>
                <w:i/>
                <w:iCs/>
                <w:sz w:val="24"/>
                <w:szCs w:val="24"/>
              </w:rPr>
              <w:t>Bridelia ferruginea</w:t>
            </w:r>
          </w:p>
        </w:tc>
        <w:tc>
          <w:tcPr>
            <w:tcW w:w="1819" w:type="dxa"/>
            <w:tcBorders>
              <w:top w:val="single" w:sz="4" w:space="0" w:color="auto"/>
              <w:bottom w:val="single" w:sz="4" w:space="0" w:color="auto"/>
            </w:tcBorders>
          </w:tcPr>
          <w:p w14:paraId="782780AB" w14:textId="77777777" w:rsidR="001E473E" w:rsidRPr="004767AA" w:rsidRDefault="001E473E" w:rsidP="00B93071">
            <w:pPr>
              <w:tabs>
                <w:tab w:val="left" w:pos="4176"/>
              </w:tabs>
              <w:spacing w:after="0" w:line="240" w:lineRule="auto"/>
              <w:jc w:val="both"/>
              <w:rPr>
                <w:rFonts w:ascii="Times New Roman" w:hAnsi="Times New Roman"/>
                <w:i/>
                <w:iCs/>
                <w:sz w:val="24"/>
                <w:szCs w:val="24"/>
              </w:rPr>
            </w:pPr>
            <w:r w:rsidRPr="004767AA">
              <w:rPr>
                <w:rFonts w:ascii="Times New Roman" w:hAnsi="Times New Roman"/>
                <w:i/>
                <w:iCs/>
                <w:sz w:val="24"/>
                <w:szCs w:val="24"/>
              </w:rPr>
              <w:t>Rhizophora racemosa</w:t>
            </w:r>
          </w:p>
        </w:tc>
      </w:tr>
      <w:tr w:rsidR="001E473E" w:rsidRPr="004767AA" w14:paraId="4FC6AF5E" w14:textId="77777777" w:rsidTr="00AA3649">
        <w:tc>
          <w:tcPr>
            <w:tcW w:w="2380" w:type="dxa"/>
            <w:tcBorders>
              <w:top w:val="single" w:sz="4" w:space="0" w:color="auto"/>
            </w:tcBorders>
          </w:tcPr>
          <w:p w14:paraId="34912AD9"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Total phenolics (mg GAE/g)</w:t>
            </w:r>
          </w:p>
        </w:tc>
        <w:tc>
          <w:tcPr>
            <w:tcW w:w="1877" w:type="dxa"/>
            <w:tcBorders>
              <w:top w:val="single" w:sz="4" w:space="0" w:color="auto"/>
            </w:tcBorders>
          </w:tcPr>
          <w:p w14:paraId="4025A564"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166.07+1.88</w:t>
            </w:r>
            <w:r w:rsidRPr="004767AA">
              <w:rPr>
                <w:rFonts w:ascii="Times New Roman" w:hAnsi="Times New Roman"/>
                <w:sz w:val="24"/>
                <w:szCs w:val="24"/>
                <w:vertAlign w:val="superscript"/>
              </w:rPr>
              <w:t>a</w:t>
            </w:r>
          </w:p>
        </w:tc>
        <w:tc>
          <w:tcPr>
            <w:tcW w:w="1407" w:type="dxa"/>
            <w:tcBorders>
              <w:top w:val="single" w:sz="4" w:space="0" w:color="auto"/>
            </w:tcBorders>
          </w:tcPr>
          <w:p w14:paraId="7F46D001" w14:textId="77777777" w:rsidR="001E473E" w:rsidRPr="004767AA" w:rsidRDefault="001E473E" w:rsidP="00B93071">
            <w:pPr>
              <w:tabs>
                <w:tab w:val="left" w:pos="4176"/>
              </w:tabs>
              <w:spacing w:after="0" w:line="240" w:lineRule="auto"/>
              <w:jc w:val="both"/>
              <w:rPr>
                <w:rFonts w:ascii="Times New Roman" w:hAnsi="Times New Roman"/>
                <w:sz w:val="24"/>
                <w:szCs w:val="24"/>
              </w:rPr>
            </w:pPr>
          </w:p>
        </w:tc>
        <w:tc>
          <w:tcPr>
            <w:tcW w:w="1877" w:type="dxa"/>
            <w:tcBorders>
              <w:top w:val="single" w:sz="4" w:space="0" w:color="auto"/>
            </w:tcBorders>
          </w:tcPr>
          <w:p w14:paraId="5AA6BF08"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149.05+3.15</w:t>
            </w:r>
            <w:r w:rsidRPr="004767AA">
              <w:rPr>
                <w:rFonts w:ascii="Times New Roman" w:hAnsi="Times New Roman"/>
                <w:sz w:val="24"/>
                <w:szCs w:val="24"/>
                <w:vertAlign w:val="superscript"/>
              </w:rPr>
              <w:t>b</w:t>
            </w:r>
          </w:p>
        </w:tc>
        <w:tc>
          <w:tcPr>
            <w:tcW w:w="1819" w:type="dxa"/>
            <w:tcBorders>
              <w:top w:val="single" w:sz="4" w:space="0" w:color="auto"/>
            </w:tcBorders>
          </w:tcPr>
          <w:p w14:paraId="49FB7BB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134.88+2.11</w:t>
            </w:r>
            <w:r w:rsidRPr="004767AA">
              <w:rPr>
                <w:rFonts w:ascii="Times New Roman" w:hAnsi="Times New Roman"/>
                <w:sz w:val="24"/>
                <w:szCs w:val="24"/>
                <w:vertAlign w:val="superscript"/>
              </w:rPr>
              <w:t>c</w:t>
            </w:r>
          </w:p>
        </w:tc>
      </w:tr>
      <w:tr w:rsidR="001E473E" w:rsidRPr="004767AA" w14:paraId="63585CC5" w14:textId="77777777" w:rsidTr="00AA3649">
        <w:tc>
          <w:tcPr>
            <w:tcW w:w="2380" w:type="dxa"/>
          </w:tcPr>
          <w:p w14:paraId="14427B59"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Flavonoids (mg QE/g)</w:t>
            </w:r>
          </w:p>
        </w:tc>
        <w:tc>
          <w:tcPr>
            <w:tcW w:w="1877" w:type="dxa"/>
          </w:tcPr>
          <w:p w14:paraId="5582C2C6"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287.18+8.42</w:t>
            </w:r>
            <w:r w:rsidRPr="004767AA">
              <w:rPr>
                <w:rFonts w:ascii="Times New Roman" w:hAnsi="Times New Roman"/>
                <w:sz w:val="24"/>
                <w:szCs w:val="24"/>
                <w:vertAlign w:val="superscript"/>
              </w:rPr>
              <w:t>a</w:t>
            </w:r>
          </w:p>
        </w:tc>
        <w:tc>
          <w:tcPr>
            <w:tcW w:w="1407" w:type="dxa"/>
          </w:tcPr>
          <w:p w14:paraId="1476FDAC" w14:textId="77777777" w:rsidR="001E473E" w:rsidRPr="004767AA" w:rsidRDefault="001E473E" w:rsidP="00B93071">
            <w:pPr>
              <w:tabs>
                <w:tab w:val="left" w:pos="4176"/>
              </w:tabs>
              <w:spacing w:after="0" w:line="240" w:lineRule="auto"/>
              <w:jc w:val="both"/>
              <w:rPr>
                <w:rFonts w:ascii="Times New Roman" w:hAnsi="Times New Roman"/>
                <w:sz w:val="24"/>
                <w:szCs w:val="24"/>
              </w:rPr>
            </w:pPr>
          </w:p>
        </w:tc>
        <w:tc>
          <w:tcPr>
            <w:tcW w:w="1877" w:type="dxa"/>
          </w:tcPr>
          <w:p w14:paraId="33EE7DD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254.63+3.83</w:t>
            </w:r>
            <w:r w:rsidRPr="004767AA">
              <w:rPr>
                <w:rFonts w:ascii="Times New Roman" w:hAnsi="Times New Roman"/>
                <w:sz w:val="24"/>
                <w:szCs w:val="24"/>
                <w:vertAlign w:val="superscript"/>
              </w:rPr>
              <w:t>b</w:t>
            </w:r>
          </w:p>
        </w:tc>
        <w:tc>
          <w:tcPr>
            <w:tcW w:w="1819" w:type="dxa"/>
          </w:tcPr>
          <w:p w14:paraId="5F5F3A9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259.24+3.83</w:t>
            </w:r>
            <w:r w:rsidRPr="004767AA">
              <w:rPr>
                <w:rFonts w:ascii="Times New Roman" w:hAnsi="Times New Roman"/>
                <w:sz w:val="24"/>
                <w:szCs w:val="24"/>
                <w:vertAlign w:val="superscript"/>
              </w:rPr>
              <w:t>b</w:t>
            </w:r>
          </w:p>
        </w:tc>
      </w:tr>
      <w:tr w:rsidR="001E473E" w:rsidRPr="004767AA" w14:paraId="1642D2A2" w14:textId="77777777" w:rsidTr="00AA3649">
        <w:tc>
          <w:tcPr>
            <w:tcW w:w="2380" w:type="dxa"/>
          </w:tcPr>
          <w:p w14:paraId="4FEBD333"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Alkaloids (mg AE/g</w:t>
            </w:r>
          </w:p>
        </w:tc>
        <w:tc>
          <w:tcPr>
            <w:tcW w:w="1877" w:type="dxa"/>
          </w:tcPr>
          <w:p w14:paraId="25121901"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116.31+5.55</w:t>
            </w:r>
            <w:r w:rsidRPr="004767AA">
              <w:rPr>
                <w:rFonts w:ascii="Times New Roman" w:hAnsi="Times New Roman"/>
                <w:sz w:val="24"/>
                <w:szCs w:val="24"/>
                <w:vertAlign w:val="superscript"/>
              </w:rPr>
              <w:t>a</w:t>
            </w:r>
          </w:p>
        </w:tc>
        <w:tc>
          <w:tcPr>
            <w:tcW w:w="1407" w:type="dxa"/>
          </w:tcPr>
          <w:p w14:paraId="42560E29" w14:textId="77777777" w:rsidR="001E473E" w:rsidRPr="004767AA" w:rsidRDefault="001E473E" w:rsidP="00B93071">
            <w:pPr>
              <w:tabs>
                <w:tab w:val="left" w:pos="4176"/>
              </w:tabs>
              <w:spacing w:after="0" w:line="240" w:lineRule="auto"/>
              <w:jc w:val="both"/>
              <w:rPr>
                <w:rFonts w:ascii="Times New Roman" w:hAnsi="Times New Roman"/>
                <w:sz w:val="24"/>
                <w:szCs w:val="24"/>
              </w:rPr>
            </w:pPr>
          </w:p>
        </w:tc>
        <w:tc>
          <w:tcPr>
            <w:tcW w:w="1877" w:type="dxa"/>
          </w:tcPr>
          <w:p w14:paraId="7A6A09B7"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124.18+3.73</w:t>
            </w:r>
            <w:r w:rsidR="007872E8">
              <w:rPr>
                <w:rFonts w:ascii="Times New Roman" w:hAnsi="Times New Roman"/>
                <w:sz w:val="24"/>
                <w:szCs w:val="24"/>
                <w:vertAlign w:val="superscript"/>
              </w:rPr>
              <w:t>b</w:t>
            </w:r>
          </w:p>
        </w:tc>
        <w:tc>
          <w:tcPr>
            <w:tcW w:w="1819" w:type="dxa"/>
          </w:tcPr>
          <w:p w14:paraId="5103B4FB"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126.78+1.39</w:t>
            </w:r>
            <w:r w:rsidR="007872E8">
              <w:rPr>
                <w:rFonts w:ascii="Times New Roman" w:hAnsi="Times New Roman"/>
                <w:sz w:val="24"/>
                <w:szCs w:val="24"/>
                <w:vertAlign w:val="superscript"/>
              </w:rPr>
              <w:t>b</w:t>
            </w:r>
          </w:p>
        </w:tc>
      </w:tr>
      <w:tr w:rsidR="001E473E" w:rsidRPr="004767AA" w14:paraId="63593A88" w14:textId="77777777" w:rsidTr="00AA3649">
        <w:tc>
          <w:tcPr>
            <w:tcW w:w="2380" w:type="dxa"/>
          </w:tcPr>
          <w:p w14:paraId="1C975557" w14:textId="77777777" w:rsidR="001E473E" w:rsidRPr="004767AA" w:rsidRDefault="008462B8" w:rsidP="00B93071">
            <w:pPr>
              <w:tabs>
                <w:tab w:val="left" w:pos="4176"/>
              </w:tabs>
              <w:spacing w:after="0" w:line="240" w:lineRule="auto"/>
              <w:jc w:val="both"/>
              <w:rPr>
                <w:rFonts w:ascii="Times New Roman" w:hAnsi="Times New Roman"/>
                <w:sz w:val="24"/>
                <w:szCs w:val="24"/>
              </w:rPr>
            </w:pPr>
            <w:r>
              <w:rPr>
                <w:rFonts w:ascii="Times New Roman" w:hAnsi="Times New Roman"/>
                <w:sz w:val="24"/>
                <w:szCs w:val="24"/>
              </w:rPr>
              <w:t>Sapon</w:t>
            </w:r>
            <w:r w:rsidR="001E473E" w:rsidRPr="004767AA">
              <w:rPr>
                <w:rFonts w:ascii="Times New Roman" w:hAnsi="Times New Roman"/>
                <w:sz w:val="24"/>
                <w:szCs w:val="24"/>
              </w:rPr>
              <w:t>ins mg/100g)</w:t>
            </w:r>
          </w:p>
        </w:tc>
        <w:tc>
          <w:tcPr>
            <w:tcW w:w="1877" w:type="dxa"/>
          </w:tcPr>
          <w:p w14:paraId="74B19ED4"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94.52+4.41</w:t>
            </w:r>
            <w:r w:rsidRPr="004767AA">
              <w:rPr>
                <w:rFonts w:ascii="Times New Roman" w:hAnsi="Times New Roman"/>
                <w:sz w:val="24"/>
                <w:szCs w:val="24"/>
                <w:vertAlign w:val="superscript"/>
              </w:rPr>
              <w:t>a</w:t>
            </w:r>
          </w:p>
        </w:tc>
        <w:tc>
          <w:tcPr>
            <w:tcW w:w="1407" w:type="dxa"/>
          </w:tcPr>
          <w:p w14:paraId="5D271C02" w14:textId="77777777" w:rsidR="001E473E" w:rsidRPr="004767AA" w:rsidRDefault="001E473E" w:rsidP="00B93071">
            <w:pPr>
              <w:tabs>
                <w:tab w:val="left" w:pos="4176"/>
              </w:tabs>
              <w:spacing w:after="0" w:line="240" w:lineRule="auto"/>
              <w:jc w:val="both"/>
              <w:rPr>
                <w:rFonts w:ascii="Times New Roman" w:hAnsi="Times New Roman"/>
                <w:sz w:val="24"/>
                <w:szCs w:val="24"/>
              </w:rPr>
            </w:pPr>
          </w:p>
        </w:tc>
        <w:tc>
          <w:tcPr>
            <w:tcW w:w="1877" w:type="dxa"/>
          </w:tcPr>
          <w:p w14:paraId="406A4F45"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125.76+4.54</w:t>
            </w:r>
            <w:r w:rsidRPr="004767AA">
              <w:rPr>
                <w:rFonts w:ascii="Times New Roman" w:hAnsi="Times New Roman"/>
                <w:sz w:val="24"/>
                <w:szCs w:val="24"/>
                <w:vertAlign w:val="superscript"/>
              </w:rPr>
              <w:t>b</w:t>
            </w:r>
          </w:p>
        </w:tc>
        <w:tc>
          <w:tcPr>
            <w:tcW w:w="1819" w:type="dxa"/>
          </w:tcPr>
          <w:p w14:paraId="496FDC0A"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133.75+1.34</w:t>
            </w:r>
            <w:r w:rsidRPr="004767AA">
              <w:rPr>
                <w:rFonts w:ascii="Times New Roman" w:hAnsi="Times New Roman"/>
                <w:sz w:val="24"/>
                <w:szCs w:val="24"/>
                <w:vertAlign w:val="superscript"/>
              </w:rPr>
              <w:t>c</w:t>
            </w:r>
          </w:p>
        </w:tc>
      </w:tr>
      <w:tr w:rsidR="001E473E" w:rsidRPr="004767AA" w14:paraId="3D50DAB7" w14:textId="77777777" w:rsidTr="00AA3649">
        <w:tc>
          <w:tcPr>
            <w:tcW w:w="2380" w:type="dxa"/>
          </w:tcPr>
          <w:p w14:paraId="71275782" w14:textId="77777777" w:rsidR="001E473E" w:rsidRPr="004767AA" w:rsidRDefault="0092783B" w:rsidP="00B93071">
            <w:pPr>
              <w:tabs>
                <w:tab w:val="left" w:pos="4176"/>
              </w:tabs>
              <w:spacing w:after="0" w:line="240" w:lineRule="auto"/>
              <w:jc w:val="both"/>
              <w:rPr>
                <w:rFonts w:ascii="Times New Roman" w:hAnsi="Times New Roman"/>
                <w:sz w:val="24"/>
                <w:szCs w:val="24"/>
              </w:rPr>
            </w:pPr>
            <w:r>
              <w:rPr>
                <w:rFonts w:ascii="Times New Roman" w:hAnsi="Times New Roman"/>
                <w:sz w:val="24"/>
                <w:szCs w:val="24"/>
              </w:rPr>
              <w:t xml:space="preserve">Tannins (mg </w:t>
            </w:r>
            <w:r w:rsidR="001E473E" w:rsidRPr="004767AA">
              <w:rPr>
                <w:rFonts w:ascii="Times New Roman" w:hAnsi="Times New Roman"/>
                <w:sz w:val="24"/>
                <w:szCs w:val="24"/>
              </w:rPr>
              <w:t>/</w:t>
            </w:r>
            <w:r>
              <w:rPr>
                <w:rFonts w:ascii="Times New Roman" w:hAnsi="Times New Roman"/>
                <w:sz w:val="24"/>
                <w:szCs w:val="24"/>
              </w:rPr>
              <w:t>100</w:t>
            </w:r>
            <w:r w:rsidR="001E473E" w:rsidRPr="004767AA">
              <w:rPr>
                <w:rFonts w:ascii="Times New Roman" w:hAnsi="Times New Roman"/>
                <w:sz w:val="24"/>
                <w:szCs w:val="24"/>
              </w:rPr>
              <w:t>g)</w:t>
            </w:r>
          </w:p>
        </w:tc>
        <w:tc>
          <w:tcPr>
            <w:tcW w:w="1877" w:type="dxa"/>
          </w:tcPr>
          <w:p w14:paraId="0D5509D8"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202.92+6.82</w:t>
            </w:r>
            <w:r w:rsidRPr="004767AA">
              <w:rPr>
                <w:rFonts w:ascii="Times New Roman" w:hAnsi="Times New Roman"/>
                <w:sz w:val="24"/>
                <w:szCs w:val="24"/>
                <w:vertAlign w:val="superscript"/>
              </w:rPr>
              <w:t>a</w:t>
            </w:r>
          </w:p>
        </w:tc>
        <w:tc>
          <w:tcPr>
            <w:tcW w:w="1407" w:type="dxa"/>
          </w:tcPr>
          <w:p w14:paraId="12676170" w14:textId="77777777" w:rsidR="001E473E" w:rsidRPr="004767AA" w:rsidRDefault="001E473E" w:rsidP="00B93071">
            <w:pPr>
              <w:tabs>
                <w:tab w:val="left" w:pos="4176"/>
              </w:tabs>
              <w:spacing w:after="0" w:line="240" w:lineRule="auto"/>
              <w:jc w:val="both"/>
              <w:rPr>
                <w:rFonts w:ascii="Times New Roman" w:hAnsi="Times New Roman"/>
                <w:sz w:val="24"/>
                <w:szCs w:val="24"/>
              </w:rPr>
            </w:pPr>
          </w:p>
        </w:tc>
        <w:tc>
          <w:tcPr>
            <w:tcW w:w="1877" w:type="dxa"/>
          </w:tcPr>
          <w:p w14:paraId="2311C17B"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170.70+3.83</w:t>
            </w:r>
            <w:r w:rsidRPr="004767AA">
              <w:rPr>
                <w:rFonts w:ascii="Times New Roman" w:hAnsi="Times New Roman"/>
                <w:sz w:val="24"/>
                <w:szCs w:val="24"/>
                <w:vertAlign w:val="superscript"/>
              </w:rPr>
              <w:t>b</w:t>
            </w:r>
          </w:p>
        </w:tc>
        <w:tc>
          <w:tcPr>
            <w:tcW w:w="1819" w:type="dxa"/>
          </w:tcPr>
          <w:p w14:paraId="7B386392"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212.36+3.40</w:t>
            </w:r>
            <w:r w:rsidRPr="004767AA">
              <w:rPr>
                <w:rFonts w:ascii="Times New Roman" w:hAnsi="Times New Roman"/>
                <w:sz w:val="24"/>
                <w:szCs w:val="24"/>
                <w:vertAlign w:val="superscript"/>
              </w:rPr>
              <w:t>c</w:t>
            </w:r>
          </w:p>
        </w:tc>
      </w:tr>
    </w:tbl>
    <w:p w14:paraId="61E36FED" w14:textId="77777777" w:rsidR="001E473E" w:rsidRDefault="001E473E" w:rsidP="00B93071">
      <w:pPr>
        <w:spacing w:line="240" w:lineRule="auto"/>
        <w:jc w:val="both"/>
        <w:rPr>
          <w:rFonts w:ascii="Times New Roman" w:hAnsi="Times New Roman"/>
          <w:bCs/>
          <w:sz w:val="24"/>
          <w:szCs w:val="24"/>
        </w:rPr>
      </w:pPr>
      <w:r w:rsidRPr="004767AA">
        <w:rPr>
          <w:rFonts w:ascii="Times New Roman" w:hAnsi="Times New Roman"/>
          <w:sz w:val="24"/>
          <w:szCs w:val="24"/>
        </w:rPr>
        <w:t>Data are expressed as the mean ± SD (n = 3).</w:t>
      </w:r>
      <w:r w:rsidRPr="004767AA">
        <w:rPr>
          <w:rFonts w:ascii="Times New Roman" w:hAnsi="Times New Roman"/>
          <w:bCs/>
          <w:sz w:val="24"/>
          <w:szCs w:val="24"/>
        </w:rPr>
        <w:t xml:space="preserve"> Means within the same row carrying dif</w:t>
      </w:r>
      <w:r w:rsidR="007872E8">
        <w:rPr>
          <w:rFonts w:ascii="Times New Roman" w:hAnsi="Times New Roman"/>
          <w:bCs/>
          <w:sz w:val="24"/>
          <w:szCs w:val="24"/>
        </w:rPr>
        <w:t>ferent superscripts (a, b, c</w:t>
      </w:r>
      <w:r w:rsidRPr="004767AA">
        <w:rPr>
          <w:rFonts w:ascii="Times New Roman" w:hAnsi="Times New Roman"/>
          <w:bCs/>
          <w:sz w:val="24"/>
          <w:szCs w:val="24"/>
        </w:rPr>
        <w:t>) are signiﬁcantly different (</w:t>
      </w:r>
      <w:r w:rsidRPr="004767AA">
        <w:rPr>
          <w:rFonts w:ascii="Times New Roman" w:hAnsi="Times New Roman"/>
          <w:bCs/>
          <w:i/>
          <w:iCs/>
          <w:sz w:val="24"/>
          <w:szCs w:val="24"/>
        </w:rPr>
        <w:t>p</w:t>
      </w:r>
      <w:bookmarkStart w:id="1" w:name="_Hlk207568673"/>
      <w:bookmarkStart w:id="2" w:name="_Hlk203192260"/>
      <w:r>
        <w:rPr>
          <w:rFonts w:ascii="Times New Roman" w:hAnsi="Times New Roman"/>
          <w:bCs/>
          <w:sz w:val="24"/>
          <w:szCs w:val="24"/>
        </w:rPr>
        <w:t xml:space="preserve"> &lt; 0.05).</w:t>
      </w:r>
    </w:p>
    <w:bookmarkEnd w:id="1"/>
    <w:bookmarkEnd w:id="2"/>
    <w:p w14:paraId="6D49C1F1" w14:textId="77777777" w:rsidR="00AA2437" w:rsidRPr="0015299F" w:rsidRDefault="00AA2437" w:rsidP="00B93071">
      <w:pPr>
        <w:tabs>
          <w:tab w:val="left" w:pos="4176"/>
        </w:tabs>
        <w:spacing w:line="240" w:lineRule="auto"/>
        <w:jc w:val="both"/>
        <w:rPr>
          <w:rFonts w:ascii="Times New Roman" w:hAnsi="Times New Roman"/>
          <w:sz w:val="24"/>
          <w:szCs w:val="24"/>
        </w:rPr>
      </w:pPr>
    </w:p>
    <w:p w14:paraId="41A23B81" w14:textId="77777777" w:rsidR="00B7310A" w:rsidRPr="00B7310A" w:rsidRDefault="00AA2437" w:rsidP="00D649AF">
      <w:pPr>
        <w:spacing w:line="240" w:lineRule="auto"/>
        <w:rPr>
          <w:rFonts w:ascii="Times New Roman" w:hAnsi="Times New Roman"/>
          <w:b/>
          <w:bCs/>
          <w:sz w:val="24"/>
          <w:szCs w:val="24"/>
        </w:rPr>
      </w:pPr>
      <w:r w:rsidRPr="00AA2437">
        <w:rPr>
          <w:rFonts w:ascii="Times New Roman" w:hAnsi="Times New Roman"/>
          <w:b/>
          <w:bCs/>
          <w:sz w:val="24"/>
          <w:szCs w:val="24"/>
        </w:rPr>
        <w:t>Discussion</w:t>
      </w:r>
    </w:p>
    <w:p w14:paraId="2A99BAB7" w14:textId="77777777" w:rsidR="00E16EF2" w:rsidRPr="00E16EF2" w:rsidRDefault="00E16EF2" w:rsidP="00E16EF2">
      <w:pPr>
        <w:spacing w:line="240" w:lineRule="auto"/>
        <w:jc w:val="both"/>
        <w:rPr>
          <w:rFonts w:ascii="Times New Roman" w:hAnsi="Times New Roman"/>
          <w:sz w:val="24"/>
          <w:szCs w:val="24"/>
        </w:rPr>
      </w:pPr>
      <w:r w:rsidRPr="00E16EF2">
        <w:rPr>
          <w:rFonts w:ascii="Times New Roman" w:hAnsi="Times New Roman"/>
          <w:sz w:val="24"/>
          <w:szCs w:val="24"/>
        </w:rPr>
        <w:t>The present investigation demonstrated marked differences in the phytochemical composition of aqueous extracts of Emilia sonchifolia, Bridelia ferruginea, and Rhizophora racemosa. Variations were observed in both the qualitative presence and quantitative levels of major secondary metabolites, suggesting that each plant species possesses distinct biochemical characteristics that may influence its medicinal usefulness. These findings further support the ethnomedicinal relevance of the plants and agree with earlier reports indicating that phytochemical composition is influenced by plant species, ecological factors, and environmental conditions (Yadav &amp; Meena, 2021; Chihomvu et al., 2024).</w:t>
      </w:r>
    </w:p>
    <w:p w14:paraId="669CB733" w14:textId="77777777" w:rsidR="00E16EF2" w:rsidRPr="00E16EF2" w:rsidRDefault="00E16EF2" w:rsidP="00E16EF2">
      <w:pPr>
        <w:spacing w:line="240" w:lineRule="auto"/>
        <w:jc w:val="both"/>
        <w:rPr>
          <w:rFonts w:ascii="Times New Roman" w:hAnsi="Times New Roman"/>
          <w:sz w:val="24"/>
          <w:szCs w:val="24"/>
        </w:rPr>
      </w:pPr>
      <w:r w:rsidRPr="00E16EF2">
        <w:rPr>
          <w:rFonts w:ascii="Times New Roman" w:hAnsi="Times New Roman"/>
          <w:sz w:val="24"/>
          <w:szCs w:val="24"/>
        </w:rPr>
        <w:t>Flavonoids were prominently detected in E. sonchifolia and R. racemosa, whereas B. ferruginea showed comparatively moderate levels. Quantitative analysis confirmed that E. sonchifolia contained the highest flavonoid concentration among the three species. Since flavonoids are widely recognized for their antioxidant and anti-inflammatory activities, the elevated concentration observed in E. sonchifolia may partly explain its therapeutic importance in traditional medicine (Zahra et al., 2024). Earlier investigations by Ugwoke et al. (2021) similarly reported high flavonoid and phenolic levels in E. sonchifolia and linked these compounds to strong antioxidant activity. Likewise, previous studies involving Rhizophora species have shown that their flavonoid-rich composition contributes significantly to free radical scavenging properties (Sadeer et al., 2023). A similar trend was observed for total phenolic content, where E. sonchifolia recorded the highest value, further suggesting that the plant may serve as a valuable natural antioxidant source. Comparable antioxidant-related phenolic contents have also been documented in B. ferruginea extracts (Ojo et al., 2022).</w:t>
      </w:r>
    </w:p>
    <w:p w14:paraId="252D0CA0" w14:textId="77777777" w:rsidR="00E16EF2" w:rsidRPr="00E16EF2" w:rsidRDefault="00E16EF2" w:rsidP="00E16EF2">
      <w:pPr>
        <w:spacing w:line="240" w:lineRule="auto"/>
        <w:jc w:val="both"/>
        <w:rPr>
          <w:rFonts w:ascii="Times New Roman" w:hAnsi="Times New Roman"/>
          <w:sz w:val="24"/>
          <w:szCs w:val="24"/>
        </w:rPr>
      </w:pPr>
      <w:r w:rsidRPr="00E16EF2">
        <w:rPr>
          <w:rFonts w:ascii="Times New Roman" w:hAnsi="Times New Roman"/>
          <w:sz w:val="24"/>
          <w:szCs w:val="24"/>
        </w:rPr>
        <w:t>The qualitative screening revealed strong alkaloid presence across all three plants, although quantitative estimation showed that R. racemosa and B. ferruginea possessed slightly higher alkaloid concentrations than E. sonchifolia. Such differences may be associated with variability in alkaloid subclasses or extraction efficiency. Previous research has linked the rich alkaloid content of B. ferruginea to its antimicrobial potential (Yeboah et al., 2022). Similarly, Dahibhate et al. (2020) identified bioactive alkaloids in mangrove species including Rhizophora racemosa. Because alkaloids are known to exhibit antimicrobial and neuropharmacological activities, the concentrations observed in the present study suggest that these plants may possess important therapeutic properties (Yan et al., 2021; Andrés et al., 2024).</w:t>
      </w:r>
    </w:p>
    <w:p w14:paraId="4C4A1B95" w14:textId="77777777" w:rsidR="00E16EF2" w:rsidRPr="00E16EF2" w:rsidRDefault="00E16EF2" w:rsidP="00E16EF2">
      <w:pPr>
        <w:spacing w:line="240" w:lineRule="auto"/>
        <w:jc w:val="both"/>
        <w:rPr>
          <w:rFonts w:ascii="Times New Roman" w:hAnsi="Times New Roman"/>
          <w:sz w:val="24"/>
          <w:szCs w:val="24"/>
        </w:rPr>
      </w:pPr>
      <w:r w:rsidRPr="00E16EF2">
        <w:rPr>
          <w:rFonts w:ascii="Times New Roman" w:hAnsi="Times New Roman"/>
          <w:sz w:val="24"/>
          <w:szCs w:val="24"/>
        </w:rPr>
        <w:lastRenderedPageBreak/>
        <w:t>Saponins were detected in all investigated plants, with the highest concentration occurring in R. racemosa. These metabolites are known for their immunomodulatory, membrane-active, and antimicrobial properties (Shen et al., 2023). The elevated saponin content observed in R. racemosa may therefore contribute to its traditional use in the management of infections and inflammatory conditions. Similar observations have been reported in mangrove plants where saponins are believed to function as protective compounds against microbial attack in stressful habitats (Sadeer et al., 2023). Tannins were also abundant, particularly in R. racemosa and E. sonchifolia. High tannin concentrations in Rhizophora species have previously been associated with antimicrobial activity and wound healing effects (Udeozo et al., 2018). Although tannins possess beneficial antioxidant and metal-chelating properties, excessive consumption may reduce nutrient bioavailability because of their interaction with proteins and minerals (Zayed et al., 2025; Cosme et al., 2025).</w:t>
      </w:r>
    </w:p>
    <w:p w14:paraId="52110B94" w14:textId="77777777" w:rsidR="00E16EF2" w:rsidRPr="00E16EF2" w:rsidRDefault="00E16EF2" w:rsidP="00E16EF2">
      <w:pPr>
        <w:spacing w:line="240" w:lineRule="auto"/>
        <w:jc w:val="both"/>
        <w:rPr>
          <w:rFonts w:ascii="Times New Roman" w:hAnsi="Times New Roman"/>
          <w:sz w:val="24"/>
          <w:szCs w:val="24"/>
        </w:rPr>
      </w:pPr>
      <w:r w:rsidRPr="00E16EF2">
        <w:rPr>
          <w:rFonts w:ascii="Times New Roman" w:hAnsi="Times New Roman"/>
          <w:sz w:val="24"/>
          <w:szCs w:val="24"/>
        </w:rPr>
        <w:t>Terpenoids were identified in E. sonchifolia and R. racemosa but were absent in B. ferruginea. Earlier studies have similarly reported the occurrence of terpenoids in E. sonchifolia and linked these compounds to antimicrobial effects (Uche et al., 2024). Terpenoids are recognized for a broad range of biological functions, including anti-inflammatory and antimicrobial activities (Mishra et al., 2024; Devi et al., 2024). Consequently, the presence of these metabolites in E. sonchifolia and R. racemosa may enhance their therapeutic potential against infectious and inflammatory disorders. Steroidal compounds were strongly detected in E. sonchifolia, supporting previous phytochemical findings and its traditional use in wound healing and inflammation management (Ugwoke et al., 2021; Derouen et al., 2024).</w:t>
      </w:r>
    </w:p>
    <w:p w14:paraId="72F60E8B" w14:textId="77777777" w:rsidR="00E16EF2" w:rsidRPr="00E16EF2" w:rsidRDefault="00E16EF2" w:rsidP="00E16EF2">
      <w:pPr>
        <w:spacing w:line="240" w:lineRule="auto"/>
        <w:jc w:val="both"/>
        <w:rPr>
          <w:rFonts w:ascii="Times New Roman" w:hAnsi="Times New Roman"/>
          <w:sz w:val="24"/>
          <w:szCs w:val="24"/>
        </w:rPr>
      </w:pPr>
      <w:r w:rsidRPr="00E16EF2">
        <w:rPr>
          <w:rFonts w:ascii="Times New Roman" w:hAnsi="Times New Roman"/>
          <w:sz w:val="24"/>
          <w:szCs w:val="24"/>
        </w:rPr>
        <w:t>Reducing sugars and carbohydrates were abundant in E. sonchifolia and B. ferruginea but were absent in R. racemosa. Comparable carbohydrate-rich compositions have previously been documented in B. ferruginea and are considered to contribute to its nutritional importance in addition to its medicinal applications (Jonathan &amp; Funmilola, 2014). This may indicate that the plant possesses both therapeutic and dietary value. The low carbohydrate content observed in R. racemosa may also suggest comparatively reduced glycemic effects. Protein content was moderately present in all three species, which aligns with earlier reports on tropical medicinal plants (Yadav &amp; Meena, 2021).</w:t>
      </w:r>
    </w:p>
    <w:p w14:paraId="6498EC45" w14:textId="77777777" w:rsidR="00E16EF2" w:rsidRPr="00E16EF2" w:rsidRDefault="00E16EF2" w:rsidP="00E16EF2">
      <w:pPr>
        <w:spacing w:line="240" w:lineRule="auto"/>
        <w:jc w:val="both"/>
        <w:rPr>
          <w:rFonts w:ascii="Times New Roman" w:hAnsi="Times New Roman"/>
          <w:sz w:val="24"/>
          <w:szCs w:val="24"/>
        </w:rPr>
      </w:pPr>
      <w:r w:rsidRPr="00E16EF2">
        <w:rPr>
          <w:rFonts w:ascii="Times New Roman" w:hAnsi="Times New Roman"/>
          <w:sz w:val="24"/>
          <w:szCs w:val="24"/>
        </w:rPr>
        <w:t>The elevated phenolic and flavonoid concentrations recorded in E. sonchifolia reinforce its importance in traditional management of oxidative stress-related disorders. Similar antioxidant-related findings have been previously reported for the plant (Ugwoke et al., 2021). In addition, the substantial levels of tannins and saponins in R. racemosa and E. sonchifolia may indicate an adaptive protective role against pathogens, especially in ecologically stressful environments such as mangrove habitats (Sadeer et al., 2023). Meanwhile, the relatively balanced phytochemical composition of B. ferruginea, particularly its alkaloid and carbohydrate contents, may explain its continued use in both nutritional and medicinal applications (Yeboah et al., 2022).</w:t>
      </w:r>
    </w:p>
    <w:p w14:paraId="59AD03FB" w14:textId="3FE901E9" w:rsidR="00E16EF2" w:rsidRPr="00E16EF2" w:rsidRDefault="00E16EF2" w:rsidP="00E16EF2">
      <w:pPr>
        <w:spacing w:line="240" w:lineRule="auto"/>
        <w:jc w:val="both"/>
        <w:rPr>
          <w:rFonts w:ascii="Times New Roman" w:hAnsi="Times New Roman"/>
          <w:sz w:val="24"/>
          <w:szCs w:val="24"/>
        </w:rPr>
      </w:pPr>
      <w:r>
        <w:rPr>
          <w:rFonts w:ascii="Times New Roman" w:hAnsi="Times New Roman"/>
          <w:sz w:val="24"/>
          <w:szCs w:val="24"/>
        </w:rPr>
        <w:t>T</w:t>
      </w:r>
      <w:r w:rsidRPr="00E16EF2">
        <w:rPr>
          <w:rFonts w:ascii="Times New Roman" w:hAnsi="Times New Roman"/>
          <w:sz w:val="24"/>
          <w:szCs w:val="24"/>
        </w:rPr>
        <w:t>he present findings demonstrate that Emilia sonchifolia, Bridelia ferruginea, and Rhizophora racemosa possess both shared and species-specific phytochemical characteristics. E. sonchifolia was particularly rich in phenolics and flavonoids, B. ferruginea showed a balanced profile of alkaloids and carbohydrates, whereas R. racemosa contained the highest levels of saponins and tannins. These observations correspond with previous phytochemical and pharmacological reports and further validate the therapeutic significance of these medicinal plants.</w:t>
      </w:r>
    </w:p>
    <w:p w14:paraId="1C357F9E" w14:textId="77777777" w:rsidR="00B7310A" w:rsidRPr="00B7310A" w:rsidRDefault="00B7310A" w:rsidP="00B7310A">
      <w:pPr>
        <w:spacing w:line="240" w:lineRule="auto"/>
        <w:jc w:val="both"/>
        <w:rPr>
          <w:rFonts w:ascii="Times New Roman" w:hAnsi="Times New Roman"/>
          <w:sz w:val="24"/>
          <w:szCs w:val="24"/>
        </w:rPr>
      </w:pPr>
    </w:p>
    <w:p w14:paraId="4B6D9D46" w14:textId="77777777" w:rsidR="0015299F" w:rsidRDefault="0015299F" w:rsidP="00B93071">
      <w:pPr>
        <w:spacing w:line="240" w:lineRule="auto"/>
        <w:jc w:val="both"/>
        <w:rPr>
          <w:rFonts w:ascii="Times New Roman" w:hAnsi="Times New Roman"/>
          <w:b/>
          <w:bCs/>
          <w:sz w:val="24"/>
          <w:szCs w:val="24"/>
        </w:rPr>
      </w:pPr>
    </w:p>
    <w:p w14:paraId="47376E35" w14:textId="77777777" w:rsidR="0015299F" w:rsidRDefault="0015299F" w:rsidP="00B93071">
      <w:pPr>
        <w:spacing w:line="240" w:lineRule="auto"/>
        <w:jc w:val="both"/>
        <w:rPr>
          <w:rFonts w:ascii="Times New Roman" w:hAnsi="Times New Roman"/>
          <w:b/>
          <w:bCs/>
          <w:sz w:val="24"/>
          <w:szCs w:val="24"/>
        </w:rPr>
      </w:pPr>
    </w:p>
    <w:p w14:paraId="348BB0AF" w14:textId="77777777" w:rsidR="0015299F" w:rsidRPr="0015299F" w:rsidRDefault="0015299F" w:rsidP="00B93071">
      <w:pPr>
        <w:spacing w:line="240" w:lineRule="auto"/>
        <w:jc w:val="both"/>
        <w:rPr>
          <w:rFonts w:ascii="Times New Roman" w:hAnsi="Times New Roman"/>
          <w:b/>
          <w:bCs/>
          <w:sz w:val="24"/>
          <w:szCs w:val="24"/>
        </w:rPr>
      </w:pPr>
      <w:r w:rsidRPr="0015299F">
        <w:rPr>
          <w:rFonts w:ascii="Times New Roman" w:hAnsi="Times New Roman"/>
          <w:b/>
          <w:bCs/>
          <w:sz w:val="24"/>
          <w:szCs w:val="24"/>
        </w:rPr>
        <w:t>Conclusion</w:t>
      </w:r>
    </w:p>
    <w:p w14:paraId="6E0603B6" w14:textId="77777777" w:rsidR="0015299F" w:rsidRPr="0015299F" w:rsidRDefault="0015299F" w:rsidP="00B93071">
      <w:pPr>
        <w:spacing w:line="240" w:lineRule="auto"/>
        <w:jc w:val="both"/>
        <w:rPr>
          <w:rFonts w:ascii="Times New Roman" w:hAnsi="Times New Roman"/>
          <w:sz w:val="24"/>
          <w:szCs w:val="24"/>
        </w:rPr>
      </w:pPr>
      <w:r>
        <w:rPr>
          <w:rFonts w:ascii="Times New Roman" w:hAnsi="Times New Roman"/>
          <w:sz w:val="24"/>
          <w:szCs w:val="24"/>
        </w:rPr>
        <w:t>The present study demonstrates</w:t>
      </w:r>
      <w:r w:rsidRPr="0015299F">
        <w:rPr>
          <w:rFonts w:ascii="Times New Roman" w:hAnsi="Times New Roman"/>
          <w:sz w:val="24"/>
          <w:szCs w:val="24"/>
        </w:rPr>
        <w:t xml:space="preserve"> that </w:t>
      </w:r>
      <w:r w:rsidRPr="0015299F">
        <w:rPr>
          <w:rFonts w:ascii="Times New Roman" w:hAnsi="Times New Roman"/>
          <w:i/>
          <w:iCs/>
          <w:sz w:val="24"/>
          <w:szCs w:val="24"/>
        </w:rPr>
        <w:t>Emilia sonchifolia</w:t>
      </w:r>
      <w:r w:rsidRPr="0015299F">
        <w:rPr>
          <w:rFonts w:ascii="Times New Roman" w:hAnsi="Times New Roman"/>
          <w:sz w:val="24"/>
          <w:szCs w:val="24"/>
        </w:rPr>
        <w:t xml:space="preserve">, </w:t>
      </w:r>
      <w:r w:rsidRPr="0015299F">
        <w:rPr>
          <w:rFonts w:ascii="Times New Roman" w:hAnsi="Times New Roman"/>
          <w:i/>
          <w:iCs/>
          <w:sz w:val="24"/>
          <w:szCs w:val="24"/>
        </w:rPr>
        <w:t>Bridelia ferruginea</w:t>
      </w:r>
      <w:r w:rsidRPr="0015299F">
        <w:rPr>
          <w:rFonts w:ascii="Times New Roman" w:hAnsi="Times New Roman"/>
          <w:sz w:val="24"/>
          <w:szCs w:val="24"/>
        </w:rPr>
        <w:t xml:space="preserve">, and </w:t>
      </w:r>
      <w:r w:rsidRPr="0015299F">
        <w:rPr>
          <w:rFonts w:ascii="Times New Roman" w:hAnsi="Times New Roman"/>
          <w:i/>
          <w:iCs/>
          <w:sz w:val="24"/>
          <w:szCs w:val="24"/>
        </w:rPr>
        <w:t>Rhizophora racemosa</w:t>
      </w:r>
      <w:r w:rsidRPr="0015299F">
        <w:rPr>
          <w:rFonts w:ascii="Times New Roman" w:hAnsi="Times New Roman"/>
          <w:sz w:val="24"/>
          <w:szCs w:val="24"/>
        </w:rPr>
        <w:t xml:space="preserve"> possess diverse and biologically relevant phytochemical profiles, characterized by varying concentrations of flavonoids, phenolics, alkaloids, saponins, tannins, and other secondary metabolites. These variations underpin their distinct therapeutic potentials and provide a scientific basis for their longstanding use in traditional medicine.</w:t>
      </w:r>
    </w:p>
    <w:p w14:paraId="77C94AA9" w14:textId="77777777" w:rsidR="0015299F" w:rsidRPr="0015299F" w:rsidRDefault="0015299F" w:rsidP="00B93071">
      <w:pPr>
        <w:spacing w:line="240" w:lineRule="auto"/>
        <w:jc w:val="both"/>
        <w:rPr>
          <w:rFonts w:ascii="Times New Roman" w:hAnsi="Times New Roman"/>
          <w:sz w:val="24"/>
          <w:szCs w:val="24"/>
        </w:rPr>
      </w:pPr>
      <w:r w:rsidRPr="0015299F">
        <w:rPr>
          <w:rFonts w:ascii="Times New Roman" w:hAnsi="Times New Roman"/>
          <w:i/>
          <w:iCs/>
          <w:sz w:val="24"/>
          <w:szCs w:val="24"/>
        </w:rPr>
        <w:t>Emilia sonchifolia</w:t>
      </w:r>
      <w:r w:rsidRPr="0015299F">
        <w:rPr>
          <w:rFonts w:ascii="Times New Roman" w:hAnsi="Times New Roman"/>
          <w:sz w:val="24"/>
          <w:szCs w:val="24"/>
        </w:rPr>
        <w:t xml:space="preserve"> emerged as a particularly rich source of phenolic compounds and flavonoids, suggesting strong antioxidant and anti-inflammatory capabilities. </w:t>
      </w:r>
      <w:r w:rsidRPr="0015299F">
        <w:rPr>
          <w:rFonts w:ascii="Times New Roman" w:hAnsi="Times New Roman"/>
          <w:i/>
          <w:iCs/>
          <w:sz w:val="24"/>
          <w:szCs w:val="24"/>
        </w:rPr>
        <w:t>Bridelia ferruginea</w:t>
      </w:r>
      <w:r w:rsidRPr="0015299F">
        <w:rPr>
          <w:rFonts w:ascii="Times New Roman" w:hAnsi="Times New Roman"/>
          <w:sz w:val="24"/>
          <w:szCs w:val="24"/>
        </w:rPr>
        <w:t xml:space="preserve"> exhibited a relatively balanced phytochemical composition, especially in terms of alkaloids and carbohydrates, supporting its dual medicinal and nutritional relevance. In contrast, </w:t>
      </w:r>
      <w:r w:rsidRPr="0015299F">
        <w:rPr>
          <w:rFonts w:ascii="Times New Roman" w:hAnsi="Times New Roman"/>
          <w:i/>
          <w:iCs/>
          <w:sz w:val="24"/>
          <w:szCs w:val="24"/>
        </w:rPr>
        <w:t>Rhizophora racemosa</w:t>
      </w:r>
      <w:r w:rsidRPr="0015299F">
        <w:rPr>
          <w:rFonts w:ascii="Times New Roman" w:hAnsi="Times New Roman"/>
          <w:sz w:val="24"/>
          <w:szCs w:val="24"/>
        </w:rPr>
        <w:t xml:space="preserve"> showed notably high levels of saponins and tannins, indicating potential applications in antimicrobial and immunomodulatory therapies.</w:t>
      </w:r>
    </w:p>
    <w:p w14:paraId="004224D1" w14:textId="77777777" w:rsidR="0015299F" w:rsidRPr="0015299F" w:rsidRDefault="0015299F" w:rsidP="00B93071">
      <w:pPr>
        <w:spacing w:line="240" w:lineRule="auto"/>
        <w:jc w:val="both"/>
        <w:rPr>
          <w:rFonts w:ascii="Times New Roman" w:hAnsi="Times New Roman"/>
          <w:sz w:val="24"/>
          <w:szCs w:val="24"/>
        </w:rPr>
      </w:pPr>
      <w:r w:rsidRPr="0015299F">
        <w:rPr>
          <w:rFonts w:ascii="Times New Roman" w:hAnsi="Times New Roman"/>
          <w:sz w:val="24"/>
          <w:szCs w:val="24"/>
        </w:rPr>
        <w:t>Overall, the findings highlight that while these plants share certain phytochemical characteristics, their quantitative differences may translate into varying pharmacological effects. This underscores the importance of species-specific evaluation in phytomedicine. Further studies involving isolation of bioactive compounds, mechanistic investigations, and in vivo pharmacological validation are recommended to fully elucidate their therapeutic potential and ensure safe application in drug development.</w:t>
      </w:r>
    </w:p>
    <w:p w14:paraId="75F31A6E" w14:textId="52BD9F47" w:rsidR="0015299F" w:rsidRDefault="0015299F" w:rsidP="00B93071">
      <w:pPr>
        <w:spacing w:line="240" w:lineRule="auto"/>
        <w:jc w:val="both"/>
        <w:rPr>
          <w:rFonts w:ascii="Times New Roman" w:hAnsi="Times New Roman"/>
          <w:b/>
          <w:sz w:val="24"/>
          <w:szCs w:val="24"/>
        </w:rPr>
      </w:pPr>
    </w:p>
    <w:p w14:paraId="4F944115" w14:textId="77777777" w:rsidR="003209E5" w:rsidRPr="0015299F" w:rsidRDefault="003209E5" w:rsidP="00B93071">
      <w:pPr>
        <w:spacing w:line="240" w:lineRule="auto"/>
        <w:jc w:val="both"/>
        <w:rPr>
          <w:rFonts w:ascii="Times New Roman" w:hAnsi="Times New Roman"/>
          <w:sz w:val="24"/>
          <w:szCs w:val="24"/>
        </w:rPr>
      </w:pPr>
      <w:bookmarkStart w:id="3" w:name="_GoBack"/>
      <w:bookmarkEnd w:id="3"/>
    </w:p>
    <w:p w14:paraId="0A49DA63" w14:textId="77777777" w:rsidR="00E12A2B" w:rsidRPr="00E12A2B" w:rsidRDefault="000D4DF7" w:rsidP="00E12A2B">
      <w:pPr>
        <w:spacing w:line="240" w:lineRule="auto"/>
        <w:rPr>
          <w:b/>
        </w:rPr>
      </w:pPr>
      <w:r w:rsidRPr="000D4DF7">
        <w:rPr>
          <w:b/>
        </w:rPr>
        <w:t>References</w:t>
      </w:r>
    </w:p>
    <w:p w14:paraId="4E4BB525" w14:textId="77777777" w:rsidR="00E12A2B" w:rsidRPr="000D4DF7" w:rsidRDefault="00E12A2B" w:rsidP="00B93071">
      <w:pPr>
        <w:spacing w:line="240" w:lineRule="auto"/>
      </w:pPr>
    </w:p>
    <w:p w14:paraId="49713A96"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Andrés, C. M. C., Pérez de la Lastra, J. M., Munguira, E. B., Juan, C. A. &amp; Pérez-Lebeña, E. (2024). From Psychoactivity to Antimicrobial Agents: Multifaceted Applications of Synthetic Cathinones and Catha edulis Extracts. </w:t>
      </w:r>
      <w:r w:rsidRPr="00234F31">
        <w:rPr>
          <w:rFonts w:asciiTheme="minorHAnsi" w:eastAsiaTheme="minorHAnsi" w:hAnsiTheme="minorHAnsi" w:cstheme="minorBidi"/>
          <w:i/>
          <w:iCs/>
        </w:rPr>
        <w:t>Molecules</w:t>
      </w:r>
      <w:r w:rsidRPr="00234F31">
        <w:rPr>
          <w:rFonts w:asciiTheme="minorHAnsi" w:eastAsiaTheme="minorHAnsi" w:hAnsiTheme="minorHAnsi" w:cstheme="minorBidi"/>
        </w:rPr>
        <w:t>, </w:t>
      </w:r>
      <w:r w:rsidRPr="00234F31">
        <w:rPr>
          <w:rFonts w:asciiTheme="minorHAnsi" w:eastAsiaTheme="minorHAnsi" w:hAnsiTheme="minorHAnsi" w:cstheme="minorBidi"/>
          <w:i/>
          <w:iCs/>
        </w:rPr>
        <w:t>29</w:t>
      </w:r>
      <w:r w:rsidRPr="00234F31">
        <w:rPr>
          <w:rFonts w:asciiTheme="minorHAnsi" w:eastAsiaTheme="minorHAnsi" w:hAnsiTheme="minorHAnsi" w:cstheme="minorBidi"/>
        </w:rPr>
        <w:t>(24), 5918.</w:t>
      </w:r>
    </w:p>
    <w:p w14:paraId="17E166C9"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Atanasov, A. G., Zotchev, S. B., Dirsch, V. M., &amp; Supuran, C. T. (2021). Natural products in drug discovery: advances and opportunities. </w:t>
      </w:r>
      <w:r w:rsidRPr="00234F31">
        <w:rPr>
          <w:rFonts w:asciiTheme="minorHAnsi" w:eastAsiaTheme="minorHAnsi" w:hAnsiTheme="minorHAnsi" w:cstheme="minorBidi"/>
          <w:i/>
          <w:iCs/>
        </w:rPr>
        <w:t>Nature reviews Drug discovery</w:t>
      </w:r>
      <w:r w:rsidRPr="00234F31">
        <w:rPr>
          <w:rFonts w:asciiTheme="minorHAnsi" w:eastAsiaTheme="minorHAnsi" w:hAnsiTheme="minorHAnsi" w:cstheme="minorBidi"/>
        </w:rPr>
        <w:t>, </w:t>
      </w:r>
      <w:r w:rsidRPr="00234F31">
        <w:rPr>
          <w:rFonts w:asciiTheme="minorHAnsi" w:eastAsiaTheme="minorHAnsi" w:hAnsiTheme="minorHAnsi" w:cstheme="minorBidi"/>
          <w:i/>
          <w:iCs/>
        </w:rPr>
        <w:t xml:space="preserve">20 </w:t>
      </w:r>
      <w:r w:rsidRPr="00234F31">
        <w:rPr>
          <w:rFonts w:asciiTheme="minorHAnsi" w:eastAsiaTheme="minorHAnsi" w:hAnsiTheme="minorHAnsi" w:cstheme="minorBidi"/>
        </w:rPr>
        <w:t>(3), 200-216.</w:t>
      </w:r>
    </w:p>
    <w:p w14:paraId="3D30DBC6" w14:textId="77777777" w:rsidR="00E12A2B" w:rsidRPr="00E12A2B" w:rsidRDefault="00E12A2B" w:rsidP="00E12A2B">
      <w:pPr>
        <w:ind w:left="720" w:hanging="720"/>
        <w:rPr>
          <w:rFonts w:asciiTheme="minorHAnsi" w:eastAsiaTheme="minorHAnsi" w:hAnsiTheme="minorHAnsi" w:cstheme="minorBidi"/>
        </w:rPr>
      </w:pPr>
      <w:r w:rsidRPr="00E12A2B">
        <w:rPr>
          <w:rFonts w:asciiTheme="minorHAnsi" w:eastAsiaTheme="minorHAnsi" w:hAnsiTheme="minorHAnsi" w:cstheme="minorBidi"/>
        </w:rPr>
        <w:t>Chang, C. C., Yang, M. H., Wen, H. M., &amp; Chern, J. C. (2002). Estimation of total flavonoid content in propolis by two complementary colorimetric methods. </w:t>
      </w:r>
      <w:r w:rsidRPr="00E12A2B">
        <w:rPr>
          <w:rFonts w:asciiTheme="minorHAnsi" w:eastAsiaTheme="minorHAnsi" w:hAnsiTheme="minorHAnsi" w:cstheme="minorBidi"/>
          <w:i/>
          <w:iCs/>
        </w:rPr>
        <w:t>Journal of food and drug analysis</w:t>
      </w:r>
      <w:r w:rsidRPr="00E12A2B">
        <w:rPr>
          <w:rFonts w:asciiTheme="minorHAnsi" w:eastAsiaTheme="minorHAnsi" w:hAnsiTheme="minorHAnsi" w:cstheme="minorBidi"/>
        </w:rPr>
        <w:t>, </w:t>
      </w:r>
      <w:r w:rsidRPr="00E12A2B">
        <w:rPr>
          <w:rFonts w:asciiTheme="minorHAnsi" w:eastAsiaTheme="minorHAnsi" w:hAnsiTheme="minorHAnsi" w:cstheme="minorBidi"/>
          <w:i/>
          <w:iCs/>
        </w:rPr>
        <w:t>10</w:t>
      </w:r>
      <w:r w:rsidRPr="00E12A2B">
        <w:rPr>
          <w:rFonts w:asciiTheme="minorHAnsi" w:eastAsiaTheme="minorHAnsi" w:hAnsiTheme="minorHAnsi" w:cstheme="minorBidi"/>
        </w:rPr>
        <w:t>(3).</w:t>
      </w:r>
    </w:p>
    <w:p w14:paraId="166C21F5"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Chihomvu, P., Ganesan, A., Gibbons, S., Woollard, K., &amp; Hayes, M. A. (2024). Phytochemicals in drug discovery—A confluence of tradition and innovation. </w:t>
      </w:r>
      <w:r w:rsidRPr="00234F31">
        <w:rPr>
          <w:rFonts w:asciiTheme="minorHAnsi" w:eastAsiaTheme="minorHAnsi" w:hAnsiTheme="minorHAnsi" w:cstheme="minorBidi"/>
          <w:i/>
          <w:iCs/>
        </w:rPr>
        <w:t>International journal of molecular sciences</w:t>
      </w:r>
      <w:r w:rsidRPr="00234F31">
        <w:rPr>
          <w:rFonts w:asciiTheme="minorHAnsi" w:eastAsiaTheme="minorHAnsi" w:hAnsiTheme="minorHAnsi" w:cstheme="minorBidi"/>
        </w:rPr>
        <w:t>, </w:t>
      </w:r>
      <w:r w:rsidRPr="00234F31">
        <w:rPr>
          <w:rFonts w:asciiTheme="minorHAnsi" w:eastAsiaTheme="minorHAnsi" w:hAnsiTheme="minorHAnsi" w:cstheme="minorBidi"/>
          <w:i/>
          <w:iCs/>
        </w:rPr>
        <w:t>25</w:t>
      </w:r>
      <w:r w:rsidRPr="00234F31">
        <w:rPr>
          <w:rFonts w:asciiTheme="minorHAnsi" w:eastAsiaTheme="minorHAnsi" w:hAnsiTheme="minorHAnsi" w:cstheme="minorBidi"/>
        </w:rPr>
        <w:t>(16), 8792.</w:t>
      </w:r>
    </w:p>
    <w:p w14:paraId="4D5F847A"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Chukwuma, S. A., Ogbe, P. D., Appah, W. W., &amp; Prohp, T.P. (2025). Petrol fumes induced liver toxicity in Wistar rats: The ameliorative potentials of </w:t>
      </w:r>
      <w:r w:rsidRPr="00234F31">
        <w:rPr>
          <w:rFonts w:asciiTheme="minorHAnsi" w:eastAsiaTheme="minorHAnsi" w:hAnsiTheme="minorHAnsi" w:cstheme="minorBidi"/>
          <w:i/>
          <w:iCs/>
        </w:rPr>
        <w:t>Rhizophora racemosa</w:t>
      </w:r>
      <w:r w:rsidRPr="00234F31">
        <w:rPr>
          <w:rFonts w:asciiTheme="minorHAnsi" w:eastAsiaTheme="minorHAnsi" w:hAnsiTheme="minorHAnsi" w:cstheme="minorBidi"/>
        </w:rPr>
        <w:t xml:space="preserve"> stem bark, </w:t>
      </w:r>
      <w:r w:rsidRPr="00234F31">
        <w:rPr>
          <w:rFonts w:asciiTheme="minorHAnsi" w:eastAsiaTheme="minorHAnsi" w:hAnsiTheme="minorHAnsi" w:cstheme="minorBidi"/>
          <w:i/>
          <w:iCs/>
        </w:rPr>
        <w:t>Bridelia ferruginea</w:t>
      </w:r>
      <w:r w:rsidRPr="00234F31">
        <w:rPr>
          <w:rFonts w:asciiTheme="minorHAnsi" w:eastAsiaTheme="minorHAnsi" w:hAnsiTheme="minorHAnsi" w:cstheme="minorBidi"/>
        </w:rPr>
        <w:t xml:space="preserve">, and </w:t>
      </w:r>
      <w:r w:rsidRPr="00234F31">
        <w:rPr>
          <w:rFonts w:asciiTheme="minorHAnsi" w:eastAsiaTheme="minorHAnsi" w:hAnsiTheme="minorHAnsi" w:cstheme="minorBidi"/>
          <w:i/>
          <w:iCs/>
        </w:rPr>
        <w:t>Emilia sonchifolia</w:t>
      </w:r>
      <w:r w:rsidRPr="00234F31">
        <w:rPr>
          <w:rFonts w:asciiTheme="minorHAnsi" w:eastAsiaTheme="minorHAnsi" w:hAnsiTheme="minorHAnsi" w:cstheme="minorBidi"/>
        </w:rPr>
        <w:t xml:space="preserve"> leaves. </w:t>
      </w:r>
      <w:r w:rsidRPr="00234F31">
        <w:rPr>
          <w:rFonts w:asciiTheme="minorHAnsi" w:eastAsiaTheme="minorHAnsi" w:hAnsiTheme="minorHAnsi" w:cstheme="minorBidi"/>
          <w:i/>
          <w:iCs/>
        </w:rPr>
        <w:t>SIAR-Global Journal of Medicine &amp; Pharmaceutical Review, 1</w:t>
      </w:r>
      <w:r w:rsidRPr="00234F31">
        <w:rPr>
          <w:rFonts w:asciiTheme="minorHAnsi" w:eastAsiaTheme="minorHAnsi" w:hAnsiTheme="minorHAnsi" w:cstheme="minorBidi"/>
        </w:rPr>
        <w:t>(1).</w:t>
      </w:r>
    </w:p>
    <w:p w14:paraId="646A194E"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lastRenderedPageBreak/>
        <w:t>Cosme, F., Aires, A., Pinto, T., Oliveira, I., Vilela, A. &amp; Gonçalves, B. (2025). A comprehensive review of bioactive tannins in foods and beverages: functional properties, health benefits, and sensory qualities. </w:t>
      </w:r>
      <w:r w:rsidRPr="00234F31">
        <w:rPr>
          <w:rFonts w:asciiTheme="minorHAnsi" w:eastAsiaTheme="minorHAnsi" w:hAnsiTheme="minorHAnsi" w:cstheme="minorBidi"/>
          <w:i/>
          <w:iCs/>
        </w:rPr>
        <w:t>Molecules</w:t>
      </w:r>
      <w:r w:rsidRPr="00234F31">
        <w:rPr>
          <w:rFonts w:asciiTheme="minorHAnsi" w:eastAsiaTheme="minorHAnsi" w:hAnsiTheme="minorHAnsi" w:cstheme="minorBidi"/>
        </w:rPr>
        <w:t>, </w:t>
      </w:r>
      <w:r w:rsidRPr="00234F31">
        <w:rPr>
          <w:rFonts w:asciiTheme="minorHAnsi" w:eastAsiaTheme="minorHAnsi" w:hAnsiTheme="minorHAnsi" w:cstheme="minorBidi"/>
          <w:i/>
          <w:iCs/>
        </w:rPr>
        <w:t>30</w:t>
      </w:r>
      <w:r w:rsidRPr="00234F31">
        <w:rPr>
          <w:rFonts w:asciiTheme="minorHAnsi" w:eastAsiaTheme="minorHAnsi" w:hAnsiTheme="minorHAnsi" w:cstheme="minorBidi"/>
        </w:rPr>
        <w:t>(4), 800.</w:t>
      </w:r>
    </w:p>
    <w:p w14:paraId="5559AF22"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Dahibhate, N. L., Roy, U., &amp; Kumar, K. (2020). Phytochemical screening, antimicrobial and antioxidant activities of selected mangrove species. </w:t>
      </w:r>
      <w:r w:rsidRPr="00234F31">
        <w:rPr>
          <w:rFonts w:asciiTheme="minorHAnsi" w:eastAsiaTheme="minorHAnsi" w:hAnsiTheme="minorHAnsi" w:cstheme="minorBidi"/>
          <w:i/>
          <w:iCs/>
        </w:rPr>
        <w:t>Current Bioactive Compounds</w:t>
      </w:r>
      <w:r w:rsidRPr="00234F31">
        <w:rPr>
          <w:rFonts w:asciiTheme="minorHAnsi" w:eastAsiaTheme="minorHAnsi" w:hAnsiTheme="minorHAnsi" w:cstheme="minorBidi"/>
        </w:rPr>
        <w:t>, </w:t>
      </w:r>
      <w:r w:rsidRPr="00234F31">
        <w:rPr>
          <w:rFonts w:asciiTheme="minorHAnsi" w:eastAsiaTheme="minorHAnsi" w:hAnsiTheme="minorHAnsi" w:cstheme="minorBidi"/>
          <w:i/>
          <w:iCs/>
        </w:rPr>
        <w:t>16</w:t>
      </w:r>
      <w:r w:rsidRPr="00234F31">
        <w:rPr>
          <w:rFonts w:asciiTheme="minorHAnsi" w:eastAsiaTheme="minorHAnsi" w:hAnsiTheme="minorHAnsi" w:cstheme="minorBidi"/>
        </w:rPr>
        <w:t>(2), 152-163.</w:t>
      </w:r>
    </w:p>
    <w:p w14:paraId="6CA09778"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Deeh, P. B. D., Kim, M., Sathiyaseelan, A., Naveen, K. V., &amp; Wang, M. H. (2024). Phytochemical composition, antioxidant activity, and cytotoxicity of the aqueous extracts of Dracaena arborea and Bridelia ferruginea: In vitro and in silico studies. </w:t>
      </w:r>
      <w:r w:rsidRPr="00234F31">
        <w:rPr>
          <w:rFonts w:asciiTheme="minorHAnsi" w:eastAsiaTheme="minorHAnsi" w:hAnsiTheme="minorHAnsi" w:cstheme="minorBidi"/>
          <w:i/>
          <w:iCs/>
        </w:rPr>
        <w:t>South African Journal of Botany</w:t>
      </w:r>
      <w:r w:rsidRPr="00234F31">
        <w:rPr>
          <w:rFonts w:asciiTheme="minorHAnsi" w:eastAsiaTheme="minorHAnsi" w:hAnsiTheme="minorHAnsi" w:cstheme="minorBidi"/>
        </w:rPr>
        <w:t>, </w:t>
      </w:r>
      <w:r w:rsidRPr="00234F31">
        <w:rPr>
          <w:rFonts w:asciiTheme="minorHAnsi" w:eastAsiaTheme="minorHAnsi" w:hAnsiTheme="minorHAnsi" w:cstheme="minorBidi"/>
          <w:i/>
          <w:iCs/>
        </w:rPr>
        <w:t>173</w:t>
      </w:r>
      <w:r w:rsidRPr="00234F31">
        <w:rPr>
          <w:rFonts w:asciiTheme="minorHAnsi" w:eastAsiaTheme="minorHAnsi" w:hAnsiTheme="minorHAnsi" w:cstheme="minorBidi"/>
        </w:rPr>
        <w:t>, 46-59.</w:t>
      </w:r>
    </w:p>
    <w:p w14:paraId="67DFDAEA"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Derouen, K., Aleman, S., Travis, H., Hunt, J. P., Marr, A., Greiffenstein, P. &amp; Smith, A. (2024). The impact of pre-trauma steroid use on wound healing and outcomes. </w:t>
      </w:r>
      <w:r w:rsidRPr="00234F31">
        <w:rPr>
          <w:rFonts w:asciiTheme="minorHAnsi" w:eastAsiaTheme="minorHAnsi" w:hAnsiTheme="minorHAnsi" w:cstheme="minorBidi"/>
          <w:i/>
          <w:iCs/>
        </w:rPr>
        <w:t>The American Surgeon™</w:t>
      </w:r>
      <w:r w:rsidRPr="00234F31">
        <w:rPr>
          <w:rFonts w:asciiTheme="minorHAnsi" w:eastAsiaTheme="minorHAnsi" w:hAnsiTheme="minorHAnsi" w:cstheme="minorBidi"/>
        </w:rPr>
        <w:t>, </w:t>
      </w:r>
      <w:r w:rsidRPr="00234F31">
        <w:rPr>
          <w:rFonts w:asciiTheme="minorHAnsi" w:eastAsiaTheme="minorHAnsi" w:hAnsiTheme="minorHAnsi" w:cstheme="minorBidi"/>
          <w:i/>
          <w:iCs/>
        </w:rPr>
        <w:t>90</w:t>
      </w:r>
      <w:r w:rsidRPr="00234F31">
        <w:rPr>
          <w:rFonts w:asciiTheme="minorHAnsi" w:eastAsiaTheme="minorHAnsi" w:hAnsiTheme="minorHAnsi" w:cstheme="minorBidi"/>
        </w:rPr>
        <w:t>(8), 2086-2088.</w:t>
      </w:r>
    </w:p>
    <w:p w14:paraId="11DE3AD2"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Devi, M., Bamrah, P. K., Goyal, R., Choudhary, M. &amp; Chopra, H. (2024). Insights on the emerging therapeutic potential of terpenoids as anti-inflammatory agents: a scoping review. </w:t>
      </w:r>
      <w:r w:rsidRPr="00234F31">
        <w:rPr>
          <w:rFonts w:asciiTheme="minorHAnsi" w:eastAsiaTheme="minorHAnsi" w:hAnsiTheme="minorHAnsi" w:cstheme="minorBidi"/>
          <w:i/>
          <w:iCs/>
        </w:rPr>
        <w:t>Journal of Bio-X Research</w:t>
      </w:r>
      <w:r w:rsidRPr="00234F31">
        <w:rPr>
          <w:rFonts w:asciiTheme="minorHAnsi" w:eastAsiaTheme="minorHAnsi" w:hAnsiTheme="minorHAnsi" w:cstheme="minorBidi"/>
        </w:rPr>
        <w:t>, </w:t>
      </w:r>
      <w:r w:rsidRPr="00234F31">
        <w:rPr>
          <w:rFonts w:asciiTheme="minorHAnsi" w:eastAsiaTheme="minorHAnsi" w:hAnsiTheme="minorHAnsi" w:cstheme="minorBidi"/>
          <w:i/>
          <w:iCs/>
        </w:rPr>
        <w:t>7</w:t>
      </w:r>
      <w:r w:rsidRPr="00234F31">
        <w:rPr>
          <w:rFonts w:asciiTheme="minorHAnsi" w:eastAsiaTheme="minorHAnsi" w:hAnsiTheme="minorHAnsi" w:cstheme="minorBidi"/>
        </w:rPr>
        <w:t>, 0006.</w:t>
      </w:r>
    </w:p>
    <w:p w14:paraId="15834EC7" w14:textId="77777777" w:rsidR="00E12A2B" w:rsidRPr="00E12A2B" w:rsidRDefault="00E12A2B" w:rsidP="00E12A2B">
      <w:pPr>
        <w:ind w:left="720" w:hanging="720"/>
        <w:rPr>
          <w:rFonts w:asciiTheme="minorHAnsi" w:eastAsiaTheme="minorHAnsi" w:hAnsiTheme="minorHAnsi" w:cstheme="minorBidi"/>
        </w:rPr>
      </w:pPr>
      <w:r w:rsidRPr="00E12A2B">
        <w:rPr>
          <w:rFonts w:asciiTheme="minorHAnsi" w:eastAsiaTheme="minorHAnsi" w:hAnsiTheme="minorHAnsi" w:cstheme="minorBidi"/>
        </w:rPr>
        <w:t>Evans, W. C. (2009). </w:t>
      </w:r>
      <w:r w:rsidRPr="00E12A2B">
        <w:rPr>
          <w:rFonts w:asciiTheme="minorHAnsi" w:eastAsiaTheme="minorHAnsi" w:hAnsiTheme="minorHAnsi" w:cstheme="minorBidi"/>
          <w:i/>
          <w:iCs/>
        </w:rPr>
        <w:t>Trease and Evans' pharmacognosy</w:t>
      </w:r>
      <w:r w:rsidRPr="00E12A2B">
        <w:rPr>
          <w:rFonts w:asciiTheme="minorHAnsi" w:eastAsiaTheme="minorHAnsi" w:hAnsiTheme="minorHAnsi" w:cstheme="minorBidi"/>
        </w:rPr>
        <w:t>. Elsevier Health Sciences.</w:t>
      </w:r>
    </w:p>
    <w:p w14:paraId="6971DC84" w14:textId="77777777" w:rsidR="00E12A2B" w:rsidRPr="00B15653" w:rsidRDefault="00E12A2B" w:rsidP="00B15653">
      <w:pPr>
        <w:ind w:left="720" w:hanging="720"/>
        <w:rPr>
          <w:rFonts w:asciiTheme="minorHAnsi" w:eastAsiaTheme="minorHAnsi" w:hAnsiTheme="minorHAnsi" w:cstheme="minorBidi"/>
        </w:rPr>
      </w:pPr>
      <w:r w:rsidRPr="00B15653">
        <w:rPr>
          <w:rFonts w:asciiTheme="minorHAnsi" w:eastAsiaTheme="minorHAnsi" w:hAnsiTheme="minorHAnsi" w:cstheme="minorBidi"/>
        </w:rPr>
        <w:t>Harborne, A. J. (1998). </w:t>
      </w:r>
      <w:r w:rsidRPr="00B15653">
        <w:rPr>
          <w:rFonts w:asciiTheme="minorHAnsi" w:eastAsiaTheme="minorHAnsi" w:hAnsiTheme="minorHAnsi" w:cstheme="minorBidi"/>
          <w:i/>
          <w:iCs/>
        </w:rPr>
        <w:t>Phytochemical methods a guide to modern techniques of plant analysis</w:t>
      </w:r>
      <w:r w:rsidRPr="00B15653">
        <w:rPr>
          <w:rFonts w:asciiTheme="minorHAnsi" w:eastAsiaTheme="minorHAnsi" w:hAnsiTheme="minorHAnsi" w:cstheme="minorBidi"/>
        </w:rPr>
        <w:t>. springer science &amp; business media.</w:t>
      </w:r>
    </w:p>
    <w:p w14:paraId="5025A4F2"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Jonathan, A. A., &amp; Funmilola, A. S. (2014). Nutritional and anti-nutritional composition of Bridelia ferruginea Benth (Euphorbiaceae) stem bark sample. </w:t>
      </w:r>
      <w:r w:rsidRPr="00234F31">
        <w:rPr>
          <w:rFonts w:asciiTheme="minorHAnsi" w:eastAsiaTheme="minorHAnsi" w:hAnsiTheme="minorHAnsi" w:cstheme="minorBidi"/>
          <w:i/>
          <w:iCs/>
        </w:rPr>
        <w:t>International Journal of Scientific Research in Knowledge</w:t>
      </w:r>
      <w:r w:rsidRPr="00234F31">
        <w:rPr>
          <w:rFonts w:asciiTheme="minorHAnsi" w:eastAsiaTheme="minorHAnsi" w:hAnsiTheme="minorHAnsi" w:cstheme="minorBidi"/>
        </w:rPr>
        <w:t>, </w:t>
      </w:r>
      <w:r w:rsidRPr="00234F31">
        <w:rPr>
          <w:rFonts w:asciiTheme="minorHAnsi" w:eastAsiaTheme="minorHAnsi" w:hAnsiTheme="minorHAnsi" w:cstheme="minorBidi"/>
          <w:i/>
          <w:iCs/>
        </w:rPr>
        <w:t>2</w:t>
      </w:r>
      <w:r w:rsidRPr="00234F31">
        <w:rPr>
          <w:rFonts w:asciiTheme="minorHAnsi" w:eastAsiaTheme="minorHAnsi" w:hAnsiTheme="minorHAnsi" w:cstheme="minorBidi"/>
        </w:rPr>
        <w:t>(2), 92.</w:t>
      </w:r>
    </w:p>
    <w:p w14:paraId="4F35AE75"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Mishra, P., Rafi, Z., Faruqui, T., Mansoor, S., Ahmad, I., Ahmad, I.&amp; Saeed, M. (2024). Exploring the significance and cutting-edge applications of terpenes and terpenoid-derived inorganic nanoparticles. </w:t>
      </w:r>
      <w:r w:rsidRPr="00234F31">
        <w:rPr>
          <w:rFonts w:asciiTheme="minorHAnsi" w:eastAsiaTheme="minorHAnsi" w:hAnsiTheme="minorHAnsi" w:cstheme="minorBidi"/>
          <w:i/>
          <w:iCs/>
        </w:rPr>
        <w:t>Science of Advanced Materials</w:t>
      </w:r>
      <w:r w:rsidRPr="00234F31">
        <w:rPr>
          <w:rFonts w:asciiTheme="minorHAnsi" w:eastAsiaTheme="minorHAnsi" w:hAnsiTheme="minorHAnsi" w:cstheme="minorBidi"/>
        </w:rPr>
        <w:t>, </w:t>
      </w:r>
      <w:r w:rsidRPr="00234F31">
        <w:rPr>
          <w:rFonts w:asciiTheme="minorHAnsi" w:eastAsiaTheme="minorHAnsi" w:hAnsiTheme="minorHAnsi" w:cstheme="minorBidi"/>
          <w:i/>
          <w:iCs/>
        </w:rPr>
        <w:t>16</w:t>
      </w:r>
      <w:r w:rsidRPr="00234F31">
        <w:rPr>
          <w:rFonts w:asciiTheme="minorHAnsi" w:eastAsiaTheme="minorHAnsi" w:hAnsiTheme="minorHAnsi" w:cstheme="minorBidi"/>
        </w:rPr>
        <w:t>(6), 665-681.</w:t>
      </w:r>
    </w:p>
    <w:p w14:paraId="59729079"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Newman, D. J., &amp; Cragg, G. M. (2020). Natural products as sources of new drugs over the nearly four decades from 01/1981 to 09/2019. </w:t>
      </w:r>
      <w:r w:rsidRPr="00234F31">
        <w:rPr>
          <w:rFonts w:asciiTheme="minorHAnsi" w:eastAsiaTheme="minorHAnsi" w:hAnsiTheme="minorHAnsi" w:cstheme="minorBidi"/>
          <w:i/>
          <w:iCs/>
        </w:rPr>
        <w:t>Journal of natural products</w:t>
      </w:r>
      <w:r w:rsidRPr="00234F31">
        <w:rPr>
          <w:rFonts w:asciiTheme="minorHAnsi" w:eastAsiaTheme="minorHAnsi" w:hAnsiTheme="minorHAnsi" w:cstheme="minorBidi"/>
        </w:rPr>
        <w:t>, </w:t>
      </w:r>
      <w:r w:rsidRPr="00234F31">
        <w:rPr>
          <w:rFonts w:asciiTheme="minorHAnsi" w:eastAsiaTheme="minorHAnsi" w:hAnsiTheme="minorHAnsi" w:cstheme="minorBidi"/>
          <w:i/>
          <w:iCs/>
        </w:rPr>
        <w:t>83</w:t>
      </w:r>
      <w:r w:rsidRPr="00234F31">
        <w:rPr>
          <w:rFonts w:asciiTheme="minorHAnsi" w:eastAsiaTheme="minorHAnsi" w:hAnsiTheme="minorHAnsi" w:cstheme="minorBidi"/>
        </w:rPr>
        <w:t>(3), 770-803.</w:t>
      </w:r>
    </w:p>
    <w:p w14:paraId="1B1D6739" w14:textId="77777777" w:rsidR="00E12A2B" w:rsidRPr="00B15653" w:rsidRDefault="00E12A2B" w:rsidP="00B15653">
      <w:pPr>
        <w:ind w:left="720" w:hanging="720"/>
        <w:rPr>
          <w:rFonts w:asciiTheme="minorHAnsi" w:eastAsiaTheme="minorHAnsi" w:hAnsiTheme="minorHAnsi" w:cstheme="minorBidi"/>
        </w:rPr>
      </w:pPr>
      <w:r w:rsidRPr="00B15653">
        <w:rPr>
          <w:rFonts w:asciiTheme="minorHAnsi" w:eastAsiaTheme="minorHAnsi" w:hAnsiTheme="minorHAnsi" w:cstheme="minorBidi"/>
        </w:rPr>
        <w:t>Obadoni, B. O., &amp; Ochuko, P. O. (2002). Phytochemical studies and comparative efficacy of the crude extracts of some haemostatic plants in Edo and Delta States of Nigeria. </w:t>
      </w:r>
      <w:r w:rsidRPr="00B15653">
        <w:rPr>
          <w:rFonts w:asciiTheme="minorHAnsi" w:eastAsiaTheme="minorHAnsi" w:hAnsiTheme="minorHAnsi" w:cstheme="minorBidi"/>
          <w:i/>
          <w:iCs/>
        </w:rPr>
        <w:t>Global Journal of pure and applied sciences</w:t>
      </w:r>
      <w:r w:rsidRPr="00B15653">
        <w:rPr>
          <w:rFonts w:asciiTheme="minorHAnsi" w:eastAsiaTheme="minorHAnsi" w:hAnsiTheme="minorHAnsi" w:cstheme="minorBidi"/>
        </w:rPr>
        <w:t>, </w:t>
      </w:r>
      <w:r w:rsidRPr="00B15653">
        <w:rPr>
          <w:rFonts w:asciiTheme="minorHAnsi" w:eastAsiaTheme="minorHAnsi" w:hAnsiTheme="minorHAnsi" w:cstheme="minorBidi"/>
          <w:i/>
          <w:iCs/>
        </w:rPr>
        <w:t>8</w:t>
      </w:r>
      <w:r w:rsidRPr="00B15653">
        <w:rPr>
          <w:rFonts w:asciiTheme="minorHAnsi" w:eastAsiaTheme="minorHAnsi" w:hAnsiTheme="minorHAnsi" w:cstheme="minorBidi"/>
        </w:rPr>
        <w:t>(2), 203-208.</w:t>
      </w:r>
    </w:p>
    <w:p w14:paraId="520DB372"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Ojo, B. A., Adebolu, T. T., Ogundare, A. O., &amp; Oladejo, B. O. (2022). Phytochemical profile and antioxidant potential of a formulated herbal product from sorghum bicolor linn., curcuma longa linn., bridelia ferruginea benth and honey. </w:t>
      </w:r>
      <w:r w:rsidRPr="00234F31">
        <w:rPr>
          <w:rFonts w:asciiTheme="minorHAnsi" w:eastAsiaTheme="minorHAnsi" w:hAnsiTheme="minorHAnsi" w:cstheme="minorBidi"/>
          <w:i/>
          <w:iCs/>
        </w:rPr>
        <w:t>International Research Journal of Pure and Applied Chemistry</w:t>
      </w:r>
      <w:r w:rsidRPr="00234F31">
        <w:rPr>
          <w:rFonts w:asciiTheme="minorHAnsi" w:eastAsiaTheme="minorHAnsi" w:hAnsiTheme="minorHAnsi" w:cstheme="minorBidi"/>
        </w:rPr>
        <w:t>, </w:t>
      </w:r>
      <w:r w:rsidRPr="00234F31">
        <w:rPr>
          <w:rFonts w:asciiTheme="minorHAnsi" w:eastAsiaTheme="minorHAnsi" w:hAnsiTheme="minorHAnsi" w:cstheme="minorBidi"/>
          <w:i/>
          <w:iCs/>
        </w:rPr>
        <w:t>23</w:t>
      </w:r>
      <w:r w:rsidRPr="00234F31">
        <w:rPr>
          <w:rFonts w:asciiTheme="minorHAnsi" w:eastAsiaTheme="minorHAnsi" w:hAnsiTheme="minorHAnsi" w:cstheme="minorBidi"/>
        </w:rPr>
        <w:t>(5), 45-59.</w:t>
      </w:r>
    </w:p>
    <w:p w14:paraId="72AA1007" w14:textId="77777777" w:rsidR="00E12A2B" w:rsidRPr="00E12A2B" w:rsidRDefault="00E12A2B" w:rsidP="00E12A2B">
      <w:pPr>
        <w:ind w:left="720" w:hanging="720"/>
        <w:rPr>
          <w:rFonts w:asciiTheme="minorHAnsi" w:eastAsiaTheme="minorHAnsi" w:hAnsiTheme="minorHAnsi" w:cstheme="minorBidi"/>
        </w:rPr>
      </w:pPr>
      <w:r w:rsidRPr="00E12A2B">
        <w:rPr>
          <w:rFonts w:asciiTheme="minorHAnsi" w:eastAsiaTheme="minorHAnsi" w:hAnsiTheme="minorHAnsi" w:cstheme="minorBidi"/>
        </w:rPr>
        <w:t>Okwu, D. E., &amp; Iroabuchi, F. (2009). Phytochemical composition and biological activities of Uvaria chamae and Clerodendoron splendens. </w:t>
      </w:r>
      <w:r w:rsidRPr="00E12A2B">
        <w:rPr>
          <w:rFonts w:asciiTheme="minorHAnsi" w:eastAsiaTheme="minorHAnsi" w:hAnsiTheme="minorHAnsi" w:cstheme="minorBidi"/>
          <w:i/>
          <w:iCs/>
        </w:rPr>
        <w:t>Journal of Chemistry</w:t>
      </w:r>
      <w:r w:rsidRPr="00E12A2B">
        <w:rPr>
          <w:rFonts w:asciiTheme="minorHAnsi" w:eastAsiaTheme="minorHAnsi" w:hAnsiTheme="minorHAnsi" w:cstheme="minorBidi"/>
        </w:rPr>
        <w:t>, </w:t>
      </w:r>
      <w:r w:rsidRPr="00E12A2B">
        <w:rPr>
          <w:rFonts w:asciiTheme="minorHAnsi" w:eastAsiaTheme="minorHAnsi" w:hAnsiTheme="minorHAnsi" w:cstheme="minorBidi"/>
          <w:i/>
          <w:iCs/>
        </w:rPr>
        <w:t>6</w:t>
      </w:r>
      <w:r w:rsidRPr="00E12A2B">
        <w:rPr>
          <w:rFonts w:asciiTheme="minorHAnsi" w:eastAsiaTheme="minorHAnsi" w:hAnsiTheme="minorHAnsi" w:cstheme="minorBidi"/>
        </w:rPr>
        <w:t>(2), 553-560.</w:t>
      </w:r>
    </w:p>
    <w:p w14:paraId="0135C0CD"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lastRenderedPageBreak/>
        <w:t>Sadeer, N. B., Zengin, G., &amp; Mahomoodally, M. F. (2023). Biotechnological applications of mangrove plants and their isolated compounds in medicine-a mechanistic overview. </w:t>
      </w:r>
      <w:r w:rsidRPr="00234F31">
        <w:rPr>
          <w:rFonts w:asciiTheme="minorHAnsi" w:eastAsiaTheme="minorHAnsi" w:hAnsiTheme="minorHAnsi" w:cstheme="minorBidi"/>
          <w:i/>
          <w:iCs/>
        </w:rPr>
        <w:t>Critical reviews in biotechnology</w:t>
      </w:r>
      <w:r w:rsidRPr="00234F31">
        <w:rPr>
          <w:rFonts w:asciiTheme="minorHAnsi" w:eastAsiaTheme="minorHAnsi" w:hAnsiTheme="minorHAnsi" w:cstheme="minorBidi"/>
        </w:rPr>
        <w:t>, </w:t>
      </w:r>
      <w:r w:rsidRPr="00234F31">
        <w:rPr>
          <w:rFonts w:asciiTheme="minorHAnsi" w:eastAsiaTheme="minorHAnsi" w:hAnsiTheme="minorHAnsi" w:cstheme="minorBidi"/>
          <w:i/>
          <w:iCs/>
        </w:rPr>
        <w:t>43</w:t>
      </w:r>
      <w:r w:rsidRPr="00234F31">
        <w:rPr>
          <w:rFonts w:asciiTheme="minorHAnsi" w:eastAsiaTheme="minorHAnsi" w:hAnsiTheme="minorHAnsi" w:cstheme="minorBidi"/>
        </w:rPr>
        <w:t>(3), 393-414.</w:t>
      </w:r>
    </w:p>
    <w:p w14:paraId="06322D73"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Shen, L., Luo, H., Fan, L., Tian, X., Tang, A., Wu, X. &amp; Su, Z. (2023). Potential immunoregulatory mechanism of plant saponins: a review. </w:t>
      </w:r>
      <w:r w:rsidRPr="00234F31">
        <w:rPr>
          <w:rFonts w:asciiTheme="minorHAnsi" w:eastAsiaTheme="minorHAnsi" w:hAnsiTheme="minorHAnsi" w:cstheme="minorBidi"/>
          <w:i/>
          <w:iCs/>
        </w:rPr>
        <w:t>Molecules</w:t>
      </w:r>
      <w:r w:rsidRPr="00234F31">
        <w:rPr>
          <w:rFonts w:asciiTheme="minorHAnsi" w:eastAsiaTheme="minorHAnsi" w:hAnsiTheme="minorHAnsi" w:cstheme="minorBidi"/>
        </w:rPr>
        <w:t>, </w:t>
      </w:r>
      <w:r w:rsidRPr="00234F31">
        <w:rPr>
          <w:rFonts w:asciiTheme="minorHAnsi" w:eastAsiaTheme="minorHAnsi" w:hAnsiTheme="minorHAnsi" w:cstheme="minorBidi"/>
          <w:i/>
          <w:iCs/>
        </w:rPr>
        <w:t>29</w:t>
      </w:r>
      <w:r w:rsidRPr="00234F31">
        <w:rPr>
          <w:rFonts w:asciiTheme="minorHAnsi" w:eastAsiaTheme="minorHAnsi" w:hAnsiTheme="minorHAnsi" w:cstheme="minorBidi"/>
        </w:rPr>
        <w:t>(1), 113.</w:t>
      </w:r>
    </w:p>
    <w:p w14:paraId="4E06585D" w14:textId="77777777" w:rsidR="00E12A2B" w:rsidRPr="00B15653" w:rsidRDefault="00E12A2B" w:rsidP="00B15653">
      <w:pPr>
        <w:ind w:left="720" w:hanging="720"/>
        <w:rPr>
          <w:rFonts w:asciiTheme="minorHAnsi" w:eastAsiaTheme="minorHAnsi" w:hAnsiTheme="minorHAnsi" w:cstheme="minorBidi"/>
        </w:rPr>
      </w:pPr>
      <w:r w:rsidRPr="00B15653">
        <w:rPr>
          <w:rFonts w:asciiTheme="minorHAnsi" w:eastAsiaTheme="minorHAnsi" w:hAnsiTheme="minorHAnsi" w:cstheme="minorBidi"/>
        </w:rPr>
        <w:t>Singleton, V. L., Orthofer, R., &amp; Lamuela-Raventós, R. M. (1999). [14] Analysis of total phenols and other oxidation substrates and antioxidants by means of folin-ciocalteu reagent. In </w:t>
      </w:r>
      <w:r w:rsidRPr="00B15653">
        <w:rPr>
          <w:rFonts w:asciiTheme="minorHAnsi" w:eastAsiaTheme="minorHAnsi" w:hAnsiTheme="minorHAnsi" w:cstheme="minorBidi"/>
          <w:i/>
          <w:iCs/>
        </w:rPr>
        <w:t>Methods in enzymology</w:t>
      </w:r>
      <w:r w:rsidRPr="00B15653">
        <w:rPr>
          <w:rFonts w:asciiTheme="minorHAnsi" w:eastAsiaTheme="minorHAnsi" w:hAnsiTheme="minorHAnsi" w:cstheme="minorBidi"/>
        </w:rPr>
        <w:t> (Vol. 299, pp. 152-178). Academic press.</w:t>
      </w:r>
    </w:p>
    <w:p w14:paraId="6478C6FA"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Uche, M. E., Chinyere, C. G., Ekweogu, C. N., Nwankpa, P., &amp; Ugbogu, E. A. (2024). Phytochemical analysis, toxicity assessment, and wound healing properties of Emilia sonchifolia L. leaf extract in rats. </w:t>
      </w:r>
      <w:r w:rsidRPr="00234F31">
        <w:rPr>
          <w:rFonts w:asciiTheme="minorHAnsi" w:eastAsiaTheme="minorHAnsi" w:hAnsiTheme="minorHAnsi" w:cstheme="minorBidi"/>
          <w:i/>
          <w:iCs/>
        </w:rPr>
        <w:t>South African Journal of Botany</w:t>
      </w:r>
      <w:r w:rsidRPr="00234F31">
        <w:rPr>
          <w:rFonts w:asciiTheme="minorHAnsi" w:eastAsiaTheme="minorHAnsi" w:hAnsiTheme="minorHAnsi" w:cstheme="minorBidi"/>
        </w:rPr>
        <w:t>, </w:t>
      </w:r>
      <w:r w:rsidRPr="00234F31">
        <w:rPr>
          <w:rFonts w:asciiTheme="minorHAnsi" w:eastAsiaTheme="minorHAnsi" w:hAnsiTheme="minorHAnsi" w:cstheme="minorBidi"/>
          <w:i/>
          <w:iCs/>
        </w:rPr>
        <w:t>172</w:t>
      </w:r>
      <w:r w:rsidRPr="00234F31">
        <w:rPr>
          <w:rFonts w:asciiTheme="minorHAnsi" w:eastAsiaTheme="minorHAnsi" w:hAnsiTheme="minorHAnsi" w:cstheme="minorBidi"/>
        </w:rPr>
        <w:t>, 736-746.</w:t>
      </w:r>
    </w:p>
    <w:p w14:paraId="08764196"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Udeozo, I., Okafor, G., Ike, O., &amp; Eze, E. (2018). The efficacy of Rhizophora racemosa wood: An important study. </w:t>
      </w:r>
      <w:r w:rsidRPr="00234F31">
        <w:rPr>
          <w:rFonts w:asciiTheme="minorHAnsi" w:eastAsiaTheme="minorHAnsi" w:hAnsiTheme="minorHAnsi" w:cstheme="minorBidi"/>
          <w:bCs/>
          <w:i/>
        </w:rPr>
        <w:t>FUW Trends in Science &amp; Technology Journal</w:t>
      </w:r>
      <w:r w:rsidRPr="00234F31">
        <w:rPr>
          <w:rFonts w:asciiTheme="minorHAnsi" w:eastAsiaTheme="minorHAnsi" w:hAnsiTheme="minorHAnsi" w:cstheme="minorBidi"/>
          <w:i/>
          <w:iCs/>
        </w:rPr>
        <w:t xml:space="preserve"> 3</w:t>
      </w:r>
      <w:r w:rsidRPr="00234F31">
        <w:rPr>
          <w:rFonts w:asciiTheme="minorHAnsi" w:eastAsiaTheme="minorHAnsi" w:hAnsiTheme="minorHAnsi" w:cstheme="minorBidi"/>
        </w:rPr>
        <w:t>, 977-980.</w:t>
      </w:r>
    </w:p>
    <w:p w14:paraId="3BBEC606"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Ugwoke, G., Ikoro, N., Esenwah, E., Azuamah, Y. C., Megwas, A. U., Nwakamma, G. I., ... &amp; Umunnakwe, O. L. (2021). Comparative analysis of the antibacterial effects of Emilia sonchifolia (Tassel Flower) and selected antibiotics on Ocular Bacteria, in vitro</w:t>
      </w:r>
      <w:r w:rsidRPr="00234F31">
        <w:rPr>
          <w:rFonts w:asciiTheme="minorHAnsi" w:eastAsiaTheme="minorHAnsi" w:hAnsiTheme="minorHAnsi" w:cstheme="minorBidi"/>
          <w:i/>
        </w:rPr>
        <w:t>.  International Journal of Health Sciences and Research </w:t>
      </w:r>
      <w:r w:rsidRPr="00234F31">
        <w:rPr>
          <w:rFonts w:asciiTheme="minorHAnsi" w:eastAsiaTheme="minorHAnsi" w:hAnsiTheme="minorHAnsi" w:cstheme="minorBidi"/>
          <w:i/>
          <w:iCs/>
        </w:rPr>
        <w:t>11</w:t>
      </w:r>
      <w:r w:rsidRPr="00234F31">
        <w:rPr>
          <w:rFonts w:asciiTheme="minorHAnsi" w:eastAsiaTheme="minorHAnsi" w:hAnsiTheme="minorHAnsi" w:cstheme="minorBidi"/>
        </w:rPr>
        <w:t>, 61-8.</w:t>
      </w:r>
    </w:p>
    <w:p w14:paraId="20BFA64E" w14:textId="77777777" w:rsidR="00E12A2B" w:rsidRPr="00234F31" w:rsidRDefault="00E12A2B" w:rsidP="00234F31">
      <w:pPr>
        <w:ind w:left="720" w:hanging="720"/>
        <w:rPr>
          <w:rFonts w:ascii="Arial" w:eastAsiaTheme="minorHAnsi" w:hAnsi="Arial" w:cs="Arial"/>
          <w:color w:val="222222"/>
          <w:sz w:val="20"/>
          <w:szCs w:val="20"/>
          <w:shd w:val="clear" w:color="auto" w:fill="FFFFFF"/>
        </w:rPr>
      </w:pPr>
      <w:r w:rsidRPr="00234F31">
        <w:rPr>
          <w:rFonts w:ascii="Arial" w:eastAsiaTheme="minorHAnsi" w:hAnsi="Arial" w:cs="Arial"/>
          <w:color w:val="222222"/>
          <w:sz w:val="20"/>
          <w:szCs w:val="20"/>
          <w:shd w:val="clear" w:color="auto" w:fill="FFFFFF"/>
        </w:rPr>
        <w:t>Yadav, G., &amp; Meena, M. (2021). Bioprospecting of endophytes in medicinal plants of Thar Desert: An attractive resource for biopharmaceuticals. </w:t>
      </w:r>
      <w:r w:rsidRPr="00234F31">
        <w:rPr>
          <w:rFonts w:ascii="Arial" w:eastAsiaTheme="minorHAnsi" w:hAnsi="Arial" w:cs="Arial"/>
          <w:i/>
          <w:iCs/>
          <w:color w:val="222222"/>
          <w:sz w:val="20"/>
          <w:szCs w:val="20"/>
          <w:shd w:val="clear" w:color="auto" w:fill="FFFFFF"/>
        </w:rPr>
        <w:t>Biotechnology Reports</w:t>
      </w:r>
      <w:r w:rsidRPr="00234F31">
        <w:rPr>
          <w:rFonts w:ascii="Arial" w:eastAsiaTheme="minorHAnsi" w:hAnsi="Arial" w:cs="Arial"/>
          <w:color w:val="222222"/>
          <w:sz w:val="20"/>
          <w:szCs w:val="20"/>
          <w:shd w:val="clear" w:color="auto" w:fill="FFFFFF"/>
        </w:rPr>
        <w:t>, </w:t>
      </w:r>
      <w:r w:rsidRPr="00234F31">
        <w:rPr>
          <w:rFonts w:ascii="Arial" w:eastAsiaTheme="minorHAnsi" w:hAnsi="Arial" w:cs="Arial"/>
          <w:i/>
          <w:iCs/>
          <w:color w:val="222222"/>
          <w:sz w:val="20"/>
          <w:szCs w:val="20"/>
          <w:shd w:val="clear" w:color="auto" w:fill="FFFFFF"/>
        </w:rPr>
        <w:t>30</w:t>
      </w:r>
      <w:r w:rsidRPr="00234F31">
        <w:rPr>
          <w:rFonts w:ascii="Arial" w:eastAsiaTheme="minorHAnsi" w:hAnsi="Arial" w:cs="Arial"/>
          <w:color w:val="222222"/>
          <w:sz w:val="20"/>
          <w:szCs w:val="20"/>
          <w:shd w:val="clear" w:color="auto" w:fill="FFFFFF"/>
        </w:rPr>
        <w:t>, e00629.</w:t>
      </w:r>
    </w:p>
    <w:p w14:paraId="735BB4CE" w14:textId="77777777" w:rsidR="00E12A2B"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Yan, Y., Li, X., Zhang, C., Lv, L., Gao, B., &amp; Li, M. (2021). Research progress on antibacterial activities and mechanisms of natural alkaloids: A review. </w:t>
      </w:r>
      <w:r w:rsidRPr="00234F31">
        <w:rPr>
          <w:rFonts w:asciiTheme="minorHAnsi" w:eastAsiaTheme="minorHAnsi" w:hAnsiTheme="minorHAnsi" w:cstheme="minorBidi"/>
          <w:i/>
          <w:iCs/>
        </w:rPr>
        <w:t>Antibiotics</w:t>
      </w:r>
      <w:r w:rsidRPr="00234F31">
        <w:rPr>
          <w:rFonts w:asciiTheme="minorHAnsi" w:eastAsiaTheme="minorHAnsi" w:hAnsiTheme="minorHAnsi" w:cstheme="minorBidi"/>
        </w:rPr>
        <w:t>, </w:t>
      </w:r>
      <w:r w:rsidRPr="00234F31">
        <w:rPr>
          <w:rFonts w:asciiTheme="minorHAnsi" w:eastAsiaTheme="minorHAnsi" w:hAnsiTheme="minorHAnsi" w:cstheme="minorBidi"/>
          <w:i/>
          <w:iCs/>
        </w:rPr>
        <w:t>10</w:t>
      </w:r>
      <w:r w:rsidRPr="00234F31">
        <w:rPr>
          <w:rFonts w:asciiTheme="minorHAnsi" w:eastAsiaTheme="minorHAnsi" w:hAnsiTheme="minorHAnsi" w:cstheme="minorBidi"/>
        </w:rPr>
        <w:t>(3), 318.</w:t>
      </w:r>
    </w:p>
    <w:p w14:paraId="20344510"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Yeboah, G. N., Owusu, F. W. A., Archer, M. A., Kyene, M. O., Kumadoh, D., Ayertey, F., ... &amp; Appiah, A. A. (2022). Bridelia ferruginea Benth.; An ethnomedicinal, phytochemical, pharmacological and toxicological review. </w:t>
      </w:r>
      <w:r w:rsidRPr="00234F31">
        <w:rPr>
          <w:rFonts w:asciiTheme="minorHAnsi" w:eastAsiaTheme="minorHAnsi" w:hAnsiTheme="minorHAnsi" w:cstheme="minorBidi"/>
          <w:i/>
          <w:iCs/>
        </w:rPr>
        <w:t>Heliyon</w:t>
      </w:r>
      <w:r w:rsidRPr="00234F31">
        <w:rPr>
          <w:rFonts w:asciiTheme="minorHAnsi" w:eastAsiaTheme="minorHAnsi" w:hAnsiTheme="minorHAnsi" w:cstheme="minorBidi"/>
        </w:rPr>
        <w:t>, </w:t>
      </w:r>
      <w:r w:rsidRPr="00234F31">
        <w:rPr>
          <w:rFonts w:asciiTheme="minorHAnsi" w:eastAsiaTheme="minorHAnsi" w:hAnsiTheme="minorHAnsi" w:cstheme="minorBidi"/>
          <w:i/>
          <w:iCs/>
        </w:rPr>
        <w:t>8</w:t>
      </w:r>
      <w:r w:rsidRPr="00234F31">
        <w:rPr>
          <w:rFonts w:asciiTheme="minorHAnsi" w:eastAsiaTheme="minorHAnsi" w:hAnsiTheme="minorHAnsi" w:cstheme="minorBidi"/>
        </w:rPr>
        <w:t>(8).</w:t>
      </w:r>
    </w:p>
    <w:p w14:paraId="104A44F7"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Zahra, M., Abrahamse, H., &amp; George, B. P. (2024). Flavonoids: antioxidant powerhouses and their role in nanomedicine. </w:t>
      </w:r>
      <w:r w:rsidRPr="00234F31">
        <w:rPr>
          <w:rFonts w:asciiTheme="minorHAnsi" w:eastAsiaTheme="minorHAnsi" w:hAnsiTheme="minorHAnsi" w:cstheme="minorBidi"/>
          <w:i/>
          <w:iCs/>
        </w:rPr>
        <w:t>Antioxidants</w:t>
      </w:r>
      <w:r w:rsidRPr="00234F31">
        <w:rPr>
          <w:rFonts w:asciiTheme="minorHAnsi" w:eastAsiaTheme="minorHAnsi" w:hAnsiTheme="minorHAnsi" w:cstheme="minorBidi"/>
        </w:rPr>
        <w:t>, </w:t>
      </w:r>
      <w:r w:rsidRPr="00234F31">
        <w:rPr>
          <w:rFonts w:asciiTheme="minorHAnsi" w:eastAsiaTheme="minorHAnsi" w:hAnsiTheme="minorHAnsi" w:cstheme="minorBidi"/>
          <w:i/>
          <w:iCs/>
        </w:rPr>
        <w:t>13</w:t>
      </w:r>
      <w:r w:rsidRPr="00234F31">
        <w:rPr>
          <w:rFonts w:asciiTheme="minorHAnsi" w:eastAsiaTheme="minorHAnsi" w:hAnsiTheme="minorHAnsi" w:cstheme="minorBidi"/>
        </w:rPr>
        <w:t>(8), 922.</w:t>
      </w:r>
    </w:p>
    <w:p w14:paraId="0C447C85" w14:textId="77777777" w:rsidR="00E12A2B"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Zayed, A., Abdelkareem, S., Talaat, N., Dayem, D. A., &amp; Farag, M. A. (2025). Tannin in foods: Classification, dietary sources, and processing strategies to minimize anti-nutrient effects. </w:t>
      </w:r>
      <w:r w:rsidRPr="00234F31">
        <w:rPr>
          <w:rFonts w:asciiTheme="minorHAnsi" w:eastAsiaTheme="minorHAnsi" w:hAnsiTheme="minorHAnsi" w:cstheme="minorBidi"/>
          <w:i/>
          <w:iCs/>
        </w:rPr>
        <w:t>Food and Bioprocess Technology</w:t>
      </w:r>
      <w:r w:rsidRPr="00234F31">
        <w:rPr>
          <w:rFonts w:asciiTheme="minorHAnsi" w:eastAsiaTheme="minorHAnsi" w:hAnsiTheme="minorHAnsi" w:cstheme="minorBidi"/>
        </w:rPr>
        <w:t>, </w:t>
      </w:r>
      <w:r w:rsidRPr="00234F31">
        <w:rPr>
          <w:rFonts w:asciiTheme="minorHAnsi" w:eastAsiaTheme="minorHAnsi" w:hAnsiTheme="minorHAnsi" w:cstheme="minorBidi"/>
          <w:i/>
          <w:iCs/>
        </w:rPr>
        <w:t>18</w:t>
      </w:r>
      <w:r w:rsidRPr="00234F31">
        <w:rPr>
          <w:rFonts w:asciiTheme="minorHAnsi" w:eastAsiaTheme="minorHAnsi" w:hAnsiTheme="minorHAnsi" w:cstheme="minorBidi"/>
        </w:rPr>
        <w:t>(11), 9221-9249.</w:t>
      </w:r>
    </w:p>
    <w:p w14:paraId="3A69A40D" w14:textId="77777777" w:rsidR="00B15653" w:rsidRPr="00234F31" w:rsidRDefault="00B15653" w:rsidP="00234F31">
      <w:pPr>
        <w:ind w:left="720" w:hanging="720"/>
        <w:rPr>
          <w:rFonts w:asciiTheme="minorHAnsi" w:eastAsiaTheme="minorHAnsi" w:hAnsiTheme="minorHAnsi" w:cstheme="minorBidi"/>
        </w:rPr>
      </w:pPr>
    </w:p>
    <w:sectPr w:rsidR="00B15653" w:rsidRPr="00234F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81912" w14:textId="77777777" w:rsidR="00937476" w:rsidRDefault="00937476" w:rsidP="004048C5">
      <w:pPr>
        <w:spacing w:after="0" w:line="240" w:lineRule="auto"/>
      </w:pPr>
      <w:r>
        <w:separator/>
      </w:r>
    </w:p>
  </w:endnote>
  <w:endnote w:type="continuationSeparator" w:id="0">
    <w:p w14:paraId="5D2B1B76" w14:textId="77777777" w:rsidR="00937476" w:rsidRDefault="00937476" w:rsidP="00404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62C9" w14:textId="77777777" w:rsidR="00DD2C3E" w:rsidRDefault="00DD2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CB290" w14:textId="77777777" w:rsidR="00DD2C3E" w:rsidRDefault="00DD2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73A18" w14:textId="77777777" w:rsidR="00DD2C3E" w:rsidRDefault="00DD2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9863C" w14:textId="77777777" w:rsidR="00937476" w:rsidRDefault="00937476" w:rsidP="004048C5">
      <w:pPr>
        <w:spacing w:after="0" w:line="240" w:lineRule="auto"/>
      </w:pPr>
      <w:r>
        <w:separator/>
      </w:r>
    </w:p>
  </w:footnote>
  <w:footnote w:type="continuationSeparator" w:id="0">
    <w:p w14:paraId="39849E5F" w14:textId="77777777" w:rsidR="00937476" w:rsidRDefault="00937476" w:rsidP="00404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F70D" w14:textId="580884EF" w:rsidR="00DD2C3E" w:rsidRDefault="00DD2C3E">
    <w:pPr>
      <w:pStyle w:val="Header"/>
    </w:pPr>
    <w:r>
      <w:rPr>
        <w:noProof/>
      </w:rPr>
      <w:pict w14:anchorId="5F83A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06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00B7C" w14:textId="3697730B" w:rsidR="00DD2C3E" w:rsidRDefault="00DD2C3E">
    <w:pPr>
      <w:pStyle w:val="Header"/>
    </w:pPr>
    <w:r>
      <w:rPr>
        <w:noProof/>
      </w:rPr>
      <w:pict w14:anchorId="060CD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06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497B3" w14:textId="52498B14" w:rsidR="00DD2C3E" w:rsidRDefault="00DD2C3E">
    <w:pPr>
      <w:pStyle w:val="Header"/>
    </w:pPr>
    <w:r>
      <w:rPr>
        <w:noProof/>
      </w:rPr>
      <w:pict w14:anchorId="4B45D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06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675EE"/>
    <w:multiLevelType w:val="hybridMultilevel"/>
    <w:tmpl w:val="F13A0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D5415"/>
    <w:multiLevelType w:val="hybridMultilevel"/>
    <w:tmpl w:val="724EA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92DF7"/>
    <w:multiLevelType w:val="multilevel"/>
    <w:tmpl w:val="24BA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D6DF2"/>
    <w:multiLevelType w:val="hybridMultilevel"/>
    <w:tmpl w:val="FB720564"/>
    <w:lvl w:ilvl="0" w:tplc="04090019">
      <w:start w:val="1"/>
      <w:numFmt w:val="lowerLetter"/>
      <w:lvlText w:val="%1."/>
      <w:lvlJc w:val="left"/>
      <w:pPr>
        <w:ind w:left="720" w:hanging="360"/>
      </w:pPr>
      <w:rPr>
        <w:rFonts w:hint="default"/>
      </w:rPr>
    </w:lvl>
    <w:lvl w:ilvl="1" w:tplc="C3E6EAF2">
      <w:start w:val="1"/>
      <w:numFmt w:val="upperLetter"/>
      <w:lvlText w:val="%2."/>
      <w:lvlJc w:val="left"/>
      <w:pPr>
        <w:ind w:left="1440" w:hanging="360"/>
      </w:pPr>
      <w:rPr>
        <w:rFonts w:hint="default"/>
        <w:b/>
      </w:rPr>
    </w:lvl>
    <w:lvl w:ilvl="2" w:tplc="0409001B">
      <w:start w:val="1"/>
      <w:numFmt w:val="lowerRoman"/>
      <w:lvlText w:val="%3."/>
      <w:lvlJc w:val="right"/>
      <w:pPr>
        <w:ind w:left="2160" w:hanging="180"/>
      </w:pPr>
    </w:lvl>
    <w:lvl w:ilvl="3" w:tplc="3FD2C684">
      <w:start w:val="1"/>
      <w:numFmt w:val="lowerRoman"/>
      <w:lvlText w:val="%4."/>
      <w:lvlJc w:val="left"/>
      <w:pPr>
        <w:ind w:left="333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F696A"/>
    <w:multiLevelType w:val="hybridMultilevel"/>
    <w:tmpl w:val="B9A6CD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B255EB"/>
    <w:multiLevelType w:val="hybridMultilevel"/>
    <w:tmpl w:val="32CC26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595FDF"/>
    <w:multiLevelType w:val="multilevel"/>
    <w:tmpl w:val="677463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1"/>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73E"/>
    <w:rsid w:val="00034B2D"/>
    <w:rsid w:val="000A3627"/>
    <w:rsid w:val="000B546C"/>
    <w:rsid w:val="000D4DF7"/>
    <w:rsid w:val="000D57EA"/>
    <w:rsid w:val="000F4B16"/>
    <w:rsid w:val="001360BF"/>
    <w:rsid w:val="0015299F"/>
    <w:rsid w:val="00180E85"/>
    <w:rsid w:val="00185A1C"/>
    <w:rsid w:val="00191A8A"/>
    <w:rsid w:val="001E473E"/>
    <w:rsid w:val="001F5D6E"/>
    <w:rsid w:val="00234F31"/>
    <w:rsid w:val="002E5181"/>
    <w:rsid w:val="00307754"/>
    <w:rsid w:val="003209E5"/>
    <w:rsid w:val="00393BE3"/>
    <w:rsid w:val="004048C5"/>
    <w:rsid w:val="00540861"/>
    <w:rsid w:val="00561100"/>
    <w:rsid w:val="005A0669"/>
    <w:rsid w:val="005A31B3"/>
    <w:rsid w:val="005C2DC2"/>
    <w:rsid w:val="00625979"/>
    <w:rsid w:val="006513D1"/>
    <w:rsid w:val="00686B92"/>
    <w:rsid w:val="007872E8"/>
    <w:rsid w:val="007B3220"/>
    <w:rsid w:val="008237D4"/>
    <w:rsid w:val="0083559B"/>
    <w:rsid w:val="008462B8"/>
    <w:rsid w:val="0085555A"/>
    <w:rsid w:val="00861CE0"/>
    <w:rsid w:val="008779E8"/>
    <w:rsid w:val="0089005C"/>
    <w:rsid w:val="0089074F"/>
    <w:rsid w:val="008D4048"/>
    <w:rsid w:val="008F3903"/>
    <w:rsid w:val="009132B6"/>
    <w:rsid w:val="0092783B"/>
    <w:rsid w:val="00937476"/>
    <w:rsid w:val="009802F1"/>
    <w:rsid w:val="00996CB4"/>
    <w:rsid w:val="009D0F6E"/>
    <w:rsid w:val="009F1813"/>
    <w:rsid w:val="00A20A90"/>
    <w:rsid w:val="00A27E8C"/>
    <w:rsid w:val="00A7530C"/>
    <w:rsid w:val="00AA2437"/>
    <w:rsid w:val="00AA3649"/>
    <w:rsid w:val="00AE54C4"/>
    <w:rsid w:val="00B15653"/>
    <w:rsid w:val="00B27536"/>
    <w:rsid w:val="00B7310A"/>
    <w:rsid w:val="00B93071"/>
    <w:rsid w:val="00BA6F8F"/>
    <w:rsid w:val="00BE0761"/>
    <w:rsid w:val="00C24776"/>
    <w:rsid w:val="00CA367A"/>
    <w:rsid w:val="00CB6833"/>
    <w:rsid w:val="00CD0836"/>
    <w:rsid w:val="00CE0FE2"/>
    <w:rsid w:val="00CE214F"/>
    <w:rsid w:val="00D265AA"/>
    <w:rsid w:val="00D649AF"/>
    <w:rsid w:val="00DA691E"/>
    <w:rsid w:val="00DD2C3E"/>
    <w:rsid w:val="00DE3031"/>
    <w:rsid w:val="00DF2A41"/>
    <w:rsid w:val="00E12A2B"/>
    <w:rsid w:val="00E16EF2"/>
    <w:rsid w:val="00E92E57"/>
    <w:rsid w:val="00EC6EFF"/>
    <w:rsid w:val="00F41DA3"/>
    <w:rsid w:val="00F51A01"/>
    <w:rsid w:val="00FD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1C4820"/>
  <w15:chartTrackingRefBased/>
  <w15:docId w15:val="{754C9816-826E-49A9-91D4-612E17BB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7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7D4"/>
    <w:pPr>
      <w:ind w:left="720"/>
      <w:contextualSpacing/>
    </w:pPr>
  </w:style>
  <w:style w:type="paragraph" w:styleId="Header">
    <w:name w:val="header"/>
    <w:basedOn w:val="Normal"/>
    <w:link w:val="HeaderChar"/>
    <w:uiPriority w:val="99"/>
    <w:unhideWhenUsed/>
    <w:rsid w:val="00404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8C5"/>
    <w:rPr>
      <w:rFonts w:ascii="Calibri" w:eastAsia="Calibri" w:hAnsi="Calibri" w:cs="Times New Roman"/>
    </w:rPr>
  </w:style>
  <w:style w:type="paragraph" w:styleId="Footer">
    <w:name w:val="footer"/>
    <w:basedOn w:val="Normal"/>
    <w:link w:val="FooterChar"/>
    <w:uiPriority w:val="99"/>
    <w:unhideWhenUsed/>
    <w:rsid w:val="00404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8C5"/>
    <w:rPr>
      <w:rFonts w:ascii="Calibri" w:eastAsia="Calibri" w:hAnsi="Calibri" w:cs="Times New Roman"/>
    </w:rPr>
  </w:style>
  <w:style w:type="character" w:styleId="Hyperlink">
    <w:name w:val="Hyperlink"/>
    <w:basedOn w:val="DefaultParagraphFont"/>
    <w:uiPriority w:val="99"/>
    <w:unhideWhenUsed/>
    <w:rsid w:val="005A31B3"/>
    <w:rPr>
      <w:color w:val="0563C1" w:themeColor="hyperlink"/>
      <w:u w:val="single"/>
    </w:rPr>
  </w:style>
  <w:style w:type="character" w:styleId="UnresolvedMention">
    <w:name w:val="Unresolved Mention"/>
    <w:basedOn w:val="DefaultParagraphFont"/>
    <w:uiPriority w:val="99"/>
    <w:semiHidden/>
    <w:unhideWhenUsed/>
    <w:rsid w:val="005A3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6632">
      <w:bodyDiv w:val="1"/>
      <w:marLeft w:val="0"/>
      <w:marRight w:val="0"/>
      <w:marTop w:val="0"/>
      <w:marBottom w:val="0"/>
      <w:divBdr>
        <w:top w:val="none" w:sz="0" w:space="0" w:color="auto"/>
        <w:left w:val="none" w:sz="0" w:space="0" w:color="auto"/>
        <w:bottom w:val="none" w:sz="0" w:space="0" w:color="auto"/>
        <w:right w:val="none" w:sz="0" w:space="0" w:color="auto"/>
      </w:divBdr>
    </w:div>
    <w:div w:id="416054763">
      <w:bodyDiv w:val="1"/>
      <w:marLeft w:val="0"/>
      <w:marRight w:val="0"/>
      <w:marTop w:val="0"/>
      <w:marBottom w:val="0"/>
      <w:divBdr>
        <w:top w:val="none" w:sz="0" w:space="0" w:color="auto"/>
        <w:left w:val="none" w:sz="0" w:space="0" w:color="auto"/>
        <w:bottom w:val="none" w:sz="0" w:space="0" w:color="auto"/>
        <w:right w:val="none" w:sz="0" w:space="0" w:color="auto"/>
      </w:divBdr>
    </w:div>
    <w:div w:id="548419143">
      <w:bodyDiv w:val="1"/>
      <w:marLeft w:val="0"/>
      <w:marRight w:val="0"/>
      <w:marTop w:val="0"/>
      <w:marBottom w:val="0"/>
      <w:divBdr>
        <w:top w:val="none" w:sz="0" w:space="0" w:color="auto"/>
        <w:left w:val="none" w:sz="0" w:space="0" w:color="auto"/>
        <w:bottom w:val="none" w:sz="0" w:space="0" w:color="auto"/>
        <w:right w:val="none" w:sz="0" w:space="0" w:color="auto"/>
      </w:divBdr>
    </w:div>
    <w:div w:id="688027788">
      <w:bodyDiv w:val="1"/>
      <w:marLeft w:val="0"/>
      <w:marRight w:val="0"/>
      <w:marTop w:val="0"/>
      <w:marBottom w:val="0"/>
      <w:divBdr>
        <w:top w:val="none" w:sz="0" w:space="0" w:color="auto"/>
        <w:left w:val="none" w:sz="0" w:space="0" w:color="auto"/>
        <w:bottom w:val="none" w:sz="0" w:space="0" w:color="auto"/>
        <w:right w:val="none" w:sz="0" w:space="0" w:color="auto"/>
      </w:divBdr>
    </w:div>
    <w:div w:id="842823310">
      <w:bodyDiv w:val="1"/>
      <w:marLeft w:val="0"/>
      <w:marRight w:val="0"/>
      <w:marTop w:val="0"/>
      <w:marBottom w:val="0"/>
      <w:divBdr>
        <w:top w:val="none" w:sz="0" w:space="0" w:color="auto"/>
        <w:left w:val="none" w:sz="0" w:space="0" w:color="auto"/>
        <w:bottom w:val="none" w:sz="0" w:space="0" w:color="auto"/>
        <w:right w:val="none" w:sz="0" w:space="0" w:color="auto"/>
      </w:divBdr>
    </w:div>
    <w:div w:id="908807738">
      <w:bodyDiv w:val="1"/>
      <w:marLeft w:val="0"/>
      <w:marRight w:val="0"/>
      <w:marTop w:val="0"/>
      <w:marBottom w:val="0"/>
      <w:divBdr>
        <w:top w:val="none" w:sz="0" w:space="0" w:color="auto"/>
        <w:left w:val="none" w:sz="0" w:space="0" w:color="auto"/>
        <w:bottom w:val="none" w:sz="0" w:space="0" w:color="auto"/>
        <w:right w:val="none" w:sz="0" w:space="0" w:color="auto"/>
      </w:divBdr>
    </w:div>
    <w:div w:id="1423916845">
      <w:bodyDiv w:val="1"/>
      <w:marLeft w:val="0"/>
      <w:marRight w:val="0"/>
      <w:marTop w:val="0"/>
      <w:marBottom w:val="0"/>
      <w:divBdr>
        <w:top w:val="none" w:sz="0" w:space="0" w:color="auto"/>
        <w:left w:val="none" w:sz="0" w:space="0" w:color="auto"/>
        <w:bottom w:val="none" w:sz="0" w:space="0" w:color="auto"/>
        <w:right w:val="none" w:sz="0" w:space="0" w:color="auto"/>
      </w:divBdr>
    </w:div>
    <w:div w:id="190587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2999</TotalTime>
  <Pages>11</Pages>
  <Words>4650</Words>
  <Characters>26511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1170</cp:lastModifiedBy>
  <cp:revision>54</cp:revision>
  <dcterms:created xsi:type="dcterms:W3CDTF">2026-03-14T07:00:00Z</dcterms:created>
  <dcterms:modified xsi:type="dcterms:W3CDTF">2026-05-13T10:36:00Z</dcterms:modified>
</cp:coreProperties>
</file>