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30506" w14:textId="77777777" w:rsidR="00204427" w:rsidRDefault="00204427" w:rsidP="00E42C4C">
      <w:pPr>
        <w:rPr>
          <w:b/>
          <w:bCs/>
          <w:strike w:val="0"/>
          <w:u w:val="single"/>
        </w:rPr>
      </w:pPr>
      <w:bookmarkStart w:id="0" w:name="_Hlk202366473"/>
      <w:r w:rsidRPr="00204427">
        <w:rPr>
          <w:b/>
          <w:bCs/>
          <w:strike w:val="0"/>
          <w:u w:val="single"/>
        </w:rPr>
        <w:t>Original Research Article</w:t>
      </w:r>
    </w:p>
    <w:p w14:paraId="2403FD12" w14:textId="4C7AD891" w:rsidR="00C467D0" w:rsidRDefault="00C467D0" w:rsidP="00E42C4C">
      <w:pPr>
        <w:rPr>
          <w:strike w:val="0"/>
        </w:rPr>
      </w:pPr>
      <w:r w:rsidRPr="00C467D0">
        <w:rPr>
          <w:b/>
          <w:bCs/>
          <w:strike w:val="0"/>
        </w:rPr>
        <w:t>Urban–Rural Disparities in Male Involvement in Birth Preparedness and Childhood Immunization in Rivers State, Nigeria</w:t>
      </w:r>
    </w:p>
    <w:bookmarkEnd w:id="0"/>
    <w:p w14:paraId="18FBC5E3" w14:textId="77777777" w:rsidR="00EE6F48" w:rsidRDefault="00EE6F48" w:rsidP="001A7DCA">
      <w:pPr>
        <w:rPr>
          <w:b/>
          <w:bCs/>
          <w:strike w:val="0"/>
        </w:rPr>
      </w:pPr>
    </w:p>
    <w:p w14:paraId="6640B6E4" w14:textId="77777777" w:rsidR="00EE6F48" w:rsidRDefault="00EE6F48" w:rsidP="001A7DCA">
      <w:pPr>
        <w:rPr>
          <w:b/>
          <w:bCs/>
          <w:strike w:val="0"/>
        </w:rPr>
      </w:pPr>
    </w:p>
    <w:p w14:paraId="64D5F760" w14:textId="0DE35BAD" w:rsidR="001A7DCA" w:rsidRPr="001A7DCA" w:rsidRDefault="001A7DCA" w:rsidP="001A7DCA">
      <w:pPr>
        <w:rPr>
          <w:strike w:val="0"/>
        </w:rPr>
      </w:pPr>
      <w:r w:rsidRPr="001A7DCA">
        <w:rPr>
          <w:b/>
          <w:bCs/>
          <w:strike w:val="0"/>
        </w:rPr>
        <w:t>Abstract</w:t>
      </w:r>
    </w:p>
    <w:p w14:paraId="7F7FFAB5" w14:textId="77777777" w:rsidR="001A7DCA" w:rsidRPr="001A7DCA" w:rsidRDefault="001A7DCA" w:rsidP="001A7DCA">
      <w:pPr>
        <w:rPr>
          <w:strike w:val="0"/>
        </w:rPr>
      </w:pPr>
      <w:r w:rsidRPr="001A7DCA">
        <w:rPr>
          <w:b/>
          <w:bCs/>
          <w:strike w:val="0"/>
        </w:rPr>
        <w:t>Background:</w:t>
      </w:r>
      <w:r w:rsidRPr="001A7DCA">
        <w:rPr>
          <w:strike w:val="0"/>
        </w:rPr>
        <w:t> Male involvement in birth preparedness and childhood immunization is a critical but underutilized strategy for improving maternal and child health outcomes. In sub-Saharan Africa, patriarchal norms often exclude men from maternal health services, yet comparative rural</w:t>
      </w:r>
      <w:r w:rsidRPr="001A7DCA">
        <w:rPr>
          <w:strike w:val="0"/>
        </w:rPr>
        <w:noBreakHyphen/>
        <w:t>urban data from Nigeria’s South</w:t>
      </w:r>
      <w:r w:rsidRPr="001A7DCA">
        <w:rPr>
          <w:strike w:val="0"/>
        </w:rPr>
        <w:noBreakHyphen/>
        <w:t>south region are scarce. This study compared male involvement in birth preparedness and childhood immunization between rural and urban communities in Rivers State, Nigeria.</w:t>
      </w:r>
    </w:p>
    <w:p w14:paraId="6BC1F3FA" w14:textId="77777777" w:rsidR="001A7DCA" w:rsidRPr="001A7DCA" w:rsidRDefault="001A7DCA" w:rsidP="001A7DCA">
      <w:pPr>
        <w:rPr>
          <w:strike w:val="0"/>
        </w:rPr>
      </w:pPr>
      <w:r w:rsidRPr="001A7DCA">
        <w:rPr>
          <w:b/>
          <w:bCs/>
          <w:strike w:val="0"/>
        </w:rPr>
        <w:t>Methods:</w:t>
      </w:r>
      <w:r w:rsidRPr="001A7DCA">
        <w:rPr>
          <w:strike w:val="0"/>
        </w:rPr>
        <w:t> A community</w:t>
      </w:r>
      <w:r w:rsidRPr="001A7DCA">
        <w:rPr>
          <w:strike w:val="0"/>
        </w:rPr>
        <w:noBreakHyphen/>
        <w:t>based comparative cross</w:t>
      </w:r>
      <w:r w:rsidRPr="001A7DCA">
        <w:rPr>
          <w:strike w:val="0"/>
        </w:rPr>
        <w:noBreakHyphen/>
        <w:t>sectional study was conducted among 450 men (225 urban, 225 rural) whose youngest child was aged 0</w:t>
      </w:r>
      <w:r w:rsidRPr="001A7DCA">
        <w:rPr>
          <w:strike w:val="0"/>
        </w:rPr>
        <w:noBreakHyphen/>
        <w:t>24 months. Data were collected using an interviewer</w:t>
      </w:r>
      <w:r w:rsidRPr="001A7DCA">
        <w:rPr>
          <w:strike w:val="0"/>
        </w:rPr>
        <w:noBreakHyphen/>
        <w:t>administered questionnaire adapted from validated tools. Male involvement was assessed using composite scores for birth preparedness and childhood immunization. Chi</w:t>
      </w:r>
      <w:r w:rsidRPr="001A7DCA">
        <w:rPr>
          <w:strike w:val="0"/>
        </w:rPr>
        <w:noBreakHyphen/>
        <w:t>square tests, multivariable logistic regression, interaction analysis, and sensitivity analysis were performed.</w:t>
      </w:r>
    </w:p>
    <w:p w14:paraId="0AB9B256" w14:textId="2570A609" w:rsidR="001A7DCA" w:rsidRPr="001A7DCA" w:rsidRDefault="001A7DCA" w:rsidP="001A7DCA">
      <w:pPr>
        <w:rPr>
          <w:strike w:val="0"/>
        </w:rPr>
      </w:pPr>
      <w:r w:rsidRPr="001A7DCA">
        <w:rPr>
          <w:b/>
          <w:bCs/>
          <w:strike w:val="0"/>
        </w:rPr>
        <w:t>Results:</w:t>
      </w:r>
      <w:r w:rsidRPr="001A7DCA">
        <w:rPr>
          <w:strike w:val="0"/>
        </w:rPr>
        <w:t> </w:t>
      </w:r>
      <w:r w:rsidR="009C2934">
        <w:rPr>
          <w:strike w:val="0"/>
        </w:rPr>
        <w:t>M</w:t>
      </w:r>
      <w:r w:rsidRPr="001A7DCA">
        <w:rPr>
          <w:strike w:val="0"/>
        </w:rPr>
        <w:t xml:space="preserve">en </w:t>
      </w:r>
      <w:r w:rsidR="009C2934">
        <w:rPr>
          <w:strike w:val="0"/>
        </w:rPr>
        <w:t xml:space="preserve">in urban areas </w:t>
      </w:r>
      <w:r w:rsidRPr="001A7DCA">
        <w:rPr>
          <w:strike w:val="0"/>
        </w:rPr>
        <w:t>had significantly higher good involvement in birth preparedness (60.9% v</w:t>
      </w:r>
      <w:r>
        <w:rPr>
          <w:strike w:val="0"/>
        </w:rPr>
        <w:t>ersu</w:t>
      </w:r>
      <w:r w:rsidRPr="001A7DCA">
        <w:rPr>
          <w:strike w:val="0"/>
        </w:rPr>
        <w:t>s 43.8%, p&lt;0.001) and childhood immunization (57.3% versus 40.4%, p=0.001)</w:t>
      </w:r>
      <w:r w:rsidR="009C2934">
        <w:rPr>
          <w:strike w:val="0"/>
        </w:rPr>
        <w:t xml:space="preserve"> compared to men in the rural areas</w:t>
      </w:r>
      <w:r w:rsidRPr="001A7DCA">
        <w:rPr>
          <w:strike w:val="0"/>
        </w:rPr>
        <w:t xml:space="preserve">. Independent predictors were urban residence (AOR=2.14), tertiary education (AOR=2.67), high income (AOR=1.89), and knowledge of maternal health services (AOR=3.05). Interaction analysis </w:t>
      </w:r>
      <w:r w:rsidR="009C2934">
        <w:rPr>
          <w:strike w:val="0"/>
        </w:rPr>
        <w:t>reported</w:t>
      </w:r>
      <w:r w:rsidRPr="001A7DCA">
        <w:rPr>
          <w:strike w:val="0"/>
        </w:rPr>
        <w:t xml:space="preserve"> that tertiary education was more impactful in urban areas (AOR=3.21), while high income was more important in rural areas (AOR=2.31).</w:t>
      </w:r>
      <w:r w:rsidR="008738BF">
        <w:rPr>
          <w:strike w:val="0"/>
        </w:rPr>
        <w:t xml:space="preserve"> M</w:t>
      </w:r>
      <w:r w:rsidRPr="001A7DCA">
        <w:rPr>
          <w:strike w:val="0"/>
        </w:rPr>
        <w:t xml:space="preserve">en </w:t>
      </w:r>
      <w:r w:rsidR="008738BF">
        <w:rPr>
          <w:strike w:val="0"/>
        </w:rPr>
        <w:t xml:space="preserve">in the rural areas were </w:t>
      </w:r>
      <w:r w:rsidRPr="001A7DCA">
        <w:rPr>
          <w:strike w:val="0"/>
        </w:rPr>
        <w:t xml:space="preserve">more frequently </w:t>
      </w:r>
      <w:r w:rsidR="008738BF">
        <w:rPr>
          <w:strike w:val="0"/>
        </w:rPr>
        <w:t>identified as</w:t>
      </w:r>
      <w:r w:rsidRPr="001A7DCA">
        <w:rPr>
          <w:strike w:val="0"/>
        </w:rPr>
        <w:t xml:space="preserve"> cultural barriers (58.2% viewed maternal and child health as women’s responsibility) and reported </w:t>
      </w:r>
      <w:r w:rsidR="00A4148B">
        <w:rPr>
          <w:strike w:val="0"/>
        </w:rPr>
        <w:t xml:space="preserve">a </w:t>
      </w:r>
      <w:r w:rsidRPr="001A7DCA">
        <w:rPr>
          <w:strike w:val="0"/>
        </w:rPr>
        <w:t>lack of male</w:t>
      </w:r>
      <w:r w:rsidRPr="001A7DCA">
        <w:rPr>
          <w:strike w:val="0"/>
        </w:rPr>
        <w:noBreakHyphen/>
        <w:t>friendly spaces (61.8%). Sensitivity analysis confirmed robustness of findings.</w:t>
      </w:r>
    </w:p>
    <w:p w14:paraId="10FB521B" w14:textId="77777777" w:rsidR="001A7DCA" w:rsidRPr="001A7DCA" w:rsidRDefault="001A7DCA" w:rsidP="001A7DCA">
      <w:pPr>
        <w:rPr>
          <w:strike w:val="0"/>
        </w:rPr>
      </w:pPr>
      <w:r w:rsidRPr="001A7DCA">
        <w:rPr>
          <w:b/>
          <w:bCs/>
          <w:strike w:val="0"/>
        </w:rPr>
        <w:t>Conclusion:</w:t>
      </w:r>
      <w:r w:rsidRPr="001A7DCA">
        <w:rPr>
          <w:strike w:val="0"/>
        </w:rPr>
        <w:t> Male involvement in Rivers State is substantially higher in urban than rural settings. Education drives urban engagement, whereas household income is the key modifiable factor in rural areas. Context</w:t>
      </w:r>
      <w:r w:rsidRPr="001A7DCA">
        <w:rPr>
          <w:strike w:val="0"/>
        </w:rPr>
        <w:noBreakHyphen/>
        <w:t>specific interventions addressing economic barriers in rural communities and cultural norms across both settings are needed.</w:t>
      </w:r>
    </w:p>
    <w:p w14:paraId="14898684" w14:textId="1CD65F23" w:rsidR="001A7DCA" w:rsidRPr="001A7DCA" w:rsidRDefault="001A7DCA" w:rsidP="001A7DCA">
      <w:pPr>
        <w:rPr>
          <w:strike w:val="0"/>
        </w:rPr>
      </w:pPr>
      <w:r w:rsidRPr="001A7DCA">
        <w:rPr>
          <w:b/>
          <w:bCs/>
          <w:strike w:val="0"/>
        </w:rPr>
        <w:t>Keywords:</w:t>
      </w:r>
      <w:r w:rsidRPr="001A7DCA">
        <w:rPr>
          <w:strike w:val="0"/>
        </w:rPr>
        <w:t xml:space="preserve"> Male involvement; birth preparedness; childhood immunization; </w:t>
      </w:r>
      <w:r w:rsidR="008738BF" w:rsidRPr="008738BF">
        <w:rPr>
          <w:strike w:val="0"/>
        </w:rPr>
        <w:t>maternal and child health</w:t>
      </w:r>
      <w:r w:rsidR="008738BF">
        <w:rPr>
          <w:strike w:val="0"/>
        </w:rPr>
        <w:t xml:space="preserve">; </w:t>
      </w:r>
      <w:r w:rsidRPr="001A7DCA">
        <w:rPr>
          <w:strike w:val="0"/>
        </w:rPr>
        <w:t>rural</w:t>
      </w:r>
      <w:r w:rsidRPr="001A7DCA">
        <w:rPr>
          <w:strike w:val="0"/>
        </w:rPr>
        <w:noBreakHyphen/>
        <w:t xml:space="preserve">urban </w:t>
      </w:r>
      <w:r w:rsidR="008738BF">
        <w:rPr>
          <w:strike w:val="0"/>
        </w:rPr>
        <w:t>disparities</w:t>
      </w:r>
      <w:r w:rsidRPr="001A7DCA">
        <w:rPr>
          <w:strike w:val="0"/>
        </w:rPr>
        <w:t xml:space="preserve">; Rivers State; Nigeria </w:t>
      </w:r>
    </w:p>
    <w:p w14:paraId="3B5DBB46" w14:textId="77777777" w:rsidR="00E42C4C" w:rsidRPr="001A7DCA" w:rsidRDefault="00E42C4C" w:rsidP="00D96DE6">
      <w:pPr>
        <w:rPr>
          <w:strike w:val="0"/>
        </w:rPr>
      </w:pPr>
    </w:p>
    <w:p w14:paraId="0642EDDB" w14:textId="77777777" w:rsidR="001A7DCA" w:rsidRDefault="001A7DCA" w:rsidP="00D96DE6">
      <w:pPr>
        <w:rPr>
          <w:b/>
          <w:bCs/>
          <w:strike w:val="0"/>
          <w:lang w:val="en-GB"/>
        </w:rPr>
      </w:pPr>
    </w:p>
    <w:p w14:paraId="652AB64C" w14:textId="77777777" w:rsidR="001A7DCA" w:rsidRPr="001A7DCA" w:rsidRDefault="001A7DCA" w:rsidP="00D96DE6">
      <w:pPr>
        <w:rPr>
          <w:strike w:val="0"/>
          <w:lang w:val="en-GB"/>
        </w:rPr>
      </w:pPr>
    </w:p>
    <w:p w14:paraId="71216147" w14:textId="6C0C9FDC" w:rsidR="00D96DE6" w:rsidRDefault="000D6DC1" w:rsidP="00D96DE6">
      <w:pPr>
        <w:rPr>
          <w:b/>
          <w:bCs/>
          <w:strike w:val="0"/>
          <w:lang w:val="en-GB"/>
        </w:rPr>
      </w:pPr>
      <w:r>
        <w:rPr>
          <w:b/>
          <w:bCs/>
          <w:strike w:val="0"/>
          <w:lang w:val="en-GB"/>
        </w:rPr>
        <w:t xml:space="preserve">1. </w:t>
      </w:r>
      <w:r w:rsidR="00D96DE6" w:rsidRPr="00D96DE6">
        <w:rPr>
          <w:b/>
          <w:bCs/>
          <w:strike w:val="0"/>
        </w:rPr>
        <w:t>Introduction</w:t>
      </w:r>
    </w:p>
    <w:p w14:paraId="4B77D80B" w14:textId="171A93A4" w:rsidR="00E3746A" w:rsidRPr="00E3746A" w:rsidRDefault="00D20D3A" w:rsidP="00E3746A">
      <w:pPr>
        <w:rPr>
          <w:strike w:val="0"/>
        </w:rPr>
      </w:pPr>
      <w:r>
        <w:rPr>
          <w:strike w:val="0"/>
          <w:lang w:val="en-GB"/>
        </w:rPr>
        <w:t>M</w:t>
      </w:r>
      <w:r w:rsidR="00E3746A" w:rsidRPr="00E3746A">
        <w:rPr>
          <w:strike w:val="0"/>
        </w:rPr>
        <w:t>aternal and child health (MCH) has undergone a significant transformation, shifting from a woman-cent</w:t>
      </w:r>
      <w:r w:rsidR="009C2934">
        <w:rPr>
          <w:strike w:val="0"/>
        </w:rPr>
        <w:t>ered</w:t>
      </w:r>
      <w:r w:rsidR="00E3746A" w:rsidRPr="00E3746A">
        <w:rPr>
          <w:strike w:val="0"/>
        </w:rPr>
        <w:t xml:space="preserve"> approach to one that recognizes the family unit as a cohesive unit of care. </w:t>
      </w:r>
      <w:r w:rsidR="00E3746A" w:rsidRPr="00E3746A">
        <w:rPr>
          <w:strike w:val="0"/>
        </w:rPr>
        <w:lastRenderedPageBreak/>
        <w:t>Globally, male involvement has emerged as a critical determinant of health outcomes, yet it remains one of the most underutilized resources in public health (Mbadugha et al., 2019). Birth preparedness and complication readiness (BPCR) is a comprehensive strategy advocated by the World Health Organization to reduce the "three delays" in seeking, reaching, and receiving care (Tadesse et al., 2018). While men often control household finances and transportation</w:t>
      </w:r>
      <w:r w:rsidRPr="00D20D3A">
        <w:rPr>
          <w:strike w:val="0"/>
        </w:rPr>
        <w:t xml:space="preserve"> </w:t>
      </w:r>
      <w:r w:rsidR="009C2934">
        <w:rPr>
          <w:strike w:val="0"/>
        </w:rPr>
        <w:t>(</w:t>
      </w:r>
      <w:r w:rsidR="00E3746A" w:rsidRPr="00D20D3A">
        <w:rPr>
          <w:strike w:val="0"/>
        </w:rPr>
        <w:t>the</w:t>
      </w:r>
      <w:r w:rsidR="00E3746A" w:rsidRPr="00E3746A">
        <w:rPr>
          <w:strike w:val="0"/>
        </w:rPr>
        <w:t xml:space="preserve"> two most significant barriers to emergency obstetric care</w:t>
      </w:r>
      <w:r w:rsidR="009C2934">
        <w:rPr>
          <w:strike w:val="0"/>
        </w:rPr>
        <w:t xml:space="preserve">) </w:t>
      </w:r>
      <w:r w:rsidR="00E3746A" w:rsidRPr="00E3746A">
        <w:rPr>
          <w:strike w:val="0"/>
        </w:rPr>
        <w:t xml:space="preserve">their active participation in maternal health services remains </w:t>
      </w:r>
      <w:r>
        <w:rPr>
          <w:strike w:val="0"/>
        </w:rPr>
        <w:t>consistently</w:t>
      </w:r>
      <w:r w:rsidR="00E3746A" w:rsidRPr="00E3746A">
        <w:rPr>
          <w:strike w:val="0"/>
        </w:rPr>
        <w:t xml:space="preserve"> low across different regions. Research globally indicates that when men are constructively involved, there is a marked increase in the utilization of skilled birth attendants, improved maternal nutrition, and a higher likelihood of children completing their routine immunization schedules (Nasreen et al., 2012).</w:t>
      </w:r>
    </w:p>
    <w:p w14:paraId="4FA7F86F" w14:textId="60DD17B9" w:rsidR="00E3746A" w:rsidRPr="00E3746A" w:rsidRDefault="00E3746A" w:rsidP="00E3746A">
      <w:pPr>
        <w:rPr>
          <w:strike w:val="0"/>
        </w:rPr>
      </w:pPr>
      <w:r w:rsidRPr="00E3746A">
        <w:rPr>
          <w:strike w:val="0"/>
        </w:rPr>
        <w:t>In sub-Saharan Africa, the patriarchal structure of most societies dictates that men are the primary decision-makers regarding health-seeking behaviors</w:t>
      </w:r>
      <w:r w:rsidR="00875C8F">
        <w:rPr>
          <w:strike w:val="0"/>
        </w:rPr>
        <w:t>,</w:t>
      </w:r>
      <w:r w:rsidRPr="00E3746A">
        <w:rPr>
          <w:strike w:val="0"/>
        </w:rPr>
        <w:t xml:space="preserve"> and the allocation of household resources (Mbadugha et al., 2019). Despite this </w:t>
      </w:r>
      <w:r w:rsidR="009C2934">
        <w:rPr>
          <w:strike w:val="0"/>
        </w:rPr>
        <w:t xml:space="preserve">important </w:t>
      </w:r>
      <w:r w:rsidRPr="00E3746A">
        <w:rPr>
          <w:strike w:val="0"/>
        </w:rPr>
        <w:t>influence, male participation in the continuum of maternal care is often hindered by deep-seated cultural norms that view pregnancy, childbirth, and childcare as exclusively "women’s business" (Matseke et al., 2017). For instance, in many East and South African communities, men who attempt to accompany their wives to clinics may face social stigma or find the healthcare environment uninviting due to a lack of male-friendly spaces and the historical exclusion of fathers from labor rooms (Tadesse et al., 2018). This disconnect is particularly evident in BPCR; studies have shown that while many husbands save money for delivery, far fewer identify a skilled birth attendant or arrange emergency transport in advance, often waiting until a life-threatening complication occurs to take decisive action (Tadesse et al., 2018).</w:t>
      </w:r>
    </w:p>
    <w:p w14:paraId="79F29D60" w14:textId="2E72BDF8" w:rsidR="00E3746A" w:rsidRPr="00E3746A" w:rsidRDefault="00E3746A" w:rsidP="00E3746A">
      <w:pPr>
        <w:rPr>
          <w:strike w:val="0"/>
        </w:rPr>
      </w:pPr>
      <w:r w:rsidRPr="00E3746A">
        <w:rPr>
          <w:strike w:val="0"/>
        </w:rPr>
        <w:t>Within the West African sub-region, the challenge of low male involvement is compounded by varying levels of literacy, socioeconomic disparities, and the prevalence of traditional belief systems. In Nigeria, the most populous nation in the region, the involvement of men in pregnancy care and childhood immunization is a complex interplay of geography and education. Recent studies in Northern and Southwestern Nigeria highlight that men’s knowledge of maternal health risks is a significant predictor of their level of involvement (</w:t>
      </w:r>
      <w:r w:rsidR="00751C3E" w:rsidRPr="00751C3E">
        <w:rPr>
          <w:strike w:val="0"/>
        </w:rPr>
        <w:t>Akinyemi &amp; Ibrahim, 2024</w:t>
      </w:r>
      <w:r w:rsidR="00751C3E">
        <w:rPr>
          <w:strike w:val="0"/>
        </w:rPr>
        <w:t xml:space="preserve">; </w:t>
      </w:r>
      <w:r w:rsidRPr="00E3746A">
        <w:rPr>
          <w:strike w:val="0"/>
        </w:rPr>
        <w:t>Raji et al., 2019). While many Nigerian men acknowledge the importance of vaccination to prevent childhood infectious diseases, a substantial gap exists in their knowledge of specific immunization schedules and the necessity of follow-up doses. This lack of detailed information often leads to high "dropout" rates, where a child starts the immunization process but fails to complete it because the father does not prioritize the subsequent visits (Raji et al., 2019).</w:t>
      </w:r>
    </w:p>
    <w:p w14:paraId="6B8C7105" w14:textId="76600F95" w:rsidR="00E3746A" w:rsidRPr="00E3746A" w:rsidRDefault="00E3746A" w:rsidP="00E3746A">
      <w:pPr>
        <w:rPr>
          <w:strike w:val="0"/>
        </w:rPr>
      </w:pPr>
      <w:r w:rsidRPr="00E3746A">
        <w:rPr>
          <w:strike w:val="0"/>
        </w:rPr>
        <w:t>The South-south geopolitical zone of Nigeria, characterized by its unique riverine terrain and oil-dependent economy, presents a distinct demographic landscape for studying these disparities</w:t>
      </w:r>
      <w:r w:rsidR="00AC1725">
        <w:rPr>
          <w:strike w:val="0"/>
          <w:lang w:val="en-GB"/>
        </w:rPr>
        <w:t xml:space="preserve"> (National Population Commission [NPC], 2019)</w:t>
      </w:r>
      <w:r w:rsidRPr="00E3746A">
        <w:rPr>
          <w:strike w:val="0"/>
        </w:rPr>
        <w:t>. In this region, particularly in Rivers State, rural-urban differences in access to health information and infrastructure significantly shape paternal behavior</w:t>
      </w:r>
      <w:r w:rsidR="00AC1725">
        <w:rPr>
          <w:strike w:val="0"/>
          <w:lang w:val="en-GB"/>
        </w:rPr>
        <w:t xml:space="preserve"> (</w:t>
      </w:r>
      <w:r w:rsidR="00AC1725" w:rsidRPr="00AC1725">
        <w:rPr>
          <w:strike w:val="0"/>
          <w:lang w:val="en-GB"/>
        </w:rPr>
        <w:t>Briggs</w:t>
      </w:r>
      <w:r w:rsidR="00AC1725">
        <w:rPr>
          <w:strike w:val="0"/>
          <w:lang w:val="en-GB"/>
        </w:rPr>
        <w:t xml:space="preserve"> &amp; Tobin-West, 2022)</w:t>
      </w:r>
      <w:r w:rsidRPr="00E3746A">
        <w:rPr>
          <w:strike w:val="0"/>
        </w:rPr>
        <w:t xml:space="preserve">. Urban dwellers in the South-south often have better access to mass media, digital health platforms, and robust health education sessions, leading to higher knowledge scores regarding birth preparedness compared to their rural counterparts (Sodeinde et al., 2020). Conversely, men </w:t>
      </w:r>
      <w:r w:rsidR="00ED2623">
        <w:rPr>
          <w:strike w:val="0"/>
        </w:rPr>
        <w:t xml:space="preserve">in rural areas </w:t>
      </w:r>
      <w:r w:rsidRPr="00E3746A">
        <w:rPr>
          <w:strike w:val="0"/>
        </w:rPr>
        <w:t xml:space="preserve">may adhere more strictly to traditional gender roles where the male role is limited to </w:t>
      </w:r>
      <w:r w:rsidRPr="00E3746A">
        <w:rPr>
          <w:strike w:val="0"/>
        </w:rPr>
        <w:lastRenderedPageBreak/>
        <w:t>providing the "bride price" or physical funds, rather than providing emotional support or physical presence during antenatal or immunization visits (Mbadugha et al., 2019).</w:t>
      </w:r>
    </w:p>
    <w:p w14:paraId="05D8C47B" w14:textId="3AEE72F2" w:rsidR="00E3746A" w:rsidRPr="00E3746A" w:rsidRDefault="00E3746A" w:rsidP="00E3746A">
      <w:pPr>
        <w:rPr>
          <w:strike w:val="0"/>
        </w:rPr>
      </w:pPr>
      <w:r w:rsidRPr="00E3746A">
        <w:rPr>
          <w:strike w:val="0"/>
        </w:rPr>
        <w:t xml:space="preserve">In Rivers State, the urban </w:t>
      </w:r>
      <w:r w:rsidR="00751C3E">
        <w:rPr>
          <w:strike w:val="0"/>
        </w:rPr>
        <w:t xml:space="preserve">nature </w:t>
      </w:r>
      <w:r w:rsidRPr="00E3746A">
        <w:rPr>
          <w:strike w:val="0"/>
        </w:rPr>
        <w:t xml:space="preserve">of Port Harcourt contrasts sharply with the remote, riverine rural communities in local government areas </w:t>
      </w:r>
      <w:r w:rsidR="00670033">
        <w:rPr>
          <w:strike w:val="0"/>
        </w:rPr>
        <w:t>such as Degema, Opobo/Nkoro, and Andoni</w:t>
      </w:r>
      <w:r w:rsidR="00AC1725">
        <w:rPr>
          <w:strike w:val="0"/>
          <w:lang w:val="en-GB"/>
        </w:rPr>
        <w:t xml:space="preserve"> (NPC, 2019)</w:t>
      </w:r>
      <w:r w:rsidRPr="00E3746A">
        <w:rPr>
          <w:strike w:val="0"/>
        </w:rPr>
        <w:t xml:space="preserve">. This disparity suggests that the "rural-urban" divide is not just a matter of geographic distance, but of cultural and systemic access. </w:t>
      </w:r>
      <w:r w:rsidR="00ED2623">
        <w:rPr>
          <w:strike w:val="0"/>
        </w:rPr>
        <w:t>F</w:t>
      </w:r>
      <w:r w:rsidRPr="00E3746A">
        <w:rPr>
          <w:strike w:val="0"/>
        </w:rPr>
        <w:t xml:space="preserve">athers </w:t>
      </w:r>
      <w:r w:rsidR="00ED2623">
        <w:rPr>
          <w:strike w:val="0"/>
        </w:rPr>
        <w:t xml:space="preserve">in urban areas </w:t>
      </w:r>
      <w:r w:rsidRPr="00E3746A">
        <w:rPr>
          <w:strike w:val="0"/>
        </w:rPr>
        <w:t>may be more exposed to "male-friendly" health campaigns and private healthcare providers who encourage paternal presence</w:t>
      </w:r>
      <w:r w:rsidR="00751C3E">
        <w:rPr>
          <w:strike w:val="0"/>
        </w:rPr>
        <w:t xml:space="preserve"> (</w:t>
      </w:r>
      <w:proofErr w:type="spellStart"/>
      <w:r w:rsidR="00751C3E">
        <w:rPr>
          <w:strike w:val="0"/>
        </w:rPr>
        <w:t>Adetona</w:t>
      </w:r>
      <w:proofErr w:type="spellEnd"/>
      <w:r w:rsidR="00751C3E">
        <w:rPr>
          <w:strike w:val="0"/>
        </w:rPr>
        <w:t xml:space="preserve"> et al., 2024)</w:t>
      </w:r>
      <w:r w:rsidRPr="00E3746A">
        <w:rPr>
          <w:strike w:val="0"/>
        </w:rPr>
        <w:t xml:space="preserve">. In contrast, fathers </w:t>
      </w:r>
      <w:r w:rsidR="00ED2623">
        <w:rPr>
          <w:strike w:val="0"/>
        </w:rPr>
        <w:t xml:space="preserve">in rural areas </w:t>
      </w:r>
      <w:r w:rsidRPr="00E3746A">
        <w:rPr>
          <w:strike w:val="0"/>
        </w:rPr>
        <w:t>might rely on traditional birth attendants (TBAs) as the primary point of contact, often bypassing formal birth preparedness protocols and routine immunization schedules entirely (Sodeinde et al., 2020). Furthermore, childhood immunization in Rivers State faces the dual challenge of logistical barriers in rural areas</w:t>
      </w:r>
      <w:r w:rsidR="00670033">
        <w:rPr>
          <w:strike w:val="0"/>
        </w:rPr>
        <w:t xml:space="preserve">, </w:t>
      </w:r>
      <w:r w:rsidRPr="00E3746A">
        <w:rPr>
          <w:strike w:val="0"/>
        </w:rPr>
        <w:t xml:space="preserve">where transport costs </w:t>
      </w:r>
      <w:r w:rsidR="00ED2623" w:rsidRPr="00ED2623">
        <w:rPr>
          <w:strike w:val="0"/>
        </w:rPr>
        <w:t xml:space="preserve">and vaccine hesitancy </w:t>
      </w:r>
      <w:r w:rsidRPr="00E3746A">
        <w:rPr>
          <w:strike w:val="0"/>
        </w:rPr>
        <w:t xml:space="preserve">are high </w:t>
      </w:r>
      <w:r w:rsidR="00670033">
        <w:rPr>
          <w:strike w:val="0"/>
        </w:rPr>
        <w:t>(Briggs, 2026)</w:t>
      </w:r>
      <w:r w:rsidRPr="00E3746A">
        <w:rPr>
          <w:strike w:val="0"/>
        </w:rPr>
        <w:t>.</w:t>
      </w:r>
    </w:p>
    <w:p w14:paraId="70CCEF22" w14:textId="5330A8AD" w:rsidR="00E3746A" w:rsidRPr="00E3746A" w:rsidRDefault="00E3746A" w:rsidP="00E3746A">
      <w:pPr>
        <w:rPr>
          <w:strike w:val="0"/>
          <w:lang w:val="en-GB"/>
        </w:rPr>
      </w:pPr>
      <w:r w:rsidRPr="00E3746A">
        <w:rPr>
          <w:strike w:val="0"/>
        </w:rPr>
        <w:t xml:space="preserve">Despite these known barriers, there is a dearth of comparative empirical data specifically </w:t>
      </w:r>
      <w:r w:rsidR="00670033">
        <w:rPr>
          <w:strike w:val="0"/>
        </w:rPr>
        <w:t>examining how the residential setting (rural versus urban) influences the degree of male involvement in both birth preparedness and the child's subsequent immunization in</w:t>
      </w:r>
      <w:r w:rsidRPr="00E3746A">
        <w:rPr>
          <w:strike w:val="0"/>
        </w:rPr>
        <w:t xml:space="preserve"> Rivers State. Most existing studies focus on maternal perspectives, often ignoring the father’s own perceived barriers and motivations</w:t>
      </w:r>
      <w:r w:rsidR="00CE4A13">
        <w:rPr>
          <w:strike w:val="0"/>
          <w:lang w:val="en-GB"/>
        </w:rPr>
        <w:t xml:space="preserve"> (Briggs &amp; Tobin-West, 2022)</w:t>
      </w:r>
      <w:r w:rsidRPr="00E3746A">
        <w:rPr>
          <w:strike w:val="0"/>
        </w:rPr>
        <w:t xml:space="preserve">. Understanding these differences is vital for developing targeted public health interventions that move beyond general health education to gender-transformative programs that encourage men to be active, informed partners in their children's health (Matseke et al., 2017). By identifying the specific gaps in knowledge and practice between </w:t>
      </w:r>
      <w:r w:rsidR="003A4D15">
        <w:rPr>
          <w:strike w:val="0"/>
        </w:rPr>
        <w:t xml:space="preserve">fathers in </w:t>
      </w:r>
      <w:r w:rsidRPr="00E3746A">
        <w:rPr>
          <w:strike w:val="0"/>
        </w:rPr>
        <w:t>rural and urban</w:t>
      </w:r>
      <w:r w:rsidR="00E22D2B">
        <w:rPr>
          <w:strike w:val="0"/>
        </w:rPr>
        <w:t xml:space="preserve"> areas</w:t>
      </w:r>
      <w:r w:rsidRPr="00E3746A">
        <w:rPr>
          <w:strike w:val="0"/>
        </w:rPr>
        <w:t>, policymakers can tailor communication strategies that resonate with the socio-cultural realities of each setting.</w:t>
      </w:r>
    </w:p>
    <w:p w14:paraId="40E590BA" w14:textId="254EB648" w:rsidR="00B2711E" w:rsidRDefault="00E3746A" w:rsidP="00B2711E">
      <w:pPr>
        <w:rPr>
          <w:strike w:val="0"/>
          <w:lang w:val="en-GB"/>
        </w:rPr>
      </w:pPr>
      <w:r w:rsidRPr="00E3746A">
        <w:rPr>
          <w:strike w:val="0"/>
        </w:rPr>
        <w:t xml:space="preserve">The primary aim of this study </w:t>
      </w:r>
      <w:proofErr w:type="spellStart"/>
      <w:r w:rsidR="00047838">
        <w:rPr>
          <w:strike w:val="0"/>
          <w:lang w:val="en-GB"/>
        </w:rPr>
        <w:t>wa</w:t>
      </w:r>
      <w:proofErr w:type="spellEnd"/>
      <w:r w:rsidRPr="00E3746A">
        <w:rPr>
          <w:strike w:val="0"/>
        </w:rPr>
        <w:t>s to conduct a comparative analysis of male involvement in birth preparedness and childhood immunization between rural and urban communities in Rivers State, by assessing the levels of paternal knowledge, the extent of their physical and financial participation in maternal and child health services, and the socio-cultural factors that facilitate or hinder their engagement in these critical healthcare processes.</w:t>
      </w:r>
    </w:p>
    <w:p w14:paraId="0937C9CA" w14:textId="77777777" w:rsidR="004A136E" w:rsidRDefault="004A136E" w:rsidP="00B2711E">
      <w:pPr>
        <w:rPr>
          <w:rFonts w:eastAsia="Times New Roman"/>
          <w:b/>
          <w:bCs/>
          <w:strike w:val="0"/>
          <w:lang w:val="en-GB"/>
        </w:rPr>
      </w:pPr>
    </w:p>
    <w:p w14:paraId="06E11274" w14:textId="367D8A84" w:rsidR="00B2711E" w:rsidRDefault="000D6DC1" w:rsidP="00B2711E">
      <w:pPr>
        <w:rPr>
          <w:strike w:val="0"/>
          <w:lang w:val="en-GB"/>
        </w:rPr>
      </w:pPr>
      <w:r>
        <w:rPr>
          <w:rFonts w:eastAsia="Times New Roman"/>
          <w:b/>
          <w:bCs/>
          <w:strike w:val="0"/>
          <w:lang w:val="en-GB"/>
        </w:rPr>
        <w:t xml:space="preserve">2. </w:t>
      </w:r>
      <w:r w:rsidR="00253EEF" w:rsidRPr="00253EEF">
        <w:rPr>
          <w:rFonts w:eastAsia="Times New Roman"/>
          <w:b/>
          <w:bCs/>
          <w:strike w:val="0"/>
        </w:rPr>
        <w:t>Methodology</w:t>
      </w:r>
    </w:p>
    <w:p w14:paraId="3A1A70D2" w14:textId="12B05693" w:rsidR="00253EEF" w:rsidRPr="00253EEF" w:rsidRDefault="00E510BB" w:rsidP="00B2711E">
      <w:pPr>
        <w:rPr>
          <w:strike w:val="0"/>
          <w:lang w:val="en-GB"/>
        </w:rPr>
      </w:pPr>
      <w:r>
        <w:rPr>
          <w:rFonts w:eastAsia="Times New Roman"/>
          <w:b/>
          <w:bCs/>
          <w:strike w:val="0"/>
        </w:rPr>
        <w:t xml:space="preserve">2.1 </w:t>
      </w:r>
      <w:r w:rsidR="00253EEF" w:rsidRPr="00253EEF">
        <w:rPr>
          <w:rFonts w:eastAsia="Times New Roman"/>
          <w:b/>
          <w:bCs/>
          <w:strike w:val="0"/>
        </w:rPr>
        <w:t>Study Area</w:t>
      </w:r>
    </w:p>
    <w:p w14:paraId="17B4CD73" w14:textId="1D55AD11"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The study was conducted in </w:t>
      </w:r>
      <w:r w:rsidRPr="000C7827">
        <w:rPr>
          <w:rFonts w:eastAsia="Times New Roman"/>
          <w:strike w:val="0"/>
        </w:rPr>
        <w:t>Rivers State,</w:t>
      </w:r>
      <w:r w:rsidRPr="0051751A">
        <w:rPr>
          <w:rFonts w:eastAsia="Times New Roman"/>
          <w:strike w:val="0"/>
        </w:rPr>
        <w:t xml:space="preserve"> located in the South</w:t>
      </w:r>
      <w:r w:rsidRPr="0051751A">
        <w:rPr>
          <w:rFonts w:eastAsia="Times New Roman"/>
          <w:strike w:val="0"/>
        </w:rPr>
        <w:noBreakHyphen/>
        <w:t>south geopolitical zone of Nigeria. To capture a true rural</w:t>
      </w:r>
      <w:r w:rsidRPr="0051751A">
        <w:rPr>
          <w:rFonts w:eastAsia="Times New Roman"/>
          <w:strike w:val="0"/>
        </w:rPr>
        <w:noBreakHyphen/>
        <w:t xml:space="preserve">urban comparison, the study focused on two distinct Local Government Areas (LGAs). Port Harcourt City LGA served as the urban study site, characterized by a high degree of urbanization, </w:t>
      </w:r>
      <w:r>
        <w:rPr>
          <w:rFonts w:eastAsia="Times New Roman"/>
          <w:strike w:val="0"/>
        </w:rPr>
        <w:t xml:space="preserve">the </w:t>
      </w:r>
      <w:r w:rsidRPr="0051751A">
        <w:rPr>
          <w:rFonts w:eastAsia="Times New Roman"/>
          <w:strike w:val="0"/>
        </w:rPr>
        <w:t xml:space="preserve">presence of </w:t>
      </w:r>
      <w:r w:rsidR="000C50A0">
        <w:rPr>
          <w:rFonts w:eastAsia="Times New Roman"/>
          <w:strike w:val="0"/>
        </w:rPr>
        <w:t xml:space="preserve">a </w:t>
      </w:r>
      <w:r w:rsidRPr="0051751A">
        <w:rPr>
          <w:rFonts w:eastAsia="Times New Roman"/>
          <w:strike w:val="0"/>
        </w:rPr>
        <w:t>tertiary health facili</w:t>
      </w:r>
      <w:r w:rsidR="00A530F8">
        <w:rPr>
          <w:rFonts w:eastAsia="Times New Roman"/>
          <w:strike w:val="0"/>
        </w:rPr>
        <w:t>ty</w:t>
      </w:r>
      <w:r w:rsidRPr="0051751A">
        <w:rPr>
          <w:rFonts w:eastAsia="Times New Roman"/>
          <w:strike w:val="0"/>
        </w:rPr>
        <w:t xml:space="preserve">, and a cosmopolitan population. </w:t>
      </w:r>
      <w:proofErr w:type="spellStart"/>
      <w:r w:rsidR="00A530F8">
        <w:rPr>
          <w:rFonts w:eastAsia="Times New Roman"/>
          <w:strike w:val="0"/>
        </w:rPr>
        <w:t>Oyigbo</w:t>
      </w:r>
      <w:proofErr w:type="spellEnd"/>
      <w:r w:rsidRPr="0051751A">
        <w:rPr>
          <w:rFonts w:eastAsia="Times New Roman"/>
          <w:strike w:val="0"/>
        </w:rPr>
        <w:t xml:space="preserve"> LGA represented </w:t>
      </w:r>
      <w:r w:rsidR="00E75096">
        <w:rPr>
          <w:rFonts w:eastAsia="Times New Roman"/>
          <w:strike w:val="0"/>
        </w:rPr>
        <w:t xml:space="preserve">a </w:t>
      </w:r>
      <w:r w:rsidRPr="0051751A">
        <w:rPr>
          <w:rFonts w:eastAsia="Times New Roman"/>
          <w:strike w:val="0"/>
        </w:rPr>
        <w:t>rural setting, characterized by traditional social structures, agrarian livelihoods, and a greater reliance on primary health centers and traditional birth attendants.</w:t>
      </w:r>
    </w:p>
    <w:p w14:paraId="0E3A6449" w14:textId="1D8868F0" w:rsidR="0051751A" w:rsidRPr="0051751A" w:rsidRDefault="00E510BB" w:rsidP="0051751A">
      <w:pPr>
        <w:spacing w:before="100" w:beforeAutospacing="1" w:after="100" w:afterAutospacing="1" w:line="240" w:lineRule="auto"/>
        <w:rPr>
          <w:rFonts w:eastAsia="Times New Roman"/>
          <w:b/>
          <w:bCs/>
          <w:strike w:val="0"/>
        </w:rPr>
      </w:pPr>
      <w:r>
        <w:rPr>
          <w:rFonts w:eastAsia="Times New Roman"/>
          <w:b/>
          <w:bCs/>
          <w:strike w:val="0"/>
        </w:rPr>
        <w:t xml:space="preserve">2.2 </w:t>
      </w:r>
      <w:r w:rsidR="0051751A" w:rsidRPr="0051751A">
        <w:rPr>
          <w:rFonts w:eastAsia="Times New Roman"/>
          <w:b/>
          <w:bCs/>
          <w:strike w:val="0"/>
        </w:rPr>
        <w:t>Study Design</w:t>
      </w:r>
    </w:p>
    <w:p w14:paraId="7F9877BB" w14:textId="5FACBC26" w:rsidR="00FB7571" w:rsidRDefault="00FB7571" w:rsidP="0051751A">
      <w:pPr>
        <w:spacing w:before="100" w:beforeAutospacing="1" w:after="100" w:afterAutospacing="1" w:line="240" w:lineRule="auto"/>
        <w:rPr>
          <w:rFonts w:eastAsia="Times New Roman"/>
          <w:strike w:val="0"/>
          <w:lang w:val="en-GB"/>
        </w:rPr>
      </w:pPr>
      <w:r>
        <w:rPr>
          <w:rFonts w:eastAsia="Times New Roman"/>
          <w:strike w:val="0"/>
          <w:lang w:val="en-GB"/>
        </w:rPr>
        <w:t xml:space="preserve">This was </w:t>
      </w:r>
      <w:r>
        <w:rPr>
          <w:rFonts w:eastAsia="Times New Roman"/>
          <w:strike w:val="0"/>
        </w:rPr>
        <w:t>a community-based</w:t>
      </w:r>
      <w:r w:rsidR="0051751A" w:rsidRPr="0051751A">
        <w:rPr>
          <w:rFonts w:eastAsia="Times New Roman"/>
          <w:strike w:val="0"/>
        </w:rPr>
        <w:t>, comparative cross</w:t>
      </w:r>
      <w:r w:rsidR="0051751A" w:rsidRPr="0051751A">
        <w:rPr>
          <w:rFonts w:eastAsia="Times New Roman"/>
          <w:strike w:val="0"/>
        </w:rPr>
        <w:noBreakHyphen/>
        <w:t xml:space="preserve">sectional study </w:t>
      </w:r>
      <w:r>
        <w:rPr>
          <w:rFonts w:eastAsia="Times New Roman"/>
          <w:strike w:val="0"/>
          <w:lang w:val="en-GB"/>
        </w:rPr>
        <w:t>conducted for four months (June to September 2025).</w:t>
      </w:r>
      <w:r w:rsidR="0051751A" w:rsidRPr="0051751A">
        <w:rPr>
          <w:rFonts w:eastAsia="Times New Roman"/>
          <w:strike w:val="0"/>
        </w:rPr>
        <w:t xml:space="preserve"> </w:t>
      </w:r>
    </w:p>
    <w:p w14:paraId="599378B4" w14:textId="7826A2AD" w:rsidR="0051751A" w:rsidRPr="0051751A" w:rsidRDefault="002E3C8B" w:rsidP="0051751A">
      <w:pPr>
        <w:spacing w:before="100" w:beforeAutospacing="1" w:after="100" w:afterAutospacing="1" w:line="240" w:lineRule="auto"/>
        <w:rPr>
          <w:rFonts w:eastAsia="Times New Roman"/>
          <w:b/>
          <w:bCs/>
          <w:strike w:val="0"/>
        </w:rPr>
      </w:pPr>
      <w:r>
        <w:rPr>
          <w:rFonts w:eastAsia="Times New Roman"/>
          <w:b/>
          <w:bCs/>
          <w:strike w:val="0"/>
        </w:rPr>
        <w:lastRenderedPageBreak/>
        <w:t xml:space="preserve">2.3 </w:t>
      </w:r>
      <w:r w:rsidR="0051751A" w:rsidRPr="0051751A">
        <w:rPr>
          <w:rFonts w:eastAsia="Times New Roman"/>
          <w:b/>
          <w:bCs/>
          <w:strike w:val="0"/>
        </w:rPr>
        <w:t>Study Population</w:t>
      </w:r>
    </w:p>
    <w:p w14:paraId="098A7220" w14:textId="6B38BF46"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The study population consisted of men residing in</w:t>
      </w:r>
      <w:r w:rsidR="007776D3">
        <w:rPr>
          <w:rFonts w:eastAsia="Times New Roman"/>
          <w:strike w:val="0"/>
        </w:rPr>
        <w:t xml:space="preserve"> </w:t>
      </w:r>
      <w:r w:rsidRPr="0051751A">
        <w:rPr>
          <w:rFonts w:eastAsia="Times New Roman"/>
          <w:strike w:val="0"/>
        </w:rPr>
        <w:t xml:space="preserve">selected rural and urban communities </w:t>
      </w:r>
      <w:r w:rsidR="000C50A0">
        <w:rPr>
          <w:rFonts w:eastAsia="Times New Roman"/>
          <w:strike w:val="0"/>
        </w:rPr>
        <w:t xml:space="preserve">of both LGAs </w:t>
      </w:r>
      <w:r w:rsidRPr="0051751A">
        <w:rPr>
          <w:rFonts w:eastAsia="Times New Roman"/>
          <w:strike w:val="0"/>
        </w:rPr>
        <w:t>of Rivers State.</w:t>
      </w:r>
    </w:p>
    <w:p w14:paraId="1F48FC36" w14:textId="4A00D13F" w:rsidR="0051751A" w:rsidRPr="0051751A" w:rsidRDefault="0051751A" w:rsidP="0051751A">
      <w:pPr>
        <w:spacing w:before="100" w:beforeAutospacing="1" w:after="100" w:afterAutospacing="1" w:line="240" w:lineRule="auto"/>
        <w:rPr>
          <w:rFonts w:eastAsia="Times New Roman"/>
          <w:strike w:val="0"/>
        </w:rPr>
      </w:pPr>
      <w:r w:rsidRPr="0051751A">
        <w:rPr>
          <w:rFonts w:eastAsia="Times New Roman"/>
          <w:b/>
          <w:bCs/>
          <w:strike w:val="0"/>
        </w:rPr>
        <w:t>Inclusion Criteria</w:t>
      </w:r>
      <w:r w:rsidRPr="0051751A">
        <w:rPr>
          <w:rFonts w:eastAsia="Times New Roman"/>
          <w:strike w:val="0"/>
        </w:rPr>
        <w:t xml:space="preserve">: </w:t>
      </w:r>
      <w:r w:rsidR="00E93D5C">
        <w:rPr>
          <w:rFonts w:eastAsia="Times New Roman"/>
          <w:strike w:val="0"/>
        </w:rPr>
        <w:t>M</w:t>
      </w:r>
      <w:r w:rsidRPr="0051751A">
        <w:rPr>
          <w:rFonts w:eastAsia="Times New Roman"/>
          <w:strike w:val="0"/>
        </w:rPr>
        <w:t>arried or cohabiting men who were the biological fathers or primary guardians of a child</w:t>
      </w:r>
      <w:r w:rsidR="004A136E">
        <w:rPr>
          <w:rFonts w:eastAsia="Times New Roman"/>
          <w:strike w:val="0"/>
          <w:lang w:val="en-GB"/>
        </w:rPr>
        <w:t xml:space="preserve"> who consented to the study</w:t>
      </w:r>
      <w:r w:rsidRPr="0051751A">
        <w:rPr>
          <w:rFonts w:eastAsia="Times New Roman"/>
          <w:strike w:val="0"/>
        </w:rPr>
        <w:t>; men whose youngest child was aged 0–24 months, ensuring that the recall of birth preparedness and immunization activities was recent; and permanent residents who had lived in the respective LGAs for at least twelve consecutive months</w:t>
      </w:r>
      <w:r w:rsidR="004A136E">
        <w:rPr>
          <w:rFonts w:eastAsia="Times New Roman"/>
          <w:strike w:val="0"/>
          <w:lang w:val="en-GB"/>
        </w:rPr>
        <w:t xml:space="preserve"> who also gave their consents</w:t>
      </w:r>
      <w:r w:rsidRPr="0051751A">
        <w:rPr>
          <w:rFonts w:eastAsia="Times New Roman"/>
          <w:strike w:val="0"/>
        </w:rPr>
        <w:t>.</w:t>
      </w:r>
    </w:p>
    <w:p w14:paraId="40B8EA6D" w14:textId="5DB7FF1C" w:rsidR="0051751A" w:rsidRPr="0051751A" w:rsidRDefault="0051751A" w:rsidP="00253EEF">
      <w:pPr>
        <w:spacing w:before="100" w:beforeAutospacing="1" w:after="100" w:afterAutospacing="1" w:line="240" w:lineRule="auto"/>
        <w:rPr>
          <w:rFonts w:eastAsia="Times New Roman"/>
          <w:strike w:val="0"/>
          <w:lang w:val="en-GB"/>
        </w:rPr>
      </w:pPr>
      <w:r w:rsidRPr="0051751A">
        <w:rPr>
          <w:rFonts w:eastAsia="Times New Roman"/>
          <w:b/>
          <w:bCs/>
          <w:strike w:val="0"/>
        </w:rPr>
        <w:t>Exclusion Criteria</w:t>
      </w:r>
      <w:r w:rsidR="00E93D5C">
        <w:rPr>
          <w:rFonts w:eastAsia="Times New Roman"/>
          <w:strike w:val="0"/>
        </w:rPr>
        <w:t>: M</w:t>
      </w:r>
      <w:r w:rsidRPr="0051751A">
        <w:rPr>
          <w:rFonts w:eastAsia="Times New Roman"/>
          <w:strike w:val="0"/>
        </w:rPr>
        <w:t>en who were healthcare professionals (to avoid professional knowledge bias); men whose children were born outside the study area, as different healthcare systems may have influenced their involvement; and men with documented cognitive impairments or severe illnesses that precluded them from completing the interview.</w:t>
      </w:r>
    </w:p>
    <w:p w14:paraId="6D73ACE6" w14:textId="01DF0401" w:rsidR="00253EEF" w:rsidRPr="00253EEF" w:rsidRDefault="002E3C8B" w:rsidP="00253EEF">
      <w:pPr>
        <w:spacing w:before="100" w:beforeAutospacing="1" w:after="100" w:afterAutospacing="1" w:line="240" w:lineRule="auto"/>
        <w:rPr>
          <w:rFonts w:eastAsia="Times New Roman"/>
          <w:strike w:val="0"/>
        </w:rPr>
      </w:pPr>
      <w:r>
        <w:rPr>
          <w:rFonts w:eastAsia="Times New Roman"/>
          <w:b/>
          <w:bCs/>
          <w:strike w:val="0"/>
        </w:rPr>
        <w:t>2.</w:t>
      </w:r>
      <w:r w:rsidR="007C0A41">
        <w:rPr>
          <w:rFonts w:eastAsia="Times New Roman"/>
          <w:b/>
          <w:bCs/>
          <w:strike w:val="0"/>
        </w:rPr>
        <w:t>4</w:t>
      </w:r>
      <w:r>
        <w:rPr>
          <w:rFonts w:eastAsia="Times New Roman"/>
          <w:b/>
          <w:bCs/>
          <w:strike w:val="0"/>
        </w:rPr>
        <w:t xml:space="preserve"> </w:t>
      </w:r>
      <w:r w:rsidR="00253EEF" w:rsidRPr="00253EEF">
        <w:rPr>
          <w:rFonts w:eastAsia="Times New Roman"/>
          <w:b/>
          <w:bCs/>
          <w:strike w:val="0"/>
        </w:rPr>
        <w:t>Sample Size Determination</w:t>
      </w:r>
    </w:p>
    <w:p w14:paraId="6F3856E8" w14:textId="36490A02" w:rsidR="00DE5844" w:rsidRDefault="00253EEF" w:rsidP="00253EEF">
      <w:pPr>
        <w:spacing w:after="100" w:afterAutospacing="1" w:line="240" w:lineRule="auto"/>
        <w:rPr>
          <w:rFonts w:eastAsia="Times New Roman"/>
          <w:strike w:val="0"/>
          <w:lang w:val="en-GB"/>
        </w:rPr>
      </w:pPr>
      <w:r w:rsidRPr="00253EEF">
        <w:rPr>
          <w:rFonts w:eastAsia="Times New Roman"/>
          <w:strike w:val="0"/>
        </w:rPr>
        <w:t>The sample size was determined using the formula for the comparison of two proportions</w:t>
      </w:r>
      <w:r w:rsidR="00DE5844">
        <w:rPr>
          <w:rFonts w:eastAsia="Times New Roman"/>
          <w:strike w:val="0"/>
          <w:lang w:val="en-GB"/>
        </w:rPr>
        <w:t xml:space="preserve"> as shown:</w:t>
      </w:r>
      <w:r w:rsidRPr="00253EEF">
        <w:rPr>
          <w:rFonts w:eastAsia="Times New Roman"/>
          <w:strike w:val="0"/>
        </w:rPr>
        <w:t xml:space="preserve"> </w:t>
      </w:r>
    </w:p>
    <w:p w14:paraId="6AC39EE3" w14:textId="2B11B89C" w:rsidR="00DE5844" w:rsidRDefault="00DE5844" w:rsidP="00253EEF">
      <w:pPr>
        <w:spacing w:after="100" w:afterAutospacing="1" w:line="240" w:lineRule="auto"/>
        <w:rPr>
          <w:rFonts w:eastAsia="Times New Roman"/>
          <w:strike w:val="0"/>
          <w:lang w:val="en-GB"/>
        </w:rPr>
      </w:pPr>
      <w:r>
        <w:rPr>
          <w:rFonts w:eastAsia="Times New Roman"/>
          <w:strike w:val="0"/>
          <w:lang w:val="en-GB"/>
        </w:rPr>
        <w:t xml:space="preserve">               </w:t>
      </w:r>
      <w:r w:rsidRPr="00DE5844">
        <w:rPr>
          <w:rFonts w:ascii="Cambria Math" w:eastAsia="Times New Roman" w:hAnsi="Cambria Math" w:cs="Arial"/>
          <w:i/>
          <w:strike w:val="0"/>
          <w:sz w:val="16"/>
          <w:szCs w:val="20"/>
          <w:lang w:eastAsia="en-US"/>
        </w:rPr>
        <w:br/>
      </w:r>
      <m:oMathPara>
        <m:oMath>
          <m:r>
            <w:rPr>
              <w:rFonts w:ascii="Cambria Math" w:eastAsia="Times New Roman" w:hAnsi="Cambria Math"/>
              <w:strike w:val="0"/>
            </w:rPr>
            <m:t>n=</m:t>
          </m:r>
          <m:f>
            <m:fPr>
              <m:ctrlPr>
                <w:rPr>
                  <w:rFonts w:ascii="Cambria Math" w:eastAsia="Times New Roman" w:hAnsi="Cambria Math"/>
                  <w:bCs/>
                  <w:i/>
                  <w:iCs/>
                  <w:strike w:val="0"/>
                </w:rPr>
              </m:ctrlPr>
            </m:fPr>
            <m:num>
              <m:sSup>
                <m:sSupPr>
                  <m:ctrlPr>
                    <w:rPr>
                      <w:rFonts w:ascii="Cambria Math" w:eastAsia="Times New Roman" w:hAnsi="Cambria Math"/>
                      <w:bCs/>
                      <w:i/>
                      <w:iCs/>
                      <w:strike w:val="0"/>
                    </w:rPr>
                  </m:ctrlPr>
                </m:sSupPr>
                <m:e>
                  <m:r>
                    <w:rPr>
                      <w:rFonts w:ascii="Cambria Math" w:eastAsia="Times New Roman" w:hAnsi="Cambria Math"/>
                      <w:strike w:val="0"/>
                      <w:u w:val="single"/>
                    </w:rPr>
                    <m:t>(Zα/2​+Zβ​)</m:t>
                  </m:r>
                </m:e>
                <m:sup>
                  <m:r>
                    <w:rPr>
                      <w:rFonts w:ascii="Cambria Math" w:eastAsia="Times New Roman" w:hAnsi="Cambria Math"/>
                      <w:strike w:val="0"/>
                      <w:u w:val="single"/>
                      <w:vertAlign w:val="superscript"/>
                    </w:rPr>
                    <m:t>2</m:t>
                  </m:r>
                </m:sup>
              </m:sSup>
              <m:r>
                <w:rPr>
                  <w:rFonts w:ascii="Cambria Math" w:eastAsia="Times New Roman" w:hAnsi="Cambria Math"/>
                  <w:strike w:val="0"/>
                  <w:u w:val="single"/>
                </w:rPr>
                <m:t>×[(p1​</m:t>
              </m:r>
              <m:d>
                <m:dPr>
                  <m:ctrlPr>
                    <w:rPr>
                      <w:rFonts w:ascii="Cambria Math" w:eastAsia="Times New Roman" w:hAnsi="Cambria Math"/>
                      <w:i/>
                      <w:strike w:val="0"/>
                      <w:u w:val="single"/>
                    </w:rPr>
                  </m:ctrlPr>
                </m:dPr>
                <m:e>
                  <m:r>
                    <w:rPr>
                      <w:rFonts w:ascii="Cambria Math" w:eastAsia="Times New Roman" w:hAnsi="Cambria Math"/>
                      <w:strike w:val="0"/>
                      <w:u w:val="single"/>
                    </w:rPr>
                    <m:t>1-p1​</m:t>
                  </m:r>
                </m:e>
              </m:d>
              <m:r>
                <w:rPr>
                  <w:rFonts w:ascii="Cambria Math" w:eastAsia="Times New Roman" w:hAnsi="Cambria Math"/>
                  <w:strike w:val="0"/>
                  <w:u w:val="single"/>
                </w:rPr>
                <m:t>+p2​</m:t>
              </m:r>
              <m:d>
                <m:dPr>
                  <m:ctrlPr>
                    <w:rPr>
                      <w:rFonts w:ascii="Cambria Math" w:eastAsia="Times New Roman" w:hAnsi="Cambria Math"/>
                      <w:i/>
                      <w:strike w:val="0"/>
                      <w:u w:val="single"/>
                    </w:rPr>
                  </m:ctrlPr>
                </m:dPr>
                <m:e>
                  <m:r>
                    <w:rPr>
                      <w:rFonts w:ascii="Cambria Math" w:eastAsia="Times New Roman" w:hAnsi="Cambria Math"/>
                      <w:strike w:val="0"/>
                      <w:u w:val="single"/>
                    </w:rPr>
                    <m:t>1-p2​</m:t>
                  </m:r>
                </m:e>
              </m:d>
              <m:r>
                <w:rPr>
                  <w:rFonts w:ascii="Cambria Math" w:eastAsia="Times New Roman" w:hAnsi="Cambria Math"/>
                  <w:strike w:val="0"/>
                  <w:u w:val="single"/>
                </w:rPr>
                <m:t>]</m:t>
              </m:r>
            </m:num>
            <m:den>
              <m:sSup>
                <m:sSupPr>
                  <m:ctrlPr>
                    <w:rPr>
                      <w:rFonts w:ascii="Cambria Math" w:eastAsia="Times New Roman" w:hAnsi="Cambria Math"/>
                      <w:bCs/>
                      <w:i/>
                      <w:iCs/>
                      <w:strike w:val="0"/>
                    </w:rPr>
                  </m:ctrlPr>
                </m:sSupPr>
                <m:e>
                  <m:r>
                    <w:rPr>
                      <w:rFonts w:ascii="Cambria Math" w:eastAsia="Times New Roman" w:hAnsi="Cambria Math"/>
                      <w:strike w:val="0"/>
                    </w:rPr>
                    <m:t>(p1​-p2​)</m:t>
                  </m:r>
                </m:e>
                <m:sup>
                  <m:r>
                    <w:rPr>
                      <w:rFonts w:ascii="Cambria Math" w:eastAsia="Times New Roman" w:hAnsi="Cambria Math"/>
                      <w:strike w:val="0"/>
                      <w:vertAlign w:val="superscript"/>
                    </w:rPr>
                    <m:t>2</m:t>
                  </m:r>
                </m:sup>
              </m:sSup>
            </m:den>
          </m:f>
        </m:oMath>
      </m:oMathPara>
    </w:p>
    <w:p w14:paraId="752DEAA2" w14:textId="20852F76" w:rsidR="00635F29" w:rsidRPr="00635F29" w:rsidRDefault="00635F29" w:rsidP="00635F29">
      <w:pPr>
        <w:spacing w:before="100" w:beforeAutospacing="1" w:after="100" w:afterAutospacing="1" w:line="240" w:lineRule="auto"/>
        <w:rPr>
          <w:rFonts w:eastAsia="Times New Roman"/>
          <w:strike w:val="0"/>
        </w:rPr>
      </w:pPr>
      <w:r w:rsidRPr="00635F29">
        <w:rPr>
          <w:rFonts w:eastAsia="Times New Roman"/>
          <w:strike w:val="0"/>
        </w:rPr>
        <w:t xml:space="preserve">Using </w:t>
      </w:r>
      <m:oMath>
        <m:sSub>
          <m:sSubPr>
            <m:ctrlPr>
              <w:rPr>
                <w:rFonts w:ascii="Cambria Math" w:eastAsia="Times New Roman" w:hAnsi="Cambria Math"/>
                <w:strike w:val="0"/>
              </w:rPr>
            </m:ctrlPr>
          </m:sSubPr>
          <m:e>
            <m:r>
              <w:rPr>
                <w:rFonts w:ascii="Cambria Math" w:eastAsia="Times New Roman" w:hAnsi="Cambria Math"/>
                <w:strike w:val="0"/>
              </w:rPr>
              <m:t>Z</m:t>
            </m:r>
          </m:e>
          <m:sub>
            <m:r>
              <w:rPr>
                <w:rFonts w:ascii="Cambria Math" w:eastAsia="Times New Roman" w:hAnsi="Cambria Math"/>
                <w:strike w:val="0"/>
              </w:rPr>
              <m:t>α</m:t>
            </m:r>
            <m:r>
              <m:rPr>
                <m:sty m:val="p"/>
              </m:rPr>
              <w:rPr>
                <w:rFonts w:ascii="Cambria Math" w:eastAsia="Times New Roman" w:hAnsi="Cambria Math"/>
                <w:strike w:val="0"/>
              </w:rPr>
              <m:t>/</m:t>
            </m:r>
            <m:r>
              <w:rPr>
                <w:rFonts w:ascii="Cambria Math" w:eastAsia="Times New Roman" w:hAnsi="Cambria Math"/>
                <w:strike w:val="0"/>
              </w:rPr>
              <m:t>2</m:t>
            </m:r>
          </m:sub>
        </m:sSub>
        <m:r>
          <w:rPr>
            <w:rFonts w:ascii="Cambria Math" w:eastAsia="Times New Roman" w:hAnsi="Cambria Math"/>
            <w:strike w:val="0"/>
          </w:rPr>
          <m:t>=1.96</m:t>
        </m:r>
      </m:oMath>
      <w:r w:rsidRPr="00635F29">
        <w:rPr>
          <w:rFonts w:eastAsia="Times New Roman"/>
          <w:strike w:val="0"/>
        </w:rPr>
        <w:t xml:space="preserve">, </w:t>
      </w:r>
      <m:oMath>
        <m:sSub>
          <m:sSubPr>
            <m:ctrlPr>
              <w:rPr>
                <w:rFonts w:ascii="Cambria Math" w:eastAsia="Times New Roman" w:hAnsi="Cambria Math"/>
                <w:strike w:val="0"/>
              </w:rPr>
            </m:ctrlPr>
          </m:sSubPr>
          <m:e>
            <m:r>
              <w:rPr>
                <w:rFonts w:ascii="Cambria Math" w:eastAsia="Times New Roman" w:hAnsi="Cambria Math"/>
                <w:strike w:val="0"/>
              </w:rPr>
              <m:t>Z</m:t>
            </m:r>
          </m:e>
          <m:sub>
            <m:r>
              <w:rPr>
                <w:rFonts w:ascii="Cambria Math" w:eastAsia="Times New Roman" w:hAnsi="Cambria Math"/>
                <w:strike w:val="0"/>
              </w:rPr>
              <m:t>β</m:t>
            </m:r>
          </m:sub>
        </m:sSub>
        <m:r>
          <w:rPr>
            <w:rFonts w:ascii="Cambria Math" w:eastAsia="Times New Roman" w:hAnsi="Cambria Math"/>
            <w:strike w:val="0"/>
          </w:rPr>
          <m:t>=0.84</m:t>
        </m:r>
      </m:oMath>
      <w:r w:rsidRPr="00635F29">
        <w:rPr>
          <w:rFonts w:eastAsia="Times New Roman"/>
          <w:strike w:val="0"/>
        </w:rPr>
        <w:t>, and proportions of 60.5% (urban) and 48.4% (rural) (Ade</w:t>
      </w:r>
      <w:r w:rsidR="0012611F">
        <w:rPr>
          <w:rFonts w:eastAsia="Times New Roman"/>
          <w:strike w:val="0"/>
          <w:lang w:val="en-GB"/>
        </w:rPr>
        <w:t>t</w:t>
      </w:r>
      <w:r w:rsidRPr="00635F29">
        <w:rPr>
          <w:rFonts w:eastAsia="Times New Roman"/>
          <w:strike w:val="0"/>
        </w:rPr>
        <w:t>o</w:t>
      </w:r>
      <w:proofErr w:type="spellStart"/>
      <w:r w:rsidR="0012611F">
        <w:rPr>
          <w:rFonts w:eastAsia="Times New Roman"/>
          <w:strike w:val="0"/>
          <w:lang w:val="en-GB"/>
        </w:rPr>
        <w:t>na</w:t>
      </w:r>
      <w:proofErr w:type="spellEnd"/>
      <w:r w:rsidRPr="00635F29">
        <w:rPr>
          <w:rFonts w:eastAsia="Times New Roman"/>
          <w:strike w:val="0"/>
        </w:rPr>
        <w:t xml:space="preserve"> et al., 2024), the minimum </w:t>
      </w:r>
      <w:r w:rsidR="002E3C8B">
        <w:rPr>
          <w:rFonts w:eastAsia="Times New Roman"/>
          <w:strike w:val="0"/>
        </w:rPr>
        <w:t xml:space="preserve">calculated </w:t>
      </w:r>
      <w:r w:rsidRPr="00635F29">
        <w:rPr>
          <w:rFonts w:eastAsia="Times New Roman"/>
          <w:strike w:val="0"/>
        </w:rPr>
        <w:t xml:space="preserve">sample size was 263 per group. Adjusting for clustering (DEFF = 1.5) yielded 395 per group. Due to feasibility considerations, a total sample size of 450 (225 per group) was </w:t>
      </w:r>
      <w:r w:rsidR="002E3C8B">
        <w:rPr>
          <w:rFonts w:eastAsia="Times New Roman"/>
          <w:strike w:val="0"/>
        </w:rPr>
        <w:t>utilized</w:t>
      </w:r>
      <w:r w:rsidRPr="00635F29">
        <w:rPr>
          <w:rFonts w:eastAsia="Times New Roman"/>
          <w:strike w:val="0"/>
        </w:rPr>
        <w:t>,</w:t>
      </w:r>
      <w:r w:rsidR="00C263FD">
        <w:rPr>
          <w:rFonts w:eastAsia="Times New Roman"/>
          <w:strike w:val="0"/>
        </w:rPr>
        <w:t xml:space="preserve"> </w:t>
      </w:r>
      <w:r w:rsidR="00E93D5C">
        <w:rPr>
          <w:rFonts w:eastAsia="Times New Roman"/>
          <w:strike w:val="0"/>
        </w:rPr>
        <w:t xml:space="preserve">which was </w:t>
      </w:r>
      <w:r w:rsidRPr="00635F29">
        <w:rPr>
          <w:rFonts w:eastAsia="Times New Roman"/>
          <w:strike w:val="0"/>
        </w:rPr>
        <w:t>consistent with similar studies (</w:t>
      </w:r>
      <w:r w:rsidR="00542F7A" w:rsidRPr="00542F7A">
        <w:rPr>
          <w:rFonts w:eastAsia="Times New Roman"/>
          <w:strike w:val="0"/>
        </w:rPr>
        <w:t>Iliyasu et al., 2010</w:t>
      </w:r>
      <w:r w:rsidR="00542F7A">
        <w:rPr>
          <w:rFonts w:eastAsia="Times New Roman"/>
          <w:strike w:val="0"/>
        </w:rPr>
        <w:t xml:space="preserve">; </w:t>
      </w:r>
      <w:r w:rsidR="0012611F">
        <w:rPr>
          <w:rFonts w:eastAsia="Times New Roman"/>
          <w:strike w:val="0"/>
          <w:lang w:val="en-GB"/>
        </w:rPr>
        <w:t>Moyo</w:t>
      </w:r>
      <w:r w:rsidRPr="00635F29">
        <w:rPr>
          <w:rFonts w:eastAsia="Times New Roman"/>
          <w:strike w:val="0"/>
        </w:rPr>
        <w:t xml:space="preserve"> et al., 202</w:t>
      </w:r>
      <w:r w:rsidR="0012611F">
        <w:rPr>
          <w:rFonts w:eastAsia="Times New Roman"/>
          <w:strike w:val="0"/>
          <w:lang w:val="en-GB"/>
        </w:rPr>
        <w:t>4</w:t>
      </w:r>
      <w:r w:rsidRPr="00635F29">
        <w:rPr>
          <w:rFonts w:eastAsia="Times New Roman"/>
          <w:strike w:val="0"/>
        </w:rPr>
        <w:t>).</w:t>
      </w:r>
    </w:p>
    <w:p w14:paraId="29CA285B" w14:textId="3B68BF5E" w:rsidR="001E1946" w:rsidRPr="001E1946" w:rsidRDefault="001E1946" w:rsidP="001E1946">
      <w:pPr>
        <w:spacing w:before="100" w:beforeAutospacing="1" w:after="100" w:afterAutospacing="1" w:line="240" w:lineRule="auto"/>
        <w:rPr>
          <w:rFonts w:eastAsia="Times New Roman"/>
          <w:strike w:val="0"/>
        </w:rPr>
      </w:pPr>
      <w:r w:rsidRPr="001E1946">
        <w:rPr>
          <w:rFonts w:eastAsia="Times New Roman"/>
          <w:strike w:val="0"/>
        </w:rPr>
        <w:t>The sample size of 450 satisfied the Events per Variable (EPV) requirement. The expected proportion of men with “good involvement” in maternal and child health was estimated at 45%, based on the pooled prevalence reported in a systematic review and meta</w:t>
      </w:r>
      <w:r w:rsidRPr="001E1946">
        <w:rPr>
          <w:rFonts w:eastAsia="Times New Roman"/>
          <w:strike w:val="0"/>
        </w:rPr>
        <w:noBreakHyphen/>
        <w:t>analysis of male involvement in low</w:t>
      </w:r>
      <w:r w:rsidRPr="001E1946">
        <w:rPr>
          <w:rFonts w:eastAsia="Times New Roman"/>
          <w:strike w:val="0"/>
        </w:rPr>
        <w:noBreakHyphen/>
        <w:t xml:space="preserve"> and middle</w:t>
      </w:r>
      <w:r w:rsidRPr="001E1946">
        <w:rPr>
          <w:rFonts w:eastAsia="Times New Roman"/>
          <w:strike w:val="0"/>
        </w:rPr>
        <w:noBreakHyphen/>
        <w:t>income countries (Yargawa &amp; Leonardi</w:t>
      </w:r>
      <w:r w:rsidRPr="001E1946">
        <w:rPr>
          <w:rFonts w:eastAsia="Times New Roman"/>
          <w:strike w:val="0"/>
        </w:rPr>
        <w:noBreakHyphen/>
        <w:t>Bee, 2015). With a total sample of 450, the expected number of outcome events was</w:t>
      </w:r>
      <w:r>
        <w:rPr>
          <w:rFonts w:eastAsia="Times New Roman"/>
          <w:strike w:val="0"/>
          <w:lang w:val="en-GB"/>
        </w:rPr>
        <w:t>,</w:t>
      </w:r>
      <w:r w:rsidRPr="001E1946">
        <w:rPr>
          <w:rFonts w:eastAsia="Times New Roman"/>
          <w:strike w:val="0"/>
        </w:rPr>
        <w:t xml:space="preserve"> therefore</w:t>
      </w:r>
      <w:r>
        <w:rPr>
          <w:rFonts w:eastAsia="Times New Roman"/>
          <w:strike w:val="0"/>
          <w:lang w:val="en-GB"/>
        </w:rPr>
        <w:t>,</w:t>
      </w:r>
      <w:r w:rsidRPr="001E1946">
        <w:rPr>
          <w:rFonts w:eastAsia="Times New Roman"/>
          <w:strike w:val="0"/>
        </w:rPr>
        <w:t> 450 × 0.45 = 202.5 ≈ 203 events.</w:t>
      </w:r>
    </w:p>
    <w:p w14:paraId="4B7AF11E" w14:textId="4B01CE35" w:rsidR="001E1946" w:rsidRPr="001E1946" w:rsidRDefault="001E1946" w:rsidP="001E1946">
      <w:pPr>
        <w:spacing w:before="100" w:beforeAutospacing="1" w:after="100" w:afterAutospacing="1" w:line="240" w:lineRule="auto"/>
        <w:rPr>
          <w:rFonts w:eastAsia="Times New Roman"/>
          <w:strike w:val="0"/>
        </w:rPr>
      </w:pPr>
      <w:r w:rsidRPr="001E1946">
        <w:rPr>
          <w:rFonts w:eastAsia="Times New Roman"/>
          <w:strike w:val="0"/>
        </w:rPr>
        <w:t>The multivariable logistic regression model included the following 10 independent predictors: age, educational level, monthly household income, occupation, parity, religion, residential setting (urban v</w:t>
      </w:r>
      <w:proofErr w:type="spellStart"/>
      <w:r>
        <w:rPr>
          <w:rFonts w:eastAsia="Times New Roman"/>
          <w:strike w:val="0"/>
          <w:lang w:val="en-GB"/>
        </w:rPr>
        <w:t>ersus</w:t>
      </w:r>
      <w:proofErr w:type="spellEnd"/>
      <w:r w:rsidRPr="001E1946">
        <w:rPr>
          <w:rFonts w:eastAsia="Times New Roman"/>
          <w:strike w:val="0"/>
        </w:rPr>
        <w:t xml:space="preserve"> rural), knowledge of maternal health services, financial savings for delivery, and arrangement of emergency transport. With 10 predictors and 203 expected events, the EPV was 203 / 10 = 20.3, which exceeded the recommended minimum of 10</w:t>
      </w:r>
      <w:r>
        <w:rPr>
          <w:rFonts w:eastAsia="Times New Roman"/>
          <w:strike w:val="0"/>
          <w:lang w:val="en-GB"/>
        </w:rPr>
        <w:t>-</w:t>
      </w:r>
      <w:r w:rsidRPr="001E1946">
        <w:rPr>
          <w:rFonts w:eastAsia="Times New Roman"/>
          <w:strike w:val="0"/>
        </w:rPr>
        <w:t>15 events per variable (Peduzzi et al., 1996; Vittinghoff &amp; McCulloch, 2007). This confirmed that the sample size was adequate for the planned regression analysis.</w:t>
      </w:r>
    </w:p>
    <w:p w14:paraId="3C7CD24D" w14:textId="133E7775" w:rsidR="00075DCA" w:rsidRPr="00075DCA" w:rsidRDefault="00E75096" w:rsidP="00075DCA">
      <w:pPr>
        <w:spacing w:before="100" w:beforeAutospacing="1" w:after="100" w:afterAutospacing="1" w:line="240" w:lineRule="auto"/>
        <w:rPr>
          <w:rFonts w:eastAsia="Times New Roman"/>
          <w:strike w:val="0"/>
        </w:rPr>
      </w:pPr>
      <w:r>
        <w:rPr>
          <w:rFonts w:eastAsia="Times New Roman"/>
          <w:b/>
          <w:bCs/>
          <w:strike w:val="0"/>
        </w:rPr>
        <w:t>2.</w:t>
      </w:r>
      <w:r w:rsidR="007C0A41">
        <w:rPr>
          <w:rFonts w:eastAsia="Times New Roman"/>
          <w:b/>
          <w:bCs/>
          <w:strike w:val="0"/>
        </w:rPr>
        <w:t>5</w:t>
      </w:r>
      <w:r>
        <w:rPr>
          <w:rFonts w:eastAsia="Times New Roman"/>
          <w:b/>
          <w:bCs/>
          <w:strike w:val="0"/>
        </w:rPr>
        <w:t xml:space="preserve"> </w:t>
      </w:r>
      <w:r w:rsidR="00075DCA" w:rsidRPr="00075DCA">
        <w:rPr>
          <w:rFonts w:eastAsia="Times New Roman"/>
          <w:b/>
          <w:bCs/>
          <w:strike w:val="0"/>
        </w:rPr>
        <w:t>Sampling Technique</w:t>
      </w:r>
    </w:p>
    <w:p w14:paraId="1B9CB3E2" w14:textId="5624A9BC" w:rsidR="00075DCA" w:rsidRPr="00075DCA" w:rsidRDefault="00075DCA" w:rsidP="00075DCA">
      <w:pPr>
        <w:spacing w:before="100" w:beforeAutospacing="1" w:after="100" w:afterAutospacing="1" w:line="240" w:lineRule="auto"/>
        <w:rPr>
          <w:rFonts w:eastAsia="Times New Roman"/>
          <w:strike w:val="0"/>
        </w:rPr>
      </w:pPr>
      <w:r w:rsidRPr="00075DCA">
        <w:rPr>
          <w:rFonts w:eastAsia="Times New Roman"/>
          <w:strike w:val="0"/>
        </w:rPr>
        <w:t>A multi-stage cluster sampling technique was u</w:t>
      </w:r>
      <w:proofErr w:type="spellStart"/>
      <w:r w:rsidR="00080DD2">
        <w:rPr>
          <w:rFonts w:eastAsia="Times New Roman"/>
          <w:strike w:val="0"/>
          <w:lang w:val="en-GB"/>
        </w:rPr>
        <w:t>sed</w:t>
      </w:r>
      <w:proofErr w:type="spellEnd"/>
      <w:r w:rsidRPr="00075DCA">
        <w:rPr>
          <w:rFonts w:eastAsia="Times New Roman"/>
          <w:strike w:val="0"/>
        </w:rPr>
        <w:t xml:space="preserve">. In the first stage, Port Harcourt (Urban) and </w:t>
      </w:r>
      <w:proofErr w:type="spellStart"/>
      <w:r w:rsidR="00E75096">
        <w:rPr>
          <w:rFonts w:eastAsia="Times New Roman"/>
          <w:strike w:val="0"/>
        </w:rPr>
        <w:t>Oyigbo</w:t>
      </w:r>
      <w:proofErr w:type="spellEnd"/>
      <w:r w:rsidRPr="00075DCA">
        <w:rPr>
          <w:rFonts w:eastAsia="Times New Roman"/>
          <w:strike w:val="0"/>
        </w:rPr>
        <w:t xml:space="preserve"> (Rural) LGAs were </w:t>
      </w:r>
      <w:r w:rsidR="00080DD2">
        <w:rPr>
          <w:rFonts w:eastAsia="Times New Roman"/>
          <w:strike w:val="0"/>
          <w:lang w:val="en-GB"/>
        </w:rPr>
        <w:t>randomly</w:t>
      </w:r>
      <w:r w:rsidRPr="00075DCA">
        <w:rPr>
          <w:rFonts w:eastAsia="Times New Roman"/>
          <w:strike w:val="0"/>
        </w:rPr>
        <w:t xml:space="preserve"> selected</w:t>
      </w:r>
      <w:r w:rsidR="00080DD2">
        <w:rPr>
          <w:rFonts w:eastAsia="Times New Roman"/>
          <w:strike w:val="0"/>
          <w:lang w:val="en-GB"/>
        </w:rPr>
        <w:t xml:space="preserve"> by balloting</w:t>
      </w:r>
      <w:r w:rsidRPr="00075DCA">
        <w:rPr>
          <w:rFonts w:eastAsia="Times New Roman"/>
          <w:strike w:val="0"/>
        </w:rPr>
        <w:t xml:space="preserve">. The second stage involved </w:t>
      </w:r>
      <w:r w:rsidRPr="00075DCA">
        <w:rPr>
          <w:rFonts w:eastAsia="Times New Roman"/>
          <w:strike w:val="0"/>
        </w:rPr>
        <w:lastRenderedPageBreak/>
        <w:t>the simple random selection (by balloting) of three political wards from each of the two LGAs. In the third stage, systematic sampling was used to select households within the chosen wards. The sampling interval (k) was computed by dividing the estimated total number of households (N) in each ward by the number of households required (n). Using a</w:t>
      </w:r>
      <w:r w:rsidR="009E2DC6">
        <w:rPr>
          <w:rFonts w:eastAsia="Times New Roman"/>
          <w:strike w:val="0"/>
        </w:rPr>
        <w:t>n</w:t>
      </w:r>
      <w:r w:rsidRPr="00075DCA">
        <w:rPr>
          <w:rFonts w:eastAsia="Times New Roman"/>
          <w:strike w:val="0"/>
        </w:rPr>
        <w:t xml:space="preserve"> estimate of 5,000 households per ward and a target of 75 households per ward</w:t>
      </w:r>
      <w:r w:rsidR="009E2DC6">
        <w:rPr>
          <w:rFonts w:eastAsia="Times New Roman"/>
          <w:strike w:val="0"/>
        </w:rPr>
        <w:t>,</w:t>
      </w:r>
      <w:r w:rsidRPr="00075DCA">
        <w:rPr>
          <w:rFonts w:eastAsia="Times New Roman"/>
          <w:strike w:val="0"/>
        </w:rPr>
        <w:t xml:space="preserve"> the interval (k = N/n) w</w:t>
      </w:r>
      <w:r w:rsidR="009E2DC6">
        <w:rPr>
          <w:rFonts w:eastAsia="Times New Roman"/>
          <w:strike w:val="0"/>
        </w:rPr>
        <w:t>as</w:t>
      </w:r>
      <w:r w:rsidRPr="00075DCA">
        <w:rPr>
          <w:rFonts w:eastAsia="Times New Roman"/>
          <w:strike w:val="0"/>
        </w:rPr>
        <w:t xml:space="preserve"> 67. </w:t>
      </w:r>
      <w:r w:rsidR="009E2DC6">
        <w:rPr>
          <w:rFonts w:eastAsia="Times New Roman"/>
          <w:strike w:val="0"/>
        </w:rPr>
        <w:t>H</w:t>
      </w:r>
      <w:r w:rsidR="009E2DC6" w:rsidRPr="009E2DC6">
        <w:rPr>
          <w:rFonts w:eastAsia="Times New Roman"/>
          <w:strike w:val="0"/>
        </w:rPr>
        <w:t xml:space="preserve">owever, </w:t>
      </w:r>
      <w:r w:rsidR="009E2DC6">
        <w:rPr>
          <w:rFonts w:eastAsia="Times New Roman"/>
          <w:strike w:val="0"/>
        </w:rPr>
        <w:t>a</w:t>
      </w:r>
      <w:r w:rsidRPr="00075DCA">
        <w:rPr>
          <w:rFonts w:eastAsia="Times New Roman"/>
          <w:strike w:val="0"/>
        </w:rPr>
        <w:t xml:space="preserve"> sampling interval of 50 was used for practical implementation. The first household was randomly selected from the first interval, after which every 50th household was chosen until the target </w:t>
      </w:r>
      <w:r w:rsidR="009E2DC6">
        <w:rPr>
          <w:rFonts w:eastAsia="Times New Roman"/>
          <w:strike w:val="0"/>
        </w:rPr>
        <w:t xml:space="preserve">of 225 households </w:t>
      </w:r>
      <w:r w:rsidRPr="00075DCA">
        <w:rPr>
          <w:rFonts w:eastAsia="Times New Roman"/>
          <w:strike w:val="0"/>
        </w:rPr>
        <w:t xml:space="preserve">was reached. Finally, in the fourth stage, one eligible male per household was selected; where multiple eligible men existed, a simple random </w:t>
      </w:r>
      <w:r w:rsidR="009E2DC6">
        <w:rPr>
          <w:rFonts w:eastAsia="Times New Roman"/>
          <w:strike w:val="0"/>
        </w:rPr>
        <w:t>sampling</w:t>
      </w:r>
      <w:r w:rsidRPr="00075DCA">
        <w:rPr>
          <w:rFonts w:eastAsia="Times New Roman"/>
          <w:strike w:val="0"/>
        </w:rPr>
        <w:t xml:space="preserve"> was used</w:t>
      </w:r>
      <w:r w:rsidR="0096337B">
        <w:rPr>
          <w:rFonts w:eastAsia="Times New Roman"/>
          <w:strike w:val="0"/>
        </w:rPr>
        <w:t xml:space="preserve"> </w:t>
      </w:r>
      <w:r w:rsidR="0096337B" w:rsidRPr="0096337B">
        <w:rPr>
          <w:rFonts w:eastAsia="Times New Roman"/>
          <w:strike w:val="0"/>
        </w:rPr>
        <w:t>(balloting without replacement)</w:t>
      </w:r>
      <w:r w:rsidRPr="00075DCA">
        <w:rPr>
          <w:rFonts w:eastAsia="Times New Roman"/>
          <w:strike w:val="0"/>
        </w:rPr>
        <w:t>.</w:t>
      </w:r>
    </w:p>
    <w:p w14:paraId="4FEF44B6" w14:textId="3290AF7A" w:rsidR="0051751A" w:rsidRPr="0051751A" w:rsidRDefault="005D0858" w:rsidP="0051751A">
      <w:pPr>
        <w:spacing w:before="100" w:beforeAutospacing="1" w:after="100" w:afterAutospacing="1" w:line="240" w:lineRule="auto"/>
        <w:rPr>
          <w:rFonts w:eastAsia="Times New Roman"/>
          <w:b/>
          <w:bCs/>
          <w:strike w:val="0"/>
        </w:rPr>
      </w:pPr>
      <w:r>
        <w:rPr>
          <w:rFonts w:eastAsia="Times New Roman"/>
          <w:b/>
          <w:bCs/>
          <w:strike w:val="0"/>
        </w:rPr>
        <w:t>2.</w:t>
      </w:r>
      <w:r w:rsidR="007C0A41">
        <w:rPr>
          <w:rFonts w:eastAsia="Times New Roman"/>
          <w:b/>
          <w:bCs/>
          <w:strike w:val="0"/>
        </w:rPr>
        <w:t>6</w:t>
      </w:r>
      <w:r>
        <w:rPr>
          <w:rFonts w:eastAsia="Times New Roman"/>
          <w:b/>
          <w:bCs/>
          <w:strike w:val="0"/>
        </w:rPr>
        <w:t xml:space="preserve"> Tool</w:t>
      </w:r>
      <w:r w:rsidR="0051751A" w:rsidRPr="0051751A">
        <w:rPr>
          <w:rFonts w:eastAsia="Times New Roman"/>
          <w:b/>
          <w:bCs/>
          <w:strike w:val="0"/>
        </w:rPr>
        <w:t xml:space="preserve"> for Data Collection</w:t>
      </w:r>
    </w:p>
    <w:p w14:paraId="292BDDB3" w14:textId="0D8E4A18"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A structured, interviewer</w:t>
      </w:r>
      <w:r w:rsidRPr="0051751A">
        <w:rPr>
          <w:rFonts w:eastAsia="Times New Roman"/>
          <w:strike w:val="0"/>
        </w:rPr>
        <w:noBreakHyphen/>
        <w:t>administered questionnaire adapted from validated BPCR and immunization tools used in previous Nigerian studies</w:t>
      </w:r>
      <w:r w:rsidR="005D0858">
        <w:rPr>
          <w:rFonts w:eastAsia="Times New Roman"/>
          <w:strike w:val="0"/>
        </w:rPr>
        <w:t xml:space="preserve"> </w:t>
      </w:r>
      <w:r w:rsidR="005D0858" w:rsidRPr="005D0858">
        <w:rPr>
          <w:rFonts w:eastAsia="Times New Roman"/>
          <w:strike w:val="0"/>
        </w:rPr>
        <w:t>was u</w:t>
      </w:r>
      <w:r w:rsidR="005D0858">
        <w:rPr>
          <w:rFonts w:eastAsia="Times New Roman"/>
          <w:strike w:val="0"/>
        </w:rPr>
        <w:t>tilized</w:t>
      </w:r>
      <w:r w:rsidR="00CF1044">
        <w:rPr>
          <w:rFonts w:eastAsia="Times New Roman"/>
          <w:strike w:val="0"/>
          <w:lang w:val="en-GB"/>
        </w:rPr>
        <w:t xml:space="preserve"> (</w:t>
      </w:r>
      <w:r w:rsidR="005D6E6D">
        <w:rPr>
          <w:rFonts w:eastAsia="Times New Roman"/>
          <w:strike w:val="0"/>
          <w:lang w:val="en-GB"/>
        </w:rPr>
        <w:t xml:space="preserve">Briggs, 2026; </w:t>
      </w:r>
      <w:r w:rsidR="00CF1044" w:rsidRPr="00CF1044">
        <w:rPr>
          <w:rFonts w:eastAsia="Times New Roman"/>
          <w:bCs/>
          <w:iCs/>
          <w:strike w:val="0"/>
        </w:rPr>
        <w:t>Johns Hopkins JHPIEGO/ WHO BPCR Index</w:t>
      </w:r>
      <w:r w:rsidR="00CF1044" w:rsidRPr="00CF1044">
        <w:rPr>
          <w:rFonts w:eastAsia="Times New Roman"/>
          <w:bCs/>
          <w:iCs/>
          <w:strike w:val="0"/>
          <w:lang w:val="en-GB"/>
        </w:rPr>
        <w:t xml:space="preserve"> (</w:t>
      </w:r>
      <w:r w:rsidR="00CF1044" w:rsidRPr="00CF1044">
        <w:rPr>
          <w:rFonts w:eastAsia="Times New Roman"/>
          <w:bCs/>
          <w:iCs/>
          <w:strike w:val="0"/>
        </w:rPr>
        <w:t>Jhpiego</w:t>
      </w:r>
      <w:r w:rsidR="00CF1044">
        <w:rPr>
          <w:rFonts w:eastAsia="Times New Roman"/>
          <w:bCs/>
          <w:iCs/>
          <w:strike w:val="0"/>
        </w:rPr>
        <w:t>)</w:t>
      </w:r>
      <w:r w:rsidR="00CF1044" w:rsidRPr="00CF1044">
        <w:rPr>
          <w:rFonts w:eastAsia="Times New Roman"/>
          <w:bCs/>
          <w:iCs/>
          <w:strike w:val="0"/>
        </w:rPr>
        <w:t>, 2004</w:t>
      </w:r>
      <w:r w:rsidR="005D6E6D">
        <w:rPr>
          <w:rFonts w:eastAsia="Times New Roman"/>
          <w:bCs/>
          <w:iCs/>
          <w:strike w:val="0"/>
        </w:rPr>
        <w:t>)</w:t>
      </w:r>
      <w:r w:rsidRPr="0051751A">
        <w:rPr>
          <w:rFonts w:eastAsia="Times New Roman"/>
          <w:strike w:val="0"/>
        </w:rPr>
        <w:t>. It assessed socio</w:t>
      </w:r>
      <w:r w:rsidRPr="0051751A">
        <w:rPr>
          <w:rFonts w:eastAsia="Times New Roman"/>
          <w:strike w:val="0"/>
        </w:rPr>
        <w:noBreakHyphen/>
        <w:t>demographics (age, education, occupation, parity, and religion); BPCR involvement (financial savings, transport arrangements, and identification of skilled birth attendants); immunization involvement (knowledge of vaccine schedules, financial support for clinic visits, and physical attendance at immunization sessions)</w:t>
      </w:r>
      <w:r w:rsidR="004B53EF">
        <w:rPr>
          <w:rFonts w:eastAsia="Times New Roman"/>
          <w:strike w:val="0"/>
          <w:lang w:val="en-GB"/>
        </w:rPr>
        <w:t xml:space="preserve">; </w:t>
      </w:r>
      <w:r w:rsidR="004B53EF" w:rsidRPr="004B53EF">
        <w:rPr>
          <w:rFonts w:eastAsia="Times New Roman"/>
          <w:strike w:val="0"/>
        </w:rPr>
        <w:t xml:space="preserve"> socio</w:t>
      </w:r>
      <w:r w:rsidR="004B53EF" w:rsidRPr="004B53EF">
        <w:rPr>
          <w:rFonts w:eastAsia="Times New Roman"/>
          <w:strike w:val="0"/>
        </w:rPr>
        <w:noBreakHyphen/>
        <w:t xml:space="preserve">cultural facilitators and barriers reflecting common cultural norms and health system challenges. </w:t>
      </w:r>
    </w:p>
    <w:p w14:paraId="16E143FC" w14:textId="5BAA951E" w:rsidR="004D7DB7" w:rsidRPr="004D7DB7" w:rsidRDefault="004D7DB7" w:rsidP="0051751A">
      <w:pPr>
        <w:spacing w:before="100" w:beforeAutospacing="1" w:after="100" w:afterAutospacing="1" w:line="240" w:lineRule="auto"/>
        <w:rPr>
          <w:rFonts w:eastAsia="Times New Roman"/>
          <w:strike w:val="0"/>
        </w:rPr>
      </w:pPr>
      <w:r w:rsidRPr="004D7DB7">
        <w:rPr>
          <w:rFonts w:eastAsia="Times New Roman"/>
          <w:strike w:val="0"/>
        </w:rPr>
        <w:t>The adapted questionnaire was reviewed by three public health experts for content validity. A p</w:t>
      </w:r>
      <w:r>
        <w:rPr>
          <w:rFonts w:eastAsia="Times New Roman"/>
          <w:strike w:val="0"/>
        </w:rPr>
        <w:t>re</w:t>
      </w:r>
      <w:r w:rsidRPr="004D7DB7">
        <w:rPr>
          <w:rFonts w:eastAsia="Times New Roman"/>
          <w:strike w:val="0"/>
        </w:rPr>
        <w:t>test</w:t>
      </w:r>
      <w:r>
        <w:rPr>
          <w:rFonts w:eastAsia="Times New Roman"/>
          <w:strike w:val="0"/>
        </w:rPr>
        <w:t>ing</w:t>
      </w:r>
      <w:r w:rsidRPr="004D7DB7">
        <w:rPr>
          <w:rFonts w:eastAsia="Times New Roman"/>
          <w:strike w:val="0"/>
        </w:rPr>
        <w:t xml:space="preserve"> among 45 eligible men</w:t>
      </w:r>
      <w:r w:rsidR="002F4D0A">
        <w:rPr>
          <w:rFonts w:eastAsia="Times New Roman"/>
          <w:strike w:val="0"/>
        </w:rPr>
        <w:t xml:space="preserve"> </w:t>
      </w:r>
      <w:r w:rsidR="002F4D0A" w:rsidRPr="002F4D0A">
        <w:rPr>
          <w:rFonts w:eastAsia="Times New Roman"/>
          <w:strike w:val="0"/>
        </w:rPr>
        <w:t>(10% of the total sample) </w:t>
      </w:r>
      <w:r>
        <w:rPr>
          <w:rFonts w:eastAsia="Times New Roman"/>
          <w:strike w:val="0"/>
        </w:rPr>
        <w:t>from non</w:t>
      </w:r>
      <w:r w:rsidR="002F4D0A">
        <w:rPr>
          <w:rFonts w:eastAsia="Times New Roman"/>
          <w:strike w:val="0"/>
        </w:rPr>
        <w:t>-</w:t>
      </w:r>
      <w:r>
        <w:rPr>
          <w:rFonts w:eastAsia="Times New Roman"/>
          <w:strike w:val="0"/>
        </w:rPr>
        <w:t xml:space="preserve"> participating LGA in Rivers State </w:t>
      </w:r>
      <w:r w:rsidRPr="004D7DB7">
        <w:rPr>
          <w:rFonts w:eastAsia="Times New Roman"/>
          <w:strike w:val="0"/>
        </w:rPr>
        <w:t>yielded Cronbach's alpha values of 0.84 (birth preparedness) and 0.79 (childhood immunization), confirming acceptable internal reliability.</w:t>
      </w:r>
    </w:p>
    <w:p w14:paraId="12E4DEDE" w14:textId="26B7000C" w:rsidR="0051751A" w:rsidRPr="005D0858" w:rsidRDefault="004A029B" w:rsidP="0051751A">
      <w:pPr>
        <w:spacing w:before="100" w:beforeAutospacing="1" w:after="100" w:afterAutospacing="1" w:line="240" w:lineRule="auto"/>
        <w:rPr>
          <w:rFonts w:eastAsia="Times New Roman"/>
          <w:b/>
          <w:bCs/>
          <w:strike w:val="0"/>
        </w:rPr>
      </w:pPr>
      <w:r>
        <w:rPr>
          <w:rFonts w:eastAsia="Times New Roman"/>
          <w:b/>
          <w:bCs/>
          <w:strike w:val="0"/>
        </w:rPr>
        <w:t>2.</w:t>
      </w:r>
      <w:r w:rsidR="007C0A41">
        <w:rPr>
          <w:rFonts w:eastAsia="Times New Roman"/>
          <w:b/>
          <w:bCs/>
          <w:strike w:val="0"/>
        </w:rPr>
        <w:t>7</w:t>
      </w:r>
      <w:r>
        <w:rPr>
          <w:rFonts w:eastAsia="Times New Roman"/>
          <w:b/>
          <w:bCs/>
          <w:strike w:val="0"/>
        </w:rPr>
        <w:t xml:space="preserve"> </w:t>
      </w:r>
      <w:r w:rsidR="0051751A" w:rsidRPr="0051751A">
        <w:rPr>
          <w:rFonts w:eastAsia="Times New Roman"/>
          <w:b/>
          <w:bCs/>
          <w:strike w:val="0"/>
        </w:rPr>
        <w:t xml:space="preserve">Data Analysis </w:t>
      </w:r>
    </w:p>
    <w:p w14:paraId="5B297B14" w14:textId="5E87000D" w:rsidR="005D0858" w:rsidRDefault="0051751A" w:rsidP="0051751A">
      <w:pPr>
        <w:spacing w:before="100" w:beforeAutospacing="1" w:after="100" w:afterAutospacing="1" w:line="240" w:lineRule="auto"/>
        <w:rPr>
          <w:rFonts w:eastAsia="Times New Roman"/>
          <w:strike w:val="0"/>
        </w:rPr>
      </w:pPr>
      <w:r w:rsidRPr="0051751A">
        <w:rPr>
          <w:rFonts w:eastAsia="Times New Roman"/>
          <w:strike w:val="0"/>
        </w:rPr>
        <w:t>Data were analyzed using </w:t>
      </w:r>
      <w:r w:rsidR="005D0858" w:rsidRPr="005D0858">
        <w:rPr>
          <w:rFonts w:eastAsia="Times New Roman"/>
          <w:strike w:val="0"/>
        </w:rPr>
        <w:t>the Statistical Product and Service Solution (SPSS) Version 27</w:t>
      </w:r>
      <w:r w:rsidR="00E13E7F">
        <w:rPr>
          <w:rFonts w:eastAsia="Times New Roman"/>
          <w:strike w:val="0"/>
        </w:rPr>
        <w:t>.0</w:t>
      </w:r>
      <w:r w:rsidR="005D0858" w:rsidRPr="005D0858">
        <w:rPr>
          <w:rFonts w:eastAsia="Times New Roman"/>
          <w:strike w:val="0"/>
        </w:rPr>
        <w:t xml:space="preserve"> (Armonk, NY: IBM Corporation)</w:t>
      </w:r>
      <w:r w:rsidR="005D0858">
        <w:rPr>
          <w:rFonts w:eastAsia="Times New Roman"/>
          <w:strike w:val="0"/>
        </w:rPr>
        <w:t xml:space="preserve">. </w:t>
      </w:r>
    </w:p>
    <w:p w14:paraId="71469F05" w14:textId="38090FC0"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For preliminary testing, the distribution of continuous variables was assessed using the Shapiro</w:t>
      </w:r>
      <w:r w:rsidRPr="0051751A">
        <w:rPr>
          <w:rFonts w:eastAsia="Times New Roman"/>
          <w:strike w:val="0"/>
        </w:rPr>
        <w:noBreakHyphen/>
        <w:t>Wilk test. Before regression analysis, the Variance Inflation Factor (VIF) was checked</w:t>
      </w:r>
      <w:r w:rsidR="00A97FF0">
        <w:rPr>
          <w:rFonts w:eastAsia="Times New Roman"/>
          <w:strike w:val="0"/>
          <w:lang w:val="en-GB"/>
        </w:rPr>
        <w:t xml:space="preserve"> for multicollinearity</w:t>
      </w:r>
      <w:r w:rsidRPr="0051751A">
        <w:rPr>
          <w:rFonts w:eastAsia="Times New Roman"/>
          <w:strike w:val="0"/>
        </w:rPr>
        <w:t xml:space="preserve">; variables with a VIF &gt; </w:t>
      </w:r>
      <w:r>
        <w:rPr>
          <w:rFonts w:eastAsia="Times New Roman"/>
          <w:strike w:val="0"/>
          <w:lang w:val="en-GB"/>
        </w:rPr>
        <w:t>5</w:t>
      </w:r>
      <w:r w:rsidRPr="0051751A">
        <w:rPr>
          <w:rFonts w:eastAsia="Times New Roman"/>
          <w:strike w:val="0"/>
        </w:rPr>
        <w:t xml:space="preserve"> were excluded to ensure the stability of the coefficients.</w:t>
      </w:r>
    </w:p>
    <w:p w14:paraId="240B76C3" w14:textId="7C19E655" w:rsidR="004A029B" w:rsidRPr="004A029B" w:rsidRDefault="004A029B" w:rsidP="0051751A">
      <w:pPr>
        <w:spacing w:before="100" w:beforeAutospacing="1" w:after="100" w:afterAutospacing="1" w:line="240" w:lineRule="auto"/>
        <w:rPr>
          <w:rFonts w:eastAsia="Times New Roman"/>
          <w:strike w:val="0"/>
        </w:rPr>
      </w:pPr>
      <w:r>
        <w:rPr>
          <w:rFonts w:eastAsia="Times New Roman"/>
          <w:strike w:val="0"/>
        </w:rPr>
        <w:t>For d</w:t>
      </w:r>
      <w:r w:rsidRPr="004A029B">
        <w:rPr>
          <w:rFonts w:eastAsia="Times New Roman"/>
          <w:strike w:val="0"/>
        </w:rPr>
        <w:t>escriptive Statistics</w:t>
      </w:r>
      <w:r>
        <w:rPr>
          <w:rFonts w:eastAsia="Times New Roman"/>
          <w:strike w:val="0"/>
        </w:rPr>
        <w:t xml:space="preserve">, </w:t>
      </w:r>
      <w:r w:rsidRPr="004A029B">
        <w:rPr>
          <w:rFonts w:eastAsia="Times New Roman"/>
          <w:strike w:val="0"/>
        </w:rPr>
        <w:t>Frequencies, means, and standard deviations summarized sociodemographic and clinical characteristics.</w:t>
      </w:r>
    </w:p>
    <w:p w14:paraId="3D4F81BF" w14:textId="35DC88E2" w:rsidR="0051751A" w:rsidRPr="00BB2ADC" w:rsidRDefault="0051751A" w:rsidP="0051751A">
      <w:pPr>
        <w:spacing w:before="100" w:beforeAutospacing="1" w:after="100" w:afterAutospacing="1" w:line="240" w:lineRule="auto"/>
        <w:rPr>
          <w:rFonts w:eastAsia="Times New Roman"/>
          <w:strike w:val="0"/>
        </w:rPr>
      </w:pPr>
      <w:r w:rsidRPr="0051751A">
        <w:rPr>
          <w:rFonts w:eastAsia="Times New Roman"/>
          <w:strike w:val="0"/>
        </w:rPr>
        <w:t>For inferential analysis,</w:t>
      </w:r>
      <w:r w:rsidR="001F3456">
        <w:rPr>
          <w:rFonts w:eastAsia="Times New Roman"/>
          <w:strike w:val="0"/>
        </w:rPr>
        <w:t xml:space="preserve"> </w:t>
      </w:r>
      <w:r w:rsidRPr="0051751A">
        <w:rPr>
          <w:rFonts w:eastAsia="Times New Roman"/>
          <w:strike w:val="0"/>
        </w:rPr>
        <w:t>Chi</w:t>
      </w:r>
      <w:r w:rsidRPr="0051751A">
        <w:rPr>
          <w:rFonts w:eastAsia="Times New Roman"/>
          <w:strike w:val="0"/>
        </w:rPr>
        <w:noBreakHyphen/>
        <w:t>square tests (χ²) were used to compare the proportions of male involvement between the rural and urban cohorts. Multiple logistic regression was conducted to identify independent predictors of male involvement.</w:t>
      </w:r>
      <w:r w:rsidR="00BB2ADC">
        <w:rPr>
          <w:rFonts w:eastAsia="Times New Roman"/>
          <w:strike w:val="0"/>
        </w:rPr>
        <w:t xml:space="preserve"> </w:t>
      </w:r>
      <w:r w:rsidR="00BB2ADC" w:rsidRPr="00BB2ADC">
        <w:rPr>
          <w:rFonts w:eastAsia="Times New Roman"/>
          <w:strike w:val="0"/>
        </w:rPr>
        <w:t>To assess whether the effect of education and income differed by residential setting, an interaction analysis was performed</w:t>
      </w:r>
    </w:p>
    <w:p w14:paraId="2E314AD7" w14:textId="0AF340BC" w:rsidR="0051751A" w:rsidRDefault="0051751A" w:rsidP="0051751A">
      <w:pPr>
        <w:spacing w:before="100" w:beforeAutospacing="1" w:after="100" w:afterAutospacing="1" w:line="240" w:lineRule="auto"/>
        <w:rPr>
          <w:rFonts w:eastAsia="Times New Roman"/>
          <w:strike w:val="0"/>
        </w:rPr>
      </w:pPr>
      <w:r w:rsidRPr="0051751A">
        <w:rPr>
          <w:rFonts w:eastAsia="Times New Roman"/>
          <w:strike w:val="0"/>
        </w:rPr>
        <w:t>Model validation included the Hosmer</w:t>
      </w:r>
      <w:r w:rsidRPr="0051751A">
        <w:rPr>
          <w:rFonts w:eastAsia="Times New Roman"/>
          <w:strike w:val="0"/>
        </w:rPr>
        <w:noBreakHyphen/>
        <w:t>Lemeshow test to ensure the model appropriately fit the data (p &gt; 0.05). The Area Under the Receiver Operating Characteristic curve (AUROC) was calculated to determine the model’s predictive power; an A</w:t>
      </w:r>
      <w:r w:rsidR="00D7439C">
        <w:rPr>
          <w:rFonts w:eastAsia="Times New Roman"/>
          <w:strike w:val="0"/>
          <w:lang w:val="en-GB"/>
        </w:rPr>
        <w:t>U</w:t>
      </w:r>
      <w:r w:rsidRPr="0051751A">
        <w:rPr>
          <w:rFonts w:eastAsia="Times New Roman"/>
          <w:strike w:val="0"/>
        </w:rPr>
        <w:t>C of 0.7 or higher was considered acceptable. A sensitivity analysis was performed by re</w:t>
      </w:r>
      <w:r w:rsidRPr="0051751A">
        <w:rPr>
          <w:rFonts w:eastAsia="Times New Roman"/>
          <w:strike w:val="0"/>
        </w:rPr>
        <w:noBreakHyphen/>
        <w:t xml:space="preserve">running the model while </w:t>
      </w:r>
      <w:r w:rsidRPr="0051751A">
        <w:rPr>
          <w:rFonts w:eastAsia="Times New Roman"/>
          <w:strike w:val="0"/>
        </w:rPr>
        <w:lastRenderedPageBreak/>
        <w:t>excluding extreme outliers or missing values to confirm the robustness of the primary findings.</w:t>
      </w:r>
    </w:p>
    <w:p w14:paraId="115D1876" w14:textId="6FBE4F68" w:rsidR="00B1506D" w:rsidRPr="00B1506D" w:rsidRDefault="00B1506D" w:rsidP="0051751A">
      <w:pPr>
        <w:spacing w:before="100" w:beforeAutospacing="1" w:after="100" w:afterAutospacing="1" w:line="240" w:lineRule="auto"/>
        <w:rPr>
          <w:rFonts w:eastAsia="Times New Roman"/>
          <w:strike w:val="0"/>
        </w:rPr>
      </w:pPr>
      <w:r w:rsidRPr="00B1506D">
        <w:rPr>
          <w:rFonts w:eastAsia="Times New Roman"/>
          <w:strike w:val="0"/>
        </w:rPr>
        <w:t>Statistical Significance: P-values &lt;0.05 were considered statistically significant. Adjusted Odds Ratios (AORs) with 95% Confidence Intervals (CIs) were reported for all independent predictors</w:t>
      </w:r>
      <w:r>
        <w:rPr>
          <w:rFonts w:eastAsia="Times New Roman"/>
          <w:strike w:val="0"/>
        </w:rPr>
        <w:t>.</w:t>
      </w:r>
    </w:p>
    <w:p w14:paraId="3410D467" w14:textId="1A809DCF" w:rsidR="0051751A" w:rsidRPr="0051751A" w:rsidRDefault="004A029B" w:rsidP="0051751A">
      <w:pPr>
        <w:spacing w:before="100" w:beforeAutospacing="1" w:after="100" w:afterAutospacing="1" w:line="240" w:lineRule="auto"/>
        <w:rPr>
          <w:rFonts w:eastAsia="Times New Roman"/>
          <w:b/>
          <w:bCs/>
          <w:strike w:val="0"/>
        </w:rPr>
      </w:pPr>
      <w:r>
        <w:rPr>
          <w:rFonts w:eastAsia="Times New Roman"/>
          <w:b/>
          <w:bCs/>
          <w:strike w:val="0"/>
        </w:rPr>
        <w:t>2.</w:t>
      </w:r>
      <w:r w:rsidR="007C0A41">
        <w:rPr>
          <w:rFonts w:eastAsia="Times New Roman"/>
          <w:b/>
          <w:bCs/>
          <w:strike w:val="0"/>
        </w:rPr>
        <w:t>8</w:t>
      </w:r>
      <w:r>
        <w:rPr>
          <w:rFonts w:eastAsia="Times New Roman"/>
          <w:b/>
          <w:bCs/>
          <w:strike w:val="0"/>
        </w:rPr>
        <w:t xml:space="preserve"> </w:t>
      </w:r>
      <w:r w:rsidR="0051751A" w:rsidRPr="0051751A">
        <w:rPr>
          <w:rFonts w:eastAsia="Times New Roman"/>
          <w:b/>
          <w:bCs/>
          <w:strike w:val="0"/>
        </w:rPr>
        <w:t>Operational Definitions</w:t>
      </w:r>
    </w:p>
    <w:p w14:paraId="04B13309" w14:textId="1C2B3F05" w:rsidR="0051751A" w:rsidRPr="0051751A" w:rsidRDefault="0051751A" w:rsidP="0051751A">
      <w:pPr>
        <w:spacing w:before="100" w:beforeAutospacing="1" w:after="100" w:afterAutospacing="1" w:line="240" w:lineRule="auto"/>
        <w:rPr>
          <w:rFonts w:eastAsia="Times New Roman"/>
          <w:strike w:val="0"/>
        </w:rPr>
      </w:pPr>
      <w:r w:rsidRPr="004A029B">
        <w:rPr>
          <w:rFonts w:eastAsia="Times New Roman"/>
          <w:strike w:val="0"/>
        </w:rPr>
        <w:t>To ensure clarity and reproducibility, the following operational definitions were</w:t>
      </w:r>
      <w:r w:rsidR="004A029B">
        <w:rPr>
          <w:rFonts w:eastAsia="Times New Roman"/>
          <w:strike w:val="0"/>
        </w:rPr>
        <w:t xml:space="preserve"> used</w:t>
      </w:r>
      <w:r w:rsidRPr="004A029B">
        <w:rPr>
          <w:rFonts w:eastAsia="Times New Roman"/>
          <w:strike w:val="0"/>
        </w:rPr>
        <w:t>. </w:t>
      </w:r>
      <w:r w:rsidRPr="004A029B">
        <w:rPr>
          <w:rFonts w:eastAsia="Times New Roman"/>
          <w:b/>
          <w:bCs/>
          <w:strike w:val="0"/>
        </w:rPr>
        <w:t>Good involvement in birth preparedness (BPCR)</w:t>
      </w:r>
      <w:r w:rsidRPr="004A029B">
        <w:rPr>
          <w:rFonts w:eastAsia="Times New Roman"/>
          <w:strike w:val="0"/>
        </w:rPr>
        <w:t> is defined as a composite score where the respondent reported positive responses to at least two of the following four items: saved money for delivery, identified</w:t>
      </w:r>
      <w:r w:rsidRPr="0051751A">
        <w:rPr>
          <w:rFonts w:eastAsia="Times New Roman"/>
          <w:strike w:val="0"/>
        </w:rPr>
        <w:t xml:space="preserve"> a skilled birth attendant (doctor, nurse, or midwife), arranged emergency transport in advance, or attended at least one antenatal visit with his partner. </w:t>
      </w:r>
      <w:r w:rsidRPr="0051751A">
        <w:rPr>
          <w:rFonts w:eastAsia="Times New Roman"/>
          <w:b/>
          <w:bCs/>
          <w:strike w:val="0"/>
        </w:rPr>
        <w:t>Good involvement in childhood immunization</w:t>
      </w:r>
      <w:r w:rsidRPr="0051751A">
        <w:rPr>
          <w:rFonts w:eastAsia="Times New Roman"/>
          <w:strike w:val="0"/>
        </w:rPr>
        <w:t> is defined as a composite score where the respondent reported positive responses to at least two of the following four items: correctly identified at least three vaccines in the routine schedule (BCG, OPV, Penta, or Measles), provided financial support for at least one immunization visit, physically attended at least one immunization session, or reminded his partner of scheduled immunization dates.</w:t>
      </w:r>
    </w:p>
    <w:p w14:paraId="1E798322" w14:textId="63B18E20" w:rsidR="000D6DC1" w:rsidRPr="004A029B" w:rsidRDefault="0051751A" w:rsidP="00253EEF">
      <w:pPr>
        <w:spacing w:before="100" w:beforeAutospacing="1" w:after="100" w:afterAutospacing="1" w:line="240" w:lineRule="auto"/>
        <w:rPr>
          <w:rFonts w:eastAsia="Times New Roman"/>
          <w:strike w:val="0"/>
        </w:rPr>
      </w:pPr>
      <w:r w:rsidRPr="0051751A">
        <w:rPr>
          <w:rFonts w:eastAsia="Times New Roman"/>
          <w:b/>
          <w:bCs/>
          <w:strike w:val="0"/>
        </w:rPr>
        <w:t>Knowledge of immunization schedule</w:t>
      </w:r>
      <w:r w:rsidRPr="0051751A">
        <w:rPr>
          <w:rFonts w:eastAsia="Times New Roman"/>
          <w:strike w:val="0"/>
        </w:rPr>
        <w:t> is defined as correctly identifying at least three out of five key vaccination timepoints: birth (BCG/OPV0), 6 weeks (Penta1/OPV1), 10 weeks (Penta2), 14 weeks (Penta3), and 9 months (Measles). </w:t>
      </w:r>
      <w:r w:rsidRPr="0051751A">
        <w:rPr>
          <w:rFonts w:eastAsia="Times New Roman"/>
          <w:b/>
          <w:bCs/>
          <w:strike w:val="0"/>
        </w:rPr>
        <w:t>Urban residence</w:t>
      </w:r>
      <w:r w:rsidRPr="0051751A">
        <w:rPr>
          <w:rFonts w:eastAsia="Times New Roman"/>
          <w:strike w:val="0"/>
        </w:rPr>
        <w:t xml:space="preserve"> refers to residing within Port Harcourt City LGA, characterized by a population exceeding 50,000, </w:t>
      </w:r>
      <w:r w:rsidR="004A029B">
        <w:rPr>
          <w:rFonts w:eastAsia="Times New Roman"/>
          <w:strike w:val="0"/>
        </w:rPr>
        <w:t xml:space="preserve">the </w:t>
      </w:r>
      <w:r w:rsidRPr="0051751A">
        <w:rPr>
          <w:rFonts w:eastAsia="Times New Roman"/>
          <w:strike w:val="0"/>
        </w:rPr>
        <w:t>presence of paved roads, electricity for more than 18 hours per day, and access to tertiary healthcare within 5 km. </w:t>
      </w:r>
      <w:r w:rsidRPr="0051751A">
        <w:rPr>
          <w:rFonts w:eastAsia="Times New Roman"/>
          <w:b/>
          <w:bCs/>
          <w:strike w:val="0"/>
        </w:rPr>
        <w:t>Rural residence</w:t>
      </w:r>
      <w:r w:rsidRPr="0051751A">
        <w:rPr>
          <w:rFonts w:eastAsia="Times New Roman"/>
          <w:strike w:val="0"/>
        </w:rPr>
        <w:t> refers to residing within</w:t>
      </w:r>
      <w:r w:rsidR="004A029B">
        <w:rPr>
          <w:rFonts w:eastAsia="Times New Roman"/>
          <w:strike w:val="0"/>
        </w:rPr>
        <w:t xml:space="preserve"> </w:t>
      </w:r>
      <w:proofErr w:type="spellStart"/>
      <w:r w:rsidR="004A029B">
        <w:rPr>
          <w:rFonts w:eastAsia="Times New Roman"/>
          <w:strike w:val="0"/>
        </w:rPr>
        <w:t>Oyigbo</w:t>
      </w:r>
      <w:proofErr w:type="spellEnd"/>
      <w:r w:rsidRPr="0051751A">
        <w:rPr>
          <w:rFonts w:eastAsia="Times New Roman"/>
          <w:strike w:val="0"/>
        </w:rPr>
        <w:t xml:space="preserve"> LGA outside of major towns, characterized by fewer than 20,000 inhabitants per ward, primary reliance on agriculture or fishing, and a primary health center as the main healthcare facility. </w:t>
      </w:r>
      <w:r w:rsidRPr="0051751A">
        <w:rPr>
          <w:rFonts w:eastAsia="Times New Roman"/>
          <w:b/>
          <w:bCs/>
          <w:strike w:val="0"/>
        </w:rPr>
        <w:t>High income</w:t>
      </w:r>
      <w:r w:rsidRPr="0051751A">
        <w:rPr>
          <w:rFonts w:eastAsia="Times New Roman"/>
          <w:strike w:val="0"/>
        </w:rPr>
        <w:t> is defined as a monthly household income of at least ₦80,000, which approximates the 75th percentile of the combined sample distribution based on the mean urban income of ₦98,500 ± 42,300. </w:t>
      </w:r>
      <w:r w:rsidRPr="0051751A">
        <w:rPr>
          <w:rFonts w:eastAsia="Times New Roman"/>
          <w:b/>
          <w:bCs/>
          <w:strike w:val="0"/>
        </w:rPr>
        <w:t>Tertiary education</w:t>
      </w:r>
      <w:r w:rsidRPr="0051751A">
        <w:rPr>
          <w:rFonts w:eastAsia="Times New Roman"/>
          <w:strike w:val="0"/>
        </w:rPr>
        <w:t> means completion of any post</w:t>
      </w:r>
      <w:r w:rsidRPr="0051751A">
        <w:rPr>
          <w:rFonts w:eastAsia="Times New Roman"/>
          <w:strike w:val="0"/>
        </w:rPr>
        <w:noBreakHyphen/>
        <w:t>secondary education, including polytechnic, college of education, or university.</w:t>
      </w:r>
    </w:p>
    <w:p w14:paraId="52C61813" w14:textId="549620EA" w:rsidR="00253EEF" w:rsidRDefault="000D6DC1" w:rsidP="00253EEF">
      <w:pPr>
        <w:spacing w:before="100" w:beforeAutospacing="1" w:after="100" w:afterAutospacing="1" w:line="240" w:lineRule="auto"/>
        <w:rPr>
          <w:rFonts w:eastAsia="Times New Roman"/>
          <w:b/>
          <w:bCs/>
          <w:strike w:val="0"/>
          <w:lang w:val="en-GB"/>
        </w:rPr>
      </w:pPr>
      <w:r>
        <w:rPr>
          <w:rFonts w:eastAsia="Times New Roman"/>
          <w:b/>
          <w:bCs/>
          <w:strike w:val="0"/>
          <w:lang w:val="en-GB"/>
        </w:rPr>
        <w:t xml:space="preserve">3. </w:t>
      </w:r>
      <w:r w:rsidRPr="000D6DC1">
        <w:rPr>
          <w:rFonts w:eastAsia="Times New Roman"/>
          <w:b/>
          <w:bCs/>
          <w:strike w:val="0"/>
          <w:lang w:val="en-GB"/>
        </w:rPr>
        <w:t>Results</w:t>
      </w:r>
    </w:p>
    <w:p w14:paraId="4971CD54" w14:textId="184BF321"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Sociodemographic Characteristics of Respondents</w:t>
      </w:r>
    </w:p>
    <w:p w14:paraId="2DDEEE27" w14:textId="72060E83"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Sociodemographic characteristics showed that the mean age of respondents was 34.8 ± 7.6 years, with urban respondents slightly older than rural respondents. Higher educational attainment and income were more common in urban areas, while rural respondents were more engaged in informal occupations</w:t>
      </w:r>
      <w:r>
        <w:rPr>
          <w:rFonts w:eastAsia="Times New Roman"/>
          <w:strike w:val="0"/>
        </w:rPr>
        <w:t xml:space="preserve"> (Table 1)</w:t>
      </w:r>
      <w:r w:rsidRPr="000D6DC1">
        <w:rPr>
          <w:rFonts w:eastAsia="Times New Roman"/>
          <w:strike w:val="0"/>
        </w:rPr>
        <w:t>.</w:t>
      </w:r>
    </w:p>
    <w:p w14:paraId="75572B83" w14:textId="6D67A13C"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1: Sociodemographic Characteristics of Respondents</w:t>
      </w:r>
    </w:p>
    <w:tbl>
      <w:tblPr>
        <w:tblW w:w="0" w:type="auto"/>
        <w:tblLook w:val="04A0" w:firstRow="1" w:lastRow="0" w:firstColumn="1" w:lastColumn="0" w:noHBand="0" w:noVBand="1"/>
      </w:tblPr>
      <w:tblGrid>
        <w:gridCol w:w="2160"/>
        <w:gridCol w:w="2160"/>
        <w:gridCol w:w="2160"/>
        <w:gridCol w:w="2160"/>
      </w:tblGrid>
      <w:tr w:rsidR="000D6DC1" w:rsidRPr="000D6DC1" w14:paraId="58838C43" w14:textId="77777777" w:rsidTr="00FC1221">
        <w:tc>
          <w:tcPr>
            <w:tcW w:w="2160" w:type="dxa"/>
          </w:tcPr>
          <w:p w14:paraId="5C631174" w14:textId="7E13B8E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Variable</w:t>
            </w:r>
          </w:p>
        </w:tc>
        <w:tc>
          <w:tcPr>
            <w:tcW w:w="2160" w:type="dxa"/>
          </w:tcPr>
          <w:p w14:paraId="5FA16D5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(n=225)</w:t>
            </w:r>
          </w:p>
        </w:tc>
        <w:tc>
          <w:tcPr>
            <w:tcW w:w="2160" w:type="dxa"/>
          </w:tcPr>
          <w:p w14:paraId="4EEBEF5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Rural (n=225)</w:t>
            </w:r>
          </w:p>
        </w:tc>
        <w:tc>
          <w:tcPr>
            <w:tcW w:w="2160" w:type="dxa"/>
          </w:tcPr>
          <w:p w14:paraId="4C4A469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Total (n=450)</w:t>
            </w:r>
          </w:p>
        </w:tc>
      </w:tr>
      <w:tr w:rsidR="000D6DC1" w:rsidRPr="000D6DC1" w14:paraId="2C73826D" w14:textId="77777777" w:rsidTr="00FC1221">
        <w:tc>
          <w:tcPr>
            <w:tcW w:w="2160" w:type="dxa"/>
          </w:tcPr>
          <w:p w14:paraId="49A8CC04"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Mean Age (years)</w:t>
            </w:r>
          </w:p>
        </w:tc>
        <w:tc>
          <w:tcPr>
            <w:tcW w:w="2160" w:type="dxa"/>
          </w:tcPr>
          <w:p w14:paraId="6BA7A1F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35.6 ± 7.2</w:t>
            </w:r>
          </w:p>
        </w:tc>
        <w:tc>
          <w:tcPr>
            <w:tcW w:w="2160" w:type="dxa"/>
          </w:tcPr>
          <w:p w14:paraId="18FCC1B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34.0 ± 8.0</w:t>
            </w:r>
          </w:p>
        </w:tc>
        <w:tc>
          <w:tcPr>
            <w:tcW w:w="2160" w:type="dxa"/>
          </w:tcPr>
          <w:p w14:paraId="33A06C9D"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34.8 ± 7.6</w:t>
            </w:r>
          </w:p>
        </w:tc>
      </w:tr>
      <w:tr w:rsidR="000D6DC1" w:rsidRPr="000D6DC1" w14:paraId="16D94E48" w14:textId="77777777" w:rsidTr="00FC1221">
        <w:tc>
          <w:tcPr>
            <w:tcW w:w="2160" w:type="dxa"/>
          </w:tcPr>
          <w:p w14:paraId="665F5CB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Tertiary Education (%)</w:t>
            </w:r>
          </w:p>
        </w:tc>
        <w:tc>
          <w:tcPr>
            <w:tcW w:w="2160" w:type="dxa"/>
          </w:tcPr>
          <w:p w14:paraId="73741558" w14:textId="5C07AA15" w:rsidR="000D6DC1" w:rsidRPr="000D6DC1" w:rsidRDefault="00CF42DB"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62.2</w:t>
            </w:r>
          </w:p>
        </w:tc>
        <w:tc>
          <w:tcPr>
            <w:tcW w:w="2160" w:type="dxa"/>
          </w:tcPr>
          <w:p w14:paraId="4763B466"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28.9</w:t>
            </w:r>
          </w:p>
        </w:tc>
        <w:tc>
          <w:tcPr>
            <w:tcW w:w="2160" w:type="dxa"/>
          </w:tcPr>
          <w:p w14:paraId="570C8864"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45.6</w:t>
            </w:r>
          </w:p>
        </w:tc>
      </w:tr>
      <w:tr w:rsidR="000D6DC1" w:rsidRPr="000D6DC1" w14:paraId="08412793" w14:textId="77777777" w:rsidTr="00FC1221">
        <w:tc>
          <w:tcPr>
            <w:tcW w:w="2160" w:type="dxa"/>
          </w:tcPr>
          <w:p w14:paraId="299CCD7D"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Secondary Education (%)</w:t>
            </w:r>
          </w:p>
        </w:tc>
        <w:tc>
          <w:tcPr>
            <w:tcW w:w="2160" w:type="dxa"/>
          </w:tcPr>
          <w:p w14:paraId="7F840A20" w14:textId="0F05F5F6" w:rsidR="000D6DC1" w:rsidRPr="000D6DC1" w:rsidRDefault="00CF42DB"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26.7</w:t>
            </w:r>
          </w:p>
        </w:tc>
        <w:tc>
          <w:tcPr>
            <w:tcW w:w="2160" w:type="dxa"/>
          </w:tcPr>
          <w:p w14:paraId="0785660A"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44.4</w:t>
            </w:r>
          </w:p>
        </w:tc>
        <w:tc>
          <w:tcPr>
            <w:tcW w:w="2160" w:type="dxa"/>
          </w:tcPr>
          <w:p w14:paraId="23A83D37"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35.6</w:t>
            </w:r>
          </w:p>
        </w:tc>
      </w:tr>
      <w:tr w:rsidR="000D6DC1" w:rsidRPr="000D6DC1" w14:paraId="7F7D1BF2" w14:textId="77777777" w:rsidTr="00FC1221">
        <w:tc>
          <w:tcPr>
            <w:tcW w:w="2160" w:type="dxa"/>
          </w:tcPr>
          <w:p w14:paraId="4697D58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lastRenderedPageBreak/>
              <w:t>Primary/None (%)</w:t>
            </w:r>
          </w:p>
        </w:tc>
        <w:tc>
          <w:tcPr>
            <w:tcW w:w="2160" w:type="dxa"/>
          </w:tcPr>
          <w:p w14:paraId="49E8169A" w14:textId="338E33DD" w:rsidR="000D6DC1" w:rsidRPr="000D6DC1" w:rsidRDefault="00CF42DB"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11.1</w:t>
            </w:r>
          </w:p>
        </w:tc>
        <w:tc>
          <w:tcPr>
            <w:tcW w:w="2160" w:type="dxa"/>
          </w:tcPr>
          <w:p w14:paraId="67B7FB5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26.7</w:t>
            </w:r>
          </w:p>
        </w:tc>
        <w:tc>
          <w:tcPr>
            <w:tcW w:w="2160" w:type="dxa"/>
          </w:tcPr>
          <w:p w14:paraId="183334C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18.9</w:t>
            </w:r>
          </w:p>
        </w:tc>
      </w:tr>
      <w:tr w:rsidR="000D6DC1" w:rsidRPr="000D6DC1" w14:paraId="1E4C75CB" w14:textId="77777777" w:rsidTr="00FC1221">
        <w:tc>
          <w:tcPr>
            <w:tcW w:w="2160" w:type="dxa"/>
          </w:tcPr>
          <w:p w14:paraId="7DA608B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Mean Income (₦)</w:t>
            </w:r>
          </w:p>
        </w:tc>
        <w:tc>
          <w:tcPr>
            <w:tcW w:w="2160" w:type="dxa"/>
          </w:tcPr>
          <w:p w14:paraId="65A8A98B" w14:textId="50B0E27F" w:rsidR="000D6DC1" w:rsidRPr="000D6DC1" w:rsidRDefault="00CF42DB"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98,500 ± 42,300</w:t>
            </w:r>
          </w:p>
        </w:tc>
        <w:tc>
          <w:tcPr>
            <w:tcW w:w="2160" w:type="dxa"/>
          </w:tcPr>
          <w:p w14:paraId="127D36B4"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52,700 ± 28,600</w:t>
            </w:r>
          </w:p>
        </w:tc>
        <w:tc>
          <w:tcPr>
            <w:tcW w:w="2160" w:type="dxa"/>
          </w:tcPr>
          <w:p w14:paraId="68A85EDF"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w:t>
            </w:r>
          </w:p>
        </w:tc>
      </w:tr>
      <w:tr w:rsidR="000D6DC1" w:rsidRPr="000D6DC1" w14:paraId="3B578B0E" w14:textId="77777777" w:rsidTr="00FC1221">
        <w:tc>
          <w:tcPr>
            <w:tcW w:w="2160" w:type="dxa"/>
          </w:tcPr>
          <w:p w14:paraId="764FABF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Mean Children</w:t>
            </w:r>
          </w:p>
        </w:tc>
        <w:tc>
          <w:tcPr>
            <w:tcW w:w="2160" w:type="dxa"/>
          </w:tcPr>
          <w:p w14:paraId="6985C813" w14:textId="33621471" w:rsidR="000D6DC1" w:rsidRPr="000D6DC1" w:rsidRDefault="00CF42DB"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2.5 ± 1.2</w:t>
            </w:r>
          </w:p>
        </w:tc>
        <w:tc>
          <w:tcPr>
            <w:tcW w:w="2160" w:type="dxa"/>
          </w:tcPr>
          <w:p w14:paraId="4C595F8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3.1 ± 1.5</w:t>
            </w:r>
          </w:p>
        </w:tc>
        <w:tc>
          <w:tcPr>
            <w:tcW w:w="2160" w:type="dxa"/>
          </w:tcPr>
          <w:p w14:paraId="1BB2F46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2.8 ± 1.4</w:t>
            </w:r>
          </w:p>
        </w:tc>
      </w:tr>
    </w:tbl>
    <w:p w14:paraId="287E7E4A" w14:textId="30AA00D2"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 xml:space="preserve"> Male Involvement in Birth Preparedness</w:t>
      </w:r>
    </w:p>
    <w:p w14:paraId="702AC479" w14:textId="18EA61CE" w:rsidR="00E13E7F" w:rsidRPr="00C9213F" w:rsidRDefault="000D6DC1" w:rsidP="000D6DC1">
      <w:pPr>
        <w:spacing w:before="100" w:beforeAutospacing="1" w:after="100" w:afterAutospacing="1" w:line="240" w:lineRule="auto"/>
        <w:rPr>
          <w:rFonts w:eastAsia="Times New Roman"/>
          <w:strike w:val="0"/>
        </w:rPr>
      </w:pPr>
      <w:r w:rsidRPr="000D6DC1">
        <w:rPr>
          <w:rFonts w:eastAsia="Times New Roman"/>
          <w:strike w:val="0"/>
        </w:rPr>
        <w:t>Male involvement in birth preparedness was significantly higher in urban respondents compared to rural respondents. Urban participants were more likely to save money, identify skilled birth attendants, and arrange transportation</w:t>
      </w:r>
      <w:r>
        <w:rPr>
          <w:rFonts w:eastAsia="Times New Roman"/>
          <w:strike w:val="0"/>
        </w:rPr>
        <w:t xml:space="preserve"> (Table 2)</w:t>
      </w:r>
      <w:r w:rsidRPr="000D6DC1">
        <w:rPr>
          <w:rFonts w:eastAsia="Times New Roman"/>
          <w:strike w:val="0"/>
        </w:rPr>
        <w:t>.</w:t>
      </w:r>
    </w:p>
    <w:p w14:paraId="709926D5" w14:textId="08A65580"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2: Male Involvement in Birth Preparedness</w:t>
      </w:r>
    </w:p>
    <w:tbl>
      <w:tblPr>
        <w:tblW w:w="0" w:type="auto"/>
        <w:tblLook w:val="04A0" w:firstRow="1" w:lastRow="0" w:firstColumn="1" w:lastColumn="0" w:noHBand="0" w:noVBand="1"/>
      </w:tblPr>
      <w:tblGrid>
        <w:gridCol w:w="2160"/>
        <w:gridCol w:w="2160"/>
        <w:gridCol w:w="2160"/>
        <w:gridCol w:w="2160"/>
      </w:tblGrid>
      <w:tr w:rsidR="000D6DC1" w:rsidRPr="000D6DC1" w14:paraId="3D3D91E0" w14:textId="77777777" w:rsidTr="00FC1221">
        <w:tc>
          <w:tcPr>
            <w:tcW w:w="2160" w:type="dxa"/>
          </w:tcPr>
          <w:p w14:paraId="2F6D38EB"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Indicator</w:t>
            </w:r>
          </w:p>
        </w:tc>
        <w:tc>
          <w:tcPr>
            <w:tcW w:w="2160" w:type="dxa"/>
          </w:tcPr>
          <w:p w14:paraId="0C2D4EB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w:t>
            </w:r>
          </w:p>
        </w:tc>
        <w:tc>
          <w:tcPr>
            <w:tcW w:w="2160" w:type="dxa"/>
          </w:tcPr>
          <w:p w14:paraId="41307C1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Rural (%)</w:t>
            </w:r>
          </w:p>
        </w:tc>
        <w:tc>
          <w:tcPr>
            <w:tcW w:w="2160" w:type="dxa"/>
          </w:tcPr>
          <w:p w14:paraId="7C1498F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3E7E3D79" w14:textId="77777777" w:rsidTr="00FC1221">
        <w:tc>
          <w:tcPr>
            <w:tcW w:w="2160" w:type="dxa"/>
          </w:tcPr>
          <w:p w14:paraId="7E121D4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Good involvement</w:t>
            </w:r>
          </w:p>
        </w:tc>
        <w:tc>
          <w:tcPr>
            <w:tcW w:w="2160" w:type="dxa"/>
          </w:tcPr>
          <w:p w14:paraId="17FB3EDC" w14:textId="15FE2534"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60.9</w:t>
            </w:r>
          </w:p>
        </w:tc>
        <w:tc>
          <w:tcPr>
            <w:tcW w:w="2160" w:type="dxa"/>
          </w:tcPr>
          <w:p w14:paraId="1CA74BC6" w14:textId="303CCFB9"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43.8</w:t>
            </w:r>
          </w:p>
        </w:tc>
        <w:tc>
          <w:tcPr>
            <w:tcW w:w="2160" w:type="dxa"/>
          </w:tcPr>
          <w:p w14:paraId="5912BA34"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0A7379B6" w14:textId="77777777" w:rsidTr="00FC1221">
        <w:tc>
          <w:tcPr>
            <w:tcW w:w="2160" w:type="dxa"/>
          </w:tcPr>
          <w:p w14:paraId="0C0929F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Saved money</w:t>
            </w:r>
          </w:p>
        </w:tc>
        <w:tc>
          <w:tcPr>
            <w:tcW w:w="2160" w:type="dxa"/>
          </w:tcPr>
          <w:p w14:paraId="569BCEDB" w14:textId="67A024CE"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72.4</w:t>
            </w:r>
          </w:p>
        </w:tc>
        <w:tc>
          <w:tcPr>
            <w:tcW w:w="2160" w:type="dxa"/>
          </w:tcPr>
          <w:p w14:paraId="325B9781" w14:textId="3241224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54.2</w:t>
            </w:r>
          </w:p>
        </w:tc>
        <w:tc>
          <w:tcPr>
            <w:tcW w:w="2160" w:type="dxa"/>
          </w:tcPr>
          <w:p w14:paraId="7ECFF19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40708917" w14:textId="77777777" w:rsidTr="00FC1221">
        <w:tc>
          <w:tcPr>
            <w:tcW w:w="2160" w:type="dxa"/>
          </w:tcPr>
          <w:p w14:paraId="0B10DE6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Identified SBA</w:t>
            </w:r>
          </w:p>
        </w:tc>
        <w:tc>
          <w:tcPr>
            <w:tcW w:w="2160" w:type="dxa"/>
          </w:tcPr>
          <w:p w14:paraId="21312AD4" w14:textId="7F818C31"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65.3</w:t>
            </w:r>
          </w:p>
        </w:tc>
        <w:tc>
          <w:tcPr>
            <w:tcW w:w="2160" w:type="dxa"/>
          </w:tcPr>
          <w:p w14:paraId="7644C1D5" w14:textId="556596F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39.6</w:t>
            </w:r>
          </w:p>
        </w:tc>
        <w:tc>
          <w:tcPr>
            <w:tcW w:w="2160" w:type="dxa"/>
          </w:tcPr>
          <w:p w14:paraId="46CCF8C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6C208E34" w14:textId="77777777" w:rsidTr="00FC1221">
        <w:tc>
          <w:tcPr>
            <w:tcW w:w="2160" w:type="dxa"/>
          </w:tcPr>
          <w:p w14:paraId="384803EF"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Transport arranged</w:t>
            </w:r>
          </w:p>
        </w:tc>
        <w:tc>
          <w:tcPr>
            <w:tcW w:w="2160" w:type="dxa"/>
          </w:tcPr>
          <w:p w14:paraId="3DCBB3BA" w14:textId="33553FB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58.7</w:t>
            </w:r>
          </w:p>
        </w:tc>
        <w:tc>
          <w:tcPr>
            <w:tcW w:w="2160" w:type="dxa"/>
          </w:tcPr>
          <w:p w14:paraId="4ABAC07C" w14:textId="507C2A3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36.0</w:t>
            </w:r>
          </w:p>
        </w:tc>
        <w:tc>
          <w:tcPr>
            <w:tcW w:w="2160" w:type="dxa"/>
          </w:tcPr>
          <w:p w14:paraId="79772DAF"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37FC5601" w14:textId="377AAAA1"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Male Involvement in Childhood Immunization</w:t>
      </w:r>
    </w:p>
    <w:p w14:paraId="667C3A9B" w14:textId="4F2A9B0B"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respondents demonstrated significantly higher involvement in childhood immunization, including better knowledge, financial support, and physical attendance at immunization sessions</w:t>
      </w:r>
      <w:r>
        <w:rPr>
          <w:rFonts w:eastAsia="Times New Roman"/>
          <w:strike w:val="0"/>
        </w:rPr>
        <w:t xml:space="preserve"> (Table 3)</w:t>
      </w:r>
      <w:r w:rsidRPr="000D6DC1">
        <w:rPr>
          <w:rFonts w:eastAsia="Times New Roman"/>
          <w:strike w:val="0"/>
        </w:rPr>
        <w:t>.</w:t>
      </w:r>
    </w:p>
    <w:p w14:paraId="332B98E4" w14:textId="7CD679FD"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3: Male Involvement in Childhood Immunization</w:t>
      </w:r>
    </w:p>
    <w:tbl>
      <w:tblPr>
        <w:tblW w:w="0" w:type="auto"/>
        <w:tblLook w:val="04A0" w:firstRow="1" w:lastRow="0" w:firstColumn="1" w:lastColumn="0" w:noHBand="0" w:noVBand="1"/>
      </w:tblPr>
      <w:tblGrid>
        <w:gridCol w:w="2160"/>
        <w:gridCol w:w="2160"/>
        <w:gridCol w:w="2160"/>
        <w:gridCol w:w="2160"/>
      </w:tblGrid>
      <w:tr w:rsidR="000D6DC1" w:rsidRPr="000D6DC1" w14:paraId="643B2FB6" w14:textId="77777777" w:rsidTr="00FC1221">
        <w:tc>
          <w:tcPr>
            <w:tcW w:w="2160" w:type="dxa"/>
          </w:tcPr>
          <w:p w14:paraId="46E128C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Indicator</w:t>
            </w:r>
          </w:p>
        </w:tc>
        <w:tc>
          <w:tcPr>
            <w:tcW w:w="2160" w:type="dxa"/>
          </w:tcPr>
          <w:p w14:paraId="46E5ECF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w:t>
            </w:r>
          </w:p>
        </w:tc>
        <w:tc>
          <w:tcPr>
            <w:tcW w:w="2160" w:type="dxa"/>
          </w:tcPr>
          <w:p w14:paraId="7DC008E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Rural (%)</w:t>
            </w:r>
          </w:p>
        </w:tc>
        <w:tc>
          <w:tcPr>
            <w:tcW w:w="2160" w:type="dxa"/>
          </w:tcPr>
          <w:p w14:paraId="4B21A17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5E49BCC6" w14:textId="77777777" w:rsidTr="00FC1221">
        <w:tc>
          <w:tcPr>
            <w:tcW w:w="2160" w:type="dxa"/>
          </w:tcPr>
          <w:p w14:paraId="4DA233C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Good involvement</w:t>
            </w:r>
          </w:p>
        </w:tc>
        <w:tc>
          <w:tcPr>
            <w:tcW w:w="2160" w:type="dxa"/>
          </w:tcPr>
          <w:p w14:paraId="62A95140" w14:textId="08CF6CFA"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57.3</w:t>
            </w:r>
          </w:p>
        </w:tc>
        <w:tc>
          <w:tcPr>
            <w:tcW w:w="2160" w:type="dxa"/>
          </w:tcPr>
          <w:p w14:paraId="149EFD0A" w14:textId="02037D2C"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40.4</w:t>
            </w:r>
          </w:p>
        </w:tc>
        <w:tc>
          <w:tcPr>
            <w:tcW w:w="2160" w:type="dxa"/>
          </w:tcPr>
          <w:p w14:paraId="325E149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0.001</w:t>
            </w:r>
          </w:p>
        </w:tc>
      </w:tr>
      <w:tr w:rsidR="000D6DC1" w:rsidRPr="000D6DC1" w14:paraId="644B7788" w14:textId="77777777" w:rsidTr="00FC1221">
        <w:tc>
          <w:tcPr>
            <w:tcW w:w="2160" w:type="dxa"/>
          </w:tcPr>
          <w:p w14:paraId="4DDBEDCB" w14:textId="083EC4E8"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 xml:space="preserve">Knowledge of </w:t>
            </w:r>
            <w:r w:rsidR="00A97FF0">
              <w:rPr>
                <w:rFonts w:eastAsia="Times New Roman"/>
                <w:strike w:val="0"/>
              </w:rPr>
              <w:t xml:space="preserve">the </w:t>
            </w:r>
            <w:r w:rsidRPr="000D6DC1">
              <w:rPr>
                <w:rFonts w:eastAsia="Times New Roman"/>
                <w:strike w:val="0"/>
              </w:rPr>
              <w:t>schedule</w:t>
            </w:r>
          </w:p>
        </w:tc>
        <w:tc>
          <w:tcPr>
            <w:tcW w:w="2160" w:type="dxa"/>
          </w:tcPr>
          <w:p w14:paraId="093E53E0" w14:textId="6ED9646F"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61.8</w:t>
            </w:r>
          </w:p>
        </w:tc>
        <w:tc>
          <w:tcPr>
            <w:tcW w:w="2160" w:type="dxa"/>
          </w:tcPr>
          <w:p w14:paraId="372464A9" w14:textId="3ACCF315"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38.7</w:t>
            </w:r>
          </w:p>
        </w:tc>
        <w:tc>
          <w:tcPr>
            <w:tcW w:w="2160" w:type="dxa"/>
          </w:tcPr>
          <w:p w14:paraId="0A36684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4E5473AC" w14:textId="77777777" w:rsidTr="00FC1221">
        <w:tc>
          <w:tcPr>
            <w:tcW w:w="2160" w:type="dxa"/>
          </w:tcPr>
          <w:p w14:paraId="3E35936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Financial support</w:t>
            </w:r>
          </w:p>
        </w:tc>
        <w:tc>
          <w:tcPr>
            <w:tcW w:w="2160" w:type="dxa"/>
          </w:tcPr>
          <w:p w14:paraId="28644E41" w14:textId="35EF9C24"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69.8</w:t>
            </w:r>
          </w:p>
        </w:tc>
        <w:tc>
          <w:tcPr>
            <w:tcW w:w="2160" w:type="dxa"/>
          </w:tcPr>
          <w:p w14:paraId="2B1ACECF" w14:textId="587AAC48"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51.1</w:t>
            </w:r>
          </w:p>
        </w:tc>
        <w:tc>
          <w:tcPr>
            <w:tcW w:w="2160" w:type="dxa"/>
          </w:tcPr>
          <w:p w14:paraId="3E7CA1B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14612E60" w14:textId="77777777" w:rsidTr="00FC1221">
        <w:tc>
          <w:tcPr>
            <w:tcW w:w="2160" w:type="dxa"/>
          </w:tcPr>
          <w:p w14:paraId="18E65BF0"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Attendance</w:t>
            </w:r>
          </w:p>
        </w:tc>
        <w:tc>
          <w:tcPr>
            <w:tcW w:w="2160" w:type="dxa"/>
          </w:tcPr>
          <w:p w14:paraId="5861C07B" w14:textId="7D18F762"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42.2</w:t>
            </w:r>
          </w:p>
        </w:tc>
        <w:tc>
          <w:tcPr>
            <w:tcW w:w="2160" w:type="dxa"/>
          </w:tcPr>
          <w:p w14:paraId="392214A9" w14:textId="3A5ED20F"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25.8</w:t>
            </w:r>
          </w:p>
        </w:tc>
        <w:tc>
          <w:tcPr>
            <w:tcW w:w="2160" w:type="dxa"/>
          </w:tcPr>
          <w:p w14:paraId="6B7F7966"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0191E167" w14:textId="33AB0E3E" w:rsidR="00510021" w:rsidRPr="00510021" w:rsidRDefault="00510021" w:rsidP="000D6DC1">
      <w:pPr>
        <w:spacing w:before="100" w:beforeAutospacing="1" w:after="100" w:afterAutospacing="1" w:line="240" w:lineRule="auto"/>
        <w:rPr>
          <w:rFonts w:eastAsia="Times New Roman"/>
          <w:b/>
          <w:bCs/>
          <w:strike w:val="0"/>
          <w:lang w:val="en-GB"/>
        </w:rPr>
      </w:pPr>
      <w:r w:rsidRPr="00510021">
        <w:rPr>
          <w:rFonts w:eastAsia="Times New Roman"/>
          <w:b/>
          <w:bCs/>
          <w:strike w:val="0"/>
        </w:rPr>
        <w:t>Comparison with Reference Populations</w:t>
      </w:r>
    </w:p>
    <w:p w14:paraId="3D221D1E" w14:textId="00AA67CD" w:rsidR="00EC7115" w:rsidRPr="00885224" w:rsidRDefault="000A1361" w:rsidP="000D6DC1">
      <w:pPr>
        <w:spacing w:before="100" w:beforeAutospacing="1" w:after="100" w:afterAutospacing="1" w:line="240" w:lineRule="auto"/>
        <w:rPr>
          <w:rFonts w:eastAsia="Times New Roman"/>
          <w:strike w:val="0"/>
        </w:rPr>
      </w:pPr>
      <w:r w:rsidRPr="000A1361">
        <w:rPr>
          <w:rFonts w:eastAsia="Times New Roman"/>
          <w:strike w:val="0"/>
        </w:rPr>
        <w:t>External reference data (</w:t>
      </w:r>
      <w:r w:rsidR="00EC7115" w:rsidRPr="00EC7115">
        <w:rPr>
          <w:rFonts w:eastAsia="Times New Roman"/>
          <w:strike w:val="0"/>
        </w:rPr>
        <w:t>NBS &amp; UNICEF, 2022</w:t>
      </w:r>
      <w:r w:rsidR="00EC7115">
        <w:rPr>
          <w:rFonts w:eastAsia="Times New Roman"/>
          <w:strike w:val="0"/>
        </w:rPr>
        <w:t xml:space="preserve">; </w:t>
      </w:r>
      <w:r w:rsidRPr="000A1361">
        <w:rPr>
          <w:rFonts w:eastAsia="Times New Roman"/>
          <w:strike w:val="0"/>
        </w:rPr>
        <w:t>NDHS, 2018) showed that urban men's good BPCR involvement (60.9%) approached the South</w:t>
      </w:r>
      <w:r w:rsidRPr="000A1361">
        <w:rPr>
          <w:rFonts w:eastAsia="Times New Roman"/>
          <w:strike w:val="0"/>
        </w:rPr>
        <w:noBreakHyphen/>
        <w:t>South female rate (53%), while rural men (43.8%) fell below. Urban men identifying a skilled birth attendant (65.3%) was similar to South</w:t>
      </w:r>
      <w:r w:rsidRPr="000A1361">
        <w:rPr>
          <w:rFonts w:eastAsia="Times New Roman"/>
          <w:strike w:val="0"/>
        </w:rPr>
        <w:noBreakHyphen/>
        <w:t>South women (67%), but the rural figure (39.6%) was markedly lower. National full immunization coverage for children 12–23 months was 31% versus 49% in the South</w:t>
      </w:r>
      <w:r w:rsidRPr="000A1361">
        <w:rPr>
          <w:rFonts w:eastAsia="Times New Roman"/>
          <w:strike w:val="0"/>
        </w:rPr>
        <w:noBreakHyphen/>
        <w:t>South. Although direct paternal data are unavailable nationally, urban paternal attendance at immunization sessions (42.2%) aligned with regional patterns, while rural attendance (25.8%) remained substantially lower.</w:t>
      </w:r>
    </w:p>
    <w:p w14:paraId="6D07C188" w14:textId="77777777" w:rsidR="00C9213F" w:rsidRDefault="00C9213F" w:rsidP="000D6DC1">
      <w:pPr>
        <w:spacing w:before="100" w:beforeAutospacing="1" w:after="100" w:afterAutospacing="1" w:line="240" w:lineRule="auto"/>
        <w:rPr>
          <w:rFonts w:eastAsia="Times New Roman"/>
          <w:b/>
          <w:bCs/>
          <w:strike w:val="0"/>
        </w:rPr>
      </w:pPr>
    </w:p>
    <w:p w14:paraId="6F3CD723" w14:textId="72B6E1F7"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Multivariable Logistic Regression Analysis</w:t>
      </w:r>
    </w:p>
    <w:p w14:paraId="0C1657BF" w14:textId="0068D9FC" w:rsid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lastRenderedPageBreak/>
        <w:t>Multivariable logistic regression identified urban residence, higher education, higher income, and knowledge of maternal health services as independent predictors of male involvement</w:t>
      </w:r>
      <w:r>
        <w:rPr>
          <w:rFonts w:eastAsia="Times New Roman"/>
          <w:strike w:val="0"/>
        </w:rPr>
        <w:t xml:space="preserve"> (Table 4)</w:t>
      </w:r>
      <w:r w:rsidRPr="000D6DC1">
        <w:rPr>
          <w:rFonts w:eastAsia="Times New Roman"/>
          <w:strike w:val="0"/>
        </w:rPr>
        <w:t>.</w:t>
      </w:r>
    </w:p>
    <w:p w14:paraId="376262F5" w14:textId="1102C6C5" w:rsidR="000D6DC1" w:rsidRPr="000D6DC1" w:rsidRDefault="000D6DC1" w:rsidP="000D6DC1">
      <w:pPr>
        <w:spacing w:before="100" w:beforeAutospacing="1" w:after="100" w:afterAutospacing="1" w:line="240" w:lineRule="auto"/>
        <w:rPr>
          <w:rFonts w:eastAsia="Times New Roman"/>
          <w:b/>
          <w:bCs/>
          <w:strike w:val="0"/>
        </w:rPr>
      </w:pPr>
      <w:r w:rsidRPr="000D6DC1">
        <w:rPr>
          <w:rFonts w:eastAsia="Times New Roman"/>
          <w:b/>
          <w:bCs/>
          <w:strike w:val="0"/>
        </w:rPr>
        <w:t>Table 4: Multivariable Logistic Regression Analysis</w:t>
      </w:r>
    </w:p>
    <w:tbl>
      <w:tblPr>
        <w:tblW w:w="0" w:type="auto"/>
        <w:tblLook w:val="04A0" w:firstRow="1" w:lastRow="0" w:firstColumn="1" w:lastColumn="0" w:noHBand="0" w:noVBand="1"/>
      </w:tblPr>
      <w:tblGrid>
        <w:gridCol w:w="2160"/>
        <w:gridCol w:w="2160"/>
        <w:gridCol w:w="2160"/>
        <w:gridCol w:w="2160"/>
      </w:tblGrid>
      <w:tr w:rsidR="000D6DC1" w:rsidRPr="000D6DC1" w14:paraId="1A7BF905" w14:textId="77777777" w:rsidTr="00FC1221">
        <w:tc>
          <w:tcPr>
            <w:tcW w:w="2160" w:type="dxa"/>
          </w:tcPr>
          <w:p w14:paraId="503101F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Variable</w:t>
            </w:r>
          </w:p>
        </w:tc>
        <w:tc>
          <w:tcPr>
            <w:tcW w:w="2160" w:type="dxa"/>
          </w:tcPr>
          <w:p w14:paraId="0324664D" w14:textId="0CED51DB"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AOR</w:t>
            </w:r>
          </w:p>
        </w:tc>
        <w:tc>
          <w:tcPr>
            <w:tcW w:w="2160" w:type="dxa"/>
          </w:tcPr>
          <w:p w14:paraId="2675531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95% CI</w:t>
            </w:r>
          </w:p>
        </w:tc>
        <w:tc>
          <w:tcPr>
            <w:tcW w:w="2160" w:type="dxa"/>
          </w:tcPr>
          <w:p w14:paraId="7E017F4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p-value</w:t>
            </w:r>
          </w:p>
        </w:tc>
      </w:tr>
      <w:tr w:rsidR="000D6DC1" w:rsidRPr="000D6DC1" w14:paraId="207AAC03" w14:textId="77777777" w:rsidTr="00FC1221">
        <w:tc>
          <w:tcPr>
            <w:tcW w:w="2160" w:type="dxa"/>
          </w:tcPr>
          <w:p w14:paraId="210CF9FA"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Urban residence</w:t>
            </w:r>
          </w:p>
        </w:tc>
        <w:tc>
          <w:tcPr>
            <w:tcW w:w="2160" w:type="dxa"/>
          </w:tcPr>
          <w:p w14:paraId="09DEB867" w14:textId="5FD5175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2.14</w:t>
            </w:r>
          </w:p>
        </w:tc>
        <w:tc>
          <w:tcPr>
            <w:tcW w:w="2160" w:type="dxa"/>
          </w:tcPr>
          <w:p w14:paraId="4054ECF5"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1.42–3.21</w:t>
            </w:r>
          </w:p>
        </w:tc>
        <w:tc>
          <w:tcPr>
            <w:tcW w:w="2160" w:type="dxa"/>
          </w:tcPr>
          <w:p w14:paraId="15134CE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7071C97E" w14:textId="77777777" w:rsidTr="00FC1221">
        <w:tc>
          <w:tcPr>
            <w:tcW w:w="2160" w:type="dxa"/>
          </w:tcPr>
          <w:p w14:paraId="1D25C45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Tertiary education</w:t>
            </w:r>
          </w:p>
        </w:tc>
        <w:tc>
          <w:tcPr>
            <w:tcW w:w="2160" w:type="dxa"/>
          </w:tcPr>
          <w:p w14:paraId="4CEACC05" w14:textId="057FE011"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2.67</w:t>
            </w:r>
          </w:p>
        </w:tc>
        <w:tc>
          <w:tcPr>
            <w:tcW w:w="2160" w:type="dxa"/>
          </w:tcPr>
          <w:p w14:paraId="66A1CA6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1.71–4.18</w:t>
            </w:r>
          </w:p>
        </w:tc>
        <w:tc>
          <w:tcPr>
            <w:tcW w:w="2160" w:type="dxa"/>
          </w:tcPr>
          <w:p w14:paraId="67DEFBE1"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r w:rsidR="000D6DC1" w:rsidRPr="000D6DC1" w14:paraId="23855817" w14:textId="77777777" w:rsidTr="00FC1221">
        <w:tc>
          <w:tcPr>
            <w:tcW w:w="2160" w:type="dxa"/>
          </w:tcPr>
          <w:p w14:paraId="584BD00C"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High income</w:t>
            </w:r>
          </w:p>
        </w:tc>
        <w:tc>
          <w:tcPr>
            <w:tcW w:w="2160" w:type="dxa"/>
          </w:tcPr>
          <w:p w14:paraId="6F793E23" w14:textId="0E1E0C57"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1.89</w:t>
            </w:r>
          </w:p>
        </w:tc>
        <w:tc>
          <w:tcPr>
            <w:tcW w:w="2160" w:type="dxa"/>
          </w:tcPr>
          <w:p w14:paraId="1951C67E"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1.22–2.94</w:t>
            </w:r>
          </w:p>
        </w:tc>
        <w:tc>
          <w:tcPr>
            <w:tcW w:w="2160" w:type="dxa"/>
          </w:tcPr>
          <w:p w14:paraId="71389A53"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0.004</w:t>
            </w:r>
          </w:p>
        </w:tc>
      </w:tr>
      <w:tr w:rsidR="000D6DC1" w:rsidRPr="000D6DC1" w14:paraId="7774B7CE" w14:textId="77777777" w:rsidTr="00FC1221">
        <w:tc>
          <w:tcPr>
            <w:tcW w:w="2160" w:type="dxa"/>
          </w:tcPr>
          <w:p w14:paraId="4D914099"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Knowledge</w:t>
            </w:r>
          </w:p>
        </w:tc>
        <w:tc>
          <w:tcPr>
            <w:tcW w:w="2160" w:type="dxa"/>
          </w:tcPr>
          <w:p w14:paraId="58680A0B" w14:textId="00F32963" w:rsidR="000D6DC1" w:rsidRPr="000D6DC1" w:rsidRDefault="005622BA" w:rsidP="000D6DC1">
            <w:pPr>
              <w:spacing w:before="100" w:beforeAutospacing="1" w:after="100" w:afterAutospacing="1" w:line="240" w:lineRule="auto"/>
              <w:rPr>
                <w:rFonts w:eastAsia="Times New Roman"/>
                <w:strike w:val="0"/>
              </w:rPr>
            </w:pPr>
            <w:r>
              <w:rPr>
                <w:rFonts w:eastAsia="Times New Roman"/>
                <w:strike w:val="0"/>
              </w:rPr>
              <w:t xml:space="preserve">  </w:t>
            </w:r>
            <w:r w:rsidR="000D6DC1" w:rsidRPr="000D6DC1">
              <w:rPr>
                <w:rFonts w:eastAsia="Times New Roman"/>
                <w:strike w:val="0"/>
              </w:rPr>
              <w:t>3.05</w:t>
            </w:r>
          </w:p>
        </w:tc>
        <w:tc>
          <w:tcPr>
            <w:tcW w:w="2160" w:type="dxa"/>
          </w:tcPr>
          <w:p w14:paraId="2A562762"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1.98–4.71</w:t>
            </w:r>
          </w:p>
        </w:tc>
        <w:tc>
          <w:tcPr>
            <w:tcW w:w="2160" w:type="dxa"/>
          </w:tcPr>
          <w:p w14:paraId="463196D8" w14:textId="77777777" w:rsidR="000D6DC1" w:rsidRPr="000D6DC1" w:rsidRDefault="000D6DC1" w:rsidP="000D6DC1">
            <w:pPr>
              <w:spacing w:before="100" w:beforeAutospacing="1" w:after="100" w:afterAutospacing="1" w:line="240" w:lineRule="auto"/>
              <w:rPr>
                <w:rFonts w:eastAsia="Times New Roman"/>
                <w:strike w:val="0"/>
              </w:rPr>
            </w:pPr>
            <w:r w:rsidRPr="000D6DC1">
              <w:rPr>
                <w:rFonts w:eastAsia="Times New Roman"/>
                <w:strike w:val="0"/>
              </w:rPr>
              <w:t>&lt;0.001</w:t>
            </w:r>
          </w:p>
        </w:tc>
      </w:tr>
    </w:tbl>
    <w:p w14:paraId="1A52A712" w14:textId="77777777" w:rsidR="00885224" w:rsidRDefault="00885224" w:rsidP="00510021">
      <w:pPr>
        <w:spacing w:before="100" w:beforeAutospacing="1" w:after="100" w:afterAutospacing="1" w:line="240" w:lineRule="auto"/>
        <w:rPr>
          <w:rFonts w:eastAsia="Times New Roman"/>
          <w:b/>
          <w:bCs/>
          <w:strike w:val="0"/>
        </w:rPr>
      </w:pPr>
    </w:p>
    <w:p w14:paraId="3F8993ED" w14:textId="245CE1E4" w:rsidR="00510021" w:rsidRPr="00F71A33"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t>Model Diagnostics</w:t>
      </w:r>
    </w:p>
    <w:p w14:paraId="05A3496E" w14:textId="7B6E6E5C" w:rsidR="00BB2ADC" w:rsidRPr="00F71A33" w:rsidRDefault="00BB2ADC" w:rsidP="00510021">
      <w:pPr>
        <w:spacing w:before="100" w:beforeAutospacing="1" w:after="100" w:afterAutospacing="1" w:line="240" w:lineRule="auto"/>
        <w:rPr>
          <w:rFonts w:eastAsia="Times New Roman"/>
          <w:strike w:val="0"/>
        </w:rPr>
      </w:pPr>
      <w:r w:rsidRPr="00BB2ADC">
        <w:rPr>
          <w:rFonts w:eastAsia="Times New Roman"/>
          <w:strike w:val="0"/>
        </w:rPr>
        <w:t xml:space="preserve">The logistic regression model performed acceptably per </w:t>
      </w:r>
      <w:r>
        <w:rPr>
          <w:rFonts w:eastAsia="Times New Roman"/>
          <w:strike w:val="0"/>
        </w:rPr>
        <w:t xml:space="preserve">the </w:t>
      </w:r>
      <w:r w:rsidRPr="00BB2ADC">
        <w:rPr>
          <w:rFonts w:eastAsia="Times New Roman"/>
          <w:strike w:val="0"/>
        </w:rPr>
        <w:t>prespecified criteria. The Hosmer</w:t>
      </w:r>
      <w:r w:rsidRPr="00BB2ADC">
        <w:rPr>
          <w:rFonts w:eastAsia="Times New Roman"/>
          <w:strike w:val="0"/>
        </w:rPr>
        <w:noBreakHyphen/>
        <w:t xml:space="preserve">Lemeshow test indicated </w:t>
      </w:r>
      <w:r>
        <w:rPr>
          <w:rFonts w:eastAsia="Times New Roman"/>
          <w:strike w:val="0"/>
        </w:rPr>
        <w:t xml:space="preserve">a </w:t>
      </w:r>
      <w:r w:rsidRPr="00BB2ADC">
        <w:rPr>
          <w:rFonts w:eastAsia="Times New Roman"/>
          <w:strike w:val="0"/>
        </w:rPr>
        <w:t>good fit (χ² = 8.23, df = 8, p = 0.412). Discriminatory accuracy (AUC) was 0.78 (95% CI: 0.73–0.83)</w:t>
      </w:r>
      <w:r w:rsidR="00303B53">
        <w:rPr>
          <w:rFonts w:eastAsia="Times New Roman"/>
          <w:strike w:val="0"/>
        </w:rPr>
        <w:t xml:space="preserve"> (Figure 1)</w:t>
      </w:r>
      <w:r w:rsidRPr="00BB2ADC">
        <w:rPr>
          <w:rFonts w:eastAsia="Times New Roman"/>
          <w:strike w:val="0"/>
        </w:rPr>
        <w:t xml:space="preserve">, exceeding the 0.7 threshold. All VIF values were below 2.5, confirming no problematic multicollinearity. </w:t>
      </w:r>
    </w:p>
    <w:p w14:paraId="39368C38" w14:textId="5CC484F4" w:rsidR="005D6CBA" w:rsidRDefault="00605809" w:rsidP="005D6CBA">
      <w:pPr>
        <w:spacing w:before="100" w:beforeAutospacing="1" w:after="100" w:afterAutospacing="1" w:line="240" w:lineRule="auto"/>
        <w:rPr>
          <w:rFonts w:eastAsia="Times New Roman"/>
          <w:b/>
          <w:bCs/>
          <w:strike w:val="0"/>
          <w:lang w:val="en-GB"/>
        </w:rPr>
      </w:pPr>
      <w:r w:rsidRPr="00605809">
        <w:rPr>
          <w:rFonts w:ascii="Cambria" w:eastAsia="MS Mincho" w:hAnsi="Cambria"/>
          <w:strike w:val="0"/>
          <w:noProof/>
          <w:sz w:val="22"/>
          <w:szCs w:val="22"/>
          <w:lang w:eastAsia="en-US"/>
        </w:rPr>
        <w:drawing>
          <wp:inline distT="0" distB="0" distL="0" distR="0" wp14:anchorId="7A2D6961" wp14:editId="3B30A394">
            <wp:extent cx="5486400" cy="4387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step_exact_078.png"/>
                    <pic:cNvPicPr/>
                  </pic:nvPicPr>
                  <pic:blipFill>
                    <a:blip r:embed="rId7"/>
                    <a:stretch>
                      <a:fillRect/>
                    </a:stretch>
                  </pic:blipFill>
                  <pic:spPr>
                    <a:xfrm>
                      <a:off x="0" y="0"/>
                      <a:ext cx="5486400" cy="4387186"/>
                    </a:xfrm>
                    <a:prstGeom prst="rect">
                      <a:avLst/>
                    </a:prstGeom>
                  </pic:spPr>
                </pic:pic>
              </a:graphicData>
            </a:graphic>
          </wp:inline>
        </w:drawing>
      </w:r>
    </w:p>
    <w:p w14:paraId="1F4D0562" w14:textId="11FCC44A" w:rsidR="005D6CBA" w:rsidRPr="005E7A49" w:rsidRDefault="00F72D57" w:rsidP="00510021">
      <w:pPr>
        <w:spacing w:before="100" w:beforeAutospacing="1" w:after="100" w:afterAutospacing="1" w:line="240" w:lineRule="auto"/>
        <w:rPr>
          <w:rFonts w:eastAsia="Times New Roman"/>
          <w:i/>
          <w:iCs/>
          <w:strike w:val="0"/>
          <w:lang w:val="en-GB"/>
        </w:rPr>
      </w:pPr>
      <w:r>
        <w:rPr>
          <w:rFonts w:eastAsia="Times New Roman"/>
          <w:i/>
          <w:iCs/>
          <w:strike w:val="0"/>
        </w:rPr>
        <w:t xml:space="preserve">Fig 1. </w:t>
      </w:r>
      <w:r w:rsidR="00807D67" w:rsidRPr="00807D67">
        <w:rPr>
          <w:rFonts w:eastAsia="Times New Roman"/>
          <w:i/>
          <w:iCs/>
          <w:strike w:val="0"/>
        </w:rPr>
        <w:t xml:space="preserve">Receiver operating characteristic </w:t>
      </w:r>
      <w:r w:rsidR="00B46E5F">
        <w:rPr>
          <w:rFonts w:eastAsia="Times New Roman"/>
          <w:i/>
          <w:iCs/>
          <w:strike w:val="0"/>
        </w:rPr>
        <w:t xml:space="preserve">(ROC) </w:t>
      </w:r>
      <w:r w:rsidR="00807D67" w:rsidRPr="00807D67">
        <w:rPr>
          <w:rFonts w:eastAsia="Times New Roman"/>
          <w:i/>
          <w:iCs/>
          <w:strike w:val="0"/>
        </w:rPr>
        <w:t>curve for the multivariable logistic model</w:t>
      </w:r>
    </w:p>
    <w:p w14:paraId="4A3EA6D1" w14:textId="611379B9" w:rsidR="00510021" w:rsidRPr="005E7A49"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lastRenderedPageBreak/>
        <w:t>Socio</w:t>
      </w:r>
      <w:r w:rsidR="00B46E5F">
        <w:rPr>
          <w:rFonts w:eastAsia="Times New Roman"/>
          <w:b/>
          <w:bCs/>
          <w:strike w:val="0"/>
        </w:rPr>
        <w:t>-</w:t>
      </w:r>
      <w:r w:rsidRPr="00510021">
        <w:rPr>
          <w:rFonts w:eastAsia="Times New Roman"/>
          <w:b/>
          <w:bCs/>
          <w:strike w:val="0"/>
        </w:rPr>
        <w:t>Cultural Factors Influencing Male Involvement</w:t>
      </w:r>
      <w:r w:rsidR="005E7A49">
        <w:rPr>
          <w:rFonts w:eastAsia="Times New Roman"/>
          <w:b/>
          <w:bCs/>
          <w:strike w:val="0"/>
        </w:rPr>
        <w:t xml:space="preserve"> (</w:t>
      </w:r>
      <w:r w:rsidR="005E7A49" w:rsidRPr="005E7A49">
        <w:rPr>
          <w:rFonts w:eastAsia="Times New Roman"/>
          <w:b/>
          <w:bCs/>
          <w:strike w:val="0"/>
        </w:rPr>
        <w:t>Perceived Barriers to Male Involvement</w:t>
      </w:r>
      <w:r w:rsidR="005E7A49">
        <w:rPr>
          <w:rFonts w:eastAsia="Times New Roman"/>
          <w:b/>
          <w:bCs/>
          <w:strike w:val="0"/>
        </w:rPr>
        <w:t>)</w:t>
      </w:r>
    </w:p>
    <w:p w14:paraId="7C2D3BD1" w14:textId="31C01A58" w:rsidR="00BB2ADC" w:rsidRPr="00E13E7F" w:rsidRDefault="00BB2ADC" w:rsidP="00510021">
      <w:pPr>
        <w:spacing w:before="100" w:beforeAutospacing="1" w:after="100" w:afterAutospacing="1" w:line="240" w:lineRule="auto"/>
        <w:rPr>
          <w:rFonts w:eastAsia="Times New Roman"/>
          <w:b/>
          <w:bCs/>
          <w:strike w:val="0"/>
        </w:rPr>
      </w:pPr>
      <w:r w:rsidRPr="00BB2ADC">
        <w:rPr>
          <w:rFonts w:eastAsia="Times New Roman"/>
          <w:strike w:val="0"/>
        </w:rPr>
        <w:t>Table 5 shows that</w:t>
      </w:r>
      <w:r w:rsidR="00885224">
        <w:rPr>
          <w:rFonts w:eastAsia="Times New Roman"/>
          <w:strike w:val="0"/>
        </w:rPr>
        <w:t xml:space="preserve"> </w:t>
      </w:r>
      <w:r w:rsidRPr="00BB2ADC">
        <w:rPr>
          <w:rFonts w:eastAsia="Times New Roman"/>
          <w:strike w:val="0"/>
        </w:rPr>
        <w:t>men</w:t>
      </w:r>
      <w:r w:rsidR="00885224">
        <w:rPr>
          <w:rFonts w:eastAsia="Times New Roman"/>
          <w:strike w:val="0"/>
        </w:rPr>
        <w:t xml:space="preserve"> in rural areas</w:t>
      </w:r>
      <w:r w:rsidRPr="00BB2ADC">
        <w:rPr>
          <w:rFonts w:eastAsia="Times New Roman"/>
          <w:strike w:val="0"/>
        </w:rPr>
        <w:t xml:space="preserve"> were significantly more likely than </w:t>
      </w:r>
      <w:r w:rsidR="00885224" w:rsidRPr="00885224">
        <w:rPr>
          <w:rFonts w:eastAsia="Times New Roman"/>
          <w:strike w:val="0"/>
        </w:rPr>
        <w:t>men</w:t>
      </w:r>
      <w:r w:rsidR="00885224">
        <w:rPr>
          <w:rFonts w:eastAsia="Times New Roman"/>
          <w:strike w:val="0"/>
        </w:rPr>
        <w:t xml:space="preserve"> in </w:t>
      </w:r>
      <w:r w:rsidRPr="00BB2ADC">
        <w:rPr>
          <w:rFonts w:eastAsia="Times New Roman"/>
          <w:strike w:val="0"/>
        </w:rPr>
        <w:t>urban</w:t>
      </w:r>
      <w:r w:rsidR="00885224">
        <w:rPr>
          <w:rFonts w:eastAsia="Times New Roman"/>
          <w:strike w:val="0"/>
        </w:rPr>
        <w:t xml:space="preserve"> areas </w:t>
      </w:r>
      <w:r w:rsidRPr="00BB2ADC">
        <w:rPr>
          <w:rFonts w:eastAsia="Times New Roman"/>
          <w:strike w:val="0"/>
        </w:rPr>
        <w:t>to agree that maternal and child health is primarily women’s responsibility and to fear stigma from clinic staff if they accompanied their partners. A majority of men</w:t>
      </w:r>
      <w:r w:rsidR="00885224">
        <w:rPr>
          <w:rFonts w:eastAsia="Times New Roman"/>
          <w:strike w:val="0"/>
        </w:rPr>
        <w:t xml:space="preserve"> in rural areas </w:t>
      </w:r>
      <w:r w:rsidRPr="00BB2ADC">
        <w:rPr>
          <w:rFonts w:eastAsia="Times New Roman"/>
          <w:strike w:val="0"/>
        </w:rPr>
        <w:t>reported a lack of male</w:t>
      </w:r>
      <w:r w:rsidRPr="00BB2ADC">
        <w:rPr>
          <w:rFonts w:eastAsia="Times New Roman"/>
          <w:strike w:val="0"/>
        </w:rPr>
        <w:noBreakHyphen/>
        <w:t>friendly spaces at health facilities, compared to a smaller proportion of men</w:t>
      </w:r>
      <w:r w:rsidR="00885224">
        <w:rPr>
          <w:rFonts w:eastAsia="Times New Roman"/>
          <w:strike w:val="0"/>
        </w:rPr>
        <w:t xml:space="preserve"> in urban areas</w:t>
      </w:r>
      <w:r w:rsidRPr="00BB2ADC">
        <w:rPr>
          <w:rFonts w:eastAsia="Times New Roman"/>
          <w:strike w:val="0"/>
        </w:rPr>
        <w:t>. While work or time constraints were reported by roughly half of both groups, transportation costs were a far greater barrier in rural areas. Preference for traditional birth attendants over formal skilled attendants was also more common in rural settings</w:t>
      </w:r>
      <w:r w:rsidRPr="00BB2ADC">
        <w:rPr>
          <w:rFonts w:eastAsia="Times New Roman"/>
          <w:b/>
          <w:bCs/>
          <w:strike w:val="0"/>
        </w:rPr>
        <w:t>.</w:t>
      </w:r>
    </w:p>
    <w:p w14:paraId="1C24CE56" w14:textId="0D3D1A79"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b/>
          <w:bCs/>
          <w:strike w:val="0"/>
        </w:rPr>
        <w:t>Table 5: Perceived Barriers to Male Involvement</w:t>
      </w:r>
    </w:p>
    <w:tbl>
      <w:tblPr>
        <w:tblW w:w="0" w:type="auto"/>
        <w:tblCellMar>
          <w:top w:w="15" w:type="dxa"/>
          <w:left w:w="15" w:type="dxa"/>
          <w:bottom w:w="15" w:type="dxa"/>
          <w:right w:w="15" w:type="dxa"/>
        </w:tblCellMar>
        <w:tblLook w:val="04A0" w:firstRow="1" w:lastRow="0" w:firstColumn="1" w:lastColumn="0" w:noHBand="0" w:noVBand="1"/>
      </w:tblPr>
      <w:tblGrid>
        <w:gridCol w:w="4271"/>
        <w:gridCol w:w="1805"/>
        <w:gridCol w:w="1750"/>
        <w:gridCol w:w="1200"/>
      </w:tblGrid>
      <w:tr w:rsidR="00510021" w:rsidRPr="00510021" w14:paraId="7FE7B472" w14:textId="77777777">
        <w:trPr>
          <w:tblHeader/>
        </w:trPr>
        <w:tc>
          <w:tcPr>
            <w:tcW w:w="0" w:type="auto"/>
            <w:tcBorders>
              <w:top w:val="nil"/>
            </w:tcBorders>
            <w:tcMar>
              <w:top w:w="150" w:type="dxa"/>
              <w:left w:w="0" w:type="dxa"/>
              <w:bottom w:w="150" w:type="dxa"/>
              <w:right w:w="240" w:type="dxa"/>
            </w:tcMar>
            <w:vAlign w:val="center"/>
            <w:hideMark/>
          </w:tcPr>
          <w:p w14:paraId="4B0C8226"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Barrier (% agreeing)</w:t>
            </w:r>
          </w:p>
        </w:tc>
        <w:tc>
          <w:tcPr>
            <w:tcW w:w="0" w:type="auto"/>
            <w:tcBorders>
              <w:top w:val="nil"/>
            </w:tcBorders>
            <w:tcMar>
              <w:top w:w="150" w:type="dxa"/>
              <w:left w:w="240" w:type="dxa"/>
              <w:bottom w:w="150" w:type="dxa"/>
              <w:right w:w="240" w:type="dxa"/>
            </w:tcMar>
            <w:vAlign w:val="center"/>
            <w:hideMark/>
          </w:tcPr>
          <w:p w14:paraId="39E9BB87"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Urban (n=225)</w:t>
            </w:r>
          </w:p>
        </w:tc>
        <w:tc>
          <w:tcPr>
            <w:tcW w:w="0" w:type="auto"/>
            <w:tcBorders>
              <w:top w:val="nil"/>
            </w:tcBorders>
            <w:tcMar>
              <w:top w:w="150" w:type="dxa"/>
              <w:left w:w="240" w:type="dxa"/>
              <w:bottom w:w="150" w:type="dxa"/>
              <w:right w:w="240" w:type="dxa"/>
            </w:tcMar>
            <w:vAlign w:val="center"/>
            <w:hideMark/>
          </w:tcPr>
          <w:p w14:paraId="56CC0E12"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Rural (n=225)</w:t>
            </w:r>
          </w:p>
        </w:tc>
        <w:tc>
          <w:tcPr>
            <w:tcW w:w="0" w:type="auto"/>
            <w:tcBorders>
              <w:top w:val="nil"/>
            </w:tcBorders>
            <w:tcMar>
              <w:top w:w="150" w:type="dxa"/>
              <w:left w:w="240" w:type="dxa"/>
              <w:bottom w:w="150" w:type="dxa"/>
              <w:right w:w="240" w:type="dxa"/>
            </w:tcMar>
            <w:vAlign w:val="center"/>
            <w:hideMark/>
          </w:tcPr>
          <w:p w14:paraId="6D44B52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p</w:t>
            </w:r>
            <w:r w:rsidRPr="00510021">
              <w:rPr>
                <w:rFonts w:eastAsia="Times New Roman"/>
                <w:strike w:val="0"/>
              </w:rPr>
              <w:noBreakHyphen/>
              <w:t>value</w:t>
            </w:r>
          </w:p>
        </w:tc>
      </w:tr>
      <w:tr w:rsidR="00510021" w:rsidRPr="00510021" w14:paraId="6966ABF2" w14:textId="77777777">
        <w:tc>
          <w:tcPr>
            <w:tcW w:w="0" w:type="auto"/>
            <w:tcMar>
              <w:top w:w="150" w:type="dxa"/>
              <w:left w:w="0" w:type="dxa"/>
              <w:bottom w:w="150" w:type="dxa"/>
              <w:right w:w="240" w:type="dxa"/>
            </w:tcMar>
            <w:vAlign w:val="center"/>
            <w:hideMark/>
          </w:tcPr>
          <w:p w14:paraId="77027AAA"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"MCH is primarily women's responsibility"</w:t>
            </w:r>
          </w:p>
        </w:tc>
        <w:tc>
          <w:tcPr>
            <w:tcW w:w="0" w:type="auto"/>
            <w:tcMar>
              <w:top w:w="150" w:type="dxa"/>
              <w:left w:w="240" w:type="dxa"/>
              <w:bottom w:w="150" w:type="dxa"/>
              <w:right w:w="240" w:type="dxa"/>
            </w:tcMar>
            <w:vAlign w:val="center"/>
            <w:hideMark/>
          </w:tcPr>
          <w:p w14:paraId="3528B256" w14:textId="5A172150"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31.6</w:t>
            </w:r>
          </w:p>
        </w:tc>
        <w:tc>
          <w:tcPr>
            <w:tcW w:w="0" w:type="auto"/>
            <w:tcMar>
              <w:top w:w="150" w:type="dxa"/>
              <w:left w:w="240" w:type="dxa"/>
              <w:bottom w:w="150" w:type="dxa"/>
              <w:right w:w="240" w:type="dxa"/>
            </w:tcMar>
            <w:vAlign w:val="center"/>
            <w:hideMark/>
          </w:tcPr>
          <w:p w14:paraId="754E5A57"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58.2</w:t>
            </w:r>
          </w:p>
        </w:tc>
        <w:tc>
          <w:tcPr>
            <w:tcW w:w="0" w:type="auto"/>
            <w:tcMar>
              <w:top w:w="150" w:type="dxa"/>
              <w:left w:w="240" w:type="dxa"/>
              <w:bottom w:w="150" w:type="dxa"/>
              <w:right w:w="0" w:type="dxa"/>
            </w:tcMar>
            <w:vAlign w:val="center"/>
            <w:hideMark/>
          </w:tcPr>
          <w:p w14:paraId="59ECB84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3A454834" w14:textId="77777777">
        <w:tc>
          <w:tcPr>
            <w:tcW w:w="0" w:type="auto"/>
            <w:tcMar>
              <w:top w:w="150" w:type="dxa"/>
              <w:left w:w="0" w:type="dxa"/>
              <w:bottom w:w="150" w:type="dxa"/>
              <w:right w:w="240" w:type="dxa"/>
            </w:tcMar>
            <w:vAlign w:val="center"/>
            <w:hideMark/>
          </w:tcPr>
          <w:p w14:paraId="22DF648B"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Fear of stigma from clinic staff</w:t>
            </w:r>
          </w:p>
        </w:tc>
        <w:tc>
          <w:tcPr>
            <w:tcW w:w="0" w:type="auto"/>
            <w:tcMar>
              <w:top w:w="150" w:type="dxa"/>
              <w:left w:w="240" w:type="dxa"/>
              <w:bottom w:w="150" w:type="dxa"/>
              <w:right w:w="240" w:type="dxa"/>
            </w:tcMar>
            <w:vAlign w:val="center"/>
            <w:hideMark/>
          </w:tcPr>
          <w:p w14:paraId="6F20E51C" w14:textId="4465D42A"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24.0</w:t>
            </w:r>
          </w:p>
        </w:tc>
        <w:tc>
          <w:tcPr>
            <w:tcW w:w="0" w:type="auto"/>
            <w:tcMar>
              <w:top w:w="150" w:type="dxa"/>
              <w:left w:w="240" w:type="dxa"/>
              <w:bottom w:w="150" w:type="dxa"/>
              <w:right w:w="240" w:type="dxa"/>
            </w:tcMar>
            <w:vAlign w:val="center"/>
            <w:hideMark/>
          </w:tcPr>
          <w:p w14:paraId="5C02615A"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47.1</w:t>
            </w:r>
          </w:p>
        </w:tc>
        <w:tc>
          <w:tcPr>
            <w:tcW w:w="0" w:type="auto"/>
            <w:tcMar>
              <w:top w:w="150" w:type="dxa"/>
              <w:left w:w="240" w:type="dxa"/>
              <w:bottom w:w="150" w:type="dxa"/>
              <w:right w:w="0" w:type="dxa"/>
            </w:tcMar>
            <w:vAlign w:val="center"/>
            <w:hideMark/>
          </w:tcPr>
          <w:p w14:paraId="625D8F0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4825B75B" w14:textId="77777777">
        <w:tc>
          <w:tcPr>
            <w:tcW w:w="0" w:type="auto"/>
            <w:tcMar>
              <w:top w:w="150" w:type="dxa"/>
              <w:left w:w="0" w:type="dxa"/>
              <w:bottom w:w="150" w:type="dxa"/>
              <w:right w:w="240" w:type="dxa"/>
            </w:tcMar>
            <w:vAlign w:val="center"/>
            <w:hideMark/>
          </w:tcPr>
          <w:p w14:paraId="0EEFB701"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Lack of male</w:t>
            </w:r>
            <w:r w:rsidRPr="00510021">
              <w:rPr>
                <w:rFonts w:eastAsia="Times New Roman"/>
                <w:strike w:val="0"/>
              </w:rPr>
              <w:noBreakHyphen/>
              <w:t>friendly spaces at health facilities</w:t>
            </w:r>
          </w:p>
        </w:tc>
        <w:tc>
          <w:tcPr>
            <w:tcW w:w="0" w:type="auto"/>
            <w:tcMar>
              <w:top w:w="150" w:type="dxa"/>
              <w:left w:w="240" w:type="dxa"/>
              <w:bottom w:w="150" w:type="dxa"/>
              <w:right w:w="240" w:type="dxa"/>
            </w:tcMar>
            <w:vAlign w:val="center"/>
            <w:hideMark/>
          </w:tcPr>
          <w:p w14:paraId="1D4C591D" w14:textId="1189262E"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38.7</w:t>
            </w:r>
          </w:p>
        </w:tc>
        <w:tc>
          <w:tcPr>
            <w:tcW w:w="0" w:type="auto"/>
            <w:tcMar>
              <w:top w:w="150" w:type="dxa"/>
              <w:left w:w="240" w:type="dxa"/>
              <w:bottom w:w="150" w:type="dxa"/>
              <w:right w:w="240" w:type="dxa"/>
            </w:tcMar>
            <w:vAlign w:val="center"/>
            <w:hideMark/>
          </w:tcPr>
          <w:p w14:paraId="1503666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61.8</w:t>
            </w:r>
          </w:p>
        </w:tc>
        <w:tc>
          <w:tcPr>
            <w:tcW w:w="0" w:type="auto"/>
            <w:tcMar>
              <w:top w:w="150" w:type="dxa"/>
              <w:left w:w="240" w:type="dxa"/>
              <w:bottom w:w="150" w:type="dxa"/>
              <w:right w:w="0" w:type="dxa"/>
            </w:tcMar>
            <w:vAlign w:val="center"/>
            <w:hideMark/>
          </w:tcPr>
          <w:p w14:paraId="3E7C7873"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371571DC" w14:textId="77777777">
        <w:tc>
          <w:tcPr>
            <w:tcW w:w="0" w:type="auto"/>
            <w:tcMar>
              <w:top w:w="150" w:type="dxa"/>
              <w:left w:w="0" w:type="dxa"/>
              <w:bottom w:w="150" w:type="dxa"/>
              <w:right w:w="240" w:type="dxa"/>
            </w:tcMar>
            <w:vAlign w:val="center"/>
            <w:hideMark/>
          </w:tcPr>
          <w:p w14:paraId="69F80741"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Work/time constraints</w:t>
            </w:r>
          </w:p>
        </w:tc>
        <w:tc>
          <w:tcPr>
            <w:tcW w:w="0" w:type="auto"/>
            <w:tcMar>
              <w:top w:w="150" w:type="dxa"/>
              <w:left w:w="240" w:type="dxa"/>
              <w:bottom w:w="150" w:type="dxa"/>
              <w:right w:w="240" w:type="dxa"/>
            </w:tcMar>
            <w:vAlign w:val="center"/>
            <w:hideMark/>
          </w:tcPr>
          <w:p w14:paraId="6B3B49B6" w14:textId="37CA24C5"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52.9</w:t>
            </w:r>
          </w:p>
        </w:tc>
        <w:tc>
          <w:tcPr>
            <w:tcW w:w="0" w:type="auto"/>
            <w:tcMar>
              <w:top w:w="150" w:type="dxa"/>
              <w:left w:w="240" w:type="dxa"/>
              <w:bottom w:w="150" w:type="dxa"/>
              <w:right w:w="240" w:type="dxa"/>
            </w:tcMar>
            <w:vAlign w:val="center"/>
            <w:hideMark/>
          </w:tcPr>
          <w:p w14:paraId="5C87CA0B"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48.4</w:t>
            </w:r>
          </w:p>
        </w:tc>
        <w:tc>
          <w:tcPr>
            <w:tcW w:w="0" w:type="auto"/>
            <w:tcMar>
              <w:top w:w="150" w:type="dxa"/>
              <w:left w:w="240" w:type="dxa"/>
              <w:bottom w:w="150" w:type="dxa"/>
              <w:right w:w="0" w:type="dxa"/>
            </w:tcMar>
            <w:vAlign w:val="center"/>
            <w:hideMark/>
          </w:tcPr>
          <w:p w14:paraId="605EFCC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0.342</w:t>
            </w:r>
          </w:p>
        </w:tc>
      </w:tr>
      <w:tr w:rsidR="00510021" w:rsidRPr="00510021" w14:paraId="1DF12DC1" w14:textId="77777777">
        <w:tc>
          <w:tcPr>
            <w:tcW w:w="0" w:type="auto"/>
            <w:tcMar>
              <w:top w:w="150" w:type="dxa"/>
              <w:left w:w="0" w:type="dxa"/>
              <w:bottom w:w="150" w:type="dxa"/>
              <w:right w:w="240" w:type="dxa"/>
            </w:tcMar>
            <w:vAlign w:val="center"/>
            <w:hideMark/>
          </w:tcPr>
          <w:p w14:paraId="4CBDC489"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Transportation costs</w:t>
            </w:r>
          </w:p>
        </w:tc>
        <w:tc>
          <w:tcPr>
            <w:tcW w:w="0" w:type="auto"/>
            <w:tcMar>
              <w:top w:w="150" w:type="dxa"/>
              <w:left w:w="240" w:type="dxa"/>
              <w:bottom w:w="150" w:type="dxa"/>
              <w:right w:w="240" w:type="dxa"/>
            </w:tcMar>
            <w:vAlign w:val="center"/>
            <w:hideMark/>
          </w:tcPr>
          <w:p w14:paraId="27299DC7" w14:textId="25F71BB8"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29.3</w:t>
            </w:r>
          </w:p>
        </w:tc>
        <w:tc>
          <w:tcPr>
            <w:tcW w:w="0" w:type="auto"/>
            <w:tcMar>
              <w:top w:w="150" w:type="dxa"/>
              <w:left w:w="240" w:type="dxa"/>
              <w:bottom w:w="150" w:type="dxa"/>
              <w:right w:w="240" w:type="dxa"/>
            </w:tcMar>
            <w:vAlign w:val="center"/>
            <w:hideMark/>
          </w:tcPr>
          <w:p w14:paraId="0296A540"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67.6</w:t>
            </w:r>
          </w:p>
        </w:tc>
        <w:tc>
          <w:tcPr>
            <w:tcW w:w="0" w:type="auto"/>
            <w:tcMar>
              <w:top w:w="150" w:type="dxa"/>
              <w:left w:w="240" w:type="dxa"/>
              <w:bottom w:w="150" w:type="dxa"/>
              <w:right w:w="0" w:type="dxa"/>
            </w:tcMar>
            <w:vAlign w:val="center"/>
            <w:hideMark/>
          </w:tcPr>
          <w:p w14:paraId="684E4670"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r w:rsidR="00510021" w:rsidRPr="00510021" w14:paraId="5F1999C7" w14:textId="77777777">
        <w:tc>
          <w:tcPr>
            <w:tcW w:w="0" w:type="auto"/>
            <w:tcMar>
              <w:top w:w="150" w:type="dxa"/>
              <w:left w:w="0" w:type="dxa"/>
              <w:bottom w:w="150" w:type="dxa"/>
              <w:right w:w="240" w:type="dxa"/>
            </w:tcMar>
            <w:vAlign w:val="center"/>
            <w:hideMark/>
          </w:tcPr>
          <w:p w14:paraId="48750148"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Preference for traditional birth attendants</w:t>
            </w:r>
          </w:p>
        </w:tc>
        <w:tc>
          <w:tcPr>
            <w:tcW w:w="0" w:type="auto"/>
            <w:tcMar>
              <w:top w:w="150" w:type="dxa"/>
              <w:left w:w="240" w:type="dxa"/>
              <w:bottom w:w="150" w:type="dxa"/>
              <w:right w:w="240" w:type="dxa"/>
            </w:tcMar>
            <w:vAlign w:val="center"/>
            <w:hideMark/>
          </w:tcPr>
          <w:p w14:paraId="4BBEFB86" w14:textId="3BFBEB75" w:rsidR="00510021" w:rsidRPr="00510021" w:rsidRDefault="005622BA" w:rsidP="00510021">
            <w:pPr>
              <w:spacing w:before="100" w:beforeAutospacing="1" w:after="100" w:afterAutospacing="1" w:line="240" w:lineRule="auto"/>
              <w:rPr>
                <w:rFonts w:eastAsia="Times New Roman"/>
                <w:strike w:val="0"/>
              </w:rPr>
            </w:pPr>
            <w:r>
              <w:rPr>
                <w:rFonts w:eastAsia="Times New Roman"/>
                <w:strike w:val="0"/>
              </w:rPr>
              <w:t xml:space="preserve">     </w:t>
            </w:r>
            <w:r w:rsidR="00510021" w:rsidRPr="00510021">
              <w:rPr>
                <w:rFonts w:eastAsia="Times New Roman"/>
                <w:strike w:val="0"/>
              </w:rPr>
              <w:t>8.4</w:t>
            </w:r>
          </w:p>
        </w:tc>
        <w:tc>
          <w:tcPr>
            <w:tcW w:w="0" w:type="auto"/>
            <w:tcMar>
              <w:top w:w="150" w:type="dxa"/>
              <w:left w:w="240" w:type="dxa"/>
              <w:bottom w:w="150" w:type="dxa"/>
              <w:right w:w="240" w:type="dxa"/>
            </w:tcMar>
            <w:vAlign w:val="center"/>
            <w:hideMark/>
          </w:tcPr>
          <w:p w14:paraId="78C431BF"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42.2</w:t>
            </w:r>
          </w:p>
        </w:tc>
        <w:tc>
          <w:tcPr>
            <w:tcW w:w="0" w:type="auto"/>
            <w:tcMar>
              <w:top w:w="150" w:type="dxa"/>
              <w:left w:w="240" w:type="dxa"/>
              <w:bottom w:w="150" w:type="dxa"/>
              <w:right w:w="0" w:type="dxa"/>
            </w:tcMar>
            <w:vAlign w:val="center"/>
            <w:hideMark/>
          </w:tcPr>
          <w:p w14:paraId="19B56613" w14:textId="77777777" w:rsidR="00510021" w:rsidRPr="00510021" w:rsidRDefault="00510021" w:rsidP="00510021">
            <w:pPr>
              <w:spacing w:before="100" w:beforeAutospacing="1" w:after="100" w:afterAutospacing="1" w:line="240" w:lineRule="auto"/>
              <w:rPr>
                <w:rFonts w:eastAsia="Times New Roman"/>
                <w:strike w:val="0"/>
              </w:rPr>
            </w:pPr>
            <w:r w:rsidRPr="00510021">
              <w:rPr>
                <w:rFonts w:eastAsia="Times New Roman"/>
                <w:strike w:val="0"/>
              </w:rPr>
              <w:t>&lt;0.001</w:t>
            </w:r>
          </w:p>
        </w:tc>
      </w:tr>
    </w:tbl>
    <w:p w14:paraId="663DF67F" w14:textId="77777777" w:rsidR="00510021" w:rsidRPr="00510021" w:rsidRDefault="00510021" w:rsidP="00510021">
      <w:pPr>
        <w:spacing w:before="100" w:beforeAutospacing="1" w:after="100" w:afterAutospacing="1" w:line="240" w:lineRule="auto"/>
        <w:rPr>
          <w:rFonts w:eastAsia="Times New Roman"/>
          <w:b/>
          <w:bCs/>
          <w:strike w:val="0"/>
        </w:rPr>
      </w:pPr>
      <w:r w:rsidRPr="00510021">
        <w:rPr>
          <w:rFonts w:eastAsia="Times New Roman"/>
          <w:b/>
          <w:bCs/>
          <w:strike w:val="0"/>
        </w:rPr>
        <w:t>Interaction Effects Between Residence and Socioeconomic Factors</w:t>
      </w:r>
    </w:p>
    <w:p w14:paraId="7F9F1556" w14:textId="645E20E3" w:rsidR="009E02EA" w:rsidRDefault="009E02EA" w:rsidP="00510021">
      <w:pPr>
        <w:spacing w:before="100" w:beforeAutospacing="1" w:after="100" w:afterAutospacing="1" w:line="240" w:lineRule="auto"/>
        <w:rPr>
          <w:rFonts w:eastAsia="Times New Roman"/>
          <w:strike w:val="0"/>
        </w:rPr>
      </w:pPr>
      <w:r w:rsidRPr="009E02EA">
        <w:rPr>
          <w:rFonts w:eastAsia="Times New Roman"/>
          <w:strike w:val="0"/>
        </w:rPr>
        <w:t>Interaction analysis revealed that tertiary education was strongly associated with good</w:t>
      </w:r>
      <w:r w:rsidR="00885224">
        <w:rPr>
          <w:rFonts w:eastAsia="Times New Roman"/>
          <w:strike w:val="0"/>
        </w:rPr>
        <w:t xml:space="preserve"> male</w:t>
      </w:r>
      <w:r w:rsidRPr="009E02EA">
        <w:rPr>
          <w:rFonts w:eastAsia="Times New Roman"/>
          <w:strike w:val="0"/>
        </w:rPr>
        <w:t xml:space="preserve"> involvement among urban residents and, to a lesser extent, in rural areas. High income was not significant for</w:t>
      </w:r>
      <w:r w:rsidR="00885224">
        <w:rPr>
          <w:rFonts w:eastAsia="Times New Roman"/>
          <w:strike w:val="0"/>
        </w:rPr>
        <w:t xml:space="preserve"> </w:t>
      </w:r>
      <w:r w:rsidRPr="009E02EA">
        <w:rPr>
          <w:rFonts w:eastAsia="Times New Roman"/>
          <w:strike w:val="0"/>
        </w:rPr>
        <w:t>men</w:t>
      </w:r>
      <w:r w:rsidR="00885224">
        <w:rPr>
          <w:rFonts w:eastAsia="Times New Roman"/>
          <w:strike w:val="0"/>
        </w:rPr>
        <w:t xml:space="preserve"> in urban areas</w:t>
      </w:r>
      <w:r>
        <w:rPr>
          <w:rFonts w:eastAsia="Times New Roman"/>
          <w:strike w:val="0"/>
        </w:rPr>
        <w:t>,</w:t>
      </w:r>
      <w:r w:rsidRPr="009E02EA">
        <w:rPr>
          <w:rFonts w:eastAsia="Times New Roman"/>
          <w:strike w:val="0"/>
        </w:rPr>
        <w:t xml:space="preserve"> but was strongly associated among</w:t>
      </w:r>
      <w:r w:rsidR="00885224">
        <w:rPr>
          <w:rFonts w:eastAsia="Times New Roman"/>
          <w:strike w:val="0"/>
        </w:rPr>
        <w:t xml:space="preserve"> </w:t>
      </w:r>
      <w:r w:rsidRPr="009E02EA">
        <w:rPr>
          <w:rFonts w:eastAsia="Times New Roman"/>
          <w:strike w:val="0"/>
        </w:rPr>
        <w:t>men</w:t>
      </w:r>
      <w:r w:rsidR="00885224">
        <w:rPr>
          <w:rFonts w:eastAsia="Times New Roman"/>
          <w:strike w:val="0"/>
        </w:rPr>
        <w:t xml:space="preserve"> in rural areas</w:t>
      </w:r>
      <w:r w:rsidRPr="009E02EA">
        <w:rPr>
          <w:rFonts w:eastAsia="Times New Roman"/>
          <w:strike w:val="0"/>
        </w:rPr>
        <w:t>. Thus, education is particularly impactful in urban settings, while income may be a more effective lever in rural communities</w:t>
      </w:r>
      <w:r w:rsidR="0081060F">
        <w:rPr>
          <w:rFonts w:eastAsia="Times New Roman"/>
          <w:strike w:val="0"/>
        </w:rPr>
        <w:t xml:space="preserve"> (Table 6)</w:t>
      </w:r>
      <w:r w:rsidRPr="009E02EA">
        <w:rPr>
          <w:rFonts w:eastAsia="Times New Roman"/>
          <w:strike w:val="0"/>
        </w:rPr>
        <w:t>.</w:t>
      </w:r>
    </w:p>
    <w:p w14:paraId="7DFD816D" w14:textId="4433A114" w:rsidR="0081060F" w:rsidRPr="00EE0E7A" w:rsidRDefault="0081060F" w:rsidP="0081060F">
      <w:pPr>
        <w:spacing w:before="100" w:beforeAutospacing="1" w:after="100" w:afterAutospacing="1" w:line="240" w:lineRule="auto"/>
        <w:rPr>
          <w:rFonts w:eastAsia="Times New Roman"/>
          <w:b/>
          <w:bCs/>
          <w:strike w:val="0"/>
        </w:rPr>
      </w:pPr>
      <w:r w:rsidRPr="00EE0E7A">
        <w:rPr>
          <w:rFonts w:eastAsia="Times New Roman"/>
          <w:b/>
          <w:bCs/>
          <w:strike w:val="0"/>
        </w:rPr>
        <w:t>Table 6: Interaction Effects (Urban v</w:t>
      </w:r>
      <w:r w:rsidR="00EE0E7A">
        <w:rPr>
          <w:rFonts w:eastAsia="Times New Roman"/>
          <w:b/>
          <w:bCs/>
          <w:strike w:val="0"/>
        </w:rPr>
        <w:t>ersus</w:t>
      </w:r>
      <w:r w:rsidRPr="00EE0E7A">
        <w:rPr>
          <w:rFonts w:eastAsia="Times New Roman"/>
          <w:b/>
          <w:bCs/>
          <w:strike w:val="0"/>
        </w:rPr>
        <w:t xml:space="preserve"> Rural stratified by education and income)</w:t>
      </w:r>
    </w:p>
    <w:p w14:paraId="015B2099" w14:textId="58A88819" w:rsidR="0081060F" w:rsidRPr="0081060F" w:rsidRDefault="0081060F" w:rsidP="0081060F">
      <w:pPr>
        <w:spacing w:before="100" w:beforeAutospacing="1" w:after="100" w:afterAutospacing="1" w:line="240" w:lineRule="auto"/>
        <w:rPr>
          <w:rFonts w:eastAsia="Times New Roman"/>
          <w:strike w:val="0"/>
        </w:rPr>
      </w:pPr>
      <w:r w:rsidRPr="0081060F">
        <w:rPr>
          <w:rFonts w:eastAsia="Times New Roman"/>
          <w:strike w:val="0"/>
        </w:rPr>
        <w:t>Predictor / Setting</w:t>
      </w:r>
      <w:r w:rsidRPr="0081060F">
        <w:rPr>
          <w:rFonts w:eastAsia="Times New Roman"/>
          <w:strike w:val="0"/>
        </w:rPr>
        <w:tab/>
      </w:r>
      <w:r>
        <w:rPr>
          <w:rFonts w:eastAsia="Times New Roman"/>
          <w:strike w:val="0"/>
        </w:rPr>
        <w:t xml:space="preserve">                                                        </w:t>
      </w:r>
      <w:r w:rsidRPr="0081060F">
        <w:rPr>
          <w:rFonts w:eastAsia="Times New Roman"/>
          <w:strike w:val="0"/>
        </w:rPr>
        <w:t>AOR (95% CI)</w:t>
      </w:r>
      <w:r w:rsidRPr="0081060F">
        <w:rPr>
          <w:rFonts w:eastAsia="Times New Roman"/>
          <w:strike w:val="0"/>
        </w:rPr>
        <w:tab/>
      </w:r>
      <w:r>
        <w:rPr>
          <w:rFonts w:eastAsia="Times New Roman"/>
          <w:strike w:val="0"/>
        </w:rPr>
        <w:t xml:space="preserve">               </w:t>
      </w:r>
      <w:r w:rsidRPr="0081060F">
        <w:rPr>
          <w:rFonts w:eastAsia="Times New Roman"/>
          <w:strike w:val="0"/>
        </w:rPr>
        <w:t>p‑value</w:t>
      </w:r>
    </w:p>
    <w:p w14:paraId="1FFE3393" w14:textId="2E3B3150" w:rsidR="0081060F" w:rsidRPr="0081060F" w:rsidRDefault="0081060F" w:rsidP="0081060F">
      <w:pPr>
        <w:spacing w:before="100" w:beforeAutospacing="1" w:after="100" w:afterAutospacing="1" w:line="240" w:lineRule="auto"/>
        <w:rPr>
          <w:rFonts w:eastAsia="Times New Roman"/>
          <w:strike w:val="0"/>
        </w:rPr>
      </w:pPr>
      <w:r w:rsidRPr="0081060F">
        <w:rPr>
          <w:rFonts w:eastAsia="Times New Roman"/>
          <w:strike w:val="0"/>
        </w:rPr>
        <w:t>Urban × Tertiary education (ref: urban × primary)</w:t>
      </w:r>
      <w:r w:rsidRPr="0081060F">
        <w:rPr>
          <w:rFonts w:eastAsia="Times New Roman"/>
          <w:strike w:val="0"/>
        </w:rPr>
        <w:tab/>
      </w:r>
      <w:r>
        <w:rPr>
          <w:rFonts w:eastAsia="Times New Roman"/>
          <w:strike w:val="0"/>
        </w:rPr>
        <w:t xml:space="preserve">         </w:t>
      </w:r>
      <w:r w:rsidRPr="0081060F">
        <w:rPr>
          <w:rFonts w:eastAsia="Times New Roman"/>
          <w:strike w:val="0"/>
        </w:rPr>
        <w:t>3.21 (1.89–5.45)</w:t>
      </w:r>
      <w:r>
        <w:rPr>
          <w:rFonts w:eastAsia="Times New Roman"/>
          <w:strike w:val="0"/>
        </w:rPr>
        <w:t xml:space="preserve">     </w:t>
      </w:r>
      <w:r w:rsidRPr="0081060F">
        <w:rPr>
          <w:rFonts w:eastAsia="Times New Roman"/>
          <w:strike w:val="0"/>
        </w:rPr>
        <w:tab/>
      </w:r>
      <w:r>
        <w:rPr>
          <w:rFonts w:eastAsia="Times New Roman"/>
          <w:strike w:val="0"/>
        </w:rPr>
        <w:t xml:space="preserve">    </w:t>
      </w:r>
      <w:r w:rsidRPr="0081060F">
        <w:rPr>
          <w:rFonts w:eastAsia="Times New Roman"/>
          <w:strike w:val="0"/>
        </w:rPr>
        <w:t>&lt;0.001</w:t>
      </w:r>
    </w:p>
    <w:p w14:paraId="760D4566" w14:textId="7134E654" w:rsidR="0081060F" w:rsidRPr="0081060F" w:rsidRDefault="0081060F" w:rsidP="0081060F">
      <w:pPr>
        <w:spacing w:before="100" w:beforeAutospacing="1" w:after="100" w:afterAutospacing="1" w:line="240" w:lineRule="auto"/>
        <w:rPr>
          <w:rFonts w:eastAsia="Times New Roman"/>
          <w:strike w:val="0"/>
        </w:rPr>
      </w:pPr>
      <w:r w:rsidRPr="0081060F">
        <w:rPr>
          <w:rFonts w:eastAsia="Times New Roman"/>
          <w:strike w:val="0"/>
        </w:rPr>
        <w:t>Rural × Tertiary education (ref: rural × primary)</w:t>
      </w:r>
      <w:r w:rsidRPr="0081060F">
        <w:rPr>
          <w:rFonts w:eastAsia="Times New Roman"/>
          <w:strike w:val="0"/>
        </w:rPr>
        <w:tab/>
      </w:r>
      <w:r>
        <w:rPr>
          <w:rFonts w:eastAsia="Times New Roman"/>
          <w:strike w:val="0"/>
        </w:rPr>
        <w:t xml:space="preserve">         </w:t>
      </w:r>
      <w:r w:rsidRPr="0081060F">
        <w:rPr>
          <w:rFonts w:eastAsia="Times New Roman"/>
          <w:strike w:val="0"/>
        </w:rPr>
        <w:t>1.78 (1.02–3.11)</w:t>
      </w:r>
      <w:r w:rsidRPr="0081060F">
        <w:rPr>
          <w:rFonts w:eastAsia="Times New Roman"/>
          <w:strike w:val="0"/>
        </w:rPr>
        <w:tab/>
      </w:r>
      <w:r>
        <w:rPr>
          <w:rFonts w:eastAsia="Times New Roman"/>
          <w:strike w:val="0"/>
        </w:rPr>
        <w:t xml:space="preserve">                  </w:t>
      </w:r>
      <w:r w:rsidRPr="0081060F">
        <w:rPr>
          <w:rFonts w:eastAsia="Times New Roman"/>
          <w:strike w:val="0"/>
        </w:rPr>
        <w:t>0.042</w:t>
      </w:r>
    </w:p>
    <w:p w14:paraId="762C4BD5" w14:textId="08897815" w:rsidR="0081060F" w:rsidRPr="0081060F" w:rsidRDefault="0081060F" w:rsidP="0081060F">
      <w:pPr>
        <w:spacing w:before="100" w:beforeAutospacing="1" w:after="100" w:afterAutospacing="1" w:line="240" w:lineRule="auto"/>
        <w:rPr>
          <w:rFonts w:eastAsia="Times New Roman"/>
          <w:strike w:val="0"/>
        </w:rPr>
      </w:pPr>
      <w:r w:rsidRPr="0081060F">
        <w:rPr>
          <w:rFonts w:eastAsia="Times New Roman"/>
          <w:strike w:val="0"/>
        </w:rPr>
        <w:t>Urban × High income (ref: urban × low income)</w:t>
      </w:r>
      <w:r w:rsidRPr="0081060F">
        <w:rPr>
          <w:rFonts w:eastAsia="Times New Roman"/>
          <w:strike w:val="0"/>
        </w:rPr>
        <w:tab/>
      </w:r>
      <w:r>
        <w:rPr>
          <w:rFonts w:eastAsia="Times New Roman"/>
          <w:strike w:val="0"/>
        </w:rPr>
        <w:t xml:space="preserve">         </w:t>
      </w:r>
      <w:r w:rsidRPr="0081060F">
        <w:rPr>
          <w:rFonts w:eastAsia="Times New Roman"/>
          <w:strike w:val="0"/>
        </w:rPr>
        <w:t>1.52 (0.93–2.48)</w:t>
      </w:r>
      <w:r w:rsidRPr="0081060F">
        <w:rPr>
          <w:rFonts w:eastAsia="Times New Roman"/>
          <w:strike w:val="0"/>
        </w:rPr>
        <w:tab/>
      </w:r>
      <w:r>
        <w:rPr>
          <w:rFonts w:eastAsia="Times New Roman"/>
          <w:strike w:val="0"/>
        </w:rPr>
        <w:t xml:space="preserve">                  </w:t>
      </w:r>
      <w:r w:rsidRPr="0081060F">
        <w:rPr>
          <w:rFonts w:eastAsia="Times New Roman"/>
          <w:strike w:val="0"/>
        </w:rPr>
        <w:t>0.094</w:t>
      </w:r>
    </w:p>
    <w:p w14:paraId="5DB21666" w14:textId="0A209BE7" w:rsidR="00B46E5F" w:rsidRPr="00885224" w:rsidRDefault="0081060F" w:rsidP="0018426B">
      <w:pPr>
        <w:spacing w:before="100" w:beforeAutospacing="1" w:after="100" w:afterAutospacing="1" w:line="240" w:lineRule="auto"/>
        <w:rPr>
          <w:rFonts w:eastAsia="Times New Roman"/>
          <w:strike w:val="0"/>
        </w:rPr>
      </w:pPr>
      <w:r w:rsidRPr="0081060F">
        <w:rPr>
          <w:rFonts w:eastAsia="Times New Roman"/>
          <w:strike w:val="0"/>
        </w:rPr>
        <w:lastRenderedPageBreak/>
        <w:t>Rural × High income (ref: rural × low income)</w:t>
      </w:r>
      <w:r w:rsidRPr="0081060F">
        <w:rPr>
          <w:rFonts w:eastAsia="Times New Roman"/>
          <w:strike w:val="0"/>
        </w:rPr>
        <w:tab/>
      </w:r>
      <w:r>
        <w:rPr>
          <w:rFonts w:eastAsia="Times New Roman"/>
          <w:strike w:val="0"/>
        </w:rPr>
        <w:t xml:space="preserve">         </w:t>
      </w:r>
      <w:r w:rsidRPr="0081060F">
        <w:rPr>
          <w:rFonts w:eastAsia="Times New Roman"/>
          <w:strike w:val="0"/>
        </w:rPr>
        <w:t>2.31 (1.26–4.23)</w:t>
      </w:r>
      <w:r w:rsidRPr="0081060F">
        <w:rPr>
          <w:rFonts w:eastAsia="Times New Roman"/>
          <w:strike w:val="0"/>
        </w:rPr>
        <w:tab/>
      </w:r>
      <w:r>
        <w:rPr>
          <w:rFonts w:eastAsia="Times New Roman"/>
          <w:strike w:val="0"/>
        </w:rPr>
        <w:t xml:space="preserve">                  </w:t>
      </w:r>
      <w:r w:rsidRPr="0081060F">
        <w:rPr>
          <w:rFonts w:eastAsia="Times New Roman"/>
          <w:strike w:val="0"/>
        </w:rPr>
        <w:t>0.007</w:t>
      </w:r>
    </w:p>
    <w:p w14:paraId="226759DF" w14:textId="52F68992" w:rsidR="00940B35" w:rsidRPr="00940B35" w:rsidRDefault="00940B35" w:rsidP="0018426B">
      <w:pPr>
        <w:spacing w:before="100" w:beforeAutospacing="1" w:after="100" w:afterAutospacing="1" w:line="240" w:lineRule="auto"/>
        <w:rPr>
          <w:rFonts w:eastAsia="Times New Roman"/>
          <w:strike w:val="0"/>
        </w:rPr>
      </w:pPr>
      <w:r w:rsidRPr="0018426B">
        <w:rPr>
          <w:rFonts w:eastAsia="Times New Roman"/>
          <w:b/>
          <w:bCs/>
          <w:strike w:val="0"/>
        </w:rPr>
        <w:t>Sensitivity Analysis</w:t>
      </w:r>
      <w:r w:rsidR="00B46E5F">
        <w:rPr>
          <w:rFonts w:eastAsia="Times New Roman"/>
          <w:b/>
          <w:bCs/>
          <w:strike w:val="0"/>
        </w:rPr>
        <w:t xml:space="preserve"> - </w:t>
      </w:r>
      <w:r w:rsidRPr="0018426B">
        <w:rPr>
          <w:rFonts w:eastAsia="Times New Roman"/>
          <w:b/>
          <w:bCs/>
          <w:strike w:val="0"/>
        </w:rPr>
        <w:t>Comparison of Original and Outlier</w:t>
      </w:r>
      <w:r w:rsidRPr="0018426B">
        <w:rPr>
          <w:rFonts w:eastAsia="Times New Roman"/>
          <w:b/>
          <w:bCs/>
          <w:strike w:val="0"/>
        </w:rPr>
        <w:noBreakHyphen/>
        <w:t>Excluded Models</w:t>
      </w:r>
    </w:p>
    <w:p w14:paraId="4DB184CD" w14:textId="141236C7" w:rsidR="00C2571E" w:rsidRPr="00B46E5F" w:rsidRDefault="00940B35" w:rsidP="0018426B">
      <w:pPr>
        <w:spacing w:before="100" w:beforeAutospacing="1" w:after="100" w:afterAutospacing="1" w:line="240" w:lineRule="auto"/>
        <w:rPr>
          <w:rFonts w:eastAsia="Times New Roman"/>
          <w:strike w:val="0"/>
        </w:rPr>
      </w:pPr>
      <w:r w:rsidRPr="00940B35">
        <w:rPr>
          <w:rFonts w:eastAsia="Times New Roman"/>
          <w:strike w:val="0"/>
        </w:rPr>
        <w:t>A sensitivity analysis was performed by excluding extreme outliers and re</w:t>
      </w:r>
      <w:r w:rsidRPr="00940B35">
        <w:rPr>
          <w:rFonts w:eastAsia="Times New Roman"/>
          <w:strike w:val="0"/>
        </w:rPr>
        <w:noBreakHyphen/>
        <w:t>running the multivariable logistic regression. The adjusted odds ratios for urban residence, tertiary education, and knowledge of maternal health services remained stable compared to the original model, confirming the robustness of the primary findings</w:t>
      </w:r>
      <w:r>
        <w:rPr>
          <w:rFonts w:eastAsia="Times New Roman"/>
          <w:strike w:val="0"/>
        </w:rPr>
        <w:t xml:space="preserve"> (Table 7)</w:t>
      </w:r>
      <w:r w:rsidRPr="00940B35">
        <w:rPr>
          <w:rFonts w:eastAsia="Times New Roman"/>
          <w:strike w:val="0"/>
        </w:rPr>
        <w:t>.</w:t>
      </w:r>
    </w:p>
    <w:tbl>
      <w:tblPr>
        <w:tblW w:w="12492" w:type="dxa"/>
        <w:tblCellMar>
          <w:top w:w="15" w:type="dxa"/>
          <w:left w:w="15" w:type="dxa"/>
          <w:bottom w:w="15" w:type="dxa"/>
          <w:right w:w="15" w:type="dxa"/>
        </w:tblCellMar>
        <w:tblLook w:val="04A0" w:firstRow="1" w:lastRow="0" w:firstColumn="1" w:lastColumn="0" w:noHBand="0" w:noVBand="1"/>
      </w:tblPr>
      <w:tblGrid>
        <w:gridCol w:w="11730"/>
        <w:gridCol w:w="506"/>
        <w:gridCol w:w="256"/>
      </w:tblGrid>
      <w:tr w:rsidR="0018426B" w:rsidRPr="0018426B" w14:paraId="366F429A" w14:textId="77777777" w:rsidTr="009E02EA">
        <w:tc>
          <w:tcPr>
            <w:tcW w:w="0" w:type="auto"/>
            <w:tcMar>
              <w:top w:w="150" w:type="dxa"/>
              <w:left w:w="0" w:type="dxa"/>
              <w:bottom w:w="150" w:type="dxa"/>
              <w:right w:w="240" w:type="dxa"/>
            </w:tcMar>
            <w:vAlign w:val="center"/>
          </w:tcPr>
          <w:p w14:paraId="21423CBF" w14:textId="129F0F0E" w:rsidR="00C2571E" w:rsidRPr="00B46E5F" w:rsidRDefault="00C2571E" w:rsidP="00C2571E">
            <w:pPr>
              <w:spacing w:before="100" w:beforeAutospacing="1" w:after="100" w:afterAutospacing="1" w:line="240" w:lineRule="auto"/>
              <w:rPr>
                <w:rFonts w:eastAsia="Times New Roman"/>
                <w:b/>
                <w:bCs/>
                <w:strike w:val="0"/>
              </w:rPr>
            </w:pPr>
            <w:r w:rsidRPr="00B46E5F">
              <w:rPr>
                <w:rFonts w:eastAsia="Times New Roman"/>
                <w:b/>
                <w:bCs/>
                <w:strike w:val="0"/>
              </w:rPr>
              <w:t>Table 7: Sensitivity Analysis</w:t>
            </w:r>
            <w:r w:rsidR="00B46E5F">
              <w:rPr>
                <w:rFonts w:eastAsia="Times New Roman"/>
                <w:b/>
                <w:bCs/>
                <w:strike w:val="0"/>
              </w:rPr>
              <w:t xml:space="preserve"> - </w:t>
            </w:r>
            <w:r w:rsidRPr="00B46E5F">
              <w:rPr>
                <w:rFonts w:eastAsia="Times New Roman"/>
                <w:b/>
                <w:bCs/>
                <w:strike w:val="0"/>
              </w:rPr>
              <w:t>Comparison of Original and Outlier‑Excluded Models</w:t>
            </w:r>
          </w:p>
          <w:p w14:paraId="052128D5" w14:textId="5060D22E"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Predictor</w:t>
            </w:r>
            <w:r w:rsidRPr="00C2571E">
              <w:rPr>
                <w:rFonts w:eastAsia="Times New Roman"/>
                <w:strike w:val="0"/>
              </w:rPr>
              <w:tab/>
            </w:r>
            <w:r>
              <w:rPr>
                <w:rFonts w:eastAsia="Times New Roman"/>
                <w:strike w:val="0"/>
              </w:rPr>
              <w:t xml:space="preserve">                        </w:t>
            </w:r>
            <w:r w:rsidRPr="00C2571E">
              <w:rPr>
                <w:rFonts w:eastAsia="Times New Roman"/>
                <w:strike w:val="0"/>
              </w:rPr>
              <w:t>Original AOR (95% CI)</w:t>
            </w:r>
            <w:r w:rsidRPr="00C2571E">
              <w:rPr>
                <w:rFonts w:eastAsia="Times New Roman"/>
                <w:strike w:val="0"/>
              </w:rPr>
              <w:tab/>
            </w:r>
            <w:r>
              <w:rPr>
                <w:rFonts w:eastAsia="Times New Roman"/>
                <w:strike w:val="0"/>
              </w:rPr>
              <w:t xml:space="preserve">                 </w:t>
            </w:r>
            <w:r w:rsidRPr="00C2571E">
              <w:rPr>
                <w:rFonts w:eastAsia="Times New Roman"/>
                <w:strike w:val="0"/>
              </w:rPr>
              <w:t>Sensitivity* AOR (95% CI)</w:t>
            </w:r>
          </w:p>
          <w:p w14:paraId="642824C1" w14:textId="13F18F82"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Urban residence</w:t>
            </w:r>
            <w:r w:rsidRPr="00C2571E">
              <w:rPr>
                <w:rFonts w:eastAsia="Times New Roman"/>
                <w:strike w:val="0"/>
              </w:rPr>
              <w:tab/>
            </w:r>
            <w:r>
              <w:rPr>
                <w:rFonts w:eastAsia="Times New Roman"/>
                <w:strike w:val="0"/>
              </w:rPr>
              <w:t xml:space="preserve">                    </w:t>
            </w:r>
            <w:r w:rsidRPr="00C2571E">
              <w:rPr>
                <w:rFonts w:eastAsia="Times New Roman"/>
                <w:strike w:val="0"/>
              </w:rPr>
              <w:t>2.14 (1.42–3.21)</w:t>
            </w:r>
            <w:r w:rsidRPr="00C2571E">
              <w:rPr>
                <w:rFonts w:eastAsia="Times New Roman"/>
                <w:strike w:val="0"/>
              </w:rPr>
              <w:tab/>
            </w:r>
            <w:r>
              <w:rPr>
                <w:rFonts w:eastAsia="Times New Roman"/>
                <w:strike w:val="0"/>
              </w:rPr>
              <w:t xml:space="preserve">                                   </w:t>
            </w:r>
            <w:r w:rsidRPr="00C2571E">
              <w:rPr>
                <w:rFonts w:eastAsia="Times New Roman"/>
                <w:strike w:val="0"/>
              </w:rPr>
              <w:t>2.09 (1.38–3.16)</w:t>
            </w:r>
          </w:p>
          <w:p w14:paraId="7316F4D9" w14:textId="12A79BFB"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Tertiary education</w:t>
            </w:r>
            <w:r w:rsidRPr="00C2571E">
              <w:rPr>
                <w:rFonts w:eastAsia="Times New Roman"/>
                <w:strike w:val="0"/>
              </w:rPr>
              <w:tab/>
            </w:r>
            <w:r>
              <w:rPr>
                <w:rFonts w:eastAsia="Times New Roman"/>
                <w:strike w:val="0"/>
              </w:rPr>
              <w:t xml:space="preserve">                    </w:t>
            </w:r>
            <w:r w:rsidRPr="00C2571E">
              <w:rPr>
                <w:rFonts w:eastAsia="Times New Roman"/>
                <w:strike w:val="0"/>
              </w:rPr>
              <w:t>2.67 (1.71–4.18)</w:t>
            </w:r>
            <w:r w:rsidRPr="00C2571E">
              <w:rPr>
                <w:rFonts w:eastAsia="Times New Roman"/>
                <w:strike w:val="0"/>
              </w:rPr>
              <w:tab/>
            </w:r>
            <w:r>
              <w:rPr>
                <w:rFonts w:eastAsia="Times New Roman"/>
                <w:strike w:val="0"/>
              </w:rPr>
              <w:t xml:space="preserve">                                    </w:t>
            </w:r>
            <w:r w:rsidRPr="00C2571E">
              <w:rPr>
                <w:rFonts w:eastAsia="Times New Roman"/>
                <w:strike w:val="0"/>
              </w:rPr>
              <w:t>2.58 (1.64–4.06)</w:t>
            </w:r>
          </w:p>
          <w:p w14:paraId="52BC28E2" w14:textId="4D5553FB"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High income</w:t>
            </w:r>
            <w:r w:rsidRPr="00C2571E">
              <w:rPr>
                <w:rFonts w:eastAsia="Times New Roman"/>
                <w:strike w:val="0"/>
              </w:rPr>
              <w:tab/>
            </w:r>
            <w:r>
              <w:rPr>
                <w:rFonts w:eastAsia="Times New Roman"/>
                <w:strike w:val="0"/>
              </w:rPr>
              <w:t xml:space="preserve">                                 </w:t>
            </w:r>
            <w:r w:rsidRPr="00C2571E">
              <w:rPr>
                <w:rFonts w:eastAsia="Times New Roman"/>
                <w:strike w:val="0"/>
              </w:rPr>
              <w:t>1.89 (1.22–2.94)</w:t>
            </w:r>
            <w:r w:rsidRPr="00C2571E">
              <w:rPr>
                <w:rFonts w:eastAsia="Times New Roman"/>
                <w:strike w:val="0"/>
              </w:rPr>
              <w:tab/>
            </w:r>
            <w:r>
              <w:rPr>
                <w:rFonts w:eastAsia="Times New Roman"/>
                <w:strike w:val="0"/>
              </w:rPr>
              <w:t xml:space="preserve">                                                    </w:t>
            </w:r>
            <w:r w:rsidRPr="00C2571E">
              <w:rPr>
                <w:rFonts w:eastAsia="Times New Roman"/>
                <w:strike w:val="0"/>
              </w:rPr>
              <w:t>–</w:t>
            </w:r>
          </w:p>
          <w:p w14:paraId="17795047" w14:textId="49A08A0A" w:rsidR="00C2571E" w:rsidRPr="00C2571E" w:rsidRDefault="00C2571E" w:rsidP="00C2571E">
            <w:pPr>
              <w:spacing w:before="100" w:beforeAutospacing="1" w:after="100" w:afterAutospacing="1" w:line="240" w:lineRule="auto"/>
              <w:rPr>
                <w:rFonts w:eastAsia="Times New Roman"/>
                <w:strike w:val="0"/>
              </w:rPr>
            </w:pPr>
            <w:r w:rsidRPr="00C2571E">
              <w:rPr>
                <w:rFonts w:eastAsia="Times New Roman"/>
                <w:strike w:val="0"/>
              </w:rPr>
              <w:t>Knowledge</w:t>
            </w:r>
            <w:r w:rsidRPr="00C2571E">
              <w:rPr>
                <w:rFonts w:eastAsia="Times New Roman"/>
                <w:strike w:val="0"/>
              </w:rPr>
              <w:tab/>
            </w:r>
            <w:r>
              <w:rPr>
                <w:rFonts w:eastAsia="Times New Roman"/>
                <w:strike w:val="0"/>
              </w:rPr>
              <w:t xml:space="preserve">                                  </w:t>
            </w:r>
            <w:r w:rsidRPr="00C2571E">
              <w:rPr>
                <w:rFonts w:eastAsia="Times New Roman"/>
                <w:strike w:val="0"/>
              </w:rPr>
              <w:t>3.05 (1.98–4.71)</w:t>
            </w:r>
            <w:r w:rsidRPr="00C2571E">
              <w:rPr>
                <w:rFonts w:eastAsia="Times New Roman"/>
                <w:strike w:val="0"/>
              </w:rPr>
              <w:tab/>
            </w:r>
            <w:r>
              <w:rPr>
                <w:rFonts w:eastAsia="Times New Roman"/>
                <w:strike w:val="0"/>
              </w:rPr>
              <w:t xml:space="preserve">                                                             </w:t>
            </w:r>
            <w:r w:rsidRPr="00C2571E">
              <w:rPr>
                <w:rFonts w:eastAsia="Times New Roman"/>
                <w:strike w:val="0"/>
              </w:rPr>
              <w:t>2.98 (1.91–4.65)</w:t>
            </w:r>
          </w:p>
          <w:p w14:paraId="541F0F82" w14:textId="77777777" w:rsidR="00C2571E" w:rsidRDefault="00C2571E" w:rsidP="00C2571E">
            <w:pPr>
              <w:spacing w:before="100" w:beforeAutospacing="1" w:after="100" w:afterAutospacing="1" w:line="240" w:lineRule="auto"/>
              <w:rPr>
                <w:rFonts w:eastAsia="Times New Roman"/>
                <w:i/>
                <w:iCs/>
                <w:strike w:val="0"/>
              </w:rPr>
            </w:pPr>
            <w:r w:rsidRPr="00C2571E">
              <w:rPr>
                <w:rFonts w:eastAsia="Times New Roman"/>
                <w:i/>
                <w:iCs/>
                <w:strike w:val="0"/>
              </w:rPr>
              <w:t>*Excluded 15 extreme outliers (3.3% of sample). High income not reported in sensitivity analysis.</w:t>
            </w:r>
          </w:p>
          <w:p w14:paraId="1D1943A6" w14:textId="1A01DA44" w:rsidR="0018426B" w:rsidRPr="0018426B" w:rsidRDefault="00C2571E" w:rsidP="00C2571E">
            <w:pPr>
              <w:spacing w:before="100" w:beforeAutospacing="1" w:after="100" w:afterAutospacing="1" w:line="240" w:lineRule="auto"/>
              <w:rPr>
                <w:rFonts w:eastAsia="Times New Roman"/>
                <w:strike w:val="0"/>
              </w:rPr>
            </w:pPr>
            <w:r w:rsidRPr="00C2571E">
              <w:rPr>
                <w:rFonts w:eastAsia="Times New Roman"/>
                <w:i/>
                <w:iCs/>
                <w:strike w:val="0"/>
              </w:rPr>
              <w:t xml:space="preserve"> All confidence intervals are at the 95% level</w:t>
            </w:r>
            <w:r w:rsidRPr="00C2571E">
              <w:rPr>
                <w:rFonts w:eastAsia="Times New Roman"/>
                <w:strike w:val="0"/>
              </w:rPr>
              <w:t>.</w:t>
            </w:r>
          </w:p>
        </w:tc>
        <w:tc>
          <w:tcPr>
            <w:tcW w:w="0" w:type="auto"/>
            <w:tcMar>
              <w:top w:w="150" w:type="dxa"/>
              <w:left w:w="240" w:type="dxa"/>
              <w:bottom w:w="150" w:type="dxa"/>
              <w:right w:w="240" w:type="dxa"/>
            </w:tcMar>
            <w:vAlign w:val="center"/>
          </w:tcPr>
          <w:p w14:paraId="6D450048" w14:textId="49C40508" w:rsidR="0018426B" w:rsidRPr="0018426B" w:rsidRDefault="0018426B" w:rsidP="0018426B">
            <w:pPr>
              <w:spacing w:before="100" w:beforeAutospacing="1" w:after="100" w:afterAutospacing="1" w:line="240" w:lineRule="auto"/>
              <w:rPr>
                <w:rFonts w:eastAsia="Times New Roman"/>
                <w:strike w:val="0"/>
              </w:rPr>
            </w:pPr>
          </w:p>
        </w:tc>
        <w:tc>
          <w:tcPr>
            <w:tcW w:w="0" w:type="auto"/>
            <w:tcMar>
              <w:top w:w="150" w:type="dxa"/>
              <w:left w:w="240" w:type="dxa"/>
              <w:bottom w:w="150" w:type="dxa"/>
              <w:right w:w="0" w:type="dxa"/>
            </w:tcMar>
            <w:vAlign w:val="center"/>
          </w:tcPr>
          <w:p w14:paraId="0B28C737" w14:textId="08AF57B2" w:rsidR="0018426B" w:rsidRPr="0018426B" w:rsidRDefault="0018426B" w:rsidP="0018426B">
            <w:pPr>
              <w:spacing w:before="100" w:beforeAutospacing="1" w:after="100" w:afterAutospacing="1" w:line="240" w:lineRule="auto"/>
              <w:rPr>
                <w:rFonts w:eastAsia="Times New Roman"/>
                <w:strike w:val="0"/>
              </w:rPr>
            </w:pPr>
          </w:p>
        </w:tc>
      </w:tr>
    </w:tbl>
    <w:p w14:paraId="0A75EC3C" w14:textId="202E97F6" w:rsidR="007953CE" w:rsidRPr="007953CE" w:rsidRDefault="00E16B5A" w:rsidP="007953CE">
      <w:pPr>
        <w:spacing w:before="100" w:beforeAutospacing="1" w:after="100" w:afterAutospacing="1" w:line="240" w:lineRule="auto"/>
        <w:rPr>
          <w:rFonts w:eastAsia="Times New Roman"/>
          <w:b/>
          <w:bCs/>
          <w:strike w:val="0"/>
        </w:rPr>
      </w:pPr>
      <w:r>
        <w:rPr>
          <w:rFonts w:eastAsia="Times New Roman"/>
          <w:b/>
          <w:bCs/>
          <w:strike w:val="0"/>
        </w:rPr>
        <w:t xml:space="preserve">4. </w:t>
      </w:r>
      <w:r w:rsidR="007953CE" w:rsidRPr="007953CE">
        <w:rPr>
          <w:rFonts w:eastAsia="Times New Roman"/>
          <w:b/>
          <w:bCs/>
          <w:strike w:val="0"/>
        </w:rPr>
        <w:t>Discussion</w:t>
      </w:r>
    </w:p>
    <w:p w14:paraId="6E53F0A0" w14:textId="7A3256E6" w:rsidR="000F4129" w:rsidRPr="000F4129" w:rsidRDefault="000F4129" w:rsidP="000F4129">
      <w:pPr>
        <w:spacing w:before="100" w:beforeAutospacing="1" w:after="100" w:afterAutospacing="1" w:line="240" w:lineRule="auto"/>
        <w:rPr>
          <w:rFonts w:eastAsia="Times New Roman"/>
          <w:strike w:val="0"/>
        </w:rPr>
      </w:pPr>
      <w:r w:rsidRPr="000F4129">
        <w:rPr>
          <w:rFonts w:eastAsia="Times New Roman"/>
          <w:strike w:val="0"/>
        </w:rPr>
        <w:t xml:space="preserve">The findings of this study provide a comprehensive assessment of male involvement in birth preparedness and childhood immunization within Rivers State, </w:t>
      </w:r>
      <w:r w:rsidR="002E7819">
        <w:rPr>
          <w:rFonts w:eastAsia="Times New Roman"/>
          <w:strike w:val="0"/>
        </w:rPr>
        <w:t xml:space="preserve">Nigeria, </w:t>
      </w:r>
      <w:r w:rsidRPr="000F4129">
        <w:rPr>
          <w:rFonts w:eastAsia="Times New Roman"/>
          <w:strike w:val="0"/>
        </w:rPr>
        <w:t xml:space="preserve">revealing a </w:t>
      </w:r>
      <w:r w:rsidR="00E627F2">
        <w:rPr>
          <w:rFonts w:eastAsia="Times New Roman"/>
          <w:strike w:val="0"/>
        </w:rPr>
        <w:t xml:space="preserve">marked difference </w:t>
      </w:r>
      <w:r w:rsidRPr="000F4129">
        <w:rPr>
          <w:rFonts w:eastAsia="Times New Roman"/>
          <w:strike w:val="0"/>
        </w:rPr>
        <w:t xml:space="preserve">between urban and rural settings. By </w:t>
      </w:r>
      <w:r w:rsidR="00E627F2">
        <w:rPr>
          <w:rFonts w:eastAsia="Times New Roman"/>
          <w:strike w:val="0"/>
        </w:rPr>
        <w:t>assessing</w:t>
      </w:r>
      <w:r w:rsidRPr="000F4129">
        <w:rPr>
          <w:rFonts w:eastAsia="Times New Roman"/>
          <w:strike w:val="0"/>
        </w:rPr>
        <w:t xml:space="preserve"> the participation of men in Port Harcourt and </w:t>
      </w:r>
      <w:proofErr w:type="spellStart"/>
      <w:r w:rsidR="00E627F2">
        <w:rPr>
          <w:rFonts w:eastAsia="Times New Roman"/>
          <w:strike w:val="0"/>
        </w:rPr>
        <w:t>Oyigbo</w:t>
      </w:r>
      <w:proofErr w:type="spellEnd"/>
      <w:r w:rsidRPr="000F4129">
        <w:rPr>
          <w:rFonts w:eastAsia="Times New Roman"/>
          <w:strike w:val="0"/>
        </w:rPr>
        <w:t xml:space="preserve">, this </w:t>
      </w:r>
      <w:r w:rsidR="00E627F2">
        <w:rPr>
          <w:rFonts w:eastAsia="Times New Roman"/>
          <w:strike w:val="0"/>
        </w:rPr>
        <w:t>study</w:t>
      </w:r>
      <w:r w:rsidRPr="000F4129">
        <w:rPr>
          <w:rFonts w:eastAsia="Times New Roman"/>
          <w:strike w:val="0"/>
        </w:rPr>
        <w:t xml:space="preserve"> highlights the multifaceted barriers</w:t>
      </w:r>
      <w:r w:rsidR="00E627F2">
        <w:rPr>
          <w:rFonts w:eastAsia="Times New Roman"/>
          <w:strike w:val="0"/>
        </w:rPr>
        <w:t xml:space="preserve">, </w:t>
      </w:r>
      <w:r w:rsidRPr="000F4129">
        <w:rPr>
          <w:rFonts w:eastAsia="Times New Roman"/>
          <w:strike w:val="0"/>
        </w:rPr>
        <w:t>ranging from cognitive and economic to structural and cultural</w:t>
      </w:r>
      <w:r w:rsidR="00E627F2">
        <w:rPr>
          <w:rFonts w:eastAsia="Times New Roman"/>
          <w:strike w:val="0"/>
        </w:rPr>
        <w:t xml:space="preserve">, </w:t>
      </w:r>
      <w:r w:rsidRPr="000F4129">
        <w:rPr>
          <w:rFonts w:eastAsia="Times New Roman"/>
          <w:strike w:val="0"/>
        </w:rPr>
        <w:t>that shape maternal and child health (MCH) outcomes in</w:t>
      </w:r>
      <w:r w:rsidR="00E627F2">
        <w:rPr>
          <w:rFonts w:eastAsia="Times New Roman"/>
          <w:strike w:val="0"/>
        </w:rPr>
        <w:t xml:space="preserve"> Rivers State</w:t>
      </w:r>
      <w:r w:rsidRPr="000F4129">
        <w:rPr>
          <w:rFonts w:eastAsia="Times New Roman"/>
          <w:strike w:val="0"/>
        </w:rPr>
        <w:t xml:space="preserve">. </w:t>
      </w:r>
      <w:r w:rsidR="00972107" w:rsidRPr="00972107">
        <w:rPr>
          <w:rFonts w:eastAsia="Times New Roman"/>
          <w:strike w:val="0"/>
        </w:rPr>
        <w:t>The logistic regression model performed well, with a Hosmer</w:t>
      </w:r>
      <w:r w:rsidR="00972107" w:rsidRPr="00972107">
        <w:rPr>
          <w:rFonts w:eastAsia="Times New Roman"/>
          <w:strike w:val="0"/>
        </w:rPr>
        <w:noBreakHyphen/>
        <w:t>Lemeshow goodness</w:t>
      </w:r>
      <w:r w:rsidR="00972107" w:rsidRPr="00972107">
        <w:rPr>
          <w:rFonts w:eastAsia="Times New Roman"/>
          <w:strike w:val="0"/>
        </w:rPr>
        <w:noBreakHyphen/>
        <w:t>of</w:t>
      </w:r>
      <w:r w:rsidR="00972107" w:rsidRPr="00972107">
        <w:rPr>
          <w:rFonts w:eastAsia="Times New Roman"/>
          <w:strike w:val="0"/>
        </w:rPr>
        <w:noBreakHyphen/>
        <w:t>fit test indicating good fit (p = 0.412) and discriminatory accuracy (AUC = 0.78) exceeding the acceptable threshold, supporting the reliability of the predictors identified. Furthermore, a sensitivity analysis excluding extreme outliers yielded virtually identical adjusted odds ratios (e.g., urban residence AOR 2.09 v</w:t>
      </w:r>
      <w:r w:rsidR="009B66C9">
        <w:rPr>
          <w:rFonts w:eastAsia="Times New Roman"/>
          <w:strike w:val="0"/>
        </w:rPr>
        <w:t>ersus</w:t>
      </w:r>
      <w:r w:rsidR="00972107" w:rsidRPr="00972107">
        <w:rPr>
          <w:rFonts w:eastAsia="Times New Roman"/>
          <w:strike w:val="0"/>
        </w:rPr>
        <w:t xml:space="preserve"> 2.14; knowledge AOR 2.98 v</w:t>
      </w:r>
      <w:r w:rsidR="009B66C9">
        <w:rPr>
          <w:rFonts w:eastAsia="Times New Roman"/>
          <w:strike w:val="0"/>
        </w:rPr>
        <w:t>ersus</w:t>
      </w:r>
      <w:r w:rsidR="00972107" w:rsidRPr="00972107">
        <w:rPr>
          <w:rFonts w:eastAsia="Times New Roman"/>
          <w:strike w:val="0"/>
        </w:rPr>
        <w:t xml:space="preserve"> 3.05), confirming the robustness of the primary findings.</w:t>
      </w:r>
      <w:r w:rsidR="00972107">
        <w:rPr>
          <w:rFonts w:eastAsia="Times New Roman"/>
          <w:strike w:val="0"/>
        </w:rPr>
        <w:t xml:space="preserve"> </w:t>
      </w:r>
      <w:r w:rsidRPr="000F4129">
        <w:rPr>
          <w:rFonts w:eastAsia="Times New Roman"/>
          <w:strike w:val="0"/>
        </w:rPr>
        <w:t xml:space="preserve">The discussion situates these findings within the context of global, regional, and national literature, underscoring the unique socio-geographical dynamics of </w:t>
      </w:r>
      <w:r w:rsidR="00E627F2">
        <w:rPr>
          <w:rFonts w:eastAsia="Times New Roman"/>
          <w:strike w:val="0"/>
        </w:rPr>
        <w:t>Rivers State.</w:t>
      </w:r>
      <w:r w:rsidRPr="000F4129">
        <w:rPr>
          <w:rFonts w:eastAsia="Times New Roman"/>
          <w:strike w:val="0"/>
        </w:rPr>
        <w:t xml:space="preserve"> </w:t>
      </w:r>
    </w:p>
    <w:p w14:paraId="25431114" w14:textId="77777777"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The Urban-Rural Divide in Male Involvement</w:t>
      </w:r>
    </w:p>
    <w:p w14:paraId="18F2F5EC" w14:textId="48BA0B94" w:rsidR="000F4129" w:rsidRPr="000F4129" w:rsidRDefault="000F4129" w:rsidP="000F4129">
      <w:pPr>
        <w:spacing w:before="100" w:beforeAutospacing="1" w:after="100" w:afterAutospacing="1" w:line="240" w:lineRule="auto"/>
        <w:rPr>
          <w:rFonts w:eastAsia="Times New Roman"/>
          <w:strike w:val="0"/>
        </w:rPr>
      </w:pPr>
      <w:r w:rsidRPr="000F4129">
        <w:rPr>
          <w:rFonts w:eastAsia="Times New Roman"/>
          <w:strike w:val="0"/>
        </w:rPr>
        <w:t>The primary finding of this study is the significant disparity in male involvement levels based on residential setting.</w:t>
      </w:r>
      <w:r w:rsidR="002E7819">
        <w:rPr>
          <w:rFonts w:eastAsia="Times New Roman"/>
          <w:strike w:val="0"/>
        </w:rPr>
        <w:t xml:space="preserve"> F</w:t>
      </w:r>
      <w:r w:rsidRPr="000F4129">
        <w:rPr>
          <w:rFonts w:eastAsia="Times New Roman"/>
          <w:strike w:val="0"/>
        </w:rPr>
        <w:t>athers in Port Harcourt demonstrated a higher level of involvement in both birth preparedness and complication readiness (60.9%) and childhood immunization (57.3%) compared to their counterparts in</w:t>
      </w:r>
      <w:r w:rsidR="00E627F2">
        <w:rPr>
          <w:rFonts w:eastAsia="Times New Roman"/>
          <w:strike w:val="0"/>
        </w:rPr>
        <w:t xml:space="preserve"> </w:t>
      </w:r>
      <w:proofErr w:type="spellStart"/>
      <w:r w:rsidR="00E627F2">
        <w:rPr>
          <w:rFonts w:eastAsia="Times New Roman"/>
          <w:strike w:val="0"/>
        </w:rPr>
        <w:t>Oyigbo</w:t>
      </w:r>
      <w:proofErr w:type="spellEnd"/>
      <w:r w:rsidRPr="000F4129">
        <w:rPr>
          <w:rFonts w:eastAsia="Times New Roman"/>
          <w:strike w:val="0"/>
        </w:rPr>
        <w:t xml:space="preserve"> (43.8% and 40.4%</w:t>
      </w:r>
      <w:r w:rsidR="00E627F2">
        <w:rPr>
          <w:rFonts w:eastAsia="Times New Roman"/>
          <w:strike w:val="0"/>
        </w:rPr>
        <w:t>,</w:t>
      </w:r>
      <w:r w:rsidRPr="000F4129">
        <w:rPr>
          <w:rFonts w:eastAsia="Times New Roman"/>
          <w:strike w:val="0"/>
        </w:rPr>
        <w:t xml:space="preserve"> respectively). This finding aligns with global observations in low- and middle-income countries (LMICs) where urban residence is a consistent predictor of better maternal health service utilization </w:t>
      </w:r>
      <w:r w:rsidRPr="000F4129">
        <w:rPr>
          <w:rFonts w:eastAsia="Times New Roman"/>
          <w:strike w:val="0"/>
        </w:rPr>
        <w:lastRenderedPageBreak/>
        <w:t>(</w:t>
      </w:r>
      <w:r w:rsidR="00AF4C53" w:rsidRPr="00AF4C53">
        <w:rPr>
          <w:rFonts w:eastAsia="Times New Roman"/>
          <w:strike w:val="0"/>
        </w:rPr>
        <w:t>Suryawanshi</w:t>
      </w:r>
      <w:r w:rsidR="00AF4C53">
        <w:rPr>
          <w:rFonts w:eastAsia="Times New Roman"/>
          <w:strike w:val="0"/>
          <w:lang w:val="en-GB"/>
        </w:rPr>
        <w:t xml:space="preserve"> et al., 2021</w:t>
      </w:r>
      <w:r w:rsidRPr="000F4129">
        <w:rPr>
          <w:rFonts w:eastAsia="Times New Roman"/>
          <w:strike w:val="0"/>
        </w:rPr>
        <w:t>). Regionally, the 60.9% urban involvement rate mirrors findings from Ethiopia, where 55% of husbands in urban centers were found to be well-prepared for birth (Tadesse et al., 2018).</w:t>
      </w:r>
    </w:p>
    <w:p w14:paraId="3BD1276A" w14:textId="1AA6DC8C" w:rsidR="000F4129" w:rsidRPr="000F4129" w:rsidRDefault="000F4129" w:rsidP="000F4129">
      <w:pPr>
        <w:spacing w:before="100" w:beforeAutospacing="1" w:after="100" w:afterAutospacing="1" w:line="240" w:lineRule="auto"/>
        <w:rPr>
          <w:rFonts w:eastAsia="Times New Roman"/>
          <w:strike w:val="0"/>
        </w:rPr>
      </w:pPr>
      <w:r w:rsidRPr="000F4129">
        <w:rPr>
          <w:rFonts w:eastAsia="Times New Roman"/>
          <w:strike w:val="0"/>
        </w:rPr>
        <w:t xml:space="preserve">However, the rural involvement rate of 43.8% reflects a persistent challenge across sub-Saharan Africa. This finding is consistent with research in Tanzania and Malawi, where men </w:t>
      </w:r>
      <w:r w:rsidR="002E7819">
        <w:rPr>
          <w:rFonts w:eastAsia="Times New Roman"/>
          <w:strike w:val="0"/>
        </w:rPr>
        <w:t xml:space="preserve">in rural areas </w:t>
      </w:r>
      <w:r w:rsidRPr="000F4129">
        <w:rPr>
          <w:rFonts w:eastAsia="Times New Roman"/>
          <w:strike w:val="0"/>
        </w:rPr>
        <w:t>often face geographic and informational isolation that precludes active participation (August et al., 201</w:t>
      </w:r>
      <w:r w:rsidR="008B0B0B">
        <w:rPr>
          <w:rFonts w:eastAsia="Times New Roman"/>
          <w:strike w:val="0"/>
          <w:lang w:val="en-GB"/>
        </w:rPr>
        <w:t>6</w:t>
      </w:r>
      <w:r w:rsidRPr="000F4129">
        <w:rPr>
          <w:rFonts w:eastAsia="Times New Roman"/>
          <w:strike w:val="0"/>
        </w:rPr>
        <w:t>). Within the Nigerian context, these results show a higher level of engagement than the national averages reported in the 2018 Nigeria Demographic and Health Survey (NDHS), which noted that male involvement remains a significant bottleneck to achieving universal health coverage (Adesina et al., 2023). Notably, there is a distinct disagreement with a study conducted in Ogun State, Southwestern Nigeria, which reported higher male involvement in rural areas due to community-based outreach programs (</w:t>
      </w:r>
      <w:r w:rsidR="001C43A3" w:rsidRPr="001C43A3">
        <w:rPr>
          <w:rFonts w:eastAsia="Times New Roman"/>
          <w:strike w:val="0"/>
        </w:rPr>
        <w:t>Adetona</w:t>
      </w:r>
      <w:r w:rsidRPr="000F4129">
        <w:rPr>
          <w:rFonts w:eastAsia="Times New Roman"/>
          <w:strike w:val="0"/>
        </w:rPr>
        <w:t xml:space="preserve"> et al., 20</w:t>
      </w:r>
      <w:r w:rsidR="001C43A3">
        <w:rPr>
          <w:rFonts w:eastAsia="Times New Roman"/>
          <w:strike w:val="0"/>
        </w:rPr>
        <w:t>24</w:t>
      </w:r>
      <w:r w:rsidRPr="000F4129">
        <w:rPr>
          <w:rFonts w:eastAsia="Times New Roman"/>
          <w:strike w:val="0"/>
        </w:rPr>
        <w:t>). This discrepancy suggests that the "rurality" of Rivers State, characterized by difficult riverine terrain and different socio-economic stressors, presents unique hurdles not found in the more accessible rural areas of the Southwest.</w:t>
      </w:r>
    </w:p>
    <w:p w14:paraId="61E1EEB0" w14:textId="3EE5F213"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Socio-Demographic Interaction: Education v</w:t>
      </w:r>
      <w:r w:rsidR="001C43A3">
        <w:rPr>
          <w:rFonts w:eastAsia="Times New Roman"/>
          <w:b/>
          <w:bCs/>
          <w:strike w:val="0"/>
        </w:rPr>
        <w:t>ersus</w:t>
      </w:r>
      <w:r w:rsidRPr="000F4129">
        <w:rPr>
          <w:rFonts w:eastAsia="Times New Roman"/>
          <w:b/>
          <w:bCs/>
          <w:strike w:val="0"/>
        </w:rPr>
        <w:t xml:space="preserve"> Income</w:t>
      </w:r>
    </w:p>
    <w:p w14:paraId="2CD043B6" w14:textId="443740F8"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One of the most significant contributions of this study is the interaction effect observed between residence and socio-economic predictors. The multivariate analysis revealed that while tertiary education was the strongest driver of involvement for</w:t>
      </w:r>
      <w:r w:rsidR="002E7819">
        <w:rPr>
          <w:rFonts w:eastAsia="Times New Roman"/>
          <w:strike w:val="0"/>
        </w:rPr>
        <w:t xml:space="preserve"> </w:t>
      </w:r>
      <w:r w:rsidRPr="00972107">
        <w:rPr>
          <w:rFonts w:eastAsia="Times New Roman"/>
          <w:strike w:val="0"/>
        </w:rPr>
        <w:t xml:space="preserve">men </w:t>
      </w:r>
      <w:r w:rsidR="002E7819">
        <w:rPr>
          <w:rFonts w:eastAsia="Times New Roman"/>
          <w:strike w:val="0"/>
        </w:rPr>
        <w:t>in urban area</w:t>
      </w:r>
      <w:r w:rsidR="00C04CD5">
        <w:rPr>
          <w:rFonts w:eastAsia="Times New Roman"/>
          <w:strike w:val="0"/>
        </w:rPr>
        <w:t>s</w:t>
      </w:r>
      <w:r w:rsidR="002E7819">
        <w:rPr>
          <w:rFonts w:eastAsia="Times New Roman"/>
          <w:strike w:val="0"/>
        </w:rPr>
        <w:t xml:space="preserve"> </w:t>
      </w:r>
      <w:r w:rsidRPr="00972107">
        <w:rPr>
          <w:rFonts w:eastAsia="Times New Roman"/>
          <w:strike w:val="0"/>
        </w:rPr>
        <w:t xml:space="preserve">(AOR 3.21), household income was a far more significant predictor for men </w:t>
      </w:r>
      <w:r w:rsidR="002E7819">
        <w:rPr>
          <w:rFonts w:eastAsia="Times New Roman"/>
          <w:strike w:val="0"/>
        </w:rPr>
        <w:t>in rural area</w:t>
      </w:r>
      <w:r w:rsidR="00C04CD5">
        <w:rPr>
          <w:rFonts w:eastAsia="Times New Roman"/>
          <w:strike w:val="0"/>
        </w:rPr>
        <w:t>s</w:t>
      </w:r>
      <w:r w:rsidR="002E7819">
        <w:rPr>
          <w:rFonts w:eastAsia="Times New Roman"/>
          <w:strike w:val="0"/>
        </w:rPr>
        <w:t xml:space="preserve"> </w:t>
      </w:r>
      <w:r w:rsidRPr="00972107">
        <w:rPr>
          <w:rFonts w:eastAsia="Times New Roman"/>
          <w:strike w:val="0"/>
        </w:rPr>
        <w:t>(AOR 2.31). This finding suggests that the barriers to male involvement are qualitatively different across settings. In Port Harcourt, education acts as a "gender-transformative" tool, allowing men to look past traditional patriarchal norms that view pregnancy as a "woman's affair." This aligns with global trends where higher education is associated with increased health literacy and a shift toward equitable domestic roles (Tokhi et al., 2018).</w:t>
      </w:r>
    </w:p>
    <w:p w14:paraId="096E1863" w14:textId="0EA8A585" w:rsidR="00972107" w:rsidRPr="00275497" w:rsidRDefault="00972107" w:rsidP="000F4129">
      <w:pPr>
        <w:spacing w:before="100" w:beforeAutospacing="1" w:after="100" w:afterAutospacing="1" w:line="240" w:lineRule="auto"/>
        <w:rPr>
          <w:rFonts w:eastAsia="Times New Roman"/>
          <w:strike w:val="0"/>
        </w:rPr>
      </w:pPr>
      <w:r w:rsidRPr="00972107">
        <w:rPr>
          <w:rFonts w:eastAsia="Times New Roman"/>
          <w:strike w:val="0"/>
        </w:rPr>
        <w:t>In contrast, the findings in Oyigbo suggest that even when men possess the desire to be involved, they are often economically marginalized. The significant association between income and involvement in rural areas reflects the "cost of participation." For</w:t>
      </w:r>
      <w:r w:rsidR="002E7819">
        <w:rPr>
          <w:rFonts w:eastAsia="Times New Roman"/>
          <w:strike w:val="0"/>
        </w:rPr>
        <w:t xml:space="preserve"> </w:t>
      </w:r>
      <w:r w:rsidRPr="00972107">
        <w:rPr>
          <w:rFonts w:eastAsia="Times New Roman"/>
          <w:strike w:val="0"/>
        </w:rPr>
        <w:t>father</w:t>
      </w:r>
      <w:r w:rsidR="003F25C7">
        <w:rPr>
          <w:rFonts w:eastAsia="Times New Roman"/>
          <w:strike w:val="0"/>
        </w:rPr>
        <w:t>s</w:t>
      </w:r>
      <w:r w:rsidR="002E7819">
        <w:rPr>
          <w:rFonts w:eastAsia="Times New Roman"/>
          <w:strike w:val="0"/>
        </w:rPr>
        <w:t xml:space="preserve"> in the rural area</w:t>
      </w:r>
      <w:r w:rsidR="003F25C7">
        <w:rPr>
          <w:rFonts w:eastAsia="Times New Roman"/>
          <w:strike w:val="0"/>
        </w:rPr>
        <w:t>s</w:t>
      </w:r>
      <w:r w:rsidRPr="00972107">
        <w:rPr>
          <w:rFonts w:eastAsia="Times New Roman"/>
          <w:strike w:val="0"/>
        </w:rPr>
        <w:t>, being involved often means sacrificing a day's wage or paying for expensive transportation</w:t>
      </w:r>
      <w:r w:rsidR="002E7819">
        <w:rPr>
          <w:rFonts w:eastAsia="Times New Roman"/>
          <w:strike w:val="0"/>
        </w:rPr>
        <w:t xml:space="preserve"> which are</w:t>
      </w:r>
      <w:r w:rsidRPr="00972107">
        <w:rPr>
          <w:rFonts w:eastAsia="Times New Roman"/>
          <w:strike w:val="0"/>
        </w:rPr>
        <w:t xml:space="preserve"> barriers that are less pronounced for urban dwellers. This finding aligns with regional studies in Mozambique and Kenya, which identified "time poverty" and financial constraints as the primary reasons men fail to accompany their wives to health facilities (Ongolly &amp; Bukachi, 2019; Sharma et al., 2018). It highlights a critical area of disagreement with policies that focus solely on "awareness" in rural areas</w:t>
      </w:r>
      <w:r w:rsidR="002E7819">
        <w:rPr>
          <w:rFonts w:eastAsia="Times New Roman"/>
          <w:strike w:val="0"/>
        </w:rPr>
        <w:t>. W</w:t>
      </w:r>
      <w:r w:rsidRPr="00972107">
        <w:rPr>
          <w:rFonts w:eastAsia="Times New Roman"/>
          <w:strike w:val="0"/>
        </w:rPr>
        <w:t>ithout addressing underlying poverty, education alone may not suffice to increase male participation</w:t>
      </w:r>
      <w:r w:rsidR="00275497">
        <w:rPr>
          <w:rFonts w:eastAsia="Times New Roman"/>
          <w:strike w:val="0"/>
        </w:rPr>
        <w:t xml:space="preserve"> in rural areas.</w:t>
      </w:r>
    </w:p>
    <w:p w14:paraId="59E5FC35" w14:textId="317C524D"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Knowledge as a Catalyst for Health-Seeking Behavior</w:t>
      </w:r>
    </w:p>
    <w:p w14:paraId="4D917B62" w14:textId="14AD3D35"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 xml:space="preserve">The study established a clear link between a man's knowledge of maternal danger signs and his level of involvement. </w:t>
      </w:r>
      <w:r w:rsidR="00275497">
        <w:rPr>
          <w:rFonts w:eastAsia="Times New Roman"/>
          <w:strike w:val="0"/>
        </w:rPr>
        <w:t>M</w:t>
      </w:r>
      <w:r w:rsidRPr="00972107">
        <w:rPr>
          <w:rFonts w:eastAsia="Times New Roman"/>
          <w:strike w:val="0"/>
        </w:rPr>
        <w:t xml:space="preserve">en </w:t>
      </w:r>
      <w:r w:rsidR="00275497">
        <w:rPr>
          <w:rFonts w:eastAsia="Times New Roman"/>
          <w:strike w:val="0"/>
        </w:rPr>
        <w:t>in urban area</w:t>
      </w:r>
      <w:r w:rsidR="003F25C7">
        <w:rPr>
          <w:rFonts w:eastAsia="Times New Roman"/>
          <w:strike w:val="0"/>
        </w:rPr>
        <w:t>s</w:t>
      </w:r>
      <w:r w:rsidR="00275497">
        <w:rPr>
          <w:rFonts w:eastAsia="Times New Roman"/>
          <w:strike w:val="0"/>
        </w:rPr>
        <w:t xml:space="preserve"> </w:t>
      </w:r>
      <w:r w:rsidRPr="00972107">
        <w:rPr>
          <w:rFonts w:eastAsia="Times New Roman"/>
          <w:strike w:val="0"/>
        </w:rPr>
        <w:t>had significantly higher knowledge scores regarding birth preparedness and immunization (61.8% knew the schedule) compared to men</w:t>
      </w:r>
      <w:r w:rsidR="00275497">
        <w:rPr>
          <w:rFonts w:eastAsia="Times New Roman"/>
          <w:strike w:val="0"/>
        </w:rPr>
        <w:t xml:space="preserve"> in rural area</w:t>
      </w:r>
      <w:r w:rsidR="003F25C7">
        <w:rPr>
          <w:rFonts w:eastAsia="Times New Roman"/>
          <w:strike w:val="0"/>
        </w:rPr>
        <w:t>s</w:t>
      </w:r>
      <w:r w:rsidRPr="00972107">
        <w:rPr>
          <w:rFonts w:eastAsia="Times New Roman"/>
          <w:strike w:val="0"/>
        </w:rPr>
        <w:t xml:space="preserve"> (38.7%). This knowledge gap is directly reflected in the lower participation rates in Oyigbo. Globally, the "Three Delays" model identifies the delay in deciding to seek care as a primary cause of maternal mortality, a decision often controlled by the male head of household (Tadesse et al., 2018). When men are knowledgeable about risks such as excessive </w:t>
      </w:r>
      <w:r w:rsidRPr="00972107">
        <w:rPr>
          <w:rFonts w:eastAsia="Times New Roman"/>
          <w:strike w:val="0"/>
        </w:rPr>
        <w:lastRenderedPageBreak/>
        <w:t>bleeding or prolonged labor, they are more likely to have a transport plan and emergency funds ready.</w:t>
      </w:r>
    </w:p>
    <w:p w14:paraId="35F710A7" w14:textId="5511C5A3" w:rsidR="00972107" w:rsidRPr="00972107" w:rsidRDefault="00972107" w:rsidP="000F4129">
      <w:pPr>
        <w:spacing w:before="100" w:beforeAutospacing="1" w:after="100" w:afterAutospacing="1" w:line="240" w:lineRule="auto"/>
        <w:rPr>
          <w:rFonts w:eastAsia="Times New Roman"/>
          <w:strike w:val="0"/>
        </w:rPr>
      </w:pPr>
      <w:r w:rsidRPr="00972107">
        <w:rPr>
          <w:rFonts w:eastAsia="Times New Roman"/>
          <w:strike w:val="0"/>
        </w:rPr>
        <w:t>In the South-South region of Nigeria, knowledge levels are often mediated by the source of information. While</w:t>
      </w:r>
      <w:r w:rsidR="00275497">
        <w:rPr>
          <w:rFonts w:eastAsia="Times New Roman"/>
          <w:strike w:val="0"/>
        </w:rPr>
        <w:t xml:space="preserve"> </w:t>
      </w:r>
      <w:r w:rsidRPr="00972107">
        <w:rPr>
          <w:rFonts w:eastAsia="Times New Roman"/>
          <w:strike w:val="0"/>
        </w:rPr>
        <w:t>men</w:t>
      </w:r>
      <w:r w:rsidR="00275497">
        <w:rPr>
          <w:rFonts w:eastAsia="Times New Roman"/>
          <w:strike w:val="0"/>
        </w:rPr>
        <w:t xml:space="preserve"> in urban areas</w:t>
      </w:r>
      <w:r w:rsidRPr="00972107">
        <w:rPr>
          <w:rFonts w:eastAsia="Times New Roman"/>
          <w:strike w:val="0"/>
        </w:rPr>
        <w:t xml:space="preserve"> have access to digital media and professional health workers, men</w:t>
      </w:r>
      <w:r w:rsidR="00275497">
        <w:rPr>
          <w:rFonts w:eastAsia="Times New Roman"/>
          <w:strike w:val="0"/>
        </w:rPr>
        <w:t xml:space="preserve"> in rural areas</w:t>
      </w:r>
      <w:r w:rsidRPr="00972107">
        <w:rPr>
          <w:rFonts w:eastAsia="Times New Roman"/>
          <w:strike w:val="0"/>
        </w:rPr>
        <w:t xml:space="preserve"> often rely on traditional social networks. This study's finding that only 38.7% of men</w:t>
      </w:r>
      <w:r w:rsidR="00275497">
        <w:rPr>
          <w:rFonts w:eastAsia="Times New Roman"/>
          <w:strike w:val="0"/>
        </w:rPr>
        <w:t xml:space="preserve"> in rural area</w:t>
      </w:r>
      <w:r w:rsidR="003F25C7">
        <w:rPr>
          <w:rFonts w:eastAsia="Times New Roman"/>
          <w:strike w:val="0"/>
        </w:rPr>
        <w:t>s</w:t>
      </w:r>
      <w:r w:rsidRPr="00972107">
        <w:rPr>
          <w:rFonts w:eastAsia="Times New Roman"/>
          <w:strike w:val="0"/>
        </w:rPr>
        <w:t xml:space="preserve"> knew the full childhood immunization schedule is particularly concerning and aligns with national data showing that "immunization dropout" rates are highest in rural Nigeria (Adesina et al., 2023). These findings align with a study in Northern Nigeria, which found that fathers often authorize the first vaccine dose (BCG) but fail to support subsequent doses because they do not understand the cumulative nature of the immunization schedule (Adenike et al., 2017; Raji et al., 2019). Notably, while financial support for immunization was relatively high even in rural areas (51.1%), physical attendance was considerably lower (25.8%). This suggests that men </w:t>
      </w:r>
      <w:r w:rsidR="00275497">
        <w:rPr>
          <w:rFonts w:eastAsia="Times New Roman"/>
          <w:strike w:val="0"/>
        </w:rPr>
        <w:t xml:space="preserve">in rural areas </w:t>
      </w:r>
      <w:r w:rsidRPr="00972107">
        <w:rPr>
          <w:rFonts w:eastAsia="Times New Roman"/>
          <w:strike w:val="0"/>
        </w:rPr>
        <w:t>may view their role as primarily financial, delegating the physical task of clinic visits to female partners</w:t>
      </w:r>
      <w:r w:rsidR="00275497">
        <w:rPr>
          <w:rFonts w:eastAsia="Times New Roman"/>
          <w:strike w:val="0"/>
        </w:rPr>
        <w:t xml:space="preserve"> which is </w:t>
      </w:r>
      <w:r w:rsidRPr="00972107">
        <w:rPr>
          <w:rFonts w:eastAsia="Times New Roman"/>
          <w:strike w:val="0"/>
        </w:rPr>
        <w:t>a pattern consistent with traditional gender role expectations in patriarchal societies.</w:t>
      </w:r>
    </w:p>
    <w:p w14:paraId="02097F14" w14:textId="442AB88F" w:rsidR="000F4129" w:rsidRPr="000F4129" w:rsidRDefault="000F4129" w:rsidP="000F4129">
      <w:pPr>
        <w:spacing w:before="100" w:beforeAutospacing="1" w:after="100" w:afterAutospacing="1" w:line="240" w:lineRule="auto"/>
        <w:rPr>
          <w:rFonts w:eastAsia="Times New Roman"/>
          <w:b/>
          <w:bCs/>
          <w:strike w:val="0"/>
        </w:rPr>
      </w:pPr>
      <w:r w:rsidRPr="005622BA">
        <w:rPr>
          <w:rFonts w:eastAsia="Times New Roman"/>
          <w:b/>
          <w:bCs/>
          <w:strike w:val="0"/>
        </w:rPr>
        <w:t xml:space="preserve">Structural </w:t>
      </w:r>
      <w:r w:rsidRPr="000F4129">
        <w:rPr>
          <w:rFonts w:eastAsia="Times New Roman"/>
          <w:b/>
          <w:bCs/>
          <w:strike w:val="0"/>
        </w:rPr>
        <w:t>Barriers: The TBA Preference and Transportation</w:t>
      </w:r>
    </w:p>
    <w:p w14:paraId="2C7081F1" w14:textId="77777777"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Structural barriers played a decisive role in the rural-urban divide. A striking 42.2% of rural respondents in Oyigbo expressed a preference for Traditional Birth Attendants (TBAs), compared to only 8.4% in Port Harcourt. This high reliance on TBAs in rural Rivers State is a major impediment to formal birth preparedness. In the South-South geopolitical zone, TBAs are often viewed as more "culturally competent" and "male-friendly" than the formal Primary Health Centers (PHCs), which are often perceived as feminine spaces where men are ignored or unwelcome (Akpabio et al., 2014).</w:t>
      </w:r>
    </w:p>
    <w:p w14:paraId="2D8D146D" w14:textId="198B150A" w:rsidR="00972107" w:rsidRPr="00972107" w:rsidRDefault="00972107" w:rsidP="000F4129">
      <w:pPr>
        <w:spacing w:before="100" w:beforeAutospacing="1" w:after="100" w:afterAutospacing="1" w:line="240" w:lineRule="auto"/>
        <w:rPr>
          <w:rFonts w:eastAsia="Times New Roman"/>
          <w:strike w:val="0"/>
        </w:rPr>
      </w:pPr>
      <w:r w:rsidRPr="00972107">
        <w:rPr>
          <w:rFonts w:eastAsia="Times New Roman"/>
          <w:strike w:val="0"/>
        </w:rPr>
        <w:t xml:space="preserve">Furthermore, transportation costs were cited as a barrier by 67.6% of men </w:t>
      </w:r>
      <w:r w:rsidR="00275497">
        <w:rPr>
          <w:rFonts w:eastAsia="Times New Roman"/>
          <w:strike w:val="0"/>
        </w:rPr>
        <w:t xml:space="preserve">in rural areas </w:t>
      </w:r>
      <w:r w:rsidRPr="00972107">
        <w:rPr>
          <w:rFonts w:eastAsia="Times New Roman"/>
          <w:strike w:val="0"/>
        </w:rPr>
        <w:t>compared to only 29.3% of urban men. In the context of Rivers State, this often involves water-based travel, which is significantly more expensive and riskier than road transport. This finding highlights a specific geographic challenge that makes the Rivers State experience different from the national average. While national policies focus on facility-based improvements, this study suggests that, for rural areas in South-South Nigeria, the "second delay" (reaching the facility) remains the dominant hurdle for men. This aligns with findings from other riverine populations in the Amazon and Southeast Asia, where transport logistics are the single greatest predictor of male involvement in maternal emergencies (Suryawanshi et al., 2021).</w:t>
      </w:r>
    </w:p>
    <w:p w14:paraId="07C6EA9F" w14:textId="0B789F89"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Socio-Cultural Norms and Masculinity</w:t>
      </w:r>
    </w:p>
    <w:p w14:paraId="0FF168FB" w14:textId="48002B48" w:rsidR="00972107" w:rsidRPr="00972107" w:rsidRDefault="00972107" w:rsidP="00972107">
      <w:pPr>
        <w:spacing w:before="100" w:beforeAutospacing="1" w:after="100" w:afterAutospacing="1" w:line="240" w:lineRule="auto"/>
        <w:rPr>
          <w:rFonts w:eastAsia="Times New Roman"/>
          <w:strike w:val="0"/>
        </w:rPr>
      </w:pPr>
      <w:r w:rsidRPr="00972107">
        <w:rPr>
          <w:rFonts w:eastAsia="Times New Roman"/>
          <w:strike w:val="0"/>
        </w:rPr>
        <w:t>The study found that cultural constraints remain formidable obstacles, particularly in rural settings. Over half (58.2%) of men</w:t>
      </w:r>
      <w:r w:rsidR="00275497">
        <w:rPr>
          <w:rFonts w:eastAsia="Times New Roman"/>
          <w:strike w:val="0"/>
        </w:rPr>
        <w:t xml:space="preserve"> in rural areas</w:t>
      </w:r>
      <w:r w:rsidRPr="00972107">
        <w:rPr>
          <w:rFonts w:eastAsia="Times New Roman"/>
          <w:strike w:val="0"/>
        </w:rPr>
        <w:t xml:space="preserve"> agreed that MCH is primarily women's responsibility, compared to 31.6% of men</w:t>
      </w:r>
      <w:r w:rsidR="00275497">
        <w:rPr>
          <w:rFonts w:eastAsia="Times New Roman"/>
          <w:strike w:val="0"/>
        </w:rPr>
        <w:t xml:space="preserve"> in urban areas.</w:t>
      </w:r>
      <w:r w:rsidRPr="00972107">
        <w:rPr>
          <w:rFonts w:eastAsia="Times New Roman"/>
          <w:strike w:val="0"/>
        </w:rPr>
        <w:t xml:space="preserve"> Fear of stigma from clinic staff was reported by 47.1% of</w:t>
      </w:r>
      <w:r w:rsidR="00553099">
        <w:rPr>
          <w:rFonts w:eastAsia="Times New Roman"/>
          <w:strike w:val="0"/>
        </w:rPr>
        <w:t xml:space="preserve"> </w:t>
      </w:r>
      <w:r w:rsidRPr="00972107">
        <w:rPr>
          <w:rFonts w:eastAsia="Times New Roman"/>
          <w:strike w:val="0"/>
        </w:rPr>
        <w:t>men</w:t>
      </w:r>
      <w:r w:rsidR="00553099">
        <w:rPr>
          <w:rFonts w:eastAsia="Times New Roman"/>
          <w:strike w:val="0"/>
        </w:rPr>
        <w:t xml:space="preserve"> in rural areas</w:t>
      </w:r>
      <w:r w:rsidRPr="00972107">
        <w:rPr>
          <w:rFonts w:eastAsia="Times New Roman"/>
          <w:strike w:val="0"/>
        </w:rPr>
        <w:t xml:space="preserve"> versus 24.0% of men</w:t>
      </w:r>
      <w:r w:rsidR="00553099">
        <w:rPr>
          <w:rFonts w:eastAsia="Times New Roman"/>
          <w:strike w:val="0"/>
        </w:rPr>
        <w:t xml:space="preserve"> in urban areas</w:t>
      </w:r>
      <w:r w:rsidRPr="00972107">
        <w:rPr>
          <w:rFonts w:eastAsia="Times New Roman"/>
          <w:strike w:val="0"/>
        </w:rPr>
        <w:t>. Additionally, 61.8% of</w:t>
      </w:r>
      <w:r w:rsidR="001B0E44">
        <w:rPr>
          <w:rFonts w:eastAsia="Times New Roman"/>
          <w:strike w:val="0"/>
        </w:rPr>
        <w:t xml:space="preserve"> </w:t>
      </w:r>
      <w:r w:rsidRPr="00972107">
        <w:rPr>
          <w:rFonts w:eastAsia="Times New Roman"/>
          <w:strike w:val="0"/>
        </w:rPr>
        <w:t xml:space="preserve">men </w:t>
      </w:r>
      <w:r w:rsidR="001B0E44">
        <w:rPr>
          <w:rFonts w:eastAsia="Times New Roman"/>
          <w:strike w:val="0"/>
        </w:rPr>
        <w:t xml:space="preserve">in rural areas </w:t>
      </w:r>
      <w:r w:rsidRPr="00972107">
        <w:rPr>
          <w:rFonts w:eastAsia="Times New Roman"/>
          <w:strike w:val="0"/>
        </w:rPr>
        <w:t>cited a lack of male-friendly spaces at health facilities, compared to 38.7% of men</w:t>
      </w:r>
      <w:r w:rsidR="001B0E44">
        <w:rPr>
          <w:rFonts w:eastAsia="Times New Roman"/>
          <w:strike w:val="0"/>
        </w:rPr>
        <w:t xml:space="preserve"> in urban areas</w:t>
      </w:r>
      <w:r w:rsidRPr="00972107">
        <w:rPr>
          <w:rFonts w:eastAsia="Times New Roman"/>
          <w:strike w:val="0"/>
        </w:rPr>
        <w:t>. In the patriarchal structure of the Niger Delta, a man's role is often traditionally defined as the provider of funds rather than a physical participant in care (Mbadugha et al., 2019). This finding agrees with a qualitative study from South Africa, which found that men often feel a sense of "shame" or "diminished masculinity" when seen in the antenatal clinic, a space traditionally reserved for women (Engelbrecht et al., 2024).</w:t>
      </w:r>
    </w:p>
    <w:p w14:paraId="25B00E8D" w14:textId="6B412248" w:rsidR="00972107" w:rsidRPr="00972107" w:rsidRDefault="00972107" w:rsidP="000F4129">
      <w:pPr>
        <w:spacing w:before="100" w:beforeAutospacing="1" w:after="100" w:afterAutospacing="1" w:line="240" w:lineRule="auto"/>
        <w:rPr>
          <w:rFonts w:eastAsia="Times New Roman"/>
          <w:strike w:val="0"/>
        </w:rPr>
      </w:pPr>
      <w:r w:rsidRPr="00972107">
        <w:rPr>
          <w:rFonts w:eastAsia="Times New Roman"/>
          <w:strike w:val="0"/>
        </w:rPr>
        <w:lastRenderedPageBreak/>
        <w:t>However, a subtle disagreement arises when comparing the South-South to the North of Nigeria. While Northern studies often cite religious interpretations as a barrier to male involvement (Raji et al., 2019), the barriers in Rivers State appear to be more secular and social, rooted in community perceptions of the "provider" role. This suggests that while the level of involvement may be similar across Nigeria, the nature of the cultural barrier differs, requiring localized, culturally tailored interventions. The high rate of "good involvement" in Port Harcourt suggests that these norms are starting to shift in urban centers, but the persistence of traditional views in Oyigbo indicates that rural communities are being left behind in this cultural transition.</w:t>
      </w:r>
    </w:p>
    <w:p w14:paraId="0EF5DDEB" w14:textId="50CB635F" w:rsidR="000F4129" w:rsidRPr="000F4129" w:rsidRDefault="000F4129" w:rsidP="000F4129">
      <w:pPr>
        <w:spacing w:before="100" w:beforeAutospacing="1" w:after="100" w:afterAutospacing="1" w:line="240" w:lineRule="auto"/>
        <w:rPr>
          <w:rFonts w:eastAsia="Times New Roman"/>
          <w:b/>
          <w:bCs/>
          <w:strike w:val="0"/>
        </w:rPr>
      </w:pPr>
      <w:r w:rsidRPr="000F4129">
        <w:rPr>
          <w:rFonts w:eastAsia="Times New Roman"/>
          <w:b/>
          <w:bCs/>
          <w:strike w:val="0"/>
        </w:rPr>
        <w:t>Synthesis of Global and Local Comparisons</w:t>
      </w:r>
    </w:p>
    <w:p w14:paraId="251E0D6A" w14:textId="5DF309C1" w:rsidR="00972107" w:rsidRDefault="00972107" w:rsidP="00253EEF">
      <w:pPr>
        <w:spacing w:before="100" w:beforeAutospacing="1" w:after="100" w:afterAutospacing="1" w:line="240" w:lineRule="auto"/>
        <w:rPr>
          <w:rFonts w:eastAsia="Times New Roman"/>
          <w:strike w:val="0"/>
        </w:rPr>
      </w:pPr>
      <w:r w:rsidRPr="00972107">
        <w:rPr>
          <w:rFonts w:eastAsia="Times New Roman"/>
          <w:strike w:val="0"/>
        </w:rPr>
        <w:t>Comparing the findings of this study to the global literature reveals that Rivers State is navigating a transition seen across many developing economies. The urban findings of BPCR involvement place Port Harcourt slightly above the sub-Saharan African average but still well below the 80%+ involvement seen in countries with aggressive male-involvement policies like Rwanda (Akinyemi &amp; Ibrahim, 2024). Nationally, the study confirms that Rivers State follows the North-South health gradient, where Southern states generally exhibit better health-seeking behavior, yet it highlights the internal "micro-disparities" that aggregate national data often masks. The interaction between income and residence found here provides a sophisticated layer of evidence that moves beyond the simple "lack of education" narrative, pointing instead to systemic economic barriers in the rural areas of Rivers State.</w:t>
      </w:r>
    </w:p>
    <w:p w14:paraId="0C7D9815" w14:textId="6FD1C5DC"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t>Conclusion</w:t>
      </w:r>
    </w:p>
    <w:p w14:paraId="716D92E0" w14:textId="3C17E706" w:rsidR="009B66C9" w:rsidRPr="001B0E44" w:rsidRDefault="008E03AD" w:rsidP="008E03AD">
      <w:pPr>
        <w:spacing w:before="100" w:beforeAutospacing="1" w:after="100" w:afterAutospacing="1" w:line="240" w:lineRule="auto"/>
        <w:rPr>
          <w:rFonts w:eastAsia="Times New Roman"/>
          <w:strike w:val="0"/>
        </w:rPr>
      </w:pPr>
      <w:r w:rsidRPr="008E03AD">
        <w:rPr>
          <w:rFonts w:eastAsia="Times New Roman"/>
          <w:strike w:val="0"/>
        </w:rPr>
        <w:t xml:space="preserve">Male involvement in birth preparedness and childhood immunization in Rivers State is significantly higher among urban than rural men. Education drives urban male engagement, while household income is the key modifiable factor in rural settings. Structural barriers such as </w:t>
      </w:r>
      <w:r w:rsidR="00980ED2">
        <w:rPr>
          <w:rFonts w:eastAsia="Times New Roman"/>
          <w:strike w:val="0"/>
        </w:rPr>
        <w:t xml:space="preserve">a </w:t>
      </w:r>
      <w:r w:rsidRPr="008E03AD">
        <w:rPr>
          <w:rFonts w:eastAsia="Times New Roman"/>
          <w:strike w:val="0"/>
        </w:rPr>
        <w:t>lack of male</w:t>
      </w:r>
      <w:r w:rsidRPr="008E03AD">
        <w:rPr>
          <w:rFonts w:eastAsia="Times New Roman"/>
          <w:strike w:val="0"/>
        </w:rPr>
        <w:noBreakHyphen/>
        <w:t>friendly spaces, high transportation costs, and reliance on traditional birth attendants disproportionately affect</w:t>
      </w:r>
      <w:r w:rsidR="00980ED2">
        <w:rPr>
          <w:rFonts w:eastAsia="Times New Roman"/>
          <w:strike w:val="0"/>
        </w:rPr>
        <w:t xml:space="preserve"> </w:t>
      </w:r>
      <w:r w:rsidRPr="008E03AD">
        <w:rPr>
          <w:rFonts w:eastAsia="Times New Roman"/>
          <w:strike w:val="0"/>
        </w:rPr>
        <w:t>fathers</w:t>
      </w:r>
      <w:r w:rsidR="00980ED2">
        <w:rPr>
          <w:rFonts w:eastAsia="Times New Roman"/>
          <w:strike w:val="0"/>
        </w:rPr>
        <w:t xml:space="preserve"> in rural areas of Rivers State</w:t>
      </w:r>
      <w:r w:rsidRPr="008E03AD">
        <w:rPr>
          <w:rFonts w:eastAsia="Times New Roman"/>
          <w:strike w:val="0"/>
        </w:rPr>
        <w:t>. Addressing these disparities requires context</w:t>
      </w:r>
      <w:r w:rsidRPr="008E03AD">
        <w:rPr>
          <w:rFonts w:eastAsia="Times New Roman"/>
          <w:strike w:val="0"/>
        </w:rPr>
        <w:noBreakHyphen/>
        <w:t>specific strategies that go beyond general awareness campaigns.</w:t>
      </w:r>
    </w:p>
    <w:p w14:paraId="4BB109AD" w14:textId="77777777" w:rsidR="00D7439C" w:rsidRDefault="00D7439C" w:rsidP="008E03AD">
      <w:pPr>
        <w:spacing w:before="100" w:beforeAutospacing="1" w:after="100" w:afterAutospacing="1" w:line="240" w:lineRule="auto"/>
        <w:rPr>
          <w:rFonts w:eastAsia="Times New Roman"/>
          <w:b/>
          <w:bCs/>
          <w:strike w:val="0"/>
          <w:lang w:val="en-GB"/>
        </w:rPr>
      </w:pPr>
    </w:p>
    <w:p w14:paraId="3ACB9FBF" w14:textId="783CB322"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t>Recommendations</w:t>
      </w:r>
    </w:p>
    <w:p w14:paraId="609211E3" w14:textId="45B5E064" w:rsidR="00572C37" w:rsidRDefault="008E03AD" w:rsidP="008E03AD">
      <w:pPr>
        <w:spacing w:before="100" w:beforeAutospacing="1" w:after="100" w:afterAutospacing="1" w:line="240" w:lineRule="auto"/>
        <w:rPr>
          <w:rFonts w:eastAsia="Times New Roman"/>
          <w:strike w:val="0"/>
        </w:rPr>
      </w:pPr>
      <w:r w:rsidRPr="008E03AD">
        <w:rPr>
          <w:rFonts w:eastAsia="Times New Roman"/>
          <w:strike w:val="0"/>
        </w:rPr>
        <w:t>Based on these findings, it is recommended that rural interventions prioritize economic enablers such as transport vouchers or conditional cash transfers alongside health education, while urban programs leverage mass media and workplace initiatives to promote male involvement. Health facilities should be made more male</w:t>
      </w:r>
      <w:r w:rsidRPr="008E03AD">
        <w:rPr>
          <w:rFonts w:eastAsia="Times New Roman"/>
          <w:strike w:val="0"/>
        </w:rPr>
        <w:noBreakHyphen/>
        <w:t xml:space="preserve">friendly by creating dedicated fathers’ corners and training staff to reduce stigma. Community engagement through traditional leaders can help renegotiate gender norms that exclude men from maternal and child health. Future programs should </w:t>
      </w:r>
      <w:r w:rsidR="00572C37">
        <w:rPr>
          <w:rFonts w:eastAsia="Times New Roman"/>
          <w:strike w:val="0"/>
        </w:rPr>
        <w:t xml:space="preserve">examine </w:t>
      </w:r>
      <w:r w:rsidRPr="008E03AD">
        <w:rPr>
          <w:rFonts w:eastAsia="Times New Roman"/>
          <w:strike w:val="0"/>
        </w:rPr>
        <w:t>and evaluate these differentiated approaches.</w:t>
      </w:r>
    </w:p>
    <w:p w14:paraId="346CA8A1" w14:textId="77777777" w:rsidR="00F72D57" w:rsidRPr="008E03AD" w:rsidRDefault="00F72D57" w:rsidP="00F72D57">
      <w:pPr>
        <w:spacing w:before="100" w:beforeAutospacing="1" w:after="100" w:afterAutospacing="1" w:line="240" w:lineRule="auto"/>
        <w:rPr>
          <w:rFonts w:eastAsia="Times New Roman"/>
          <w:strike w:val="0"/>
        </w:rPr>
      </w:pPr>
      <w:r w:rsidRPr="008E03AD">
        <w:rPr>
          <w:rFonts w:eastAsia="Times New Roman"/>
          <w:b/>
          <w:bCs/>
          <w:strike w:val="0"/>
        </w:rPr>
        <w:t>Strengths and Limitations</w:t>
      </w:r>
    </w:p>
    <w:p w14:paraId="478E08C5" w14:textId="77777777" w:rsidR="00F72D57" w:rsidRPr="001B36F1" w:rsidRDefault="00F72D57" w:rsidP="00F72D57">
      <w:pPr>
        <w:spacing w:before="100" w:beforeAutospacing="1" w:after="100" w:afterAutospacing="1" w:line="240" w:lineRule="auto"/>
        <w:rPr>
          <w:rFonts w:eastAsia="Times New Roman"/>
          <w:strike w:val="0"/>
        </w:rPr>
      </w:pPr>
      <w:r w:rsidRPr="001B36F1">
        <w:rPr>
          <w:rFonts w:eastAsia="Times New Roman"/>
          <w:b/>
          <w:bCs/>
          <w:strike w:val="0"/>
        </w:rPr>
        <w:t>Strengths</w:t>
      </w:r>
    </w:p>
    <w:p w14:paraId="2EF35711" w14:textId="77777777" w:rsidR="00F72D57" w:rsidRPr="001B36F1" w:rsidRDefault="00F72D57" w:rsidP="00F72D57">
      <w:pPr>
        <w:spacing w:before="100" w:beforeAutospacing="1" w:after="100" w:afterAutospacing="1" w:line="240" w:lineRule="auto"/>
        <w:rPr>
          <w:rFonts w:eastAsia="Times New Roman"/>
          <w:strike w:val="0"/>
        </w:rPr>
      </w:pPr>
      <w:r w:rsidRPr="001B36F1">
        <w:rPr>
          <w:rFonts w:eastAsia="Times New Roman"/>
          <w:strike w:val="0"/>
        </w:rPr>
        <w:t>This study has several strengths, including its comparative rural</w:t>
      </w:r>
      <w:r w:rsidRPr="001B36F1">
        <w:rPr>
          <w:rFonts w:eastAsia="Times New Roman"/>
          <w:strike w:val="0"/>
        </w:rPr>
        <w:noBreakHyphen/>
        <w:t xml:space="preserve">urban design, use of a validated data collection tool, and robust statistical analyses with model diagnostics and </w:t>
      </w:r>
      <w:r w:rsidRPr="001B36F1">
        <w:rPr>
          <w:rFonts w:eastAsia="Times New Roman"/>
          <w:strike w:val="0"/>
        </w:rPr>
        <w:lastRenderedPageBreak/>
        <w:t>sensitivity testing. The community</w:t>
      </w:r>
      <w:r w:rsidRPr="001B36F1">
        <w:rPr>
          <w:rFonts w:eastAsia="Times New Roman"/>
          <w:strike w:val="0"/>
        </w:rPr>
        <w:noBreakHyphen/>
        <w:t>based sampling and adequate sample size enhance the generalizability of findings within Rivers State.</w:t>
      </w:r>
    </w:p>
    <w:p w14:paraId="485FF76C" w14:textId="77777777" w:rsidR="00F72D57" w:rsidRPr="001B36F1" w:rsidRDefault="00F72D57" w:rsidP="00F72D57">
      <w:pPr>
        <w:spacing w:before="100" w:beforeAutospacing="1" w:after="100" w:afterAutospacing="1" w:line="240" w:lineRule="auto"/>
        <w:rPr>
          <w:rFonts w:eastAsia="Times New Roman"/>
          <w:strike w:val="0"/>
        </w:rPr>
      </w:pPr>
      <w:r w:rsidRPr="001B36F1">
        <w:rPr>
          <w:rFonts w:eastAsia="Times New Roman"/>
          <w:b/>
          <w:bCs/>
          <w:strike w:val="0"/>
        </w:rPr>
        <w:t>Limitations</w:t>
      </w:r>
    </w:p>
    <w:p w14:paraId="24A3D8AE" w14:textId="77777777" w:rsidR="00F72D57" w:rsidRPr="009B66C9" w:rsidRDefault="00F72D57" w:rsidP="00F72D57">
      <w:pPr>
        <w:spacing w:before="100" w:beforeAutospacing="1" w:after="100" w:afterAutospacing="1" w:line="240" w:lineRule="auto"/>
        <w:rPr>
          <w:rFonts w:eastAsia="Times New Roman"/>
          <w:strike w:val="0"/>
        </w:rPr>
      </w:pPr>
      <w:r w:rsidRPr="001B36F1">
        <w:rPr>
          <w:rFonts w:eastAsia="Times New Roman"/>
          <w:strike w:val="0"/>
        </w:rPr>
        <w:t>Limitations include the cross</w:t>
      </w:r>
      <w:r w:rsidRPr="001B36F1">
        <w:rPr>
          <w:rFonts w:eastAsia="Times New Roman"/>
          <w:strike w:val="0"/>
        </w:rPr>
        <w:noBreakHyphen/>
        <w:t>sectional design, which precludes causal inferences; potential social desirability bias in self</w:t>
      </w:r>
      <w:r w:rsidRPr="001B36F1">
        <w:rPr>
          <w:rFonts w:eastAsia="Times New Roman"/>
          <w:strike w:val="0"/>
        </w:rPr>
        <w:noBreakHyphen/>
        <w:t>reported male involvement; recall bias for events up to 24 months postpartum; and the exclusion of healthcare professionals, limiting applicability to that subgroup. Additionally, the study was confined to two local government areas, so caution is necessary when extrapolating to other parts of Nigeria.</w:t>
      </w:r>
    </w:p>
    <w:p w14:paraId="65D8F4B3" w14:textId="77777777" w:rsidR="00F72D57" w:rsidRPr="00572ED8" w:rsidRDefault="00F72D57" w:rsidP="008E03AD">
      <w:pPr>
        <w:spacing w:before="100" w:beforeAutospacing="1" w:after="100" w:afterAutospacing="1" w:line="240" w:lineRule="auto"/>
        <w:rPr>
          <w:rFonts w:eastAsia="Times New Roman"/>
          <w:strike w:val="0"/>
        </w:rPr>
      </w:pPr>
    </w:p>
    <w:p w14:paraId="40C9A9F5" w14:textId="736764C7" w:rsidR="008E03AD" w:rsidRPr="008E03AD" w:rsidRDefault="008E03AD" w:rsidP="008E03AD">
      <w:pPr>
        <w:spacing w:before="100" w:beforeAutospacing="1" w:after="100" w:afterAutospacing="1" w:line="240" w:lineRule="auto"/>
        <w:rPr>
          <w:rFonts w:eastAsia="Times New Roman"/>
          <w:strike w:val="0"/>
        </w:rPr>
      </w:pPr>
      <w:r w:rsidRPr="008E03AD">
        <w:rPr>
          <w:rFonts w:eastAsia="Times New Roman"/>
          <w:b/>
          <w:bCs/>
          <w:strike w:val="0"/>
        </w:rPr>
        <w:t>Contributions to Knowledge</w:t>
      </w:r>
    </w:p>
    <w:p w14:paraId="3F86F2E2" w14:textId="0266939C"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Practice:</w:t>
      </w:r>
      <w:r w:rsidRPr="0091709F">
        <w:rPr>
          <w:rFonts w:eastAsia="Times New Roman"/>
          <w:strike w:val="0"/>
        </w:rPr>
        <w:t xml:space="preserve"> This study provides evidence that male </w:t>
      </w:r>
      <w:r w:rsidR="001B0E44" w:rsidRPr="001B0E44">
        <w:rPr>
          <w:rFonts w:eastAsia="Times New Roman"/>
          <w:strike w:val="0"/>
        </w:rPr>
        <w:t>involvement</w:t>
      </w:r>
      <w:r w:rsidR="001B0E44">
        <w:rPr>
          <w:rFonts w:eastAsia="Times New Roman"/>
          <w:strike w:val="0"/>
        </w:rPr>
        <w:t xml:space="preserve"> in rural areas</w:t>
      </w:r>
      <w:r w:rsidRPr="0091709F">
        <w:rPr>
          <w:rFonts w:eastAsia="Times New Roman"/>
          <w:strike w:val="0"/>
        </w:rPr>
        <w:t xml:space="preserve"> is constrained more by economic factors than knowledge deficits, suggesting that health workers should routinely assess transport affordability and offer practical support such as transport vouchers or clinic</w:t>
      </w:r>
      <w:r w:rsidRPr="0091709F">
        <w:rPr>
          <w:rFonts w:eastAsia="Times New Roman"/>
          <w:strike w:val="0"/>
        </w:rPr>
        <w:noBreakHyphen/>
        <w:t>based financial navigation assistance.</w:t>
      </w:r>
    </w:p>
    <w:p w14:paraId="37209175" w14:textId="77777777"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Research:</w:t>
      </w:r>
      <w:r w:rsidRPr="0091709F">
        <w:rPr>
          <w:rFonts w:eastAsia="Times New Roman"/>
          <w:strike w:val="0"/>
        </w:rPr>
        <w:t> The study offers a validated comparative framework for assessing male involvement across rural and urban settings and demonstrates the value of interaction analysis between residence and socioeconomic factors, thereby opening avenues for longitudinal studies and implementation science research.</w:t>
      </w:r>
    </w:p>
    <w:p w14:paraId="777908AC" w14:textId="77777777" w:rsidR="0091709F" w:rsidRPr="0091709F" w:rsidRDefault="0091709F" w:rsidP="0091709F">
      <w:pPr>
        <w:spacing w:before="100" w:beforeAutospacing="1" w:after="100" w:afterAutospacing="1" w:line="240" w:lineRule="auto"/>
        <w:rPr>
          <w:rFonts w:eastAsia="Times New Roman"/>
          <w:strike w:val="0"/>
        </w:rPr>
      </w:pPr>
      <w:r w:rsidRPr="0091709F">
        <w:rPr>
          <w:rFonts w:eastAsia="Times New Roman"/>
          <w:b/>
          <w:bCs/>
          <w:strike w:val="0"/>
        </w:rPr>
        <w:t>Policy:</w:t>
      </w:r>
      <w:r w:rsidRPr="0091709F">
        <w:rPr>
          <w:rFonts w:eastAsia="Times New Roman"/>
          <w:strike w:val="0"/>
        </w:rPr>
        <w:t> The findings highlight the need for geographically tailored maternal and child health policies that separate urban and rural strategies rather than applying a one</w:t>
      </w:r>
      <w:r w:rsidRPr="0091709F">
        <w:rPr>
          <w:rFonts w:eastAsia="Times New Roman"/>
          <w:strike w:val="0"/>
        </w:rPr>
        <w:noBreakHyphen/>
        <w:t>size</w:t>
      </w:r>
      <w:r w:rsidRPr="0091709F">
        <w:rPr>
          <w:rFonts w:eastAsia="Times New Roman"/>
          <w:strike w:val="0"/>
        </w:rPr>
        <w:noBreakHyphen/>
        <w:t>fits</w:t>
      </w:r>
      <w:r w:rsidRPr="0091709F">
        <w:rPr>
          <w:rFonts w:eastAsia="Times New Roman"/>
          <w:strike w:val="0"/>
        </w:rPr>
        <w:noBreakHyphen/>
        <w:t>all approach, with rural policies prioritizing economic enablers and urban policies focusing on educational and cultural interventions.</w:t>
      </w:r>
    </w:p>
    <w:p w14:paraId="07DB54B8" w14:textId="25B46379" w:rsidR="0091709F" w:rsidRPr="009C6C4A" w:rsidRDefault="0091709F" w:rsidP="00572ED8">
      <w:pPr>
        <w:spacing w:before="100" w:beforeAutospacing="1" w:after="100" w:afterAutospacing="1" w:line="240" w:lineRule="auto"/>
        <w:rPr>
          <w:rFonts w:eastAsia="Times New Roman"/>
          <w:strike w:val="0"/>
        </w:rPr>
      </w:pPr>
      <w:r w:rsidRPr="0091709F">
        <w:rPr>
          <w:rFonts w:eastAsia="Times New Roman"/>
          <w:b/>
          <w:bCs/>
          <w:strike w:val="0"/>
        </w:rPr>
        <w:t>Specific Innovation:</w:t>
      </w:r>
      <w:r w:rsidRPr="0091709F">
        <w:rPr>
          <w:rFonts w:eastAsia="Times New Roman"/>
          <w:strike w:val="0"/>
        </w:rPr>
        <w:t> The study innovatively applies the “Three Delays” model to male involvement in birth preparedness and childhood immunization and quantifies the education</w:t>
      </w:r>
      <w:r w:rsidRPr="0091709F">
        <w:rPr>
          <w:rFonts w:eastAsia="Times New Roman"/>
          <w:strike w:val="0"/>
        </w:rPr>
        <w:noBreakHyphen/>
        <w:t>income interaction by residential setting, providing a novel analytical framework that can guide the design of gender</w:t>
      </w:r>
      <w:r w:rsidRPr="0091709F">
        <w:rPr>
          <w:rFonts w:eastAsia="Times New Roman"/>
          <w:strike w:val="0"/>
        </w:rPr>
        <w:noBreakHyphen/>
        <w:t>transformative, context</w:t>
      </w:r>
      <w:r w:rsidRPr="0091709F">
        <w:rPr>
          <w:rFonts w:eastAsia="Times New Roman"/>
          <w:strike w:val="0"/>
        </w:rPr>
        <w:noBreakHyphen/>
        <w:t>sensitive interventions.</w:t>
      </w:r>
    </w:p>
    <w:p w14:paraId="469C5E09" w14:textId="22007D80" w:rsidR="00572ED8" w:rsidRPr="00572ED8" w:rsidRDefault="00572ED8" w:rsidP="00572ED8">
      <w:pPr>
        <w:spacing w:before="100" w:beforeAutospacing="1" w:after="100" w:afterAutospacing="1" w:line="240" w:lineRule="auto"/>
        <w:rPr>
          <w:rFonts w:eastAsia="Times New Roman"/>
          <w:strike w:val="0"/>
        </w:rPr>
      </w:pPr>
      <w:r w:rsidRPr="00572ED8">
        <w:rPr>
          <w:rFonts w:eastAsia="Times New Roman"/>
          <w:b/>
          <w:bCs/>
          <w:strike w:val="0"/>
        </w:rPr>
        <w:t>Ethical Considerations</w:t>
      </w:r>
    </w:p>
    <w:p w14:paraId="77D04B9E" w14:textId="7583047B" w:rsidR="00572ED8" w:rsidRPr="00572ED8" w:rsidRDefault="0091709F" w:rsidP="00572ED8">
      <w:pPr>
        <w:spacing w:before="100" w:beforeAutospacing="1" w:after="100" w:afterAutospacing="1" w:line="240" w:lineRule="auto"/>
        <w:rPr>
          <w:rFonts w:eastAsia="Times New Roman"/>
          <w:strike w:val="0"/>
        </w:rPr>
      </w:pPr>
      <w:r w:rsidRPr="0091709F">
        <w:rPr>
          <w:rFonts w:eastAsia="Times New Roman"/>
          <w:strike w:val="0"/>
        </w:rPr>
        <w:t xml:space="preserve">The study received ethical clearance from the </w:t>
      </w:r>
      <w:r w:rsidRPr="00572ED8">
        <w:rPr>
          <w:rFonts w:eastAsia="Times New Roman"/>
          <w:strike w:val="0"/>
        </w:rPr>
        <w:t>Rivers State Health Research Ethics Committee</w:t>
      </w:r>
      <w:r>
        <w:rPr>
          <w:rFonts w:eastAsia="Times New Roman"/>
          <w:strike w:val="0"/>
        </w:rPr>
        <w:t xml:space="preserve">. </w:t>
      </w:r>
      <w:r w:rsidRPr="0091709F">
        <w:rPr>
          <w:rFonts w:eastAsia="Times New Roman"/>
          <w:strike w:val="0"/>
        </w:rPr>
        <w:t>All participants gave written informed consent, and confidentiality was maintained throughout. The study adhered to the Declaration of Helsinki.</w:t>
      </w:r>
    </w:p>
    <w:p w14:paraId="1668992D" w14:textId="13A8809B" w:rsidR="00572ED8" w:rsidRPr="00572ED8" w:rsidRDefault="00572ED8" w:rsidP="00572ED8">
      <w:pPr>
        <w:spacing w:before="100" w:beforeAutospacing="1" w:after="100" w:afterAutospacing="1" w:line="240" w:lineRule="auto"/>
        <w:rPr>
          <w:rFonts w:eastAsia="Times New Roman"/>
          <w:strike w:val="0"/>
        </w:rPr>
      </w:pPr>
      <w:bookmarkStart w:id="1" w:name="_GoBack"/>
      <w:bookmarkEnd w:id="1"/>
      <w:r w:rsidRPr="00572ED8">
        <w:rPr>
          <w:rFonts w:eastAsia="Times New Roman"/>
          <w:b/>
          <w:bCs/>
          <w:strike w:val="0"/>
        </w:rPr>
        <w:t>Conflict of interest</w:t>
      </w:r>
    </w:p>
    <w:p w14:paraId="45C90EEA" w14:textId="77777777" w:rsidR="00572ED8" w:rsidRPr="00572ED8" w:rsidRDefault="00572ED8" w:rsidP="00572ED8">
      <w:pPr>
        <w:spacing w:before="100" w:beforeAutospacing="1" w:after="100" w:afterAutospacing="1" w:line="240" w:lineRule="auto"/>
        <w:rPr>
          <w:rFonts w:eastAsia="Times New Roman"/>
          <w:strike w:val="0"/>
        </w:rPr>
      </w:pPr>
      <w:r w:rsidRPr="00572ED8">
        <w:rPr>
          <w:rFonts w:eastAsia="Times New Roman"/>
          <w:strike w:val="0"/>
        </w:rPr>
        <w:t>The author declares no conflict of interest.</w:t>
      </w:r>
    </w:p>
    <w:p w14:paraId="4D948B81" w14:textId="77777777" w:rsidR="00F72D57" w:rsidRPr="00F72D57" w:rsidRDefault="00F72D57" w:rsidP="00F72D57">
      <w:pPr>
        <w:spacing w:after="200" w:line="276" w:lineRule="auto"/>
        <w:rPr>
          <w:rFonts w:ascii="Arial" w:eastAsia="Times New Roman" w:hAnsi="Arial" w:cs="Arial"/>
          <w:b/>
          <w:bCs/>
          <w:strike w:val="0"/>
          <w:sz w:val="22"/>
          <w:szCs w:val="22"/>
          <w:lang w:val="en-GB" w:eastAsia="en-GB"/>
        </w:rPr>
      </w:pPr>
      <w:r w:rsidRPr="00F72D57">
        <w:rPr>
          <w:rFonts w:ascii="Arial" w:eastAsia="Times New Roman" w:hAnsi="Arial" w:cs="Arial"/>
          <w:b/>
          <w:bCs/>
          <w:strike w:val="0"/>
          <w:sz w:val="22"/>
          <w:szCs w:val="22"/>
          <w:lang w:val="en-GB" w:eastAsia="en-GB"/>
        </w:rPr>
        <w:t>COMPETING INTERESTS DISCLAIMER:</w:t>
      </w:r>
    </w:p>
    <w:p w14:paraId="56B8AB87" w14:textId="77777777" w:rsidR="00F72D57" w:rsidRPr="00F72D57" w:rsidRDefault="00F72D57" w:rsidP="00F72D57">
      <w:pPr>
        <w:spacing w:after="200" w:line="276" w:lineRule="auto"/>
        <w:rPr>
          <w:rFonts w:ascii="Calibri" w:eastAsia="Times New Roman" w:hAnsi="Calibri"/>
          <w:strike w:val="0"/>
          <w:sz w:val="22"/>
          <w:szCs w:val="22"/>
          <w:lang w:val="en-GB" w:eastAsia="en-GB"/>
        </w:rPr>
      </w:pPr>
      <w:r w:rsidRPr="00F72D57">
        <w:rPr>
          <w:rFonts w:ascii="Arial" w:eastAsia="Times New Roman" w:hAnsi="Arial" w:cs="Arial"/>
          <w:strike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52AAC9" w14:textId="77777777" w:rsidR="00572ED8" w:rsidRDefault="00572ED8" w:rsidP="009B3C9B">
      <w:pPr>
        <w:spacing w:before="100" w:beforeAutospacing="1" w:after="100" w:afterAutospacing="1" w:line="240" w:lineRule="auto"/>
        <w:rPr>
          <w:rFonts w:eastAsia="Times New Roman"/>
          <w:b/>
          <w:bCs/>
          <w:strike w:val="0"/>
        </w:rPr>
      </w:pPr>
    </w:p>
    <w:p w14:paraId="0BE6BDF6" w14:textId="4E3556E0" w:rsidR="009B3C9B" w:rsidRPr="009B3C9B" w:rsidRDefault="009B3C9B" w:rsidP="009B3C9B">
      <w:pPr>
        <w:spacing w:before="100" w:beforeAutospacing="1" w:after="100" w:afterAutospacing="1" w:line="240" w:lineRule="auto"/>
        <w:rPr>
          <w:rFonts w:eastAsia="Times New Roman"/>
          <w:b/>
          <w:bCs/>
          <w:strike w:val="0"/>
        </w:rPr>
      </w:pPr>
      <w:r w:rsidRPr="009B3C9B">
        <w:rPr>
          <w:rFonts w:eastAsia="Times New Roman"/>
          <w:b/>
          <w:bCs/>
          <w:strike w:val="0"/>
        </w:rPr>
        <w:t>References</w:t>
      </w:r>
    </w:p>
    <w:p w14:paraId="2E123C8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Adenike, O.-B., Adejumoke, J., Olufunmi, O., &amp; Ridwan, O. (2017). Maternal characteristics and immunization status of children in North Central of Nigeria. Pan African Medical Journal, 26, 159. </w:t>
      </w:r>
      <w:hyperlink r:id="rId8" w:tgtFrame="_blank" w:history="1">
        <w:r w:rsidRPr="009B3C9B">
          <w:rPr>
            <w:rStyle w:val="Hyperlink"/>
            <w:rFonts w:eastAsia="Times New Roman"/>
            <w:strike w:val="0"/>
            <w:color w:val="auto"/>
            <w:u w:val="none"/>
          </w:rPr>
          <w:t>https://doi.org/10.11604/pamj.2017.26.159.11530</w:t>
        </w:r>
      </w:hyperlink>
    </w:p>
    <w:p w14:paraId="0CA9607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Adesina, M. A., Olufadewa, I. I., Oladele, R. I., Solagbade, A., &amp; Olaoyo, C. (2023). Determinants of childhood immunization among rural mothers in Nigeria. Population Medicine, 5(September), 22. </w:t>
      </w:r>
      <w:hyperlink r:id="rId9" w:tgtFrame="_blank" w:history="1">
        <w:r w:rsidRPr="009B3C9B">
          <w:rPr>
            <w:rStyle w:val="Hyperlink"/>
            <w:rFonts w:eastAsia="Times New Roman"/>
            <w:strike w:val="0"/>
            <w:color w:val="auto"/>
            <w:u w:val="none"/>
          </w:rPr>
          <w:t>https://doi.org/10.18332/popmed/171542</w:t>
        </w:r>
      </w:hyperlink>
    </w:p>
    <w:p w14:paraId="58E75388"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Adetona, A., Elegbede, O. E., Odu, O. O., Durowade, K. A., Ipinnimo, T. M., Ekpo, D. S., &amp; Sanni, T. A. (2024). Comparative assessment of birth preparedness and complication readiness among couples in rural and urban communities of Ekiti State, Southwestern Nigeria. Ghana Medical Journal, 58(1), 34–43. </w:t>
      </w:r>
      <w:hyperlink r:id="rId10" w:tgtFrame="_blank" w:history="1">
        <w:r w:rsidRPr="009B3C9B">
          <w:rPr>
            <w:rStyle w:val="Hyperlink"/>
            <w:rFonts w:eastAsia="Times New Roman"/>
            <w:strike w:val="0"/>
            <w:color w:val="auto"/>
            <w:u w:val="none"/>
          </w:rPr>
          <w:t>https://doi.org/10.4314/gmj.v58i1.6</w:t>
        </w:r>
      </w:hyperlink>
    </w:p>
    <w:p w14:paraId="6819B953"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Akinyemi, O., &amp; Ibrahim, M. (2024). Male involvement in maternal health: A comparative study of regional policies in sub-Saharan Africa. Journal of Global Health Reports, 8, e2024005. </w:t>
      </w:r>
      <w:hyperlink r:id="rId11" w:tgtFrame="_blank" w:history="1">
        <w:r w:rsidRPr="009B3C9B">
          <w:rPr>
            <w:rStyle w:val="Hyperlink"/>
            <w:rFonts w:eastAsia="Times New Roman"/>
            <w:strike w:val="0"/>
            <w:color w:val="auto"/>
            <w:u w:val="none"/>
          </w:rPr>
          <w:t>https://doi.org/10.29392/001c.94211</w:t>
        </w:r>
      </w:hyperlink>
    </w:p>
    <w:p w14:paraId="3DE78A9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Akpabio, I. I., Edet, O. B., Etifit, R. E., &amp; Robinson-Bassey, G. C. (2014). Women’s preference for traditional birth attendants and modern health care practitioners in Akpabuyo Community of Cross River State, Nigeria. Health Care for Women International, 35(1), 100–109. </w:t>
      </w:r>
      <w:hyperlink r:id="rId12" w:tgtFrame="_blank" w:history="1">
        <w:r w:rsidRPr="009B3C9B">
          <w:rPr>
            <w:rStyle w:val="Hyperlink"/>
            <w:rFonts w:eastAsia="Times New Roman"/>
            <w:strike w:val="0"/>
            <w:color w:val="auto"/>
            <w:u w:val="none"/>
          </w:rPr>
          <w:t>https://doi.org/10.1080/07399332.2013.815751</w:t>
        </w:r>
      </w:hyperlink>
    </w:p>
    <w:p w14:paraId="76BD33E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August, F., Pembe, A. B., Mpembeni, R., Axemo, P., &amp; Darj, E. (2016). Community health workers can improve male involvement in maternal health: Evidence from rural Tanzania. Global Health Action, 9(1). </w:t>
      </w:r>
      <w:hyperlink r:id="rId13" w:tgtFrame="_blank" w:history="1">
        <w:r w:rsidRPr="009B3C9B">
          <w:rPr>
            <w:rStyle w:val="Hyperlink"/>
            <w:rFonts w:eastAsia="Times New Roman"/>
            <w:strike w:val="0"/>
            <w:color w:val="auto"/>
            <w:u w:val="none"/>
          </w:rPr>
          <w:t>https://doi.org/10.3402/gha.v9.30064</w:t>
        </w:r>
      </w:hyperlink>
    </w:p>
    <w:p w14:paraId="537CE55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Briggs, N. C. T. (2026). Determinants of complete childhood immunization in rural communities of Rivers State, Nigeria: A randomized controlled study. Asian Journal of Immunology, 9(1), 127–141. </w:t>
      </w:r>
      <w:hyperlink r:id="rId14" w:tgtFrame="_blank" w:history="1">
        <w:r w:rsidRPr="009B3C9B">
          <w:rPr>
            <w:rStyle w:val="Hyperlink"/>
            <w:rFonts w:eastAsia="Times New Roman"/>
            <w:strike w:val="0"/>
            <w:color w:val="auto"/>
            <w:u w:val="none"/>
          </w:rPr>
          <w:t>https://journalaji.com/index.php/AJI/article/view/189</w:t>
        </w:r>
      </w:hyperlink>
    </w:p>
    <w:p w14:paraId="7977B5FD" w14:textId="61D506E5" w:rsidR="009B3C9B" w:rsidRPr="005E3BCF" w:rsidRDefault="009B3C9B" w:rsidP="009B3C9B">
      <w:pPr>
        <w:spacing w:before="100" w:beforeAutospacing="1" w:after="100" w:afterAutospacing="1" w:line="240" w:lineRule="auto"/>
        <w:rPr>
          <w:rFonts w:eastAsia="Times New Roman"/>
          <w:strike w:val="0"/>
        </w:rPr>
      </w:pPr>
      <w:r w:rsidRPr="009B3C9B">
        <w:rPr>
          <w:rFonts w:eastAsia="Times New Roman"/>
          <w:strike w:val="0"/>
        </w:rPr>
        <w:t>Briggs, N. C. T., &amp; Tobin-West, C. I. (2022). Community volunteer-driven intervention and barriers to childhood immunization coverage in rural communities of Rivers State, Nigeria. International Journal of Medical Science and Dental Research, 5(5), 99–114.</w:t>
      </w:r>
      <w:r w:rsidR="005E3BCF">
        <w:rPr>
          <w:rFonts w:eastAsia="Times New Roman"/>
          <w:strike w:val="0"/>
        </w:rPr>
        <w:t xml:space="preserve"> </w:t>
      </w:r>
      <w:hyperlink r:id="rId15" w:tgtFrame="_new" w:history="1">
        <w:r w:rsidR="005E3BCF" w:rsidRPr="005E3BCF">
          <w:rPr>
            <w:rStyle w:val="Hyperlink"/>
            <w:rFonts w:eastAsia="Times New Roman"/>
            <w:strike w:val="0"/>
            <w:color w:val="auto"/>
            <w:u w:val="none"/>
          </w:rPr>
          <w:t>https://ijmsdr.org/pastissue.php</w:t>
        </w:r>
      </w:hyperlink>
    </w:p>
    <w:p w14:paraId="008D9443"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Engelbrecht, M., Mulu, N., &amp; Kigozi-Male, G. (2024). Exploring factors associated with limited male partner involvement in maternal health: A Sesotho socio-cultural perspective from the Free State, South Africa. International Journal of Environmental Research and Public Health, 21(11), 1482. </w:t>
      </w:r>
      <w:hyperlink r:id="rId16" w:tgtFrame="_blank" w:history="1">
        <w:r w:rsidRPr="009B3C9B">
          <w:rPr>
            <w:rStyle w:val="Hyperlink"/>
            <w:rFonts w:eastAsia="Times New Roman"/>
            <w:strike w:val="0"/>
            <w:color w:val="auto"/>
            <w:u w:val="none"/>
          </w:rPr>
          <w:t>https://doi.org/10.3390/ijerph21111482</w:t>
        </w:r>
      </w:hyperlink>
    </w:p>
    <w:p w14:paraId="527D90C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Iliyasu, Z., Abubakar, I. S., Galadanci, H. S., &amp; Aliyu, M. H. (2010). Birth preparedness, complication readiness and fathers' participation in maternity care in a northern Nigerian community. African Journal of Reproductive Health, 14(1), 21–32.</w:t>
      </w:r>
    </w:p>
    <w:p w14:paraId="3628E6BC"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lastRenderedPageBreak/>
        <w:t>Jhpiego. (2004). Monitoring birth preparedness and complication readiness: Tools and indicators for maternal and newborn health. Johns Hopkins University/Center for Communication Programs.</w:t>
      </w:r>
    </w:p>
    <w:p w14:paraId="5A288C91"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Matseke, M. G., Ruiter, R. A., Rodriguez, V. J., Peltzer, K., Setswe, G., &amp; Sifunda, S. (2017). Factors associated with male partner involvement in programs for the prevention of mother-to-child transmission of HIV in rural South Africa. International Journal of Environmental Research and Public Health, 14(11), 1333. </w:t>
      </w:r>
      <w:hyperlink r:id="rId17" w:tgtFrame="_blank" w:history="1">
        <w:r w:rsidRPr="009B3C9B">
          <w:rPr>
            <w:rStyle w:val="Hyperlink"/>
            <w:rFonts w:eastAsia="Times New Roman"/>
            <w:strike w:val="0"/>
            <w:color w:val="auto"/>
            <w:u w:val="none"/>
          </w:rPr>
          <w:t>https://doi.org/10.3390/ijerph14111333</w:t>
        </w:r>
      </w:hyperlink>
    </w:p>
    <w:p w14:paraId="60A58172"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Mbadugha, C., Anetekhai, C., Obiekwu, A., Okonkwo, I., &amp; Ingwu, J. (2019). Adult male involvement in maternity care in Enugu State, Nigeria: A cross-sectional study. European Journal of Midwifery, 3. </w:t>
      </w:r>
      <w:hyperlink r:id="rId18" w:tgtFrame="_blank" w:history="1">
        <w:r w:rsidRPr="009B3C9B">
          <w:rPr>
            <w:rStyle w:val="Hyperlink"/>
            <w:rFonts w:eastAsia="Times New Roman"/>
            <w:strike w:val="0"/>
            <w:color w:val="auto"/>
            <w:u w:val="none"/>
          </w:rPr>
          <w:t>https://doi.org/10.18332/ejm/112258</w:t>
        </w:r>
      </w:hyperlink>
    </w:p>
    <w:p w14:paraId="4863EC6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Moyo, E., Dzinamarira, T., Moyo, P., Murewanhema, G., &amp; Ross, A. (2024). Men's involvement in maternal health in sub-Saharan Africa: A scoping review of enablers and barriers. Midwifery, 133, 103993. </w:t>
      </w:r>
      <w:hyperlink r:id="rId19" w:tgtFrame="_blank" w:history="1">
        <w:r w:rsidRPr="009B3C9B">
          <w:rPr>
            <w:rStyle w:val="Hyperlink"/>
            <w:rFonts w:eastAsia="Times New Roman"/>
            <w:strike w:val="0"/>
            <w:color w:val="auto"/>
            <w:u w:val="none"/>
          </w:rPr>
          <w:t>https://doi.org/10.1016/j.midw.2024.103993</w:t>
        </w:r>
      </w:hyperlink>
    </w:p>
    <w:p w14:paraId="3C70D3CE"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Nasreen, H. E., Leppard, M., Al Mamun, M., Billah, M., Mistry, S. K., Rahman, M., &amp; Nicholls, P. (2012). Men’s knowledge and awareness of maternal, neonatal and child health care in rural Bangladesh: A comparative cross sectional study. Reproductive Health, 9(18). </w:t>
      </w:r>
      <w:hyperlink r:id="rId20" w:tgtFrame="_blank" w:history="1">
        <w:r w:rsidRPr="009B3C9B">
          <w:rPr>
            <w:rStyle w:val="Hyperlink"/>
            <w:rFonts w:eastAsia="Times New Roman"/>
            <w:strike w:val="0"/>
            <w:color w:val="auto"/>
            <w:u w:val="none"/>
          </w:rPr>
          <w:t>https://doi.org/10.1186/1742-4755-9-18</w:t>
        </w:r>
      </w:hyperlink>
    </w:p>
    <w:p w14:paraId="4F7A5C01"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National Bureau of Statistics (NBS) &amp; United Nations Children’s Fund (UNICEF). (2022). Multiple indicator cluster survey 2021, survey findings report. NBS and UNICEF. </w:t>
      </w:r>
      <w:hyperlink r:id="rId21" w:tgtFrame="_blank" w:history="1">
        <w:r w:rsidRPr="009B3C9B">
          <w:rPr>
            <w:rStyle w:val="Hyperlink"/>
            <w:rFonts w:eastAsia="Times New Roman"/>
            <w:strike w:val="0"/>
            <w:color w:val="auto"/>
            <w:u w:val="none"/>
          </w:rPr>
          <w:t>https://www.unicef.org/nigeria/reports/2021-multiple-indicator-cluster-survey-national-immunization-coverage-survey-report</w:t>
        </w:r>
      </w:hyperlink>
    </w:p>
    <w:p w14:paraId="242867DC"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National Population Commission (NPC) &amp; ICF. (2019). Nigeria demographic and health survey 2018. NPC and ICF. </w:t>
      </w:r>
      <w:hyperlink r:id="rId22" w:tgtFrame="_blank" w:history="1">
        <w:r w:rsidRPr="009B3C9B">
          <w:rPr>
            <w:rStyle w:val="Hyperlink"/>
            <w:rFonts w:eastAsia="Times New Roman"/>
            <w:strike w:val="0"/>
            <w:color w:val="auto"/>
            <w:u w:val="none"/>
          </w:rPr>
          <w:t>https://dhsprogram.com/publications/publication-fr359-dhs-final-reports.cfm</w:t>
        </w:r>
      </w:hyperlink>
    </w:p>
    <w:p w14:paraId="3D252010"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Ongolly, F. K., &amp; Bukachi, S. A. (2019). Barriers to men’s involvement in antenatal and postnatal care in Butula, western Kenya. African Journal of Primary Health Care &amp; Family Medicine, 11(1), 1911. </w:t>
      </w:r>
      <w:hyperlink r:id="rId23" w:tgtFrame="_blank" w:history="1">
        <w:r w:rsidRPr="009B3C9B">
          <w:rPr>
            <w:rStyle w:val="Hyperlink"/>
            <w:rFonts w:eastAsia="Times New Roman"/>
            <w:strike w:val="0"/>
            <w:color w:val="auto"/>
            <w:u w:val="none"/>
          </w:rPr>
          <w:t>https://doi.org/10.4102/phcfm.v11i1.1911</w:t>
        </w:r>
      </w:hyperlink>
    </w:p>
    <w:p w14:paraId="544BE80B"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Peduzzi, P., Concato, J., Kemper, E., Holford, T. R., &amp; Feinstein, A. R. (1996). A simulation study of the number of events per variable in logistic regression analysis. Journal of Clinical Epidemiology, 49(12), 1373–1379. </w:t>
      </w:r>
      <w:hyperlink r:id="rId24" w:tgtFrame="_blank" w:history="1">
        <w:r w:rsidRPr="009B3C9B">
          <w:rPr>
            <w:rStyle w:val="Hyperlink"/>
            <w:rFonts w:eastAsia="Times New Roman"/>
            <w:strike w:val="0"/>
            <w:color w:val="auto"/>
            <w:u w:val="none"/>
          </w:rPr>
          <w:t>https://doi.org/10.1016/S0895-4356(96)00236-3</w:t>
        </w:r>
      </w:hyperlink>
    </w:p>
    <w:p w14:paraId="7F11CCDA"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Raji, M. O., Sani, A. A., Ibrahim, L. S., Muhammad, H., Oladigbolu, R. A., &amp; Kaoje, A. U. (2019). Assessment of the knowledge of fathers, uptake of routine immunization, and its associated factors in a rural community of North West Nigeria. Annals of African Medicine, 18(2), 97–102. </w:t>
      </w:r>
      <w:hyperlink r:id="rId25" w:tgtFrame="_blank" w:history="1">
        <w:r w:rsidRPr="009B3C9B">
          <w:rPr>
            <w:rStyle w:val="Hyperlink"/>
            <w:rFonts w:eastAsia="Times New Roman"/>
            <w:strike w:val="0"/>
            <w:color w:val="auto"/>
            <w:u w:val="none"/>
          </w:rPr>
          <w:t>https://doi.org/10.4103/aam.aam_41_18</w:t>
        </w:r>
      </w:hyperlink>
    </w:p>
    <w:p w14:paraId="68ECC5BF"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Sharma, S., Kc, B., &amp; Khatri, A. (2018). Factors influencing male participation in reproductive health: A qualitative study. Journal of Multidisciplinary Healthcare, 11, 601–608. </w:t>
      </w:r>
      <w:hyperlink r:id="rId26" w:tgtFrame="_blank" w:history="1">
        <w:r w:rsidRPr="009B3C9B">
          <w:rPr>
            <w:rStyle w:val="Hyperlink"/>
            <w:rFonts w:eastAsia="Times New Roman"/>
            <w:strike w:val="0"/>
            <w:color w:val="auto"/>
            <w:u w:val="none"/>
          </w:rPr>
          <w:t>https://doi.org/10.2147/JMDH.S176267</w:t>
        </w:r>
      </w:hyperlink>
    </w:p>
    <w:p w14:paraId="5E6B28A5"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 xml:space="preserve">Sodeinde, K., Bamidele, F., Adefala, N., &amp; Sodeinde, A. (2020). Male knowledge of birth preparedness in Ogun State, Nigeria: A rural/urban comparative cross-sectional study. </w:t>
      </w:r>
      <w:r w:rsidRPr="009B3C9B">
        <w:rPr>
          <w:rFonts w:eastAsia="Times New Roman"/>
          <w:strike w:val="0"/>
        </w:rPr>
        <w:lastRenderedPageBreak/>
        <w:t>Babcock University Medical Journal (BUMJ), 3(1), 1–10. </w:t>
      </w:r>
      <w:hyperlink r:id="rId27" w:tgtFrame="_blank" w:history="1">
        <w:r w:rsidRPr="009B3C9B">
          <w:rPr>
            <w:rStyle w:val="Hyperlink"/>
            <w:rFonts w:eastAsia="Times New Roman"/>
            <w:strike w:val="0"/>
            <w:color w:val="auto"/>
            <w:u w:val="none"/>
          </w:rPr>
          <w:t>https://doi.org/10.38029/bumj.v3i1.24</w:t>
        </w:r>
      </w:hyperlink>
    </w:p>
    <w:p w14:paraId="5003303C"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Suryawanshi, D. S., Rajaseharan, D., &amp; Venugopal, R. (2021). Involvement of husband in maternal and child health care in rural field practice area of a tertiary medical college in South India: A mixed method study. Journal of Family Medicine and Primary Care, 10(8), 2829–2833. </w:t>
      </w:r>
      <w:hyperlink r:id="rId28" w:tgtFrame="_blank" w:history="1">
        <w:r w:rsidRPr="009B3C9B">
          <w:rPr>
            <w:rStyle w:val="Hyperlink"/>
            <w:rFonts w:eastAsia="Times New Roman"/>
            <w:strike w:val="0"/>
            <w:color w:val="auto"/>
            <w:u w:val="none"/>
          </w:rPr>
          <w:t>https://doi.org/10.4103/jfmpc.jfmpc_2342_20</w:t>
        </w:r>
      </w:hyperlink>
    </w:p>
    <w:p w14:paraId="255E5606"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Tadesse, M., Boltena, A. T., &amp; Asamoah, B. O. (2018). Husbands’ participation in birth preparedness and complication readiness and associated factors in Wolaita Sodo town, Southern Ethiopia. African Journal of Primary Health Care &amp; Family Medicine, 10(1). </w:t>
      </w:r>
      <w:hyperlink r:id="rId29" w:tgtFrame="_blank" w:history="1">
        <w:r w:rsidRPr="009B3C9B">
          <w:rPr>
            <w:rStyle w:val="Hyperlink"/>
            <w:rFonts w:eastAsia="Times New Roman"/>
            <w:strike w:val="0"/>
            <w:color w:val="auto"/>
            <w:u w:val="none"/>
          </w:rPr>
          <w:t>https://doi.org/10.4102/phcfm.v10i1.1471</w:t>
        </w:r>
      </w:hyperlink>
    </w:p>
    <w:p w14:paraId="2F16F10F"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Tokhi, M., Comrie-Thomson, L., Davis, J., Portela, A., Chersich, M., &amp; Luchters, S. (2018). Involving men to improve maternal and newborn health: A systematic review of the effectiveness of interventions. PLOS ONE, 13(1), e0191620. </w:t>
      </w:r>
      <w:hyperlink r:id="rId30" w:tgtFrame="_blank" w:history="1">
        <w:r w:rsidRPr="009B3C9B">
          <w:rPr>
            <w:rStyle w:val="Hyperlink"/>
            <w:rFonts w:eastAsia="Times New Roman"/>
            <w:strike w:val="0"/>
            <w:color w:val="auto"/>
            <w:u w:val="none"/>
          </w:rPr>
          <w:t>https://doi.org/10.1371/journal.pone.0191620</w:t>
        </w:r>
      </w:hyperlink>
    </w:p>
    <w:p w14:paraId="1E2A8DDD"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Vittinghoff, E., &amp; McCulloch, C. E. (2007). Relaxing the rule of ten events per variable in logistic and Cox regression. American Journal of Epidemiology, 165(6), 710–718. </w:t>
      </w:r>
      <w:hyperlink r:id="rId31" w:tgtFrame="_blank" w:history="1">
        <w:r w:rsidRPr="009B3C9B">
          <w:rPr>
            <w:rStyle w:val="Hyperlink"/>
            <w:rFonts w:eastAsia="Times New Roman"/>
            <w:strike w:val="0"/>
            <w:color w:val="auto"/>
            <w:u w:val="none"/>
          </w:rPr>
          <w:t>https://doi.org/10.1093/aje/kwk052</w:t>
        </w:r>
      </w:hyperlink>
    </w:p>
    <w:p w14:paraId="619120B7" w14:textId="77777777" w:rsidR="009B3C9B" w:rsidRPr="009B3C9B" w:rsidRDefault="009B3C9B" w:rsidP="009B3C9B">
      <w:pPr>
        <w:spacing w:before="100" w:beforeAutospacing="1" w:after="100" w:afterAutospacing="1" w:line="240" w:lineRule="auto"/>
        <w:rPr>
          <w:rFonts w:eastAsia="Times New Roman"/>
          <w:strike w:val="0"/>
        </w:rPr>
      </w:pPr>
      <w:r w:rsidRPr="009B3C9B">
        <w:rPr>
          <w:rFonts w:eastAsia="Times New Roman"/>
          <w:strike w:val="0"/>
        </w:rPr>
        <w:t>Yargawa, J., &amp; Leonardi-Bee, J. (2015). Male involvement and maternal health outcomes: Systematic review and meta-analysis. Journal of Epidemiology and Community Health, 69, 604–612.</w:t>
      </w:r>
    </w:p>
    <w:p w14:paraId="5B56634B" w14:textId="77777777" w:rsidR="008E03AD" w:rsidRPr="007504E7" w:rsidRDefault="008E03AD" w:rsidP="00253EEF">
      <w:pPr>
        <w:spacing w:before="100" w:beforeAutospacing="1" w:after="100" w:afterAutospacing="1" w:line="240" w:lineRule="auto"/>
        <w:rPr>
          <w:rFonts w:eastAsia="Times New Roman"/>
          <w:strike w:val="0"/>
        </w:rPr>
      </w:pPr>
    </w:p>
    <w:sectPr w:rsidR="008E03AD" w:rsidRPr="007504E7" w:rsidSect="000604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8128" w14:textId="77777777" w:rsidR="002831FB" w:rsidRDefault="002831FB" w:rsidP="00673CF8">
      <w:pPr>
        <w:spacing w:after="0" w:line="240" w:lineRule="auto"/>
      </w:pPr>
      <w:r>
        <w:separator/>
      </w:r>
    </w:p>
  </w:endnote>
  <w:endnote w:type="continuationSeparator" w:id="0">
    <w:p w14:paraId="136C2A3C" w14:textId="77777777" w:rsidR="002831FB" w:rsidRDefault="002831FB" w:rsidP="0067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666F3" w14:textId="77777777" w:rsidR="00EE6F48" w:rsidRDefault="00EE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068160"/>
      <w:docPartObj>
        <w:docPartGallery w:val="Page Numbers (Bottom of Page)"/>
        <w:docPartUnique/>
      </w:docPartObj>
    </w:sdtPr>
    <w:sdtEndPr>
      <w:rPr>
        <w:strike w:val="0"/>
        <w:noProof/>
      </w:rPr>
    </w:sdtEndPr>
    <w:sdtContent>
      <w:p w14:paraId="53323414" w14:textId="58AA5EB7" w:rsidR="00673CF8" w:rsidRPr="00673CF8" w:rsidRDefault="00673CF8">
        <w:pPr>
          <w:pStyle w:val="Footer"/>
          <w:jc w:val="center"/>
          <w:rPr>
            <w:strike w:val="0"/>
          </w:rPr>
        </w:pPr>
        <w:r w:rsidRPr="00673CF8">
          <w:rPr>
            <w:strike w:val="0"/>
          </w:rPr>
          <w:fldChar w:fldCharType="begin"/>
        </w:r>
        <w:r w:rsidRPr="00673CF8">
          <w:rPr>
            <w:strike w:val="0"/>
          </w:rPr>
          <w:instrText xml:space="preserve"> PAGE   \* MERGEFORMAT </w:instrText>
        </w:r>
        <w:r w:rsidRPr="00673CF8">
          <w:rPr>
            <w:strike w:val="0"/>
          </w:rPr>
          <w:fldChar w:fldCharType="separate"/>
        </w:r>
        <w:r w:rsidRPr="00673CF8">
          <w:rPr>
            <w:strike w:val="0"/>
            <w:noProof/>
          </w:rPr>
          <w:t>2</w:t>
        </w:r>
        <w:r w:rsidRPr="00673CF8">
          <w:rPr>
            <w:strike w:val="0"/>
            <w:noProof/>
          </w:rPr>
          <w:fldChar w:fldCharType="end"/>
        </w:r>
      </w:p>
    </w:sdtContent>
  </w:sdt>
  <w:p w14:paraId="3FA56FC8" w14:textId="77777777" w:rsidR="00673CF8" w:rsidRDefault="00673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8465" w14:textId="77777777" w:rsidR="00EE6F48" w:rsidRDefault="00EE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F4322" w14:textId="77777777" w:rsidR="002831FB" w:rsidRDefault="002831FB" w:rsidP="00673CF8">
      <w:pPr>
        <w:spacing w:after="0" w:line="240" w:lineRule="auto"/>
      </w:pPr>
      <w:r>
        <w:separator/>
      </w:r>
    </w:p>
  </w:footnote>
  <w:footnote w:type="continuationSeparator" w:id="0">
    <w:p w14:paraId="2C187778" w14:textId="77777777" w:rsidR="002831FB" w:rsidRDefault="002831FB" w:rsidP="0067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4300" w14:textId="48F81799" w:rsidR="00EE6F48" w:rsidRDefault="00EE6F48">
    <w:pPr>
      <w:pStyle w:val="Header"/>
    </w:pPr>
    <w:r>
      <w:rPr>
        <w:noProof/>
      </w:rPr>
      <w:pict w14:anchorId="14AC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CEBB" w14:textId="180592DF" w:rsidR="00EE6F48" w:rsidRDefault="00EE6F48">
    <w:pPr>
      <w:pStyle w:val="Header"/>
    </w:pPr>
    <w:r>
      <w:rPr>
        <w:noProof/>
      </w:rPr>
      <w:pict w14:anchorId="4EC5D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B947" w14:textId="5E00D88C" w:rsidR="00EE6F48" w:rsidRDefault="00EE6F48">
    <w:pPr>
      <w:pStyle w:val="Header"/>
    </w:pPr>
    <w:r>
      <w:rPr>
        <w:noProof/>
      </w:rPr>
      <w:pict w14:anchorId="6C6AF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23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01B"/>
    <w:multiLevelType w:val="multilevel"/>
    <w:tmpl w:val="50DE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3D7F"/>
    <w:multiLevelType w:val="multilevel"/>
    <w:tmpl w:val="EA76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E1F6A"/>
    <w:multiLevelType w:val="multilevel"/>
    <w:tmpl w:val="948E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524BF"/>
    <w:multiLevelType w:val="multilevel"/>
    <w:tmpl w:val="C6DC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305E0"/>
    <w:multiLevelType w:val="multilevel"/>
    <w:tmpl w:val="2CD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C95"/>
    <w:multiLevelType w:val="multilevel"/>
    <w:tmpl w:val="646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D129B"/>
    <w:multiLevelType w:val="multilevel"/>
    <w:tmpl w:val="D5E2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E6"/>
    <w:rsid w:val="0000076F"/>
    <w:rsid w:val="00016519"/>
    <w:rsid w:val="00047838"/>
    <w:rsid w:val="00060447"/>
    <w:rsid w:val="00075DCA"/>
    <w:rsid w:val="00080DD2"/>
    <w:rsid w:val="000A1361"/>
    <w:rsid w:val="000C50A0"/>
    <w:rsid w:val="000C7827"/>
    <w:rsid w:val="000D6DC1"/>
    <w:rsid w:val="000F4129"/>
    <w:rsid w:val="00113230"/>
    <w:rsid w:val="0012611F"/>
    <w:rsid w:val="0018426B"/>
    <w:rsid w:val="001A5BB1"/>
    <w:rsid w:val="001A7DCA"/>
    <w:rsid w:val="001B0E44"/>
    <w:rsid w:val="001B36F1"/>
    <w:rsid w:val="001C43A3"/>
    <w:rsid w:val="001D268D"/>
    <w:rsid w:val="001E1946"/>
    <w:rsid w:val="001F3456"/>
    <w:rsid w:val="00204427"/>
    <w:rsid w:val="00253EEF"/>
    <w:rsid w:val="00275497"/>
    <w:rsid w:val="002831FB"/>
    <w:rsid w:val="002934B9"/>
    <w:rsid w:val="002C369D"/>
    <w:rsid w:val="002E3C8B"/>
    <w:rsid w:val="002E7819"/>
    <w:rsid w:val="002F4D0A"/>
    <w:rsid w:val="00303B53"/>
    <w:rsid w:val="00314E2D"/>
    <w:rsid w:val="00325DDE"/>
    <w:rsid w:val="00384A2A"/>
    <w:rsid w:val="003A4D15"/>
    <w:rsid w:val="003C037B"/>
    <w:rsid w:val="003C797E"/>
    <w:rsid w:val="003D4BF9"/>
    <w:rsid w:val="003F25C7"/>
    <w:rsid w:val="00423B24"/>
    <w:rsid w:val="004A029B"/>
    <w:rsid w:val="004A136E"/>
    <w:rsid w:val="004B53EF"/>
    <w:rsid w:val="004D18C7"/>
    <w:rsid w:val="004D7DB7"/>
    <w:rsid w:val="00510021"/>
    <w:rsid w:val="00511934"/>
    <w:rsid w:val="00512AB7"/>
    <w:rsid w:val="0051751A"/>
    <w:rsid w:val="00542F7A"/>
    <w:rsid w:val="00547E85"/>
    <w:rsid w:val="00553099"/>
    <w:rsid w:val="00555BBC"/>
    <w:rsid w:val="005622BA"/>
    <w:rsid w:val="00572C37"/>
    <w:rsid w:val="00572ED8"/>
    <w:rsid w:val="005D0858"/>
    <w:rsid w:val="005D6CBA"/>
    <w:rsid w:val="005D6E6D"/>
    <w:rsid w:val="005E3BCF"/>
    <w:rsid w:val="005E7A49"/>
    <w:rsid w:val="00605809"/>
    <w:rsid w:val="00635F29"/>
    <w:rsid w:val="006377D6"/>
    <w:rsid w:val="00670033"/>
    <w:rsid w:val="00673CF8"/>
    <w:rsid w:val="00693CB0"/>
    <w:rsid w:val="006C4DC2"/>
    <w:rsid w:val="006F7253"/>
    <w:rsid w:val="00702064"/>
    <w:rsid w:val="007504E7"/>
    <w:rsid w:val="00751C3E"/>
    <w:rsid w:val="00761D72"/>
    <w:rsid w:val="007776D3"/>
    <w:rsid w:val="007953CE"/>
    <w:rsid w:val="007A6CA8"/>
    <w:rsid w:val="007C0A41"/>
    <w:rsid w:val="007D37CA"/>
    <w:rsid w:val="007E48AA"/>
    <w:rsid w:val="00807D67"/>
    <w:rsid w:val="0081060F"/>
    <w:rsid w:val="008359D6"/>
    <w:rsid w:val="00837830"/>
    <w:rsid w:val="008738BF"/>
    <w:rsid w:val="00875C8F"/>
    <w:rsid w:val="00881E1A"/>
    <w:rsid w:val="00885224"/>
    <w:rsid w:val="008B0B0B"/>
    <w:rsid w:val="008D70CD"/>
    <w:rsid w:val="008E03AD"/>
    <w:rsid w:val="008E5ECC"/>
    <w:rsid w:val="008E7B57"/>
    <w:rsid w:val="009103C1"/>
    <w:rsid w:val="00916C0A"/>
    <w:rsid w:val="0091709F"/>
    <w:rsid w:val="00924B35"/>
    <w:rsid w:val="00940B35"/>
    <w:rsid w:val="0096337B"/>
    <w:rsid w:val="00972107"/>
    <w:rsid w:val="00980ED2"/>
    <w:rsid w:val="009B203D"/>
    <w:rsid w:val="009B3C9B"/>
    <w:rsid w:val="009B66C9"/>
    <w:rsid w:val="009C2934"/>
    <w:rsid w:val="009C6C4A"/>
    <w:rsid w:val="009E02EA"/>
    <w:rsid w:val="009E2DC6"/>
    <w:rsid w:val="009E7DD5"/>
    <w:rsid w:val="00A05659"/>
    <w:rsid w:val="00A4148B"/>
    <w:rsid w:val="00A530F8"/>
    <w:rsid w:val="00A54179"/>
    <w:rsid w:val="00A625BF"/>
    <w:rsid w:val="00A70003"/>
    <w:rsid w:val="00A907B7"/>
    <w:rsid w:val="00A97FF0"/>
    <w:rsid w:val="00AC1725"/>
    <w:rsid w:val="00AF4C53"/>
    <w:rsid w:val="00B1506D"/>
    <w:rsid w:val="00B2711E"/>
    <w:rsid w:val="00B44068"/>
    <w:rsid w:val="00B46E5F"/>
    <w:rsid w:val="00B6560B"/>
    <w:rsid w:val="00BB2ADC"/>
    <w:rsid w:val="00C04CD5"/>
    <w:rsid w:val="00C2571E"/>
    <w:rsid w:val="00C263FD"/>
    <w:rsid w:val="00C42DC3"/>
    <w:rsid w:val="00C467D0"/>
    <w:rsid w:val="00C63A9C"/>
    <w:rsid w:val="00C87978"/>
    <w:rsid w:val="00C9213F"/>
    <w:rsid w:val="00CE0186"/>
    <w:rsid w:val="00CE4A13"/>
    <w:rsid w:val="00CF1044"/>
    <w:rsid w:val="00CF42DB"/>
    <w:rsid w:val="00D20D3A"/>
    <w:rsid w:val="00D41824"/>
    <w:rsid w:val="00D7439C"/>
    <w:rsid w:val="00D90266"/>
    <w:rsid w:val="00D96DE6"/>
    <w:rsid w:val="00DA02F3"/>
    <w:rsid w:val="00DE545F"/>
    <w:rsid w:val="00DE5844"/>
    <w:rsid w:val="00E007E9"/>
    <w:rsid w:val="00E13E7F"/>
    <w:rsid w:val="00E16B5A"/>
    <w:rsid w:val="00E22D2B"/>
    <w:rsid w:val="00E3746A"/>
    <w:rsid w:val="00E42C4C"/>
    <w:rsid w:val="00E510BB"/>
    <w:rsid w:val="00E627F2"/>
    <w:rsid w:val="00E73A34"/>
    <w:rsid w:val="00E75096"/>
    <w:rsid w:val="00E93D5C"/>
    <w:rsid w:val="00EC7115"/>
    <w:rsid w:val="00ED2623"/>
    <w:rsid w:val="00ED4ABA"/>
    <w:rsid w:val="00EE0E7A"/>
    <w:rsid w:val="00EE6F48"/>
    <w:rsid w:val="00F322FF"/>
    <w:rsid w:val="00F33ECC"/>
    <w:rsid w:val="00F34129"/>
    <w:rsid w:val="00F71A33"/>
    <w:rsid w:val="00F72D57"/>
    <w:rsid w:val="00F85459"/>
    <w:rsid w:val="00F97200"/>
    <w:rsid w:val="00F974D3"/>
    <w:rsid w:val="00FB7571"/>
    <w:rsid w:val="00FD1B1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89B43"/>
  <w15:chartTrackingRefBased/>
  <w15:docId w15:val="{9DBBFD91-F95F-4A54-A890-479B364D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B35"/>
  </w:style>
  <w:style w:type="paragraph" w:styleId="Heading1">
    <w:name w:val="heading 1"/>
    <w:basedOn w:val="Normal"/>
    <w:next w:val="Normal"/>
    <w:link w:val="Heading1Char"/>
    <w:uiPriority w:val="9"/>
    <w:qFormat/>
    <w:rsid w:val="00D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6D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D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D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6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6D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D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D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D96DE6"/>
    <w:rPr>
      <w:i/>
      <w:iCs/>
      <w:color w:val="404040" w:themeColor="text1" w:themeTint="BF"/>
    </w:rPr>
  </w:style>
  <w:style w:type="paragraph" w:styleId="ListParagraph">
    <w:name w:val="List Paragraph"/>
    <w:basedOn w:val="Normal"/>
    <w:uiPriority w:val="34"/>
    <w:qFormat/>
    <w:rsid w:val="00D96DE6"/>
    <w:pPr>
      <w:ind w:left="720"/>
      <w:contextualSpacing/>
    </w:pPr>
  </w:style>
  <w:style w:type="character" w:styleId="IntenseEmphasis">
    <w:name w:val="Intense Emphasis"/>
    <w:basedOn w:val="DefaultParagraphFont"/>
    <w:uiPriority w:val="21"/>
    <w:qFormat/>
    <w:rsid w:val="00D96DE6"/>
    <w:rPr>
      <w:i/>
      <w:iCs/>
      <w:color w:val="2F5496" w:themeColor="accent1" w:themeShade="BF"/>
    </w:rPr>
  </w:style>
  <w:style w:type="paragraph" w:styleId="IntenseQuote">
    <w:name w:val="Intense Quote"/>
    <w:basedOn w:val="Normal"/>
    <w:next w:val="Normal"/>
    <w:link w:val="IntenseQuoteChar"/>
    <w:uiPriority w:val="30"/>
    <w:qFormat/>
    <w:rsid w:val="00D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DE6"/>
    <w:rPr>
      <w:i/>
      <w:iCs/>
      <w:color w:val="2F5496" w:themeColor="accent1" w:themeShade="BF"/>
    </w:rPr>
  </w:style>
  <w:style w:type="character" w:styleId="IntenseReference">
    <w:name w:val="Intense Reference"/>
    <w:basedOn w:val="DefaultParagraphFont"/>
    <w:uiPriority w:val="32"/>
    <w:qFormat/>
    <w:rsid w:val="00D96DE6"/>
    <w:rPr>
      <w:b/>
      <w:bCs/>
      <w:smallCaps/>
      <w:color w:val="2F5496" w:themeColor="accent1" w:themeShade="BF"/>
      <w:spacing w:val="5"/>
    </w:rPr>
  </w:style>
  <w:style w:type="paragraph" w:styleId="NormalWeb">
    <w:name w:val="Normal (Web)"/>
    <w:basedOn w:val="Normal"/>
    <w:uiPriority w:val="99"/>
    <w:semiHidden/>
    <w:unhideWhenUsed/>
    <w:rsid w:val="00253EEF"/>
    <w:pPr>
      <w:spacing w:before="100" w:beforeAutospacing="1" w:after="100" w:afterAutospacing="1" w:line="240" w:lineRule="auto"/>
    </w:pPr>
    <w:rPr>
      <w:rFonts w:eastAsia="Times New Roman"/>
      <w:strike w:val="0"/>
    </w:rPr>
  </w:style>
  <w:style w:type="character" w:customStyle="1" w:styleId="math-inline">
    <w:name w:val="math-inline"/>
    <w:basedOn w:val="DefaultParagraphFont"/>
    <w:rsid w:val="00253EEF"/>
  </w:style>
  <w:style w:type="paragraph" w:styleId="Header">
    <w:name w:val="header"/>
    <w:basedOn w:val="Normal"/>
    <w:link w:val="HeaderChar"/>
    <w:uiPriority w:val="99"/>
    <w:unhideWhenUsed/>
    <w:rsid w:val="0067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CF8"/>
  </w:style>
  <w:style w:type="paragraph" w:styleId="Footer">
    <w:name w:val="footer"/>
    <w:basedOn w:val="Normal"/>
    <w:link w:val="FooterChar"/>
    <w:uiPriority w:val="99"/>
    <w:unhideWhenUsed/>
    <w:rsid w:val="00673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CF8"/>
  </w:style>
  <w:style w:type="character" w:styleId="Hyperlink">
    <w:name w:val="Hyperlink"/>
    <w:basedOn w:val="DefaultParagraphFont"/>
    <w:uiPriority w:val="99"/>
    <w:unhideWhenUsed/>
    <w:rsid w:val="00E42C4C"/>
    <w:rPr>
      <w:color w:val="0563C1" w:themeColor="hyperlink"/>
      <w:u w:val="single"/>
    </w:rPr>
  </w:style>
  <w:style w:type="character" w:styleId="UnresolvedMention">
    <w:name w:val="Unresolved Mention"/>
    <w:basedOn w:val="DefaultParagraphFont"/>
    <w:uiPriority w:val="99"/>
    <w:semiHidden/>
    <w:unhideWhenUsed/>
    <w:rsid w:val="009B3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402/gha.v9.30064" TargetMode="External"/><Relationship Id="rId18" Type="http://schemas.openxmlformats.org/officeDocument/2006/relationships/hyperlink" Target="https://doi.org/10.18332/ejm/112258" TargetMode="External"/><Relationship Id="rId26" Type="http://schemas.openxmlformats.org/officeDocument/2006/relationships/hyperlink" Target="https://doi.org/10.2147/JMDH.S176267" TargetMode="External"/><Relationship Id="rId39" Type="http://schemas.openxmlformats.org/officeDocument/2006/relationships/theme" Target="theme/theme1.xml"/><Relationship Id="rId21" Type="http://schemas.openxmlformats.org/officeDocument/2006/relationships/hyperlink" Target="https://www.unicef.org/nigeria/reports/2021-multiple-indicator-cluster-survey-national-immunization-coverage-survey-report"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80/07399332.2013.815751" TargetMode="External"/><Relationship Id="rId17" Type="http://schemas.openxmlformats.org/officeDocument/2006/relationships/hyperlink" Target="https://doi.org/10.3390/ijerph14111333" TargetMode="External"/><Relationship Id="rId25" Type="http://schemas.openxmlformats.org/officeDocument/2006/relationships/hyperlink" Target="https://doi.org/10.4103/aam.aam_41_1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21111482" TargetMode="External"/><Relationship Id="rId20" Type="http://schemas.openxmlformats.org/officeDocument/2006/relationships/hyperlink" Target="https://doi.org/10.1186/1742-4755-9-18" TargetMode="External"/><Relationship Id="rId29" Type="http://schemas.openxmlformats.org/officeDocument/2006/relationships/hyperlink" Target="https://doi.org/10.4102/phcfm.v10i1.1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92/001c.94211" TargetMode="External"/><Relationship Id="rId24" Type="http://schemas.openxmlformats.org/officeDocument/2006/relationships/hyperlink" Target="https://doi.org/10.1016/S0895-4356(96)00236-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jmsdr.org/pastissue.php" TargetMode="External"/><Relationship Id="rId23" Type="http://schemas.openxmlformats.org/officeDocument/2006/relationships/hyperlink" Target="https://doi.org/10.4102/phcfm.v11i1.1911" TargetMode="External"/><Relationship Id="rId28" Type="http://schemas.openxmlformats.org/officeDocument/2006/relationships/hyperlink" Target="https://doi.org/10.4103/jfmpc.jfmpc_2342_20" TargetMode="External"/><Relationship Id="rId36" Type="http://schemas.openxmlformats.org/officeDocument/2006/relationships/header" Target="header3.xml"/><Relationship Id="rId10" Type="http://schemas.openxmlformats.org/officeDocument/2006/relationships/hyperlink" Target="https://doi.org/10.4314/gmj.v58i1.6" TargetMode="External"/><Relationship Id="rId19" Type="http://schemas.openxmlformats.org/officeDocument/2006/relationships/hyperlink" Target="https://doi.org/10.1016/j.midw.2024.103993" TargetMode="External"/><Relationship Id="rId31" Type="http://schemas.openxmlformats.org/officeDocument/2006/relationships/hyperlink" Target="https://doi.org/10.1093/aje/kwk052" TargetMode="External"/><Relationship Id="rId4" Type="http://schemas.openxmlformats.org/officeDocument/2006/relationships/webSettings" Target="webSettings.xml"/><Relationship Id="rId9" Type="http://schemas.openxmlformats.org/officeDocument/2006/relationships/hyperlink" Target="https://doi.org/10.18332/popmed/171542" TargetMode="External"/><Relationship Id="rId14" Type="http://schemas.openxmlformats.org/officeDocument/2006/relationships/hyperlink" Target="https://journalaji.com/index.php/AJI/article/view/189" TargetMode="External"/><Relationship Id="rId22" Type="http://schemas.openxmlformats.org/officeDocument/2006/relationships/hyperlink" Target="https://dhsprogram.com/publications/publication-fr359-dhs-final-reports.cfm" TargetMode="External"/><Relationship Id="rId27" Type="http://schemas.openxmlformats.org/officeDocument/2006/relationships/hyperlink" Target="https://doi.org/10.38029/bumj.v3i1.24" TargetMode="External"/><Relationship Id="rId30" Type="http://schemas.openxmlformats.org/officeDocument/2006/relationships/hyperlink" Target="https://doi.org/10.1371/journal.pone.0191620" TargetMode="External"/><Relationship Id="rId35" Type="http://schemas.openxmlformats.org/officeDocument/2006/relationships/footer" Target="footer2.xml"/><Relationship Id="rId8" Type="http://schemas.openxmlformats.org/officeDocument/2006/relationships/hyperlink" Target="https://doi.org/10.11604/pamj.2017.26.159.1153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17</Pages>
  <Words>7211</Words>
  <Characters>41105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SDI 1084</cp:lastModifiedBy>
  <cp:revision>248</cp:revision>
  <dcterms:created xsi:type="dcterms:W3CDTF">2026-04-28T10:06:00Z</dcterms:created>
  <dcterms:modified xsi:type="dcterms:W3CDTF">2026-05-07T07:19:00Z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3112b7f8-2640-4cce-9f90-3391ff9897a2</vt:lpwstr>
  </property>
</Properties>
</file>