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978B4" w14:textId="77777777" w:rsidR="00C23E78" w:rsidRDefault="00C23E78">
      <w:pPr>
        <w:spacing w:before="200" w:after="80"/>
        <w:jc w:val="center"/>
        <w:rPr>
          <w:b/>
          <w:bCs/>
          <w:sz w:val="30"/>
          <w:szCs w:val="30"/>
          <w:lang w:val="en-US"/>
        </w:rPr>
      </w:pPr>
      <w:r w:rsidRPr="00C23E78">
        <w:rPr>
          <w:b/>
          <w:bCs/>
          <w:sz w:val="30"/>
          <w:szCs w:val="30"/>
          <w:lang w:val="en-US"/>
        </w:rPr>
        <w:t xml:space="preserve">Case study </w:t>
      </w:r>
    </w:p>
    <w:p w14:paraId="74FB00A2" w14:textId="44E1781B" w:rsidR="002F22A8" w:rsidRPr="000D0FE0" w:rsidRDefault="002945EB">
      <w:pPr>
        <w:spacing w:before="200" w:after="80"/>
        <w:jc w:val="center"/>
        <w:rPr>
          <w:lang w:val="en-US"/>
        </w:rPr>
      </w:pPr>
      <w:r w:rsidRPr="000D0FE0">
        <w:rPr>
          <w:b/>
          <w:bCs/>
          <w:sz w:val="30"/>
          <w:szCs w:val="30"/>
          <w:lang w:val="en-US"/>
        </w:rPr>
        <w:t>Pelvic Bone Tumor Resection with Limb Preservation:</w:t>
      </w:r>
    </w:p>
    <w:p w14:paraId="5C54366B" w14:textId="77777777" w:rsidR="002F22A8" w:rsidRPr="000D0FE0" w:rsidRDefault="002945EB">
      <w:pPr>
        <w:spacing w:after="80"/>
        <w:jc w:val="center"/>
        <w:rPr>
          <w:lang w:val="en-US"/>
        </w:rPr>
      </w:pPr>
      <w:r w:rsidRPr="000D0FE0">
        <w:rPr>
          <w:b/>
          <w:bCs/>
          <w:sz w:val="30"/>
          <w:szCs w:val="30"/>
          <w:lang w:val="en-US"/>
        </w:rPr>
        <w:t>Prosthetic Reconstruction, Osteosynthesis, and Conservative Surgical Approaches</w:t>
      </w:r>
    </w:p>
    <w:p w14:paraId="25B8928C" w14:textId="77777777" w:rsidR="002F22A8" w:rsidRDefault="002945EB">
      <w:pPr>
        <w:spacing w:after="160"/>
        <w:jc w:val="center"/>
        <w:rPr>
          <w:b/>
          <w:bCs/>
          <w:sz w:val="30"/>
          <w:szCs w:val="30"/>
          <w:lang w:val="en-US"/>
        </w:rPr>
      </w:pPr>
      <w:r w:rsidRPr="000D0FE0">
        <w:rPr>
          <w:b/>
          <w:bCs/>
          <w:sz w:val="30"/>
          <w:szCs w:val="30"/>
          <w:lang w:val="en-US"/>
        </w:rPr>
        <w:t>– A Six-Case Series</w:t>
      </w:r>
    </w:p>
    <w:p w14:paraId="34DAB903" w14:textId="77777777" w:rsidR="000D0FE0" w:rsidRPr="000D0FE0" w:rsidRDefault="000D0FE0">
      <w:pPr>
        <w:spacing w:after="160"/>
        <w:jc w:val="center"/>
        <w:rPr>
          <w:lang w:val="en-US"/>
        </w:rPr>
      </w:pPr>
    </w:p>
    <w:p w14:paraId="2B5DAA09" w14:textId="77777777" w:rsidR="000D0FE0" w:rsidRPr="000D0FE0" w:rsidRDefault="000D0FE0">
      <w:pPr>
        <w:spacing w:before="40" w:after="160"/>
        <w:jc w:val="center"/>
        <w:rPr>
          <w:lang w:val="en-US"/>
        </w:rPr>
      </w:pPr>
    </w:p>
    <w:p w14:paraId="4350EAC5" w14:textId="77777777" w:rsidR="002F22A8" w:rsidRPr="000D0FE0" w:rsidRDefault="002945EB">
      <w:pPr>
        <w:pBdr>
          <w:top w:val="single" w:sz="6" w:space="0" w:color="2E4099"/>
          <w:left w:val="single" w:sz="20" w:space="0" w:color="2E4099"/>
          <w:bottom w:val="single" w:sz="6" w:space="0" w:color="2E4099"/>
          <w:right w:val="single" w:sz="6" w:space="0" w:color="CCCCCC"/>
        </w:pBdr>
        <w:spacing w:before="120" w:after="6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ABSTRACT</w:t>
      </w:r>
    </w:p>
    <w:p w14:paraId="124B56B2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b/>
          <w:bCs/>
          <w:lang w:val="en-US"/>
        </w:rPr>
        <w:t xml:space="preserve">Aims: </w:t>
      </w:r>
      <w:r w:rsidRPr="000D0FE0">
        <w:rPr>
          <w:lang w:val="en-US"/>
        </w:rPr>
        <w:t>To report the diagnostic and therapeutic features of six patients managed for pelvic bone tumors in a Moroccan tertiary orthopedic unit, highlighting surgical approache</w:t>
      </w:r>
      <w:r w:rsidRPr="000D0FE0">
        <w:rPr>
          <w:lang w:val="en-US"/>
        </w:rPr>
        <w:t>s, reconstructive choices, functional outcomes, and specific challenges in a resource-limited setting.</w:t>
      </w:r>
    </w:p>
    <w:p w14:paraId="6F4996F2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b/>
          <w:bCs/>
          <w:lang w:val="en-US"/>
        </w:rPr>
        <w:t xml:space="preserve">Study Design: </w:t>
      </w:r>
      <w:r w:rsidRPr="000D0FE0">
        <w:rPr>
          <w:lang w:val="en-US"/>
        </w:rPr>
        <w:t>Retrospective descriptive case series.</w:t>
      </w:r>
    </w:p>
    <w:p w14:paraId="7530A92A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b/>
          <w:bCs/>
          <w:lang w:val="en-US"/>
        </w:rPr>
        <w:t xml:space="preserve">Place and Duration of Study: </w:t>
      </w:r>
      <w:r w:rsidRPr="000D0FE0">
        <w:rPr>
          <w:lang w:val="en-US"/>
        </w:rPr>
        <w:t>Department of Orthopedic Surgery and Traumatology, Mohammed VI Universi</w:t>
      </w:r>
      <w:r w:rsidRPr="000D0FE0">
        <w:rPr>
          <w:lang w:val="en-US"/>
        </w:rPr>
        <w:t>ty Hospital, Tangier, Morocco, January 2023 – December 2025.</w:t>
      </w:r>
    </w:p>
    <w:p w14:paraId="66D695C9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b/>
          <w:bCs/>
          <w:lang w:val="en-US"/>
        </w:rPr>
        <w:t xml:space="preserve">Methodology: </w:t>
      </w:r>
      <w:r w:rsidRPr="000D0FE0">
        <w:rPr>
          <w:lang w:val="en-US"/>
        </w:rPr>
        <w:t>Six patients (5 women, 1 man; mean age 35.7 years; range 16–67) operated for histologically confirmed pelvic bone tumors. Data on clinical presentation, multimodal imaging, histological diagnosis, neoadjuvant and adjuvant treatments, surgical resection typ</w:t>
      </w:r>
      <w:r w:rsidRPr="000D0FE0">
        <w:rPr>
          <w:lang w:val="en-US"/>
        </w:rPr>
        <w:t xml:space="preserve">e (Enneking–Dunham classification), reconstructive strategy, complications, functional outcomes (MSTS score), and follow-up were collected via </w:t>
      </w:r>
      <w:proofErr w:type="spellStart"/>
      <w:r w:rsidRPr="000D0FE0">
        <w:rPr>
          <w:lang w:val="en-US"/>
        </w:rPr>
        <w:t>REDCap</w:t>
      </w:r>
      <w:proofErr w:type="spellEnd"/>
      <w:r w:rsidRPr="000D0FE0">
        <w:rPr>
          <w:lang w:val="en-US"/>
        </w:rPr>
        <w:t xml:space="preserve"> database.</w:t>
      </w:r>
    </w:p>
    <w:p w14:paraId="513D1EA7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b/>
          <w:bCs/>
          <w:lang w:val="en-US"/>
        </w:rPr>
        <w:t xml:space="preserve">Results: </w:t>
      </w:r>
      <w:r w:rsidRPr="000D0FE0">
        <w:rPr>
          <w:lang w:val="en-US"/>
        </w:rPr>
        <w:t xml:space="preserve">Histological subtypes: Ewing sarcoma (n=3), chondrosarcoma (n=1), aneurysmal bone cyst </w:t>
      </w:r>
      <w:r w:rsidRPr="000D0FE0">
        <w:rPr>
          <w:lang w:val="en-US"/>
        </w:rPr>
        <w:t>(n=1), bone metastasis from breast carcinoma (n=1). Mean diagnostic delay: 17 months. All patients underwent limb-sparing surgery. Reconstructions: ilio-femoral ice-cream cone prosthesis (n=1), plate osteosynthesis (n=2), cement + T-plate (n=1), hernia mes</w:t>
      </w:r>
      <w:r w:rsidRPr="000D0FE0">
        <w:rPr>
          <w:lang w:val="en-US"/>
        </w:rPr>
        <w:t>h filling (n=1), no reconstruction (n=1). Four patients (67%) in complete remission (7 months to 2 years follow-up). One death from Ewing sarcoma metastatic relapse. One locoregional recurrence (metastatic carcinoma). Functional recovery satisfactory in su</w:t>
      </w:r>
      <w:r w:rsidRPr="000D0FE0">
        <w:rPr>
          <w:lang w:val="en-US"/>
        </w:rPr>
        <w:t>rvivors.</w:t>
      </w:r>
    </w:p>
    <w:p w14:paraId="30CDD651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b/>
          <w:bCs/>
          <w:lang w:val="en-US"/>
        </w:rPr>
        <w:t xml:space="preserve">Conclusion: </w:t>
      </w:r>
      <w:r w:rsidRPr="000D0FE0">
        <w:rPr>
          <w:lang w:val="en-US"/>
        </w:rPr>
        <w:t>Limb-preserving pelvic surgery is achievable across diverse histological subtypes and reconstructive needs. The 17-month mean diagnostic delay remains the primary obstacle in the Moroccan context. Multidisciplinary tumor boards, improv</w:t>
      </w:r>
      <w:r w:rsidRPr="000D0FE0">
        <w:rPr>
          <w:lang w:val="en-US"/>
        </w:rPr>
        <w:t>ed imaging access, and national referral networks are essential.</w:t>
      </w:r>
    </w:p>
    <w:p w14:paraId="63A3BF9C" w14:textId="77777777" w:rsidR="002F22A8" w:rsidRPr="000D0FE0" w:rsidRDefault="002945EB">
      <w:pPr>
        <w:pBdr>
          <w:bottom w:val="single" w:sz="6" w:space="0" w:color="2E4099"/>
        </w:pBdr>
        <w:spacing w:before="60" w:after="160"/>
        <w:rPr>
          <w:lang w:val="en-US"/>
        </w:rPr>
      </w:pPr>
      <w:r w:rsidRPr="000D0FE0">
        <w:rPr>
          <w:b/>
          <w:bCs/>
          <w:lang w:val="en-US"/>
        </w:rPr>
        <w:t xml:space="preserve">Keywords: </w:t>
      </w:r>
      <w:r w:rsidRPr="000D0FE0">
        <w:rPr>
          <w:i/>
          <w:iCs/>
          <w:lang w:val="en-US"/>
        </w:rPr>
        <w:t xml:space="preserve">pelvic bone tumors; internal hemipelvectomy; limb preservation; prosthetic reconstruction; ice-cream cone prosthesis; Ewing sarcoma; chondrosarcoma; Enneking–Dunham classification; </w:t>
      </w:r>
      <w:r w:rsidRPr="000D0FE0">
        <w:rPr>
          <w:i/>
          <w:iCs/>
          <w:lang w:val="en-US"/>
        </w:rPr>
        <w:t>Morocco</w:t>
      </w:r>
    </w:p>
    <w:p w14:paraId="1BFAA9E0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6"/>
          <w:szCs w:val="26"/>
          <w:lang w:val="en-US"/>
        </w:rPr>
        <w:t>1. INTRODUCTION</w:t>
      </w:r>
    </w:p>
    <w:p w14:paraId="7A53C6EB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Pelvic bone tumors represent a heterogeneous group of rare lesions arising from the skeletal constituents of the pelvic ring — the ilium, ischium, pubis, and sacrum. Their anatomical location, which serves weight-bearing, locomotion</w:t>
      </w:r>
      <w:r w:rsidRPr="000D0FE0">
        <w:rPr>
          <w:lang w:val="en-US"/>
        </w:rPr>
        <w:t>, and visceral protection, makes both diagnosis and treatment particularly challenging [1]. Proximity of major neurovascular structures, biological variability across histological subtypes, and insidious symptom onset consistently lead to delayed presentat</w:t>
      </w:r>
      <w:r w:rsidRPr="000D0FE0">
        <w:rPr>
          <w:lang w:val="en-US"/>
        </w:rPr>
        <w:t>ion at locally advanced stages [2].</w:t>
      </w:r>
    </w:p>
    <w:p w14:paraId="7B032FAF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The imaging workup is central to management: plain radiography provides initial orientation; CT delineates osseous architecture and matrix; MRI maps medullary involvement, extra-osseous extension, and neurovascular relat</w:t>
      </w:r>
      <w:r w:rsidRPr="000D0FE0">
        <w:rPr>
          <w:lang w:val="en-US"/>
        </w:rPr>
        <w:t>ionships; bone scintigraphy or PET-CT completes systemic staging. Definitive diagnosis always rests on image-guided or open biopsy, planned with surgical resection trajectory in mind [3,4].</w:t>
      </w:r>
    </w:p>
    <w:p w14:paraId="444958C4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Wide surgical resection with histologically clear margins (R0) rem</w:t>
      </w:r>
      <w:r w:rsidRPr="000D0FE0">
        <w:rPr>
          <w:lang w:val="en-US"/>
        </w:rPr>
        <w:t>ains the cornerstone of curative treatment, directly correlated with local control and survival. Chemotherapy is indispensable in Ewing sarcoma; chondrosarcoma is primarily managed surgically given its chemoresistance; radiotherapy plays an adjuvant role i</w:t>
      </w:r>
      <w:r w:rsidRPr="000D0FE0">
        <w:rPr>
          <w:lang w:val="en-US"/>
        </w:rPr>
        <w:t xml:space="preserve">n selected cases. The </w:t>
      </w:r>
      <w:proofErr w:type="spellStart"/>
      <w:r w:rsidRPr="000D0FE0">
        <w:rPr>
          <w:lang w:val="en-US"/>
        </w:rPr>
        <w:t>Enneking</w:t>
      </w:r>
      <w:proofErr w:type="spellEnd"/>
      <w:r w:rsidRPr="000D0FE0">
        <w:rPr>
          <w:lang w:val="en-US"/>
        </w:rPr>
        <w:t xml:space="preserve">–Dunham </w:t>
      </w:r>
      <w:proofErr w:type="spellStart"/>
      <w:r w:rsidRPr="000D0FE0">
        <w:rPr>
          <w:lang w:val="en-US"/>
        </w:rPr>
        <w:t>anatomosurgical</w:t>
      </w:r>
      <w:proofErr w:type="spellEnd"/>
      <w:r w:rsidRPr="000D0FE0">
        <w:rPr>
          <w:lang w:val="en-US"/>
        </w:rPr>
        <w:t xml:space="preserve"> classification divides the pelvis into four zones — Zone I (ilium), Zone II (periacetabular), Zone III (ischiopubic ramus), Zone IV (sacrum) — guiding resection planning and reconstructive decision-maki</w:t>
      </w:r>
      <w:r w:rsidRPr="000D0FE0">
        <w:rPr>
          <w:lang w:val="en-US"/>
        </w:rPr>
        <w:t>ng [5,6,7].</w:t>
      </w:r>
    </w:p>
    <w:p w14:paraId="4CDF2B59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lastRenderedPageBreak/>
        <w:t xml:space="preserve">Reconstructive options after acetabular or combined pelvic resections include endoprostheses (saddle prosthesis, ice-cream cone, custom implants), proximal femoral autografts, allografts, arthrodesis, and non-reconstruction in selected cases. </w:t>
      </w:r>
      <w:proofErr w:type="spellStart"/>
      <w:r w:rsidRPr="000D0FE0">
        <w:rPr>
          <w:lang w:val="en-US"/>
        </w:rPr>
        <w:t>A</w:t>
      </w:r>
      <w:r w:rsidRPr="000D0FE0">
        <w:rPr>
          <w:lang w:val="en-US"/>
        </w:rPr>
        <w:t>nract</w:t>
      </w:r>
      <w:proofErr w:type="spellEnd"/>
      <w:r w:rsidRPr="000D0FE0">
        <w:rPr>
          <w:lang w:val="en-US"/>
        </w:rPr>
        <w:t xml:space="preserve"> et al. emphasized that the less anatomically complex the reconstruction, the lower the risk of infection and mechanical failure; iliac wing or obturator ring resections rarely require bony reconstruction [8]. Local recurrence rates after pelvic sarco</w:t>
      </w:r>
      <w:r w:rsidRPr="000D0FE0">
        <w:rPr>
          <w:lang w:val="en-US"/>
        </w:rPr>
        <w:t>ma resection range from 17% to 45% in published series [1,8], reflecting the inherent difficulty of achieving wide margins in this region.</w:t>
      </w:r>
    </w:p>
    <w:p w14:paraId="288ECE80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In resource-limited settings such as Morocco, additional barriers — delayed access to advanced imaging, limited speci</w:t>
      </w:r>
      <w:r w:rsidRPr="000D0FE0">
        <w:rPr>
          <w:lang w:val="en-US"/>
        </w:rPr>
        <w:t>alized surgical infrastructure, and incomplete follow-up adherence — further compromise outcomes. We report here six patients managed for pelvic bone tumors between 2023 and 2025 at a Moroccan tertiary center, analyzing the spectrum of histological entitie</w:t>
      </w:r>
      <w:r w:rsidRPr="000D0FE0">
        <w:rPr>
          <w:lang w:val="en-US"/>
        </w:rPr>
        <w:t>s, surgical approaches, reconstructive strategies, complications, and short-term outcomes.</w:t>
      </w:r>
    </w:p>
    <w:p w14:paraId="0994BDD3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6"/>
          <w:szCs w:val="26"/>
          <w:lang w:val="en-US"/>
        </w:rPr>
        <w:t>2. MATERIAL AND METHODS</w:t>
      </w:r>
    </w:p>
    <w:p w14:paraId="2A42F968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2.1 Study Design and Setting</w:t>
      </w:r>
    </w:p>
    <w:p w14:paraId="6666D5A2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Retrospective, descriptive, single-center case series. Department of Orthopedic Surgery and Traumatology, Mohamm</w:t>
      </w:r>
      <w:r w:rsidRPr="000D0FE0">
        <w:rPr>
          <w:lang w:val="en-US"/>
        </w:rPr>
        <w:t>ed VI University Hospital, Tangier, Morocco. Study period: January 2023 – December 2025.</w:t>
      </w:r>
    </w:p>
    <w:p w14:paraId="121E934D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2.2 Inclusion and Exclusion Criteria</w:t>
      </w:r>
    </w:p>
    <w:p w14:paraId="3A05B695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Included: patients operated for histologically confirmed primary or secondary pelvic bone tumor; age ≥15 years; documented ≥6 mont</w:t>
      </w:r>
      <w:r w:rsidRPr="000D0FE0">
        <w:rPr>
          <w:lang w:val="en-US"/>
        </w:rPr>
        <w:t>hs postoperative follow-up. Excluded: incomplete records; tumors not requiring surgery; insufficient follow-up.</w:t>
      </w:r>
    </w:p>
    <w:p w14:paraId="083A4228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2.3 Data Collection</w:t>
      </w:r>
    </w:p>
    <w:p w14:paraId="3E08ABB5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Data retrieved from the ENOVA Santé electronic medical records and the department's oncology database. A standardized </w:t>
      </w:r>
      <w:proofErr w:type="spellStart"/>
      <w:r w:rsidRPr="000D0FE0">
        <w:rPr>
          <w:lang w:val="en-US"/>
        </w:rPr>
        <w:t>REDCap</w:t>
      </w:r>
      <w:proofErr w:type="spellEnd"/>
      <w:r w:rsidRPr="000D0FE0">
        <w:rPr>
          <w:lang w:val="en-US"/>
        </w:rPr>
        <w:t xml:space="preserve"> form captured: demographics, clinical presentation, multimodal imaging, Enneking–Dunham topography, biopsy type, histological diagnosis and grade, MDT decisions, neoadjuvant/adjuvant therapies, resection type, reconstructive technique, operative time, blo</w:t>
      </w:r>
      <w:r w:rsidRPr="000D0FE0">
        <w:rPr>
          <w:lang w:val="en-US"/>
        </w:rPr>
        <w:t xml:space="preserve">od loss and transfusion, postoperative complications, </w:t>
      </w:r>
      <w:proofErr w:type="spellStart"/>
      <w:r w:rsidRPr="000D0FE0">
        <w:rPr>
          <w:lang w:val="en-US"/>
        </w:rPr>
        <w:t>Huvos</w:t>
      </w:r>
      <w:proofErr w:type="spellEnd"/>
      <w:r w:rsidRPr="000D0FE0">
        <w:rPr>
          <w:lang w:val="en-US"/>
        </w:rPr>
        <w:t>–Rosen necrosis grading, MSTS functional score, oncological outcome, and follow-up.</w:t>
      </w:r>
    </w:p>
    <w:p w14:paraId="6DB01AEA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2.4 Ethical Considerations</w:t>
      </w:r>
    </w:p>
    <w:p w14:paraId="18056CE2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Conducted in accordance with the Declaration of Helsinki (2013). Institutional authori</w:t>
      </w:r>
      <w:r w:rsidRPr="000D0FE0">
        <w:rPr>
          <w:lang w:val="en-US"/>
        </w:rPr>
        <w:t>zation obtained. Written informed consent collected from all patients or guardians. Patient anonymity strictly maintained.</w:t>
      </w:r>
    </w:p>
    <w:p w14:paraId="232EE6E8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2.5 Statistical Analysis</w:t>
      </w:r>
    </w:p>
    <w:p w14:paraId="595D0CB9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Descriptive analysis only: proportions and arithmetic means. No inferential statistical testing was required</w:t>
      </w:r>
      <w:r w:rsidRPr="000D0FE0">
        <w:rPr>
          <w:lang w:val="en-US"/>
        </w:rPr>
        <w:t>.</w:t>
      </w:r>
    </w:p>
    <w:p w14:paraId="61BE091F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6"/>
          <w:szCs w:val="26"/>
          <w:lang w:val="en-US"/>
        </w:rPr>
        <w:t>3. RESULTS AND DISCUSSION</w:t>
      </w:r>
    </w:p>
    <w:p w14:paraId="5270C406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3.1 Epidemiological Data and Diagnostic Delay</w:t>
      </w:r>
    </w:p>
    <w:p w14:paraId="4B1D0B3F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The cohort comprised five women and one man. Mean age was 35.7 years (range 16–67). Mean diagnostic delay from symptom onset to specialized consultation was 17 months (range: 1 month</w:t>
      </w:r>
      <w:r w:rsidRPr="000D0FE0">
        <w:rPr>
          <w:lang w:val="en-US"/>
        </w:rPr>
        <w:t xml:space="preserve"> – 5 years). This substantially exceeds the 3–12 months reported in international series [11,12]. </w:t>
      </w:r>
      <w:proofErr w:type="spellStart"/>
      <w:r w:rsidRPr="000D0FE0">
        <w:rPr>
          <w:lang w:val="en-US"/>
        </w:rPr>
        <w:t>Kotrych</w:t>
      </w:r>
      <w:proofErr w:type="spellEnd"/>
      <w:r w:rsidRPr="000D0FE0">
        <w:rPr>
          <w:lang w:val="en-US"/>
        </w:rPr>
        <w:t xml:space="preserve"> et al. documented a median pelvic tumor delay of 10 months in Europe [13]. Our prolonged delay reflects limited access to advanced imaging outside uni</w:t>
      </w:r>
      <w:r w:rsidRPr="000D0FE0">
        <w:rPr>
          <w:lang w:val="en-US"/>
        </w:rPr>
        <w:t>versity centers and insufficient primary care awareness of pelvic sarcoma warning signs.</w:t>
      </w:r>
    </w:p>
    <w:p w14:paraId="34454D66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3.2 Clinical Presentation</w:t>
      </w:r>
    </w:p>
    <w:p w14:paraId="61B70FE7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Pelvic or iliac pain was the universal presenting symptom (6/6), frequently associated with partial lower-limb functional impairment (4/6). W</w:t>
      </w:r>
      <w:r w:rsidRPr="000D0FE0">
        <w:rPr>
          <w:lang w:val="en-US"/>
        </w:rPr>
        <w:t>eight loss was noted in two cases. No neurological compression signs were detected at initial examination in any patient. A palpable mass was present in only one case, confirming the diagnostic value of early imaging in this anatomically deep region [15].</w:t>
      </w:r>
    </w:p>
    <w:p w14:paraId="46EA068E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3.3 Imaging and Tumor Topography</w:t>
      </w:r>
    </w:p>
    <w:p w14:paraId="1B0A562C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lastRenderedPageBreak/>
        <w:t>All patients underwent plain pelvic radiography first, revealing osteolytic lesions. CT and MRI provided complementary information: CT mapped cortical integrity, matrix calcifications, and pathological fractures, and guided</w:t>
      </w:r>
      <w:r w:rsidRPr="000D0FE0">
        <w:rPr>
          <w:lang w:val="en-US"/>
        </w:rPr>
        <w:t xml:space="preserve"> biopsies; MRI established the full extent of medullary and soft-tissue involvement, vascular relationships, and articular infiltration [14,15]. PET-CT was performed in Case 2, confirming hypermetabolism without distant metastases. Enneking–Dunham zones: T</w:t>
      </w:r>
      <w:r w:rsidRPr="000D0FE0">
        <w:rPr>
          <w:lang w:val="en-US"/>
        </w:rPr>
        <w:t>ype I (ilium) in 2 cases; Type I+II in 1; Type II+III in 1; Type I+II+III in 1; Type IV (sacrum) in 1. Clinical and imaging data are summarized in Table 1.</w:t>
      </w:r>
    </w:p>
    <w:p w14:paraId="76988EA1" w14:textId="77777777" w:rsidR="002F22A8" w:rsidRPr="000D0FE0" w:rsidRDefault="002945EB">
      <w:pPr>
        <w:spacing w:before="100" w:after="60"/>
        <w:rPr>
          <w:lang w:val="en-US"/>
        </w:rPr>
      </w:pPr>
      <w:r w:rsidRPr="000D0FE0">
        <w:rPr>
          <w:b/>
          <w:bCs/>
          <w:lang w:val="en-US"/>
        </w:rPr>
        <w:t>Table 1. Clinical, radiological, and histological data for all six cases.</w:t>
      </w:r>
    </w:p>
    <w:tbl>
      <w:tblPr>
        <w:tblW w:w="8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1"/>
        <w:gridCol w:w="911"/>
        <w:gridCol w:w="1021"/>
        <w:gridCol w:w="1221"/>
        <w:gridCol w:w="1421"/>
        <w:gridCol w:w="1111"/>
        <w:gridCol w:w="801"/>
        <w:gridCol w:w="1541"/>
        <w:gridCol w:w="1021"/>
      </w:tblGrid>
      <w:tr w:rsidR="002F22A8" w14:paraId="6CF29174" w14:textId="77777777">
        <w:tc>
          <w:tcPr>
            <w:tcW w:w="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A49C9D" w14:textId="77777777" w:rsidR="002F22A8" w:rsidRDefault="002945EB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Case</w:t>
            </w:r>
          </w:p>
        </w:tc>
        <w:tc>
          <w:tcPr>
            <w:tcW w:w="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19230E" w14:textId="77777777" w:rsidR="002F22A8" w:rsidRDefault="002945EB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Age/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Sex</w:t>
            </w:r>
            <w:proofErr w:type="spellEnd"/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6298C5" w14:textId="77777777" w:rsidR="002F22A8" w:rsidRDefault="002945EB">
            <w:pPr>
              <w:jc w:val="center"/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Symptom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Durat</w:t>
            </w:r>
            <w:r>
              <w:rPr>
                <w:b/>
                <w:bCs/>
                <w:color w:val="FFFFFF"/>
                <w:sz w:val="18"/>
                <w:szCs w:val="18"/>
              </w:rPr>
              <w:t>ion</w:t>
            </w:r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8B7864" w14:textId="77777777" w:rsidR="002F22A8" w:rsidRDefault="002945EB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Chief Complaint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9637FF" w14:textId="77777777" w:rsidR="002F22A8" w:rsidRDefault="002945EB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Imaging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Findings</w:t>
            </w:r>
            <w:proofErr w:type="spellEnd"/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EEF6CB" w14:textId="77777777" w:rsidR="002F22A8" w:rsidRDefault="002945EB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Enneking–Dunham Zone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7EBCB0" w14:textId="77777777" w:rsidR="002F22A8" w:rsidRDefault="002945EB">
            <w:pPr>
              <w:jc w:val="center"/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Biopsy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Type</w:t>
            </w:r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1977D7" w14:textId="77777777" w:rsidR="002F22A8" w:rsidRDefault="002945EB">
            <w:pPr>
              <w:jc w:val="center"/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Histological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Diagnosis</w:t>
            </w:r>
            <w:proofErr w:type="spellEnd"/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174D04" w14:textId="77777777" w:rsidR="002F22A8" w:rsidRDefault="002945EB">
            <w:pPr>
              <w:jc w:val="center"/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Tumor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Grade</w:t>
            </w:r>
          </w:p>
        </w:tc>
      </w:tr>
      <w:tr w:rsidR="002F22A8" w14:paraId="369B253E" w14:textId="77777777">
        <w:tc>
          <w:tcPr>
            <w:tcW w:w="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C30AC6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811CAE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16 / F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361562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 xml:space="preserve">7 </w:t>
            </w:r>
            <w:proofErr w:type="spellStart"/>
            <w:r>
              <w:rPr>
                <w:color w:val="000000"/>
                <w:sz w:val="18"/>
                <w:szCs w:val="18"/>
              </w:rPr>
              <w:t>months</w:t>
            </w:r>
            <w:proofErr w:type="spellEnd"/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DEFFBC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Right iliac pain + swelling + functional impairment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058C70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X-ray: osteolytic right ilium. CT: 78×91 mm, locally invasive. MRI follow-up: </w:t>
            </w:r>
            <w:r w:rsidRPr="000D0FE0">
              <w:rPr>
                <w:color w:val="000000"/>
                <w:sz w:val="18"/>
                <w:szCs w:val="18"/>
                <w:lang w:val="en-US"/>
              </w:rPr>
              <w:t>progression 121×115×161 mm (Fig. 4A–B)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E986EB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I + II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E9C43B" w14:textId="77777777" w:rsidR="002F22A8" w:rsidRDefault="002945EB">
            <w:r>
              <w:rPr>
                <w:color w:val="000000"/>
                <w:sz w:val="18"/>
                <w:szCs w:val="18"/>
              </w:rPr>
              <w:t>CT-</w:t>
            </w:r>
            <w:proofErr w:type="spellStart"/>
            <w:r>
              <w:rPr>
                <w:color w:val="000000"/>
                <w:sz w:val="18"/>
                <w:szCs w:val="18"/>
              </w:rPr>
              <w:t>guided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+ open </w:t>
            </w:r>
            <w:proofErr w:type="spellStart"/>
            <w:r>
              <w:rPr>
                <w:color w:val="000000"/>
                <w:sz w:val="18"/>
                <w:szCs w:val="18"/>
              </w:rPr>
              <w:t>biopsy</w:t>
            </w:r>
            <w:proofErr w:type="spellEnd"/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19E39F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Intraosseous cavernous hemangioma with aneurysmal changes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3E42F2" w14:textId="77777777" w:rsidR="002F22A8" w:rsidRDefault="002945EB">
            <w:pPr>
              <w:jc w:val="center"/>
            </w:pPr>
            <w:proofErr w:type="spellStart"/>
            <w:r>
              <w:rPr>
                <w:color w:val="000000"/>
                <w:sz w:val="18"/>
                <w:szCs w:val="18"/>
              </w:rPr>
              <w:t>Benign</w:t>
            </w:r>
            <w:proofErr w:type="spellEnd"/>
          </w:p>
        </w:tc>
      </w:tr>
      <w:tr w:rsidR="002F22A8" w14:paraId="67FFB96C" w14:textId="77777777">
        <w:tc>
          <w:tcPr>
            <w:tcW w:w="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F08194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A80499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20 / M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C548E8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 xml:space="preserve">10 </w:t>
            </w:r>
            <w:proofErr w:type="spellStart"/>
            <w:r>
              <w:rPr>
                <w:color w:val="000000"/>
                <w:sz w:val="18"/>
                <w:szCs w:val="18"/>
              </w:rPr>
              <w:t>months</w:t>
            </w:r>
            <w:proofErr w:type="spellEnd"/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8AD8A1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Right hip pain + functional impairment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A56524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X-ray: osteolytic cotyle + </w:t>
            </w:r>
            <w:proofErr w:type="spellStart"/>
            <w:r w:rsidRPr="000D0FE0">
              <w:rPr>
                <w:color w:val="000000"/>
                <w:sz w:val="18"/>
                <w:szCs w:val="18"/>
                <w:lang w:val="en-US"/>
              </w:rPr>
              <w:t>ischion</w:t>
            </w:r>
            <w:proofErr w:type="spellEnd"/>
            <w:r w:rsidRPr="000D0FE0">
              <w:rPr>
                <w:color w:val="000000"/>
                <w:sz w:val="18"/>
                <w:szCs w:val="18"/>
                <w:lang w:val="en-US"/>
              </w:rPr>
              <w:t>. MRI: 92×54 mm (Fig. 1A–B).</w:t>
            </w:r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 PET-CT: hypermetabolic (Fig. 1C)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25E8F4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II + III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668812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Open </w:t>
            </w:r>
            <w:proofErr w:type="spellStart"/>
            <w:r>
              <w:rPr>
                <w:color w:val="000000"/>
                <w:sz w:val="18"/>
                <w:szCs w:val="18"/>
              </w:rPr>
              <w:t>biopsy</w:t>
            </w:r>
            <w:proofErr w:type="spellEnd"/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7EF38E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Ewing sarcoma (CD99+, FLI-1+; EWSR1 rearrangement)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526BD6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High grade</w:t>
            </w:r>
          </w:p>
        </w:tc>
      </w:tr>
      <w:tr w:rsidR="002F22A8" w14:paraId="0C62328C" w14:textId="77777777">
        <w:tc>
          <w:tcPr>
            <w:tcW w:w="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79456A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68E3E7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48 / F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FBDA14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 xml:space="preserve">5 </w:t>
            </w:r>
            <w:proofErr w:type="spellStart"/>
            <w:r>
              <w:rPr>
                <w:color w:val="000000"/>
                <w:sz w:val="18"/>
                <w:szCs w:val="18"/>
              </w:rPr>
              <w:t>years</w:t>
            </w:r>
            <w:proofErr w:type="spellEnd"/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E9FDD8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Right </w:t>
            </w:r>
            <w:proofErr w:type="spellStart"/>
            <w:r>
              <w:rPr>
                <w:color w:val="000000"/>
                <w:sz w:val="18"/>
                <w:szCs w:val="18"/>
              </w:rPr>
              <w:t>pelvic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pain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BC135F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X-ray: osteolytic right ilium. CT+MRI: 85×65×50 mm, soft tissue extension. Bone scan: localized uptake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3FFD6E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I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EA173D" w14:textId="77777777" w:rsidR="002F22A8" w:rsidRDefault="002945EB">
            <w:r>
              <w:rPr>
                <w:color w:val="000000"/>
                <w:sz w:val="18"/>
                <w:szCs w:val="18"/>
              </w:rPr>
              <w:t>CT-</w:t>
            </w:r>
            <w:proofErr w:type="spellStart"/>
            <w:r>
              <w:rPr>
                <w:color w:val="000000"/>
                <w:sz w:val="18"/>
                <w:szCs w:val="18"/>
              </w:rPr>
              <w:t>guided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biopsy</w:t>
            </w:r>
            <w:proofErr w:type="spellEnd"/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8A546D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Ewing sarcoma (CD99+, FLI-1+; EWSR1)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D5CE90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High grade</w:t>
            </w:r>
          </w:p>
        </w:tc>
      </w:tr>
      <w:tr w:rsidR="002F22A8" w14:paraId="0EBC4F8C" w14:textId="77777777">
        <w:tc>
          <w:tcPr>
            <w:tcW w:w="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39DC3C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C2A630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28 / F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6E68B6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 xml:space="preserve">7 </w:t>
            </w:r>
            <w:proofErr w:type="spellStart"/>
            <w:r>
              <w:rPr>
                <w:color w:val="000000"/>
                <w:sz w:val="18"/>
                <w:szCs w:val="18"/>
              </w:rPr>
              <w:t>months</w:t>
            </w:r>
            <w:proofErr w:type="spellEnd"/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B3EFE5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Right </w:t>
            </w:r>
            <w:proofErr w:type="spellStart"/>
            <w:r>
              <w:rPr>
                <w:color w:val="000000"/>
                <w:sz w:val="18"/>
                <w:szCs w:val="18"/>
              </w:rPr>
              <w:t>pelvic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pain (postpartum)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0725F8" w14:textId="77777777" w:rsidR="002F22A8" w:rsidRDefault="002945EB"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X-ray: right iliac lytic lesion. </w:t>
            </w:r>
            <w:proofErr w:type="gramStart"/>
            <w:r>
              <w:rPr>
                <w:color w:val="000000"/>
                <w:sz w:val="18"/>
                <w:szCs w:val="18"/>
              </w:rPr>
              <w:t>MRI: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128×127×162 mm, </w:t>
            </w:r>
            <w:proofErr w:type="spellStart"/>
            <w:r>
              <w:rPr>
                <w:color w:val="000000"/>
                <w:sz w:val="18"/>
                <w:szCs w:val="18"/>
              </w:rPr>
              <w:t>iliac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vessel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displacement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(Fig. 5A)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4865A6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I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7060E1" w14:textId="77777777" w:rsidR="002F22A8" w:rsidRDefault="002945EB">
            <w:r>
              <w:rPr>
                <w:color w:val="000000"/>
                <w:sz w:val="18"/>
                <w:szCs w:val="18"/>
              </w:rPr>
              <w:t>CT-</w:t>
            </w:r>
            <w:proofErr w:type="spellStart"/>
            <w:r>
              <w:rPr>
                <w:color w:val="000000"/>
                <w:sz w:val="18"/>
                <w:szCs w:val="18"/>
              </w:rPr>
              <w:t>guided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+ IHC</w:t>
            </w:r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416DD5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Ewing </w:t>
            </w:r>
            <w:proofErr w:type="spellStart"/>
            <w:r>
              <w:rPr>
                <w:color w:val="000000"/>
                <w:sz w:val="18"/>
                <w:szCs w:val="18"/>
              </w:rPr>
              <w:t>sarcoma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(CD99+)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1F52E8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 xml:space="preserve">High </w:t>
            </w:r>
            <w:r>
              <w:rPr>
                <w:color w:val="000000"/>
                <w:sz w:val="18"/>
                <w:szCs w:val="18"/>
              </w:rPr>
              <w:t>grade</w:t>
            </w:r>
          </w:p>
        </w:tc>
      </w:tr>
      <w:tr w:rsidR="002F22A8" w14:paraId="4C1F1676" w14:textId="77777777">
        <w:tc>
          <w:tcPr>
            <w:tcW w:w="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44695A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8A8415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35 / F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F9B9B2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 xml:space="preserve">4 </w:t>
            </w:r>
            <w:proofErr w:type="spellStart"/>
            <w:r>
              <w:rPr>
                <w:color w:val="000000"/>
                <w:sz w:val="18"/>
                <w:szCs w:val="18"/>
              </w:rPr>
              <w:t>months</w:t>
            </w:r>
            <w:proofErr w:type="spellEnd"/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55D7F9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Pelvic pain + functional impairment + 8 kg weight loss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4B6FDB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CT+MRI: sacral mass 108×61×42 mm (Fig. 3A–B). CT TAP: no distant metastases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0EFCE6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IV (sacrum)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08E34F" w14:textId="77777777" w:rsidR="002F22A8" w:rsidRDefault="002945EB">
            <w:r>
              <w:rPr>
                <w:color w:val="000000"/>
                <w:sz w:val="18"/>
                <w:szCs w:val="18"/>
              </w:rPr>
              <w:t>CT-</w:t>
            </w:r>
            <w:proofErr w:type="spellStart"/>
            <w:r>
              <w:rPr>
                <w:color w:val="000000"/>
                <w:sz w:val="18"/>
                <w:szCs w:val="18"/>
              </w:rPr>
              <w:t>guided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biopsy</w:t>
            </w:r>
            <w:proofErr w:type="spellEnd"/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055325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Well-differentiated chondrosarcoma grade II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539F9D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Grade II</w:t>
            </w:r>
          </w:p>
        </w:tc>
      </w:tr>
      <w:tr w:rsidR="002F22A8" w14:paraId="16D5CF81" w14:textId="77777777">
        <w:tc>
          <w:tcPr>
            <w:tcW w:w="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AD9132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A80D53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67 / F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13DAAD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 xml:space="preserve">1 </w:t>
            </w:r>
            <w:proofErr w:type="spellStart"/>
            <w:r>
              <w:rPr>
                <w:color w:val="000000"/>
                <w:sz w:val="18"/>
                <w:szCs w:val="18"/>
              </w:rPr>
              <w:t>month</w:t>
            </w:r>
            <w:proofErr w:type="spellEnd"/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B92187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Left pelvic pain + partial functional impairment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47E320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CT: periacetabular lytic lesion + pathological fracture 30×25×31 mm. Bone scan: left iliac uptake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E12D78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I + II + III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9A558D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Open </w:t>
            </w:r>
            <w:proofErr w:type="spellStart"/>
            <w:r>
              <w:rPr>
                <w:color w:val="000000"/>
                <w:sz w:val="18"/>
                <w:szCs w:val="18"/>
              </w:rPr>
              <w:t>biopsy</w:t>
            </w:r>
            <w:proofErr w:type="spellEnd"/>
          </w:p>
        </w:tc>
        <w:tc>
          <w:tcPr>
            <w:tcW w:w="1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D0A691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Bone metastasis from breast carcinoma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92BFD3" w14:textId="77777777" w:rsidR="002F22A8" w:rsidRDefault="002945EB">
            <w:pPr>
              <w:jc w:val="center"/>
            </w:pPr>
            <w:proofErr w:type="spellStart"/>
            <w:r>
              <w:rPr>
                <w:color w:val="000000"/>
                <w:sz w:val="18"/>
                <w:szCs w:val="18"/>
              </w:rPr>
              <w:t>Metastatic</w:t>
            </w:r>
            <w:proofErr w:type="spellEnd"/>
          </w:p>
        </w:tc>
      </w:tr>
    </w:tbl>
    <w:p w14:paraId="23865724" w14:textId="77777777" w:rsidR="002F22A8" w:rsidRDefault="002945EB">
      <w:pPr>
        <w:spacing w:before="240" w:after="60"/>
      </w:pPr>
      <w:r w:rsidRPr="000D0FE0">
        <w:rPr>
          <w:b/>
          <w:bCs/>
          <w:lang w:val="en-US"/>
        </w:rPr>
        <w:lastRenderedPageBreak/>
        <w:t xml:space="preserve">Figure 1. Case 2 – Ewing Sarcoma, right periacetabular zone (Type II+III). </w:t>
      </w:r>
      <w:proofErr w:type="spellStart"/>
      <w:r>
        <w:rPr>
          <w:b/>
          <w:bCs/>
        </w:rPr>
        <w:t>Preoperative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imaging</w:t>
      </w:r>
      <w:proofErr w:type="spellEnd"/>
      <w:r>
        <w:rPr>
          <w:b/>
          <w:bCs/>
        </w:rPr>
        <w:t>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20"/>
        <w:gridCol w:w="2940"/>
        <w:gridCol w:w="3540"/>
      </w:tblGrid>
      <w:tr w:rsidR="000D0FE0" w:rsidRPr="000D0FE0" w14:paraId="127D5EE3" w14:textId="77777777" w:rsidTr="000D0FE0">
        <w:tc>
          <w:tcPr>
            <w:tcW w:w="2920" w:type="dxa"/>
          </w:tcPr>
          <w:p w14:paraId="73C9BA4B" w14:textId="77777777" w:rsidR="002F22A8" w:rsidRDefault="000D0F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73B0BA" wp14:editId="594F8B5D">
                  <wp:extent cx="1839595" cy="1353820"/>
                  <wp:effectExtent l="0" t="0" r="1905" b="508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8" cy="139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CD49F" w14:textId="77777777" w:rsidR="002F22A8" w:rsidRPr="000D0FE0" w:rsidRDefault="002945EB">
            <w:pPr>
              <w:spacing w:before="20" w:after="80"/>
              <w:jc w:val="center"/>
              <w:rPr>
                <w:lang w:val="en-US"/>
              </w:rPr>
            </w:pP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Fig. 1A – MRI STIR coronal: large hyperintense mass (92×54 mm) at right cotyle and </w:t>
            </w:r>
            <w:proofErr w:type="spellStart"/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ischion</w:t>
            </w:r>
            <w:proofErr w:type="spellEnd"/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 with medullary infiltration and cortical breach.</w:t>
            </w:r>
          </w:p>
        </w:tc>
        <w:tc>
          <w:tcPr>
            <w:tcW w:w="2940" w:type="dxa"/>
          </w:tcPr>
          <w:p w14:paraId="2A759787" w14:textId="77777777" w:rsidR="002F22A8" w:rsidRDefault="000D0F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A246AD" wp14:editId="7B7E3728">
                  <wp:extent cx="1851025" cy="1353820"/>
                  <wp:effectExtent l="0" t="0" r="3175" b="5080"/>
                  <wp:docPr id="279526156" name="Image 279526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522" cy="136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2DF9F" w14:textId="77777777" w:rsidR="002F22A8" w:rsidRPr="000D0FE0" w:rsidRDefault="002945EB">
            <w:pPr>
              <w:spacing w:before="20" w:after="80"/>
              <w:jc w:val="center"/>
              <w:rPr>
                <w:lang w:val="en-US"/>
              </w:rPr>
            </w:pP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Fig. 1B – MRI T</w:t>
            </w: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1 post-gadolinium axial: heterogeneous soft-tissue mass infiltrating </w:t>
            </w:r>
            <w:proofErr w:type="spellStart"/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coxo</w:t>
            </w:r>
            <w:proofErr w:type="spellEnd"/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-femoral joint and periacetabular muscles.</w:t>
            </w:r>
          </w:p>
        </w:tc>
        <w:tc>
          <w:tcPr>
            <w:tcW w:w="3491" w:type="dxa"/>
          </w:tcPr>
          <w:p w14:paraId="2C89BED7" w14:textId="77777777" w:rsidR="002F22A8" w:rsidRDefault="000D0F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16F158" wp14:editId="6F358187">
                  <wp:extent cx="2233914" cy="1352909"/>
                  <wp:effectExtent l="0" t="0" r="1905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504" cy="139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AFD1F" w14:textId="77777777" w:rsidR="002F22A8" w:rsidRPr="000D0FE0" w:rsidRDefault="002945EB">
            <w:pPr>
              <w:spacing w:before="20" w:after="80"/>
              <w:jc w:val="center"/>
              <w:rPr>
                <w:lang w:val="en-US"/>
              </w:rPr>
            </w:pP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Fig. 1C – </w:t>
            </w:r>
            <w:r w:rsidR="000D0FE0"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MRI STIR </w:t>
            </w:r>
            <w:r w:rsid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axial</w:t>
            </w:r>
            <w:r w:rsidR="000D0FE0"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: large hyperintense mass</w:t>
            </w:r>
            <w:r w:rsid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 </w:t>
            </w:r>
            <w:r w:rsidR="000D0FE0"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at right cotyle and </w:t>
            </w:r>
            <w:proofErr w:type="spellStart"/>
            <w:r w:rsidR="000D0FE0"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ischion</w:t>
            </w:r>
            <w:proofErr w:type="spellEnd"/>
            <w:r w:rsidR="000D0FE0"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 with medullary infiltration and cortical breach.</w:t>
            </w:r>
          </w:p>
        </w:tc>
      </w:tr>
    </w:tbl>
    <w:p w14:paraId="6EADEF06" w14:textId="77777777" w:rsidR="002F22A8" w:rsidRPr="000D0FE0" w:rsidRDefault="002945EB">
      <w:pPr>
        <w:spacing w:before="240" w:after="60"/>
        <w:rPr>
          <w:lang w:val="en-US"/>
        </w:rPr>
      </w:pPr>
      <w:r w:rsidRPr="000D0FE0">
        <w:rPr>
          <w:b/>
          <w:bCs/>
          <w:lang w:val="en-US"/>
        </w:rPr>
        <w:t xml:space="preserve">Figure 2. </w:t>
      </w:r>
      <w:r w:rsidRPr="000D0FE0">
        <w:rPr>
          <w:b/>
          <w:bCs/>
          <w:lang w:val="en-US"/>
        </w:rPr>
        <w:t>Case 2 – Postoperative imaging after Type II+III internal hemipelvectomy with ice-cream cone ilio-femoral prosthesis.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1"/>
      </w:tblGrid>
      <w:tr w:rsidR="000D0FE0" w:rsidRPr="000D0FE0" w14:paraId="7E970747" w14:textId="77777777" w:rsidTr="000D0FE0">
        <w:tc>
          <w:tcPr>
            <w:tcW w:w="9351" w:type="dxa"/>
          </w:tcPr>
          <w:p w14:paraId="21B79ABD" w14:textId="77777777" w:rsidR="000D0FE0" w:rsidRDefault="000D0FE0" w:rsidP="000D0FE0">
            <w:r>
              <w:rPr>
                <w:b/>
                <w:noProof/>
                <w:sz w:val="13"/>
              </w:rPr>
              <w:drawing>
                <wp:anchor distT="0" distB="0" distL="0" distR="0" simplePos="0" relativeHeight="251661312" behindDoc="1" locked="0" layoutInCell="1" allowOverlap="1" wp14:anchorId="72B6F999" wp14:editId="70924F9A">
                  <wp:simplePos x="0" y="0"/>
                  <wp:positionH relativeFrom="page">
                    <wp:posOffset>1905</wp:posOffset>
                  </wp:positionH>
                  <wp:positionV relativeFrom="paragraph">
                    <wp:posOffset>52705</wp:posOffset>
                  </wp:positionV>
                  <wp:extent cx="5879465" cy="2094865"/>
                  <wp:effectExtent l="0" t="0" r="635" b="635"/>
                  <wp:wrapTopAndBottom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465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B80B52" w14:textId="77777777" w:rsidR="000D0FE0" w:rsidRPr="000D0FE0" w:rsidRDefault="000D0FE0">
            <w:pPr>
              <w:spacing w:before="20" w:after="80"/>
              <w:jc w:val="center"/>
              <w:rPr>
                <w:lang w:val="en-US"/>
              </w:rPr>
            </w:pP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Fig. 2 – Anteroposterior pelvic X-ray: ice-cream cone ilio-femoral prosthesis in place. The cone stem is anchored in the residual posterior iliac column; the femoral component articulates with a modular femoral stem.</w:t>
            </w:r>
          </w:p>
        </w:tc>
      </w:tr>
    </w:tbl>
    <w:p w14:paraId="02FF1B5E" w14:textId="77777777" w:rsidR="002F22A8" w:rsidRPr="000D0FE0" w:rsidRDefault="002945EB">
      <w:pPr>
        <w:spacing w:before="20" w:after="160"/>
        <w:jc w:val="both"/>
        <w:rPr>
          <w:lang w:val="en-US"/>
        </w:rPr>
      </w:pPr>
      <w:r w:rsidRPr="000D0FE0">
        <w:rPr>
          <w:i/>
          <w:iCs/>
          <w:color w:val="888888"/>
          <w:sz w:val="18"/>
          <w:szCs w:val="18"/>
          <w:lang w:val="en-US"/>
        </w:rPr>
        <w:t>Note: Readers are requested to insert their own pre- and postoperative imaging files (IRM/X-ray/CT) in the grey placeholder frames above. Replace each placeholder by insertin</w:t>
      </w:r>
      <w:r w:rsidRPr="000D0FE0">
        <w:rPr>
          <w:i/>
          <w:iCs/>
          <w:color w:val="888888"/>
          <w:sz w:val="18"/>
          <w:szCs w:val="18"/>
          <w:lang w:val="en-US"/>
        </w:rPr>
        <w:t>g your image (Insert &gt; Picture) aligned to the frame dimensions. Legends are provided above each frame.</w:t>
      </w:r>
    </w:p>
    <w:p w14:paraId="0FC9A045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3.4 Histological Distribution and Biopsy</w:t>
      </w:r>
    </w:p>
    <w:p w14:paraId="4516369C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Subtypes: Ewing sarcoma (n=3, Cases 2–4), chondrosarcoma Grade II (n=1, Case 5), intraosseous cavernous </w:t>
      </w:r>
      <w:r w:rsidRPr="000D0FE0">
        <w:rPr>
          <w:lang w:val="en-US"/>
        </w:rPr>
        <w:t xml:space="preserve">hemangioma with aneurysmal changes (n=1, Case 1), and periacetabular bone metastasis from breast carcinoma (n=1, Case 6). CT-guided percutaneous biopsy was the primary approach in four patients. Radio-histological discordance in Case 1 (aggressive imaging </w:t>
      </w:r>
      <w:r w:rsidRPr="000D0FE0">
        <w:rPr>
          <w:lang w:val="en-US"/>
        </w:rPr>
        <w:t>pattern vs. giant cell-rich benign histology) prompted open biopsy; final resection pathology confirmed a benign hemangioma — a rare presentation highlighting the importance of correlating all diagnostic modalities before committing to a major resection.</w:t>
      </w:r>
    </w:p>
    <w:p w14:paraId="0039CA5B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E</w:t>
      </w:r>
      <w:r w:rsidRPr="000D0FE0">
        <w:rPr>
          <w:lang w:val="en-US"/>
        </w:rPr>
        <w:t>wing sarcoma was confirmed by CD99/FLI-1 immunopositivity and FISH-confirmed EWSR1 rearrangement in all three cases [18]. Chondrosarcoma diagnosis rested on the sacral location, bicellular architecture, and nuclear atypia, classified Grade II.</w:t>
      </w:r>
    </w:p>
    <w:p w14:paraId="4414A3B4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3.5 Surgical</w:t>
      </w:r>
      <w:r w:rsidRPr="000D0FE0">
        <w:rPr>
          <w:b/>
          <w:bCs/>
          <w:sz w:val="22"/>
          <w:szCs w:val="22"/>
          <w:lang w:val="en-US"/>
        </w:rPr>
        <w:t xml:space="preserve"> Strategy and Resection Types</w:t>
      </w:r>
    </w:p>
    <w:p w14:paraId="66D91565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All six patients underwent limb-sparing surgery after MDT discussion, with no amputations performed. This outcome reflects the combined use of navigation, 3D planning, and multidisciplinary coordination, and is noteworthy give</w:t>
      </w:r>
      <w:r w:rsidRPr="000D0FE0">
        <w:rPr>
          <w:lang w:val="en-US"/>
        </w:rPr>
        <w:t>n the resource-limited context.</w:t>
      </w:r>
    </w:p>
    <w:p w14:paraId="3116A639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Type I resections (Cases 1, 3, 4) targeting the ilium without acetabular involvement carried the most favorable functional profile. Case 1 required no reconstruction (acetabular joint and pelvic ring integrity maintained). C</w:t>
      </w:r>
      <w:r w:rsidRPr="000D0FE0">
        <w:rPr>
          <w:lang w:val="en-US"/>
        </w:rPr>
        <w:t xml:space="preserve">ases 3 and 4 used plate stabilization — double-face abdominal plate and visceral plate respectively — consistent </w:t>
      </w:r>
      <w:r w:rsidRPr="000D0FE0">
        <w:rPr>
          <w:lang w:val="en-US"/>
        </w:rPr>
        <w:lastRenderedPageBreak/>
        <w:t>with the principle that iliac wing resections not involving the acetabulum do not require bony reconstruction [8]. Figure 4A–B shows the preope</w:t>
      </w:r>
      <w:r w:rsidRPr="000D0FE0">
        <w:rPr>
          <w:lang w:val="en-US"/>
        </w:rPr>
        <w:t>rative CT and postoperative X-ray for Case 1.</w:t>
      </w:r>
    </w:p>
    <w:p w14:paraId="4CF3AD13" w14:textId="77777777" w:rsidR="002F22A8" w:rsidRPr="000D0FE0" w:rsidRDefault="002945EB">
      <w:pPr>
        <w:spacing w:before="240" w:after="60"/>
        <w:rPr>
          <w:lang w:val="en-US"/>
        </w:rPr>
      </w:pPr>
      <w:r w:rsidRPr="000D0FE0">
        <w:rPr>
          <w:b/>
          <w:bCs/>
          <w:lang w:val="en-US"/>
        </w:rPr>
        <w:t>Figure 3. Case 5 – Grade II sacral chondrosarcoma (Type IV). Preoperative imaging and 3D-printed cutting guide.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9"/>
        <w:gridCol w:w="3310"/>
        <w:gridCol w:w="3387"/>
      </w:tblGrid>
      <w:tr w:rsidR="000D0FE0" w:rsidRPr="000D0FE0" w14:paraId="2C012FCD" w14:textId="77777777">
        <w:tc>
          <w:tcPr>
            <w:tcW w:w="3009" w:type="dxa"/>
          </w:tcPr>
          <w:p w14:paraId="3B439FF9" w14:textId="77777777" w:rsidR="002F22A8" w:rsidRDefault="000D0FE0">
            <w:pPr>
              <w:jc w:val="center"/>
            </w:pPr>
            <w:r>
              <w:rPr>
                <w:b/>
                <w:noProof/>
              </w:rPr>
              <w:drawing>
                <wp:anchor distT="0" distB="0" distL="0" distR="0" simplePos="0" relativeHeight="251663360" behindDoc="1" locked="0" layoutInCell="1" allowOverlap="1" wp14:anchorId="3804ABE0" wp14:editId="26427DA1">
                  <wp:simplePos x="0" y="0"/>
                  <wp:positionH relativeFrom="page">
                    <wp:posOffset>1905</wp:posOffset>
                  </wp:positionH>
                  <wp:positionV relativeFrom="paragraph">
                    <wp:posOffset>0</wp:posOffset>
                  </wp:positionV>
                  <wp:extent cx="1978660" cy="1597025"/>
                  <wp:effectExtent l="0" t="0" r="2540" b="3175"/>
                  <wp:wrapTopAndBottom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5CE6C7" w14:textId="77777777" w:rsidR="002F22A8" w:rsidRPr="000D0FE0" w:rsidRDefault="002945EB">
            <w:pPr>
              <w:spacing w:before="20" w:after="80"/>
              <w:jc w:val="center"/>
              <w:rPr>
                <w:lang w:val="en-US"/>
              </w:rPr>
            </w:pP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Fig. 3A – MRI STIR axial: right sacral mass 108×61×42 mm with high signal intensity and invasion</w:t>
            </w: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 of piriformis muscle.</w:t>
            </w:r>
          </w:p>
        </w:tc>
        <w:tc>
          <w:tcPr>
            <w:tcW w:w="3009" w:type="dxa"/>
          </w:tcPr>
          <w:p w14:paraId="030E3989" w14:textId="77777777" w:rsidR="002F22A8" w:rsidRDefault="000D0F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DA4761" wp14:editId="53F12F6D">
                  <wp:extent cx="2152891" cy="1597025"/>
                  <wp:effectExtent l="0" t="0" r="6350" b="3175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76" cy="163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1FD0F" w14:textId="77777777" w:rsidR="002F22A8" w:rsidRPr="000D0FE0" w:rsidRDefault="002945EB">
            <w:pPr>
              <w:spacing w:before="20" w:after="80"/>
              <w:jc w:val="center"/>
              <w:rPr>
                <w:lang w:val="en-US"/>
              </w:rPr>
            </w:pP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Fig. 3B – CT osseous window axial: destructive sacral lytic lesion with cortical breach and soft-tissue extension.</w:t>
            </w:r>
          </w:p>
        </w:tc>
        <w:tc>
          <w:tcPr>
            <w:tcW w:w="3009" w:type="dxa"/>
          </w:tcPr>
          <w:p w14:paraId="5415FC72" w14:textId="77777777" w:rsidR="002F22A8" w:rsidRDefault="000D0F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B5449C" wp14:editId="5315F09C">
                  <wp:extent cx="2208594" cy="1597025"/>
                  <wp:effectExtent l="0" t="0" r="1270" b="3175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765" cy="161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283A5" w14:textId="77777777" w:rsidR="002F22A8" w:rsidRPr="000D0FE0" w:rsidRDefault="002945EB">
            <w:pPr>
              <w:spacing w:before="20" w:after="80"/>
              <w:jc w:val="center"/>
              <w:rPr>
                <w:lang w:val="en-US"/>
              </w:rPr>
            </w:pP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Fig. 3C – Intraoperative: 3D-printed patient-specific cutting guide applied to sacral osteotomy plane, ensuring the planned </w:t>
            </w:r>
            <w:r w:rsid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7</w:t>
            </w: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 mm margin around the tumor.</w:t>
            </w:r>
          </w:p>
        </w:tc>
      </w:tr>
    </w:tbl>
    <w:p w14:paraId="4493A3AA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Case 2 (Type II+III, Ewing sarcoma) received navigation-assisted hemipelvectomy with ice-cream cone i</w:t>
      </w:r>
      <w:r w:rsidRPr="000D0FE0">
        <w:rPr>
          <w:lang w:val="en-US"/>
        </w:rPr>
        <w:t>lio-femoral prosthetic reconstruction (Figures 1–2). This device — a metallic acetabular floor with an iliac extension stem — provides immediate mechanical stability. Navigation-assisted periacetabular resection has been shown to improve margin accuracy [2</w:t>
      </w:r>
      <w:r w:rsidRPr="000D0FE0">
        <w:rPr>
          <w:lang w:val="en-US"/>
        </w:rPr>
        <w:t>0]. The histological response was poor (Grade I, 85.6% viable cells; margins &lt;1 mm), contributing to early metastatic relapse.</w:t>
      </w:r>
    </w:p>
    <w:p w14:paraId="6EFA8294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Case 5 (sacral chondrosarcoma, Type IV) exemplifies 3D-guided surgery: a patient-specific cutting guide designed from MRI/CT data</w:t>
      </w:r>
      <w:r w:rsidRPr="000D0FE0">
        <w:rPr>
          <w:lang w:val="en-US"/>
        </w:rPr>
        <w:t xml:space="preserve"> was used to execute sacral osteotomies with 5 mm margins despite the high hemorrhagic risk of this region (Figure 3C). The osseous defect was filled with hernia mesh, subsequently requiring removal due to local infection — a known risk of non-biological f</w:t>
      </w:r>
      <w:r w:rsidRPr="000D0FE0">
        <w:rPr>
          <w:lang w:val="en-US"/>
        </w:rPr>
        <w:t>illers in sacral resections.</w:t>
      </w:r>
    </w:p>
    <w:p w14:paraId="1B704F18" w14:textId="77777777" w:rsidR="002F22A8" w:rsidRDefault="002945EB">
      <w:pPr>
        <w:spacing w:before="240" w:after="60"/>
      </w:pPr>
      <w:r w:rsidRPr="000D0FE0">
        <w:rPr>
          <w:b/>
          <w:bCs/>
          <w:lang w:val="en-US"/>
        </w:rPr>
        <w:t xml:space="preserve">Figure 4. Case 1 – Aneurysmal bone cyst / cavernous hemangioma (Type I+II). </w:t>
      </w:r>
      <w:proofErr w:type="spellStart"/>
      <w:r>
        <w:rPr>
          <w:b/>
          <w:bCs/>
        </w:rPr>
        <w:t>Preoperative</w:t>
      </w:r>
      <w:proofErr w:type="spellEnd"/>
      <w:r>
        <w:rPr>
          <w:b/>
          <w:bCs/>
        </w:rPr>
        <w:t xml:space="preserve"> CT and </w:t>
      </w:r>
      <w:proofErr w:type="spellStart"/>
      <w:r>
        <w:rPr>
          <w:b/>
          <w:bCs/>
        </w:rPr>
        <w:t>postoperative</w:t>
      </w:r>
      <w:proofErr w:type="spellEnd"/>
      <w:r>
        <w:rPr>
          <w:b/>
          <w:bCs/>
        </w:rPr>
        <w:t xml:space="preserve"> X-ray (no reconstruction).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6"/>
        <w:gridCol w:w="4923"/>
      </w:tblGrid>
      <w:tr w:rsidR="000D0FE0" w14:paraId="15586808" w14:textId="77777777">
        <w:tc>
          <w:tcPr>
            <w:tcW w:w="4513" w:type="dxa"/>
          </w:tcPr>
          <w:p w14:paraId="3E9711C7" w14:textId="77777777" w:rsidR="002F22A8" w:rsidRDefault="000D0F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BC65A5" wp14:editId="55941DAB">
                  <wp:extent cx="2734503" cy="2314937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078" cy="234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1D2C3" w14:textId="77777777" w:rsidR="002F22A8" w:rsidRPr="000D0FE0" w:rsidRDefault="002945EB">
            <w:pPr>
              <w:spacing w:before="20" w:after="80"/>
              <w:jc w:val="center"/>
              <w:rPr>
                <w:lang w:val="en-US"/>
              </w:rPr>
            </w:pP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Fig. 4A – CT axial (portal phase): aggressive osteolytic mass 78×91 mm of the right iliu</w:t>
            </w: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m with </w:t>
            </w:r>
            <w:proofErr w:type="spellStart"/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hypervascularized</w:t>
            </w:r>
            <w:proofErr w:type="spellEnd"/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 content and local soft-tissue invasion.</w:t>
            </w:r>
          </w:p>
        </w:tc>
        <w:tc>
          <w:tcPr>
            <w:tcW w:w="4513" w:type="dxa"/>
          </w:tcPr>
          <w:p w14:paraId="294F6A05" w14:textId="77777777" w:rsidR="002F22A8" w:rsidRDefault="000D0F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4301D6" wp14:editId="5BAA4AFA">
                  <wp:extent cx="3113590" cy="2314575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459" cy="234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2F9DC" w14:textId="77777777" w:rsidR="002F22A8" w:rsidRDefault="002945EB">
            <w:pPr>
              <w:spacing w:before="20" w:after="80"/>
              <w:jc w:val="center"/>
            </w:pP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Fig. 4B – Postoperative AP pelvic X-ray: periacetabular osseous defect after Type I internal hemipelvectomy without reconstruction. </w:t>
            </w:r>
            <w:r>
              <w:rPr>
                <w:i/>
                <w:iCs/>
                <w:color w:val="333333"/>
                <w:sz w:val="18"/>
                <w:szCs w:val="18"/>
              </w:rPr>
              <w:t xml:space="preserve">No </w:t>
            </w:r>
            <w:proofErr w:type="spellStart"/>
            <w:r>
              <w:rPr>
                <w:i/>
                <w:iCs/>
                <w:color w:val="333333"/>
                <w:sz w:val="18"/>
                <w:szCs w:val="18"/>
              </w:rPr>
              <w:t>osteosynthesis</w:t>
            </w:r>
            <w:proofErr w:type="spellEnd"/>
            <w:r>
              <w:rPr>
                <w:i/>
                <w:i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color w:val="333333"/>
                <w:sz w:val="18"/>
                <w:szCs w:val="18"/>
              </w:rPr>
              <w:t>material</w:t>
            </w:r>
            <w:proofErr w:type="spellEnd"/>
            <w:r>
              <w:rPr>
                <w:i/>
                <w:iCs/>
                <w:color w:val="333333"/>
                <w:sz w:val="18"/>
                <w:szCs w:val="18"/>
              </w:rPr>
              <w:t xml:space="preserve"> visible. Double-J </w:t>
            </w:r>
            <w:proofErr w:type="spellStart"/>
            <w:r>
              <w:rPr>
                <w:i/>
                <w:iCs/>
                <w:color w:val="333333"/>
                <w:sz w:val="18"/>
                <w:szCs w:val="18"/>
              </w:rPr>
              <w:t>ureteral</w:t>
            </w:r>
            <w:proofErr w:type="spellEnd"/>
            <w:r>
              <w:rPr>
                <w:i/>
                <w:iCs/>
                <w:color w:val="333333"/>
                <w:sz w:val="18"/>
                <w:szCs w:val="18"/>
              </w:rPr>
              <w:t xml:space="preserve"> ste</w:t>
            </w:r>
            <w:r>
              <w:rPr>
                <w:i/>
                <w:iCs/>
                <w:color w:val="333333"/>
                <w:sz w:val="18"/>
                <w:szCs w:val="18"/>
              </w:rPr>
              <w:t>nt visible.</w:t>
            </w:r>
          </w:p>
        </w:tc>
      </w:tr>
    </w:tbl>
    <w:p w14:paraId="7B9BBF16" w14:textId="77777777" w:rsidR="002F22A8" w:rsidRPr="000D0FE0" w:rsidRDefault="002945EB">
      <w:pPr>
        <w:spacing w:before="240" w:after="60"/>
        <w:rPr>
          <w:lang w:val="en-US"/>
        </w:rPr>
      </w:pPr>
      <w:r w:rsidRPr="000D0FE0">
        <w:rPr>
          <w:b/>
          <w:bCs/>
          <w:lang w:val="en-US"/>
        </w:rPr>
        <w:t>Figure 5. Case 4 – Ewing Sarcoma, right ilium (Type I). Preoperative MRI and postoperative CT (osteosynthesis plate).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0"/>
        <w:gridCol w:w="4826"/>
      </w:tblGrid>
      <w:tr w:rsidR="000D0FE0" w:rsidRPr="000D0FE0" w14:paraId="1D88F613" w14:textId="77777777">
        <w:tc>
          <w:tcPr>
            <w:tcW w:w="4513" w:type="dxa"/>
          </w:tcPr>
          <w:p w14:paraId="20FEBA70" w14:textId="77777777" w:rsidR="002F22A8" w:rsidRDefault="000D0FE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0B49AA" wp14:editId="5F15C75D">
                  <wp:extent cx="3067291" cy="2233914"/>
                  <wp:effectExtent l="0" t="0" r="0" b="1905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684" cy="226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30F83" w14:textId="77777777" w:rsidR="002F22A8" w:rsidRPr="000D0FE0" w:rsidRDefault="002945EB">
            <w:pPr>
              <w:spacing w:before="20" w:after="80"/>
              <w:jc w:val="center"/>
              <w:rPr>
                <w:lang w:val="en-US"/>
              </w:rPr>
            </w:pP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Fig. 5A – MRI T1+Gd axial (preoperative): large iliac tumor 128×127×162 mm compressing and displacing iliac vessels and ili</w:t>
            </w: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opsoas muscle. Following 3 cycles of neoadjuvant VAC-IE chemotherapy, lesion showed partial regression.</w:t>
            </w:r>
          </w:p>
        </w:tc>
        <w:tc>
          <w:tcPr>
            <w:tcW w:w="4513" w:type="dxa"/>
          </w:tcPr>
          <w:p w14:paraId="12B6F09B" w14:textId="77777777" w:rsidR="002F22A8" w:rsidRDefault="000D0F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8E14FF" wp14:editId="22C86F27">
                  <wp:extent cx="3052244" cy="2233295"/>
                  <wp:effectExtent l="0" t="0" r="0" b="1905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278" cy="225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91FE3" w14:textId="77777777" w:rsidR="002F22A8" w:rsidRPr="000D0FE0" w:rsidRDefault="002945EB">
            <w:pPr>
              <w:spacing w:before="20" w:after="80"/>
              <w:jc w:val="center"/>
              <w:rPr>
                <w:lang w:val="en-US"/>
              </w:rPr>
            </w:pP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Fig. 5B – Postoperative CT axial: visceral plate osteosynthesis in situ after iliac crest osteotomy and tumor resection. No residual tumor </w:t>
            </w:r>
            <w:proofErr w:type="gramStart"/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mass</w:t>
            </w:r>
            <w:proofErr w:type="gramEnd"/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. Compl</w:t>
            </w:r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ete histological necrosis (</w:t>
            </w:r>
            <w:proofErr w:type="spellStart"/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>Huvos</w:t>
            </w:r>
            <w:proofErr w:type="spellEnd"/>
            <w:r w:rsidRPr="000D0FE0">
              <w:rPr>
                <w:i/>
                <w:iCs/>
                <w:color w:val="333333"/>
                <w:sz w:val="18"/>
                <w:szCs w:val="18"/>
                <w:lang w:val="en-US"/>
              </w:rPr>
              <w:t xml:space="preserve"> Grade IV) confirmed at final pathology.</w:t>
            </w:r>
          </w:p>
        </w:tc>
      </w:tr>
    </w:tbl>
    <w:p w14:paraId="2A54E9A1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3.6 Adjuvant Therapies</w:t>
      </w:r>
    </w:p>
    <w:p w14:paraId="16939E35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All three Ewing sarcoma patients received VDC-IE or VAC-IE multiagent chemotherapy with G-CSF support [23]. Histological response ranged from Grade IV </w:t>
      </w:r>
      <w:r w:rsidRPr="000D0FE0">
        <w:rPr>
          <w:lang w:val="en-US"/>
        </w:rPr>
        <w:t>(complete necrosis, Case 4 — excellent prognosis) to Grade I (14% necrosis, Case 2 — fatal relapse), confirming the paramount prognostic value of neoadjuvant chemotherapy response described by Wunder et al. [24]. Chondrosarcoma received no chemotherapy (</w:t>
      </w:r>
      <w:proofErr w:type="spellStart"/>
      <w:r w:rsidRPr="000D0FE0">
        <w:rPr>
          <w:lang w:val="en-US"/>
        </w:rPr>
        <w:t>ch</w:t>
      </w:r>
      <w:r w:rsidRPr="000D0FE0">
        <w:rPr>
          <w:lang w:val="en-US"/>
        </w:rPr>
        <w:t>emoresistant</w:t>
      </w:r>
      <w:proofErr w:type="spellEnd"/>
      <w:r w:rsidRPr="000D0FE0">
        <w:rPr>
          <w:lang w:val="en-US"/>
        </w:rPr>
        <w:t xml:space="preserve"> </w:t>
      </w:r>
      <w:proofErr w:type="spellStart"/>
      <w:r w:rsidRPr="000D0FE0">
        <w:rPr>
          <w:lang w:val="en-US"/>
        </w:rPr>
        <w:t>histotype</w:t>
      </w:r>
      <w:proofErr w:type="spellEnd"/>
      <w:r w:rsidRPr="000D0FE0">
        <w:rPr>
          <w:lang w:val="en-US"/>
        </w:rPr>
        <w:t>) and adjuvant radiotherapy at 60 Gy/30 fractions for the sacral location [25].</w:t>
      </w:r>
    </w:p>
    <w:p w14:paraId="38290D21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3.7 Complications and Outcomes</w:t>
      </w:r>
    </w:p>
    <w:p w14:paraId="19E97578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Surgical complications: hemorrhagic instability (n=2), hemorrhagic shock with 10-day ICU stay (Case 5, 2,000 mL blood loss)</w:t>
      </w:r>
      <w:r w:rsidRPr="000D0FE0">
        <w:rPr>
          <w:lang w:val="en-US"/>
        </w:rPr>
        <w:t>, pelvic lymphocele (Case 2), and infected hernia mesh requiring revision (Case 5). These rates are consistent with published data for internal hemipelvectomy: Ogura et al. report wound complications in over one-third of patients, with infection rates of 1</w:t>
      </w:r>
      <w:r w:rsidRPr="000D0FE0">
        <w:rPr>
          <w:lang w:val="en-US"/>
        </w:rPr>
        <w:t xml:space="preserve">0–50% depending on reconstruction type [26]. </w:t>
      </w:r>
      <w:proofErr w:type="spellStart"/>
      <w:r w:rsidRPr="000D0FE0">
        <w:rPr>
          <w:lang w:val="en-US"/>
        </w:rPr>
        <w:t>Anract</w:t>
      </w:r>
      <w:proofErr w:type="spellEnd"/>
      <w:r w:rsidRPr="000D0FE0">
        <w:rPr>
          <w:lang w:val="en-US"/>
        </w:rPr>
        <w:t xml:space="preserve"> et al. note infection rates of 12–19% for saddle prostheses in their series [8].</w:t>
      </w:r>
    </w:p>
    <w:p w14:paraId="2C4C4533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Four patients (67%) are in complete remission. One patient died from Ewing sarcoma relapse (Case 2, Grade I histological re</w:t>
      </w:r>
      <w:r w:rsidRPr="000D0FE0">
        <w:rPr>
          <w:lang w:val="en-US"/>
        </w:rPr>
        <w:t>sponse, margins &lt;1 mm). One patient (Case 6, breast metastasis) developed locoregional recurrence and was lost to follow-up. Two patients (33%) developed reactive depressive episodes, consistent with published prevalence of ~30% psychological distress amon</w:t>
      </w:r>
      <w:r w:rsidRPr="000D0FE0">
        <w:rPr>
          <w:lang w:val="en-US"/>
        </w:rPr>
        <w:t>g bone sarcoma survivors [28]. Functional outcomes, complications, and follow-up are detailed in Tables 2 and 3.</w:t>
      </w:r>
    </w:p>
    <w:p w14:paraId="05078FBF" w14:textId="77777777" w:rsidR="002F22A8" w:rsidRPr="000D0FE0" w:rsidRDefault="002945EB">
      <w:pPr>
        <w:spacing w:before="100" w:after="60"/>
        <w:rPr>
          <w:lang w:val="en-US"/>
        </w:rPr>
      </w:pPr>
      <w:r w:rsidRPr="000D0FE0">
        <w:rPr>
          <w:b/>
          <w:bCs/>
          <w:lang w:val="en-US"/>
        </w:rPr>
        <w:t>Table 2. Neoadjuvant therapy, surgical resection, reconstruction, postoperative histology, and adjuvant treatment.</w:t>
      </w:r>
    </w:p>
    <w:tbl>
      <w:tblPr>
        <w:tblW w:w="8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1"/>
        <w:gridCol w:w="1281"/>
        <w:gridCol w:w="1531"/>
        <w:gridCol w:w="1521"/>
        <w:gridCol w:w="1231"/>
        <w:gridCol w:w="1581"/>
        <w:gridCol w:w="1341"/>
      </w:tblGrid>
      <w:tr w:rsidR="002F22A8" w14:paraId="2C41BB88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223A2D" w14:textId="77777777" w:rsidR="002F22A8" w:rsidRDefault="002945EB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Case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1E9522" w14:textId="77777777" w:rsidR="002F22A8" w:rsidRDefault="002945EB">
            <w:pPr>
              <w:jc w:val="center"/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Neoadjuvant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Therapy</w:t>
            </w:r>
            <w:proofErr w:type="spellEnd"/>
          </w:p>
        </w:tc>
        <w:tc>
          <w:tcPr>
            <w:tcW w:w="1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4C0972" w14:textId="77777777" w:rsidR="002F22A8" w:rsidRDefault="002945EB">
            <w:pPr>
              <w:jc w:val="center"/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Resection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Type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136149" w14:textId="77777777" w:rsidR="002F22A8" w:rsidRDefault="002945EB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Reconstruction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88058F" w14:textId="77777777" w:rsidR="002F22A8" w:rsidRDefault="002945EB">
            <w:r>
              <w:rPr>
                <w:b/>
                <w:bCs/>
                <w:color w:val="FFFFFF"/>
                <w:sz w:val="18"/>
                <w:szCs w:val="18"/>
              </w:rPr>
              <w:t>Op. Time / Transfusion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4A2933" w14:textId="77777777" w:rsidR="002F22A8" w:rsidRDefault="002945EB">
            <w:r>
              <w:rPr>
                <w:b/>
                <w:bCs/>
                <w:color w:val="FFFFFF"/>
                <w:sz w:val="18"/>
                <w:szCs w:val="18"/>
              </w:rPr>
              <w:t xml:space="preserve">Postop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Histology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&amp;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Margins</w:t>
            </w:r>
            <w:proofErr w:type="spellEnd"/>
          </w:p>
        </w:tc>
        <w:tc>
          <w:tcPr>
            <w:tcW w:w="14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1B52BB" w14:textId="77777777" w:rsidR="002F22A8" w:rsidRDefault="002945EB">
            <w:r>
              <w:rPr>
                <w:b/>
                <w:bCs/>
                <w:color w:val="FFFFFF"/>
                <w:sz w:val="18"/>
                <w:szCs w:val="18"/>
              </w:rPr>
              <w:t xml:space="preserve">Adjuvant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Therapy</w:t>
            </w:r>
            <w:proofErr w:type="spellEnd"/>
          </w:p>
        </w:tc>
      </w:tr>
      <w:tr w:rsidR="002F22A8" w14:paraId="377F47BD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C423F3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A40F6C" w14:textId="77777777" w:rsidR="002F22A8" w:rsidRDefault="002945EB">
            <w:r>
              <w:rPr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F07CAC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Internal hemipelvectomy Type I (ring interrupted)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EBB589" w14:textId="77777777" w:rsidR="002F22A8" w:rsidRDefault="002945EB">
            <w:r>
              <w:rPr>
                <w:color w:val="000000"/>
                <w:sz w:val="18"/>
                <w:szCs w:val="18"/>
              </w:rPr>
              <w:t>None (Fig. 4B)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A04DEB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311 min / 2 RBC </w:t>
            </w:r>
            <w:proofErr w:type="spellStart"/>
            <w:r>
              <w:rPr>
                <w:color w:val="000000"/>
                <w:sz w:val="18"/>
                <w:szCs w:val="18"/>
              </w:rPr>
              <w:t>units</w:t>
            </w:r>
            <w:proofErr w:type="spellEnd"/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DA01AB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Cavernous hemangioma; no malignancy; clear margins</w:t>
            </w:r>
          </w:p>
        </w:tc>
        <w:tc>
          <w:tcPr>
            <w:tcW w:w="14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7EDA08" w14:textId="77777777" w:rsidR="002F22A8" w:rsidRDefault="002945EB">
            <w:r>
              <w:rPr>
                <w:color w:val="000000"/>
                <w:sz w:val="18"/>
                <w:szCs w:val="18"/>
              </w:rPr>
              <w:t>None</w:t>
            </w:r>
          </w:p>
        </w:tc>
      </w:tr>
      <w:tr w:rsidR="002F22A8" w:rsidRPr="000D0FE0" w14:paraId="0EF51A4A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EFE78B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9276B9" w14:textId="77777777" w:rsidR="002F22A8" w:rsidRDefault="002945EB">
            <w:r>
              <w:rPr>
                <w:color w:val="000000"/>
                <w:sz w:val="18"/>
                <w:szCs w:val="18"/>
              </w:rPr>
              <w:t>VDC-IE × 4 cycles</w:t>
            </w:r>
          </w:p>
        </w:tc>
        <w:tc>
          <w:tcPr>
            <w:tcW w:w="1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E145AB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Internal hemipelvectomy Type II+III (navigation-guided)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3A55E9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Ice-cream cone ilio-femoral prosthesis (Fig. 2A–B)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FEAC9A" w14:textId="77777777" w:rsidR="002F22A8" w:rsidRDefault="002945EB">
            <w:r>
              <w:rPr>
                <w:color w:val="000000"/>
                <w:sz w:val="18"/>
                <w:szCs w:val="18"/>
              </w:rPr>
              <w:t>480 min / 3 RBC + 3 FFP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306B6E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Ewing sarcoma 11 cm; 85.6% viable (</w:t>
            </w:r>
            <w:proofErr w:type="spellStart"/>
            <w:r w:rsidRPr="000D0FE0">
              <w:rPr>
                <w:color w:val="000000"/>
                <w:sz w:val="18"/>
                <w:szCs w:val="18"/>
                <w:lang w:val="en-US"/>
              </w:rPr>
              <w:t>Huvos</w:t>
            </w:r>
            <w:proofErr w:type="spellEnd"/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 Grade I); margins &lt;1 mm</w:t>
            </w:r>
          </w:p>
        </w:tc>
        <w:tc>
          <w:tcPr>
            <w:tcW w:w="14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9652D8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VDC-IE × 10 + RTH 50.4 </w:t>
            </w:r>
            <w:proofErr w:type="spellStart"/>
            <w:r w:rsidRPr="000D0FE0">
              <w:rPr>
                <w:color w:val="000000"/>
                <w:sz w:val="18"/>
                <w:szCs w:val="18"/>
                <w:lang w:val="en-US"/>
              </w:rPr>
              <w:t>Gy</w:t>
            </w:r>
            <w:proofErr w:type="spellEnd"/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/28 </w:t>
            </w:r>
            <w:proofErr w:type="spellStart"/>
            <w:r w:rsidRPr="000D0FE0">
              <w:rPr>
                <w:color w:val="000000"/>
                <w:sz w:val="18"/>
                <w:szCs w:val="18"/>
                <w:lang w:val="en-US"/>
              </w:rPr>
              <w:t>fr</w:t>
            </w:r>
            <w:proofErr w:type="spellEnd"/>
          </w:p>
        </w:tc>
      </w:tr>
      <w:tr w:rsidR="002F22A8" w:rsidRPr="000D0FE0" w14:paraId="2B106252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FE38FC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DD0CEB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VAC-IE </w:t>
            </w:r>
            <w:r>
              <w:rPr>
                <w:color w:val="000000"/>
                <w:sz w:val="18"/>
                <w:szCs w:val="18"/>
              </w:rPr>
              <w:t>× 4 cycles</w:t>
            </w:r>
          </w:p>
        </w:tc>
        <w:tc>
          <w:tcPr>
            <w:tcW w:w="1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45401A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Internal hemipelvectomy Type I (partial ring interruption)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B91026" w14:textId="77777777" w:rsidR="002F22A8" w:rsidRDefault="002945EB">
            <w:r>
              <w:rPr>
                <w:color w:val="000000"/>
                <w:sz w:val="18"/>
                <w:szCs w:val="18"/>
              </w:rPr>
              <w:t>Double-face abdominal plate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AD2818" w14:textId="77777777" w:rsidR="002F22A8" w:rsidRDefault="002945EB">
            <w:r>
              <w:rPr>
                <w:color w:val="000000"/>
                <w:sz w:val="18"/>
                <w:szCs w:val="18"/>
              </w:rPr>
              <w:t>150 min / no transfusion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E7F397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Ewing sarcoma 8 cm; 24% viable (</w:t>
            </w:r>
            <w:proofErr w:type="spellStart"/>
            <w:r w:rsidRPr="000D0FE0">
              <w:rPr>
                <w:color w:val="000000"/>
                <w:sz w:val="18"/>
                <w:szCs w:val="18"/>
                <w:lang w:val="en-US"/>
              </w:rPr>
              <w:t>Huvos</w:t>
            </w:r>
            <w:proofErr w:type="spellEnd"/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 Grade II); clear margins</w:t>
            </w:r>
          </w:p>
        </w:tc>
        <w:tc>
          <w:tcPr>
            <w:tcW w:w="14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78BDA6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VAC-IE × 7 + RTH 50 </w:t>
            </w:r>
            <w:proofErr w:type="spellStart"/>
            <w:r w:rsidRPr="000D0FE0">
              <w:rPr>
                <w:color w:val="000000"/>
                <w:sz w:val="18"/>
                <w:szCs w:val="18"/>
                <w:lang w:val="en-US"/>
              </w:rPr>
              <w:t>Gy</w:t>
            </w:r>
            <w:proofErr w:type="spellEnd"/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/25 </w:t>
            </w:r>
            <w:proofErr w:type="spellStart"/>
            <w:r w:rsidRPr="000D0FE0">
              <w:rPr>
                <w:color w:val="000000"/>
                <w:sz w:val="18"/>
                <w:szCs w:val="18"/>
                <w:lang w:val="en-US"/>
              </w:rPr>
              <w:t>fr</w:t>
            </w:r>
            <w:proofErr w:type="spellEnd"/>
          </w:p>
        </w:tc>
      </w:tr>
      <w:tr w:rsidR="002F22A8" w:rsidRPr="000D0FE0" w14:paraId="3DE536A9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98B58A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792921" w14:textId="77777777" w:rsidR="002F22A8" w:rsidRDefault="002945EB">
            <w:r>
              <w:rPr>
                <w:color w:val="000000"/>
                <w:sz w:val="18"/>
                <w:szCs w:val="18"/>
              </w:rPr>
              <w:t>VAC-IE × 3 cycles</w:t>
            </w:r>
          </w:p>
        </w:tc>
        <w:tc>
          <w:tcPr>
            <w:tcW w:w="1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2BA118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Iliac crest </w:t>
            </w:r>
            <w:r w:rsidRPr="000D0FE0">
              <w:rPr>
                <w:color w:val="000000"/>
                <w:sz w:val="18"/>
                <w:szCs w:val="18"/>
                <w:lang w:val="en-US"/>
              </w:rPr>
              <w:t>osteotomy + tumor resection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CFE1DA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Visceral plate osteosynthesis (Fig. 5B)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180A49" w14:textId="77777777" w:rsidR="002F22A8" w:rsidRDefault="002945EB">
            <w:r>
              <w:rPr>
                <w:color w:val="000000"/>
                <w:sz w:val="18"/>
                <w:szCs w:val="18"/>
              </w:rPr>
              <w:t>120 min / no transfusion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4F8528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Complete necrosis (</w:t>
            </w:r>
            <w:proofErr w:type="spellStart"/>
            <w:r w:rsidRPr="000D0FE0">
              <w:rPr>
                <w:color w:val="000000"/>
                <w:sz w:val="18"/>
                <w:szCs w:val="18"/>
                <w:lang w:val="en-US"/>
              </w:rPr>
              <w:t>Huvos</w:t>
            </w:r>
            <w:proofErr w:type="spellEnd"/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 Grade IV); margin 5 mm; R0</w:t>
            </w:r>
          </w:p>
        </w:tc>
        <w:tc>
          <w:tcPr>
            <w:tcW w:w="14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B44C70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VAC-IE × 4 + RTH 50 </w:t>
            </w:r>
            <w:proofErr w:type="spellStart"/>
            <w:r w:rsidRPr="000D0FE0">
              <w:rPr>
                <w:color w:val="000000"/>
                <w:sz w:val="18"/>
                <w:szCs w:val="18"/>
                <w:lang w:val="en-US"/>
              </w:rPr>
              <w:t>Gy</w:t>
            </w:r>
            <w:proofErr w:type="spellEnd"/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/25 </w:t>
            </w:r>
            <w:proofErr w:type="spellStart"/>
            <w:r w:rsidRPr="000D0FE0">
              <w:rPr>
                <w:color w:val="000000"/>
                <w:sz w:val="18"/>
                <w:szCs w:val="18"/>
                <w:lang w:val="en-US"/>
              </w:rPr>
              <w:t>fr</w:t>
            </w:r>
            <w:proofErr w:type="spellEnd"/>
          </w:p>
        </w:tc>
      </w:tr>
      <w:tr w:rsidR="002F22A8" w14:paraId="5FCDBE8E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6EC04C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D3E15A" w14:textId="77777777" w:rsidR="002F22A8" w:rsidRDefault="002945EB">
            <w:r>
              <w:rPr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7906F3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Hemipelvectomy Type IV (3D-printed guide, Fig. 3C)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0C562A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Hernia mesh filling of </w:t>
            </w:r>
            <w:r w:rsidRPr="000D0FE0">
              <w:rPr>
                <w:color w:val="000000"/>
                <w:sz w:val="18"/>
                <w:szCs w:val="18"/>
                <w:lang w:val="en-US"/>
              </w:rPr>
              <w:t>osseous defect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528AD0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356 min / 2000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mL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10 RBC + 10 FFP + 12 </w:t>
            </w:r>
            <w:proofErr w:type="spellStart"/>
            <w:r>
              <w:rPr>
                <w:color w:val="000000"/>
                <w:sz w:val="18"/>
                <w:szCs w:val="18"/>
              </w:rPr>
              <w:t>Plt</w:t>
            </w:r>
            <w:proofErr w:type="spellEnd"/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A40337" w14:textId="77777777" w:rsidR="002F22A8" w:rsidRDefault="002945EB">
            <w:proofErr w:type="spellStart"/>
            <w:r>
              <w:rPr>
                <w:color w:val="000000"/>
                <w:sz w:val="18"/>
                <w:szCs w:val="18"/>
              </w:rPr>
              <w:t>Chondrosarcoma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Grade </w:t>
            </w:r>
            <w:proofErr w:type="gramStart"/>
            <w:r>
              <w:rPr>
                <w:color w:val="000000"/>
                <w:sz w:val="18"/>
                <w:szCs w:val="18"/>
              </w:rPr>
              <w:t>II;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clear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margins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(5 mm)</w:t>
            </w:r>
          </w:p>
        </w:tc>
        <w:tc>
          <w:tcPr>
            <w:tcW w:w="14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1C0A8E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RTH 60 Gy/30 </w:t>
            </w:r>
            <w:proofErr w:type="spellStart"/>
            <w:r>
              <w:rPr>
                <w:color w:val="000000"/>
                <w:sz w:val="18"/>
                <w:szCs w:val="18"/>
              </w:rPr>
              <w:t>fr</w:t>
            </w:r>
            <w:proofErr w:type="spellEnd"/>
          </w:p>
        </w:tc>
      </w:tr>
      <w:tr w:rsidR="002F22A8" w:rsidRPr="000D0FE0" w14:paraId="3FA54B1E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1426AC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1C9390" w14:textId="77777777" w:rsidR="002F22A8" w:rsidRDefault="002945EB">
            <w:r>
              <w:rPr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55D78C" w14:textId="77777777" w:rsidR="002F22A8" w:rsidRDefault="002945EB">
            <w:proofErr w:type="spellStart"/>
            <w:r>
              <w:rPr>
                <w:color w:val="000000"/>
                <w:sz w:val="18"/>
                <w:szCs w:val="18"/>
              </w:rPr>
              <w:t>Intralesional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resection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(ring </w:t>
            </w:r>
            <w:proofErr w:type="spellStart"/>
            <w:r>
              <w:rPr>
                <w:color w:val="000000"/>
                <w:sz w:val="18"/>
                <w:szCs w:val="18"/>
              </w:rPr>
              <w:t>interrupted</w:t>
            </w:r>
            <w:proofErr w:type="spellEnd"/>
            <w:r>
              <w:rPr>
                <w:color w:val="000000"/>
                <w:sz w:val="18"/>
                <w:szCs w:val="18"/>
              </w:rPr>
              <w:t>, palliative)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3B06B3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Cement + T-plate </w:t>
            </w:r>
            <w:proofErr w:type="spellStart"/>
            <w:r>
              <w:rPr>
                <w:color w:val="000000"/>
                <w:sz w:val="18"/>
                <w:szCs w:val="18"/>
              </w:rPr>
              <w:t>osteosynthesis</w:t>
            </w:r>
            <w:proofErr w:type="spellEnd"/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7CEFFF" w14:textId="77777777" w:rsidR="002F22A8" w:rsidRDefault="002945EB">
            <w:r>
              <w:rPr>
                <w:color w:val="000000"/>
                <w:sz w:val="18"/>
                <w:szCs w:val="18"/>
              </w:rPr>
              <w:t>120 min / no transfusion</w:t>
            </w:r>
          </w:p>
        </w:tc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0FE3D9" w14:textId="77777777" w:rsidR="002F22A8" w:rsidRDefault="002945EB">
            <w:proofErr w:type="spellStart"/>
            <w:r>
              <w:rPr>
                <w:color w:val="000000"/>
                <w:sz w:val="18"/>
                <w:szCs w:val="18"/>
              </w:rPr>
              <w:t>Metastatic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carc</w:t>
            </w:r>
            <w:r>
              <w:rPr>
                <w:color w:val="000000"/>
                <w:sz w:val="18"/>
                <w:szCs w:val="18"/>
              </w:rPr>
              <w:t>inoma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palliative </w:t>
            </w:r>
            <w:proofErr w:type="spellStart"/>
            <w:r>
              <w:rPr>
                <w:color w:val="000000"/>
                <w:sz w:val="18"/>
                <w:szCs w:val="18"/>
              </w:rPr>
              <w:t>intent</w:t>
            </w:r>
            <w:proofErr w:type="spellEnd"/>
          </w:p>
        </w:tc>
        <w:tc>
          <w:tcPr>
            <w:tcW w:w="14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A4F058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Palliative RTH 60 </w:t>
            </w:r>
            <w:proofErr w:type="spellStart"/>
            <w:r w:rsidRPr="000D0FE0">
              <w:rPr>
                <w:color w:val="000000"/>
                <w:sz w:val="18"/>
                <w:szCs w:val="18"/>
                <w:lang w:val="en-US"/>
              </w:rPr>
              <w:t>Gy</w:t>
            </w:r>
            <w:proofErr w:type="spellEnd"/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/30 </w:t>
            </w:r>
            <w:proofErr w:type="spellStart"/>
            <w:r w:rsidRPr="000D0FE0">
              <w:rPr>
                <w:color w:val="000000"/>
                <w:sz w:val="18"/>
                <w:szCs w:val="18"/>
                <w:lang w:val="en-US"/>
              </w:rPr>
              <w:t>fr</w:t>
            </w:r>
            <w:proofErr w:type="spellEnd"/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 + chemotherapy</w:t>
            </w:r>
          </w:p>
        </w:tc>
      </w:tr>
    </w:tbl>
    <w:p w14:paraId="433F8DFF" w14:textId="77777777" w:rsidR="002F22A8" w:rsidRPr="000D0FE0" w:rsidRDefault="002945EB">
      <w:pPr>
        <w:spacing w:before="200" w:after="60"/>
        <w:rPr>
          <w:lang w:val="en-US"/>
        </w:rPr>
      </w:pPr>
      <w:r w:rsidRPr="000D0FE0">
        <w:rPr>
          <w:b/>
          <w:bCs/>
          <w:lang w:val="en-US"/>
        </w:rPr>
        <w:t>Table 3. Complications, oncological outcomes, follow-up duration, and functional results.</w:t>
      </w:r>
    </w:p>
    <w:tbl>
      <w:tblPr>
        <w:tblW w:w="8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2"/>
        <w:gridCol w:w="1748"/>
        <w:gridCol w:w="1661"/>
        <w:gridCol w:w="1718"/>
        <w:gridCol w:w="890"/>
        <w:gridCol w:w="1651"/>
      </w:tblGrid>
      <w:tr w:rsidR="002F22A8" w14:paraId="0D724A7B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375024" w14:textId="77777777" w:rsidR="002F22A8" w:rsidRDefault="002945EB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Case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0A737B" w14:textId="77777777" w:rsidR="002F22A8" w:rsidRDefault="002945EB"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Surgical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Complications</w:t>
            </w:r>
          </w:p>
        </w:tc>
        <w:tc>
          <w:tcPr>
            <w:tcW w:w="1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FD2003" w14:textId="77777777" w:rsidR="002F22A8" w:rsidRDefault="002945EB">
            <w:r>
              <w:rPr>
                <w:b/>
                <w:bCs/>
                <w:color w:val="FFFFFF"/>
                <w:sz w:val="18"/>
                <w:szCs w:val="18"/>
              </w:rPr>
              <w:t xml:space="preserve">Adjuvant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Toxicities</w:t>
            </w:r>
            <w:proofErr w:type="spellEnd"/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C1BCF9" w14:textId="77777777" w:rsidR="002F22A8" w:rsidRDefault="002945EB"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Oncological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Outcome</w:t>
            </w:r>
            <w:proofErr w:type="spellEnd"/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7B8AE7" w14:textId="77777777" w:rsidR="002F22A8" w:rsidRDefault="002945EB">
            <w:r>
              <w:rPr>
                <w:b/>
                <w:bCs/>
                <w:color w:val="FFFFFF"/>
                <w:sz w:val="18"/>
                <w:szCs w:val="18"/>
              </w:rPr>
              <w:t>Follow-up</w:t>
            </w:r>
          </w:p>
        </w:tc>
        <w:tc>
          <w:tcPr>
            <w:tcW w:w="1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409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8C8FB7" w14:textId="77777777" w:rsidR="002F22A8" w:rsidRDefault="002945EB"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Functional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Outcome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(MSTS)</w:t>
            </w:r>
          </w:p>
        </w:tc>
      </w:tr>
      <w:tr w:rsidR="002F22A8" w14:paraId="314698C4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A012D8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FFD138" w14:textId="77777777" w:rsidR="002F22A8" w:rsidRDefault="002945EB">
            <w:proofErr w:type="spellStart"/>
            <w:r>
              <w:rPr>
                <w:color w:val="000000"/>
                <w:sz w:val="18"/>
                <w:szCs w:val="18"/>
              </w:rPr>
              <w:t>Postoperative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reactive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depression</w:t>
            </w:r>
            <w:proofErr w:type="spellEnd"/>
          </w:p>
        </w:tc>
        <w:tc>
          <w:tcPr>
            <w:tcW w:w="1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0A28C9" w14:textId="77777777" w:rsidR="002F22A8" w:rsidRDefault="002945EB">
            <w:r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CB7FE3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Complete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remission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no </w:t>
            </w:r>
            <w:proofErr w:type="spellStart"/>
            <w:r>
              <w:rPr>
                <w:color w:val="000000"/>
                <w:sz w:val="18"/>
                <w:szCs w:val="18"/>
              </w:rPr>
              <w:t>recurrence</w:t>
            </w:r>
            <w:proofErr w:type="spellEnd"/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F5EB47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7 </w:t>
            </w:r>
            <w:proofErr w:type="spellStart"/>
            <w:r>
              <w:rPr>
                <w:color w:val="000000"/>
                <w:sz w:val="18"/>
                <w:szCs w:val="18"/>
              </w:rPr>
              <w:t>months</w:t>
            </w:r>
            <w:proofErr w:type="spellEnd"/>
          </w:p>
        </w:tc>
        <w:tc>
          <w:tcPr>
            <w:tcW w:w="1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4FC509" w14:textId="77777777" w:rsidR="002F22A8" w:rsidRDefault="002945EB">
            <w:proofErr w:type="spellStart"/>
            <w:r>
              <w:rPr>
                <w:color w:val="000000"/>
                <w:sz w:val="18"/>
                <w:szCs w:val="18"/>
              </w:rPr>
              <w:t>Autonomous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ambulation;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satisfactory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MSTS</w:t>
            </w:r>
          </w:p>
        </w:tc>
      </w:tr>
      <w:tr w:rsidR="002F22A8" w:rsidRPr="000D0FE0" w14:paraId="739436F1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5F52A8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F2E91B" w14:textId="77777777" w:rsidR="002F22A8" w:rsidRDefault="002945EB">
            <w:proofErr w:type="spellStart"/>
            <w:r>
              <w:rPr>
                <w:color w:val="000000"/>
                <w:sz w:val="18"/>
                <w:szCs w:val="18"/>
              </w:rPr>
              <w:t>Pelvic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lymphocele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</w:t>
            </w:r>
            <w:proofErr w:type="spellStart"/>
            <w:r>
              <w:rPr>
                <w:color w:val="000000"/>
                <w:sz w:val="18"/>
                <w:szCs w:val="18"/>
              </w:rPr>
              <w:t>Reactive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depression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E5B2F5" w14:textId="77777777" w:rsidR="002F22A8" w:rsidRDefault="002945EB">
            <w:proofErr w:type="spellStart"/>
            <w:r>
              <w:rPr>
                <w:color w:val="000000"/>
                <w:sz w:val="18"/>
                <w:szCs w:val="18"/>
              </w:rPr>
              <w:t>Peripheral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neuropathy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(vincristine)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0F4E7A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Bone metastases at 8 months. Death </w:t>
            </w:r>
            <w:r w:rsidRPr="000D0FE0">
              <w:rPr>
                <w:color w:val="000000"/>
                <w:sz w:val="18"/>
                <w:szCs w:val="18"/>
                <w:lang w:val="en-US"/>
              </w:rPr>
              <w:t>09/08/2025.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426041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12 </w:t>
            </w:r>
            <w:proofErr w:type="spellStart"/>
            <w:r>
              <w:rPr>
                <w:color w:val="000000"/>
                <w:sz w:val="18"/>
                <w:szCs w:val="18"/>
              </w:rPr>
              <w:t>months</w:t>
            </w:r>
            <w:proofErr w:type="spellEnd"/>
          </w:p>
        </w:tc>
        <w:tc>
          <w:tcPr>
            <w:tcW w:w="1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7397D2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Progressive deterioration prior to death</w:t>
            </w:r>
          </w:p>
        </w:tc>
      </w:tr>
      <w:tr w:rsidR="002F22A8" w:rsidRPr="000D0FE0" w14:paraId="19F0CFF3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0CABB9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248889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Intraoperative hemodynamic instability; </w:t>
            </w:r>
            <w:proofErr w:type="gramStart"/>
            <w:r w:rsidRPr="000D0FE0">
              <w:rPr>
                <w:color w:val="000000"/>
                <w:sz w:val="18"/>
                <w:szCs w:val="18"/>
                <w:lang w:val="en-US"/>
              </w:rPr>
              <w:t>1 day</w:t>
            </w:r>
            <w:proofErr w:type="gramEnd"/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 ICU</w:t>
            </w:r>
          </w:p>
        </w:tc>
        <w:tc>
          <w:tcPr>
            <w:tcW w:w="1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96CFAD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None </w:t>
            </w:r>
            <w:proofErr w:type="spellStart"/>
            <w:r>
              <w:rPr>
                <w:color w:val="000000"/>
                <w:sz w:val="18"/>
                <w:szCs w:val="18"/>
              </w:rPr>
              <w:t>significant</w:t>
            </w:r>
            <w:proofErr w:type="spellEnd"/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AA0CDE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Complete </w:t>
            </w:r>
            <w:proofErr w:type="spellStart"/>
            <w:r>
              <w:rPr>
                <w:color w:val="000000"/>
                <w:sz w:val="18"/>
                <w:szCs w:val="18"/>
              </w:rPr>
              <w:t>remission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at 2 </w:t>
            </w:r>
            <w:proofErr w:type="spellStart"/>
            <w:r>
              <w:rPr>
                <w:color w:val="000000"/>
                <w:sz w:val="18"/>
                <w:szCs w:val="18"/>
              </w:rPr>
              <w:t>years</w:t>
            </w:r>
            <w:proofErr w:type="spellEnd"/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BC8580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2 </w:t>
            </w:r>
            <w:proofErr w:type="spellStart"/>
            <w:r>
              <w:rPr>
                <w:color w:val="000000"/>
                <w:sz w:val="18"/>
                <w:szCs w:val="18"/>
              </w:rPr>
              <w:t>years</w:t>
            </w:r>
            <w:proofErr w:type="spellEnd"/>
          </w:p>
        </w:tc>
        <w:tc>
          <w:tcPr>
            <w:tcW w:w="1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5A6C13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Ambulation with intermittent cane; good MSTS</w:t>
            </w:r>
          </w:p>
        </w:tc>
      </w:tr>
      <w:tr w:rsidR="002F22A8" w14:paraId="1F35C599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6655D9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F844FD" w14:textId="77777777" w:rsidR="002F22A8" w:rsidRDefault="002945EB">
            <w:r>
              <w:rPr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7B91F9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 xml:space="preserve">Neutropenia (G-CSF controlled); </w:t>
            </w:r>
            <w:r w:rsidRPr="000D0FE0">
              <w:rPr>
                <w:color w:val="000000"/>
                <w:sz w:val="18"/>
                <w:szCs w:val="18"/>
                <w:lang w:val="en-US"/>
              </w:rPr>
              <w:t>stable pulmonary micronodules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9BE529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Complete </w:t>
            </w:r>
            <w:proofErr w:type="spellStart"/>
            <w:r>
              <w:rPr>
                <w:color w:val="000000"/>
                <w:sz w:val="18"/>
                <w:szCs w:val="18"/>
              </w:rPr>
              <w:t>remission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at 2 </w:t>
            </w:r>
            <w:proofErr w:type="spellStart"/>
            <w:r>
              <w:rPr>
                <w:color w:val="000000"/>
                <w:sz w:val="18"/>
                <w:szCs w:val="18"/>
              </w:rPr>
              <w:t>years</w:t>
            </w:r>
            <w:proofErr w:type="spellEnd"/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B3185C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2 </w:t>
            </w:r>
            <w:proofErr w:type="spellStart"/>
            <w:r>
              <w:rPr>
                <w:color w:val="000000"/>
                <w:sz w:val="18"/>
                <w:szCs w:val="18"/>
              </w:rPr>
              <w:t>years</w:t>
            </w:r>
            <w:proofErr w:type="spellEnd"/>
          </w:p>
        </w:tc>
        <w:tc>
          <w:tcPr>
            <w:tcW w:w="1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BA3951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Near-normal </w:t>
            </w:r>
            <w:proofErr w:type="gramStart"/>
            <w:r>
              <w:rPr>
                <w:color w:val="000000"/>
                <w:sz w:val="18"/>
                <w:szCs w:val="18"/>
              </w:rPr>
              <w:t>ambulation;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excellent MSTS</w:t>
            </w:r>
          </w:p>
        </w:tc>
      </w:tr>
      <w:tr w:rsidR="002F22A8" w:rsidRPr="000D0FE0" w14:paraId="311436B8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EA4B02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4C700E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Hemorrhagic shock (10-day ICU). Infected mesh =&gt; surgical revision.</w:t>
            </w:r>
          </w:p>
        </w:tc>
        <w:tc>
          <w:tcPr>
            <w:tcW w:w="1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73AB51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Grade 3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radiodermatitis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radiation </w:t>
            </w:r>
            <w:proofErr w:type="spellStart"/>
            <w:r>
              <w:rPr>
                <w:color w:val="000000"/>
                <w:sz w:val="18"/>
                <w:szCs w:val="18"/>
              </w:rPr>
              <w:t>proctitis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(APC); </w:t>
            </w:r>
            <w:proofErr w:type="spellStart"/>
            <w:r>
              <w:rPr>
                <w:color w:val="000000"/>
                <w:sz w:val="18"/>
                <w:szCs w:val="18"/>
              </w:rPr>
              <w:t>lymphedema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; </w:t>
            </w:r>
            <w:proofErr w:type="spellStart"/>
            <w:r>
              <w:rPr>
                <w:color w:val="000000"/>
                <w:sz w:val="18"/>
                <w:szCs w:val="18"/>
              </w:rPr>
              <w:t>neuropathic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pa</w:t>
            </w:r>
            <w:r>
              <w:rPr>
                <w:color w:val="000000"/>
                <w:sz w:val="18"/>
                <w:szCs w:val="18"/>
              </w:rPr>
              <w:t>in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80215C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No local recurrence at last follow-up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8CA596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1 </w:t>
            </w:r>
            <w:proofErr w:type="spellStart"/>
            <w:r>
              <w:rPr>
                <w:color w:val="000000"/>
                <w:sz w:val="18"/>
                <w:szCs w:val="18"/>
              </w:rPr>
              <w:t>year</w:t>
            </w:r>
            <w:proofErr w:type="spellEnd"/>
          </w:p>
        </w:tc>
        <w:tc>
          <w:tcPr>
            <w:tcW w:w="1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B912D5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Ambulation with cane; progressive recovery</w:t>
            </w:r>
          </w:p>
        </w:tc>
      </w:tr>
      <w:tr w:rsidR="002F22A8" w14:paraId="6548C1E1" w14:textId="77777777">
        <w:tc>
          <w:tcPr>
            <w:tcW w:w="3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83F34D" w14:textId="77777777" w:rsidR="002F22A8" w:rsidRDefault="002945EB">
            <w:pPr>
              <w:jc w:val="center"/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19D599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None </w:t>
            </w:r>
            <w:proofErr w:type="spellStart"/>
            <w:r>
              <w:rPr>
                <w:color w:val="000000"/>
                <w:sz w:val="18"/>
                <w:szCs w:val="18"/>
              </w:rPr>
              <w:t>immediate</w:t>
            </w:r>
            <w:proofErr w:type="spellEnd"/>
          </w:p>
        </w:tc>
        <w:tc>
          <w:tcPr>
            <w:tcW w:w="1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24158A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Not </w:t>
            </w:r>
            <w:proofErr w:type="spellStart"/>
            <w:r>
              <w:rPr>
                <w:color w:val="000000"/>
                <w:sz w:val="18"/>
                <w:szCs w:val="18"/>
              </w:rPr>
              <w:t>specified</w:t>
            </w:r>
            <w:proofErr w:type="spellEnd"/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5B297F" w14:textId="77777777" w:rsidR="002F22A8" w:rsidRPr="000D0FE0" w:rsidRDefault="002945EB">
            <w:pPr>
              <w:rPr>
                <w:lang w:val="en-US"/>
              </w:rPr>
            </w:pPr>
            <w:r w:rsidRPr="000D0FE0">
              <w:rPr>
                <w:color w:val="000000"/>
                <w:sz w:val="18"/>
                <w:szCs w:val="18"/>
                <w:lang w:val="en-US"/>
              </w:rPr>
              <w:t>Locoregional recurrence at 1 year; lost to follow-up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53C93A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1 </w:t>
            </w:r>
            <w:proofErr w:type="spellStart"/>
            <w:r>
              <w:rPr>
                <w:color w:val="000000"/>
                <w:sz w:val="18"/>
                <w:szCs w:val="18"/>
              </w:rPr>
              <w:t>year</w:t>
            </w:r>
            <w:proofErr w:type="spellEnd"/>
          </w:p>
        </w:tc>
        <w:tc>
          <w:tcPr>
            <w:tcW w:w="1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5B729E" w14:textId="77777777" w:rsidR="002F22A8" w:rsidRDefault="002945EB">
            <w:r>
              <w:rPr>
                <w:color w:val="000000"/>
                <w:sz w:val="18"/>
                <w:szCs w:val="18"/>
              </w:rPr>
              <w:t xml:space="preserve">Transient </w:t>
            </w:r>
            <w:proofErr w:type="spellStart"/>
            <w:r>
              <w:rPr>
                <w:color w:val="000000"/>
                <w:sz w:val="18"/>
                <w:szCs w:val="18"/>
              </w:rPr>
              <w:t>improvement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after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surgery</w:t>
            </w:r>
            <w:proofErr w:type="spellEnd"/>
          </w:p>
        </w:tc>
      </w:tr>
    </w:tbl>
    <w:p w14:paraId="3342D491" w14:textId="77777777" w:rsidR="002F22A8" w:rsidRDefault="002945EB">
      <w:pPr>
        <w:spacing w:before="200" w:after="100"/>
      </w:pPr>
      <w:r>
        <w:rPr>
          <w:b/>
          <w:bCs/>
          <w:sz w:val="22"/>
          <w:szCs w:val="22"/>
        </w:rPr>
        <w:t xml:space="preserve">3.8 </w:t>
      </w:r>
      <w:proofErr w:type="spellStart"/>
      <w:r>
        <w:rPr>
          <w:b/>
          <w:bCs/>
          <w:sz w:val="22"/>
          <w:szCs w:val="22"/>
        </w:rPr>
        <w:t>Contextual</w:t>
      </w:r>
      <w:proofErr w:type="spellEnd"/>
      <w:r>
        <w:rPr>
          <w:b/>
          <w:bCs/>
          <w:sz w:val="22"/>
          <w:szCs w:val="22"/>
        </w:rPr>
        <w:t xml:space="preserve"> Challenges and </w:t>
      </w:r>
      <w:proofErr w:type="spellStart"/>
      <w:r>
        <w:rPr>
          <w:b/>
          <w:bCs/>
          <w:sz w:val="22"/>
          <w:szCs w:val="22"/>
        </w:rPr>
        <w:t>Practical</w:t>
      </w:r>
      <w:proofErr w:type="spellEnd"/>
      <w:r>
        <w:rPr>
          <w:b/>
          <w:bCs/>
          <w:sz w:val="22"/>
          <w:szCs w:val="22"/>
        </w:rPr>
        <w:t xml:space="preserve"> Implications</w:t>
      </w:r>
    </w:p>
    <w:p w14:paraId="25E193DF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The 17-month mean diagnostic delay — more than double most international benchmarks — is the most actionable finding of this series, reflecting limited MRI access in regional centers and insufficient primary care awareness. Priority </w:t>
      </w:r>
      <w:r w:rsidRPr="000D0FE0">
        <w:rPr>
          <w:lang w:val="en-US"/>
        </w:rPr>
        <w:t>interventions include: (1) training primary care physicians to refer any chronic unexplained pelvic pain to orthopedic oncology; (2) establishing clear referral pathways from peripheral hospitals to university orthopedic oncology units; (3) expanding CT-gu</w:t>
      </w:r>
      <w:r w:rsidRPr="000D0FE0">
        <w:rPr>
          <w:lang w:val="en-US"/>
        </w:rPr>
        <w:t>ided biopsy and MRI capacity; and (4) implementing 5–10-year structured follow-up programs. International guidelines unanimously recommend management of pelvic sarcomas in expert multidisciplinary centers [31].</w:t>
      </w:r>
    </w:p>
    <w:p w14:paraId="59F299A4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2"/>
          <w:szCs w:val="22"/>
          <w:lang w:val="en-US"/>
        </w:rPr>
        <w:t>3.9 Limitations</w:t>
      </w:r>
    </w:p>
    <w:p w14:paraId="4AFD1B4B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Small sample size (n=6); retr</w:t>
      </w:r>
      <w:r w:rsidRPr="000D0FE0">
        <w:rPr>
          <w:lang w:val="en-US"/>
        </w:rPr>
        <w:t>ospective single-center design; histological heterogeneity; variable and in some cases insufficient follow-up duration. These results are illustrative observations rather than the basis for generalizable conclusions.</w:t>
      </w:r>
    </w:p>
    <w:p w14:paraId="6B0CE99B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6"/>
          <w:szCs w:val="26"/>
          <w:lang w:val="en-US"/>
        </w:rPr>
        <w:t>4. CONCLUSION</w:t>
      </w:r>
    </w:p>
    <w:p w14:paraId="696AC595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lastRenderedPageBreak/>
        <w:t>Pelvic bone tumors encomp</w:t>
      </w:r>
      <w:r w:rsidRPr="000D0FE0">
        <w:rPr>
          <w:lang w:val="en-US"/>
        </w:rPr>
        <w:t>ass a heterogeneous spectrum requiring individualized, multidisciplinary management. This six-case series demonstrates that limb-preserving surgery — including diverse resection types and reconstructive strategies (ice-cream cone prosthesis, plate osteosyn</w:t>
      </w:r>
      <w:r w:rsidRPr="000D0FE0">
        <w:rPr>
          <w:lang w:val="en-US"/>
        </w:rPr>
        <w:t>thesis, 3D-guided sacral resection, and non-reconstruction) — is achievable across different histological subtypes with satisfactory functional recovery in surviving patients. Histological response to neoadjuvant chemotherapy and quality of surgical margin</w:t>
      </w:r>
      <w:r w:rsidRPr="000D0FE0">
        <w:rPr>
          <w:lang w:val="en-US"/>
        </w:rPr>
        <w:t>s remain the primary oncological determinants. A 17-month mean diagnostic delay is the most critical challenge in our context. Strengthening multidisciplinary infrastructure, imaging access, and referral networks remains an essential priority for pelvic on</w:t>
      </w:r>
      <w:r w:rsidRPr="000D0FE0">
        <w:rPr>
          <w:lang w:val="en-US"/>
        </w:rPr>
        <w:t>cology in Morocco.</w:t>
      </w:r>
    </w:p>
    <w:p w14:paraId="012F2B9D" w14:textId="77777777" w:rsidR="00420DEB" w:rsidRDefault="00420DEB">
      <w:pPr>
        <w:spacing w:before="200" w:after="100"/>
        <w:rPr>
          <w:b/>
          <w:bCs/>
          <w:sz w:val="26"/>
          <w:szCs w:val="26"/>
          <w:lang w:val="en-US"/>
        </w:rPr>
      </w:pPr>
    </w:p>
    <w:p w14:paraId="3F12F8EA" w14:textId="642BD8F5" w:rsidR="002F22A8" w:rsidRPr="000D0FE0" w:rsidRDefault="002945EB">
      <w:pPr>
        <w:spacing w:before="200" w:after="100"/>
        <w:rPr>
          <w:lang w:val="en-US"/>
        </w:rPr>
      </w:pPr>
      <w:bookmarkStart w:id="0" w:name="_GoBack"/>
      <w:bookmarkEnd w:id="0"/>
      <w:r w:rsidRPr="000D0FE0">
        <w:rPr>
          <w:b/>
          <w:bCs/>
          <w:sz w:val="26"/>
          <w:szCs w:val="26"/>
          <w:lang w:val="en-US"/>
        </w:rPr>
        <w:t>CONSENT</w:t>
      </w:r>
    </w:p>
    <w:p w14:paraId="55E3F4AF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Written informed consent was obtained from all patients or legal guardians for pu</w:t>
      </w:r>
      <w:r w:rsidRPr="000D0FE0">
        <w:rPr>
          <w:lang w:val="en-US"/>
        </w:rPr>
        <w:t>blication of clinical data and images. Documentation is available upon editorial request.</w:t>
      </w:r>
    </w:p>
    <w:p w14:paraId="252EC8F3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6"/>
          <w:szCs w:val="26"/>
          <w:lang w:val="en-US"/>
        </w:rPr>
        <w:t>ETHICAL APPROVAL</w:t>
      </w:r>
    </w:p>
    <w:p w14:paraId="0EDFD0EC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Conducted in accordance with the Declaration of Helsinki (2013). Institutional authorization obtained from Mohammed VI University Hospital, Tangier, </w:t>
      </w:r>
      <w:r w:rsidRPr="000D0FE0">
        <w:rPr>
          <w:lang w:val="en-US"/>
        </w:rPr>
        <w:t>Morocco.</w:t>
      </w:r>
    </w:p>
    <w:p w14:paraId="3B5E9B84" w14:textId="77777777" w:rsidR="002F22A8" w:rsidRPr="000D0FE0" w:rsidRDefault="002945EB">
      <w:pPr>
        <w:spacing w:before="200" w:after="100"/>
        <w:rPr>
          <w:lang w:val="en-US"/>
        </w:rPr>
      </w:pPr>
      <w:r w:rsidRPr="000D0FE0">
        <w:rPr>
          <w:b/>
          <w:bCs/>
          <w:sz w:val="26"/>
          <w:szCs w:val="26"/>
          <w:lang w:val="en-US"/>
        </w:rPr>
        <w:t>REFERENCES</w:t>
      </w:r>
    </w:p>
    <w:p w14:paraId="3780F01E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1. </w:t>
      </w:r>
      <w:proofErr w:type="spellStart"/>
      <w:r w:rsidRPr="000D0FE0">
        <w:rPr>
          <w:lang w:val="en-US"/>
        </w:rPr>
        <w:t>Aydinli</w:t>
      </w:r>
      <w:proofErr w:type="spellEnd"/>
      <w:r w:rsidRPr="000D0FE0">
        <w:rPr>
          <w:lang w:val="en-US"/>
        </w:rPr>
        <w:t xml:space="preserve"> U, Ozturk C, </w:t>
      </w:r>
      <w:proofErr w:type="spellStart"/>
      <w:r w:rsidRPr="000D0FE0">
        <w:rPr>
          <w:lang w:val="en-US"/>
        </w:rPr>
        <w:t>Yalcinkaya</w:t>
      </w:r>
      <w:proofErr w:type="spellEnd"/>
      <w:r w:rsidRPr="000D0FE0">
        <w:rPr>
          <w:lang w:val="en-US"/>
        </w:rPr>
        <w:t xml:space="preserve"> U, et al. (2004). Limb-sparing surgery for primary malignant </w:t>
      </w:r>
      <w:proofErr w:type="spellStart"/>
      <w:r w:rsidRPr="000D0FE0">
        <w:rPr>
          <w:lang w:val="en-US"/>
        </w:rPr>
        <w:t>tumours</w:t>
      </w:r>
      <w:proofErr w:type="spellEnd"/>
      <w:r w:rsidRPr="000D0FE0">
        <w:rPr>
          <w:lang w:val="en-US"/>
        </w:rPr>
        <w:t xml:space="preserve"> of the pelvis. Acta </w:t>
      </w:r>
      <w:proofErr w:type="spellStart"/>
      <w:r w:rsidRPr="000D0FE0">
        <w:rPr>
          <w:lang w:val="en-US"/>
        </w:rPr>
        <w:t>Orthopaedica</w:t>
      </w:r>
      <w:proofErr w:type="spellEnd"/>
      <w:r w:rsidRPr="000D0FE0">
        <w:rPr>
          <w:lang w:val="en-US"/>
        </w:rPr>
        <w:t xml:space="preserve"> </w:t>
      </w:r>
      <w:proofErr w:type="spellStart"/>
      <w:r w:rsidRPr="000D0FE0">
        <w:rPr>
          <w:lang w:val="en-US"/>
        </w:rPr>
        <w:t>Belgica</w:t>
      </w:r>
      <w:proofErr w:type="spellEnd"/>
      <w:r w:rsidRPr="000D0FE0">
        <w:rPr>
          <w:lang w:val="en-US"/>
        </w:rPr>
        <w:t>, 70(5), 489–498.</w:t>
      </w:r>
    </w:p>
    <w:p w14:paraId="68888E94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2. </w:t>
      </w:r>
      <w:proofErr w:type="spellStart"/>
      <w:r w:rsidRPr="000D0FE0">
        <w:rPr>
          <w:lang w:val="en-US"/>
        </w:rPr>
        <w:t>Campanacci</w:t>
      </w:r>
      <w:proofErr w:type="spellEnd"/>
      <w:r w:rsidRPr="000D0FE0">
        <w:rPr>
          <w:lang w:val="en-US"/>
        </w:rPr>
        <w:t xml:space="preserve"> M. (1990). Bone and Soft Tissue Tumors. 2nd ed. Springer.</w:t>
      </w:r>
    </w:p>
    <w:p w14:paraId="59D2C23E" w14:textId="77777777" w:rsidR="002F22A8" w:rsidRDefault="002945EB">
      <w:pPr>
        <w:spacing w:before="60" w:after="60" w:line="276" w:lineRule="auto"/>
        <w:jc w:val="both"/>
      </w:pPr>
      <w:r w:rsidRPr="000D0FE0">
        <w:rPr>
          <w:lang w:val="en-US"/>
        </w:rPr>
        <w:t>3.</w:t>
      </w:r>
      <w:r w:rsidRPr="000D0FE0">
        <w:rPr>
          <w:lang w:val="en-US"/>
        </w:rPr>
        <w:t xml:space="preserve"> Mintz DN, Hwang S. (2014). Bone tumor imaging, then and now. </w:t>
      </w:r>
      <w:r>
        <w:t>HSS Journal, 10(3), 230–239.</w:t>
      </w:r>
    </w:p>
    <w:p w14:paraId="0572B5BE" w14:textId="77777777" w:rsidR="002F22A8" w:rsidRDefault="002945EB">
      <w:pPr>
        <w:spacing w:before="60" w:after="60" w:line="276" w:lineRule="auto"/>
        <w:jc w:val="both"/>
      </w:pPr>
      <w:r>
        <w:t xml:space="preserve">4. </w:t>
      </w:r>
      <w:proofErr w:type="spellStart"/>
      <w:r>
        <w:t>Leflot</w:t>
      </w:r>
      <w:proofErr w:type="spellEnd"/>
      <w:r>
        <w:t xml:space="preserve"> L, </w:t>
      </w:r>
      <w:proofErr w:type="spellStart"/>
      <w:r>
        <w:t>Ducou</w:t>
      </w:r>
      <w:proofErr w:type="spellEnd"/>
      <w:r>
        <w:t xml:space="preserve"> Le Pointe H, Lenoir M, et al. (2005). Bonnes pratiques en imagerie dans les tumeurs osseuses. EMC Rhumatologie-Orthopédie, 2(1), 59–79.</w:t>
      </w:r>
    </w:p>
    <w:p w14:paraId="1CB2FF1C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>
        <w:t xml:space="preserve">5. </w:t>
      </w:r>
      <w:proofErr w:type="spellStart"/>
      <w:r>
        <w:t>Deloin</w:t>
      </w:r>
      <w:proofErr w:type="spellEnd"/>
      <w:r>
        <w:t xml:space="preserve"> </w:t>
      </w:r>
      <w:r>
        <w:t xml:space="preserve">X, </w:t>
      </w:r>
      <w:proofErr w:type="spellStart"/>
      <w:r>
        <w:t>Dumaine</w:t>
      </w:r>
      <w:proofErr w:type="spellEnd"/>
      <w:r>
        <w:t xml:space="preserve"> V, </w:t>
      </w:r>
      <w:proofErr w:type="spellStart"/>
      <w:r>
        <w:t>Biau</w:t>
      </w:r>
      <w:proofErr w:type="spellEnd"/>
      <w:r>
        <w:t xml:space="preserve"> D, et al. </w:t>
      </w:r>
      <w:r w:rsidRPr="000D0FE0">
        <w:rPr>
          <w:lang w:val="en-US"/>
        </w:rPr>
        <w:t xml:space="preserve">(2009). Pelvic chondrosarcomas: surgical treatment options. </w:t>
      </w:r>
      <w:proofErr w:type="spellStart"/>
      <w:r w:rsidRPr="000D0FE0">
        <w:rPr>
          <w:lang w:val="en-US"/>
        </w:rPr>
        <w:t>Orthopaedics</w:t>
      </w:r>
      <w:proofErr w:type="spellEnd"/>
      <w:r w:rsidRPr="000D0FE0">
        <w:rPr>
          <w:lang w:val="en-US"/>
        </w:rPr>
        <w:t xml:space="preserve"> &amp; Traumatology: Surgery &amp; Research, 95(6), 393–401.</w:t>
      </w:r>
    </w:p>
    <w:p w14:paraId="19F19AC8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6. Tsuda Y, Evans S, Stevenson JD, et al. (2019). Surgical margin width and outcome in pelvic chondros</w:t>
      </w:r>
      <w:r w:rsidRPr="000D0FE0">
        <w:rPr>
          <w:lang w:val="en-US"/>
        </w:rPr>
        <w:t xml:space="preserve">arcoma. Clinical </w:t>
      </w:r>
      <w:proofErr w:type="spellStart"/>
      <w:r w:rsidRPr="000D0FE0">
        <w:rPr>
          <w:lang w:val="en-US"/>
        </w:rPr>
        <w:t>Orthopaedics</w:t>
      </w:r>
      <w:proofErr w:type="spellEnd"/>
      <w:r w:rsidRPr="000D0FE0">
        <w:rPr>
          <w:lang w:val="en-US"/>
        </w:rPr>
        <w:t xml:space="preserve"> and Related Research, 477(11), 2432–2440.</w:t>
      </w:r>
    </w:p>
    <w:p w14:paraId="64CBBAAE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7. Enneking WF, Dunham WK. (1978). Resection and reconstruction for primary neoplasms involving the innominate bone. Journal of Bone and Joint Surgery (American), 60(6), 731–746.</w:t>
      </w:r>
    </w:p>
    <w:p w14:paraId="76C57EBF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8. </w:t>
      </w:r>
      <w:proofErr w:type="spellStart"/>
      <w:r w:rsidRPr="000D0FE0">
        <w:rPr>
          <w:lang w:val="en-US"/>
        </w:rPr>
        <w:t>An</w:t>
      </w:r>
      <w:r w:rsidRPr="000D0FE0">
        <w:rPr>
          <w:lang w:val="en-US"/>
        </w:rPr>
        <w:t>ract</w:t>
      </w:r>
      <w:proofErr w:type="spellEnd"/>
      <w:r w:rsidRPr="000D0FE0">
        <w:rPr>
          <w:lang w:val="en-US"/>
        </w:rPr>
        <w:t xml:space="preserve"> P, </w:t>
      </w:r>
      <w:proofErr w:type="spellStart"/>
      <w:r w:rsidRPr="000D0FE0">
        <w:rPr>
          <w:lang w:val="en-US"/>
        </w:rPr>
        <w:t>Biau</w:t>
      </w:r>
      <w:proofErr w:type="spellEnd"/>
      <w:r w:rsidRPr="000D0FE0">
        <w:rPr>
          <w:lang w:val="en-US"/>
        </w:rPr>
        <w:t xml:space="preserve"> D, </w:t>
      </w:r>
      <w:proofErr w:type="spellStart"/>
      <w:r w:rsidRPr="000D0FE0">
        <w:rPr>
          <w:lang w:val="en-US"/>
        </w:rPr>
        <w:t>Babinet</w:t>
      </w:r>
      <w:proofErr w:type="spellEnd"/>
      <w:r w:rsidRPr="000D0FE0">
        <w:rPr>
          <w:lang w:val="en-US"/>
        </w:rPr>
        <w:t xml:space="preserve"> A, </w:t>
      </w:r>
      <w:proofErr w:type="spellStart"/>
      <w:r w:rsidRPr="000D0FE0">
        <w:rPr>
          <w:lang w:val="en-US"/>
        </w:rPr>
        <w:t>Tomeno</w:t>
      </w:r>
      <w:proofErr w:type="spellEnd"/>
      <w:r w:rsidRPr="000D0FE0">
        <w:rPr>
          <w:lang w:val="en-US"/>
        </w:rPr>
        <w:t xml:space="preserve"> B. (2014). </w:t>
      </w:r>
      <w:r>
        <w:t xml:space="preserve">Reconstructions du bassin après résection tumorale chez l'adulte. </w:t>
      </w:r>
      <w:r w:rsidRPr="000D0FE0">
        <w:rPr>
          <w:lang w:val="en-US"/>
        </w:rPr>
        <w:t>Bulletin du Cancer, 101(2), 184–194.</w:t>
      </w:r>
    </w:p>
    <w:p w14:paraId="119C67EA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9. Han I, Lee YM, Cho HS, et al. (2010). Outcome after surgical treatment of pelvic sarcomas. Clinics in Ort</w:t>
      </w:r>
      <w:r w:rsidRPr="000D0FE0">
        <w:rPr>
          <w:lang w:val="en-US"/>
        </w:rPr>
        <w:t>hopedic Surgery, 2(3), 160–166.</w:t>
      </w:r>
    </w:p>
    <w:p w14:paraId="384B3FAB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10. Shi Q, Guo W, Ji T, Tang X. (2024). Lumbar functional evaluation of pelvic bone sarcomas after resection. Cancer Medicine, 13(11), e7282.</w:t>
      </w:r>
    </w:p>
    <w:p w14:paraId="39D65DC9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11. </w:t>
      </w:r>
      <w:proofErr w:type="spellStart"/>
      <w:r w:rsidRPr="000D0FE0">
        <w:rPr>
          <w:lang w:val="en-US"/>
        </w:rPr>
        <w:t>Kotrych</w:t>
      </w:r>
      <w:proofErr w:type="spellEnd"/>
      <w:r w:rsidRPr="000D0FE0">
        <w:rPr>
          <w:lang w:val="en-US"/>
        </w:rPr>
        <w:t xml:space="preserve"> D, </w:t>
      </w:r>
      <w:proofErr w:type="spellStart"/>
      <w:r w:rsidRPr="000D0FE0">
        <w:rPr>
          <w:lang w:val="en-US"/>
        </w:rPr>
        <w:t>Ciechanowicz</w:t>
      </w:r>
      <w:proofErr w:type="spellEnd"/>
      <w:r w:rsidRPr="000D0FE0">
        <w:rPr>
          <w:lang w:val="en-US"/>
        </w:rPr>
        <w:t xml:space="preserve"> D, Pawlik J, et al. (2023). Delay in diagnosis of prim</w:t>
      </w:r>
      <w:r w:rsidRPr="000D0FE0">
        <w:rPr>
          <w:lang w:val="en-US"/>
        </w:rPr>
        <w:t xml:space="preserve">ary bone tumors. </w:t>
      </w:r>
      <w:proofErr w:type="spellStart"/>
      <w:r w:rsidRPr="000D0FE0">
        <w:rPr>
          <w:lang w:val="en-US"/>
        </w:rPr>
        <w:t>Ortopedia</w:t>
      </w:r>
      <w:proofErr w:type="spellEnd"/>
      <w:r w:rsidRPr="000D0FE0">
        <w:rPr>
          <w:lang w:val="en-US"/>
        </w:rPr>
        <w:t xml:space="preserve"> </w:t>
      </w:r>
      <w:proofErr w:type="spellStart"/>
      <w:r w:rsidRPr="000D0FE0">
        <w:rPr>
          <w:lang w:val="en-US"/>
        </w:rPr>
        <w:t>Traumatologia</w:t>
      </w:r>
      <w:proofErr w:type="spellEnd"/>
      <w:r w:rsidRPr="000D0FE0">
        <w:rPr>
          <w:lang w:val="en-US"/>
        </w:rPr>
        <w:t xml:space="preserve"> </w:t>
      </w:r>
      <w:proofErr w:type="spellStart"/>
      <w:r w:rsidRPr="000D0FE0">
        <w:rPr>
          <w:lang w:val="en-US"/>
        </w:rPr>
        <w:t>Rehabilitacja</w:t>
      </w:r>
      <w:proofErr w:type="spellEnd"/>
      <w:r w:rsidRPr="000D0FE0">
        <w:rPr>
          <w:lang w:val="en-US"/>
        </w:rPr>
        <w:t>, 25(1), 9–22.</w:t>
      </w:r>
    </w:p>
    <w:p w14:paraId="6FD8B99D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12. Wurtz LD, Peabody TD, Simon MA. (1999). Delay in diagnosis and treatment of primary bone sarcoma of the pelvis. Journal of Bone and Joint Surgery (American), 81(3), 317–325.</w:t>
      </w:r>
    </w:p>
    <w:p w14:paraId="6855B4D1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13. </w:t>
      </w:r>
      <w:proofErr w:type="spellStart"/>
      <w:r w:rsidRPr="000D0FE0">
        <w:rPr>
          <w:lang w:val="en-US"/>
        </w:rPr>
        <w:t>Letaief</w:t>
      </w:r>
      <w:proofErr w:type="spellEnd"/>
      <w:r w:rsidRPr="000D0FE0">
        <w:rPr>
          <w:lang w:val="en-US"/>
        </w:rPr>
        <w:t xml:space="preserve"> F, </w:t>
      </w:r>
      <w:proofErr w:type="spellStart"/>
      <w:r w:rsidRPr="000D0FE0">
        <w:rPr>
          <w:lang w:val="en-US"/>
        </w:rPr>
        <w:t>Khrouf</w:t>
      </w:r>
      <w:proofErr w:type="spellEnd"/>
      <w:r w:rsidRPr="000D0FE0">
        <w:rPr>
          <w:lang w:val="en-US"/>
        </w:rPr>
        <w:t xml:space="preserve"> S, Yahiaoui Y, et al. (2020). Prognostic factors in high-grade localized osteosarcoma: the Tunisian experience. Journal of </w:t>
      </w:r>
      <w:proofErr w:type="spellStart"/>
      <w:r w:rsidRPr="000D0FE0">
        <w:rPr>
          <w:lang w:val="en-US"/>
        </w:rPr>
        <w:t>Orthopaedic</w:t>
      </w:r>
      <w:proofErr w:type="spellEnd"/>
      <w:r w:rsidRPr="000D0FE0">
        <w:rPr>
          <w:lang w:val="en-US"/>
        </w:rPr>
        <w:t xml:space="preserve"> Surgery Hong Kong, 28(3).</w:t>
      </w:r>
    </w:p>
    <w:p w14:paraId="3B06AEA3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14. </w:t>
      </w:r>
      <w:proofErr w:type="spellStart"/>
      <w:r w:rsidRPr="000D0FE0">
        <w:rPr>
          <w:lang w:val="en-US"/>
        </w:rPr>
        <w:t>Morbée</w:t>
      </w:r>
      <w:proofErr w:type="spellEnd"/>
      <w:r w:rsidRPr="000D0FE0">
        <w:rPr>
          <w:lang w:val="en-US"/>
        </w:rPr>
        <w:t xml:space="preserve"> L, </w:t>
      </w:r>
      <w:proofErr w:type="spellStart"/>
      <w:r w:rsidRPr="000D0FE0">
        <w:rPr>
          <w:lang w:val="en-US"/>
        </w:rPr>
        <w:t>Vereecke</w:t>
      </w:r>
      <w:proofErr w:type="spellEnd"/>
      <w:r w:rsidRPr="000D0FE0">
        <w:rPr>
          <w:lang w:val="en-US"/>
        </w:rPr>
        <w:t xml:space="preserve"> E, Laloo F, et al. (2022). MR imaging of the pelvic bo</w:t>
      </w:r>
      <w:r w:rsidRPr="000D0FE0">
        <w:rPr>
          <w:lang w:val="en-US"/>
        </w:rPr>
        <w:t>nes: current and cutting-edge techniques. Journal of the Belgian Society of Radiology, 106(1).</w:t>
      </w:r>
    </w:p>
    <w:p w14:paraId="0A666E99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15. Laitinen MK, Parry MC, Morris GV, Jeys LM. (2023). Pelvic bone sarcomas, prognostic factors, and treatment: a narrative review. Scandinavian Journal of Surge</w:t>
      </w:r>
      <w:r w:rsidRPr="000D0FE0">
        <w:rPr>
          <w:lang w:val="en-US"/>
        </w:rPr>
        <w:t>ry, 112(3), 206–215.</w:t>
      </w:r>
    </w:p>
    <w:p w14:paraId="16AD8CB8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16. Breden S, Stephan M, Knebel C, et al. (2024). Chondrosarcoma of the pelvis: a review of 77 cases. Diagnostics, 14(19), 2166.</w:t>
      </w:r>
    </w:p>
    <w:p w14:paraId="1AFC3DF8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lastRenderedPageBreak/>
        <w:t>17. Williams AE, Ho JW, Sundaram N. (2024). Bone biopsies: practical considerations and technical tips. Se</w:t>
      </w:r>
      <w:r w:rsidRPr="000D0FE0">
        <w:rPr>
          <w:lang w:val="en-US"/>
        </w:rPr>
        <w:t>minars in Interventional Radiology, 41(5), 444–454.</w:t>
      </w:r>
    </w:p>
    <w:p w14:paraId="59E225BD" w14:textId="77777777" w:rsidR="002F22A8" w:rsidRDefault="002945EB">
      <w:pPr>
        <w:spacing w:before="60" w:after="60" w:line="276" w:lineRule="auto"/>
        <w:jc w:val="both"/>
      </w:pPr>
      <w:r w:rsidRPr="000D0FE0">
        <w:rPr>
          <w:lang w:val="en-US"/>
        </w:rPr>
        <w:t xml:space="preserve">18. Mata Fernández C, </w:t>
      </w:r>
      <w:proofErr w:type="spellStart"/>
      <w:r w:rsidRPr="000D0FE0">
        <w:rPr>
          <w:lang w:val="en-US"/>
        </w:rPr>
        <w:t>Sebio</w:t>
      </w:r>
      <w:proofErr w:type="spellEnd"/>
      <w:r w:rsidRPr="000D0FE0">
        <w:rPr>
          <w:lang w:val="en-US"/>
        </w:rPr>
        <w:t xml:space="preserve"> A, </w:t>
      </w:r>
      <w:proofErr w:type="spellStart"/>
      <w:r w:rsidRPr="000D0FE0">
        <w:rPr>
          <w:lang w:val="en-US"/>
        </w:rPr>
        <w:t>Orcajo</w:t>
      </w:r>
      <w:proofErr w:type="spellEnd"/>
      <w:r w:rsidRPr="000D0FE0">
        <w:rPr>
          <w:lang w:val="en-US"/>
        </w:rPr>
        <w:t xml:space="preserve"> </w:t>
      </w:r>
      <w:proofErr w:type="spellStart"/>
      <w:r w:rsidRPr="000D0FE0">
        <w:rPr>
          <w:lang w:val="en-US"/>
        </w:rPr>
        <w:t>Rincón</w:t>
      </w:r>
      <w:proofErr w:type="spellEnd"/>
      <w:r w:rsidRPr="000D0FE0">
        <w:rPr>
          <w:lang w:val="en-US"/>
        </w:rPr>
        <w:t xml:space="preserve"> J, et al. (2024). Clinical practice guidelines for Ewing sarcoma treatment (GEIS). </w:t>
      </w:r>
      <w:proofErr w:type="spellStart"/>
      <w:r>
        <w:t>Clinical</w:t>
      </w:r>
      <w:proofErr w:type="spellEnd"/>
      <w:r>
        <w:t xml:space="preserve"> and </w:t>
      </w:r>
      <w:proofErr w:type="spellStart"/>
      <w:r>
        <w:t>Translational</w:t>
      </w:r>
      <w:proofErr w:type="spellEnd"/>
      <w:r>
        <w:t xml:space="preserve"> </w:t>
      </w:r>
      <w:proofErr w:type="spellStart"/>
      <w:r>
        <w:t>Oncology</w:t>
      </w:r>
      <w:proofErr w:type="spellEnd"/>
      <w:r>
        <w:t>, 27(3), 824–836.</w:t>
      </w:r>
    </w:p>
    <w:p w14:paraId="53CEAAE9" w14:textId="77777777" w:rsidR="002F22A8" w:rsidRDefault="002945EB">
      <w:pPr>
        <w:spacing w:before="60" w:after="60" w:line="276" w:lineRule="auto"/>
        <w:jc w:val="both"/>
      </w:pPr>
      <w:r>
        <w:t xml:space="preserve">19. </w:t>
      </w:r>
      <w:proofErr w:type="spellStart"/>
      <w:r>
        <w:t>Zomalhèto</w:t>
      </w:r>
      <w:proofErr w:type="spellEnd"/>
      <w:r>
        <w:t xml:space="preserve"> Z, </w:t>
      </w:r>
      <w:proofErr w:type="spellStart"/>
      <w:r>
        <w:t>Biaou</w:t>
      </w:r>
      <w:proofErr w:type="spellEnd"/>
      <w:r>
        <w:t xml:space="preserve"> </w:t>
      </w:r>
      <w:r>
        <w:t xml:space="preserve">O, </w:t>
      </w:r>
      <w:proofErr w:type="spellStart"/>
      <w:r>
        <w:t>Yekpe</w:t>
      </w:r>
      <w:proofErr w:type="spellEnd"/>
      <w:r>
        <w:t xml:space="preserve"> P, et al. (2015). Profil des tumeurs osseuses malignes primitives à Cotonou (Bénin). Journal Africain du Cancer, 7.</w:t>
      </w:r>
    </w:p>
    <w:p w14:paraId="3A7F9206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>
        <w:t xml:space="preserve">20. Fujiwara T, </w:t>
      </w:r>
      <w:proofErr w:type="spellStart"/>
      <w:r>
        <w:t>Kaneuchi</w:t>
      </w:r>
      <w:proofErr w:type="spellEnd"/>
      <w:r>
        <w:t xml:space="preserve"> Y, Stevenson J, et al. </w:t>
      </w:r>
      <w:r w:rsidRPr="000D0FE0">
        <w:rPr>
          <w:lang w:val="en-US"/>
        </w:rPr>
        <w:t>(2021). Navigation-assisted pelvic resections for periacetabular chondrosarcomas. E</w:t>
      </w:r>
      <w:r w:rsidRPr="000D0FE0">
        <w:rPr>
          <w:lang w:val="en-US"/>
        </w:rPr>
        <w:t>uropean Journal of Surgical Oncology, 47(2), 416–423.</w:t>
      </w:r>
    </w:p>
    <w:p w14:paraId="4B11C0CD" w14:textId="77777777" w:rsidR="002F22A8" w:rsidRDefault="002945EB">
      <w:pPr>
        <w:spacing w:before="60" w:after="60" w:line="276" w:lineRule="auto"/>
        <w:jc w:val="both"/>
      </w:pPr>
      <w:r w:rsidRPr="000D0FE0">
        <w:rPr>
          <w:lang w:val="en-US"/>
        </w:rPr>
        <w:t xml:space="preserve">21. Ould Slimane M, Thong P, Perez A, et al. </w:t>
      </w:r>
      <w:r>
        <w:t>(2016). Apport de l'imagerie 3D naviguée en chirurgie de résection tumorale osseuse pelvienne. Revue de Chirurgie Orthopédique et Traumatologique, 102.</w:t>
      </w:r>
    </w:p>
    <w:p w14:paraId="031E6366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>
        <w:t xml:space="preserve">22. </w:t>
      </w:r>
      <w:proofErr w:type="spellStart"/>
      <w:r>
        <w:t>C</w:t>
      </w:r>
      <w:r>
        <w:t>himutengwende</w:t>
      </w:r>
      <w:proofErr w:type="spellEnd"/>
      <w:r>
        <w:t xml:space="preserve">-Gordon M, </w:t>
      </w:r>
      <w:proofErr w:type="spellStart"/>
      <w:r>
        <w:t>Coomber</w:t>
      </w:r>
      <w:proofErr w:type="spellEnd"/>
      <w:r>
        <w:t xml:space="preserve"> R, Peat F, et al. </w:t>
      </w:r>
      <w:r w:rsidRPr="000D0FE0">
        <w:rPr>
          <w:lang w:val="en-US"/>
        </w:rPr>
        <w:t>(2022). Harrington plus reconstruction for pelvic and acetabular metastases. Journal of Bone Oncology, 33, 100414.</w:t>
      </w:r>
    </w:p>
    <w:p w14:paraId="3FD7FB40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23. Ewing Sarcoma Treatment (PDQ®) – NCI. (2025). https://www.cancer.gov/types/bone/hp/ewin</w:t>
      </w:r>
      <w:r w:rsidRPr="000D0FE0">
        <w:rPr>
          <w:lang w:val="en-US"/>
        </w:rPr>
        <w:t>g-treatment-pdq</w:t>
      </w:r>
    </w:p>
    <w:p w14:paraId="5BCE8CC2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>
        <w:t xml:space="preserve">24. </w:t>
      </w:r>
      <w:proofErr w:type="spellStart"/>
      <w:r>
        <w:t>Wunder</w:t>
      </w:r>
      <w:proofErr w:type="spellEnd"/>
      <w:r>
        <w:t xml:space="preserve"> JS, </w:t>
      </w:r>
      <w:proofErr w:type="spellStart"/>
      <w:r>
        <w:t>Paulian</w:t>
      </w:r>
      <w:proofErr w:type="spellEnd"/>
      <w:r>
        <w:t xml:space="preserve"> G, </w:t>
      </w:r>
      <w:proofErr w:type="spellStart"/>
      <w:r>
        <w:t>Huvos</w:t>
      </w:r>
      <w:proofErr w:type="spellEnd"/>
      <w:r>
        <w:t xml:space="preserve"> AG, et al. </w:t>
      </w:r>
      <w:r w:rsidRPr="000D0FE0">
        <w:rPr>
          <w:lang w:val="en-US"/>
        </w:rPr>
        <w:t>(1998). Histological response to chemotherapy as predictor of outcome in Ewing sarcoma. Journal of Bone and Joint Surgery (American), 80(7), 1020–1033.</w:t>
      </w:r>
    </w:p>
    <w:p w14:paraId="1DFADC66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25. </w:t>
      </w:r>
      <w:proofErr w:type="spellStart"/>
      <w:r w:rsidRPr="000D0FE0">
        <w:rPr>
          <w:lang w:val="en-US"/>
        </w:rPr>
        <w:t>Hogendoorn</w:t>
      </w:r>
      <w:proofErr w:type="spellEnd"/>
      <w:r w:rsidRPr="000D0FE0">
        <w:rPr>
          <w:lang w:val="en-US"/>
        </w:rPr>
        <w:t xml:space="preserve"> PCW, </w:t>
      </w:r>
      <w:proofErr w:type="spellStart"/>
      <w:r w:rsidRPr="000D0FE0">
        <w:rPr>
          <w:lang w:val="en-US"/>
        </w:rPr>
        <w:t>Athanasou</w:t>
      </w:r>
      <w:proofErr w:type="spellEnd"/>
      <w:r w:rsidRPr="000D0FE0">
        <w:rPr>
          <w:lang w:val="en-US"/>
        </w:rPr>
        <w:t xml:space="preserve"> N, Bielack S, e</w:t>
      </w:r>
      <w:r w:rsidRPr="000D0FE0">
        <w:rPr>
          <w:lang w:val="en-US"/>
        </w:rPr>
        <w:t>t al. (2010). Bone sarcomas: ESMO clinical practice guidelines. Annals of Oncology, 21(Suppl 5), v204–v213.</w:t>
      </w:r>
    </w:p>
    <w:p w14:paraId="3BE5FA70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26. Ogura K, Boland PJ, Fabbri N, Healey JH. (2020). Rate and risk factors for wound complications after internal hemipelvectomy. Bone &amp; Joint Journ</w:t>
      </w:r>
      <w:r w:rsidRPr="000D0FE0">
        <w:rPr>
          <w:lang w:val="en-US"/>
        </w:rPr>
        <w:t>al, 102-</w:t>
      </w:r>
      <w:proofErr w:type="gramStart"/>
      <w:r w:rsidRPr="000D0FE0">
        <w:rPr>
          <w:lang w:val="en-US"/>
        </w:rPr>
        <w:t>B(</w:t>
      </w:r>
      <w:proofErr w:type="gramEnd"/>
      <w:r w:rsidRPr="000D0FE0">
        <w:rPr>
          <w:lang w:val="en-US"/>
        </w:rPr>
        <w:t>3), 280–284.</w:t>
      </w:r>
    </w:p>
    <w:p w14:paraId="00C57C2C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27. Schmid MP, </w:t>
      </w:r>
      <w:proofErr w:type="spellStart"/>
      <w:r w:rsidRPr="000D0FE0">
        <w:rPr>
          <w:lang w:val="en-US"/>
        </w:rPr>
        <w:t>Harrabi</w:t>
      </w:r>
      <w:proofErr w:type="spellEnd"/>
      <w:r w:rsidRPr="000D0FE0">
        <w:rPr>
          <w:lang w:val="en-US"/>
        </w:rPr>
        <w:t xml:space="preserve"> S, </w:t>
      </w:r>
      <w:proofErr w:type="spellStart"/>
      <w:r w:rsidRPr="000D0FE0">
        <w:rPr>
          <w:lang w:val="en-US"/>
        </w:rPr>
        <w:t>Herfarth</w:t>
      </w:r>
      <w:proofErr w:type="spellEnd"/>
      <w:r w:rsidRPr="000D0FE0">
        <w:rPr>
          <w:lang w:val="en-US"/>
        </w:rPr>
        <w:t xml:space="preserve"> K, et al. (2022). Particle therapy in pelvic Ewing sarcoma. Cancers, 14(24), 6045.</w:t>
      </w:r>
    </w:p>
    <w:p w14:paraId="33396386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>28. Suhag A, Sharma KK, Tiwari SK, et al. (2024). Health-related quality of life and psychological concerns among s</w:t>
      </w:r>
      <w:r w:rsidRPr="000D0FE0">
        <w:rPr>
          <w:lang w:val="en-US"/>
        </w:rPr>
        <w:t xml:space="preserve">arcoma survivors. </w:t>
      </w:r>
      <w:proofErr w:type="spellStart"/>
      <w:r w:rsidRPr="000D0FE0">
        <w:rPr>
          <w:lang w:val="en-US"/>
        </w:rPr>
        <w:t>ecancermedicalscience</w:t>
      </w:r>
      <w:proofErr w:type="spellEnd"/>
      <w:r w:rsidRPr="000D0FE0">
        <w:rPr>
          <w:lang w:val="en-US"/>
        </w:rPr>
        <w:t>.</w:t>
      </w:r>
    </w:p>
    <w:p w14:paraId="3BABE6B8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29. Brown JM, </w:t>
      </w:r>
      <w:proofErr w:type="spellStart"/>
      <w:r w:rsidRPr="000D0FE0">
        <w:rPr>
          <w:lang w:val="en-US"/>
        </w:rPr>
        <w:t>Rakoczy</w:t>
      </w:r>
      <w:proofErr w:type="spellEnd"/>
      <w:r w:rsidRPr="000D0FE0">
        <w:rPr>
          <w:lang w:val="en-US"/>
        </w:rPr>
        <w:t xml:space="preserve"> K, </w:t>
      </w:r>
      <w:proofErr w:type="spellStart"/>
      <w:r w:rsidRPr="000D0FE0">
        <w:rPr>
          <w:lang w:val="en-US"/>
        </w:rPr>
        <w:t>Tokson</w:t>
      </w:r>
      <w:proofErr w:type="spellEnd"/>
      <w:r w:rsidRPr="000D0FE0">
        <w:rPr>
          <w:lang w:val="en-US"/>
        </w:rPr>
        <w:t xml:space="preserve"> JH, et al. (2022). Ewing sarcoma of the pelvis: clinical features and overall survival. Cancer Treatment and Research Communications, 33, 100634.</w:t>
      </w:r>
    </w:p>
    <w:p w14:paraId="4CBEFA6C" w14:textId="77777777" w:rsidR="002F22A8" w:rsidRPr="000D0FE0" w:rsidRDefault="002945EB">
      <w:pPr>
        <w:spacing w:before="60" w:after="60" w:line="276" w:lineRule="auto"/>
        <w:jc w:val="both"/>
        <w:rPr>
          <w:lang w:val="en-US"/>
        </w:rPr>
      </w:pPr>
      <w:r w:rsidRPr="000D0FE0">
        <w:rPr>
          <w:lang w:val="en-US"/>
        </w:rPr>
        <w:t xml:space="preserve">30. Lehner B, Bollmann J, </w:t>
      </w:r>
      <w:proofErr w:type="spellStart"/>
      <w:r w:rsidRPr="000D0FE0">
        <w:rPr>
          <w:lang w:val="en-US"/>
        </w:rPr>
        <w:t>Geisbüsch</w:t>
      </w:r>
      <w:proofErr w:type="spellEnd"/>
      <w:r w:rsidRPr="000D0FE0">
        <w:rPr>
          <w:lang w:val="en-US"/>
        </w:rPr>
        <w:t xml:space="preserve"> A</w:t>
      </w:r>
      <w:r w:rsidRPr="000D0FE0">
        <w:rPr>
          <w:lang w:val="en-US"/>
        </w:rPr>
        <w:t>, et al. (2025). Functional outcomes after internal hemipelvectomy for primary sarcoma of the bony pelvis. Diagnostics, 15(12), 1452.</w:t>
      </w:r>
    </w:p>
    <w:p w14:paraId="5599CDA9" w14:textId="77777777" w:rsidR="002F22A8" w:rsidRDefault="002945EB">
      <w:pPr>
        <w:spacing w:before="60" w:after="60" w:line="276" w:lineRule="auto"/>
        <w:jc w:val="both"/>
      </w:pPr>
      <w:r w:rsidRPr="000D0FE0">
        <w:rPr>
          <w:lang w:val="en-US"/>
        </w:rPr>
        <w:t xml:space="preserve">31. Strauss SJ, Frezza AM, Abecassis N, et al. (2021). Bone sarcomas: ESMO–EURACAN–GENTURIS clinical practice guideline. </w:t>
      </w:r>
      <w:proofErr w:type="spellStart"/>
      <w:r>
        <w:t>A</w:t>
      </w:r>
      <w:r>
        <w:t>nnals</w:t>
      </w:r>
      <w:proofErr w:type="spellEnd"/>
      <w:r>
        <w:t xml:space="preserve"> of </w:t>
      </w:r>
      <w:proofErr w:type="spellStart"/>
      <w:r>
        <w:t>Oncology</w:t>
      </w:r>
      <w:proofErr w:type="spellEnd"/>
      <w:r>
        <w:t>, 32(12), 1520–1536.</w:t>
      </w:r>
    </w:p>
    <w:sectPr w:rsidR="002F22A8" w:rsidSect="00420DE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080" w:right="1080" w:bottom="1080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2FF0F" w14:textId="77777777" w:rsidR="002945EB" w:rsidRDefault="002945EB">
      <w:r>
        <w:separator/>
      </w:r>
    </w:p>
  </w:endnote>
  <w:endnote w:type="continuationSeparator" w:id="0">
    <w:p w14:paraId="261D305D" w14:textId="77777777" w:rsidR="002945EB" w:rsidRDefault="00294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90667" w14:textId="77777777" w:rsidR="00420DEB" w:rsidRDefault="00420D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513F1" w14:textId="77777777" w:rsidR="00420DEB" w:rsidRDefault="00420D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3DA69" w14:textId="77777777" w:rsidR="00420DEB" w:rsidRDefault="00420D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38AF8" w14:textId="77777777" w:rsidR="002945EB" w:rsidRDefault="002945EB">
      <w:r>
        <w:separator/>
      </w:r>
    </w:p>
  </w:footnote>
  <w:footnote w:type="continuationSeparator" w:id="0">
    <w:p w14:paraId="781E3391" w14:textId="77777777" w:rsidR="002945EB" w:rsidRDefault="00294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1E3BD" w14:textId="5D2AC2A1" w:rsidR="00420DEB" w:rsidRDefault="00420DEB">
    <w:pPr>
      <w:pStyle w:val="Header"/>
    </w:pPr>
    <w:r>
      <w:rPr>
        <w:noProof/>
      </w:rPr>
      <w:pict w14:anchorId="0CC784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000329" o:spid="_x0000_s2050" type="#_x0000_t136" style="position:absolute;margin-left:0;margin-top:0;width:617.3pt;height:69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531FB" w14:textId="4D68D839" w:rsidR="002F22A8" w:rsidRPr="000D0FE0" w:rsidRDefault="00420DEB">
    <w:pPr>
      <w:pBdr>
        <w:bottom w:val="single" w:sz="6" w:space="0" w:color="2E4099"/>
      </w:pBdr>
      <w:rPr>
        <w:lang w:val="en-US"/>
      </w:rPr>
    </w:pPr>
    <w:r>
      <w:rPr>
        <w:noProof/>
      </w:rPr>
      <w:pict w14:anchorId="414349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000330" o:spid="_x0000_s2051" type="#_x0000_t136" style="position:absolute;margin-left:0;margin-top:0;width:617.3pt;height:69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ACE7" w14:textId="4B7B4601" w:rsidR="00420DEB" w:rsidRDefault="00420DEB">
    <w:pPr>
      <w:pStyle w:val="Header"/>
    </w:pPr>
    <w:r>
      <w:rPr>
        <w:noProof/>
      </w:rPr>
      <w:pict w14:anchorId="6020201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000328" o:spid="_x0000_s2049" type="#_x0000_t136" style="position:absolute;margin-left:0;margin-top:0;width:617.3pt;height:69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F580E"/>
    <w:multiLevelType w:val="hybridMultilevel"/>
    <w:tmpl w:val="C760419E"/>
    <w:lvl w:ilvl="0" w:tplc="CD5CCD36">
      <w:start w:val="1"/>
      <w:numFmt w:val="bullet"/>
      <w:lvlText w:val="●"/>
      <w:lvlJc w:val="left"/>
      <w:pPr>
        <w:ind w:left="720" w:hanging="360"/>
      </w:pPr>
    </w:lvl>
    <w:lvl w:ilvl="1" w:tplc="12BAE1EE">
      <w:start w:val="1"/>
      <w:numFmt w:val="bullet"/>
      <w:lvlText w:val="○"/>
      <w:lvlJc w:val="left"/>
      <w:pPr>
        <w:ind w:left="1440" w:hanging="360"/>
      </w:pPr>
    </w:lvl>
    <w:lvl w:ilvl="2" w:tplc="00703634">
      <w:start w:val="1"/>
      <w:numFmt w:val="bullet"/>
      <w:lvlText w:val="■"/>
      <w:lvlJc w:val="left"/>
      <w:pPr>
        <w:ind w:left="2160" w:hanging="360"/>
      </w:pPr>
    </w:lvl>
    <w:lvl w:ilvl="3" w:tplc="B5A06D6A">
      <w:start w:val="1"/>
      <w:numFmt w:val="bullet"/>
      <w:lvlText w:val="●"/>
      <w:lvlJc w:val="left"/>
      <w:pPr>
        <w:ind w:left="2880" w:hanging="360"/>
      </w:pPr>
    </w:lvl>
    <w:lvl w:ilvl="4" w:tplc="14B8438C">
      <w:start w:val="1"/>
      <w:numFmt w:val="bullet"/>
      <w:lvlText w:val="○"/>
      <w:lvlJc w:val="left"/>
      <w:pPr>
        <w:ind w:left="3600" w:hanging="360"/>
      </w:pPr>
    </w:lvl>
    <w:lvl w:ilvl="5" w:tplc="C4068C26">
      <w:start w:val="1"/>
      <w:numFmt w:val="bullet"/>
      <w:lvlText w:val="■"/>
      <w:lvlJc w:val="left"/>
      <w:pPr>
        <w:ind w:left="4320" w:hanging="360"/>
      </w:pPr>
    </w:lvl>
    <w:lvl w:ilvl="6" w:tplc="0BF2C122">
      <w:start w:val="1"/>
      <w:numFmt w:val="bullet"/>
      <w:lvlText w:val="●"/>
      <w:lvlJc w:val="left"/>
      <w:pPr>
        <w:ind w:left="5040" w:hanging="360"/>
      </w:pPr>
    </w:lvl>
    <w:lvl w:ilvl="7" w:tplc="DBA85F86">
      <w:start w:val="1"/>
      <w:numFmt w:val="bullet"/>
      <w:lvlText w:val="●"/>
      <w:lvlJc w:val="left"/>
      <w:pPr>
        <w:ind w:left="5760" w:hanging="360"/>
      </w:pPr>
    </w:lvl>
    <w:lvl w:ilvl="8" w:tplc="1CFAE7E4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35ED0738"/>
    <w:multiLevelType w:val="hybridMultilevel"/>
    <w:tmpl w:val="2CC4D7BE"/>
    <w:lvl w:ilvl="0" w:tplc="56069EB4">
      <w:start w:val="1"/>
      <w:numFmt w:val="bullet"/>
      <w:lvlText w:val="•"/>
      <w:lvlJc w:val="left"/>
      <w:pPr>
        <w:ind w:left="720" w:hanging="360"/>
      </w:pPr>
    </w:lvl>
    <w:lvl w:ilvl="1" w:tplc="F94C8980">
      <w:numFmt w:val="decimal"/>
      <w:lvlText w:val=""/>
      <w:lvlJc w:val="left"/>
    </w:lvl>
    <w:lvl w:ilvl="2" w:tplc="93E2C836">
      <w:numFmt w:val="decimal"/>
      <w:lvlText w:val=""/>
      <w:lvlJc w:val="left"/>
    </w:lvl>
    <w:lvl w:ilvl="3" w:tplc="5106C680">
      <w:numFmt w:val="decimal"/>
      <w:lvlText w:val=""/>
      <w:lvlJc w:val="left"/>
    </w:lvl>
    <w:lvl w:ilvl="4" w:tplc="A17EE67C">
      <w:numFmt w:val="decimal"/>
      <w:lvlText w:val=""/>
      <w:lvlJc w:val="left"/>
    </w:lvl>
    <w:lvl w:ilvl="5" w:tplc="A03478A0">
      <w:numFmt w:val="decimal"/>
      <w:lvlText w:val=""/>
      <w:lvlJc w:val="left"/>
    </w:lvl>
    <w:lvl w:ilvl="6" w:tplc="FF0629F8">
      <w:numFmt w:val="decimal"/>
      <w:lvlText w:val=""/>
      <w:lvlJc w:val="left"/>
    </w:lvl>
    <w:lvl w:ilvl="7" w:tplc="550C484C">
      <w:numFmt w:val="decimal"/>
      <w:lvlText w:val=""/>
      <w:lvlJc w:val="left"/>
    </w:lvl>
    <w:lvl w:ilvl="8" w:tplc="1242DDF0">
      <w:numFmt w:val="decimal"/>
      <w:lvlText w:val=""/>
      <w:lvlJc w:val="left"/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2A8"/>
    <w:rsid w:val="00045EFF"/>
    <w:rsid w:val="000D0FE0"/>
    <w:rsid w:val="002945EB"/>
    <w:rsid w:val="002F22A8"/>
    <w:rsid w:val="00420DEB"/>
    <w:rsid w:val="005A086E"/>
    <w:rsid w:val="009217A0"/>
    <w:rsid w:val="00A97F48"/>
    <w:rsid w:val="00BC5331"/>
    <w:rsid w:val="00BF0E8B"/>
    <w:rsid w:val="00C23E78"/>
    <w:rsid w:val="00EE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45AEB0F"/>
  <w15:docId w15:val="{EFBDD258-B696-E845-BA79-AE8C6AE87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D0FE0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0D0FE0"/>
  </w:style>
  <w:style w:type="paragraph" w:styleId="Header">
    <w:name w:val="header"/>
    <w:basedOn w:val="Normal"/>
    <w:link w:val="HeaderChar"/>
    <w:uiPriority w:val="99"/>
    <w:unhideWhenUsed/>
    <w:rsid w:val="009217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7A0"/>
  </w:style>
  <w:style w:type="paragraph" w:styleId="Footer">
    <w:name w:val="footer"/>
    <w:basedOn w:val="Normal"/>
    <w:link w:val="FooterChar"/>
    <w:uiPriority w:val="99"/>
    <w:unhideWhenUsed/>
    <w:rsid w:val="009217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23CBBA-0FFF-43E4-92C2-478F9A9A9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3913</Words>
  <Characters>22306</Characters>
  <Application>Microsoft Office Word</Application>
  <DocSecurity>0</DocSecurity>
  <Lines>185</Lines>
  <Paragraphs>52</Paragraphs>
  <ScaleCrop>false</ScaleCrop>
  <Company/>
  <LinksUpToDate>false</LinksUpToDate>
  <CharactersWithSpaces>26167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SDI 1084</cp:lastModifiedBy>
  <cp:revision>7</cp:revision>
  <dcterms:created xsi:type="dcterms:W3CDTF">2026-05-06T20:17:00Z</dcterms:created>
  <dcterms:modified xsi:type="dcterms:W3CDTF">2026-05-07T10:25:00Z</dcterms:modified>
</cp:coreProperties>
</file>