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2BA628" w14:textId="77777777" w:rsidR="00427DC2" w:rsidRDefault="00427DC2" w:rsidP="003F5F64">
      <w:pPr>
        <w:spacing w:before="100" w:beforeAutospacing="1" w:after="100" w:afterAutospacing="1" w:line="240" w:lineRule="auto"/>
        <w:jc w:val="both"/>
        <w:outlineLvl w:val="1"/>
        <w:rPr>
          <w:rFonts w:ascii="Times New Roman" w:hAnsi="Times New Roman" w:cs="Times New Roman"/>
          <w:b/>
          <w:sz w:val="24"/>
          <w:szCs w:val="24"/>
        </w:rPr>
      </w:pPr>
      <w:r w:rsidRPr="00427DC2">
        <w:rPr>
          <w:rFonts w:ascii="Times New Roman" w:hAnsi="Times New Roman" w:cs="Times New Roman"/>
          <w:b/>
          <w:sz w:val="24"/>
          <w:szCs w:val="24"/>
        </w:rPr>
        <w:t xml:space="preserve">Metamorphic Index Minerals as Exploration Vectors: Linking Metamorphic P–T Evolution to Orogenic Gold and </w:t>
      </w:r>
      <w:r w:rsidR="006A1161">
        <w:rPr>
          <w:rFonts w:ascii="Times New Roman" w:eastAsia="Times New Roman" w:hAnsi="Times New Roman" w:cs="Times New Roman"/>
          <w:b/>
          <w:sz w:val="24"/>
          <w:szCs w:val="24"/>
        </w:rPr>
        <w:t>Volcanogenic Massive S</w:t>
      </w:r>
      <w:r w:rsidR="006A1161" w:rsidRPr="006A1161">
        <w:rPr>
          <w:rFonts w:ascii="Times New Roman" w:eastAsia="Times New Roman" w:hAnsi="Times New Roman" w:cs="Times New Roman"/>
          <w:b/>
          <w:sz w:val="24"/>
          <w:szCs w:val="24"/>
        </w:rPr>
        <w:t>ulfide</w:t>
      </w:r>
      <w:r w:rsidRPr="00427DC2">
        <w:rPr>
          <w:rFonts w:ascii="Times New Roman" w:hAnsi="Times New Roman" w:cs="Times New Roman"/>
          <w:b/>
          <w:sz w:val="24"/>
          <w:szCs w:val="24"/>
        </w:rPr>
        <w:t xml:space="preserve"> Mineralization</w:t>
      </w:r>
    </w:p>
    <w:p w14:paraId="46C4D935" w14:textId="77777777" w:rsidR="00B30950" w:rsidRDefault="00B30950" w:rsidP="003F5F64">
      <w:pPr>
        <w:spacing w:before="100" w:beforeAutospacing="1" w:after="100" w:afterAutospacing="1" w:line="240" w:lineRule="auto"/>
        <w:jc w:val="both"/>
        <w:outlineLvl w:val="1"/>
        <w:rPr>
          <w:rFonts w:ascii="Times New Roman" w:hAnsi="Times New Roman" w:cs="Times New Roman"/>
          <w:b/>
          <w:sz w:val="24"/>
          <w:szCs w:val="24"/>
        </w:rPr>
      </w:pPr>
    </w:p>
    <w:p w14:paraId="449B6DF9" w14:textId="77777777" w:rsidR="00E34BC4" w:rsidRDefault="00E34BC4" w:rsidP="003F5F64">
      <w:pPr>
        <w:spacing w:before="100" w:beforeAutospacing="1" w:after="100" w:afterAutospacing="1" w:line="240" w:lineRule="auto"/>
        <w:jc w:val="both"/>
        <w:outlineLvl w:val="1"/>
        <w:rPr>
          <w:rFonts w:ascii="Times New Roman" w:eastAsia="Times New Roman" w:hAnsi="Times New Roman" w:cs="Times New Roman"/>
          <w:b/>
          <w:bCs/>
          <w:sz w:val="24"/>
          <w:szCs w:val="24"/>
        </w:rPr>
      </w:pPr>
    </w:p>
    <w:p w14:paraId="54A0ECAE" w14:textId="27034C86" w:rsidR="003F5F64" w:rsidRPr="003F5F64" w:rsidRDefault="003F5F64" w:rsidP="003F5F64">
      <w:pPr>
        <w:spacing w:before="100" w:beforeAutospacing="1" w:after="100" w:afterAutospacing="1" w:line="240" w:lineRule="auto"/>
        <w:jc w:val="both"/>
        <w:outlineLvl w:val="1"/>
        <w:rPr>
          <w:rFonts w:ascii="Times New Roman" w:eastAsia="Times New Roman" w:hAnsi="Times New Roman" w:cs="Times New Roman"/>
          <w:b/>
          <w:bCs/>
          <w:sz w:val="24"/>
          <w:szCs w:val="24"/>
        </w:rPr>
      </w:pPr>
      <w:bookmarkStart w:id="0" w:name="_GoBack"/>
      <w:bookmarkEnd w:id="0"/>
      <w:r w:rsidRPr="003F5F64">
        <w:rPr>
          <w:rFonts w:ascii="Times New Roman" w:eastAsia="Times New Roman" w:hAnsi="Times New Roman" w:cs="Times New Roman"/>
          <w:b/>
          <w:bCs/>
          <w:sz w:val="24"/>
          <w:szCs w:val="24"/>
        </w:rPr>
        <w:t>Abstract</w:t>
      </w:r>
    </w:p>
    <w:p w14:paraId="3CA4B377" w14:textId="77777777" w:rsidR="003F5F64" w:rsidRPr="003F5F64" w:rsidRDefault="003F5F64" w:rsidP="003F5F64">
      <w:pPr>
        <w:spacing w:before="100" w:beforeAutospacing="1" w:after="100" w:afterAutospacing="1" w:line="240" w:lineRule="auto"/>
        <w:jc w:val="both"/>
        <w:rPr>
          <w:rFonts w:ascii="Times New Roman" w:eastAsia="Times New Roman" w:hAnsi="Times New Roman" w:cs="Times New Roman"/>
          <w:sz w:val="24"/>
          <w:szCs w:val="24"/>
        </w:rPr>
      </w:pPr>
      <w:r w:rsidRPr="003F5F64">
        <w:rPr>
          <w:rFonts w:ascii="Times New Roman" w:eastAsia="Times New Roman" w:hAnsi="Times New Roman" w:cs="Times New Roman"/>
          <w:sz w:val="24"/>
          <w:szCs w:val="24"/>
        </w:rPr>
        <w:t xml:space="preserve">Index minerals provide critical insights into the pressure–temperature (P–T) evolution of metamorphic terrains and play an increasingly important role in predictive mineral exploration. These minerals form only within specific thermodynamic conditions and therefore serve as reliable indicators of metamorphic grade and fluid evolution. In mineral exploration, the distribution of index minerals helps delineate metamorphic gradients, identify hydrothermal alteration halos, and vector toward concealed ore deposits. This study presents a comprehensive review of the application of index minerals in mineral exploration, emphasizing their role in orogenic gold and volcanogenic massive sulfide (VMS) systems. Using documented case studies from the Abitibi Greenstone Belt and the Broken Hill deposit within the </w:t>
      </w:r>
      <w:proofErr w:type="spellStart"/>
      <w:r w:rsidRPr="003F5F64">
        <w:rPr>
          <w:rFonts w:ascii="Times New Roman" w:eastAsia="Times New Roman" w:hAnsi="Times New Roman" w:cs="Times New Roman"/>
          <w:sz w:val="24"/>
          <w:szCs w:val="24"/>
        </w:rPr>
        <w:t>Curnamona</w:t>
      </w:r>
      <w:proofErr w:type="spellEnd"/>
      <w:r w:rsidRPr="003F5F64">
        <w:rPr>
          <w:rFonts w:ascii="Times New Roman" w:eastAsia="Times New Roman" w:hAnsi="Times New Roman" w:cs="Times New Roman"/>
          <w:sz w:val="24"/>
          <w:szCs w:val="24"/>
        </w:rPr>
        <w:t xml:space="preserve"> Province, the research examines how mineral assemblages such as garnet, staurolite, kyanite, sillimanite, and gahnite can guide exploration targeting. The study also evaluates limitations including retrograde metamorphism and compositional constraints, while highlighting emerging technologies such as hyperspectral spectroscopy and machine learning in mineral detection and exploration modeling. The findings demonstrate that the integration of classical metamorphic mineralogy with modern geospatial and spectral technologies significantly enhances the efficiency of mineral exploration programs.</w:t>
      </w:r>
    </w:p>
    <w:p w14:paraId="1585B76C" w14:textId="77777777" w:rsidR="003F5F64" w:rsidRPr="003F5F64" w:rsidRDefault="003F5F64" w:rsidP="006A1161">
      <w:pPr>
        <w:spacing w:before="100" w:beforeAutospacing="1" w:after="100" w:afterAutospacing="1" w:line="240" w:lineRule="auto"/>
        <w:jc w:val="both"/>
        <w:rPr>
          <w:rFonts w:ascii="Times New Roman" w:eastAsia="Times New Roman" w:hAnsi="Times New Roman" w:cs="Times New Roman"/>
          <w:sz w:val="24"/>
          <w:szCs w:val="24"/>
        </w:rPr>
      </w:pPr>
      <w:r w:rsidRPr="003F5F64">
        <w:rPr>
          <w:rFonts w:ascii="Times New Roman" w:eastAsia="Times New Roman" w:hAnsi="Times New Roman" w:cs="Times New Roman"/>
          <w:b/>
          <w:bCs/>
          <w:sz w:val="24"/>
          <w:szCs w:val="24"/>
        </w:rPr>
        <w:t>Keywords:</w:t>
      </w:r>
      <w:r w:rsidRPr="003F5F64">
        <w:rPr>
          <w:rFonts w:ascii="Times New Roman" w:eastAsia="Times New Roman" w:hAnsi="Times New Roman" w:cs="Times New Roman"/>
          <w:sz w:val="24"/>
          <w:szCs w:val="24"/>
        </w:rPr>
        <w:t xml:space="preserve"> Index minerals, metamorphic grade, mineral exploration, hydrothermal alteration, vectoring, metamorphic petrology</w:t>
      </w:r>
    </w:p>
    <w:p w14:paraId="45DA5FE2" w14:textId="77777777" w:rsidR="003F5F64" w:rsidRPr="003F5F64" w:rsidRDefault="003F5F64" w:rsidP="003F5F64">
      <w:pPr>
        <w:spacing w:before="100" w:beforeAutospacing="1" w:after="100" w:afterAutospacing="1" w:line="240" w:lineRule="auto"/>
        <w:jc w:val="both"/>
        <w:outlineLvl w:val="0"/>
        <w:rPr>
          <w:rFonts w:ascii="Times New Roman" w:eastAsia="Times New Roman" w:hAnsi="Times New Roman" w:cs="Times New Roman"/>
          <w:b/>
          <w:bCs/>
          <w:kern w:val="36"/>
          <w:sz w:val="24"/>
          <w:szCs w:val="24"/>
        </w:rPr>
      </w:pPr>
      <w:r w:rsidRPr="003F5F64">
        <w:rPr>
          <w:rFonts w:ascii="Times New Roman" w:eastAsia="Times New Roman" w:hAnsi="Times New Roman" w:cs="Times New Roman"/>
          <w:b/>
          <w:bCs/>
          <w:kern w:val="36"/>
          <w:sz w:val="24"/>
          <w:szCs w:val="24"/>
        </w:rPr>
        <w:t>1. Introduction</w:t>
      </w:r>
    </w:p>
    <w:p w14:paraId="659D3D09" w14:textId="77777777" w:rsidR="003F5F64" w:rsidRPr="003F5F64" w:rsidRDefault="003F5F64" w:rsidP="003F5F64">
      <w:pPr>
        <w:spacing w:before="100" w:beforeAutospacing="1" w:after="100" w:afterAutospacing="1" w:line="240" w:lineRule="auto"/>
        <w:jc w:val="both"/>
        <w:rPr>
          <w:rFonts w:ascii="Times New Roman" w:eastAsia="Times New Roman" w:hAnsi="Times New Roman" w:cs="Times New Roman"/>
          <w:sz w:val="24"/>
          <w:szCs w:val="24"/>
        </w:rPr>
      </w:pPr>
      <w:r w:rsidRPr="003F5F64">
        <w:rPr>
          <w:rFonts w:ascii="Times New Roman" w:eastAsia="Times New Roman" w:hAnsi="Times New Roman" w:cs="Times New Roman"/>
          <w:sz w:val="24"/>
          <w:szCs w:val="24"/>
        </w:rPr>
        <w:t>Mineral exploration relies heavily on understanding the geological processes responsible for the concentration of economically valuable elements within the Earth's crust. One of the most powerful tools available to exploration geologists in metamorphic terranes is the identification and interpretation of index minerals. Index minerals are minerals that form under specific pressure–temperature (P–T) conditions and therefore act as indicators of metamorphic grade (Spear, 1993). Their occurrence provides valuable information about the thermal and tectonic history of geological terrains.</w:t>
      </w:r>
    </w:p>
    <w:p w14:paraId="5C3B7D9A" w14:textId="77777777" w:rsidR="003F5F64" w:rsidRPr="003F5F64" w:rsidRDefault="003F5F64" w:rsidP="003F5F64">
      <w:pPr>
        <w:spacing w:before="100" w:beforeAutospacing="1" w:after="100" w:afterAutospacing="1" w:line="240" w:lineRule="auto"/>
        <w:jc w:val="both"/>
        <w:rPr>
          <w:rFonts w:ascii="Times New Roman" w:eastAsia="Times New Roman" w:hAnsi="Times New Roman" w:cs="Times New Roman"/>
          <w:sz w:val="24"/>
          <w:szCs w:val="24"/>
        </w:rPr>
      </w:pPr>
      <w:r w:rsidRPr="003F5F64">
        <w:rPr>
          <w:rFonts w:ascii="Times New Roman" w:eastAsia="Times New Roman" w:hAnsi="Times New Roman" w:cs="Times New Roman"/>
          <w:sz w:val="24"/>
          <w:szCs w:val="24"/>
        </w:rPr>
        <w:t xml:space="preserve">The concept of index minerals originates from classical metamorphic petrology, where progressive metamorphism produces characteristic mineral assemblages that correspond to increasing metamorphic grades. In </w:t>
      </w:r>
      <w:proofErr w:type="spellStart"/>
      <w:r w:rsidRPr="003F5F64">
        <w:rPr>
          <w:rFonts w:ascii="Times New Roman" w:eastAsia="Times New Roman" w:hAnsi="Times New Roman" w:cs="Times New Roman"/>
          <w:sz w:val="24"/>
          <w:szCs w:val="24"/>
        </w:rPr>
        <w:t>pelitic</w:t>
      </w:r>
      <w:proofErr w:type="spellEnd"/>
      <w:r w:rsidRPr="003F5F64">
        <w:rPr>
          <w:rFonts w:ascii="Times New Roman" w:eastAsia="Times New Roman" w:hAnsi="Times New Roman" w:cs="Times New Roman"/>
          <w:sz w:val="24"/>
          <w:szCs w:val="24"/>
        </w:rPr>
        <w:t xml:space="preserve"> rocks, a typical </w:t>
      </w:r>
      <w:proofErr w:type="spellStart"/>
      <w:r w:rsidRPr="003F5F64">
        <w:rPr>
          <w:rFonts w:ascii="Times New Roman" w:eastAsia="Times New Roman" w:hAnsi="Times New Roman" w:cs="Times New Roman"/>
          <w:sz w:val="24"/>
          <w:szCs w:val="24"/>
        </w:rPr>
        <w:t>Barrovian</w:t>
      </w:r>
      <w:proofErr w:type="spellEnd"/>
      <w:r w:rsidRPr="003F5F64">
        <w:rPr>
          <w:rFonts w:ascii="Times New Roman" w:eastAsia="Times New Roman" w:hAnsi="Times New Roman" w:cs="Times New Roman"/>
          <w:sz w:val="24"/>
          <w:szCs w:val="24"/>
        </w:rPr>
        <w:t xml:space="preserve"> metamorphic sequence includes chlorite, biotite, garnet, staurolite, kyanite, and sillimanite, each defining a metamorphic </w:t>
      </w:r>
      <w:proofErr w:type="spellStart"/>
      <w:r w:rsidRPr="003F5F64">
        <w:rPr>
          <w:rFonts w:ascii="Times New Roman" w:eastAsia="Times New Roman" w:hAnsi="Times New Roman" w:cs="Times New Roman"/>
          <w:sz w:val="24"/>
          <w:szCs w:val="24"/>
        </w:rPr>
        <w:t>isograd</w:t>
      </w:r>
      <w:proofErr w:type="spellEnd"/>
      <w:r w:rsidRPr="003F5F64">
        <w:rPr>
          <w:rFonts w:ascii="Times New Roman" w:eastAsia="Times New Roman" w:hAnsi="Times New Roman" w:cs="Times New Roman"/>
          <w:sz w:val="24"/>
          <w:szCs w:val="24"/>
        </w:rPr>
        <w:t xml:space="preserve"> marking the first appearance of that mineral in the rock record (Yardley, 1989). These mineral transitions reflect major dehydration reactions that release fluids capable of transporting metals within the crust.</w:t>
      </w:r>
    </w:p>
    <w:p w14:paraId="714E5608" w14:textId="77777777" w:rsidR="003F5F64" w:rsidRPr="003F5F64" w:rsidRDefault="003F5F64" w:rsidP="003F5F64">
      <w:pPr>
        <w:spacing w:before="100" w:beforeAutospacing="1" w:after="100" w:afterAutospacing="1" w:line="240" w:lineRule="auto"/>
        <w:jc w:val="both"/>
        <w:rPr>
          <w:rFonts w:ascii="Times New Roman" w:eastAsia="Times New Roman" w:hAnsi="Times New Roman" w:cs="Times New Roman"/>
          <w:sz w:val="24"/>
          <w:szCs w:val="24"/>
        </w:rPr>
      </w:pPr>
      <w:r w:rsidRPr="003F5F64">
        <w:rPr>
          <w:rFonts w:ascii="Times New Roman" w:eastAsia="Times New Roman" w:hAnsi="Times New Roman" w:cs="Times New Roman"/>
          <w:sz w:val="24"/>
          <w:szCs w:val="24"/>
        </w:rPr>
        <w:lastRenderedPageBreak/>
        <w:t>In economic geology, these metamorphic reactions are particularly important because they are often associated with fluid generation and metal mobilization. During regional metamorphism, devolatilization reactions in sedimentary and volcanic rocks release aqueous fluids enriched in metals such as gold, copper, lead, and zinc. These fluids migrate along structural pathways and precipitate ore minerals under favorable physicochemical conditions (Phillips &amp; Powell, 2010). Consequently, mapping metamorphic mineral assemblages provides a means of identifying zones of fluid generation and focusing exploration toward areas with higher mineralization potential.</w:t>
      </w:r>
    </w:p>
    <w:p w14:paraId="65476FFC" w14:textId="77777777" w:rsidR="003F5F64" w:rsidRPr="003F5F64" w:rsidRDefault="003F5F64" w:rsidP="003F5F64">
      <w:pPr>
        <w:spacing w:before="100" w:beforeAutospacing="1" w:after="100" w:afterAutospacing="1" w:line="240" w:lineRule="auto"/>
        <w:jc w:val="both"/>
        <w:rPr>
          <w:rFonts w:ascii="Times New Roman" w:eastAsia="Times New Roman" w:hAnsi="Times New Roman" w:cs="Times New Roman"/>
          <w:sz w:val="24"/>
          <w:szCs w:val="24"/>
        </w:rPr>
      </w:pPr>
      <w:r w:rsidRPr="003F5F64">
        <w:rPr>
          <w:rFonts w:ascii="Times New Roman" w:eastAsia="Times New Roman" w:hAnsi="Times New Roman" w:cs="Times New Roman"/>
          <w:sz w:val="24"/>
          <w:szCs w:val="24"/>
        </w:rPr>
        <w:t>Index minerals therefore function as natural indicators of the “thermal architecture” of mineral systems. Exploration geologists frequently use them to trace metamorphic gradients, locate hydrothermal alteration zones, and identify favorable structural corridors for mineral deposition. In many mineral provinces, the distribution of index minerals correlates strongly with ore-forming environments. For example, orogenic gold deposits commonly occur near the greenschist–amphibolite facies transition, while high-grade metamorphosed base-metal deposits may be associated with sillimanite- or granulite-facies assemblages (Groves et al., 1998).</w:t>
      </w:r>
    </w:p>
    <w:p w14:paraId="009FF2CA" w14:textId="77777777" w:rsidR="003F5F64" w:rsidRPr="003F5F64" w:rsidRDefault="003F5F64" w:rsidP="003F5F64">
      <w:pPr>
        <w:spacing w:before="100" w:beforeAutospacing="1" w:after="100" w:afterAutospacing="1" w:line="240" w:lineRule="auto"/>
        <w:jc w:val="both"/>
        <w:rPr>
          <w:rFonts w:ascii="Times New Roman" w:eastAsia="Times New Roman" w:hAnsi="Times New Roman" w:cs="Times New Roman"/>
          <w:sz w:val="24"/>
          <w:szCs w:val="24"/>
        </w:rPr>
      </w:pPr>
      <w:r w:rsidRPr="003F5F64">
        <w:rPr>
          <w:rFonts w:ascii="Times New Roman" w:eastAsia="Times New Roman" w:hAnsi="Times New Roman" w:cs="Times New Roman"/>
          <w:sz w:val="24"/>
          <w:szCs w:val="24"/>
        </w:rPr>
        <w:t>Recent advances in mineral exploration have expanded the role of index minerals beyond traditional field mapping. Modern exploration workflows increasingly integrate mineralogical data with geochemical datasets, geophysical surveys, and remote sensing technologies. Portable spectrometers operating in the short-wave infrared (SWIR) range allow rapid identification of alteration minerals in the field, while machine learning algorithms analyze large geospatial datasets to identify prospective exploration targets.</w:t>
      </w:r>
    </w:p>
    <w:p w14:paraId="1331D380" w14:textId="77777777" w:rsidR="003F5F64" w:rsidRPr="003F5F64" w:rsidRDefault="003F5F64" w:rsidP="006A1161">
      <w:pPr>
        <w:spacing w:before="100" w:beforeAutospacing="1" w:after="100" w:afterAutospacing="1" w:line="240" w:lineRule="auto"/>
        <w:jc w:val="both"/>
        <w:rPr>
          <w:rFonts w:ascii="Times New Roman" w:eastAsia="Times New Roman" w:hAnsi="Times New Roman" w:cs="Times New Roman"/>
          <w:sz w:val="24"/>
          <w:szCs w:val="24"/>
        </w:rPr>
      </w:pPr>
      <w:r w:rsidRPr="003F5F64">
        <w:rPr>
          <w:rFonts w:ascii="Times New Roman" w:eastAsia="Times New Roman" w:hAnsi="Times New Roman" w:cs="Times New Roman"/>
          <w:sz w:val="24"/>
          <w:szCs w:val="24"/>
        </w:rPr>
        <w:t>Given these developments, index mineralogy remains an essential bridge between theoretical metamorphic petrology and applied mineral exploration. This research therefore reviews the role of index minerals in predictive exploration, examining how metamorphic indicators can be used to locate ore-forming environments and improve exploration targeting.</w:t>
      </w:r>
    </w:p>
    <w:p w14:paraId="798B9E1A" w14:textId="77777777" w:rsidR="003F5F64" w:rsidRPr="003F5F64" w:rsidRDefault="003F5F64" w:rsidP="003F5F64">
      <w:pPr>
        <w:spacing w:before="100" w:beforeAutospacing="1" w:after="100" w:afterAutospacing="1" w:line="240" w:lineRule="auto"/>
        <w:jc w:val="both"/>
        <w:outlineLvl w:val="0"/>
        <w:rPr>
          <w:rFonts w:ascii="Times New Roman" w:eastAsia="Times New Roman" w:hAnsi="Times New Roman" w:cs="Times New Roman"/>
          <w:b/>
          <w:bCs/>
          <w:kern w:val="36"/>
          <w:sz w:val="24"/>
          <w:szCs w:val="24"/>
        </w:rPr>
      </w:pPr>
      <w:r w:rsidRPr="003F5F64">
        <w:rPr>
          <w:rFonts w:ascii="Times New Roman" w:eastAsia="Times New Roman" w:hAnsi="Times New Roman" w:cs="Times New Roman"/>
          <w:b/>
          <w:bCs/>
          <w:kern w:val="36"/>
          <w:sz w:val="24"/>
          <w:szCs w:val="24"/>
        </w:rPr>
        <w:t>2. Methodology</w:t>
      </w:r>
    </w:p>
    <w:p w14:paraId="7C3D5785" w14:textId="77777777" w:rsidR="003F5F64" w:rsidRPr="003F5F64" w:rsidRDefault="003F5F64" w:rsidP="003F5F64">
      <w:pPr>
        <w:spacing w:before="100" w:beforeAutospacing="1" w:after="100" w:afterAutospacing="1" w:line="240" w:lineRule="auto"/>
        <w:jc w:val="both"/>
        <w:rPr>
          <w:rFonts w:ascii="Times New Roman" w:eastAsia="Times New Roman" w:hAnsi="Times New Roman" w:cs="Times New Roman"/>
          <w:sz w:val="24"/>
          <w:szCs w:val="24"/>
        </w:rPr>
      </w:pPr>
      <w:r w:rsidRPr="003F5F64">
        <w:rPr>
          <w:rFonts w:ascii="Times New Roman" w:eastAsia="Times New Roman" w:hAnsi="Times New Roman" w:cs="Times New Roman"/>
          <w:sz w:val="24"/>
          <w:szCs w:val="24"/>
        </w:rPr>
        <w:t>This research adopts a qualitative review methodology based on the synthesis of published geological literature, economic geology case studies, and exploration industry reports. Peer-reviewed journals, textbooks on metamorphic petrology, and technical reports on mineral exploration were analyzed to evaluate the role of index minerals in exploration targeting.</w:t>
      </w:r>
    </w:p>
    <w:p w14:paraId="58538C84" w14:textId="77777777" w:rsidR="003F5F64" w:rsidRPr="003F5F64" w:rsidRDefault="003F5F64" w:rsidP="003F5F64">
      <w:pPr>
        <w:spacing w:before="100" w:beforeAutospacing="1" w:after="100" w:afterAutospacing="1" w:line="240" w:lineRule="auto"/>
        <w:jc w:val="both"/>
        <w:rPr>
          <w:rFonts w:ascii="Times New Roman" w:eastAsia="Times New Roman" w:hAnsi="Times New Roman" w:cs="Times New Roman"/>
          <w:sz w:val="24"/>
          <w:szCs w:val="24"/>
        </w:rPr>
      </w:pPr>
      <w:r w:rsidRPr="003F5F64">
        <w:rPr>
          <w:rFonts w:ascii="Times New Roman" w:eastAsia="Times New Roman" w:hAnsi="Times New Roman" w:cs="Times New Roman"/>
          <w:sz w:val="24"/>
          <w:szCs w:val="24"/>
        </w:rPr>
        <w:t>The methodological approach involved three main stages. First, foundational theoretical frameworks on metamorphic phase equilibria and index mineral stability were examined using established petrological studies. This provided the thermodynamic basis for interpreting mineral assemblages and metamorphic zoning patterns.</w:t>
      </w:r>
    </w:p>
    <w:p w14:paraId="18427FE5" w14:textId="77777777" w:rsidR="003F5F64" w:rsidRPr="003F5F64" w:rsidRDefault="003F5F64" w:rsidP="003F5F64">
      <w:pPr>
        <w:spacing w:before="100" w:beforeAutospacing="1" w:after="100" w:afterAutospacing="1" w:line="240" w:lineRule="auto"/>
        <w:jc w:val="both"/>
        <w:rPr>
          <w:rFonts w:ascii="Times New Roman" w:eastAsia="Times New Roman" w:hAnsi="Times New Roman" w:cs="Times New Roman"/>
          <w:sz w:val="24"/>
          <w:szCs w:val="24"/>
        </w:rPr>
      </w:pPr>
      <w:r w:rsidRPr="003F5F64">
        <w:rPr>
          <w:rFonts w:ascii="Times New Roman" w:eastAsia="Times New Roman" w:hAnsi="Times New Roman" w:cs="Times New Roman"/>
          <w:sz w:val="24"/>
          <w:szCs w:val="24"/>
        </w:rPr>
        <w:t xml:space="preserve">Second, case studies from well-documented mineral provinces were analyzed to assess the practical application of index minerals in mineral exploration. Particular attention was given to the Abitibi Greenstone Belt, which hosts numerous Archean orogenic gold deposits, and the Broken Hill deposit within the </w:t>
      </w:r>
      <w:proofErr w:type="spellStart"/>
      <w:r w:rsidRPr="003F5F64">
        <w:rPr>
          <w:rFonts w:ascii="Times New Roman" w:eastAsia="Times New Roman" w:hAnsi="Times New Roman" w:cs="Times New Roman"/>
          <w:sz w:val="24"/>
          <w:szCs w:val="24"/>
        </w:rPr>
        <w:t>Curnamona</w:t>
      </w:r>
      <w:proofErr w:type="spellEnd"/>
      <w:r w:rsidRPr="003F5F64">
        <w:rPr>
          <w:rFonts w:ascii="Times New Roman" w:eastAsia="Times New Roman" w:hAnsi="Times New Roman" w:cs="Times New Roman"/>
          <w:sz w:val="24"/>
          <w:szCs w:val="24"/>
        </w:rPr>
        <w:t xml:space="preserve"> Province, a globally significant Pb–Zn–Ag mineral system. Geological maps, mineral assemblage data, and exploration strategies from these regions were reviewed.</w:t>
      </w:r>
    </w:p>
    <w:p w14:paraId="4A3122CC" w14:textId="77777777" w:rsidR="009A4477" w:rsidRDefault="003F5F64" w:rsidP="009A4477">
      <w:pPr>
        <w:spacing w:before="100" w:beforeAutospacing="1" w:after="100" w:afterAutospacing="1" w:line="240" w:lineRule="auto"/>
        <w:jc w:val="both"/>
        <w:rPr>
          <w:rFonts w:ascii="Times New Roman" w:eastAsia="Times New Roman" w:hAnsi="Times New Roman" w:cs="Times New Roman"/>
          <w:sz w:val="24"/>
          <w:szCs w:val="24"/>
        </w:rPr>
      </w:pPr>
      <w:r w:rsidRPr="003F5F64">
        <w:rPr>
          <w:rFonts w:ascii="Times New Roman" w:eastAsia="Times New Roman" w:hAnsi="Times New Roman" w:cs="Times New Roman"/>
          <w:sz w:val="24"/>
          <w:szCs w:val="24"/>
        </w:rPr>
        <w:lastRenderedPageBreak/>
        <w:t>Third, emerging technologies used in modern exploration, including hyperspectral mineral</w:t>
      </w:r>
      <w:r w:rsidR="00C874B9">
        <w:rPr>
          <w:rFonts w:ascii="Times New Roman" w:eastAsia="Times New Roman" w:hAnsi="Times New Roman" w:cs="Times New Roman"/>
          <w:sz w:val="24"/>
          <w:szCs w:val="24"/>
        </w:rPr>
        <w:t xml:space="preserve"> detection and machine learning </w:t>
      </w:r>
      <w:r w:rsidRPr="003F5F64">
        <w:rPr>
          <w:rFonts w:ascii="Times New Roman" w:eastAsia="Times New Roman" w:hAnsi="Times New Roman" w:cs="Times New Roman"/>
          <w:sz w:val="24"/>
          <w:szCs w:val="24"/>
        </w:rPr>
        <w:t>based prospectivity modeling, were evaluated to understand how they enhance index mineral analysis. The integration of mineralogical, geochemical, and geophysical datasets was examined as a framework for predictive exploration modeling.</w:t>
      </w:r>
    </w:p>
    <w:p w14:paraId="5A10C533" w14:textId="77777777" w:rsidR="003F5F64" w:rsidRPr="009A4477" w:rsidRDefault="003F5F64" w:rsidP="009A4477">
      <w:pPr>
        <w:spacing w:before="100" w:beforeAutospacing="1" w:after="100" w:afterAutospacing="1" w:line="240" w:lineRule="auto"/>
        <w:jc w:val="both"/>
        <w:rPr>
          <w:rFonts w:ascii="Times New Roman" w:eastAsia="Times New Roman" w:hAnsi="Times New Roman" w:cs="Times New Roman"/>
          <w:sz w:val="24"/>
          <w:szCs w:val="24"/>
        </w:rPr>
      </w:pPr>
      <w:r w:rsidRPr="003F5F64">
        <w:rPr>
          <w:rFonts w:ascii="Times New Roman" w:eastAsia="Times New Roman" w:hAnsi="Times New Roman" w:cs="Times New Roman"/>
          <w:b/>
          <w:bCs/>
          <w:kern w:val="36"/>
          <w:sz w:val="24"/>
          <w:szCs w:val="24"/>
        </w:rPr>
        <w:t>3. Results and Discussion</w:t>
      </w:r>
    </w:p>
    <w:p w14:paraId="506A0E3E" w14:textId="77777777" w:rsidR="003F5F64" w:rsidRPr="003F5F64" w:rsidRDefault="003F5F64" w:rsidP="003F5F64">
      <w:pPr>
        <w:spacing w:before="100" w:beforeAutospacing="1" w:after="100" w:afterAutospacing="1" w:line="240" w:lineRule="auto"/>
        <w:jc w:val="both"/>
        <w:outlineLvl w:val="1"/>
        <w:rPr>
          <w:rFonts w:ascii="Times New Roman" w:eastAsia="Times New Roman" w:hAnsi="Times New Roman" w:cs="Times New Roman"/>
          <w:b/>
          <w:bCs/>
          <w:sz w:val="24"/>
          <w:szCs w:val="24"/>
        </w:rPr>
      </w:pPr>
      <w:r w:rsidRPr="003F5F64">
        <w:rPr>
          <w:rFonts w:ascii="Times New Roman" w:eastAsia="Times New Roman" w:hAnsi="Times New Roman" w:cs="Times New Roman"/>
          <w:b/>
          <w:bCs/>
          <w:sz w:val="24"/>
          <w:szCs w:val="24"/>
        </w:rPr>
        <w:t>3.1 Index Minerals and Metamorphic Zoning</w:t>
      </w:r>
    </w:p>
    <w:p w14:paraId="0FB13CC3" w14:textId="77777777" w:rsidR="00777BC5" w:rsidRDefault="003F5F64" w:rsidP="003F5F64">
      <w:pPr>
        <w:spacing w:before="100" w:beforeAutospacing="1" w:after="100" w:afterAutospacing="1" w:line="240" w:lineRule="auto"/>
        <w:jc w:val="both"/>
        <w:rPr>
          <w:rFonts w:ascii="Times New Roman" w:eastAsia="Times New Roman" w:hAnsi="Times New Roman" w:cs="Times New Roman"/>
          <w:sz w:val="24"/>
          <w:szCs w:val="24"/>
        </w:rPr>
      </w:pPr>
      <w:r w:rsidRPr="003F5F64">
        <w:rPr>
          <w:rFonts w:ascii="Times New Roman" w:eastAsia="Times New Roman" w:hAnsi="Times New Roman" w:cs="Times New Roman"/>
          <w:sz w:val="24"/>
          <w:szCs w:val="24"/>
        </w:rPr>
        <w:t xml:space="preserve">Regional metamorphism produces systematic mineralogical changes in response to increasing temperature and pressure conditions. In </w:t>
      </w:r>
      <w:proofErr w:type="spellStart"/>
      <w:r w:rsidRPr="003F5F64">
        <w:rPr>
          <w:rFonts w:ascii="Times New Roman" w:eastAsia="Times New Roman" w:hAnsi="Times New Roman" w:cs="Times New Roman"/>
          <w:sz w:val="24"/>
          <w:szCs w:val="24"/>
        </w:rPr>
        <w:t>pelitic</w:t>
      </w:r>
      <w:proofErr w:type="spellEnd"/>
      <w:r w:rsidRPr="003F5F64">
        <w:rPr>
          <w:rFonts w:ascii="Times New Roman" w:eastAsia="Times New Roman" w:hAnsi="Times New Roman" w:cs="Times New Roman"/>
          <w:sz w:val="24"/>
          <w:szCs w:val="24"/>
        </w:rPr>
        <w:t xml:space="preserve"> rocks, metamorphic reactions generate a sequence of index minerals that define progressive metamorphic zones. The classical </w:t>
      </w:r>
      <w:proofErr w:type="spellStart"/>
      <w:r w:rsidRPr="003F5F64">
        <w:rPr>
          <w:rFonts w:ascii="Times New Roman" w:eastAsia="Times New Roman" w:hAnsi="Times New Roman" w:cs="Times New Roman"/>
          <w:sz w:val="24"/>
          <w:szCs w:val="24"/>
        </w:rPr>
        <w:t>Barrovian</w:t>
      </w:r>
      <w:proofErr w:type="spellEnd"/>
      <w:r w:rsidRPr="003F5F64">
        <w:rPr>
          <w:rFonts w:ascii="Times New Roman" w:eastAsia="Times New Roman" w:hAnsi="Times New Roman" w:cs="Times New Roman"/>
          <w:sz w:val="24"/>
          <w:szCs w:val="24"/>
        </w:rPr>
        <w:t xml:space="preserve"> sequence includes chlorite, biotite, garnet, staurolite, kyanite, and sillimanite (Yardley, 1989).</w:t>
      </w:r>
      <w:r w:rsidR="00777BC5">
        <w:rPr>
          <w:rFonts w:ascii="Times New Roman" w:eastAsia="Times New Roman" w:hAnsi="Times New Roman" w:cs="Times New Roman"/>
          <w:sz w:val="24"/>
          <w:szCs w:val="24"/>
        </w:rPr>
        <w:t xml:space="preserve"> </w:t>
      </w:r>
      <w:r w:rsidRPr="003F5F64">
        <w:rPr>
          <w:rFonts w:ascii="Times New Roman" w:eastAsia="Times New Roman" w:hAnsi="Times New Roman" w:cs="Times New Roman"/>
          <w:sz w:val="24"/>
          <w:szCs w:val="24"/>
        </w:rPr>
        <w:t xml:space="preserve">Each of these minerals </w:t>
      </w:r>
      <w:r w:rsidR="00434842">
        <w:rPr>
          <w:rFonts w:ascii="Times New Roman" w:eastAsia="Times New Roman" w:hAnsi="Times New Roman" w:cs="Times New Roman"/>
          <w:sz w:val="24"/>
          <w:szCs w:val="24"/>
        </w:rPr>
        <w:t xml:space="preserve">(Table 1) </w:t>
      </w:r>
      <w:r w:rsidRPr="003F5F64">
        <w:rPr>
          <w:rFonts w:ascii="Times New Roman" w:eastAsia="Times New Roman" w:hAnsi="Times New Roman" w:cs="Times New Roman"/>
          <w:sz w:val="24"/>
          <w:szCs w:val="24"/>
        </w:rPr>
        <w:t xml:space="preserve">represents a specific range of metamorphic conditions and marks an </w:t>
      </w:r>
      <w:proofErr w:type="spellStart"/>
      <w:r w:rsidRPr="003F5F64">
        <w:rPr>
          <w:rFonts w:ascii="Times New Roman" w:eastAsia="Times New Roman" w:hAnsi="Times New Roman" w:cs="Times New Roman"/>
          <w:sz w:val="24"/>
          <w:szCs w:val="24"/>
        </w:rPr>
        <w:t>isograd</w:t>
      </w:r>
      <w:proofErr w:type="spellEnd"/>
      <w:r w:rsidRPr="003F5F64">
        <w:rPr>
          <w:rFonts w:ascii="Times New Roman" w:eastAsia="Times New Roman" w:hAnsi="Times New Roman" w:cs="Times New Roman"/>
          <w:sz w:val="24"/>
          <w:szCs w:val="24"/>
        </w:rPr>
        <w:t xml:space="preserve">, which is the boundary where a mineral first appears in a rock sequence. </w:t>
      </w:r>
    </w:p>
    <w:p w14:paraId="1D74CF52" w14:textId="77777777" w:rsidR="00777BC5" w:rsidRDefault="006167C1" w:rsidP="003F5F64">
      <w:pPr>
        <w:spacing w:before="100" w:beforeAutospacing="1" w:after="100" w:afterAutospacing="1" w:line="240" w:lineRule="auto"/>
        <w:jc w:val="both"/>
        <w:rPr>
          <w:rFonts w:ascii="Times New Roman" w:eastAsia="Times New Roman" w:hAnsi="Times New Roman" w:cs="Times New Roman"/>
          <w:sz w:val="24"/>
          <w:szCs w:val="24"/>
        </w:rPr>
      </w:pPr>
      <w:r w:rsidRPr="00777BC5">
        <w:rPr>
          <w:rFonts w:ascii="Times New Roman" w:hAnsi="Times New Roman" w:cs="Times New Roman"/>
          <w:sz w:val="24"/>
          <w:szCs w:val="24"/>
        </w:rPr>
        <w:t xml:space="preserve">Table </w:t>
      </w:r>
      <w:proofErr w:type="gramStart"/>
      <w:r w:rsidR="00434842">
        <w:rPr>
          <w:rFonts w:ascii="Times New Roman" w:hAnsi="Times New Roman" w:cs="Times New Roman"/>
          <w:sz w:val="24"/>
          <w:szCs w:val="24"/>
        </w:rPr>
        <w:t>1</w:t>
      </w:r>
      <w:r w:rsidRPr="00777BC5">
        <w:rPr>
          <w:rFonts w:ascii="Times New Roman" w:hAnsi="Times New Roman" w:cs="Times New Roman"/>
          <w:sz w:val="24"/>
          <w:szCs w:val="24"/>
        </w:rPr>
        <w:t xml:space="preserve">  </w:t>
      </w:r>
      <w:r>
        <w:rPr>
          <w:rFonts w:ascii="Times New Roman" w:hAnsi="Times New Roman" w:cs="Times New Roman"/>
          <w:sz w:val="24"/>
          <w:szCs w:val="24"/>
        </w:rPr>
        <w:t>Index</w:t>
      </w:r>
      <w:proofErr w:type="gramEnd"/>
      <w:r>
        <w:rPr>
          <w:rFonts w:ascii="Times New Roman" w:hAnsi="Times New Roman" w:cs="Times New Roman"/>
          <w:sz w:val="24"/>
          <w:szCs w:val="24"/>
        </w:rPr>
        <w:t xml:space="preserve"> mineral stability ranges, </w:t>
      </w:r>
      <w:r w:rsidRPr="00777BC5">
        <w:rPr>
          <w:rFonts w:ascii="Times New Roman" w:hAnsi="Times New Roman" w:cs="Times New Roman"/>
          <w:sz w:val="24"/>
          <w:szCs w:val="24"/>
        </w:rPr>
        <w:t>metamorphic significance, and exploration relevance in metamorphic terranes</w:t>
      </w:r>
    </w:p>
    <w:tbl>
      <w:tblPr>
        <w:tblStyle w:val="TableGrid"/>
        <w:tblW w:w="0" w:type="auto"/>
        <w:tblLook w:val="04A0" w:firstRow="1" w:lastRow="0" w:firstColumn="1" w:lastColumn="0" w:noHBand="0" w:noVBand="1"/>
      </w:tblPr>
      <w:tblGrid>
        <w:gridCol w:w="1425"/>
        <w:gridCol w:w="1978"/>
        <w:gridCol w:w="2157"/>
        <w:gridCol w:w="2210"/>
        <w:gridCol w:w="1580"/>
      </w:tblGrid>
      <w:tr w:rsidR="006167C1" w:rsidRPr="00EB27A4" w14:paraId="3838B177" w14:textId="77777777" w:rsidTr="006167C1">
        <w:tc>
          <w:tcPr>
            <w:tcW w:w="0" w:type="auto"/>
            <w:hideMark/>
          </w:tcPr>
          <w:p w14:paraId="25424566" w14:textId="77777777" w:rsidR="006167C1" w:rsidRPr="00EB27A4" w:rsidRDefault="006167C1" w:rsidP="006167C1">
            <w:pPr>
              <w:jc w:val="center"/>
              <w:rPr>
                <w:rFonts w:ascii="Times New Roman" w:eastAsia="Times New Roman" w:hAnsi="Times New Roman" w:cs="Times New Roman"/>
                <w:b/>
                <w:bCs/>
              </w:rPr>
            </w:pPr>
            <w:r w:rsidRPr="00EB27A4">
              <w:rPr>
                <w:rFonts w:ascii="Times New Roman" w:eastAsia="Times New Roman" w:hAnsi="Times New Roman" w:cs="Times New Roman"/>
                <w:b/>
                <w:bCs/>
              </w:rPr>
              <w:t>Index / Indicator Mineral</w:t>
            </w:r>
          </w:p>
        </w:tc>
        <w:tc>
          <w:tcPr>
            <w:tcW w:w="0" w:type="auto"/>
            <w:hideMark/>
          </w:tcPr>
          <w:p w14:paraId="7A6D0DE7" w14:textId="77777777" w:rsidR="006167C1" w:rsidRPr="00EB27A4" w:rsidRDefault="006167C1" w:rsidP="006167C1">
            <w:pPr>
              <w:jc w:val="center"/>
              <w:rPr>
                <w:rFonts w:ascii="Times New Roman" w:eastAsia="Times New Roman" w:hAnsi="Times New Roman" w:cs="Times New Roman"/>
                <w:b/>
                <w:bCs/>
              </w:rPr>
            </w:pPr>
            <w:r w:rsidRPr="00EB27A4">
              <w:rPr>
                <w:rFonts w:ascii="Times New Roman" w:eastAsia="Times New Roman" w:hAnsi="Times New Roman" w:cs="Times New Roman"/>
                <w:b/>
                <w:bCs/>
              </w:rPr>
              <w:t>Ore Deposit Type</w:t>
            </w:r>
          </w:p>
        </w:tc>
        <w:tc>
          <w:tcPr>
            <w:tcW w:w="0" w:type="auto"/>
            <w:hideMark/>
          </w:tcPr>
          <w:p w14:paraId="44BB4B6E" w14:textId="77777777" w:rsidR="006167C1" w:rsidRPr="00EB27A4" w:rsidRDefault="006167C1" w:rsidP="006167C1">
            <w:pPr>
              <w:jc w:val="center"/>
              <w:rPr>
                <w:rFonts w:ascii="Times New Roman" w:eastAsia="Times New Roman" w:hAnsi="Times New Roman" w:cs="Times New Roman"/>
                <w:b/>
                <w:bCs/>
              </w:rPr>
            </w:pPr>
            <w:r w:rsidRPr="00EB27A4">
              <w:rPr>
                <w:rFonts w:ascii="Times New Roman" w:eastAsia="Times New Roman" w:hAnsi="Times New Roman" w:cs="Times New Roman"/>
                <w:b/>
                <w:bCs/>
              </w:rPr>
              <w:t>Geological Significance</w:t>
            </w:r>
          </w:p>
        </w:tc>
        <w:tc>
          <w:tcPr>
            <w:tcW w:w="0" w:type="auto"/>
            <w:hideMark/>
          </w:tcPr>
          <w:p w14:paraId="6049A62F" w14:textId="77777777" w:rsidR="006167C1" w:rsidRPr="00EB27A4" w:rsidRDefault="006167C1" w:rsidP="006167C1">
            <w:pPr>
              <w:jc w:val="center"/>
              <w:rPr>
                <w:rFonts w:ascii="Times New Roman" w:eastAsia="Times New Roman" w:hAnsi="Times New Roman" w:cs="Times New Roman"/>
                <w:b/>
                <w:bCs/>
              </w:rPr>
            </w:pPr>
            <w:r w:rsidRPr="00EB27A4">
              <w:rPr>
                <w:rFonts w:ascii="Times New Roman" w:eastAsia="Times New Roman" w:hAnsi="Times New Roman" w:cs="Times New Roman"/>
                <w:b/>
                <w:bCs/>
              </w:rPr>
              <w:t>Exploration Relevance</w:t>
            </w:r>
          </w:p>
        </w:tc>
        <w:tc>
          <w:tcPr>
            <w:tcW w:w="0" w:type="auto"/>
            <w:hideMark/>
          </w:tcPr>
          <w:p w14:paraId="04793025" w14:textId="77777777" w:rsidR="006167C1" w:rsidRPr="00EB27A4" w:rsidRDefault="006167C1" w:rsidP="006167C1">
            <w:pPr>
              <w:jc w:val="center"/>
              <w:rPr>
                <w:rFonts w:ascii="Times New Roman" w:eastAsia="Times New Roman" w:hAnsi="Times New Roman" w:cs="Times New Roman"/>
                <w:b/>
                <w:bCs/>
              </w:rPr>
            </w:pPr>
            <w:r w:rsidRPr="00EB27A4">
              <w:rPr>
                <w:rFonts w:ascii="Times New Roman" w:eastAsia="Times New Roman" w:hAnsi="Times New Roman" w:cs="Times New Roman"/>
                <w:b/>
                <w:bCs/>
              </w:rPr>
              <w:t>Key References</w:t>
            </w:r>
          </w:p>
        </w:tc>
      </w:tr>
      <w:tr w:rsidR="006167C1" w:rsidRPr="00EB27A4" w14:paraId="379FE2A6" w14:textId="77777777" w:rsidTr="006167C1">
        <w:tc>
          <w:tcPr>
            <w:tcW w:w="0" w:type="auto"/>
            <w:hideMark/>
          </w:tcPr>
          <w:p w14:paraId="71FCFAA5" w14:textId="77777777" w:rsidR="006167C1" w:rsidRPr="00EB27A4" w:rsidRDefault="006167C1" w:rsidP="006167C1">
            <w:pPr>
              <w:rPr>
                <w:rFonts w:ascii="Times New Roman" w:eastAsia="Times New Roman" w:hAnsi="Times New Roman" w:cs="Times New Roman"/>
              </w:rPr>
            </w:pPr>
            <w:r w:rsidRPr="00EB27A4">
              <w:rPr>
                <w:rFonts w:ascii="Times New Roman" w:eastAsia="Times New Roman" w:hAnsi="Times New Roman" w:cs="Times New Roman"/>
              </w:rPr>
              <w:t>Garnet</w:t>
            </w:r>
          </w:p>
        </w:tc>
        <w:tc>
          <w:tcPr>
            <w:tcW w:w="0" w:type="auto"/>
            <w:hideMark/>
          </w:tcPr>
          <w:p w14:paraId="112872AC" w14:textId="77777777" w:rsidR="006167C1" w:rsidRPr="00EB27A4" w:rsidRDefault="006167C1" w:rsidP="006167C1">
            <w:pPr>
              <w:rPr>
                <w:rFonts w:ascii="Times New Roman" w:eastAsia="Times New Roman" w:hAnsi="Times New Roman" w:cs="Times New Roman"/>
              </w:rPr>
            </w:pPr>
            <w:r w:rsidRPr="00EB27A4">
              <w:rPr>
                <w:rFonts w:ascii="Times New Roman" w:eastAsia="Times New Roman" w:hAnsi="Times New Roman" w:cs="Times New Roman"/>
              </w:rPr>
              <w:t>Orogenic gold</w:t>
            </w:r>
          </w:p>
        </w:tc>
        <w:tc>
          <w:tcPr>
            <w:tcW w:w="0" w:type="auto"/>
            <w:hideMark/>
          </w:tcPr>
          <w:p w14:paraId="57C3E528" w14:textId="77777777" w:rsidR="006167C1" w:rsidRPr="00EB27A4" w:rsidRDefault="006167C1" w:rsidP="006167C1">
            <w:pPr>
              <w:rPr>
                <w:rFonts w:ascii="Times New Roman" w:eastAsia="Times New Roman" w:hAnsi="Times New Roman" w:cs="Times New Roman"/>
              </w:rPr>
            </w:pPr>
            <w:r w:rsidRPr="00EB27A4">
              <w:rPr>
                <w:rFonts w:ascii="Times New Roman" w:eastAsia="Times New Roman" w:hAnsi="Times New Roman" w:cs="Times New Roman"/>
              </w:rPr>
              <w:t>Marks prograde metamorphism and fluid-producing reactions near the greenschist–amphibolite transition</w:t>
            </w:r>
          </w:p>
        </w:tc>
        <w:tc>
          <w:tcPr>
            <w:tcW w:w="0" w:type="auto"/>
            <w:hideMark/>
          </w:tcPr>
          <w:p w14:paraId="113B23F9" w14:textId="77777777" w:rsidR="006167C1" w:rsidRPr="00EB27A4" w:rsidRDefault="006167C1" w:rsidP="006167C1">
            <w:pPr>
              <w:rPr>
                <w:rFonts w:ascii="Times New Roman" w:eastAsia="Times New Roman" w:hAnsi="Times New Roman" w:cs="Times New Roman"/>
              </w:rPr>
            </w:pPr>
            <w:r w:rsidRPr="00EB27A4">
              <w:rPr>
                <w:rFonts w:ascii="Times New Roman" w:eastAsia="Times New Roman" w:hAnsi="Times New Roman" w:cs="Times New Roman"/>
              </w:rPr>
              <w:t xml:space="preserve">The “garnet-in” </w:t>
            </w:r>
            <w:proofErr w:type="spellStart"/>
            <w:r w:rsidRPr="00EB27A4">
              <w:rPr>
                <w:rFonts w:ascii="Times New Roman" w:eastAsia="Times New Roman" w:hAnsi="Times New Roman" w:cs="Times New Roman"/>
              </w:rPr>
              <w:t>isograd</w:t>
            </w:r>
            <w:proofErr w:type="spellEnd"/>
            <w:r w:rsidRPr="00EB27A4">
              <w:rPr>
                <w:rFonts w:ascii="Times New Roman" w:eastAsia="Times New Roman" w:hAnsi="Times New Roman" w:cs="Times New Roman"/>
              </w:rPr>
              <w:t xml:space="preserve"> can help identify zones of metamorphic fluid generation favorable for gold mineralization</w:t>
            </w:r>
          </w:p>
        </w:tc>
        <w:tc>
          <w:tcPr>
            <w:tcW w:w="0" w:type="auto"/>
            <w:hideMark/>
          </w:tcPr>
          <w:p w14:paraId="24DFC546" w14:textId="77777777" w:rsidR="006167C1" w:rsidRPr="00EB27A4" w:rsidRDefault="006167C1" w:rsidP="006167C1">
            <w:pPr>
              <w:rPr>
                <w:rFonts w:ascii="Times New Roman" w:eastAsia="Times New Roman" w:hAnsi="Times New Roman" w:cs="Times New Roman"/>
              </w:rPr>
            </w:pPr>
            <w:r w:rsidRPr="00EB27A4">
              <w:rPr>
                <w:rFonts w:ascii="Times New Roman" w:eastAsia="Times New Roman" w:hAnsi="Times New Roman" w:cs="Times New Roman"/>
              </w:rPr>
              <w:t>Phillips &amp; Powell (2010); Groves et al. (1998)</w:t>
            </w:r>
          </w:p>
        </w:tc>
      </w:tr>
      <w:tr w:rsidR="006167C1" w:rsidRPr="00EB27A4" w14:paraId="1FED7B67" w14:textId="77777777" w:rsidTr="006167C1">
        <w:tc>
          <w:tcPr>
            <w:tcW w:w="0" w:type="auto"/>
            <w:hideMark/>
          </w:tcPr>
          <w:p w14:paraId="0BC6DA71" w14:textId="77777777" w:rsidR="006167C1" w:rsidRPr="00EB27A4" w:rsidRDefault="006167C1" w:rsidP="006167C1">
            <w:pPr>
              <w:rPr>
                <w:rFonts w:ascii="Times New Roman" w:eastAsia="Times New Roman" w:hAnsi="Times New Roman" w:cs="Times New Roman"/>
              </w:rPr>
            </w:pPr>
            <w:r w:rsidRPr="00EB27A4">
              <w:rPr>
                <w:rFonts w:ascii="Times New Roman" w:eastAsia="Times New Roman" w:hAnsi="Times New Roman" w:cs="Times New Roman"/>
              </w:rPr>
              <w:t>Staurolite</w:t>
            </w:r>
          </w:p>
        </w:tc>
        <w:tc>
          <w:tcPr>
            <w:tcW w:w="0" w:type="auto"/>
            <w:hideMark/>
          </w:tcPr>
          <w:p w14:paraId="66B6D63F" w14:textId="77777777" w:rsidR="006167C1" w:rsidRPr="00EB27A4" w:rsidRDefault="006167C1" w:rsidP="006167C1">
            <w:pPr>
              <w:rPr>
                <w:rFonts w:ascii="Times New Roman" w:eastAsia="Times New Roman" w:hAnsi="Times New Roman" w:cs="Times New Roman"/>
              </w:rPr>
            </w:pPr>
            <w:r w:rsidRPr="00EB27A4">
              <w:rPr>
                <w:rFonts w:ascii="Times New Roman" w:eastAsia="Times New Roman" w:hAnsi="Times New Roman" w:cs="Times New Roman"/>
              </w:rPr>
              <w:t>Orogenic gold</w:t>
            </w:r>
          </w:p>
        </w:tc>
        <w:tc>
          <w:tcPr>
            <w:tcW w:w="0" w:type="auto"/>
            <w:hideMark/>
          </w:tcPr>
          <w:p w14:paraId="0F462DBE" w14:textId="77777777" w:rsidR="006167C1" w:rsidRPr="00EB27A4" w:rsidRDefault="006167C1" w:rsidP="006167C1">
            <w:pPr>
              <w:rPr>
                <w:rFonts w:ascii="Times New Roman" w:eastAsia="Times New Roman" w:hAnsi="Times New Roman" w:cs="Times New Roman"/>
              </w:rPr>
            </w:pPr>
            <w:r w:rsidRPr="00EB27A4">
              <w:rPr>
                <w:rFonts w:ascii="Times New Roman" w:eastAsia="Times New Roman" w:hAnsi="Times New Roman" w:cs="Times New Roman"/>
              </w:rPr>
              <w:t xml:space="preserve">Indicates higher-grade metamorphic conditions and dehydration reactions in </w:t>
            </w:r>
            <w:proofErr w:type="spellStart"/>
            <w:r w:rsidRPr="00EB27A4">
              <w:rPr>
                <w:rFonts w:ascii="Times New Roman" w:eastAsia="Times New Roman" w:hAnsi="Times New Roman" w:cs="Times New Roman"/>
              </w:rPr>
              <w:t>pelitic</w:t>
            </w:r>
            <w:proofErr w:type="spellEnd"/>
            <w:r w:rsidRPr="00EB27A4">
              <w:rPr>
                <w:rFonts w:ascii="Times New Roman" w:eastAsia="Times New Roman" w:hAnsi="Times New Roman" w:cs="Times New Roman"/>
              </w:rPr>
              <w:t xml:space="preserve"> rocks</w:t>
            </w:r>
          </w:p>
        </w:tc>
        <w:tc>
          <w:tcPr>
            <w:tcW w:w="0" w:type="auto"/>
            <w:hideMark/>
          </w:tcPr>
          <w:p w14:paraId="1255995C" w14:textId="77777777" w:rsidR="006167C1" w:rsidRPr="00EB27A4" w:rsidRDefault="006167C1" w:rsidP="006167C1">
            <w:pPr>
              <w:rPr>
                <w:rFonts w:ascii="Times New Roman" w:eastAsia="Times New Roman" w:hAnsi="Times New Roman" w:cs="Times New Roman"/>
              </w:rPr>
            </w:pPr>
            <w:r w:rsidRPr="00EB27A4">
              <w:rPr>
                <w:rFonts w:ascii="Times New Roman" w:eastAsia="Times New Roman" w:hAnsi="Times New Roman" w:cs="Times New Roman"/>
              </w:rPr>
              <w:t>Useful for defining deeper metamorphic zones linked to fluid release and structurally focused gold systems</w:t>
            </w:r>
          </w:p>
        </w:tc>
        <w:tc>
          <w:tcPr>
            <w:tcW w:w="0" w:type="auto"/>
            <w:hideMark/>
          </w:tcPr>
          <w:p w14:paraId="78E90EE6" w14:textId="77777777" w:rsidR="006167C1" w:rsidRPr="00EB27A4" w:rsidRDefault="006167C1" w:rsidP="006167C1">
            <w:pPr>
              <w:rPr>
                <w:rFonts w:ascii="Times New Roman" w:eastAsia="Times New Roman" w:hAnsi="Times New Roman" w:cs="Times New Roman"/>
              </w:rPr>
            </w:pPr>
            <w:r w:rsidRPr="00EB27A4">
              <w:rPr>
                <w:rFonts w:ascii="Times New Roman" w:eastAsia="Times New Roman" w:hAnsi="Times New Roman" w:cs="Times New Roman"/>
              </w:rPr>
              <w:t>Spear (1993); Phillips &amp; Powell (2010)</w:t>
            </w:r>
          </w:p>
        </w:tc>
      </w:tr>
      <w:tr w:rsidR="006167C1" w:rsidRPr="00EB27A4" w14:paraId="5786C091" w14:textId="77777777" w:rsidTr="006167C1">
        <w:tc>
          <w:tcPr>
            <w:tcW w:w="0" w:type="auto"/>
            <w:hideMark/>
          </w:tcPr>
          <w:p w14:paraId="74A3DCFB" w14:textId="77777777" w:rsidR="006167C1" w:rsidRPr="00EB27A4" w:rsidRDefault="006167C1" w:rsidP="006167C1">
            <w:pPr>
              <w:rPr>
                <w:rFonts w:ascii="Times New Roman" w:eastAsia="Times New Roman" w:hAnsi="Times New Roman" w:cs="Times New Roman"/>
              </w:rPr>
            </w:pPr>
            <w:r w:rsidRPr="00EB27A4">
              <w:rPr>
                <w:rFonts w:ascii="Times New Roman" w:eastAsia="Times New Roman" w:hAnsi="Times New Roman" w:cs="Times New Roman"/>
              </w:rPr>
              <w:t>Kyanite</w:t>
            </w:r>
          </w:p>
        </w:tc>
        <w:tc>
          <w:tcPr>
            <w:tcW w:w="0" w:type="auto"/>
            <w:hideMark/>
          </w:tcPr>
          <w:p w14:paraId="4D617CB9" w14:textId="77777777" w:rsidR="006167C1" w:rsidRPr="00EB27A4" w:rsidRDefault="006167C1" w:rsidP="006167C1">
            <w:pPr>
              <w:rPr>
                <w:rFonts w:ascii="Times New Roman" w:eastAsia="Times New Roman" w:hAnsi="Times New Roman" w:cs="Times New Roman"/>
              </w:rPr>
            </w:pPr>
            <w:r w:rsidRPr="00EB27A4">
              <w:rPr>
                <w:rFonts w:ascii="Times New Roman" w:eastAsia="Times New Roman" w:hAnsi="Times New Roman" w:cs="Times New Roman"/>
              </w:rPr>
              <w:t>Orogenic gold / high-grade metamorphic systems</w:t>
            </w:r>
          </w:p>
        </w:tc>
        <w:tc>
          <w:tcPr>
            <w:tcW w:w="0" w:type="auto"/>
            <w:hideMark/>
          </w:tcPr>
          <w:p w14:paraId="2FFAA2A5" w14:textId="77777777" w:rsidR="006167C1" w:rsidRPr="00EB27A4" w:rsidRDefault="006167C1" w:rsidP="006167C1">
            <w:pPr>
              <w:rPr>
                <w:rFonts w:ascii="Times New Roman" w:eastAsia="Times New Roman" w:hAnsi="Times New Roman" w:cs="Times New Roman"/>
              </w:rPr>
            </w:pPr>
            <w:r w:rsidRPr="00EB27A4">
              <w:rPr>
                <w:rFonts w:ascii="Times New Roman" w:eastAsia="Times New Roman" w:hAnsi="Times New Roman" w:cs="Times New Roman"/>
              </w:rPr>
              <w:t>Reflects elevated pressure conditions in deeper crustal levels</w:t>
            </w:r>
          </w:p>
        </w:tc>
        <w:tc>
          <w:tcPr>
            <w:tcW w:w="0" w:type="auto"/>
            <w:hideMark/>
          </w:tcPr>
          <w:p w14:paraId="3D3E5AD3" w14:textId="77777777" w:rsidR="006167C1" w:rsidRPr="00EB27A4" w:rsidRDefault="006167C1" w:rsidP="006167C1">
            <w:pPr>
              <w:rPr>
                <w:rFonts w:ascii="Times New Roman" w:eastAsia="Times New Roman" w:hAnsi="Times New Roman" w:cs="Times New Roman"/>
              </w:rPr>
            </w:pPr>
            <w:r w:rsidRPr="00EB27A4">
              <w:rPr>
                <w:rFonts w:ascii="Times New Roman" w:eastAsia="Times New Roman" w:hAnsi="Times New Roman" w:cs="Times New Roman"/>
              </w:rPr>
              <w:t>Helps constrain crustal level and metamorphic gradient in gold-bearing terranes</w:t>
            </w:r>
          </w:p>
        </w:tc>
        <w:tc>
          <w:tcPr>
            <w:tcW w:w="0" w:type="auto"/>
            <w:hideMark/>
          </w:tcPr>
          <w:p w14:paraId="1C2F240D" w14:textId="77777777" w:rsidR="006167C1" w:rsidRPr="00EB27A4" w:rsidRDefault="006167C1" w:rsidP="006167C1">
            <w:pPr>
              <w:rPr>
                <w:rFonts w:ascii="Times New Roman" w:eastAsia="Times New Roman" w:hAnsi="Times New Roman" w:cs="Times New Roman"/>
              </w:rPr>
            </w:pPr>
            <w:r w:rsidRPr="00EB27A4">
              <w:rPr>
                <w:rFonts w:ascii="Times New Roman" w:eastAsia="Times New Roman" w:hAnsi="Times New Roman" w:cs="Times New Roman"/>
              </w:rPr>
              <w:t>Yardley (1989); Spear (1993)</w:t>
            </w:r>
          </w:p>
        </w:tc>
      </w:tr>
      <w:tr w:rsidR="006167C1" w:rsidRPr="00EB27A4" w14:paraId="6DA7745A" w14:textId="77777777" w:rsidTr="006167C1">
        <w:tc>
          <w:tcPr>
            <w:tcW w:w="0" w:type="auto"/>
            <w:hideMark/>
          </w:tcPr>
          <w:p w14:paraId="67965D34" w14:textId="77777777" w:rsidR="006167C1" w:rsidRPr="00EB27A4" w:rsidRDefault="006167C1" w:rsidP="006167C1">
            <w:pPr>
              <w:rPr>
                <w:rFonts w:ascii="Times New Roman" w:eastAsia="Times New Roman" w:hAnsi="Times New Roman" w:cs="Times New Roman"/>
              </w:rPr>
            </w:pPr>
            <w:r w:rsidRPr="00EB27A4">
              <w:rPr>
                <w:rFonts w:ascii="Times New Roman" w:eastAsia="Times New Roman" w:hAnsi="Times New Roman" w:cs="Times New Roman"/>
              </w:rPr>
              <w:t>Sillimanite</w:t>
            </w:r>
          </w:p>
        </w:tc>
        <w:tc>
          <w:tcPr>
            <w:tcW w:w="0" w:type="auto"/>
            <w:hideMark/>
          </w:tcPr>
          <w:p w14:paraId="0E828EA0" w14:textId="77777777" w:rsidR="006167C1" w:rsidRPr="00EB27A4" w:rsidRDefault="006167C1" w:rsidP="006167C1">
            <w:pPr>
              <w:rPr>
                <w:rFonts w:ascii="Times New Roman" w:eastAsia="Times New Roman" w:hAnsi="Times New Roman" w:cs="Times New Roman"/>
              </w:rPr>
            </w:pPr>
            <w:r w:rsidRPr="00EB27A4">
              <w:rPr>
                <w:rFonts w:ascii="Times New Roman" w:eastAsia="Times New Roman" w:hAnsi="Times New Roman" w:cs="Times New Roman"/>
              </w:rPr>
              <w:t>Broken Hill-type Pb–Zn–Ag / high-grade metamorphic base-metal deposits</w:t>
            </w:r>
          </w:p>
        </w:tc>
        <w:tc>
          <w:tcPr>
            <w:tcW w:w="0" w:type="auto"/>
            <w:hideMark/>
          </w:tcPr>
          <w:p w14:paraId="41A657D5" w14:textId="77777777" w:rsidR="006167C1" w:rsidRPr="00EB27A4" w:rsidRDefault="006167C1" w:rsidP="006167C1">
            <w:pPr>
              <w:rPr>
                <w:rFonts w:ascii="Times New Roman" w:eastAsia="Times New Roman" w:hAnsi="Times New Roman" w:cs="Times New Roman"/>
              </w:rPr>
            </w:pPr>
            <w:r w:rsidRPr="00EB27A4">
              <w:rPr>
                <w:rFonts w:ascii="Times New Roman" w:eastAsia="Times New Roman" w:hAnsi="Times New Roman" w:cs="Times New Roman"/>
              </w:rPr>
              <w:t>Indicates high-temperature metamorphic overprint of sulfide-bearing sequences</w:t>
            </w:r>
          </w:p>
        </w:tc>
        <w:tc>
          <w:tcPr>
            <w:tcW w:w="0" w:type="auto"/>
            <w:hideMark/>
          </w:tcPr>
          <w:p w14:paraId="258459B3" w14:textId="77777777" w:rsidR="006167C1" w:rsidRPr="00EB27A4" w:rsidRDefault="006167C1" w:rsidP="006167C1">
            <w:pPr>
              <w:rPr>
                <w:rFonts w:ascii="Times New Roman" w:eastAsia="Times New Roman" w:hAnsi="Times New Roman" w:cs="Times New Roman"/>
              </w:rPr>
            </w:pPr>
            <w:r w:rsidRPr="00EB27A4">
              <w:rPr>
                <w:rFonts w:ascii="Times New Roman" w:eastAsia="Times New Roman" w:hAnsi="Times New Roman" w:cs="Times New Roman"/>
              </w:rPr>
              <w:t>Useful in identifying metamorphosed exhalative or sediment-hosted massive sulfide terranes</w:t>
            </w:r>
          </w:p>
        </w:tc>
        <w:tc>
          <w:tcPr>
            <w:tcW w:w="0" w:type="auto"/>
            <w:hideMark/>
          </w:tcPr>
          <w:p w14:paraId="61720144" w14:textId="77777777" w:rsidR="006167C1" w:rsidRPr="00EB27A4" w:rsidRDefault="006167C1" w:rsidP="006167C1">
            <w:pPr>
              <w:rPr>
                <w:rFonts w:ascii="Times New Roman" w:eastAsia="Times New Roman" w:hAnsi="Times New Roman" w:cs="Times New Roman"/>
              </w:rPr>
            </w:pPr>
            <w:r w:rsidRPr="00EB27A4">
              <w:rPr>
                <w:rFonts w:ascii="Times New Roman" w:eastAsia="Times New Roman" w:hAnsi="Times New Roman" w:cs="Times New Roman"/>
              </w:rPr>
              <w:t>Spry et al. (2000); Walters (1998)</w:t>
            </w:r>
          </w:p>
        </w:tc>
      </w:tr>
      <w:tr w:rsidR="006167C1" w:rsidRPr="00EB27A4" w14:paraId="3201469A" w14:textId="77777777" w:rsidTr="006167C1">
        <w:tc>
          <w:tcPr>
            <w:tcW w:w="0" w:type="auto"/>
            <w:hideMark/>
          </w:tcPr>
          <w:p w14:paraId="4C279B0E" w14:textId="77777777" w:rsidR="006167C1" w:rsidRPr="00EB27A4" w:rsidRDefault="006167C1" w:rsidP="006167C1">
            <w:pPr>
              <w:rPr>
                <w:rFonts w:ascii="Times New Roman" w:eastAsia="Times New Roman" w:hAnsi="Times New Roman" w:cs="Times New Roman"/>
              </w:rPr>
            </w:pPr>
            <w:r w:rsidRPr="00EB27A4">
              <w:rPr>
                <w:rFonts w:ascii="Times New Roman" w:eastAsia="Times New Roman" w:hAnsi="Times New Roman" w:cs="Times New Roman"/>
              </w:rPr>
              <w:t>Gahnite</w:t>
            </w:r>
          </w:p>
        </w:tc>
        <w:tc>
          <w:tcPr>
            <w:tcW w:w="0" w:type="auto"/>
            <w:hideMark/>
          </w:tcPr>
          <w:p w14:paraId="26743364" w14:textId="77777777" w:rsidR="006167C1" w:rsidRPr="00EB27A4" w:rsidRDefault="006167C1" w:rsidP="006167C1">
            <w:pPr>
              <w:rPr>
                <w:rFonts w:ascii="Times New Roman" w:eastAsia="Times New Roman" w:hAnsi="Times New Roman" w:cs="Times New Roman"/>
              </w:rPr>
            </w:pPr>
            <w:r w:rsidRPr="00EB27A4">
              <w:rPr>
                <w:rFonts w:ascii="Times New Roman" w:eastAsia="Times New Roman" w:hAnsi="Times New Roman" w:cs="Times New Roman"/>
              </w:rPr>
              <w:t xml:space="preserve">Broken Hill-type Pb–Zn–Ag / metamorphosed </w:t>
            </w:r>
            <w:r w:rsidRPr="00EB27A4">
              <w:rPr>
                <w:rFonts w:ascii="Times New Roman" w:eastAsia="Times New Roman" w:hAnsi="Times New Roman" w:cs="Times New Roman"/>
              </w:rPr>
              <w:lastRenderedPageBreak/>
              <w:t>massive sulfide deposits</w:t>
            </w:r>
          </w:p>
        </w:tc>
        <w:tc>
          <w:tcPr>
            <w:tcW w:w="0" w:type="auto"/>
            <w:hideMark/>
          </w:tcPr>
          <w:p w14:paraId="52E44BDC" w14:textId="77777777" w:rsidR="006167C1" w:rsidRPr="00EB27A4" w:rsidRDefault="006167C1" w:rsidP="006167C1">
            <w:pPr>
              <w:rPr>
                <w:rFonts w:ascii="Times New Roman" w:eastAsia="Times New Roman" w:hAnsi="Times New Roman" w:cs="Times New Roman"/>
              </w:rPr>
            </w:pPr>
            <w:r w:rsidRPr="00EB27A4">
              <w:rPr>
                <w:rFonts w:ascii="Times New Roman" w:eastAsia="Times New Roman" w:hAnsi="Times New Roman" w:cs="Times New Roman"/>
              </w:rPr>
              <w:lastRenderedPageBreak/>
              <w:t xml:space="preserve">Zn-rich spinel commonly developed </w:t>
            </w:r>
            <w:r w:rsidRPr="00EB27A4">
              <w:rPr>
                <w:rFonts w:ascii="Times New Roman" w:eastAsia="Times New Roman" w:hAnsi="Times New Roman" w:cs="Times New Roman"/>
              </w:rPr>
              <w:lastRenderedPageBreak/>
              <w:t>in metamorphosed Zn-rich systems</w:t>
            </w:r>
          </w:p>
        </w:tc>
        <w:tc>
          <w:tcPr>
            <w:tcW w:w="0" w:type="auto"/>
            <w:hideMark/>
          </w:tcPr>
          <w:p w14:paraId="1B3F0A2B" w14:textId="77777777" w:rsidR="006167C1" w:rsidRPr="00EB27A4" w:rsidRDefault="006167C1" w:rsidP="006167C1">
            <w:pPr>
              <w:rPr>
                <w:rFonts w:ascii="Times New Roman" w:eastAsia="Times New Roman" w:hAnsi="Times New Roman" w:cs="Times New Roman"/>
              </w:rPr>
            </w:pPr>
            <w:r w:rsidRPr="00EB27A4">
              <w:rPr>
                <w:rFonts w:ascii="Times New Roman" w:eastAsia="Times New Roman" w:hAnsi="Times New Roman" w:cs="Times New Roman"/>
              </w:rPr>
              <w:lastRenderedPageBreak/>
              <w:t xml:space="preserve">A robust pathfinder mineral in rocks, soils, and stream </w:t>
            </w:r>
            <w:r w:rsidRPr="00EB27A4">
              <w:rPr>
                <w:rFonts w:ascii="Times New Roman" w:eastAsia="Times New Roman" w:hAnsi="Times New Roman" w:cs="Times New Roman"/>
              </w:rPr>
              <w:lastRenderedPageBreak/>
              <w:t>sediments for concealed Zn–Pb–Ag mineralization</w:t>
            </w:r>
          </w:p>
        </w:tc>
        <w:tc>
          <w:tcPr>
            <w:tcW w:w="0" w:type="auto"/>
            <w:hideMark/>
          </w:tcPr>
          <w:p w14:paraId="5C75E5E4" w14:textId="77777777" w:rsidR="006167C1" w:rsidRPr="00EB27A4" w:rsidRDefault="006167C1" w:rsidP="006167C1">
            <w:pPr>
              <w:rPr>
                <w:rFonts w:ascii="Times New Roman" w:eastAsia="Times New Roman" w:hAnsi="Times New Roman" w:cs="Times New Roman"/>
              </w:rPr>
            </w:pPr>
            <w:r w:rsidRPr="00EB27A4">
              <w:rPr>
                <w:rFonts w:ascii="Times New Roman" w:eastAsia="Times New Roman" w:hAnsi="Times New Roman" w:cs="Times New Roman"/>
              </w:rPr>
              <w:lastRenderedPageBreak/>
              <w:t xml:space="preserve">Spry et al. (2000); </w:t>
            </w:r>
            <w:r w:rsidRPr="00EB27A4">
              <w:rPr>
                <w:rFonts w:ascii="Times New Roman" w:eastAsia="Times New Roman" w:hAnsi="Times New Roman" w:cs="Times New Roman"/>
              </w:rPr>
              <w:lastRenderedPageBreak/>
              <w:t>Sandhaus &amp; Craig (1986)</w:t>
            </w:r>
          </w:p>
        </w:tc>
      </w:tr>
      <w:tr w:rsidR="006167C1" w:rsidRPr="00EB27A4" w14:paraId="5B06E8CB" w14:textId="77777777" w:rsidTr="006167C1">
        <w:tc>
          <w:tcPr>
            <w:tcW w:w="0" w:type="auto"/>
            <w:hideMark/>
          </w:tcPr>
          <w:p w14:paraId="75FE5590" w14:textId="77777777" w:rsidR="006167C1" w:rsidRPr="00EB27A4" w:rsidRDefault="006167C1" w:rsidP="006167C1">
            <w:pPr>
              <w:rPr>
                <w:rFonts w:ascii="Times New Roman" w:eastAsia="Times New Roman" w:hAnsi="Times New Roman" w:cs="Times New Roman"/>
              </w:rPr>
            </w:pPr>
            <w:r w:rsidRPr="00EB27A4">
              <w:rPr>
                <w:rFonts w:ascii="Times New Roman" w:eastAsia="Times New Roman" w:hAnsi="Times New Roman" w:cs="Times New Roman"/>
              </w:rPr>
              <w:lastRenderedPageBreak/>
              <w:t>Andalusite</w:t>
            </w:r>
          </w:p>
        </w:tc>
        <w:tc>
          <w:tcPr>
            <w:tcW w:w="0" w:type="auto"/>
            <w:hideMark/>
          </w:tcPr>
          <w:p w14:paraId="39256A6D" w14:textId="77777777" w:rsidR="006167C1" w:rsidRPr="00EB27A4" w:rsidRDefault="006167C1" w:rsidP="006167C1">
            <w:pPr>
              <w:rPr>
                <w:rFonts w:ascii="Times New Roman" w:eastAsia="Times New Roman" w:hAnsi="Times New Roman" w:cs="Times New Roman"/>
              </w:rPr>
            </w:pPr>
            <w:r w:rsidRPr="00EB27A4">
              <w:rPr>
                <w:rFonts w:ascii="Times New Roman" w:eastAsia="Times New Roman" w:hAnsi="Times New Roman" w:cs="Times New Roman"/>
              </w:rPr>
              <w:t>Epithermal / porphyry / high-sulfidation systems</w:t>
            </w:r>
          </w:p>
        </w:tc>
        <w:tc>
          <w:tcPr>
            <w:tcW w:w="0" w:type="auto"/>
            <w:hideMark/>
          </w:tcPr>
          <w:p w14:paraId="6B70ADD6" w14:textId="77777777" w:rsidR="006167C1" w:rsidRPr="00EB27A4" w:rsidRDefault="006167C1" w:rsidP="006167C1">
            <w:pPr>
              <w:rPr>
                <w:rFonts w:ascii="Times New Roman" w:eastAsia="Times New Roman" w:hAnsi="Times New Roman" w:cs="Times New Roman"/>
              </w:rPr>
            </w:pPr>
            <w:r w:rsidRPr="00EB27A4">
              <w:rPr>
                <w:rFonts w:ascii="Times New Roman" w:eastAsia="Times New Roman" w:hAnsi="Times New Roman" w:cs="Times New Roman"/>
              </w:rPr>
              <w:t>Indicates low-pressure, high-temperature metamorphic or hydrothermal conditions</w:t>
            </w:r>
          </w:p>
        </w:tc>
        <w:tc>
          <w:tcPr>
            <w:tcW w:w="0" w:type="auto"/>
            <w:hideMark/>
          </w:tcPr>
          <w:p w14:paraId="5CC9ED91" w14:textId="77777777" w:rsidR="006167C1" w:rsidRPr="00EB27A4" w:rsidRDefault="006167C1" w:rsidP="006167C1">
            <w:pPr>
              <w:rPr>
                <w:rFonts w:ascii="Times New Roman" w:eastAsia="Times New Roman" w:hAnsi="Times New Roman" w:cs="Times New Roman"/>
              </w:rPr>
            </w:pPr>
            <w:r w:rsidRPr="00EB27A4">
              <w:rPr>
                <w:rFonts w:ascii="Times New Roman" w:eastAsia="Times New Roman" w:hAnsi="Times New Roman" w:cs="Times New Roman"/>
              </w:rPr>
              <w:t>Commonly used to identify shallow intrusive and acidic alteration environments</w:t>
            </w:r>
          </w:p>
        </w:tc>
        <w:tc>
          <w:tcPr>
            <w:tcW w:w="0" w:type="auto"/>
            <w:hideMark/>
          </w:tcPr>
          <w:p w14:paraId="49ABB336" w14:textId="77777777" w:rsidR="006167C1" w:rsidRPr="00EB27A4" w:rsidRDefault="006167C1" w:rsidP="006167C1">
            <w:pPr>
              <w:rPr>
                <w:rFonts w:ascii="Times New Roman" w:eastAsia="Times New Roman" w:hAnsi="Times New Roman" w:cs="Times New Roman"/>
              </w:rPr>
            </w:pPr>
            <w:r w:rsidRPr="00EB27A4">
              <w:rPr>
                <w:rFonts w:ascii="Times New Roman" w:eastAsia="Times New Roman" w:hAnsi="Times New Roman" w:cs="Times New Roman"/>
              </w:rPr>
              <w:t>Hedenquist et al. (2000); Lang &amp; Baker (2001)</w:t>
            </w:r>
          </w:p>
        </w:tc>
      </w:tr>
      <w:tr w:rsidR="006167C1" w:rsidRPr="00EB27A4" w14:paraId="0E387B65" w14:textId="77777777" w:rsidTr="006167C1">
        <w:tc>
          <w:tcPr>
            <w:tcW w:w="0" w:type="auto"/>
            <w:hideMark/>
          </w:tcPr>
          <w:p w14:paraId="331DAD35" w14:textId="77777777" w:rsidR="006167C1" w:rsidRPr="00EB27A4" w:rsidRDefault="006167C1" w:rsidP="006167C1">
            <w:pPr>
              <w:rPr>
                <w:rFonts w:ascii="Times New Roman" w:eastAsia="Times New Roman" w:hAnsi="Times New Roman" w:cs="Times New Roman"/>
              </w:rPr>
            </w:pPr>
            <w:r w:rsidRPr="00EB27A4">
              <w:rPr>
                <w:rFonts w:ascii="Times New Roman" w:eastAsia="Times New Roman" w:hAnsi="Times New Roman" w:cs="Times New Roman"/>
              </w:rPr>
              <w:t>Pyrophyllite</w:t>
            </w:r>
          </w:p>
        </w:tc>
        <w:tc>
          <w:tcPr>
            <w:tcW w:w="0" w:type="auto"/>
            <w:hideMark/>
          </w:tcPr>
          <w:p w14:paraId="148A8E97" w14:textId="77777777" w:rsidR="006167C1" w:rsidRPr="00EB27A4" w:rsidRDefault="006167C1" w:rsidP="006167C1">
            <w:pPr>
              <w:rPr>
                <w:rFonts w:ascii="Times New Roman" w:eastAsia="Times New Roman" w:hAnsi="Times New Roman" w:cs="Times New Roman"/>
              </w:rPr>
            </w:pPr>
            <w:r w:rsidRPr="00EB27A4">
              <w:rPr>
                <w:rFonts w:ascii="Times New Roman" w:eastAsia="Times New Roman" w:hAnsi="Times New Roman" w:cs="Times New Roman"/>
              </w:rPr>
              <w:t>High-sulfidation epithermal / advanced argillic alteration zones</w:t>
            </w:r>
          </w:p>
        </w:tc>
        <w:tc>
          <w:tcPr>
            <w:tcW w:w="0" w:type="auto"/>
            <w:hideMark/>
          </w:tcPr>
          <w:p w14:paraId="228D0382" w14:textId="77777777" w:rsidR="006167C1" w:rsidRPr="00EB27A4" w:rsidRDefault="006167C1" w:rsidP="006167C1">
            <w:pPr>
              <w:rPr>
                <w:rFonts w:ascii="Times New Roman" w:eastAsia="Times New Roman" w:hAnsi="Times New Roman" w:cs="Times New Roman"/>
              </w:rPr>
            </w:pPr>
            <w:r w:rsidRPr="00EB27A4">
              <w:rPr>
                <w:rFonts w:ascii="Times New Roman" w:eastAsia="Times New Roman" w:hAnsi="Times New Roman" w:cs="Times New Roman"/>
              </w:rPr>
              <w:t>Reflects acidic, high-sulfidation hydrothermal alteration</w:t>
            </w:r>
          </w:p>
        </w:tc>
        <w:tc>
          <w:tcPr>
            <w:tcW w:w="0" w:type="auto"/>
            <w:hideMark/>
          </w:tcPr>
          <w:p w14:paraId="16CC651A" w14:textId="77777777" w:rsidR="006167C1" w:rsidRPr="00EB27A4" w:rsidRDefault="006167C1" w:rsidP="006167C1">
            <w:pPr>
              <w:rPr>
                <w:rFonts w:ascii="Times New Roman" w:eastAsia="Times New Roman" w:hAnsi="Times New Roman" w:cs="Times New Roman"/>
              </w:rPr>
            </w:pPr>
            <w:r w:rsidRPr="00EB27A4">
              <w:rPr>
                <w:rFonts w:ascii="Times New Roman" w:eastAsia="Times New Roman" w:hAnsi="Times New Roman" w:cs="Times New Roman"/>
              </w:rPr>
              <w:t xml:space="preserve">Strong vector toward hydrothermal </w:t>
            </w:r>
            <w:proofErr w:type="spellStart"/>
            <w:r w:rsidRPr="00EB27A4">
              <w:rPr>
                <w:rFonts w:ascii="Times New Roman" w:eastAsia="Times New Roman" w:hAnsi="Times New Roman" w:cs="Times New Roman"/>
              </w:rPr>
              <w:t>upflow</w:t>
            </w:r>
            <w:proofErr w:type="spellEnd"/>
            <w:r w:rsidRPr="00EB27A4">
              <w:rPr>
                <w:rFonts w:ascii="Times New Roman" w:eastAsia="Times New Roman" w:hAnsi="Times New Roman" w:cs="Times New Roman"/>
              </w:rPr>
              <w:t xml:space="preserve"> zones and mineralized centers</w:t>
            </w:r>
          </w:p>
        </w:tc>
        <w:tc>
          <w:tcPr>
            <w:tcW w:w="0" w:type="auto"/>
            <w:hideMark/>
          </w:tcPr>
          <w:p w14:paraId="3A4F45E0" w14:textId="77777777" w:rsidR="006167C1" w:rsidRPr="00EB27A4" w:rsidRDefault="006167C1" w:rsidP="006167C1">
            <w:pPr>
              <w:rPr>
                <w:rFonts w:ascii="Times New Roman" w:eastAsia="Times New Roman" w:hAnsi="Times New Roman" w:cs="Times New Roman"/>
              </w:rPr>
            </w:pPr>
            <w:r w:rsidRPr="00EB27A4">
              <w:rPr>
                <w:rFonts w:ascii="Times New Roman" w:eastAsia="Times New Roman" w:hAnsi="Times New Roman" w:cs="Times New Roman"/>
              </w:rPr>
              <w:t>Arribas (1995); Sillitoe (2010)</w:t>
            </w:r>
          </w:p>
        </w:tc>
      </w:tr>
      <w:tr w:rsidR="006167C1" w:rsidRPr="00EB27A4" w14:paraId="06F297FF" w14:textId="77777777" w:rsidTr="006167C1">
        <w:tc>
          <w:tcPr>
            <w:tcW w:w="0" w:type="auto"/>
            <w:hideMark/>
          </w:tcPr>
          <w:p w14:paraId="27E27D14" w14:textId="77777777" w:rsidR="006167C1" w:rsidRPr="00EB27A4" w:rsidRDefault="006167C1" w:rsidP="006167C1">
            <w:pPr>
              <w:rPr>
                <w:rFonts w:ascii="Times New Roman" w:eastAsia="Times New Roman" w:hAnsi="Times New Roman" w:cs="Times New Roman"/>
              </w:rPr>
            </w:pPr>
            <w:r w:rsidRPr="00EB27A4">
              <w:rPr>
                <w:rFonts w:ascii="Times New Roman" w:eastAsia="Times New Roman" w:hAnsi="Times New Roman" w:cs="Times New Roman"/>
              </w:rPr>
              <w:t>White mica (sericite, muscovite)</w:t>
            </w:r>
          </w:p>
        </w:tc>
        <w:tc>
          <w:tcPr>
            <w:tcW w:w="0" w:type="auto"/>
            <w:hideMark/>
          </w:tcPr>
          <w:p w14:paraId="36E52243" w14:textId="77777777" w:rsidR="006167C1" w:rsidRPr="00EB27A4" w:rsidRDefault="006167C1" w:rsidP="006167C1">
            <w:pPr>
              <w:rPr>
                <w:rFonts w:ascii="Times New Roman" w:eastAsia="Times New Roman" w:hAnsi="Times New Roman" w:cs="Times New Roman"/>
              </w:rPr>
            </w:pPr>
            <w:r w:rsidRPr="00EB27A4">
              <w:rPr>
                <w:rFonts w:ascii="Times New Roman" w:eastAsia="Times New Roman" w:hAnsi="Times New Roman" w:cs="Times New Roman"/>
              </w:rPr>
              <w:t>Porphyry Cu–Au, orogenic gold, intrusion-related gold</w:t>
            </w:r>
          </w:p>
        </w:tc>
        <w:tc>
          <w:tcPr>
            <w:tcW w:w="0" w:type="auto"/>
            <w:hideMark/>
          </w:tcPr>
          <w:p w14:paraId="0F602E72" w14:textId="77777777" w:rsidR="006167C1" w:rsidRPr="00EB27A4" w:rsidRDefault="006167C1" w:rsidP="006167C1">
            <w:pPr>
              <w:rPr>
                <w:rFonts w:ascii="Times New Roman" w:eastAsia="Times New Roman" w:hAnsi="Times New Roman" w:cs="Times New Roman"/>
              </w:rPr>
            </w:pPr>
            <w:r w:rsidRPr="00EB27A4">
              <w:rPr>
                <w:rFonts w:ascii="Times New Roman" w:eastAsia="Times New Roman" w:hAnsi="Times New Roman" w:cs="Times New Roman"/>
              </w:rPr>
              <w:t>Records hydrothermal alteration and fluid-rock interaction</w:t>
            </w:r>
          </w:p>
        </w:tc>
        <w:tc>
          <w:tcPr>
            <w:tcW w:w="0" w:type="auto"/>
            <w:hideMark/>
          </w:tcPr>
          <w:p w14:paraId="77E2978A" w14:textId="77777777" w:rsidR="006167C1" w:rsidRPr="00EB27A4" w:rsidRDefault="006167C1" w:rsidP="006167C1">
            <w:pPr>
              <w:rPr>
                <w:rFonts w:ascii="Times New Roman" w:eastAsia="Times New Roman" w:hAnsi="Times New Roman" w:cs="Times New Roman"/>
              </w:rPr>
            </w:pPr>
            <w:r w:rsidRPr="00EB27A4">
              <w:rPr>
                <w:rFonts w:ascii="Times New Roman" w:eastAsia="Times New Roman" w:hAnsi="Times New Roman" w:cs="Times New Roman"/>
              </w:rPr>
              <w:t>Widely used in SWIR and mineral chemistry studies for vectoring toward ore centers</w:t>
            </w:r>
          </w:p>
        </w:tc>
        <w:tc>
          <w:tcPr>
            <w:tcW w:w="0" w:type="auto"/>
            <w:hideMark/>
          </w:tcPr>
          <w:p w14:paraId="4ADC77F4" w14:textId="77777777" w:rsidR="006167C1" w:rsidRPr="00EB27A4" w:rsidRDefault="006167C1" w:rsidP="006167C1">
            <w:pPr>
              <w:rPr>
                <w:rFonts w:ascii="Times New Roman" w:eastAsia="Times New Roman" w:hAnsi="Times New Roman" w:cs="Times New Roman"/>
              </w:rPr>
            </w:pPr>
            <w:r w:rsidRPr="00EB27A4">
              <w:rPr>
                <w:rFonts w:ascii="Times New Roman" w:eastAsia="Times New Roman" w:hAnsi="Times New Roman" w:cs="Times New Roman"/>
              </w:rPr>
              <w:t>Halley et al. (2015); Yang et al. (2011)</w:t>
            </w:r>
          </w:p>
        </w:tc>
      </w:tr>
      <w:tr w:rsidR="006167C1" w:rsidRPr="00EB27A4" w14:paraId="72490574" w14:textId="77777777" w:rsidTr="006167C1">
        <w:tc>
          <w:tcPr>
            <w:tcW w:w="0" w:type="auto"/>
            <w:hideMark/>
          </w:tcPr>
          <w:p w14:paraId="23BDC8A3" w14:textId="77777777" w:rsidR="006167C1" w:rsidRPr="00EB27A4" w:rsidRDefault="006167C1" w:rsidP="006167C1">
            <w:pPr>
              <w:rPr>
                <w:rFonts w:ascii="Times New Roman" w:eastAsia="Times New Roman" w:hAnsi="Times New Roman" w:cs="Times New Roman"/>
              </w:rPr>
            </w:pPr>
            <w:r w:rsidRPr="00EB27A4">
              <w:rPr>
                <w:rFonts w:ascii="Times New Roman" w:eastAsia="Times New Roman" w:hAnsi="Times New Roman" w:cs="Times New Roman"/>
              </w:rPr>
              <w:t>Chlorite</w:t>
            </w:r>
          </w:p>
        </w:tc>
        <w:tc>
          <w:tcPr>
            <w:tcW w:w="0" w:type="auto"/>
            <w:hideMark/>
          </w:tcPr>
          <w:p w14:paraId="42C6D521" w14:textId="77777777" w:rsidR="006167C1" w:rsidRPr="00EB27A4" w:rsidRDefault="006167C1" w:rsidP="006167C1">
            <w:pPr>
              <w:rPr>
                <w:rFonts w:ascii="Times New Roman" w:eastAsia="Times New Roman" w:hAnsi="Times New Roman" w:cs="Times New Roman"/>
              </w:rPr>
            </w:pPr>
            <w:r w:rsidRPr="00EB27A4">
              <w:rPr>
                <w:rFonts w:ascii="Times New Roman" w:eastAsia="Times New Roman" w:hAnsi="Times New Roman" w:cs="Times New Roman"/>
              </w:rPr>
              <w:t>VMS, porphyry, orogenic gold</w:t>
            </w:r>
          </w:p>
        </w:tc>
        <w:tc>
          <w:tcPr>
            <w:tcW w:w="0" w:type="auto"/>
            <w:hideMark/>
          </w:tcPr>
          <w:p w14:paraId="60EB2A81" w14:textId="77777777" w:rsidR="006167C1" w:rsidRPr="00EB27A4" w:rsidRDefault="006167C1" w:rsidP="006167C1">
            <w:pPr>
              <w:rPr>
                <w:rFonts w:ascii="Times New Roman" w:eastAsia="Times New Roman" w:hAnsi="Times New Roman" w:cs="Times New Roman"/>
              </w:rPr>
            </w:pPr>
            <w:r w:rsidRPr="00EB27A4">
              <w:rPr>
                <w:rFonts w:ascii="Times New Roman" w:eastAsia="Times New Roman" w:hAnsi="Times New Roman" w:cs="Times New Roman"/>
              </w:rPr>
              <w:t>Common alteration mineral in distal to proximal hydrothermal halos</w:t>
            </w:r>
          </w:p>
        </w:tc>
        <w:tc>
          <w:tcPr>
            <w:tcW w:w="0" w:type="auto"/>
            <w:hideMark/>
          </w:tcPr>
          <w:p w14:paraId="38CA76B3" w14:textId="77777777" w:rsidR="006167C1" w:rsidRPr="00EB27A4" w:rsidRDefault="006167C1" w:rsidP="006167C1">
            <w:pPr>
              <w:rPr>
                <w:rFonts w:ascii="Times New Roman" w:eastAsia="Times New Roman" w:hAnsi="Times New Roman" w:cs="Times New Roman"/>
              </w:rPr>
            </w:pPr>
            <w:r w:rsidRPr="00EB27A4">
              <w:rPr>
                <w:rFonts w:ascii="Times New Roman" w:eastAsia="Times New Roman" w:hAnsi="Times New Roman" w:cs="Times New Roman"/>
              </w:rPr>
              <w:t>Used to define alteration gradients and fluid pathways around mineral systems</w:t>
            </w:r>
          </w:p>
        </w:tc>
        <w:tc>
          <w:tcPr>
            <w:tcW w:w="0" w:type="auto"/>
            <w:hideMark/>
          </w:tcPr>
          <w:p w14:paraId="4A3870B7" w14:textId="77777777" w:rsidR="006167C1" w:rsidRPr="00EB27A4" w:rsidRDefault="006167C1" w:rsidP="006167C1">
            <w:pPr>
              <w:rPr>
                <w:rFonts w:ascii="Times New Roman" w:eastAsia="Times New Roman" w:hAnsi="Times New Roman" w:cs="Times New Roman"/>
              </w:rPr>
            </w:pPr>
            <w:proofErr w:type="spellStart"/>
            <w:r w:rsidRPr="00EB27A4">
              <w:rPr>
                <w:rFonts w:ascii="Times New Roman" w:eastAsia="Times New Roman" w:hAnsi="Times New Roman" w:cs="Times New Roman"/>
              </w:rPr>
              <w:t>Lypaczewski</w:t>
            </w:r>
            <w:proofErr w:type="spellEnd"/>
            <w:r w:rsidRPr="00EB27A4">
              <w:rPr>
                <w:rFonts w:ascii="Times New Roman" w:eastAsia="Times New Roman" w:hAnsi="Times New Roman" w:cs="Times New Roman"/>
              </w:rPr>
              <w:t xml:space="preserve"> et al. (2016); Walshe (1986)</w:t>
            </w:r>
          </w:p>
        </w:tc>
      </w:tr>
      <w:tr w:rsidR="006167C1" w:rsidRPr="00EB27A4" w14:paraId="0F5BA5A9" w14:textId="77777777" w:rsidTr="006167C1">
        <w:tc>
          <w:tcPr>
            <w:tcW w:w="0" w:type="auto"/>
            <w:hideMark/>
          </w:tcPr>
          <w:p w14:paraId="76631F56" w14:textId="77777777" w:rsidR="006167C1" w:rsidRPr="00EB27A4" w:rsidRDefault="006167C1" w:rsidP="006167C1">
            <w:pPr>
              <w:rPr>
                <w:rFonts w:ascii="Times New Roman" w:eastAsia="Times New Roman" w:hAnsi="Times New Roman" w:cs="Times New Roman"/>
              </w:rPr>
            </w:pPr>
            <w:r w:rsidRPr="00EB27A4">
              <w:rPr>
                <w:rFonts w:ascii="Times New Roman" w:eastAsia="Times New Roman" w:hAnsi="Times New Roman" w:cs="Times New Roman"/>
              </w:rPr>
              <w:t>Biotite</w:t>
            </w:r>
          </w:p>
        </w:tc>
        <w:tc>
          <w:tcPr>
            <w:tcW w:w="0" w:type="auto"/>
            <w:hideMark/>
          </w:tcPr>
          <w:p w14:paraId="53B60B2B" w14:textId="77777777" w:rsidR="006167C1" w:rsidRPr="00EB27A4" w:rsidRDefault="006167C1" w:rsidP="006167C1">
            <w:pPr>
              <w:rPr>
                <w:rFonts w:ascii="Times New Roman" w:eastAsia="Times New Roman" w:hAnsi="Times New Roman" w:cs="Times New Roman"/>
              </w:rPr>
            </w:pPr>
            <w:r w:rsidRPr="00EB27A4">
              <w:rPr>
                <w:rFonts w:ascii="Times New Roman" w:eastAsia="Times New Roman" w:hAnsi="Times New Roman" w:cs="Times New Roman"/>
              </w:rPr>
              <w:t>Porphyry Cu–Au / intrusion-related gold</w:t>
            </w:r>
          </w:p>
        </w:tc>
        <w:tc>
          <w:tcPr>
            <w:tcW w:w="0" w:type="auto"/>
            <w:hideMark/>
          </w:tcPr>
          <w:p w14:paraId="09D7643D" w14:textId="77777777" w:rsidR="006167C1" w:rsidRPr="00EB27A4" w:rsidRDefault="006167C1" w:rsidP="006167C1">
            <w:pPr>
              <w:rPr>
                <w:rFonts w:ascii="Times New Roman" w:eastAsia="Times New Roman" w:hAnsi="Times New Roman" w:cs="Times New Roman"/>
              </w:rPr>
            </w:pPr>
            <w:r w:rsidRPr="00EB27A4">
              <w:rPr>
                <w:rFonts w:ascii="Times New Roman" w:eastAsia="Times New Roman" w:hAnsi="Times New Roman" w:cs="Times New Roman"/>
              </w:rPr>
              <w:t>Indicates potassic alteration and/or increasing metamorphic grade</w:t>
            </w:r>
          </w:p>
        </w:tc>
        <w:tc>
          <w:tcPr>
            <w:tcW w:w="0" w:type="auto"/>
            <w:hideMark/>
          </w:tcPr>
          <w:p w14:paraId="272D360E" w14:textId="77777777" w:rsidR="006167C1" w:rsidRPr="00EB27A4" w:rsidRDefault="006167C1" w:rsidP="006167C1">
            <w:pPr>
              <w:rPr>
                <w:rFonts w:ascii="Times New Roman" w:eastAsia="Times New Roman" w:hAnsi="Times New Roman" w:cs="Times New Roman"/>
              </w:rPr>
            </w:pPr>
            <w:r w:rsidRPr="00EB27A4">
              <w:rPr>
                <w:rFonts w:ascii="Times New Roman" w:eastAsia="Times New Roman" w:hAnsi="Times New Roman" w:cs="Times New Roman"/>
              </w:rPr>
              <w:t>Important vector toward fertile intrusive centers and hydrothermal cores</w:t>
            </w:r>
          </w:p>
        </w:tc>
        <w:tc>
          <w:tcPr>
            <w:tcW w:w="0" w:type="auto"/>
            <w:hideMark/>
          </w:tcPr>
          <w:p w14:paraId="0C7F6BEA" w14:textId="77777777" w:rsidR="006167C1" w:rsidRPr="00EB27A4" w:rsidRDefault="006167C1" w:rsidP="006167C1">
            <w:pPr>
              <w:rPr>
                <w:rFonts w:ascii="Times New Roman" w:eastAsia="Times New Roman" w:hAnsi="Times New Roman" w:cs="Times New Roman"/>
              </w:rPr>
            </w:pPr>
            <w:r w:rsidRPr="00EB27A4">
              <w:rPr>
                <w:rFonts w:ascii="Times New Roman" w:eastAsia="Times New Roman" w:hAnsi="Times New Roman" w:cs="Times New Roman"/>
              </w:rPr>
              <w:t>Sillitoe (2010); Hart (2005)</w:t>
            </w:r>
          </w:p>
        </w:tc>
      </w:tr>
      <w:tr w:rsidR="006167C1" w:rsidRPr="00EB27A4" w14:paraId="3FA6EDBA" w14:textId="77777777" w:rsidTr="006167C1">
        <w:tc>
          <w:tcPr>
            <w:tcW w:w="0" w:type="auto"/>
            <w:hideMark/>
          </w:tcPr>
          <w:p w14:paraId="49EEF9F8" w14:textId="77777777" w:rsidR="006167C1" w:rsidRPr="00EB27A4" w:rsidRDefault="006167C1" w:rsidP="006167C1">
            <w:pPr>
              <w:rPr>
                <w:rFonts w:ascii="Times New Roman" w:eastAsia="Times New Roman" w:hAnsi="Times New Roman" w:cs="Times New Roman"/>
              </w:rPr>
            </w:pPr>
            <w:r w:rsidRPr="00EB27A4">
              <w:rPr>
                <w:rFonts w:ascii="Times New Roman" w:eastAsia="Times New Roman" w:hAnsi="Times New Roman" w:cs="Times New Roman"/>
              </w:rPr>
              <w:t>Apatite</w:t>
            </w:r>
          </w:p>
        </w:tc>
        <w:tc>
          <w:tcPr>
            <w:tcW w:w="0" w:type="auto"/>
            <w:hideMark/>
          </w:tcPr>
          <w:p w14:paraId="6FF8740F" w14:textId="77777777" w:rsidR="006167C1" w:rsidRPr="00EB27A4" w:rsidRDefault="006167C1" w:rsidP="006167C1">
            <w:pPr>
              <w:rPr>
                <w:rFonts w:ascii="Times New Roman" w:eastAsia="Times New Roman" w:hAnsi="Times New Roman" w:cs="Times New Roman"/>
              </w:rPr>
            </w:pPr>
            <w:r w:rsidRPr="00EB27A4">
              <w:rPr>
                <w:rFonts w:ascii="Times New Roman" w:eastAsia="Times New Roman" w:hAnsi="Times New Roman" w:cs="Times New Roman"/>
              </w:rPr>
              <w:t>Porphyry Cu–Au / fertile intrusive systems</w:t>
            </w:r>
          </w:p>
        </w:tc>
        <w:tc>
          <w:tcPr>
            <w:tcW w:w="0" w:type="auto"/>
            <w:hideMark/>
          </w:tcPr>
          <w:p w14:paraId="298962E7" w14:textId="77777777" w:rsidR="006167C1" w:rsidRPr="00EB27A4" w:rsidRDefault="006167C1" w:rsidP="006167C1">
            <w:pPr>
              <w:rPr>
                <w:rFonts w:ascii="Times New Roman" w:eastAsia="Times New Roman" w:hAnsi="Times New Roman" w:cs="Times New Roman"/>
              </w:rPr>
            </w:pPr>
            <w:r w:rsidRPr="00EB27A4">
              <w:rPr>
                <w:rFonts w:ascii="Times New Roman" w:eastAsia="Times New Roman" w:hAnsi="Times New Roman" w:cs="Times New Roman"/>
              </w:rPr>
              <w:t>Records volatile content and magma fertility</w:t>
            </w:r>
          </w:p>
        </w:tc>
        <w:tc>
          <w:tcPr>
            <w:tcW w:w="0" w:type="auto"/>
            <w:hideMark/>
          </w:tcPr>
          <w:p w14:paraId="16A410B6" w14:textId="77777777" w:rsidR="006167C1" w:rsidRPr="00EB27A4" w:rsidRDefault="006167C1" w:rsidP="006167C1">
            <w:pPr>
              <w:rPr>
                <w:rFonts w:ascii="Times New Roman" w:eastAsia="Times New Roman" w:hAnsi="Times New Roman" w:cs="Times New Roman"/>
              </w:rPr>
            </w:pPr>
            <w:r w:rsidRPr="00EB27A4">
              <w:rPr>
                <w:rFonts w:ascii="Times New Roman" w:eastAsia="Times New Roman" w:hAnsi="Times New Roman" w:cs="Times New Roman"/>
              </w:rPr>
              <w:t>Useful for discriminating fertile from barren magmatic systems</w:t>
            </w:r>
          </w:p>
        </w:tc>
        <w:tc>
          <w:tcPr>
            <w:tcW w:w="0" w:type="auto"/>
            <w:hideMark/>
          </w:tcPr>
          <w:p w14:paraId="2F21D2F6" w14:textId="77777777" w:rsidR="006167C1" w:rsidRPr="00EB27A4" w:rsidRDefault="006167C1" w:rsidP="006167C1">
            <w:pPr>
              <w:rPr>
                <w:rFonts w:ascii="Times New Roman" w:eastAsia="Times New Roman" w:hAnsi="Times New Roman" w:cs="Times New Roman"/>
              </w:rPr>
            </w:pPr>
            <w:r w:rsidRPr="00EB27A4">
              <w:rPr>
                <w:rFonts w:ascii="Times New Roman" w:eastAsia="Times New Roman" w:hAnsi="Times New Roman" w:cs="Times New Roman"/>
              </w:rPr>
              <w:t>Piccoli &amp; Candela (2002); Mao et al. (2016)</w:t>
            </w:r>
          </w:p>
        </w:tc>
      </w:tr>
      <w:tr w:rsidR="006167C1" w:rsidRPr="00EB27A4" w14:paraId="203B9969" w14:textId="77777777" w:rsidTr="006167C1">
        <w:tc>
          <w:tcPr>
            <w:tcW w:w="0" w:type="auto"/>
            <w:hideMark/>
          </w:tcPr>
          <w:p w14:paraId="01FAC18E" w14:textId="77777777" w:rsidR="006167C1" w:rsidRPr="00EB27A4" w:rsidRDefault="006167C1" w:rsidP="006167C1">
            <w:pPr>
              <w:rPr>
                <w:rFonts w:ascii="Times New Roman" w:eastAsia="Times New Roman" w:hAnsi="Times New Roman" w:cs="Times New Roman"/>
              </w:rPr>
            </w:pPr>
            <w:r w:rsidRPr="00EB27A4">
              <w:rPr>
                <w:rFonts w:ascii="Times New Roman" w:eastAsia="Times New Roman" w:hAnsi="Times New Roman" w:cs="Times New Roman"/>
              </w:rPr>
              <w:t>Zircon</w:t>
            </w:r>
          </w:p>
        </w:tc>
        <w:tc>
          <w:tcPr>
            <w:tcW w:w="0" w:type="auto"/>
            <w:hideMark/>
          </w:tcPr>
          <w:p w14:paraId="0BE014EB" w14:textId="77777777" w:rsidR="006167C1" w:rsidRPr="00EB27A4" w:rsidRDefault="006167C1" w:rsidP="006167C1">
            <w:pPr>
              <w:rPr>
                <w:rFonts w:ascii="Times New Roman" w:eastAsia="Times New Roman" w:hAnsi="Times New Roman" w:cs="Times New Roman"/>
              </w:rPr>
            </w:pPr>
            <w:r w:rsidRPr="00EB27A4">
              <w:rPr>
                <w:rFonts w:ascii="Times New Roman" w:eastAsia="Times New Roman" w:hAnsi="Times New Roman" w:cs="Times New Roman"/>
              </w:rPr>
              <w:t>Porphyry Cu–Au / magmatic-hydrothermal systems</w:t>
            </w:r>
          </w:p>
        </w:tc>
        <w:tc>
          <w:tcPr>
            <w:tcW w:w="0" w:type="auto"/>
            <w:hideMark/>
          </w:tcPr>
          <w:p w14:paraId="2E8F34EB" w14:textId="77777777" w:rsidR="006167C1" w:rsidRPr="00EB27A4" w:rsidRDefault="006167C1" w:rsidP="006167C1">
            <w:pPr>
              <w:rPr>
                <w:rFonts w:ascii="Times New Roman" w:eastAsia="Times New Roman" w:hAnsi="Times New Roman" w:cs="Times New Roman"/>
              </w:rPr>
            </w:pPr>
            <w:r w:rsidRPr="00EB27A4">
              <w:rPr>
                <w:rFonts w:ascii="Times New Roman" w:eastAsia="Times New Roman" w:hAnsi="Times New Roman" w:cs="Times New Roman"/>
              </w:rPr>
              <w:t>Preserves redox and fertility signals in magmatic systems</w:t>
            </w:r>
          </w:p>
        </w:tc>
        <w:tc>
          <w:tcPr>
            <w:tcW w:w="0" w:type="auto"/>
            <w:hideMark/>
          </w:tcPr>
          <w:p w14:paraId="46EDF906" w14:textId="77777777" w:rsidR="006167C1" w:rsidRPr="00EB27A4" w:rsidRDefault="006167C1" w:rsidP="006167C1">
            <w:pPr>
              <w:rPr>
                <w:rFonts w:ascii="Times New Roman" w:eastAsia="Times New Roman" w:hAnsi="Times New Roman" w:cs="Times New Roman"/>
              </w:rPr>
            </w:pPr>
            <w:r w:rsidRPr="00EB27A4">
              <w:rPr>
                <w:rFonts w:ascii="Times New Roman" w:eastAsia="Times New Roman" w:hAnsi="Times New Roman" w:cs="Times New Roman"/>
              </w:rPr>
              <w:t>Useful in assessing magma oxidation state and ore-forming potential</w:t>
            </w:r>
          </w:p>
        </w:tc>
        <w:tc>
          <w:tcPr>
            <w:tcW w:w="0" w:type="auto"/>
            <w:hideMark/>
          </w:tcPr>
          <w:p w14:paraId="327727B8" w14:textId="77777777" w:rsidR="006167C1" w:rsidRPr="00EB27A4" w:rsidRDefault="006167C1" w:rsidP="006167C1">
            <w:pPr>
              <w:rPr>
                <w:rFonts w:ascii="Times New Roman" w:eastAsia="Times New Roman" w:hAnsi="Times New Roman" w:cs="Times New Roman"/>
              </w:rPr>
            </w:pPr>
            <w:r w:rsidRPr="00EB27A4">
              <w:rPr>
                <w:rFonts w:ascii="Times New Roman" w:eastAsia="Times New Roman" w:hAnsi="Times New Roman" w:cs="Times New Roman"/>
              </w:rPr>
              <w:t>Ballard et al. (2002); Lu et al. (2016)</w:t>
            </w:r>
          </w:p>
        </w:tc>
      </w:tr>
    </w:tbl>
    <w:p w14:paraId="29790346" w14:textId="77777777" w:rsidR="006167C1" w:rsidRDefault="006167C1" w:rsidP="003F5F64">
      <w:pPr>
        <w:spacing w:before="100" w:beforeAutospacing="1" w:after="100" w:afterAutospacing="1" w:line="240" w:lineRule="auto"/>
        <w:jc w:val="both"/>
        <w:rPr>
          <w:rFonts w:ascii="Times New Roman" w:eastAsia="Times New Roman" w:hAnsi="Times New Roman" w:cs="Times New Roman"/>
          <w:sz w:val="24"/>
          <w:szCs w:val="24"/>
        </w:rPr>
        <w:sectPr w:rsidR="006167C1" w:rsidSect="006167C1">
          <w:headerReference w:type="even" r:id="rId7"/>
          <w:headerReference w:type="default" r:id="rId8"/>
          <w:footerReference w:type="even" r:id="rId9"/>
          <w:footerReference w:type="default" r:id="rId10"/>
          <w:headerReference w:type="first" r:id="rId11"/>
          <w:footerReference w:type="first" r:id="rId12"/>
          <w:type w:val="continuous"/>
          <w:pgSz w:w="12240" w:h="15840"/>
          <w:pgMar w:top="1440" w:right="1440" w:bottom="1440" w:left="1440" w:header="720" w:footer="720" w:gutter="0"/>
          <w:cols w:space="720"/>
          <w:docGrid w:linePitch="360"/>
        </w:sectPr>
      </w:pPr>
    </w:p>
    <w:p w14:paraId="227F5BC3" w14:textId="77777777" w:rsidR="00777BC5" w:rsidRDefault="00777BC5" w:rsidP="003F5F64">
      <w:pPr>
        <w:spacing w:before="100" w:beforeAutospacing="1" w:after="100" w:afterAutospacing="1" w:line="240" w:lineRule="auto"/>
        <w:jc w:val="both"/>
        <w:rPr>
          <w:rFonts w:ascii="Times New Roman" w:eastAsia="Times New Roman" w:hAnsi="Times New Roman" w:cs="Times New Roman"/>
          <w:sz w:val="24"/>
          <w:szCs w:val="24"/>
        </w:rPr>
        <w:sectPr w:rsidR="00777BC5" w:rsidSect="006167C1">
          <w:type w:val="continuous"/>
          <w:pgSz w:w="12240" w:h="15840"/>
          <w:pgMar w:top="1440" w:right="1440" w:bottom="1440" w:left="1440" w:header="720" w:footer="720" w:gutter="0"/>
          <w:cols w:space="720"/>
          <w:docGrid w:linePitch="360"/>
        </w:sectPr>
      </w:pPr>
    </w:p>
    <w:p w14:paraId="0AF01EAF" w14:textId="77777777" w:rsidR="003F5F64" w:rsidRDefault="00153932" w:rsidP="003F5F64">
      <w:pPr>
        <w:spacing w:before="100" w:beforeAutospacing="1" w:after="100" w:afterAutospacing="1" w:line="240" w:lineRule="auto"/>
        <w:jc w:val="both"/>
        <w:rPr>
          <w:rFonts w:ascii="Times New Roman" w:eastAsia="Times New Roman" w:hAnsi="Times New Roman" w:cs="Times New Roman"/>
          <w:sz w:val="24"/>
          <w:szCs w:val="24"/>
        </w:rPr>
      </w:pPr>
      <w:r w:rsidRPr="003F5F64">
        <w:rPr>
          <w:rFonts w:ascii="Times New Roman" w:eastAsia="Times New Roman" w:hAnsi="Times New Roman" w:cs="Times New Roman"/>
          <w:sz w:val="24"/>
          <w:szCs w:val="24"/>
        </w:rPr>
        <w:t xml:space="preserve">These </w:t>
      </w:r>
      <w:proofErr w:type="spellStart"/>
      <w:r w:rsidRPr="003F5F64">
        <w:rPr>
          <w:rFonts w:ascii="Times New Roman" w:eastAsia="Times New Roman" w:hAnsi="Times New Roman" w:cs="Times New Roman"/>
          <w:sz w:val="24"/>
          <w:szCs w:val="24"/>
        </w:rPr>
        <w:t>isograds</w:t>
      </w:r>
      <w:proofErr w:type="spellEnd"/>
      <w:r w:rsidRPr="003F5F64">
        <w:rPr>
          <w:rFonts w:ascii="Times New Roman" w:eastAsia="Times New Roman" w:hAnsi="Times New Roman" w:cs="Times New Roman"/>
          <w:sz w:val="24"/>
          <w:szCs w:val="24"/>
        </w:rPr>
        <w:t xml:space="preserve"> reflect dehydration reactions such as the breakdown of chlorite and muscovite, which release water-rich fluids into the surrounding rocks. </w:t>
      </w:r>
      <w:r w:rsidR="003F5F64" w:rsidRPr="003F5F64">
        <w:rPr>
          <w:rFonts w:ascii="Times New Roman" w:eastAsia="Times New Roman" w:hAnsi="Times New Roman" w:cs="Times New Roman"/>
          <w:sz w:val="24"/>
          <w:szCs w:val="24"/>
        </w:rPr>
        <w:t>These fluids are capable of transporting metals and forming hydrothermal ore deposits.</w:t>
      </w:r>
      <w:r w:rsidR="00EF085C">
        <w:rPr>
          <w:rFonts w:ascii="Times New Roman" w:eastAsia="Times New Roman" w:hAnsi="Times New Roman" w:cs="Times New Roman"/>
          <w:sz w:val="24"/>
          <w:szCs w:val="24"/>
        </w:rPr>
        <w:t xml:space="preserve"> </w:t>
      </w:r>
      <w:r w:rsidR="003F5F64" w:rsidRPr="003F5F64">
        <w:rPr>
          <w:rFonts w:ascii="Times New Roman" w:eastAsia="Times New Roman" w:hAnsi="Times New Roman" w:cs="Times New Roman"/>
          <w:sz w:val="24"/>
          <w:szCs w:val="24"/>
        </w:rPr>
        <w:t>As a result, the spatial distribution of metamorphic zones often corresponds to zones of fluid generation and metal transport. Mapping these zones therefore allows exploration geologists to reconstruct the thermal structure of mineral systems and identify areas where ore formation is most likely to occur.</w:t>
      </w:r>
      <w:r w:rsidR="00EF085C">
        <w:rPr>
          <w:rFonts w:ascii="Times New Roman" w:eastAsia="Times New Roman" w:hAnsi="Times New Roman" w:cs="Times New Roman"/>
          <w:sz w:val="24"/>
          <w:szCs w:val="24"/>
        </w:rPr>
        <w:t xml:space="preserve"> </w:t>
      </w:r>
    </w:p>
    <w:p w14:paraId="38D5E70E" w14:textId="77777777" w:rsidR="00153932" w:rsidRPr="003F5F64" w:rsidRDefault="00EF085C" w:rsidP="00153932">
      <w:pPr>
        <w:spacing w:before="100" w:beforeAutospacing="1" w:after="100" w:afterAutospacing="1" w:line="240" w:lineRule="auto"/>
        <w:jc w:val="both"/>
        <w:rPr>
          <w:rFonts w:ascii="Times New Roman" w:eastAsia="Times New Roman" w:hAnsi="Times New Roman" w:cs="Times New Roman"/>
          <w:sz w:val="24"/>
          <w:szCs w:val="24"/>
        </w:rPr>
      </w:pPr>
      <w:r w:rsidRPr="00EF085C">
        <w:rPr>
          <w:rFonts w:ascii="Times New Roman" w:hAnsi="Times New Roman" w:cs="Times New Roman"/>
          <w:sz w:val="24"/>
          <w:szCs w:val="24"/>
        </w:rPr>
        <w:t xml:space="preserve">The conceptual </w:t>
      </w:r>
      <w:proofErr w:type="gramStart"/>
      <w:r w:rsidRPr="00EF085C">
        <w:rPr>
          <w:rFonts w:ascii="Times New Roman" w:hAnsi="Times New Roman" w:cs="Times New Roman"/>
          <w:sz w:val="24"/>
          <w:szCs w:val="24"/>
        </w:rPr>
        <w:t xml:space="preserve">model </w:t>
      </w:r>
      <w:r w:rsidR="00434842">
        <w:rPr>
          <w:rFonts w:ascii="Times New Roman" w:hAnsi="Times New Roman" w:cs="Times New Roman"/>
          <w:sz w:val="24"/>
          <w:szCs w:val="24"/>
        </w:rPr>
        <w:t xml:space="preserve"> (</w:t>
      </w:r>
      <w:proofErr w:type="gramEnd"/>
      <w:r w:rsidR="00434842">
        <w:rPr>
          <w:rFonts w:ascii="Times New Roman" w:hAnsi="Times New Roman" w:cs="Times New Roman"/>
          <w:sz w:val="24"/>
          <w:szCs w:val="24"/>
        </w:rPr>
        <w:t xml:space="preserve">Figure 1) </w:t>
      </w:r>
      <w:r w:rsidRPr="00EF085C">
        <w:rPr>
          <w:rFonts w:ascii="Times New Roman" w:hAnsi="Times New Roman" w:cs="Times New Roman"/>
          <w:sz w:val="24"/>
          <w:szCs w:val="24"/>
        </w:rPr>
        <w:t xml:space="preserve">illustrates how metamorphic processes contribute to the formation and localization of mineral deposits within the continental crust. It integrates metamorphic petrology, structural geology, and hydrothermal fluid flow to explain the spatial </w:t>
      </w:r>
      <w:r w:rsidRPr="00EF085C">
        <w:rPr>
          <w:rFonts w:ascii="Times New Roman" w:hAnsi="Times New Roman" w:cs="Times New Roman"/>
          <w:sz w:val="24"/>
          <w:szCs w:val="24"/>
        </w:rPr>
        <w:lastRenderedPageBreak/>
        <w:t>distribution of mineralization.</w:t>
      </w:r>
      <w:r>
        <w:rPr>
          <w:rFonts w:ascii="Times New Roman" w:hAnsi="Times New Roman" w:cs="Times New Roman"/>
          <w:sz w:val="24"/>
          <w:szCs w:val="24"/>
        </w:rPr>
        <w:t xml:space="preserve"> </w:t>
      </w:r>
      <w:r w:rsidRPr="00EF085C">
        <w:rPr>
          <w:rFonts w:ascii="Times New Roman" w:hAnsi="Times New Roman" w:cs="Times New Roman"/>
          <w:sz w:val="24"/>
          <w:szCs w:val="24"/>
        </w:rPr>
        <w:t>Progressive metamorphism from greenschist to amphibolite and higher-grade facies r</w:t>
      </w:r>
      <w:r w:rsidR="00777BC5">
        <w:rPr>
          <w:rFonts w:ascii="Times New Roman" w:hAnsi="Times New Roman" w:cs="Times New Roman"/>
          <w:sz w:val="24"/>
          <w:szCs w:val="24"/>
        </w:rPr>
        <w:t xml:space="preserve">esults in dehydration </w:t>
      </w:r>
      <w:r w:rsidR="00153932">
        <w:rPr>
          <w:rFonts w:ascii="Times New Roman" w:hAnsi="Times New Roman" w:cs="Times New Roman"/>
          <w:sz w:val="24"/>
          <w:szCs w:val="24"/>
        </w:rPr>
        <w:t>reactions that</w:t>
      </w:r>
      <w:r w:rsidR="00153932" w:rsidRPr="00EF085C">
        <w:rPr>
          <w:rFonts w:ascii="Times New Roman" w:hAnsi="Times New Roman" w:cs="Times New Roman"/>
          <w:sz w:val="24"/>
          <w:szCs w:val="24"/>
        </w:rPr>
        <w:t xml:space="preserve"> release metamorphic fluids from deep crustal source zones. These fluids migrate upward through major faults and shear zones, forming hydrothermal alteration halos characterized by minerals such as chlorite, white mica, and pyrophyllite. The model highlights the spatial association between the greenschist–amphibolite facies transition and the formation of orogenic gold deposits, while deeper high-grade metamorphic environments are linked to base-metal mineralization such as volcanogenic massive sulfide (VMS) systems. Index minerals including chlorite, biotite, garnet, staurolite, kyanite, and sillimanite delineate metamorphic </w:t>
      </w:r>
      <w:proofErr w:type="spellStart"/>
      <w:r w:rsidR="00153932" w:rsidRPr="00EF085C">
        <w:rPr>
          <w:rFonts w:ascii="Times New Roman" w:hAnsi="Times New Roman" w:cs="Times New Roman"/>
          <w:sz w:val="24"/>
          <w:szCs w:val="24"/>
        </w:rPr>
        <w:t>isograds</w:t>
      </w:r>
      <w:proofErr w:type="spellEnd"/>
      <w:r w:rsidR="00153932" w:rsidRPr="00EF085C">
        <w:rPr>
          <w:rFonts w:ascii="Times New Roman" w:hAnsi="Times New Roman" w:cs="Times New Roman"/>
          <w:sz w:val="24"/>
          <w:szCs w:val="24"/>
        </w:rPr>
        <w:t xml:space="preserve"> and serve as exploration guides for identifying zones of fluid generation and potential mineralization.</w:t>
      </w:r>
    </w:p>
    <w:p w14:paraId="010DE8DE" w14:textId="77777777" w:rsidR="00153932" w:rsidRDefault="00153932" w:rsidP="00153932">
      <w:pPr>
        <w:spacing w:after="0" w:line="240" w:lineRule="auto"/>
        <w:jc w:val="both"/>
        <w:rPr>
          <w:rFonts w:ascii="Times New Roman" w:eastAsia="Times New Roman" w:hAnsi="Times New Roman" w:cs="Times New Roman"/>
          <w:sz w:val="24"/>
          <w:szCs w:val="24"/>
        </w:rPr>
      </w:pPr>
      <w:r w:rsidRPr="00976B39">
        <w:rPr>
          <w:rFonts w:ascii="Times New Roman" w:eastAsia="Times New Roman" w:hAnsi="Times New Roman" w:cs="Times New Roman"/>
          <w:noProof/>
          <w:sz w:val="24"/>
          <w:szCs w:val="24"/>
        </w:rPr>
        <w:drawing>
          <wp:inline distT="0" distB="0" distL="0" distR="0" wp14:anchorId="4A22636F" wp14:editId="244D7FD4">
            <wp:extent cx="5942854" cy="2924355"/>
            <wp:effectExtent l="0" t="0" r="1270" b="0"/>
            <wp:docPr id="3" name="Picture 3" descr="C:\Users\GSU\Desktop\db96ed2e-d83a-4893-a158-254dc0b549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GSU\Desktop\db96ed2e-d83a-4893-a158-254dc0b54943.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9793"/>
                    <a:stretch/>
                  </pic:blipFill>
                  <pic:spPr bwMode="auto">
                    <a:xfrm>
                      <a:off x="0" y="0"/>
                      <a:ext cx="5944990" cy="2925406"/>
                    </a:xfrm>
                    <a:prstGeom prst="rect">
                      <a:avLst/>
                    </a:prstGeom>
                    <a:noFill/>
                    <a:ln>
                      <a:noFill/>
                    </a:ln>
                    <a:extLst>
                      <a:ext uri="{53640926-AAD7-44D8-BBD7-CCE9431645EC}">
                        <a14:shadowObscured xmlns:a14="http://schemas.microsoft.com/office/drawing/2010/main"/>
                      </a:ext>
                    </a:extLst>
                  </pic:spPr>
                </pic:pic>
              </a:graphicData>
            </a:graphic>
          </wp:inline>
        </w:drawing>
      </w:r>
    </w:p>
    <w:p w14:paraId="0DAB4BE4" w14:textId="77777777" w:rsidR="009060A7" w:rsidRDefault="00434842" w:rsidP="00EB27A4">
      <w:pPr>
        <w:spacing w:after="0" w:line="240" w:lineRule="auto"/>
        <w:jc w:val="both"/>
        <w:rPr>
          <w:rStyle w:val="Strong"/>
          <w:rFonts w:ascii="Times New Roman" w:hAnsi="Times New Roman" w:cs="Times New Roman"/>
          <w:b w:val="0"/>
        </w:rPr>
      </w:pPr>
      <w:r w:rsidRPr="00434842">
        <w:rPr>
          <w:rStyle w:val="Strong"/>
          <w:rFonts w:ascii="Times New Roman" w:hAnsi="Times New Roman" w:cs="Times New Roman"/>
          <w:b w:val="0"/>
        </w:rPr>
        <w:t>Figure 1</w:t>
      </w:r>
      <w:r w:rsidR="00153932" w:rsidRPr="00434842">
        <w:rPr>
          <w:rStyle w:val="Strong"/>
          <w:rFonts w:ascii="Times New Roman" w:hAnsi="Times New Roman" w:cs="Times New Roman"/>
          <w:b w:val="0"/>
        </w:rPr>
        <w:t>. Conceptual metamorphic zoning and mineralization model illustrating the relationship between metamorphic facies, fluid generation, structural conduits, and ore deposition.</w:t>
      </w:r>
    </w:p>
    <w:p w14:paraId="7F8B28FE" w14:textId="77777777" w:rsidR="00EB27A4" w:rsidRPr="00EB27A4" w:rsidRDefault="00EB27A4" w:rsidP="00EB27A4">
      <w:pPr>
        <w:spacing w:after="0" w:line="240" w:lineRule="auto"/>
        <w:jc w:val="both"/>
        <w:rPr>
          <w:rFonts w:ascii="Times New Roman" w:eastAsia="Times New Roman" w:hAnsi="Times New Roman" w:cs="Times New Roman"/>
          <w:b/>
          <w:sz w:val="24"/>
          <w:szCs w:val="24"/>
        </w:rPr>
        <w:sectPr w:rsidR="00EB27A4" w:rsidRPr="00EB27A4" w:rsidSect="006167C1">
          <w:type w:val="continuous"/>
          <w:pgSz w:w="12240" w:h="15840"/>
          <w:pgMar w:top="1440" w:right="1440" w:bottom="1440" w:left="1440" w:header="720" w:footer="720" w:gutter="0"/>
          <w:cols w:space="720"/>
          <w:docGrid w:linePitch="360"/>
        </w:sectPr>
      </w:pPr>
    </w:p>
    <w:p w14:paraId="18B08256" w14:textId="77777777" w:rsidR="003F5F64" w:rsidRPr="003F5F64" w:rsidRDefault="003F5F64" w:rsidP="003F5F64">
      <w:pPr>
        <w:spacing w:before="100" w:beforeAutospacing="1" w:after="100" w:afterAutospacing="1" w:line="240" w:lineRule="auto"/>
        <w:jc w:val="both"/>
        <w:outlineLvl w:val="1"/>
        <w:rPr>
          <w:rFonts w:ascii="Times New Roman" w:eastAsia="Times New Roman" w:hAnsi="Times New Roman" w:cs="Times New Roman"/>
          <w:b/>
          <w:bCs/>
          <w:sz w:val="24"/>
          <w:szCs w:val="24"/>
        </w:rPr>
      </w:pPr>
      <w:r w:rsidRPr="003F5F64">
        <w:rPr>
          <w:rFonts w:ascii="Times New Roman" w:eastAsia="Times New Roman" w:hAnsi="Times New Roman" w:cs="Times New Roman"/>
          <w:b/>
          <w:bCs/>
          <w:sz w:val="24"/>
          <w:szCs w:val="24"/>
        </w:rPr>
        <w:t>3.2 Orogenic Gold Systems in the Abitibi Greenstone Belt</w:t>
      </w:r>
    </w:p>
    <w:p w14:paraId="4684E83F" w14:textId="77777777" w:rsidR="003F5F64" w:rsidRPr="003F5F64" w:rsidRDefault="003F5F64" w:rsidP="003F5F64">
      <w:pPr>
        <w:spacing w:before="100" w:beforeAutospacing="1" w:after="100" w:afterAutospacing="1" w:line="240" w:lineRule="auto"/>
        <w:jc w:val="both"/>
        <w:rPr>
          <w:rFonts w:ascii="Times New Roman" w:eastAsia="Times New Roman" w:hAnsi="Times New Roman" w:cs="Times New Roman"/>
          <w:sz w:val="24"/>
          <w:szCs w:val="24"/>
        </w:rPr>
      </w:pPr>
      <w:r w:rsidRPr="003F5F64">
        <w:rPr>
          <w:rFonts w:ascii="Times New Roman" w:eastAsia="Times New Roman" w:hAnsi="Times New Roman" w:cs="Times New Roman"/>
          <w:sz w:val="24"/>
          <w:szCs w:val="24"/>
        </w:rPr>
        <w:t xml:space="preserve">The Abitibi Greenstone Belt </w:t>
      </w:r>
      <w:r w:rsidR="00A7123C">
        <w:rPr>
          <w:rFonts w:ascii="Times New Roman" w:eastAsia="Times New Roman" w:hAnsi="Times New Roman" w:cs="Times New Roman"/>
          <w:sz w:val="24"/>
          <w:szCs w:val="24"/>
        </w:rPr>
        <w:t xml:space="preserve">(Figure </w:t>
      </w:r>
      <w:proofErr w:type="gramStart"/>
      <w:r w:rsidR="00A7123C">
        <w:rPr>
          <w:rFonts w:ascii="Times New Roman" w:eastAsia="Times New Roman" w:hAnsi="Times New Roman" w:cs="Times New Roman"/>
          <w:sz w:val="24"/>
          <w:szCs w:val="24"/>
        </w:rPr>
        <w:t>2)</w:t>
      </w:r>
      <w:r w:rsidRPr="003F5F64">
        <w:rPr>
          <w:rFonts w:ascii="Times New Roman" w:eastAsia="Times New Roman" w:hAnsi="Times New Roman" w:cs="Times New Roman"/>
          <w:sz w:val="24"/>
          <w:szCs w:val="24"/>
        </w:rPr>
        <w:t>is</w:t>
      </w:r>
      <w:proofErr w:type="gramEnd"/>
      <w:r w:rsidRPr="003F5F64">
        <w:rPr>
          <w:rFonts w:ascii="Times New Roman" w:eastAsia="Times New Roman" w:hAnsi="Times New Roman" w:cs="Times New Roman"/>
          <w:sz w:val="24"/>
          <w:szCs w:val="24"/>
        </w:rPr>
        <w:t xml:space="preserve"> one of the most productive gold provinces in the world and hosts major mining camps such as Timmins and Val-d’Or. Studies have shown that many of the region’s gold deposits formed near the boundary between greenschist and amphibolite facies metamorphism (Phillips &amp; Powell, 2010).</w:t>
      </w:r>
      <w:r w:rsidR="004A7BF6">
        <w:rPr>
          <w:rFonts w:ascii="Times New Roman" w:eastAsia="Times New Roman" w:hAnsi="Times New Roman" w:cs="Times New Roman"/>
          <w:sz w:val="24"/>
          <w:szCs w:val="24"/>
        </w:rPr>
        <w:t xml:space="preserve"> </w:t>
      </w:r>
      <w:r w:rsidR="004A7BF6" w:rsidRPr="004A7BF6">
        <w:rPr>
          <w:rFonts w:ascii="Times New Roman" w:eastAsia="Times New Roman" w:hAnsi="Times New Roman" w:cs="Times New Roman"/>
          <w:sz w:val="24"/>
          <w:szCs w:val="24"/>
        </w:rPr>
        <w:t xml:space="preserve">The Abitibi </w:t>
      </w:r>
      <w:proofErr w:type="spellStart"/>
      <w:r w:rsidR="004A7BF6" w:rsidRPr="004A7BF6">
        <w:rPr>
          <w:rFonts w:ascii="Times New Roman" w:eastAsia="Times New Roman" w:hAnsi="Times New Roman" w:cs="Times New Roman"/>
          <w:sz w:val="24"/>
          <w:szCs w:val="24"/>
        </w:rPr>
        <w:t>Subprovince</w:t>
      </w:r>
      <w:proofErr w:type="spellEnd"/>
      <w:r w:rsidR="004A7BF6" w:rsidRPr="004A7BF6">
        <w:rPr>
          <w:rFonts w:ascii="Times New Roman" w:eastAsia="Times New Roman" w:hAnsi="Times New Roman" w:cs="Times New Roman"/>
          <w:sz w:val="24"/>
          <w:szCs w:val="24"/>
        </w:rPr>
        <w:t xml:space="preserve"> forms the southeastern portion of the Superior Province and constitutes the largest greenstone belt of the Canadian Shield, extending approximately 700 km by 300 km. Its early volcano–plutonic development occurred between ~2750 and 2690 Ma (Corfu, 1993; Ayer et al., 2002). In the southern Abitibi Belt, the stratigraphy is dominated by metavolcanic rocks of the Blake River, </w:t>
      </w:r>
      <w:proofErr w:type="spellStart"/>
      <w:r w:rsidR="004A7BF6" w:rsidRPr="004A7BF6">
        <w:rPr>
          <w:rFonts w:ascii="Times New Roman" w:eastAsia="Times New Roman" w:hAnsi="Times New Roman" w:cs="Times New Roman"/>
          <w:sz w:val="24"/>
          <w:szCs w:val="24"/>
        </w:rPr>
        <w:t>Piché</w:t>
      </w:r>
      <w:proofErr w:type="spellEnd"/>
      <w:r w:rsidR="004A7BF6" w:rsidRPr="004A7BF6">
        <w:rPr>
          <w:rFonts w:ascii="Times New Roman" w:eastAsia="Times New Roman" w:hAnsi="Times New Roman" w:cs="Times New Roman"/>
          <w:sz w:val="24"/>
          <w:szCs w:val="24"/>
        </w:rPr>
        <w:t xml:space="preserve">, and </w:t>
      </w:r>
      <w:proofErr w:type="spellStart"/>
      <w:r w:rsidR="004A7BF6" w:rsidRPr="004A7BF6">
        <w:rPr>
          <w:rFonts w:ascii="Times New Roman" w:eastAsia="Times New Roman" w:hAnsi="Times New Roman" w:cs="Times New Roman"/>
          <w:sz w:val="24"/>
          <w:szCs w:val="24"/>
        </w:rPr>
        <w:t>Malartic</w:t>
      </w:r>
      <w:proofErr w:type="spellEnd"/>
      <w:r w:rsidR="004A7BF6" w:rsidRPr="004A7BF6">
        <w:rPr>
          <w:rFonts w:ascii="Times New Roman" w:eastAsia="Times New Roman" w:hAnsi="Times New Roman" w:cs="Times New Roman"/>
          <w:sz w:val="24"/>
          <w:szCs w:val="24"/>
        </w:rPr>
        <w:t xml:space="preserve"> groups, which range from ultramafic to felsic compositions and exhibit both tholeiitic and calc-alkaline geochemical affinities (Goodwin, 1982; Corfu, 1993; Daigneault et al., 2002; McNicoll et al., 2014).</w:t>
      </w:r>
    </w:p>
    <w:p w14:paraId="73CE8BE8" w14:textId="77777777" w:rsidR="005A229D" w:rsidRDefault="005A229D" w:rsidP="003F5F64">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4C2DAE13" wp14:editId="0F7BE260">
            <wp:extent cx="5796915" cy="2432649"/>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36201" cy="2449135"/>
                    </a:xfrm>
                    <a:prstGeom prst="rect">
                      <a:avLst/>
                    </a:prstGeom>
                    <a:noFill/>
                    <a:ln>
                      <a:noFill/>
                    </a:ln>
                  </pic:spPr>
                </pic:pic>
              </a:graphicData>
            </a:graphic>
          </wp:inline>
        </w:drawing>
      </w:r>
    </w:p>
    <w:p w14:paraId="55DA2703" w14:textId="77777777" w:rsidR="00434842" w:rsidRPr="00AE4E8B" w:rsidRDefault="004A7BF6" w:rsidP="004A7BF6">
      <w:pPr>
        <w:spacing w:before="100" w:beforeAutospacing="1" w:after="100" w:afterAutospacing="1" w:line="240" w:lineRule="auto"/>
        <w:jc w:val="both"/>
        <w:rPr>
          <w:rFonts w:ascii="Times New Roman" w:eastAsia="Times New Roman" w:hAnsi="Times New Roman" w:cs="Times New Roman"/>
          <w:sz w:val="24"/>
          <w:szCs w:val="24"/>
        </w:rPr>
      </w:pPr>
      <w:r w:rsidRPr="00AE4E8B">
        <w:rPr>
          <w:rFonts w:ascii="Times New Roman" w:eastAsia="Times New Roman" w:hAnsi="Times New Roman" w:cs="Times New Roman"/>
          <w:sz w:val="24"/>
          <w:szCs w:val="24"/>
        </w:rPr>
        <w:t xml:space="preserve">Figure </w:t>
      </w:r>
      <w:r w:rsidR="00434842" w:rsidRPr="00AE4E8B">
        <w:rPr>
          <w:rFonts w:ascii="Times New Roman" w:eastAsia="Times New Roman" w:hAnsi="Times New Roman" w:cs="Times New Roman"/>
          <w:sz w:val="24"/>
          <w:szCs w:val="24"/>
        </w:rPr>
        <w:t>2</w:t>
      </w:r>
      <w:r w:rsidR="00AE4E8B" w:rsidRPr="00AE4E8B">
        <w:rPr>
          <w:rFonts w:ascii="Times New Roman" w:eastAsia="Times New Roman" w:hAnsi="Times New Roman" w:cs="Times New Roman"/>
          <w:sz w:val="24"/>
          <w:szCs w:val="24"/>
        </w:rPr>
        <w:t xml:space="preserve"> </w:t>
      </w:r>
      <w:r w:rsidR="00AE4E8B" w:rsidRPr="00AE4E8B">
        <w:rPr>
          <w:rFonts w:ascii="Times New Roman" w:hAnsi="Times New Roman" w:cs="Times New Roman"/>
          <w:color w:val="000000"/>
          <w:sz w:val="24"/>
          <w:szCs w:val="24"/>
          <w:shd w:val="clear" w:color="auto" w:fill="FFFFFF"/>
        </w:rPr>
        <w:t xml:space="preserve">The Abitibi Greenstone Belt ("Abitibi Belt"), in the Superior Province of the Canadian </w:t>
      </w:r>
      <w:proofErr w:type="gramStart"/>
      <w:r w:rsidR="00AE4E8B" w:rsidRPr="00AE4E8B">
        <w:rPr>
          <w:rFonts w:ascii="Times New Roman" w:hAnsi="Times New Roman" w:cs="Times New Roman"/>
          <w:color w:val="000000"/>
          <w:sz w:val="24"/>
          <w:szCs w:val="24"/>
          <w:shd w:val="clear" w:color="auto" w:fill="FFFFFF"/>
        </w:rPr>
        <w:t>Shield</w:t>
      </w:r>
      <w:r w:rsidR="00434842" w:rsidRPr="00AE4E8B">
        <w:rPr>
          <w:rFonts w:ascii="Times New Roman" w:eastAsia="Times New Roman" w:hAnsi="Times New Roman" w:cs="Times New Roman"/>
          <w:sz w:val="24"/>
          <w:szCs w:val="24"/>
        </w:rPr>
        <w:t xml:space="preserve"> </w:t>
      </w:r>
      <w:r w:rsidR="00580679">
        <w:rPr>
          <w:rFonts w:ascii="Times New Roman" w:eastAsia="Times New Roman" w:hAnsi="Times New Roman" w:cs="Times New Roman"/>
          <w:sz w:val="24"/>
          <w:szCs w:val="24"/>
        </w:rPr>
        <w:t xml:space="preserve"> (</w:t>
      </w:r>
      <w:proofErr w:type="gramEnd"/>
      <w:r w:rsidR="00580679">
        <w:rPr>
          <w:rFonts w:ascii="Times New Roman" w:eastAsia="Times New Roman" w:hAnsi="Times New Roman" w:cs="Times New Roman"/>
          <w:sz w:val="24"/>
          <w:szCs w:val="24"/>
        </w:rPr>
        <w:t xml:space="preserve">after </w:t>
      </w:r>
      <w:r w:rsidR="00580679" w:rsidRPr="004A7BF6">
        <w:rPr>
          <w:rFonts w:ascii="Times New Roman" w:eastAsia="Times New Roman" w:hAnsi="Times New Roman" w:cs="Times New Roman"/>
          <w:sz w:val="24"/>
          <w:szCs w:val="24"/>
        </w:rPr>
        <w:t>Robert, 2001</w:t>
      </w:r>
      <w:r w:rsidR="00580679">
        <w:rPr>
          <w:rFonts w:ascii="Times New Roman" w:eastAsia="Times New Roman" w:hAnsi="Times New Roman" w:cs="Times New Roman"/>
          <w:sz w:val="24"/>
          <w:szCs w:val="24"/>
        </w:rPr>
        <w:t>)</w:t>
      </w:r>
    </w:p>
    <w:p w14:paraId="2D176EF0" w14:textId="77777777" w:rsidR="004A7BF6" w:rsidRPr="004A7BF6" w:rsidRDefault="004A7BF6" w:rsidP="004A7BF6">
      <w:pPr>
        <w:spacing w:before="100" w:beforeAutospacing="1" w:after="100" w:afterAutospacing="1" w:line="240" w:lineRule="auto"/>
        <w:jc w:val="both"/>
        <w:rPr>
          <w:rFonts w:ascii="Times New Roman" w:eastAsia="Times New Roman" w:hAnsi="Times New Roman" w:cs="Times New Roman"/>
          <w:sz w:val="24"/>
          <w:szCs w:val="24"/>
        </w:rPr>
      </w:pPr>
      <w:r w:rsidRPr="004A7BF6">
        <w:rPr>
          <w:rFonts w:ascii="Times New Roman" w:eastAsia="Times New Roman" w:hAnsi="Times New Roman" w:cs="Times New Roman"/>
          <w:sz w:val="24"/>
          <w:szCs w:val="24"/>
        </w:rPr>
        <w:t>The structural evolution of the southern Abitibi Belt involves multiple deformation phases. The earliest event (D1) produced east–west trending folds and localized thrusting associated with north–south shortening between ~2687 and 2680 Ma (Robert, 2001). This deformation coincided with the emplacement of late tonalite–trondhjemite intrusions dated at ~2685 Ma (Corfu et al., 1991; Sutcliffe et al., 1993). Subsequent uplift and erosion led to the deposition of Timiskaming-type fluvial–alluvial sediments between ~2676 and 2670 Ma, contemporaneous with the emplacement of early syn-tectonic alkaline plutons (Corfu et al., 1991; Ayer et al., 2005).</w:t>
      </w:r>
    </w:p>
    <w:p w14:paraId="7707C6A6" w14:textId="77777777" w:rsidR="004A7BF6" w:rsidRPr="004A7BF6" w:rsidRDefault="004A7BF6" w:rsidP="004A7BF6">
      <w:pPr>
        <w:spacing w:before="100" w:beforeAutospacing="1" w:after="100" w:afterAutospacing="1" w:line="240" w:lineRule="auto"/>
        <w:jc w:val="both"/>
        <w:rPr>
          <w:rFonts w:ascii="Times New Roman" w:eastAsia="Times New Roman" w:hAnsi="Times New Roman" w:cs="Times New Roman"/>
          <w:sz w:val="24"/>
          <w:szCs w:val="24"/>
        </w:rPr>
      </w:pPr>
      <w:r w:rsidRPr="004A7BF6">
        <w:rPr>
          <w:rFonts w:ascii="Times New Roman" w:eastAsia="Times New Roman" w:hAnsi="Times New Roman" w:cs="Times New Roman"/>
          <w:sz w:val="24"/>
          <w:szCs w:val="24"/>
        </w:rPr>
        <w:t xml:space="preserve">Later tectonic events include north-over-south thrusting (D2), followed by dextral </w:t>
      </w:r>
      <w:proofErr w:type="spellStart"/>
      <w:r w:rsidRPr="004A7BF6">
        <w:rPr>
          <w:rFonts w:ascii="Times New Roman" w:eastAsia="Times New Roman" w:hAnsi="Times New Roman" w:cs="Times New Roman"/>
          <w:sz w:val="24"/>
          <w:szCs w:val="24"/>
        </w:rPr>
        <w:t>transpression</w:t>
      </w:r>
      <w:proofErr w:type="spellEnd"/>
      <w:r w:rsidRPr="004A7BF6">
        <w:rPr>
          <w:rFonts w:ascii="Times New Roman" w:eastAsia="Times New Roman" w:hAnsi="Times New Roman" w:cs="Times New Roman"/>
          <w:sz w:val="24"/>
          <w:szCs w:val="24"/>
        </w:rPr>
        <w:t xml:space="preserve"> and localized renewed thrusting (D3) between ~2673 and 2660 Ma (Robert, 2001; Daigneault et al., 2004). These deformation phases are responsible for the development of the Cadillac–Larder Lake Fault Zone (CLLFZ), a major crustal-scale structure associated with regional gold mineralization. Evidence of post-deformational uplift and extensional movement around ~2660 Ma has been documented in the </w:t>
      </w:r>
      <w:proofErr w:type="spellStart"/>
      <w:r w:rsidRPr="004A7BF6">
        <w:rPr>
          <w:rFonts w:ascii="Times New Roman" w:eastAsia="Times New Roman" w:hAnsi="Times New Roman" w:cs="Times New Roman"/>
          <w:sz w:val="24"/>
          <w:szCs w:val="24"/>
        </w:rPr>
        <w:t>Malartic</w:t>
      </w:r>
      <w:proofErr w:type="spellEnd"/>
      <w:r w:rsidRPr="004A7BF6">
        <w:rPr>
          <w:rFonts w:ascii="Times New Roman" w:eastAsia="Times New Roman" w:hAnsi="Times New Roman" w:cs="Times New Roman"/>
          <w:sz w:val="24"/>
          <w:szCs w:val="24"/>
        </w:rPr>
        <w:t xml:space="preserve"> segment, while continued tectonic activity along the CLLFZ persisted until ~2643 Ma, as indicated by the emplacement of the Lamotte Pluton (Daigneault et al., 2004).</w:t>
      </w:r>
    </w:p>
    <w:p w14:paraId="005CC9DE" w14:textId="77777777" w:rsidR="004A7BF6" w:rsidRDefault="004A7BF6" w:rsidP="004A7BF6">
      <w:pPr>
        <w:spacing w:before="100" w:beforeAutospacing="1" w:after="100" w:afterAutospacing="1" w:line="240" w:lineRule="auto"/>
        <w:jc w:val="both"/>
        <w:rPr>
          <w:rFonts w:ascii="Times New Roman" w:eastAsia="Times New Roman" w:hAnsi="Times New Roman" w:cs="Times New Roman"/>
          <w:sz w:val="24"/>
          <w:szCs w:val="24"/>
        </w:rPr>
      </w:pPr>
      <w:r w:rsidRPr="004A7BF6">
        <w:rPr>
          <w:rFonts w:ascii="Times New Roman" w:eastAsia="Times New Roman" w:hAnsi="Times New Roman" w:cs="Times New Roman"/>
          <w:sz w:val="24"/>
          <w:szCs w:val="24"/>
        </w:rPr>
        <w:t>The tectonic evolution of the Abitibi Greenstone Belt remains debated. Plate tectonic models propose that its crustal architecture formed through oblique plate convergence during a ~60 Ma polyphase deformation history (Daigneault et al., 2004). Alternatively, some studies attribute Archean crustal formation and deformation to mantle-driven or gravity-controlled processes within a hotter early Earth l</w:t>
      </w:r>
      <w:r w:rsidR="003312E3">
        <w:rPr>
          <w:rFonts w:ascii="Times New Roman" w:eastAsia="Times New Roman" w:hAnsi="Times New Roman" w:cs="Times New Roman"/>
          <w:sz w:val="24"/>
          <w:szCs w:val="24"/>
        </w:rPr>
        <w:t>ithosphere (</w:t>
      </w:r>
      <w:proofErr w:type="spellStart"/>
      <w:r w:rsidRPr="004A7BF6">
        <w:rPr>
          <w:rFonts w:ascii="Times New Roman" w:eastAsia="Times New Roman" w:hAnsi="Times New Roman" w:cs="Times New Roman"/>
          <w:sz w:val="24"/>
          <w:szCs w:val="24"/>
        </w:rPr>
        <w:t>Thébaud</w:t>
      </w:r>
      <w:proofErr w:type="spellEnd"/>
      <w:r w:rsidRPr="004A7BF6">
        <w:rPr>
          <w:rFonts w:ascii="Times New Roman" w:eastAsia="Times New Roman" w:hAnsi="Times New Roman" w:cs="Times New Roman"/>
          <w:sz w:val="24"/>
          <w:szCs w:val="24"/>
        </w:rPr>
        <w:t xml:space="preserve"> &amp; Rey, 2013; Bédard</w:t>
      </w:r>
      <w:r w:rsidR="003312E3">
        <w:rPr>
          <w:rFonts w:ascii="Times New Roman" w:eastAsia="Times New Roman" w:hAnsi="Times New Roman" w:cs="Times New Roman"/>
          <w:sz w:val="24"/>
          <w:szCs w:val="24"/>
        </w:rPr>
        <w:t xml:space="preserve"> </w:t>
      </w:r>
      <w:r w:rsidR="003312E3" w:rsidRPr="004A7BF6">
        <w:rPr>
          <w:rFonts w:ascii="Times New Roman" w:eastAsia="Times New Roman" w:hAnsi="Times New Roman" w:cs="Times New Roman"/>
          <w:sz w:val="24"/>
          <w:szCs w:val="24"/>
        </w:rPr>
        <w:t>&amp; Harris</w:t>
      </w:r>
      <w:r w:rsidRPr="004A7BF6">
        <w:rPr>
          <w:rFonts w:ascii="Times New Roman" w:eastAsia="Times New Roman" w:hAnsi="Times New Roman" w:cs="Times New Roman"/>
          <w:sz w:val="24"/>
          <w:szCs w:val="24"/>
        </w:rPr>
        <w:t xml:space="preserve"> 2014). Metamorphic conditions across the belt range from sub-greenschist to lower amphibolite facies, with metamorphism occurring between ~2677 and 2643 Ma (Jolly, 1978; Powell et al., 1995; Dubé &amp; Gosselin, 2007).</w:t>
      </w:r>
      <w:r>
        <w:rPr>
          <w:rFonts w:ascii="Times New Roman" w:eastAsia="Times New Roman" w:hAnsi="Times New Roman" w:cs="Times New Roman"/>
          <w:sz w:val="24"/>
          <w:szCs w:val="24"/>
        </w:rPr>
        <w:t xml:space="preserve"> </w:t>
      </w:r>
      <w:r w:rsidRPr="003F5F64">
        <w:rPr>
          <w:rFonts w:ascii="Times New Roman" w:eastAsia="Times New Roman" w:hAnsi="Times New Roman" w:cs="Times New Roman"/>
          <w:sz w:val="24"/>
          <w:szCs w:val="24"/>
        </w:rPr>
        <w:t>The transition from chlorite-bearing greenschist assemblages to garnet- and biotite-bearing amphibolite assemblages corresponds to dehydration reactions that release significant volumes of metamorphic fluids. These fluids are thought to transport gold along major fault systems where pressure and temperature changes trigger gold precipitation.</w:t>
      </w:r>
      <w:r>
        <w:rPr>
          <w:rFonts w:ascii="Times New Roman" w:eastAsia="Times New Roman" w:hAnsi="Times New Roman" w:cs="Times New Roman"/>
          <w:sz w:val="24"/>
          <w:szCs w:val="24"/>
        </w:rPr>
        <w:t xml:space="preserve"> </w:t>
      </w:r>
      <w:r w:rsidRPr="003F5F64">
        <w:rPr>
          <w:rFonts w:ascii="Times New Roman" w:eastAsia="Times New Roman" w:hAnsi="Times New Roman" w:cs="Times New Roman"/>
          <w:sz w:val="24"/>
          <w:szCs w:val="24"/>
        </w:rPr>
        <w:t xml:space="preserve">The appearance </w:t>
      </w:r>
      <w:r w:rsidRPr="003F5F64">
        <w:rPr>
          <w:rFonts w:ascii="Times New Roman" w:eastAsia="Times New Roman" w:hAnsi="Times New Roman" w:cs="Times New Roman"/>
          <w:sz w:val="24"/>
          <w:szCs w:val="24"/>
        </w:rPr>
        <w:lastRenderedPageBreak/>
        <w:t xml:space="preserve">of garnet in metamorphic rocks therefore represents a key exploration marker known as the “garnet-in” </w:t>
      </w:r>
      <w:proofErr w:type="spellStart"/>
      <w:r w:rsidRPr="003F5F64">
        <w:rPr>
          <w:rFonts w:ascii="Times New Roman" w:eastAsia="Times New Roman" w:hAnsi="Times New Roman" w:cs="Times New Roman"/>
          <w:sz w:val="24"/>
          <w:szCs w:val="24"/>
        </w:rPr>
        <w:t>isograd</w:t>
      </w:r>
      <w:proofErr w:type="spellEnd"/>
      <w:r w:rsidRPr="003F5F64">
        <w:rPr>
          <w:rFonts w:ascii="Times New Roman" w:eastAsia="Times New Roman" w:hAnsi="Times New Roman" w:cs="Times New Roman"/>
          <w:sz w:val="24"/>
          <w:szCs w:val="24"/>
        </w:rPr>
        <w:t>. Exploration geologists often map this boundary to identify zones of maximum fluid flux. Rocks located near this transition commonly host structurally controlled quartz veins containing gold mineralization.</w:t>
      </w:r>
    </w:p>
    <w:p w14:paraId="02B8EAFF" w14:textId="77777777" w:rsidR="003F5F64" w:rsidRPr="003F5F64" w:rsidRDefault="003F5F64" w:rsidP="003F5F64">
      <w:pPr>
        <w:spacing w:before="100" w:beforeAutospacing="1" w:after="100" w:afterAutospacing="1" w:line="240" w:lineRule="auto"/>
        <w:jc w:val="both"/>
        <w:outlineLvl w:val="1"/>
        <w:rPr>
          <w:rFonts w:ascii="Times New Roman" w:eastAsia="Times New Roman" w:hAnsi="Times New Roman" w:cs="Times New Roman"/>
          <w:b/>
          <w:bCs/>
          <w:sz w:val="24"/>
          <w:szCs w:val="24"/>
        </w:rPr>
      </w:pPr>
      <w:r w:rsidRPr="003F5F64">
        <w:rPr>
          <w:rFonts w:ascii="Times New Roman" w:eastAsia="Times New Roman" w:hAnsi="Times New Roman" w:cs="Times New Roman"/>
          <w:b/>
          <w:bCs/>
          <w:sz w:val="24"/>
          <w:szCs w:val="24"/>
        </w:rPr>
        <w:t>3.3 The Broken Hill Pb–Zn–Ag Deposit</w:t>
      </w:r>
    </w:p>
    <w:p w14:paraId="0B1BE599" w14:textId="77777777" w:rsidR="003F5F64" w:rsidRPr="003F5F64" w:rsidRDefault="003F5F64" w:rsidP="003F5F64">
      <w:pPr>
        <w:spacing w:before="100" w:beforeAutospacing="1" w:after="100" w:afterAutospacing="1" w:line="240" w:lineRule="auto"/>
        <w:jc w:val="both"/>
        <w:rPr>
          <w:rFonts w:ascii="Times New Roman" w:eastAsia="Times New Roman" w:hAnsi="Times New Roman" w:cs="Times New Roman"/>
          <w:sz w:val="24"/>
          <w:szCs w:val="24"/>
        </w:rPr>
      </w:pPr>
      <w:r w:rsidRPr="003F5F64">
        <w:rPr>
          <w:rFonts w:ascii="Times New Roman" w:eastAsia="Times New Roman" w:hAnsi="Times New Roman" w:cs="Times New Roman"/>
          <w:sz w:val="24"/>
          <w:szCs w:val="24"/>
        </w:rPr>
        <w:t xml:space="preserve">Another important example of index mineral application occurs in the Broken Hill deposit </w:t>
      </w:r>
      <w:r w:rsidR="00434842">
        <w:rPr>
          <w:rFonts w:ascii="Times New Roman" w:eastAsia="Times New Roman" w:hAnsi="Times New Roman" w:cs="Times New Roman"/>
          <w:sz w:val="24"/>
          <w:szCs w:val="24"/>
        </w:rPr>
        <w:t xml:space="preserve">(figure 3) </w:t>
      </w:r>
      <w:r w:rsidRPr="003F5F64">
        <w:rPr>
          <w:rFonts w:ascii="Times New Roman" w:eastAsia="Times New Roman" w:hAnsi="Times New Roman" w:cs="Times New Roman"/>
          <w:sz w:val="24"/>
          <w:szCs w:val="24"/>
        </w:rPr>
        <w:t xml:space="preserve">within the </w:t>
      </w:r>
      <w:proofErr w:type="spellStart"/>
      <w:r w:rsidRPr="003F5F64">
        <w:rPr>
          <w:rFonts w:ascii="Times New Roman" w:eastAsia="Times New Roman" w:hAnsi="Times New Roman" w:cs="Times New Roman"/>
          <w:sz w:val="24"/>
          <w:szCs w:val="24"/>
        </w:rPr>
        <w:t>Curnamona</w:t>
      </w:r>
      <w:proofErr w:type="spellEnd"/>
      <w:r w:rsidRPr="003F5F64">
        <w:rPr>
          <w:rFonts w:ascii="Times New Roman" w:eastAsia="Times New Roman" w:hAnsi="Times New Roman" w:cs="Times New Roman"/>
          <w:sz w:val="24"/>
          <w:szCs w:val="24"/>
        </w:rPr>
        <w:t xml:space="preserve"> Province. This deposit represents a metamorphosed sediment-hosted massive sulfide system that underwent granulite-facies metamorphism.</w:t>
      </w:r>
    </w:p>
    <w:p w14:paraId="4843DFD5" w14:textId="77777777" w:rsidR="003F5F64" w:rsidRPr="003F5F64" w:rsidRDefault="003F5F64" w:rsidP="003F5F64">
      <w:pPr>
        <w:spacing w:before="100" w:beforeAutospacing="1" w:after="100" w:afterAutospacing="1" w:line="240" w:lineRule="auto"/>
        <w:jc w:val="both"/>
        <w:rPr>
          <w:rFonts w:ascii="Times New Roman" w:eastAsia="Times New Roman" w:hAnsi="Times New Roman" w:cs="Times New Roman"/>
          <w:sz w:val="24"/>
          <w:szCs w:val="24"/>
        </w:rPr>
      </w:pPr>
      <w:r w:rsidRPr="003F5F64">
        <w:rPr>
          <w:rFonts w:ascii="Times New Roman" w:eastAsia="Times New Roman" w:hAnsi="Times New Roman" w:cs="Times New Roman"/>
          <w:sz w:val="24"/>
          <w:szCs w:val="24"/>
        </w:rPr>
        <w:t>The mineral assemblage associated with the Broken Hill deposit includes garnet, sillimanite, and gahnite, a zinc-rich spinel mineral. Gahnite is particularly significant because it is chemically stable and resistant to weathering. As a result, it can be preserved in stream sediments and transported away from its original source.</w:t>
      </w:r>
    </w:p>
    <w:p w14:paraId="6EEED058" w14:textId="77777777" w:rsidR="003F5F64" w:rsidRDefault="003F5F64" w:rsidP="003F5F64">
      <w:pPr>
        <w:spacing w:before="100" w:beforeAutospacing="1" w:after="100" w:afterAutospacing="1" w:line="240" w:lineRule="auto"/>
        <w:jc w:val="both"/>
        <w:rPr>
          <w:rFonts w:ascii="Times New Roman" w:eastAsia="Times New Roman" w:hAnsi="Times New Roman" w:cs="Times New Roman"/>
          <w:sz w:val="24"/>
          <w:szCs w:val="24"/>
        </w:rPr>
      </w:pPr>
      <w:r w:rsidRPr="003F5F64">
        <w:rPr>
          <w:rFonts w:ascii="Times New Roman" w:eastAsia="Times New Roman" w:hAnsi="Times New Roman" w:cs="Times New Roman"/>
          <w:sz w:val="24"/>
          <w:szCs w:val="24"/>
        </w:rPr>
        <w:t>Exploration geologists have used the distribution of gahnite in sediment samples to trace the stratigraphic horizon that hosts the Broken Hill ore bodies. Even where the ore itself is not exposed at the surface, the presence of gahnite provides a reliable pathfinder mineral indicating proximity to mineralization (Spry et al., 2000).</w:t>
      </w:r>
    </w:p>
    <w:p w14:paraId="5ABBBFF2" w14:textId="77777777" w:rsidR="00C874B9" w:rsidRDefault="00C874B9" w:rsidP="003F5F64">
      <w:pPr>
        <w:spacing w:before="100" w:beforeAutospacing="1" w:after="100" w:afterAutospacing="1" w:line="240" w:lineRule="auto"/>
        <w:jc w:val="both"/>
        <w:rPr>
          <w:rFonts w:ascii="Times New Roman" w:hAnsi="Times New Roman" w:cs="Times New Roman"/>
          <w:sz w:val="24"/>
          <w:szCs w:val="24"/>
        </w:rPr>
      </w:pPr>
      <w:r w:rsidRPr="00C874B9">
        <w:rPr>
          <w:rFonts w:ascii="Times New Roman" w:eastAsia="Times New Roman" w:hAnsi="Times New Roman" w:cs="Times New Roman"/>
          <w:noProof/>
          <w:sz w:val="24"/>
          <w:szCs w:val="24"/>
        </w:rPr>
        <w:drawing>
          <wp:anchor distT="0" distB="0" distL="114300" distR="114300" simplePos="0" relativeHeight="251658240" behindDoc="0" locked="0" layoutInCell="1" allowOverlap="1" wp14:anchorId="1EA83DB1" wp14:editId="37536759">
            <wp:simplePos x="914400" y="4787660"/>
            <wp:positionH relativeFrom="margin">
              <wp:align>left</wp:align>
            </wp:positionH>
            <wp:positionV relativeFrom="paragraph">
              <wp:align>top</wp:align>
            </wp:positionV>
            <wp:extent cx="3924300" cy="3148330"/>
            <wp:effectExtent l="0" t="0" r="0" b="0"/>
            <wp:wrapSquare wrapText="bothSides"/>
            <wp:docPr id="5" name="Picture 5" descr="C:\Users\GSU\Desktop\1-s2.0-S0169136807001187-g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SU\Desktop\1-s2.0-S0169136807001187-gr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45715" cy="31657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4477">
        <w:rPr>
          <w:rFonts w:ascii="Times New Roman" w:eastAsia="Times New Roman" w:hAnsi="Times New Roman" w:cs="Times New Roman"/>
          <w:sz w:val="24"/>
          <w:szCs w:val="24"/>
        </w:rPr>
        <w:br w:type="textWrapping" w:clear="all"/>
      </w:r>
      <w:r w:rsidR="009A4477">
        <w:rPr>
          <w:rFonts w:ascii="Times New Roman" w:hAnsi="Times New Roman" w:cs="Times New Roman"/>
          <w:sz w:val="24"/>
          <w:szCs w:val="24"/>
        </w:rPr>
        <w:t xml:space="preserve">Figure  </w:t>
      </w:r>
      <w:r w:rsidR="00434842">
        <w:rPr>
          <w:rFonts w:ascii="Times New Roman" w:hAnsi="Times New Roman" w:cs="Times New Roman"/>
          <w:sz w:val="24"/>
          <w:szCs w:val="24"/>
        </w:rPr>
        <w:t xml:space="preserve">3 </w:t>
      </w:r>
      <w:r w:rsidR="009A4477" w:rsidRPr="009A4477">
        <w:rPr>
          <w:rFonts w:ascii="Times New Roman" w:hAnsi="Times New Roman" w:cs="Times New Roman"/>
          <w:sz w:val="24"/>
          <w:szCs w:val="24"/>
        </w:rPr>
        <w:t xml:space="preserve">Metamorphic zonation map of the Broken Hill and </w:t>
      </w:r>
      <w:proofErr w:type="spellStart"/>
      <w:r w:rsidR="009A4477" w:rsidRPr="009A4477">
        <w:rPr>
          <w:rFonts w:ascii="Times New Roman" w:hAnsi="Times New Roman" w:cs="Times New Roman"/>
          <w:sz w:val="24"/>
          <w:szCs w:val="24"/>
        </w:rPr>
        <w:t>Euriowie</w:t>
      </w:r>
      <w:proofErr w:type="spellEnd"/>
      <w:r w:rsidR="009A4477" w:rsidRPr="009A4477">
        <w:rPr>
          <w:rFonts w:ascii="Times New Roman" w:hAnsi="Times New Roman" w:cs="Times New Roman"/>
          <w:sz w:val="24"/>
          <w:szCs w:val="24"/>
        </w:rPr>
        <w:t xml:space="preserve"> domains, illustrating prograde zones characterized by And + </w:t>
      </w:r>
      <w:proofErr w:type="spellStart"/>
      <w:r w:rsidR="009A4477" w:rsidRPr="009A4477">
        <w:rPr>
          <w:rFonts w:ascii="Times New Roman" w:hAnsi="Times New Roman" w:cs="Times New Roman"/>
          <w:sz w:val="24"/>
          <w:szCs w:val="24"/>
        </w:rPr>
        <w:t>Ms</w:t>
      </w:r>
      <w:proofErr w:type="spellEnd"/>
      <w:r w:rsidR="009A4477" w:rsidRPr="009A4477">
        <w:rPr>
          <w:rFonts w:ascii="Times New Roman" w:hAnsi="Times New Roman" w:cs="Times New Roman"/>
          <w:sz w:val="24"/>
          <w:szCs w:val="24"/>
        </w:rPr>
        <w:t xml:space="preserve">, Sil + </w:t>
      </w:r>
      <w:proofErr w:type="spellStart"/>
      <w:r w:rsidR="009A4477" w:rsidRPr="009A4477">
        <w:rPr>
          <w:rFonts w:ascii="Times New Roman" w:hAnsi="Times New Roman" w:cs="Times New Roman"/>
          <w:sz w:val="24"/>
          <w:szCs w:val="24"/>
        </w:rPr>
        <w:t>Ms</w:t>
      </w:r>
      <w:proofErr w:type="spellEnd"/>
      <w:r w:rsidR="009A4477" w:rsidRPr="009A4477">
        <w:rPr>
          <w:rFonts w:ascii="Times New Roman" w:hAnsi="Times New Roman" w:cs="Times New Roman"/>
          <w:sz w:val="24"/>
          <w:szCs w:val="24"/>
        </w:rPr>
        <w:t xml:space="preserve">, Sil + </w:t>
      </w:r>
      <w:proofErr w:type="spellStart"/>
      <w:r w:rsidR="009A4477" w:rsidRPr="009A4477">
        <w:rPr>
          <w:rFonts w:ascii="Times New Roman" w:hAnsi="Times New Roman" w:cs="Times New Roman"/>
          <w:sz w:val="24"/>
          <w:szCs w:val="24"/>
        </w:rPr>
        <w:t>Ksp</w:t>
      </w:r>
      <w:proofErr w:type="spellEnd"/>
      <w:r w:rsidR="009A4477" w:rsidRPr="009A4477">
        <w:rPr>
          <w:rFonts w:ascii="Times New Roman" w:hAnsi="Times New Roman" w:cs="Times New Roman"/>
          <w:sz w:val="24"/>
          <w:szCs w:val="24"/>
        </w:rPr>
        <w:t xml:space="preserve">, and </w:t>
      </w:r>
      <w:proofErr w:type="spellStart"/>
      <w:r w:rsidR="009A4477" w:rsidRPr="009A4477">
        <w:rPr>
          <w:rFonts w:ascii="Times New Roman" w:hAnsi="Times New Roman" w:cs="Times New Roman"/>
          <w:sz w:val="24"/>
          <w:szCs w:val="24"/>
        </w:rPr>
        <w:t>Opx</w:t>
      </w:r>
      <w:proofErr w:type="spellEnd"/>
      <w:r w:rsidR="009A4477" w:rsidRPr="009A4477">
        <w:rPr>
          <w:rFonts w:ascii="Times New Roman" w:hAnsi="Times New Roman" w:cs="Times New Roman"/>
          <w:sz w:val="24"/>
          <w:szCs w:val="24"/>
        </w:rPr>
        <w:t xml:space="preserve"> + </w:t>
      </w:r>
      <w:proofErr w:type="spellStart"/>
      <w:r w:rsidR="009A4477" w:rsidRPr="009A4477">
        <w:rPr>
          <w:rFonts w:ascii="Times New Roman" w:hAnsi="Times New Roman" w:cs="Times New Roman"/>
          <w:sz w:val="24"/>
          <w:szCs w:val="24"/>
        </w:rPr>
        <w:t>Cpx</w:t>
      </w:r>
      <w:proofErr w:type="spellEnd"/>
      <w:r w:rsidR="009A4477" w:rsidRPr="009A4477">
        <w:rPr>
          <w:rFonts w:ascii="Times New Roman" w:hAnsi="Times New Roman" w:cs="Times New Roman"/>
          <w:sz w:val="24"/>
          <w:szCs w:val="24"/>
        </w:rPr>
        <w:t xml:space="preserve"> assemblages, as well as retrograde staurolite (St) and kyanite (Ky) </w:t>
      </w:r>
      <w:proofErr w:type="spellStart"/>
      <w:r w:rsidR="009A4477" w:rsidRPr="009A4477">
        <w:rPr>
          <w:rFonts w:ascii="Times New Roman" w:hAnsi="Times New Roman" w:cs="Times New Roman"/>
          <w:sz w:val="24"/>
          <w:szCs w:val="24"/>
        </w:rPr>
        <w:t>isograds</w:t>
      </w:r>
      <w:proofErr w:type="spellEnd"/>
      <w:r w:rsidR="009A4477" w:rsidRPr="009A4477">
        <w:rPr>
          <w:rFonts w:ascii="Times New Roman" w:hAnsi="Times New Roman" w:cs="Times New Roman"/>
          <w:sz w:val="24"/>
          <w:szCs w:val="24"/>
        </w:rPr>
        <w:t xml:space="preserve">. Adapted from Phillips (1980), Stevens et al. (1988), and Frost et al. (2005). Abbreviations: And, andalusite; </w:t>
      </w:r>
      <w:proofErr w:type="spellStart"/>
      <w:r w:rsidR="009A4477" w:rsidRPr="009A4477">
        <w:rPr>
          <w:rFonts w:ascii="Times New Roman" w:hAnsi="Times New Roman" w:cs="Times New Roman"/>
          <w:sz w:val="24"/>
          <w:szCs w:val="24"/>
        </w:rPr>
        <w:t>Cpx</w:t>
      </w:r>
      <w:proofErr w:type="spellEnd"/>
      <w:r w:rsidR="009A4477" w:rsidRPr="009A4477">
        <w:rPr>
          <w:rFonts w:ascii="Times New Roman" w:hAnsi="Times New Roman" w:cs="Times New Roman"/>
          <w:sz w:val="24"/>
          <w:szCs w:val="24"/>
        </w:rPr>
        <w:t xml:space="preserve">, clinopyroxene; </w:t>
      </w:r>
      <w:proofErr w:type="spellStart"/>
      <w:r w:rsidR="009A4477" w:rsidRPr="009A4477">
        <w:rPr>
          <w:rFonts w:ascii="Times New Roman" w:hAnsi="Times New Roman" w:cs="Times New Roman"/>
          <w:sz w:val="24"/>
          <w:szCs w:val="24"/>
        </w:rPr>
        <w:t>Ksp</w:t>
      </w:r>
      <w:proofErr w:type="spellEnd"/>
      <w:r w:rsidR="009A4477" w:rsidRPr="009A4477">
        <w:rPr>
          <w:rFonts w:ascii="Times New Roman" w:hAnsi="Times New Roman" w:cs="Times New Roman"/>
          <w:sz w:val="24"/>
          <w:szCs w:val="24"/>
        </w:rPr>
        <w:t xml:space="preserve">, K-feldspar; </w:t>
      </w:r>
      <w:proofErr w:type="spellStart"/>
      <w:r w:rsidR="009A4477" w:rsidRPr="009A4477">
        <w:rPr>
          <w:rFonts w:ascii="Times New Roman" w:hAnsi="Times New Roman" w:cs="Times New Roman"/>
          <w:sz w:val="24"/>
          <w:szCs w:val="24"/>
        </w:rPr>
        <w:t>Ms</w:t>
      </w:r>
      <w:proofErr w:type="spellEnd"/>
      <w:r w:rsidR="009A4477" w:rsidRPr="009A4477">
        <w:rPr>
          <w:rFonts w:ascii="Times New Roman" w:hAnsi="Times New Roman" w:cs="Times New Roman"/>
          <w:sz w:val="24"/>
          <w:szCs w:val="24"/>
        </w:rPr>
        <w:t xml:space="preserve">, muscovite; </w:t>
      </w:r>
      <w:proofErr w:type="spellStart"/>
      <w:r w:rsidR="009A4477" w:rsidRPr="009A4477">
        <w:rPr>
          <w:rFonts w:ascii="Times New Roman" w:hAnsi="Times New Roman" w:cs="Times New Roman"/>
          <w:sz w:val="24"/>
          <w:szCs w:val="24"/>
        </w:rPr>
        <w:t>Opx</w:t>
      </w:r>
      <w:proofErr w:type="spellEnd"/>
      <w:r w:rsidR="009A4477" w:rsidRPr="009A4477">
        <w:rPr>
          <w:rFonts w:ascii="Times New Roman" w:hAnsi="Times New Roman" w:cs="Times New Roman"/>
          <w:sz w:val="24"/>
          <w:szCs w:val="24"/>
        </w:rPr>
        <w:t>, orthopyroxene; Sil, sillimanite.</w:t>
      </w:r>
    </w:p>
    <w:p w14:paraId="6FBF8A0B" w14:textId="77777777" w:rsidR="000559E1" w:rsidRPr="007109AD" w:rsidRDefault="007109AD" w:rsidP="000559E1">
      <w:pPr>
        <w:pStyle w:val="Heading3"/>
        <w:rPr>
          <w:rFonts w:ascii="Times New Roman" w:hAnsi="Times New Roman" w:cs="Times New Roman"/>
          <w:b/>
          <w:color w:val="auto"/>
        </w:rPr>
      </w:pPr>
      <w:r>
        <w:rPr>
          <w:rFonts w:ascii="Times New Roman" w:hAnsi="Times New Roman" w:cs="Times New Roman"/>
          <w:b/>
          <w:color w:val="auto"/>
        </w:rPr>
        <w:lastRenderedPageBreak/>
        <w:t xml:space="preserve">3.4 </w:t>
      </w:r>
      <w:r w:rsidR="000559E1" w:rsidRPr="007109AD">
        <w:rPr>
          <w:rFonts w:ascii="Times New Roman" w:hAnsi="Times New Roman" w:cs="Times New Roman"/>
          <w:b/>
          <w:color w:val="auto"/>
        </w:rPr>
        <w:t>Link Between Metamorphic P–T Evolution and Orogenic Gold and VMS Mineralization</w:t>
      </w:r>
    </w:p>
    <w:p w14:paraId="221FADC0" w14:textId="77777777" w:rsidR="000559E1" w:rsidRDefault="000559E1" w:rsidP="007109AD">
      <w:pPr>
        <w:pStyle w:val="NormalWeb"/>
        <w:jc w:val="both"/>
      </w:pPr>
      <w:r>
        <w:t>Metamorphic pressure–temperature (P–T) evolution exerts a major control on both orogenic gold and volcanogenic massive sulfide (VMS) systems</w:t>
      </w:r>
      <w:r w:rsidR="007B154D">
        <w:t xml:space="preserve"> (Figure 4)</w:t>
      </w:r>
      <w:r>
        <w:t xml:space="preserve">, although the role of metamorphism differs between them. In </w:t>
      </w:r>
      <w:r w:rsidRPr="007109AD">
        <w:rPr>
          <w:rStyle w:val="Strong"/>
          <w:b w:val="0"/>
        </w:rPr>
        <w:t xml:space="preserve">orogenic gold </w:t>
      </w:r>
      <w:r>
        <w:rPr>
          <w:rStyle w:val="Strong"/>
        </w:rPr>
        <w:t>syste</w:t>
      </w:r>
      <w:r w:rsidRPr="007109AD">
        <w:rPr>
          <w:rStyle w:val="Strong"/>
          <w:b w:val="0"/>
        </w:rPr>
        <w:t>m</w:t>
      </w:r>
      <w:r>
        <w:rPr>
          <w:rStyle w:val="Strong"/>
        </w:rPr>
        <w:t>s</w:t>
      </w:r>
      <w:r>
        <w:t>, prograde metamorphism is widely regarded as an active ore-forming process because dehydration of hydrous and carbonated rocks during burial and orogenesis releases H</w:t>
      </w:r>
      <w:r>
        <w:rPr>
          <w:rFonts w:ascii="Cambria Math" w:hAnsi="Cambria Math" w:cs="Cambria Math"/>
        </w:rPr>
        <w:t>₂</w:t>
      </w:r>
      <w:r>
        <w:t>O–CO</w:t>
      </w:r>
      <w:r>
        <w:rPr>
          <w:rFonts w:ascii="Cambria Math" w:hAnsi="Cambria Math" w:cs="Cambria Math"/>
        </w:rPr>
        <w:t>₂</w:t>
      </w:r>
      <w:r>
        <w:t xml:space="preserve">-rich fluids capable of transporting gold and sulfur (Groves et al., 1998; Phillips &amp; Powell, 2010). These fluids are commonly generated most efficiently near the </w:t>
      </w:r>
      <w:r w:rsidRPr="007109AD">
        <w:rPr>
          <w:rStyle w:val="Strong"/>
          <w:b w:val="0"/>
        </w:rPr>
        <w:t>greenschist- to amphibolite-facies transition</w:t>
      </w:r>
      <w:r>
        <w:t>, where devolatilization reactions intensify and major shear zones provide pathways for focused fluid flow and gold deposition (Groves et al., 1998; Phillips &amp; Powell, 2010).</w:t>
      </w:r>
    </w:p>
    <w:p w14:paraId="34596C01" w14:textId="77777777" w:rsidR="000559E1" w:rsidRDefault="000559E1" w:rsidP="007109AD">
      <w:pPr>
        <w:pStyle w:val="NormalWeb"/>
        <w:jc w:val="both"/>
      </w:pPr>
      <w:r>
        <w:t xml:space="preserve">Accordingly, reconstruction of metamorphic gradients is important in gold exploration because index minerals such as </w:t>
      </w:r>
      <w:r w:rsidRPr="007109AD">
        <w:rPr>
          <w:rStyle w:val="Strong"/>
          <w:b w:val="0"/>
        </w:rPr>
        <w:t>garnet, staurolite, and kyanite</w:t>
      </w:r>
      <w:r>
        <w:t xml:space="preserve"> help delineate the crustal levels and thermal regimes associated with fluid production and structural focusing (Spear, 1993; Yardley, 1989). Orogenic gold deposits are closely associated with regionally metamorphosed terranes formed during compressional to </w:t>
      </w:r>
      <w:proofErr w:type="spellStart"/>
      <w:r>
        <w:t>transpressional</w:t>
      </w:r>
      <w:proofErr w:type="spellEnd"/>
      <w:r>
        <w:t xml:space="preserve"> deformation, and many models relate gold deposition to syn- to late-metamorphic fluid flow within convergent or collisional orogens (Goldfarb et al., 2005; Groves et al., 1998).</w:t>
      </w:r>
    </w:p>
    <w:p w14:paraId="65912041" w14:textId="77777777" w:rsidR="000559E1" w:rsidRDefault="000559E1" w:rsidP="007109AD">
      <w:pPr>
        <w:pStyle w:val="NormalWeb"/>
        <w:jc w:val="both"/>
      </w:pPr>
      <w:r>
        <w:t xml:space="preserve">In contrast, </w:t>
      </w:r>
      <w:r w:rsidRPr="007109AD">
        <w:rPr>
          <w:rStyle w:val="Strong"/>
          <w:b w:val="0"/>
        </w:rPr>
        <w:t>VMS deposits</w:t>
      </w:r>
      <w:r>
        <w:t xml:space="preserve"> originate as submarine hydrothermal sulfide accumulations, so metamorphism does not generally form the original ore body. Instead, subsequent metamorphic P–T evolution modifies the deposit through recrystallization, remobilization, deformation, and overprinting of primary hydrothermal alteration assemblages (Franklin et al., 2005; Spry et al., 2000). In medium- to high-grade terranes, minerals such as </w:t>
      </w:r>
      <w:r w:rsidRPr="007109AD">
        <w:rPr>
          <w:rStyle w:val="Strong"/>
          <w:b w:val="0"/>
        </w:rPr>
        <w:t>garnet, sillimanite, cordierite, and especially gahnite</w:t>
      </w:r>
      <w:r>
        <w:t xml:space="preserve"> may become more reliable exploration guides than the original sulfides because they can survive deformation and weathering and preserve the metamorphic signature of the mineral system (Spry et al., 2000; Walters, 1998).</w:t>
      </w:r>
    </w:p>
    <w:p w14:paraId="0B8F38CE" w14:textId="77777777" w:rsidR="00427DC2" w:rsidRDefault="000559E1" w:rsidP="007109AD">
      <w:pPr>
        <w:pStyle w:val="NormalWeb"/>
        <w:jc w:val="both"/>
      </w:pPr>
      <w:r>
        <w:t xml:space="preserve">This relationship is especially important in </w:t>
      </w:r>
      <w:r w:rsidRPr="007109AD">
        <w:rPr>
          <w:rStyle w:val="Strong"/>
          <w:b w:val="0"/>
        </w:rPr>
        <w:t>Broken Hill-type and other metamorphosed Zn-rich sulfide systems</w:t>
      </w:r>
      <w:r w:rsidRPr="007109AD">
        <w:rPr>
          <w:b/>
        </w:rPr>
        <w:t>,</w:t>
      </w:r>
      <w:r>
        <w:t xml:space="preserve"> where gahnite-bearing rocks and meta-</w:t>
      </w:r>
      <w:proofErr w:type="spellStart"/>
      <w:r>
        <w:t>exhalites</w:t>
      </w:r>
      <w:proofErr w:type="spellEnd"/>
      <w:r>
        <w:t xml:space="preserve"> are widely used as pathfinders to concealed mineralization (McClenaghan et al., 2015; Spry et al., 2000). Meta-</w:t>
      </w:r>
      <w:proofErr w:type="spellStart"/>
      <w:r>
        <w:t>exhalites</w:t>
      </w:r>
      <w:proofErr w:type="spellEnd"/>
      <w:r>
        <w:t xml:space="preserve"> are recognized exploration guides to ore, and gahnite chemistry has been shown to provide useful vectors toward metamorphosed Pb–Zn–Ag systems (McClenaghan et al., 2015; Spry et al., 2000).</w:t>
      </w:r>
    </w:p>
    <w:p w14:paraId="1082EC7D" w14:textId="77777777" w:rsidR="000559E1" w:rsidRDefault="00427DC2" w:rsidP="007109AD">
      <w:pPr>
        <w:pStyle w:val="NormalWeb"/>
        <w:jc w:val="both"/>
      </w:pPr>
      <w:r>
        <w:t>M</w:t>
      </w:r>
      <w:r w:rsidR="000559E1">
        <w:t xml:space="preserve">etamorphic P–T evolution links metamorphism to mineralization in two principal ways: </w:t>
      </w:r>
      <w:r w:rsidR="000559E1" w:rsidRPr="007109AD">
        <w:t>for</w:t>
      </w:r>
      <w:r w:rsidR="000559E1" w:rsidRPr="007109AD">
        <w:rPr>
          <w:b/>
        </w:rPr>
        <w:t xml:space="preserve"> </w:t>
      </w:r>
      <w:r w:rsidR="000559E1" w:rsidRPr="007109AD">
        <w:rPr>
          <w:rStyle w:val="Strong"/>
          <w:b w:val="0"/>
        </w:rPr>
        <w:t>orogenic gold</w:t>
      </w:r>
      <w:r w:rsidR="000559E1">
        <w:t xml:space="preserve">, metamorphism is a fluid-generating and ore-forming process; for </w:t>
      </w:r>
      <w:r w:rsidR="000559E1" w:rsidRPr="007109AD">
        <w:rPr>
          <w:rStyle w:val="Strong"/>
          <w:b w:val="0"/>
        </w:rPr>
        <w:t>VMS systems</w:t>
      </w:r>
      <w:r w:rsidR="000559E1" w:rsidRPr="007109AD">
        <w:rPr>
          <w:b/>
        </w:rPr>
        <w:t>,</w:t>
      </w:r>
      <w:r w:rsidR="000559E1">
        <w:t xml:space="preserve"> metamorphism is primarily an ore-modifying and exploration-signature-enhancing process. Therefore, reconstructing P–T paths is essential not only for understanding ore genesis, but also for identifying the most prospective parts of deformed and metamorphosed terranes (Goldfarb et al., 2005; Phillips &amp; Powell, 2010; Spry et al., 2000).</w:t>
      </w:r>
    </w:p>
    <w:p w14:paraId="09B72CFD" w14:textId="77777777" w:rsidR="007B154D" w:rsidRDefault="007B154D" w:rsidP="007109AD">
      <w:pPr>
        <w:pStyle w:val="NormalWeb"/>
        <w:jc w:val="both"/>
      </w:pPr>
      <w:r w:rsidRPr="007B154D">
        <w:rPr>
          <w:noProof/>
        </w:rPr>
        <w:lastRenderedPageBreak/>
        <w:drawing>
          <wp:inline distT="0" distB="0" distL="0" distR="0" wp14:anchorId="15B09614" wp14:editId="416C6E6F">
            <wp:extent cx="5943600" cy="3619500"/>
            <wp:effectExtent l="0" t="0" r="0" b="0"/>
            <wp:docPr id="1" name="Picture 1" descr="C:\Users\GSU\Desktop\faca9e4f-2031-4bd6-a783-a944ec89f3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SU\Desktop\faca9e4f-2031-4bd6-a783-a944ec89f319.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5556" b="13247"/>
                    <a:stretch/>
                  </pic:blipFill>
                  <pic:spPr bwMode="auto">
                    <a:xfrm>
                      <a:off x="0" y="0"/>
                      <a:ext cx="5943600" cy="3619500"/>
                    </a:xfrm>
                    <a:prstGeom prst="rect">
                      <a:avLst/>
                    </a:prstGeom>
                    <a:noFill/>
                    <a:ln>
                      <a:noFill/>
                    </a:ln>
                    <a:extLst>
                      <a:ext uri="{53640926-AAD7-44D8-BBD7-CCE9431645EC}">
                        <a14:shadowObscured xmlns:a14="http://schemas.microsoft.com/office/drawing/2010/main"/>
                      </a:ext>
                    </a:extLst>
                  </pic:spPr>
                </pic:pic>
              </a:graphicData>
            </a:graphic>
          </wp:inline>
        </w:drawing>
      </w:r>
    </w:p>
    <w:p w14:paraId="53459484" w14:textId="77777777" w:rsidR="007B154D" w:rsidRDefault="007B154D" w:rsidP="007109AD">
      <w:pPr>
        <w:pStyle w:val="NormalWeb"/>
        <w:jc w:val="both"/>
      </w:pPr>
      <w:r>
        <w:t>Figure 4 Link between metamorphic P-T evolution and Orogenic Gold and VMS mineralization</w:t>
      </w:r>
    </w:p>
    <w:p w14:paraId="2F5F650B" w14:textId="77777777" w:rsidR="007B154D" w:rsidRDefault="007B154D" w:rsidP="003F5F64">
      <w:pPr>
        <w:spacing w:before="100" w:beforeAutospacing="1" w:after="100" w:afterAutospacing="1" w:line="240" w:lineRule="auto"/>
        <w:jc w:val="both"/>
        <w:outlineLvl w:val="1"/>
        <w:rPr>
          <w:rFonts w:ascii="Times New Roman" w:eastAsia="Times New Roman" w:hAnsi="Times New Roman" w:cs="Times New Roman"/>
          <w:b/>
          <w:bCs/>
          <w:sz w:val="24"/>
          <w:szCs w:val="24"/>
        </w:rPr>
      </w:pPr>
    </w:p>
    <w:p w14:paraId="79B42FB5" w14:textId="77777777" w:rsidR="003F5F64" w:rsidRPr="003F5F64" w:rsidRDefault="003F5F64" w:rsidP="003F5F64">
      <w:pPr>
        <w:spacing w:before="100" w:beforeAutospacing="1" w:after="100" w:afterAutospacing="1" w:line="240" w:lineRule="auto"/>
        <w:jc w:val="both"/>
        <w:outlineLvl w:val="1"/>
        <w:rPr>
          <w:rFonts w:ascii="Times New Roman" w:eastAsia="Times New Roman" w:hAnsi="Times New Roman" w:cs="Times New Roman"/>
          <w:b/>
          <w:bCs/>
          <w:sz w:val="24"/>
          <w:szCs w:val="24"/>
        </w:rPr>
      </w:pPr>
      <w:r w:rsidRPr="003F5F64">
        <w:rPr>
          <w:rFonts w:ascii="Times New Roman" w:eastAsia="Times New Roman" w:hAnsi="Times New Roman" w:cs="Times New Roman"/>
          <w:b/>
          <w:bCs/>
          <w:sz w:val="24"/>
          <w:szCs w:val="24"/>
        </w:rPr>
        <w:t>3.4 Exploration Vectoring Using Alteration Minerals</w:t>
      </w:r>
    </w:p>
    <w:p w14:paraId="1097355B" w14:textId="77777777" w:rsidR="003F5F64" w:rsidRPr="003F5F64" w:rsidRDefault="003F5F64" w:rsidP="00427DC2">
      <w:pPr>
        <w:spacing w:before="240" w:beforeAutospacing="1" w:after="100" w:afterAutospacing="1" w:line="240" w:lineRule="auto"/>
        <w:jc w:val="both"/>
        <w:rPr>
          <w:rFonts w:ascii="Times New Roman" w:eastAsia="Times New Roman" w:hAnsi="Times New Roman" w:cs="Times New Roman"/>
          <w:sz w:val="24"/>
          <w:szCs w:val="24"/>
        </w:rPr>
      </w:pPr>
      <w:r w:rsidRPr="003F5F64">
        <w:rPr>
          <w:rFonts w:ascii="Times New Roman" w:eastAsia="Times New Roman" w:hAnsi="Times New Roman" w:cs="Times New Roman"/>
          <w:sz w:val="24"/>
          <w:szCs w:val="24"/>
        </w:rPr>
        <w:t>In addition to metamorphic index minerals, hydrothermal alteration minerals also play an important role in exploration vectoring</w:t>
      </w:r>
      <w:r w:rsidR="00427DC2">
        <w:rPr>
          <w:rFonts w:ascii="Times New Roman" w:eastAsia="Times New Roman" w:hAnsi="Times New Roman" w:cs="Times New Roman"/>
          <w:sz w:val="24"/>
          <w:szCs w:val="24"/>
        </w:rPr>
        <w:t xml:space="preserve"> (Ta</w:t>
      </w:r>
      <w:r w:rsidR="008B2DE0">
        <w:rPr>
          <w:rFonts w:ascii="Times New Roman" w:eastAsia="Times New Roman" w:hAnsi="Times New Roman" w:cs="Times New Roman"/>
          <w:sz w:val="24"/>
          <w:szCs w:val="24"/>
        </w:rPr>
        <w:t>ble 2</w:t>
      </w:r>
      <w:r w:rsidR="00427DC2">
        <w:rPr>
          <w:rFonts w:ascii="Times New Roman" w:eastAsia="Times New Roman" w:hAnsi="Times New Roman" w:cs="Times New Roman"/>
          <w:sz w:val="24"/>
          <w:szCs w:val="24"/>
        </w:rPr>
        <w:t>)</w:t>
      </w:r>
      <w:r w:rsidRPr="003F5F64">
        <w:rPr>
          <w:rFonts w:ascii="Times New Roman" w:eastAsia="Times New Roman" w:hAnsi="Times New Roman" w:cs="Times New Roman"/>
          <w:sz w:val="24"/>
          <w:szCs w:val="24"/>
        </w:rPr>
        <w:t>. Minerals such as andalusite, pyrophyllite, and white mica commonly form in high-temperature acidic hydrothermal environments.</w:t>
      </w:r>
    </w:p>
    <w:p w14:paraId="13E6AE9E" w14:textId="77777777" w:rsidR="00427DC2" w:rsidRDefault="003F5F64" w:rsidP="003F5F64">
      <w:pPr>
        <w:spacing w:before="100" w:beforeAutospacing="1" w:after="100" w:afterAutospacing="1" w:line="240" w:lineRule="auto"/>
        <w:jc w:val="both"/>
        <w:rPr>
          <w:rFonts w:ascii="Times New Roman" w:eastAsia="Times New Roman" w:hAnsi="Times New Roman" w:cs="Times New Roman"/>
          <w:sz w:val="24"/>
          <w:szCs w:val="24"/>
        </w:rPr>
      </w:pPr>
      <w:r w:rsidRPr="003F5F64">
        <w:rPr>
          <w:rFonts w:ascii="Times New Roman" w:eastAsia="Times New Roman" w:hAnsi="Times New Roman" w:cs="Times New Roman"/>
          <w:sz w:val="24"/>
          <w:szCs w:val="24"/>
        </w:rPr>
        <w:t>These minerals are particularly important in volcanic-hosted massive sulfide (VMS) and porphyry systems, where they form alteration halos surrounding hydrothermal vents. Mapping these minerals can therefore help exploration geologists locate the central zones of hydrothermal activity where ore deposition occurred.</w:t>
      </w:r>
    </w:p>
    <w:p w14:paraId="13C58C9D" w14:textId="77777777" w:rsidR="006167C1" w:rsidRDefault="008B2DE0" w:rsidP="003F5F64">
      <w:pPr>
        <w:spacing w:before="100" w:beforeAutospacing="1" w:after="100" w:afterAutospacing="1" w:line="240" w:lineRule="auto"/>
        <w:jc w:val="both"/>
        <w:rPr>
          <w:rFonts w:ascii="Times New Roman" w:eastAsia="Times New Roman" w:hAnsi="Times New Roman" w:cs="Times New Roman"/>
          <w:sz w:val="24"/>
          <w:szCs w:val="24"/>
        </w:rPr>
      </w:pPr>
      <w:r>
        <w:rPr>
          <w:rStyle w:val="Strong"/>
        </w:rPr>
        <w:t>Table 2</w:t>
      </w:r>
      <w:r w:rsidR="006167C1">
        <w:rPr>
          <w:rStyle w:val="Strong"/>
        </w:rPr>
        <w:t>.</w:t>
      </w:r>
      <w:r w:rsidR="006167C1">
        <w:t xml:space="preserve"> </w:t>
      </w:r>
      <w:r w:rsidR="006167C1" w:rsidRPr="00C64BB7">
        <w:rPr>
          <w:rFonts w:ascii="Times New Roman" w:hAnsi="Times New Roman" w:cs="Times New Roman"/>
          <w:sz w:val="24"/>
          <w:szCs w:val="24"/>
        </w:rPr>
        <w:t>Mineral-chemical indicators commonly used in mineral exploration.</w:t>
      </w:r>
    </w:p>
    <w:tbl>
      <w:tblPr>
        <w:tblStyle w:val="TableGrid"/>
        <w:tblW w:w="0" w:type="auto"/>
        <w:tblLook w:val="04A0" w:firstRow="1" w:lastRow="0" w:firstColumn="1" w:lastColumn="0" w:noHBand="0" w:noVBand="1"/>
      </w:tblPr>
      <w:tblGrid>
        <w:gridCol w:w="1485"/>
        <w:gridCol w:w="1989"/>
        <w:gridCol w:w="2110"/>
        <w:gridCol w:w="2146"/>
        <w:gridCol w:w="1620"/>
      </w:tblGrid>
      <w:tr w:rsidR="00513670" w:rsidRPr="00513670" w14:paraId="28F9EEF6" w14:textId="77777777" w:rsidTr="00513670">
        <w:tc>
          <w:tcPr>
            <w:tcW w:w="0" w:type="auto"/>
            <w:hideMark/>
          </w:tcPr>
          <w:p w14:paraId="1CB012C4" w14:textId="77777777" w:rsidR="00513670" w:rsidRPr="00513670" w:rsidRDefault="00513670" w:rsidP="00513670">
            <w:pPr>
              <w:jc w:val="center"/>
              <w:rPr>
                <w:rFonts w:ascii="Times New Roman" w:eastAsia="Times New Roman" w:hAnsi="Times New Roman" w:cs="Times New Roman"/>
                <w:b/>
                <w:bCs/>
                <w:sz w:val="24"/>
                <w:szCs w:val="24"/>
              </w:rPr>
            </w:pPr>
            <w:r w:rsidRPr="00513670">
              <w:rPr>
                <w:rFonts w:ascii="Times New Roman" w:eastAsia="Times New Roman" w:hAnsi="Times New Roman" w:cs="Times New Roman"/>
                <w:b/>
                <w:bCs/>
                <w:sz w:val="24"/>
                <w:szCs w:val="24"/>
              </w:rPr>
              <w:t>Index / Indicator Mineral</w:t>
            </w:r>
          </w:p>
        </w:tc>
        <w:tc>
          <w:tcPr>
            <w:tcW w:w="0" w:type="auto"/>
            <w:hideMark/>
          </w:tcPr>
          <w:p w14:paraId="29CCB7BB" w14:textId="77777777" w:rsidR="00513670" w:rsidRPr="00513670" w:rsidRDefault="00513670" w:rsidP="00513670">
            <w:pPr>
              <w:jc w:val="center"/>
              <w:rPr>
                <w:rFonts w:ascii="Times New Roman" w:eastAsia="Times New Roman" w:hAnsi="Times New Roman" w:cs="Times New Roman"/>
                <w:b/>
                <w:bCs/>
                <w:sz w:val="24"/>
                <w:szCs w:val="24"/>
              </w:rPr>
            </w:pPr>
            <w:r w:rsidRPr="00513670">
              <w:rPr>
                <w:rFonts w:ascii="Times New Roman" w:eastAsia="Times New Roman" w:hAnsi="Times New Roman" w:cs="Times New Roman"/>
                <w:b/>
                <w:bCs/>
                <w:sz w:val="24"/>
                <w:szCs w:val="24"/>
              </w:rPr>
              <w:t>Ore Deposit Type</w:t>
            </w:r>
          </w:p>
        </w:tc>
        <w:tc>
          <w:tcPr>
            <w:tcW w:w="0" w:type="auto"/>
            <w:hideMark/>
          </w:tcPr>
          <w:p w14:paraId="2DB14233" w14:textId="77777777" w:rsidR="00513670" w:rsidRPr="00513670" w:rsidRDefault="00513670" w:rsidP="00513670">
            <w:pPr>
              <w:jc w:val="center"/>
              <w:rPr>
                <w:rFonts w:ascii="Times New Roman" w:eastAsia="Times New Roman" w:hAnsi="Times New Roman" w:cs="Times New Roman"/>
                <w:b/>
                <w:bCs/>
                <w:sz w:val="24"/>
                <w:szCs w:val="24"/>
              </w:rPr>
            </w:pPr>
            <w:r w:rsidRPr="00513670">
              <w:rPr>
                <w:rFonts w:ascii="Times New Roman" w:eastAsia="Times New Roman" w:hAnsi="Times New Roman" w:cs="Times New Roman"/>
                <w:b/>
                <w:bCs/>
                <w:sz w:val="24"/>
                <w:szCs w:val="24"/>
              </w:rPr>
              <w:t>Geological Significance</w:t>
            </w:r>
          </w:p>
        </w:tc>
        <w:tc>
          <w:tcPr>
            <w:tcW w:w="0" w:type="auto"/>
            <w:hideMark/>
          </w:tcPr>
          <w:p w14:paraId="04455A06" w14:textId="77777777" w:rsidR="00513670" w:rsidRPr="00513670" w:rsidRDefault="00513670" w:rsidP="00513670">
            <w:pPr>
              <w:jc w:val="center"/>
              <w:rPr>
                <w:rFonts w:ascii="Times New Roman" w:eastAsia="Times New Roman" w:hAnsi="Times New Roman" w:cs="Times New Roman"/>
                <w:b/>
                <w:bCs/>
                <w:sz w:val="24"/>
                <w:szCs w:val="24"/>
              </w:rPr>
            </w:pPr>
            <w:r w:rsidRPr="00513670">
              <w:rPr>
                <w:rFonts w:ascii="Times New Roman" w:eastAsia="Times New Roman" w:hAnsi="Times New Roman" w:cs="Times New Roman"/>
                <w:b/>
                <w:bCs/>
                <w:sz w:val="24"/>
                <w:szCs w:val="24"/>
              </w:rPr>
              <w:t>Exploration Relevance</w:t>
            </w:r>
          </w:p>
        </w:tc>
        <w:tc>
          <w:tcPr>
            <w:tcW w:w="0" w:type="auto"/>
            <w:hideMark/>
          </w:tcPr>
          <w:p w14:paraId="739B5432" w14:textId="77777777" w:rsidR="00513670" w:rsidRPr="00513670" w:rsidRDefault="00513670" w:rsidP="00513670">
            <w:pPr>
              <w:jc w:val="center"/>
              <w:rPr>
                <w:rFonts w:ascii="Times New Roman" w:eastAsia="Times New Roman" w:hAnsi="Times New Roman" w:cs="Times New Roman"/>
                <w:b/>
                <w:bCs/>
                <w:sz w:val="24"/>
                <w:szCs w:val="24"/>
              </w:rPr>
            </w:pPr>
            <w:r w:rsidRPr="00513670">
              <w:rPr>
                <w:rFonts w:ascii="Times New Roman" w:eastAsia="Times New Roman" w:hAnsi="Times New Roman" w:cs="Times New Roman"/>
                <w:b/>
                <w:bCs/>
                <w:sz w:val="24"/>
                <w:szCs w:val="24"/>
              </w:rPr>
              <w:t>Key References</w:t>
            </w:r>
          </w:p>
        </w:tc>
      </w:tr>
      <w:tr w:rsidR="00513670" w:rsidRPr="00513670" w14:paraId="6B013B6B" w14:textId="77777777" w:rsidTr="00513670">
        <w:tc>
          <w:tcPr>
            <w:tcW w:w="0" w:type="auto"/>
            <w:hideMark/>
          </w:tcPr>
          <w:p w14:paraId="17512352" w14:textId="77777777" w:rsidR="00513670" w:rsidRPr="00513670" w:rsidRDefault="00513670" w:rsidP="00513670">
            <w:pPr>
              <w:rPr>
                <w:rFonts w:ascii="Times New Roman" w:eastAsia="Times New Roman" w:hAnsi="Times New Roman" w:cs="Times New Roman"/>
                <w:sz w:val="24"/>
                <w:szCs w:val="24"/>
              </w:rPr>
            </w:pPr>
            <w:r w:rsidRPr="00513670">
              <w:rPr>
                <w:rFonts w:ascii="Times New Roman" w:eastAsia="Times New Roman" w:hAnsi="Times New Roman" w:cs="Times New Roman"/>
                <w:sz w:val="24"/>
                <w:szCs w:val="24"/>
              </w:rPr>
              <w:t>Garnet</w:t>
            </w:r>
          </w:p>
        </w:tc>
        <w:tc>
          <w:tcPr>
            <w:tcW w:w="0" w:type="auto"/>
            <w:hideMark/>
          </w:tcPr>
          <w:p w14:paraId="1EC4AD00" w14:textId="77777777" w:rsidR="00513670" w:rsidRPr="00513670" w:rsidRDefault="00513670" w:rsidP="00513670">
            <w:pPr>
              <w:rPr>
                <w:rFonts w:ascii="Times New Roman" w:eastAsia="Times New Roman" w:hAnsi="Times New Roman" w:cs="Times New Roman"/>
                <w:sz w:val="24"/>
                <w:szCs w:val="24"/>
              </w:rPr>
            </w:pPr>
            <w:r w:rsidRPr="00513670">
              <w:rPr>
                <w:rFonts w:ascii="Times New Roman" w:eastAsia="Times New Roman" w:hAnsi="Times New Roman" w:cs="Times New Roman"/>
                <w:sz w:val="24"/>
                <w:szCs w:val="24"/>
              </w:rPr>
              <w:t>Orogenic gold</w:t>
            </w:r>
          </w:p>
        </w:tc>
        <w:tc>
          <w:tcPr>
            <w:tcW w:w="0" w:type="auto"/>
            <w:hideMark/>
          </w:tcPr>
          <w:p w14:paraId="7A2D92EB" w14:textId="77777777" w:rsidR="00513670" w:rsidRPr="00513670" w:rsidRDefault="00513670" w:rsidP="00513670">
            <w:pPr>
              <w:rPr>
                <w:rFonts w:ascii="Times New Roman" w:eastAsia="Times New Roman" w:hAnsi="Times New Roman" w:cs="Times New Roman"/>
                <w:sz w:val="24"/>
                <w:szCs w:val="24"/>
              </w:rPr>
            </w:pPr>
            <w:r w:rsidRPr="00513670">
              <w:rPr>
                <w:rFonts w:ascii="Times New Roman" w:eastAsia="Times New Roman" w:hAnsi="Times New Roman" w:cs="Times New Roman"/>
                <w:sz w:val="24"/>
                <w:szCs w:val="24"/>
              </w:rPr>
              <w:t>Marks prograde metamorphism and fluid-producing reactions near the greenschist–</w:t>
            </w:r>
            <w:r w:rsidRPr="00513670">
              <w:rPr>
                <w:rFonts w:ascii="Times New Roman" w:eastAsia="Times New Roman" w:hAnsi="Times New Roman" w:cs="Times New Roman"/>
                <w:sz w:val="24"/>
                <w:szCs w:val="24"/>
              </w:rPr>
              <w:lastRenderedPageBreak/>
              <w:t>amphibolite transition</w:t>
            </w:r>
          </w:p>
        </w:tc>
        <w:tc>
          <w:tcPr>
            <w:tcW w:w="0" w:type="auto"/>
            <w:hideMark/>
          </w:tcPr>
          <w:p w14:paraId="416A2ADF" w14:textId="77777777" w:rsidR="00513670" w:rsidRPr="00513670" w:rsidRDefault="00513670" w:rsidP="00513670">
            <w:pPr>
              <w:rPr>
                <w:rFonts w:ascii="Times New Roman" w:eastAsia="Times New Roman" w:hAnsi="Times New Roman" w:cs="Times New Roman"/>
                <w:sz w:val="24"/>
                <w:szCs w:val="24"/>
              </w:rPr>
            </w:pPr>
            <w:r w:rsidRPr="00513670">
              <w:rPr>
                <w:rFonts w:ascii="Times New Roman" w:eastAsia="Times New Roman" w:hAnsi="Times New Roman" w:cs="Times New Roman"/>
                <w:sz w:val="24"/>
                <w:szCs w:val="24"/>
              </w:rPr>
              <w:lastRenderedPageBreak/>
              <w:t xml:space="preserve">The “garnet-in” </w:t>
            </w:r>
            <w:proofErr w:type="spellStart"/>
            <w:r w:rsidRPr="00513670">
              <w:rPr>
                <w:rFonts w:ascii="Times New Roman" w:eastAsia="Times New Roman" w:hAnsi="Times New Roman" w:cs="Times New Roman"/>
                <w:sz w:val="24"/>
                <w:szCs w:val="24"/>
              </w:rPr>
              <w:t>isograd</w:t>
            </w:r>
            <w:proofErr w:type="spellEnd"/>
            <w:r w:rsidRPr="00513670">
              <w:rPr>
                <w:rFonts w:ascii="Times New Roman" w:eastAsia="Times New Roman" w:hAnsi="Times New Roman" w:cs="Times New Roman"/>
                <w:sz w:val="24"/>
                <w:szCs w:val="24"/>
              </w:rPr>
              <w:t xml:space="preserve"> can help identify zones of metamorphic fluid generation </w:t>
            </w:r>
            <w:r w:rsidRPr="00513670">
              <w:rPr>
                <w:rFonts w:ascii="Times New Roman" w:eastAsia="Times New Roman" w:hAnsi="Times New Roman" w:cs="Times New Roman"/>
                <w:sz w:val="24"/>
                <w:szCs w:val="24"/>
              </w:rPr>
              <w:lastRenderedPageBreak/>
              <w:t>favorable for gold mineralization</w:t>
            </w:r>
          </w:p>
        </w:tc>
        <w:tc>
          <w:tcPr>
            <w:tcW w:w="0" w:type="auto"/>
            <w:hideMark/>
          </w:tcPr>
          <w:p w14:paraId="20FB7D43" w14:textId="77777777" w:rsidR="00513670" w:rsidRPr="00513670" w:rsidRDefault="00513670" w:rsidP="00513670">
            <w:pPr>
              <w:rPr>
                <w:rFonts w:ascii="Times New Roman" w:eastAsia="Times New Roman" w:hAnsi="Times New Roman" w:cs="Times New Roman"/>
                <w:sz w:val="24"/>
                <w:szCs w:val="24"/>
              </w:rPr>
            </w:pPr>
            <w:r w:rsidRPr="00513670">
              <w:rPr>
                <w:rFonts w:ascii="Times New Roman" w:eastAsia="Times New Roman" w:hAnsi="Times New Roman" w:cs="Times New Roman"/>
                <w:sz w:val="24"/>
                <w:szCs w:val="24"/>
              </w:rPr>
              <w:lastRenderedPageBreak/>
              <w:t>Phillips &amp; Powell (2010); Groves et al. (1998)</w:t>
            </w:r>
          </w:p>
        </w:tc>
      </w:tr>
      <w:tr w:rsidR="00513670" w:rsidRPr="00513670" w14:paraId="02F9E481" w14:textId="77777777" w:rsidTr="00513670">
        <w:tc>
          <w:tcPr>
            <w:tcW w:w="0" w:type="auto"/>
            <w:hideMark/>
          </w:tcPr>
          <w:p w14:paraId="29516E09" w14:textId="77777777" w:rsidR="00513670" w:rsidRPr="00513670" w:rsidRDefault="00513670" w:rsidP="00513670">
            <w:pPr>
              <w:rPr>
                <w:rFonts w:ascii="Times New Roman" w:eastAsia="Times New Roman" w:hAnsi="Times New Roman" w:cs="Times New Roman"/>
                <w:sz w:val="24"/>
                <w:szCs w:val="24"/>
              </w:rPr>
            </w:pPr>
            <w:r w:rsidRPr="00513670">
              <w:rPr>
                <w:rFonts w:ascii="Times New Roman" w:eastAsia="Times New Roman" w:hAnsi="Times New Roman" w:cs="Times New Roman"/>
                <w:sz w:val="24"/>
                <w:szCs w:val="24"/>
              </w:rPr>
              <w:t>Staurolite</w:t>
            </w:r>
          </w:p>
        </w:tc>
        <w:tc>
          <w:tcPr>
            <w:tcW w:w="0" w:type="auto"/>
            <w:hideMark/>
          </w:tcPr>
          <w:p w14:paraId="33F713FB" w14:textId="77777777" w:rsidR="00513670" w:rsidRPr="00513670" w:rsidRDefault="00513670" w:rsidP="00513670">
            <w:pPr>
              <w:rPr>
                <w:rFonts w:ascii="Times New Roman" w:eastAsia="Times New Roman" w:hAnsi="Times New Roman" w:cs="Times New Roman"/>
                <w:sz w:val="24"/>
                <w:szCs w:val="24"/>
              </w:rPr>
            </w:pPr>
            <w:r w:rsidRPr="00513670">
              <w:rPr>
                <w:rFonts w:ascii="Times New Roman" w:eastAsia="Times New Roman" w:hAnsi="Times New Roman" w:cs="Times New Roman"/>
                <w:sz w:val="24"/>
                <w:szCs w:val="24"/>
              </w:rPr>
              <w:t>Orogenic gold</w:t>
            </w:r>
          </w:p>
        </w:tc>
        <w:tc>
          <w:tcPr>
            <w:tcW w:w="0" w:type="auto"/>
            <w:hideMark/>
          </w:tcPr>
          <w:p w14:paraId="28C64D51" w14:textId="77777777" w:rsidR="00513670" w:rsidRPr="00513670" w:rsidRDefault="00513670" w:rsidP="00513670">
            <w:pPr>
              <w:rPr>
                <w:rFonts w:ascii="Times New Roman" w:eastAsia="Times New Roman" w:hAnsi="Times New Roman" w:cs="Times New Roman"/>
                <w:sz w:val="24"/>
                <w:szCs w:val="24"/>
              </w:rPr>
            </w:pPr>
            <w:r w:rsidRPr="00513670">
              <w:rPr>
                <w:rFonts w:ascii="Times New Roman" w:eastAsia="Times New Roman" w:hAnsi="Times New Roman" w:cs="Times New Roman"/>
                <w:sz w:val="24"/>
                <w:szCs w:val="24"/>
              </w:rPr>
              <w:t xml:space="preserve">Indicates higher-grade metamorphic conditions and dehydration reactions in </w:t>
            </w:r>
            <w:proofErr w:type="spellStart"/>
            <w:r w:rsidRPr="00513670">
              <w:rPr>
                <w:rFonts w:ascii="Times New Roman" w:eastAsia="Times New Roman" w:hAnsi="Times New Roman" w:cs="Times New Roman"/>
                <w:sz w:val="24"/>
                <w:szCs w:val="24"/>
              </w:rPr>
              <w:t>pelitic</w:t>
            </w:r>
            <w:proofErr w:type="spellEnd"/>
            <w:r w:rsidRPr="00513670">
              <w:rPr>
                <w:rFonts w:ascii="Times New Roman" w:eastAsia="Times New Roman" w:hAnsi="Times New Roman" w:cs="Times New Roman"/>
                <w:sz w:val="24"/>
                <w:szCs w:val="24"/>
              </w:rPr>
              <w:t xml:space="preserve"> rocks</w:t>
            </w:r>
          </w:p>
        </w:tc>
        <w:tc>
          <w:tcPr>
            <w:tcW w:w="0" w:type="auto"/>
            <w:hideMark/>
          </w:tcPr>
          <w:p w14:paraId="5A90DAB1" w14:textId="77777777" w:rsidR="00513670" w:rsidRPr="00513670" w:rsidRDefault="00513670" w:rsidP="00513670">
            <w:pPr>
              <w:rPr>
                <w:rFonts w:ascii="Times New Roman" w:eastAsia="Times New Roman" w:hAnsi="Times New Roman" w:cs="Times New Roman"/>
                <w:sz w:val="24"/>
                <w:szCs w:val="24"/>
              </w:rPr>
            </w:pPr>
            <w:r w:rsidRPr="00513670">
              <w:rPr>
                <w:rFonts w:ascii="Times New Roman" w:eastAsia="Times New Roman" w:hAnsi="Times New Roman" w:cs="Times New Roman"/>
                <w:sz w:val="24"/>
                <w:szCs w:val="24"/>
              </w:rPr>
              <w:t>Useful for defining deeper metamorphic zones linked to fluid release and structurally focused gold systems</w:t>
            </w:r>
          </w:p>
        </w:tc>
        <w:tc>
          <w:tcPr>
            <w:tcW w:w="0" w:type="auto"/>
            <w:hideMark/>
          </w:tcPr>
          <w:p w14:paraId="02228FF9" w14:textId="77777777" w:rsidR="00513670" w:rsidRPr="00513670" w:rsidRDefault="00513670" w:rsidP="00513670">
            <w:pPr>
              <w:rPr>
                <w:rFonts w:ascii="Times New Roman" w:eastAsia="Times New Roman" w:hAnsi="Times New Roman" w:cs="Times New Roman"/>
                <w:sz w:val="24"/>
                <w:szCs w:val="24"/>
              </w:rPr>
            </w:pPr>
            <w:r w:rsidRPr="00513670">
              <w:rPr>
                <w:rFonts w:ascii="Times New Roman" w:eastAsia="Times New Roman" w:hAnsi="Times New Roman" w:cs="Times New Roman"/>
                <w:sz w:val="24"/>
                <w:szCs w:val="24"/>
              </w:rPr>
              <w:t>Spear (1993); Phillips &amp; Powell (2010)</w:t>
            </w:r>
          </w:p>
        </w:tc>
      </w:tr>
      <w:tr w:rsidR="00513670" w:rsidRPr="00513670" w14:paraId="10F29960" w14:textId="77777777" w:rsidTr="00513670">
        <w:tc>
          <w:tcPr>
            <w:tcW w:w="0" w:type="auto"/>
            <w:hideMark/>
          </w:tcPr>
          <w:p w14:paraId="47BFE050" w14:textId="77777777" w:rsidR="00513670" w:rsidRPr="00513670" w:rsidRDefault="00513670" w:rsidP="00513670">
            <w:pPr>
              <w:rPr>
                <w:rFonts w:ascii="Times New Roman" w:eastAsia="Times New Roman" w:hAnsi="Times New Roman" w:cs="Times New Roman"/>
                <w:sz w:val="24"/>
                <w:szCs w:val="24"/>
              </w:rPr>
            </w:pPr>
            <w:r w:rsidRPr="00513670">
              <w:rPr>
                <w:rFonts w:ascii="Times New Roman" w:eastAsia="Times New Roman" w:hAnsi="Times New Roman" w:cs="Times New Roman"/>
                <w:sz w:val="24"/>
                <w:szCs w:val="24"/>
              </w:rPr>
              <w:t>Kyanite</w:t>
            </w:r>
          </w:p>
        </w:tc>
        <w:tc>
          <w:tcPr>
            <w:tcW w:w="0" w:type="auto"/>
            <w:hideMark/>
          </w:tcPr>
          <w:p w14:paraId="270D376C" w14:textId="77777777" w:rsidR="00513670" w:rsidRPr="00513670" w:rsidRDefault="00513670" w:rsidP="00513670">
            <w:pPr>
              <w:rPr>
                <w:rFonts w:ascii="Times New Roman" w:eastAsia="Times New Roman" w:hAnsi="Times New Roman" w:cs="Times New Roman"/>
                <w:sz w:val="24"/>
                <w:szCs w:val="24"/>
              </w:rPr>
            </w:pPr>
            <w:r w:rsidRPr="00513670">
              <w:rPr>
                <w:rFonts w:ascii="Times New Roman" w:eastAsia="Times New Roman" w:hAnsi="Times New Roman" w:cs="Times New Roman"/>
                <w:sz w:val="24"/>
                <w:szCs w:val="24"/>
              </w:rPr>
              <w:t>Orogenic gold / high-grade metamorphic systems</w:t>
            </w:r>
          </w:p>
        </w:tc>
        <w:tc>
          <w:tcPr>
            <w:tcW w:w="0" w:type="auto"/>
            <w:hideMark/>
          </w:tcPr>
          <w:p w14:paraId="4113FEAE" w14:textId="77777777" w:rsidR="00513670" w:rsidRPr="00513670" w:rsidRDefault="00513670" w:rsidP="00513670">
            <w:pPr>
              <w:rPr>
                <w:rFonts w:ascii="Times New Roman" w:eastAsia="Times New Roman" w:hAnsi="Times New Roman" w:cs="Times New Roman"/>
                <w:sz w:val="24"/>
                <w:szCs w:val="24"/>
              </w:rPr>
            </w:pPr>
            <w:r w:rsidRPr="00513670">
              <w:rPr>
                <w:rFonts w:ascii="Times New Roman" w:eastAsia="Times New Roman" w:hAnsi="Times New Roman" w:cs="Times New Roman"/>
                <w:sz w:val="24"/>
                <w:szCs w:val="24"/>
              </w:rPr>
              <w:t>Reflects elevated pressure conditions in deeper crustal levels</w:t>
            </w:r>
          </w:p>
        </w:tc>
        <w:tc>
          <w:tcPr>
            <w:tcW w:w="0" w:type="auto"/>
            <w:hideMark/>
          </w:tcPr>
          <w:p w14:paraId="371E27E3" w14:textId="77777777" w:rsidR="00513670" w:rsidRPr="00513670" w:rsidRDefault="00513670" w:rsidP="00513670">
            <w:pPr>
              <w:rPr>
                <w:rFonts w:ascii="Times New Roman" w:eastAsia="Times New Roman" w:hAnsi="Times New Roman" w:cs="Times New Roman"/>
                <w:sz w:val="24"/>
                <w:szCs w:val="24"/>
              </w:rPr>
            </w:pPr>
            <w:r w:rsidRPr="00513670">
              <w:rPr>
                <w:rFonts w:ascii="Times New Roman" w:eastAsia="Times New Roman" w:hAnsi="Times New Roman" w:cs="Times New Roman"/>
                <w:sz w:val="24"/>
                <w:szCs w:val="24"/>
              </w:rPr>
              <w:t>Helps constrain crustal level and metamorphic gradient in gold-bearing terranes</w:t>
            </w:r>
          </w:p>
        </w:tc>
        <w:tc>
          <w:tcPr>
            <w:tcW w:w="0" w:type="auto"/>
            <w:hideMark/>
          </w:tcPr>
          <w:p w14:paraId="1AECFEAB" w14:textId="77777777" w:rsidR="00513670" w:rsidRPr="00513670" w:rsidRDefault="00513670" w:rsidP="00513670">
            <w:pPr>
              <w:rPr>
                <w:rFonts w:ascii="Times New Roman" w:eastAsia="Times New Roman" w:hAnsi="Times New Roman" w:cs="Times New Roman"/>
                <w:sz w:val="24"/>
                <w:szCs w:val="24"/>
              </w:rPr>
            </w:pPr>
            <w:r w:rsidRPr="00513670">
              <w:rPr>
                <w:rFonts w:ascii="Times New Roman" w:eastAsia="Times New Roman" w:hAnsi="Times New Roman" w:cs="Times New Roman"/>
                <w:sz w:val="24"/>
                <w:szCs w:val="24"/>
              </w:rPr>
              <w:t>Yardley (1989); Spear (1993)</w:t>
            </w:r>
          </w:p>
        </w:tc>
      </w:tr>
      <w:tr w:rsidR="00513670" w:rsidRPr="00513670" w14:paraId="378F17B9" w14:textId="77777777" w:rsidTr="00513670">
        <w:tc>
          <w:tcPr>
            <w:tcW w:w="0" w:type="auto"/>
            <w:hideMark/>
          </w:tcPr>
          <w:p w14:paraId="45F2B4A4" w14:textId="77777777" w:rsidR="00513670" w:rsidRPr="00513670" w:rsidRDefault="00513670" w:rsidP="00513670">
            <w:pPr>
              <w:rPr>
                <w:rFonts w:ascii="Times New Roman" w:eastAsia="Times New Roman" w:hAnsi="Times New Roman" w:cs="Times New Roman"/>
                <w:sz w:val="24"/>
                <w:szCs w:val="24"/>
              </w:rPr>
            </w:pPr>
            <w:r w:rsidRPr="00513670">
              <w:rPr>
                <w:rFonts w:ascii="Times New Roman" w:eastAsia="Times New Roman" w:hAnsi="Times New Roman" w:cs="Times New Roman"/>
                <w:sz w:val="24"/>
                <w:szCs w:val="24"/>
              </w:rPr>
              <w:t>Sillimanite</w:t>
            </w:r>
          </w:p>
        </w:tc>
        <w:tc>
          <w:tcPr>
            <w:tcW w:w="0" w:type="auto"/>
            <w:hideMark/>
          </w:tcPr>
          <w:p w14:paraId="0B08DD56" w14:textId="77777777" w:rsidR="00513670" w:rsidRPr="00513670" w:rsidRDefault="00513670" w:rsidP="00513670">
            <w:pPr>
              <w:rPr>
                <w:rFonts w:ascii="Times New Roman" w:eastAsia="Times New Roman" w:hAnsi="Times New Roman" w:cs="Times New Roman"/>
                <w:sz w:val="24"/>
                <w:szCs w:val="24"/>
              </w:rPr>
            </w:pPr>
            <w:r w:rsidRPr="00513670">
              <w:rPr>
                <w:rFonts w:ascii="Times New Roman" w:eastAsia="Times New Roman" w:hAnsi="Times New Roman" w:cs="Times New Roman"/>
                <w:sz w:val="24"/>
                <w:szCs w:val="24"/>
              </w:rPr>
              <w:t>Broken Hill-type Pb–Zn–Ag / high-grade metamorphic base-metal deposits</w:t>
            </w:r>
          </w:p>
        </w:tc>
        <w:tc>
          <w:tcPr>
            <w:tcW w:w="0" w:type="auto"/>
            <w:hideMark/>
          </w:tcPr>
          <w:p w14:paraId="6E1FD2FA" w14:textId="77777777" w:rsidR="00513670" w:rsidRPr="00513670" w:rsidRDefault="00513670" w:rsidP="00513670">
            <w:pPr>
              <w:rPr>
                <w:rFonts w:ascii="Times New Roman" w:eastAsia="Times New Roman" w:hAnsi="Times New Roman" w:cs="Times New Roman"/>
                <w:sz w:val="24"/>
                <w:szCs w:val="24"/>
              </w:rPr>
            </w:pPr>
            <w:r w:rsidRPr="00513670">
              <w:rPr>
                <w:rFonts w:ascii="Times New Roman" w:eastAsia="Times New Roman" w:hAnsi="Times New Roman" w:cs="Times New Roman"/>
                <w:sz w:val="24"/>
                <w:szCs w:val="24"/>
              </w:rPr>
              <w:t>Indicates high-temperature metamorphic overprint of sulfide-bearing sequences</w:t>
            </w:r>
          </w:p>
        </w:tc>
        <w:tc>
          <w:tcPr>
            <w:tcW w:w="0" w:type="auto"/>
            <w:hideMark/>
          </w:tcPr>
          <w:p w14:paraId="55EDBD80" w14:textId="77777777" w:rsidR="00513670" w:rsidRPr="00513670" w:rsidRDefault="00513670" w:rsidP="00513670">
            <w:pPr>
              <w:rPr>
                <w:rFonts w:ascii="Times New Roman" w:eastAsia="Times New Roman" w:hAnsi="Times New Roman" w:cs="Times New Roman"/>
                <w:sz w:val="24"/>
                <w:szCs w:val="24"/>
              </w:rPr>
            </w:pPr>
            <w:r w:rsidRPr="00513670">
              <w:rPr>
                <w:rFonts w:ascii="Times New Roman" w:eastAsia="Times New Roman" w:hAnsi="Times New Roman" w:cs="Times New Roman"/>
                <w:sz w:val="24"/>
                <w:szCs w:val="24"/>
              </w:rPr>
              <w:t>Useful in identifying metamorphosed exhalative or sediment-hosted massive sulfide terranes</w:t>
            </w:r>
          </w:p>
        </w:tc>
        <w:tc>
          <w:tcPr>
            <w:tcW w:w="0" w:type="auto"/>
            <w:hideMark/>
          </w:tcPr>
          <w:p w14:paraId="1C8BBAEF" w14:textId="77777777" w:rsidR="00513670" w:rsidRPr="00513670" w:rsidRDefault="00513670" w:rsidP="00513670">
            <w:pPr>
              <w:rPr>
                <w:rFonts w:ascii="Times New Roman" w:eastAsia="Times New Roman" w:hAnsi="Times New Roman" w:cs="Times New Roman"/>
                <w:sz w:val="24"/>
                <w:szCs w:val="24"/>
              </w:rPr>
            </w:pPr>
            <w:r w:rsidRPr="00513670">
              <w:rPr>
                <w:rFonts w:ascii="Times New Roman" w:eastAsia="Times New Roman" w:hAnsi="Times New Roman" w:cs="Times New Roman"/>
                <w:sz w:val="24"/>
                <w:szCs w:val="24"/>
              </w:rPr>
              <w:t>Spry et al. (2000); Walters (1998)</w:t>
            </w:r>
          </w:p>
        </w:tc>
      </w:tr>
      <w:tr w:rsidR="00513670" w:rsidRPr="00513670" w14:paraId="5DBF5276" w14:textId="77777777" w:rsidTr="00513670">
        <w:tc>
          <w:tcPr>
            <w:tcW w:w="0" w:type="auto"/>
            <w:hideMark/>
          </w:tcPr>
          <w:p w14:paraId="078DF731" w14:textId="77777777" w:rsidR="00513670" w:rsidRPr="00513670" w:rsidRDefault="00513670" w:rsidP="00513670">
            <w:pPr>
              <w:rPr>
                <w:rFonts w:ascii="Times New Roman" w:eastAsia="Times New Roman" w:hAnsi="Times New Roman" w:cs="Times New Roman"/>
                <w:sz w:val="24"/>
                <w:szCs w:val="24"/>
              </w:rPr>
            </w:pPr>
            <w:r w:rsidRPr="00513670">
              <w:rPr>
                <w:rFonts w:ascii="Times New Roman" w:eastAsia="Times New Roman" w:hAnsi="Times New Roman" w:cs="Times New Roman"/>
                <w:sz w:val="24"/>
                <w:szCs w:val="24"/>
              </w:rPr>
              <w:t>Gahnite</w:t>
            </w:r>
          </w:p>
        </w:tc>
        <w:tc>
          <w:tcPr>
            <w:tcW w:w="0" w:type="auto"/>
            <w:hideMark/>
          </w:tcPr>
          <w:p w14:paraId="6C50C440" w14:textId="77777777" w:rsidR="00513670" w:rsidRPr="00513670" w:rsidRDefault="00513670" w:rsidP="00513670">
            <w:pPr>
              <w:rPr>
                <w:rFonts w:ascii="Times New Roman" w:eastAsia="Times New Roman" w:hAnsi="Times New Roman" w:cs="Times New Roman"/>
                <w:sz w:val="24"/>
                <w:szCs w:val="24"/>
              </w:rPr>
            </w:pPr>
            <w:r w:rsidRPr="00513670">
              <w:rPr>
                <w:rFonts w:ascii="Times New Roman" w:eastAsia="Times New Roman" w:hAnsi="Times New Roman" w:cs="Times New Roman"/>
                <w:sz w:val="24"/>
                <w:szCs w:val="24"/>
              </w:rPr>
              <w:t>Broken Hill-type Pb–Zn–Ag / metamorphosed massive sulfide deposits</w:t>
            </w:r>
          </w:p>
        </w:tc>
        <w:tc>
          <w:tcPr>
            <w:tcW w:w="0" w:type="auto"/>
            <w:hideMark/>
          </w:tcPr>
          <w:p w14:paraId="7185C6F4" w14:textId="77777777" w:rsidR="00513670" w:rsidRPr="00513670" w:rsidRDefault="00513670" w:rsidP="00513670">
            <w:pPr>
              <w:rPr>
                <w:rFonts w:ascii="Times New Roman" w:eastAsia="Times New Roman" w:hAnsi="Times New Roman" w:cs="Times New Roman"/>
                <w:sz w:val="24"/>
                <w:szCs w:val="24"/>
              </w:rPr>
            </w:pPr>
            <w:r w:rsidRPr="00513670">
              <w:rPr>
                <w:rFonts w:ascii="Times New Roman" w:eastAsia="Times New Roman" w:hAnsi="Times New Roman" w:cs="Times New Roman"/>
                <w:sz w:val="24"/>
                <w:szCs w:val="24"/>
              </w:rPr>
              <w:t>Zn-rich spinel commonly developed in metamorphosed Zn-rich systems</w:t>
            </w:r>
          </w:p>
        </w:tc>
        <w:tc>
          <w:tcPr>
            <w:tcW w:w="0" w:type="auto"/>
            <w:hideMark/>
          </w:tcPr>
          <w:p w14:paraId="342E7AA6" w14:textId="77777777" w:rsidR="00513670" w:rsidRPr="00513670" w:rsidRDefault="00513670" w:rsidP="00513670">
            <w:pPr>
              <w:rPr>
                <w:rFonts w:ascii="Times New Roman" w:eastAsia="Times New Roman" w:hAnsi="Times New Roman" w:cs="Times New Roman"/>
                <w:sz w:val="24"/>
                <w:szCs w:val="24"/>
              </w:rPr>
            </w:pPr>
            <w:r w:rsidRPr="00513670">
              <w:rPr>
                <w:rFonts w:ascii="Times New Roman" w:eastAsia="Times New Roman" w:hAnsi="Times New Roman" w:cs="Times New Roman"/>
                <w:sz w:val="24"/>
                <w:szCs w:val="24"/>
              </w:rPr>
              <w:t>A robust pathfinder mineral in rocks, soils, and stream sediments for concealed Zn–Pb–Ag mineralization</w:t>
            </w:r>
          </w:p>
        </w:tc>
        <w:tc>
          <w:tcPr>
            <w:tcW w:w="0" w:type="auto"/>
            <w:hideMark/>
          </w:tcPr>
          <w:p w14:paraId="7623FD74" w14:textId="77777777" w:rsidR="00513670" w:rsidRPr="00513670" w:rsidRDefault="00513670" w:rsidP="00513670">
            <w:pPr>
              <w:rPr>
                <w:rFonts w:ascii="Times New Roman" w:eastAsia="Times New Roman" w:hAnsi="Times New Roman" w:cs="Times New Roman"/>
                <w:sz w:val="24"/>
                <w:szCs w:val="24"/>
              </w:rPr>
            </w:pPr>
            <w:r w:rsidRPr="00513670">
              <w:rPr>
                <w:rFonts w:ascii="Times New Roman" w:eastAsia="Times New Roman" w:hAnsi="Times New Roman" w:cs="Times New Roman"/>
                <w:sz w:val="24"/>
                <w:szCs w:val="24"/>
              </w:rPr>
              <w:t>Spry et al. (2000); Sandhaus &amp; Craig (1986)</w:t>
            </w:r>
          </w:p>
        </w:tc>
      </w:tr>
      <w:tr w:rsidR="00513670" w:rsidRPr="00513670" w14:paraId="42F0B867" w14:textId="77777777" w:rsidTr="00513670">
        <w:tc>
          <w:tcPr>
            <w:tcW w:w="0" w:type="auto"/>
            <w:hideMark/>
          </w:tcPr>
          <w:p w14:paraId="0FCB5482" w14:textId="77777777" w:rsidR="00513670" w:rsidRPr="00513670" w:rsidRDefault="00513670" w:rsidP="00513670">
            <w:pPr>
              <w:rPr>
                <w:rFonts w:ascii="Times New Roman" w:eastAsia="Times New Roman" w:hAnsi="Times New Roman" w:cs="Times New Roman"/>
                <w:sz w:val="24"/>
                <w:szCs w:val="24"/>
              </w:rPr>
            </w:pPr>
            <w:r w:rsidRPr="00513670">
              <w:rPr>
                <w:rFonts w:ascii="Times New Roman" w:eastAsia="Times New Roman" w:hAnsi="Times New Roman" w:cs="Times New Roman"/>
                <w:sz w:val="24"/>
                <w:szCs w:val="24"/>
              </w:rPr>
              <w:t>Andalusite</w:t>
            </w:r>
          </w:p>
        </w:tc>
        <w:tc>
          <w:tcPr>
            <w:tcW w:w="0" w:type="auto"/>
            <w:hideMark/>
          </w:tcPr>
          <w:p w14:paraId="0675B853" w14:textId="77777777" w:rsidR="00513670" w:rsidRPr="00513670" w:rsidRDefault="00513670" w:rsidP="00513670">
            <w:pPr>
              <w:rPr>
                <w:rFonts w:ascii="Times New Roman" w:eastAsia="Times New Roman" w:hAnsi="Times New Roman" w:cs="Times New Roman"/>
                <w:sz w:val="24"/>
                <w:szCs w:val="24"/>
              </w:rPr>
            </w:pPr>
            <w:r w:rsidRPr="00513670">
              <w:rPr>
                <w:rFonts w:ascii="Times New Roman" w:eastAsia="Times New Roman" w:hAnsi="Times New Roman" w:cs="Times New Roman"/>
                <w:sz w:val="24"/>
                <w:szCs w:val="24"/>
              </w:rPr>
              <w:t>Epithermal / porphyry / high-sulfidation systems</w:t>
            </w:r>
          </w:p>
        </w:tc>
        <w:tc>
          <w:tcPr>
            <w:tcW w:w="0" w:type="auto"/>
            <w:hideMark/>
          </w:tcPr>
          <w:p w14:paraId="6D2D0B5C" w14:textId="77777777" w:rsidR="00513670" w:rsidRPr="00513670" w:rsidRDefault="00513670" w:rsidP="00513670">
            <w:pPr>
              <w:rPr>
                <w:rFonts w:ascii="Times New Roman" w:eastAsia="Times New Roman" w:hAnsi="Times New Roman" w:cs="Times New Roman"/>
                <w:sz w:val="24"/>
                <w:szCs w:val="24"/>
              </w:rPr>
            </w:pPr>
            <w:r w:rsidRPr="00513670">
              <w:rPr>
                <w:rFonts w:ascii="Times New Roman" w:eastAsia="Times New Roman" w:hAnsi="Times New Roman" w:cs="Times New Roman"/>
                <w:sz w:val="24"/>
                <w:szCs w:val="24"/>
              </w:rPr>
              <w:t>Indicates low-pressure, high-temperature metamorphic or hydrothermal conditions</w:t>
            </w:r>
          </w:p>
        </w:tc>
        <w:tc>
          <w:tcPr>
            <w:tcW w:w="0" w:type="auto"/>
            <w:hideMark/>
          </w:tcPr>
          <w:p w14:paraId="7419C600" w14:textId="77777777" w:rsidR="00513670" w:rsidRPr="00513670" w:rsidRDefault="00513670" w:rsidP="00513670">
            <w:pPr>
              <w:rPr>
                <w:rFonts w:ascii="Times New Roman" w:eastAsia="Times New Roman" w:hAnsi="Times New Roman" w:cs="Times New Roman"/>
                <w:sz w:val="24"/>
                <w:szCs w:val="24"/>
              </w:rPr>
            </w:pPr>
            <w:r w:rsidRPr="00513670">
              <w:rPr>
                <w:rFonts w:ascii="Times New Roman" w:eastAsia="Times New Roman" w:hAnsi="Times New Roman" w:cs="Times New Roman"/>
                <w:sz w:val="24"/>
                <w:szCs w:val="24"/>
              </w:rPr>
              <w:t>Commonly used to identify shallow intrusive and acidic alteration environments</w:t>
            </w:r>
          </w:p>
        </w:tc>
        <w:tc>
          <w:tcPr>
            <w:tcW w:w="0" w:type="auto"/>
            <w:hideMark/>
          </w:tcPr>
          <w:p w14:paraId="1BCDD853" w14:textId="77777777" w:rsidR="00513670" w:rsidRPr="00513670" w:rsidRDefault="00513670" w:rsidP="00513670">
            <w:pPr>
              <w:rPr>
                <w:rFonts w:ascii="Times New Roman" w:eastAsia="Times New Roman" w:hAnsi="Times New Roman" w:cs="Times New Roman"/>
                <w:sz w:val="24"/>
                <w:szCs w:val="24"/>
              </w:rPr>
            </w:pPr>
            <w:r w:rsidRPr="00513670">
              <w:rPr>
                <w:rFonts w:ascii="Times New Roman" w:eastAsia="Times New Roman" w:hAnsi="Times New Roman" w:cs="Times New Roman"/>
                <w:sz w:val="24"/>
                <w:szCs w:val="24"/>
              </w:rPr>
              <w:t>Hedenquist et al. (2000); Lang &amp; Baker (2001)</w:t>
            </w:r>
          </w:p>
        </w:tc>
      </w:tr>
      <w:tr w:rsidR="00513670" w:rsidRPr="00513670" w14:paraId="798A4647" w14:textId="77777777" w:rsidTr="00513670">
        <w:tc>
          <w:tcPr>
            <w:tcW w:w="0" w:type="auto"/>
            <w:hideMark/>
          </w:tcPr>
          <w:p w14:paraId="27DF0F80" w14:textId="77777777" w:rsidR="00513670" w:rsidRPr="00513670" w:rsidRDefault="00513670" w:rsidP="00513670">
            <w:pPr>
              <w:rPr>
                <w:rFonts w:ascii="Times New Roman" w:eastAsia="Times New Roman" w:hAnsi="Times New Roman" w:cs="Times New Roman"/>
                <w:sz w:val="24"/>
                <w:szCs w:val="24"/>
              </w:rPr>
            </w:pPr>
            <w:r w:rsidRPr="00513670">
              <w:rPr>
                <w:rFonts w:ascii="Times New Roman" w:eastAsia="Times New Roman" w:hAnsi="Times New Roman" w:cs="Times New Roman"/>
                <w:sz w:val="24"/>
                <w:szCs w:val="24"/>
              </w:rPr>
              <w:t>Pyrophyllite</w:t>
            </w:r>
          </w:p>
        </w:tc>
        <w:tc>
          <w:tcPr>
            <w:tcW w:w="0" w:type="auto"/>
            <w:hideMark/>
          </w:tcPr>
          <w:p w14:paraId="3362714D" w14:textId="77777777" w:rsidR="00513670" w:rsidRPr="00513670" w:rsidRDefault="00513670" w:rsidP="00513670">
            <w:pPr>
              <w:rPr>
                <w:rFonts w:ascii="Times New Roman" w:eastAsia="Times New Roman" w:hAnsi="Times New Roman" w:cs="Times New Roman"/>
                <w:sz w:val="24"/>
                <w:szCs w:val="24"/>
              </w:rPr>
            </w:pPr>
            <w:r w:rsidRPr="00513670">
              <w:rPr>
                <w:rFonts w:ascii="Times New Roman" w:eastAsia="Times New Roman" w:hAnsi="Times New Roman" w:cs="Times New Roman"/>
                <w:sz w:val="24"/>
                <w:szCs w:val="24"/>
              </w:rPr>
              <w:t>High-sulfidation epithermal / advanced argillic alteration zones</w:t>
            </w:r>
          </w:p>
        </w:tc>
        <w:tc>
          <w:tcPr>
            <w:tcW w:w="0" w:type="auto"/>
            <w:hideMark/>
          </w:tcPr>
          <w:p w14:paraId="62A15B9B" w14:textId="77777777" w:rsidR="00513670" w:rsidRPr="00513670" w:rsidRDefault="00513670" w:rsidP="00513670">
            <w:pPr>
              <w:rPr>
                <w:rFonts w:ascii="Times New Roman" w:eastAsia="Times New Roman" w:hAnsi="Times New Roman" w:cs="Times New Roman"/>
                <w:sz w:val="24"/>
                <w:szCs w:val="24"/>
              </w:rPr>
            </w:pPr>
            <w:r w:rsidRPr="00513670">
              <w:rPr>
                <w:rFonts w:ascii="Times New Roman" w:eastAsia="Times New Roman" w:hAnsi="Times New Roman" w:cs="Times New Roman"/>
                <w:sz w:val="24"/>
                <w:szCs w:val="24"/>
              </w:rPr>
              <w:t>Reflects acidic, high-sulfidation hydrothermal alteration</w:t>
            </w:r>
          </w:p>
        </w:tc>
        <w:tc>
          <w:tcPr>
            <w:tcW w:w="0" w:type="auto"/>
            <w:hideMark/>
          </w:tcPr>
          <w:p w14:paraId="634431D5" w14:textId="77777777" w:rsidR="00513670" w:rsidRPr="00513670" w:rsidRDefault="00513670" w:rsidP="00513670">
            <w:pPr>
              <w:rPr>
                <w:rFonts w:ascii="Times New Roman" w:eastAsia="Times New Roman" w:hAnsi="Times New Roman" w:cs="Times New Roman"/>
                <w:sz w:val="24"/>
                <w:szCs w:val="24"/>
              </w:rPr>
            </w:pPr>
            <w:r w:rsidRPr="00513670">
              <w:rPr>
                <w:rFonts w:ascii="Times New Roman" w:eastAsia="Times New Roman" w:hAnsi="Times New Roman" w:cs="Times New Roman"/>
                <w:sz w:val="24"/>
                <w:szCs w:val="24"/>
              </w:rPr>
              <w:t xml:space="preserve">Strong vector toward hydrothermal </w:t>
            </w:r>
            <w:proofErr w:type="spellStart"/>
            <w:r w:rsidRPr="00513670">
              <w:rPr>
                <w:rFonts w:ascii="Times New Roman" w:eastAsia="Times New Roman" w:hAnsi="Times New Roman" w:cs="Times New Roman"/>
                <w:sz w:val="24"/>
                <w:szCs w:val="24"/>
              </w:rPr>
              <w:t>upflow</w:t>
            </w:r>
            <w:proofErr w:type="spellEnd"/>
            <w:r w:rsidRPr="00513670">
              <w:rPr>
                <w:rFonts w:ascii="Times New Roman" w:eastAsia="Times New Roman" w:hAnsi="Times New Roman" w:cs="Times New Roman"/>
                <w:sz w:val="24"/>
                <w:szCs w:val="24"/>
              </w:rPr>
              <w:t xml:space="preserve"> zones and mineralized centers</w:t>
            </w:r>
          </w:p>
        </w:tc>
        <w:tc>
          <w:tcPr>
            <w:tcW w:w="0" w:type="auto"/>
            <w:hideMark/>
          </w:tcPr>
          <w:p w14:paraId="4A38A121" w14:textId="77777777" w:rsidR="00513670" w:rsidRPr="00513670" w:rsidRDefault="00513670" w:rsidP="00513670">
            <w:pPr>
              <w:rPr>
                <w:rFonts w:ascii="Times New Roman" w:eastAsia="Times New Roman" w:hAnsi="Times New Roman" w:cs="Times New Roman"/>
                <w:sz w:val="24"/>
                <w:szCs w:val="24"/>
              </w:rPr>
            </w:pPr>
            <w:r w:rsidRPr="00513670">
              <w:rPr>
                <w:rFonts w:ascii="Times New Roman" w:eastAsia="Times New Roman" w:hAnsi="Times New Roman" w:cs="Times New Roman"/>
                <w:sz w:val="24"/>
                <w:szCs w:val="24"/>
              </w:rPr>
              <w:t>Arribas (1995); Sillitoe (2010)</w:t>
            </w:r>
          </w:p>
        </w:tc>
      </w:tr>
      <w:tr w:rsidR="00513670" w:rsidRPr="00513670" w14:paraId="52E2DFB3" w14:textId="77777777" w:rsidTr="00513670">
        <w:tc>
          <w:tcPr>
            <w:tcW w:w="0" w:type="auto"/>
            <w:hideMark/>
          </w:tcPr>
          <w:p w14:paraId="48B70316" w14:textId="77777777" w:rsidR="00513670" w:rsidRPr="00513670" w:rsidRDefault="00513670" w:rsidP="00513670">
            <w:pPr>
              <w:rPr>
                <w:rFonts w:ascii="Times New Roman" w:eastAsia="Times New Roman" w:hAnsi="Times New Roman" w:cs="Times New Roman"/>
                <w:sz w:val="24"/>
                <w:szCs w:val="24"/>
              </w:rPr>
            </w:pPr>
            <w:r w:rsidRPr="00513670">
              <w:rPr>
                <w:rFonts w:ascii="Times New Roman" w:eastAsia="Times New Roman" w:hAnsi="Times New Roman" w:cs="Times New Roman"/>
                <w:sz w:val="24"/>
                <w:szCs w:val="24"/>
              </w:rPr>
              <w:t>White mica (sericite, muscovite)</w:t>
            </w:r>
          </w:p>
        </w:tc>
        <w:tc>
          <w:tcPr>
            <w:tcW w:w="0" w:type="auto"/>
            <w:hideMark/>
          </w:tcPr>
          <w:p w14:paraId="2FFE2F0C" w14:textId="77777777" w:rsidR="00513670" w:rsidRPr="00513670" w:rsidRDefault="00513670" w:rsidP="00513670">
            <w:pPr>
              <w:rPr>
                <w:rFonts w:ascii="Times New Roman" w:eastAsia="Times New Roman" w:hAnsi="Times New Roman" w:cs="Times New Roman"/>
                <w:sz w:val="24"/>
                <w:szCs w:val="24"/>
              </w:rPr>
            </w:pPr>
            <w:r w:rsidRPr="00513670">
              <w:rPr>
                <w:rFonts w:ascii="Times New Roman" w:eastAsia="Times New Roman" w:hAnsi="Times New Roman" w:cs="Times New Roman"/>
                <w:sz w:val="24"/>
                <w:szCs w:val="24"/>
              </w:rPr>
              <w:t>Porphyry Cu–Au, orogenic gold, intrusion-related gold</w:t>
            </w:r>
          </w:p>
        </w:tc>
        <w:tc>
          <w:tcPr>
            <w:tcW w:w="0" w:type="auto"/>
            <w:hideMark/>
          </w:tcPr>
          <w:p w14:paraId="455FA0D9" w14:textId="77777777" w:rsidR="00513670" w:rsidRPr="00513670" w:rsidRDefault="00513670" w:rsidP="00513670">
            <w:pPr>
              <w:rPr>
                <w:rFonts w:ascii="Times New Roman" w:eastAsia="Times New Roman" w:hAnsi="Times New Roman" w:cs="Times New Roman"/>
                <w:sz w:val="24"/>
                <w:szCs w:val="24"/>
              </w:rPr>
            </w:pPr>
            <w:r w:rsidRPr="00513670">
              <w:rPr>
                <w:rFonts w:ascii="Times New Roman" w:eastAsia="Times New Roman" w:hAnsi="Times New Roman" w:cs="Times New Roman"/>
                <w:sz w:val="24"/>
                <w:szCs w:val="24"/>
              </w:rPr>
              <w:t>Records hydrothermal alteration and fluid-rock interaction</w:t>
            </w:r>
          </w:p>
        </w:tc>
        <w:tc>
          <w:tcPr>
            <w:tcW w:w="0" w:type="auto"/>
            <w:hideMark/>
          </w:tcPr>
          <w:p w14:paraId="00AA753C" w14:textId="77777777" w:rsidR="00513670" w:rsidRPr="00513670" w:rsidRDefault="00513670" w:rsidP="00513670">
            <w:pPr>
              <w:rPr>
                <w:rFonts w:ascii="Times New Roman" w:eastAsia="Times New Roman" w:hAnsi="Times New Roman" w:cs="Times New Roman"/>
                <w:sz w:val="24"/>
                <w:szCs w:val="24"/>
              </w:rPr>
            </w:pPr>
            <w:r w:rsidRPr="00513670">
              <w:rPr>
                <w:rFonts w:ascii="Times New Roman" w:eastAsia="Times New Roman" w:hAnsi="Times New Roman" w:cs="Times New Roman"/>
                <w:sz w:val="24"/>
                <w:szCs w:val="24"/>
              </w:rPr>
              <w:t>Widely used in SWIR and mineral chemistry studies for vectoring toward ore centers</w:t>
            </w:r>
          </w:p>
        </w:tc>
        <w:tc>
          <w:tcPr>
            <w:tcW w:w="0" w:type="auto"/>
            <w:hideMark/>
          </w:tcPr>
          <w:p w14:paraId="26602E74" w14:textId="77777777" w:rsidR="00513670" w:rsidRPr="00513670" w:rsidRDefault="00513670" w:rsidP="00513670">
            <w:pPr>
              <w:rPr>
                <w:rFonts w:ascii="Times New Roman" w:eastAsia="Times New Roman" w:hAnsi="Times New Roman" w:cs="Times New Roman"/>
                <w:sz w:val="24"/>
                <w:szCs w:val="24"/>
              </w:rPr>
            </w:pPr>
            <w:r w:rsidRPr="00513670">
              <w:rPr>
                <w:rFonts w:ascii="Times New Roman" w:eastAsia="Times New Roman" w:hAnsi="Times New Roman" w:cs="Times New Roman"/>
                <w:sz w:val="24"/>
                <w:szCs w:val="24"/>
              </w:rPr>
              <w:t>Halley et al. (2015); Yang et al. (2011)</w:t>
            </w:r>
          </w:p>
        </w:tc>
      </w:tr>
      <w:tr w:rsidR="00513670" w:rsidRPr="00513670" w14:paraId="7A3EE643" w14:textId="77777777" w:rsidTr="00513670">
        <w:tc>
          <w:tcPr>
            <w:tcW w:w="0" w:type="auto"/>
            <w:hideMark/>
          </w:tcPr>
          <w:p w14:paraId="64ACA6E9" w14:textId="77777777" w:rsidR="00513670" w:rsidRPr="00513670" w:rsidRDefault="00513670" w:rsidP="00513670">
            <w:pPr>
              <w:rPr>
                <w:rFonts w:ascii="Times New Roman" w:eastAsia="Times New Roman" w:hAnsi="Times New Roman" w:cs="Times New Roman"/>
                <w:sz w:val="24"/>
                <w:szCs w:val="24"/>
              </w:rPr>
            </w:pPr>
            <w:r w:rsidRPr="00513670">
              <w:rPr>
                <w:rFonts w:ascii="Times New Roman" w:eastAsia="Times New Roman" w:hAnsi="Times New Roman" w:cs="Times New Roman"/>
                <w:sz w:val="24"/>
                <w:szCs w:val="24"/>
              </w:rPr>
              <w:t>Chlorite</w:t>
            </w:r>
          </w:p>
        </w:tc>
        <w:tc>
          <w:tcPr>
            <w:tcW w:w="0" w:type="auto"/>
            <w:hideMark/>
          </w:tcPr>
          <w:p w14:paraId="4E8C28BD" w14:textId="77777777" w:rsidR="00513670" w:rsidRPr="00513670" w:rsidRDefault="00513670" w:rsidP="00513670">
            <w:pPr>
              <w:rPr>
                <w:rFonts w:ascii="Times New Roman" w:eastAsia="Times New Roman" w:hAnsi="Times New Roman" w:cs="Times New Roman"/>
                <w:sz w:val="24"/>
                <w:szCs w:val="24"/>
              </w:rPr>
            </w:pPr>
            <w:r w:rsidRPr="00513670">
              <w:rPr>
                <w:rFonts w:ascii="Times New Roman" w:eastAsia="Times New Roman" w:hAnsi="Times New Roman" w:cs="Times New Roman"/>
                <w:sz w:val="24"/>
                <w:szCs w:val="24"/>
              </w:rPr>
              <w:t>VMS, porphyry, orogenic gold</w:t>
            </w:r>
          </w:p>
        </w:tc>
        <w:tc>
          <w:tcPr>
            <w:tcW w:w="0" w:type="auto"/>
            <w:hideMark/>
          </w:tcPr>
          <w:p w14:paraId="7203AA4E" w14:textId="77777777" w:rsidR="00513670" w:rsidRPr="00513670" w:rsidRDefault="00513670" w:rsidP="00513670">
            <w:pPr>
              <w:rPr>
                <w:rFonts w:ascii="Times New Roman" w:eastAsia="Times New Roman" w:hAnsi="Times New Roman" w:cs="Times New Roman"/>
                <w:sz w:val="24"/>
                <w:szCs w:val="24"/>
              </w:rPr>
            </w:pPr>
            <w:r w:rsidRPr="00513670">
              <w:rPr>
                <w:rFonts w:ascii="Times New Roman" w:eastAsia="Times New Roman" w:hAnsi="Times New Roman" w:cs="Times New Roman"/>
                <w:sz w:val="24"/>
                <w:szCs w:val="24"/>
              </w:rPr>
              <w:t xml:space="preserve">Common alteration mineral in distal to </w:t>
            </w:r>
            <w:r w:rsidRPr="00513670">
              <w:rPr>
                <w:rFonts w:ascii="Times New Roman" w:eastAsia="Times New Roman" w:hAnsi="Times New Roman" w:cs="Times New Roman"/>
                <w:sz w:val="24"/>
                <w:szCs w:val="24"/>
              </w:rPr>
              <w:lastRenderedPageBreak/>
              <w:t>proximal hydrothermal halos</w:t>
            </w:r>
          </w:p>
        </w:tc>
        <w:tc>
          <w:tcPr>
            <w:tcW w:w="0" w:type="auto"/>
            <w:hideMark/>
          </w:tcPr>
          <w:p w14:paraId="11A975C3" w14:textId="77777777" w:rsidR="00513670" w:rsidRPr="00513670" w:rsidRDefault="00513670" w:rsidP="00513670">
            <w:pPr>
              <w:rPr>
                <w:rFonts w:ascii="Times New Roman" w:eastAsia="Times New Roman" w:hAnsi="Times New Roman" w:cs="Times New Roman"/>
                <w:sz w:val="24"/>
                <w:szCs w:val="24"/>
              </w:rPr>
            </w:pPr>
            <w:r w:rsidRPr="00513670">
              <w:rPr>
                <w:rFonts w:ascii="Times New Roman" w:eastAsia="Times New Roman" w:hAnsi="Times New Roman" w:cs="Times New Roman"/>
                <w:sz w:val="24"/>
                <w:szCs w:val="24"/>
              </w:rPr>
              <w:lastRenderedPageBreak/>
              <w:t xml:space="preserve">Used to define alteration gradients and fluid pathways </w:t>
            </w:r>
            <w:r w:rsidRPr="00513670">
              <w:rPr>
                <w:rFonts w:ascii="Times New Roman" w:eastAsia="Times New Roman" w:hAnsi="Times New Roman" w:cs="Times New Roman"/>
                <w:sz w:val="24"/>
                <w:szCs w:val="24"/>
              </w:rPr>
              <w:lastRenderedPageBreak/>
              <w:t>around mineral systems</w:t>
            </w:r>
          </w:p>
        </w:tc>
        <w:tc>
          <w:tcPr>
            <w:tcW w:w="0" w:type="auto"/>
            <w:hideMark/>
          </w:tcPr>
          <w:p w14:paraId="2D178465" w14:textId="77777777" w:rsidR="00513670" w:rsidRPr="00513670" w:rsidRDefault="00513670" w:rsidP="00513670">
            <w:pPr>
              <w:rPr>
                <w:rFonts w:ascii="Times New Roman" w:eastAsia="Times New Roman" w:hAnsi="Times New Roman" w:cs="Times New Roman"/>
                <w:sz w:val="24"/>
                <w:szCs w:val="24"/>
              </w:rPr>
            </w:pPr>
            <w:proofErr w:type="spellStart"/>
            <w:r w:rsidRPr="00513670">
              <w:rPr>
                <w:rFonts w:ascii="Times New Roman" w:eastAsia="Times New Roman" w:hAnsi="Times New Roman" w:cs="Times New Roman"/>
                <w:sz w:val="24"/>
                <w:szCs w:val="24"/>
              </w:rPr>
              <w:lastRenderedPageBreak/>
              <w:t>Lypaczewski</w:t>
            </w:r>
            <w:proofErr w:type="spellEnd"/>
            <w:r w:rsidRPr="00513670">
              <w:rPr>
                <w:rFonts w:ascii="Times New Roman" w:eastAsia="Times New Roman" w:hAnsi="Times New Roman" w:cs="Times New Roman"/>
                <w:sz w:val="24"/>
                <w:szCs w:val="24"/>
              </w:rPr>
              <w:t xml:space="preserve"> et al. (2016); </w:t>
            </w:r>
            <w:r w:rsidRPr="00513670">
              <w:rPr>
                <w:rFonts w:ascii="Times New Roman" w:eastAsia="Times New Roman" w:hAnsi="Times New Roman" w:cs="Times New Roman"/>
                <w:sz w:val="24"/>
                <w:szCs w:val="24"/>
              </w:rPr>
              <w:lastRenderedPageBreak/>
              <w:t>Walshe (1986)</w:t>
            </w:r>
          </w:p>
        </w:tc>
      </w:tr>
      <w:tr w:rsidR="00513670" w:rsidRPr="00513670" w14:paraId="3E9507BC" w14:textId="77777777" w:rsidTr="00513670">
        <w:tc>
          <w:tcPr>
            <w:tcW w:w="0" w:type="auto"/>
            <w:hideMark/>
          </w:tcPr>
          <w:p w14:paraId="5A1494CB" w14:textId="77777777" w:rsidR="00513670" w:rsidRPr="00513670" w:rsidRDefault="00513670" w:rsidP="00513670">
            <w:pPr>
              <w:rPr>
                <w:rFonts w:ascii="Times New Roman" w:eastAsia="Times New Roman" w:hAnsi="Times New Roman" w:cs="Times New Roman"/>
                <w:sz w:val="24"/>
                <w:szCs w:val="24"/>
              </w:rPr>
            </w:pPr>
            <w:r w:rsidRPr="00513670">
              <w:rPr>
                <w:rFonts w:ascii="Times New Roman" w:eastAsia="Times New Roman" w:hAnsi="Times New Roman" w:cs="Times New Roman"/>
                <w:sz w:val="24"/>
                <w:szCs w:val="24"/>
              </w:rPr>
              <w:lastRenderedPageBreak/>
              <w:t>Biotite</w:t>
            </w:r>
          </w:p>
        </w:tc>
        <w:tc>
          <w:tcPr>
            <w:tcW w:w="0" w:type="auto"/>
            <w:hideMark/>
          </w:tcPr>
          <w:p w14:paraId="629D24B5" w14:textId="77777777" w:rsidR="00513670" w:rsidRPr="00513670" w:rsidRDefault="00513670" w:rsidP="00513670">
            <w:pPr>
              <w:rPr>
                <w:rFonts w:ascii="Times New Roman" w:eastAsia="Times New Roman" w:hAnsi="Times New Roman" w:cs="Times New Roman"/>
                <w:sz w:val="24"/>
                <w:szCs w:val="24"/>
              </w:rPr>
            </w:pPr>
            <w:r w:rsidRPr="00513670">
              <w:rPr>
                <w:rFonts w:ascii="Times New Roman" w:eastAsia="Times New Roman" w:hAnsi="Times New Roman" w:cs="Times New Roman"/>
                <w:sz w:val="24"/>
                <w:szCs w:val="24"/>
              </w:rPr>
              <w:t>Porphyry Cu–Au / intrusion-related gold</w:t>
            </w:r>
          </w:p>
        </w:tc>
        <w:tc>
          <w:tcPr>
            <w:tcW w:w="0" w:type="auto"/>
            <w:hideMark/>
          </w:tcPr>
          <w:p w14:paraId="41962259" w14:textId="77777777" w:rsidR="00513670" w:rsidRPr="00513670" w:rsidRDefault="00513670" w:rsidP="00513670">
            <w:pPr>
              <w:rPr>
                <w:rFonts w:ascii="Times New Roman" w:eastAsia="Times New Roman" w:hAnsi="Times New Roman" w:cs="Times New Roman"/>
                <w:sz w:val="24"/>
                <w:szCs w:val="24"/>
              </w:rPr>
            </w:pPr>
            <w:r w:rsidRPr="00513670">
              <w:rPr>
                <w:rFonts w:ascii="Times New Roman" w:eastAsia="Times New Roman" w:hAnsi="Times New Roman" w:cs="Times New Roman"/>
                <w:sz w:val="24"/>
                <w:szCs w:val="24"/>
              </w:rPr>
              <w:t>Indicates potassic alteration and/or increasing metamorphic grade</w:t>
            </w:r>
          </w:p>
        </w:tc>
        <w:tc>
          <w:tcPr>
            <w:tcW w:w="0" w:type="auto"/>
            <w:hideMark/>
          </w:tcPr>
          <w:p w14:paraId="37B08E11" w14:textId="77777777" w:rsidR="00513670" w:rsidRPr="00513670" w:rsidRDefault="00513670" w:rsidP="00513670">
            <w:pPr>
              <w:rPr>
                <w:rFonts w:ascii="Times New Roman" w:eastAsia="Times New Roman" w:hAnsi="Times New Roman" w:cs="Times New Roman"/>
                <w:sz w:val="24"/>
                <w:szCs w:val="24"/>
              </w:rPr>
            </w:pPr>
            <w:r w:rsidRPr="00513670">
              <w:rPr>
                <w:rFonts w:ascii="Times New Roman" w:eastAsia="Times New Roman" w:hAnsi="Times New Roman" w:cs="Times New Roman"/>
                <w:sz w:val="24"/>
                <w:szCs w:val="24"/>
              </w:rPr>
              <w:t>Important vector toward fertile intrusive centers and hydrothermal cores</w:t>
            </w:r>
          </w:p>
        </w:tc>
        <w:tc>
          <w:tcPr>
            <w:tcW w:w="0" w:type="auto"/>
            <w:hideMark/>
          </w:tcPr>
          <w:p w14:paraId="0B4704EF" w14:textId="77777777" w:rsidR="00513670" w:rsidRPr="00513670" w:rsidRDefault="00513670" w:rsidP="00513670">
            <w:pPr>
              <w:rPr>
                <w:rFonts w:ascii="Times New Roman" w:eastAsia="Times New Roman" w:hAnsi="Times New Roman" w:cs="Times New Roman"/>
                <w:sz w:val="24"/>
                <w:szCs w:val="24"/>
              </w:rPr>
            </w:pPr>
            <w:r w:rsidRPr="00513670">
              <w:rPr>
                <w:rFonts w:ascii="Times New Roman" w:eastAsia="Times New Roman" w:hAnsi="Times New Roman" w:cs="Times New Roman"/>
                <w:sz w:val="24"/>
                <w:szCs w:val="24"/>
              </w:rPr>
              <w:t>Sillitoe (2010); Hart (2005)</w:t>
            </w:r>
          </w:p>
        </w:tc>
      </w:tr>
      <w:tr w:rsidR="00513670" w:rsidRPr="00513670" w14:paraId="2A6431AE" w14:textId="77777777" w:rsidTr="00513670">
        <w:tc>
          <w:tcPr>
            <w:tcW w:w="0" w:type="auto"/>
            <w:hideMark/>
          </w:tcPr>
          <w:p w14:paraId="76569900" w14:textId="77777777" w:rsidR="00513670" w:rsidRPr="00513670" w:rsidRDefault="00513670" w:rsidP="00513670">
            <w:pPr>
              <w:rPr>
                <w:rFonts w:ascii="Times New Roman" w:eastAsia="Times New Roman" w:hAnsi="Times New Roman" w:cs="Times New Roman"/>
                <w:sz w:val="24"/>
                <w:szCs w:val="24"/>
              </w:rPr>
            </w:pPr>
            <w:r w:rsidRPr="00513670">
              <w:rPr>
                <w:rFonts w:ascii="Times New Roman" w:eastAsia="Times New Roman" w:hAnsi="Times New Roman" w:cs="Times New Roman"/>
                <w:sz w:val="24"/>
                <w:szCs w:val="24"/>
              </w:rPr>
              <w:t>Apatite</w:t>
            </w:r>
          </w:p>
        </w:tc>
        <w:tc>
          <w:tcPr>
            <w:tcW w:w="0" w:type="auto"/>
            <w:hideMark/>
          </w:tcPr>
          <w:p w14:paraId="73388FCE" w14:textId="77777777" w:rsidR="00513670" w:rsidRPr="00513670" w:rsidRDefault="00513670" w:rsidP="00513670">
            <w:pPr>
              <w:rPr>
                <w:rFonts w:ascii="Times New Roman" w:eastAsia="Times New Roman" w:hAnsi="Times New Roman" w:cs="Times New Roman"/>
                <w:sz w:val="24"/>
                <w:szCs w:val="24"/>
              </w:rPr>
            </w:pPr>
            <w:r w:rsidRPr="00513670">
              <w:rPr>
                <w:rFonts w:ascii="Times New Roman" w:eastAsia="Times New Roman" w:hAnsi="Times New Roman" w:cs="Times New Roman"/>
                <w:sz w:val="24"/>
                <w:szCs w:val="24"/>
              </w:rPr>
              <w:t>Porphyry Cu–Au / fertile intrusive systems</w:t>
            </w:r>
          </w:p>
        </w:tc>
        <w:tc>
          <w:tcPr>
            <w:tcW w:w="0" w:type="auto"/>
            <w:hideMark/>
          </w:tcPr>
          <w:p w14:paraId="5BF1C6F3" w14:textId="77777777" w:rsidR="00513670" w:rsidRPr="00513670" w:rsidRDefault="00513670" w:rsidP="00513670">
            <w:pPr>
              <w:rPr>
                <w:rFonts w:ascii="Times New Roman" w:eastAsia="Times New Roman" w:hAnsi="Times New Roman" w:cs="Times New Roman"/>
                <w:sz w:val="24"/>
                <w:szCs w:val="24"/>
              </w:rPr>
            </w:pPr>
            <w:r w:rsidRPr="00513670">
              <w:rPr>
                <w:rFonts w:ascii="Times New Roman" w:eastAsia="Times New Roman" w:hAnsi="Times New Roman" w:cs="Times New Roman"/>
                <w:sz w:val="24"/>
                <w:szCs w:val="24"/>
              </w:rPr>
              <w:t>Records volatile content and magma fertility</w:t>
            </w:r>
          </w:p>
        </w:tc>
        <w:tc>
          <w:tcPr>
            <w:tcW w:w="0" w:type="auto"/>
            <w:hideMark/>
          </w:tcPr>
          <w:p w14:paraId="656A2E85" w14:textId="77777777" w:rsidR="00513670" w:rsidRPr="00513670" w:rsidRDefault="00513670" w:rsidP="00513670">
            <w:pPr>
              <w:rPr>
                <w:rFonts w:ascii="Times New Roman" w:eastAsia="Times New Roman" w:hAnsi="Times New Roman" w:cs="Times New Roman"/>
                <w:sz w:val="24"/>
                <w:szCs w:val="24"/>
              </w:rPr>
            </w:pPr>
            <w:r w:rsidRPr="00513670">
              <w:rPr>
                <w:rFonts w:ascii="Times New Roman" w:eastAsia="Times New Roman" w:hAnsi="Times New Roman" w:cs="Times New Roman"/>
                <w:sz w:val="24"/>
                <w:szCs w:val="24"/>
              </w:rPr>
              <w:t>Useful for discriminating fertile from barren magmatic systems</w:t>
            </w:r>
          </w:p>
        </w:tc>
        <w:tc>
          <w:tcPr>
            <w:tcW w:w="0" w:type="auto"/>
            <w:hideMark/>
          </w:tcPr>
          <w:p w14:paraId="358780C7" w14:textId="77777777" w:rsidR="00513670" w:rsidRPr="00513670" w:rsidRDefault="00513670" w:rsidP="00513670">
            <w:pPr>
              <w:rPr>
                <w:rFonts w:ascii="Times New Roman" w:eastAsia="Times New Roman" w:hAnsi="Times New Roman" w:cs="Times New Roman"/>
                <w:sz w:val="24"/>
                <w:szCs w:val="24"/>
              </w:rPr>
            </w:pPr>
            <w:r w:rsidRPr="00513670">
              <w:rPr>
                <w:rFonts w:ascii="Times New Roman" w:eastAsia="Times New Roman" w:hAnsi="Times New Roman" w:cs="Times New Roman"/>
                <w:sz w:val="24"/>
                <w:szCs w:val="24"/>
              </w:rPr>
              <w:t>Piccoli &amp; Candela (2002); Mao et al. (2016)</w:t>
            </w:r>
          </w:p>
        </w:tc>
      </w:tr>
      <w:tr w:rsidR="00513670" w:rsidRPr="00513670" w14:paraId="4D2082FF" w14:textId="77777777" w:rsidTr="00513670">
        <w:tc>
          <w:tcPr>
            <w:tcW w:w="0" w:type="auto"/>
            <w:hideMark/>
          </w:tcPr>
          <w:p w14:paraId="60D29C74" w14:textId="77777777" w:rsidR="00513670" w:rsidRPr="00513670" w:rsidRDefault="00513670" w:rsidP="00513670">
            <w:pPr>
              <w:rPr>
                <w:rFonts w:ascii="Times New Roman" w:eastAsia="Times New Roman" w:hAnsi="Times New Roman" w:cs="Times New Roman"/>
                <w:sz w:val="24"/>
                <w:szCs w:val="24"/>
              </w:rPr>
            </w:pPr>
            <w:r w:rsidRPr="00513670">
              <w:rPr>
                <w:rFonts w:ascii="Times New Roman" w:eastAsia="Times New Roman" w:hAnsi="Times New Roman" w:cs="Times New Roman"/>
                <w:sz w:val="24"/>
                <w:szCs w:val="24"/>
              </w:rPr>
              <w:t>Zircon</w:t>
            </w:r>
          </w:p>
        </w:tc>
        <w:tc>
          <w:tcPr>
            <w:tcW w:w="0" w:type="auto"/>
            <w:hideMark/>
          </w:tcPr>
          <w:p w14:paraId="0AC8E97B" w14:textId="77777777" w:rsidR="00513670" w:rsidRPr="00513670" w:rsidRDefault="00513670" w:rsidP="00513670">
            <w:pPr>
              <w:rPr>
                <w:rFonts w:ascii="Times New Roman" w:eastAsia="Times New Roman" w:hAnsi="Times New Roman" w:cs="Times New Roman"/>
                <w:sz w:val="24"/>
                <w:szCs w:val="24"/>
              </w:rPr>
            </w:pPr>
            <w:r w:rsidRPr="00513670">
              <w:rPr>
                <w:rFonts w:ascii="Times New Roman" w:eastAsia="Times New Roman" w:hAnsi="Times New Roman" w:cs="Times New Roman"/>
                <w:sz w:val="24"/>
                <w:szCs w:val="24"/>
              </w:rPr>
              <w:t>Porphyry Cu–Au / magmatic-hydrothermal systems</w:t>
            </w:r>
          </w:p>
        </w:tc>
        <w:tc>
          <w:tcPr>
            <w:tcW w:w="0" w:type="auto"/>
            <w:hideMark/>
          </w:tcPr>
          <w:p w14:paraId="58B1D745" w14:textId="77777777" w:rsidR="00513670" w:rsidRPr="00513670" w:rsidRDefault="00513670" w:rsidP="00513670">
            <w:pPr>
              <w:rPr>
                <w:rFonts w:ascii="Times New Roman" w:eastAsia="Times New Roman" w:hAnsi="Times New Roman" w:cs="Times New Roman"/>
                <w:sz w:val="24"/>
                <w:szCs w:val="24"/>
              </w:rPr>
            </w:pPr>
            <w:r w:rsidRPr="00513670">
              <w:rPr>
                <w:rFonts w:ascii="Times New Roman" w:eastAsia="Times New Roman" w:hAnsi="Times New Roman" w:cs="Times New Roman"/>
                <w:sz w:val="24"/>
                <w:szCs w:val="24"/>
              </w:rPr>
              <w:t>Preserves redox and fertility signals in magmatic systems</w:t>
            </w:r>
          </w:p>
        </w:tc>
        <w:tc>
          <w:tcPr>
            <w:tcW w:w="0" w:type="auto"/>
            <w:hideMark/>
          </w:tcPr>
          <w:p w14:paraId="399C45C3" w14:textId="77777777" w:rsidR="00513670" w:rsidRPr="00513670" w:rsidRDefault="00513670" w:rsidP="00513670">
            <w:pPr>
              <w:rPr>
                <w:rFonts w:ascii="Times New Roman" w:eastAsia="Times New Roman" w:hAnsi="Times New Roman" w:cs="Times New Roman"/>
                <w:sz w:val="24"/>
                <w:szCs w:val="24"/>
              </w:rPr>
            </w:pPr>
            <w:r w:rsidRPr="00513670">
              <w:rPr>
                <w:rFonts w:ascii="Times New Roman" w:eastAsia="Times New Roman" w:hAnsi="Times New Roman" w:cs="Times New Roman"/>
                <w:sz w:val="24"/>
                <w:szCs w:val="24"/>
              </w:rPr>
              <w:t>Useful in assessing magma oxidation state and ore-forming potential</w:t>
            </w:r>
          </w:p>
        </w:tc>
        <w:tc>
          <w:tcPr>
            <w:tcW w:w="0" w:type="auto"/>
            <w:hideMark/>
          </w:tcPr>
          <w:p w14:paraId="3B2D1F8F" w14:textId="77777777" w:rsidR="00513670" w:rsidRPr="00513670" w:rsidRDefault="00513670" w:rsidP="00513670">
            <w:pPr>
              <w:rPr>
                <w:rFonts w:ascii="Times New Roman" w:eastAsia="Times New Roman" w:hAnsi="Times New Roman" w:cs="Times New Roman"/>
                <w:sz w:val="24"/>
                <w:szCs w:val="24"/>
              </w:rPr>
            </w:pPr>
            <w:r w:rsidRPr="00513670">
              <w:rPr>
                <w:rFonts w:ascii="Times New Roman" w:eastAsia="Times New Roman" w:hAnsi="Times New Roman" w:cs="Times New Roman"/>
                <w:sz w:val="24"/>
                <w:szCs w:val="24"/>
              </w:rPr>
              <w:t>Ballard et al. (2002); Lu et al. (2016)</w:t>
            </w:r>
          </w:p>
        </w:tc>
      </w:tr>
    </w:tbl>
    <w:p w14:paraId="734E4680" w14:textId="77777777" w:rsidR="00513670" w:rsidRPr="003F5F64" w:rsidRDefault="00513670" w:rsidP="003F5F64">
      <w:pPr>
        <w:spacing w:before="100" w:beforeAutospacing="1" w:after="100" w:afterAutospacing="1" w:line="240" w:lineRule="auto"/>
        <w:jc w:val="both"/>
        <w:rPr>
          <w:rFonts w:ascii="Times New Roman" w:eastAsia="Times New Roman" w:hAnsi="Times New Roman" w:cs="Times New Roman"/>
          <w:sz w:val="24"/>
          <w:szCs w:val="24"/>
        </w:rPr>
      </w:pPr>
    </w:p>
    <w:p w14:paraId="1CF3A2D9" w14:textId="77777777" w:rsidR="003F5F64" w:rsidRPr="003F5F64" w:rsidRDefault="003F5F64" w:rsidP="003F5F64">
      <w:pPr>
        <w:spacing w:before="100" w:beforeAutospacing="1" w:after="100" w:afterAutospacing="1" w:line="240" w:lineRule="auto"/>
        <w:jc w:val="both"/>
        <w:outlineLvl w:val="1"/>
        <w:rPr>
          <w:rFonts w:ascii="Times New Roman" w:eastAsia="Times New Roman" w:hAnsi="Times New Roman" w:cs="Times New Roman"/>
          <w:b/>
          <w:bCs/>
          <w:sz w:val="24"/>
          <w:szCs w:val="24"/>
        </w:rPr>
      </w:pPr>
      <w:r w:rsidRPr="003F5F64">
        <w:rPr>
          <w:rFonts w:ascii="Times New Roman" w:eastAsia="Times New Roman" w:hAnsi="Times New Roman" w:cs="Times New Roman"/>
          <w:b/>
          <w:bCs/>
          <w:sz w:val="24"/>
          <w:szCs w:val="24"/>
        </w:rPr>
        <w:t>3.5 Limitations in the Use of Index Minerals</w:t>
      </w:r>
    </w:p>
    <w:p w14:paraId="49BB2C88" w14:textId="77777777" w:rsidR="00D169C5" w:rsidRDefault="00D169C5" w:rsidP="00D169C5">
      <w:pPr>
        <w:pStyle w:val="NormalWeb"/>
        <w:jc w:val="both"/>
      </w:pPr>
      <w:r>
        <w:t xml:space="preserve">Despite their significant utility in metamorphic petrology and mineral exploration, several factors constrain the reliability and interpretation of index minerals. One of the primary limitations is the strong dependence on </w:t>
      </w:r>
      <w:r w:rsidRPr="00D169C5">
        <w:rPr>
          <w:rStyle w:val="Strong"/>
          <w:b w:val="0"/>
        </w:rPr>
        <w:t>bulk rock composition</w:t>
      </w:r>
      <w:r>
        <w:t>. The development of index minerals is not solely controlled by pressure–temperature (P–T) conditions but also by the availability of essential chemical components within the protolith. Consequently, rocks subjected to identical metamorphic conditions may develop different mineral assemblages if their bulk compositions differ, potentially leading to misinterpretation of metamorphic grade (Spear, 1993; Bucher &amp; Grapes, 2011).</w:t>
      </w:r>
    </w:p>
    <w:p w14:paraId="2CA8451C" w14:textId="77777777" w:rsidR="00D169C5" w:rsidRDefault="00D169C5" w:rsidP="00D169C5">
      <w:pPr>
        <w:pStyle w:val="NormalWeb"/>
        <w:jc w:val="both"/>
      </w:pPr>
      <w:r>
        <w:t xml:space="preserve">Another critical limitation arises from </w:t>
      </w:r>
      <w:r w:rsidRPr="00D169C5">
        <w:rPr>
          <w:rStyle w:val="Strong"/>
          <w:b w:val="0"/>
        </w:rPr>
        <w:t>retrograde metamorphism</w:t>
      </w:r>
      <w:r>
        <w:t>, which occurs during the cooling and exhumation of metamorphic rocks. During this stage, fluid infiltration commonly promotes the replacement of high-grade minerals by lower-grade assemblages such as chlorite, sericite, or epidote. This overprinting can partially or completely obliterate peak metamorphic mineral signatures, thereby obscuring the original P–T history and complicating exploration interpretations (Yardley, 1989; Winter, 2010).</w:t>
      </w:r>
    </w:p>
    <w:p w14:paraId="4E7005A2" w14:textId="77777777" w:rsidR="00D169C5" w:rsidRDefault="00D169C5" w:rsidP="00D169C5">
      <w:pPr>
        <w:pStyle w:val="NormalWeb"/>
        <w:jc w:val="both"/>
      </w:pPr>
      <w:r>
        <w:t xml:space="preserve">In addition, </w:t>
      </w:r>
      <w:r w:rsidRPr="00D169C5">
        <w:rPr>
          <w:rStyle w:val="Strong"/>
          <w:b w:val="0"/>
        </w:rPr>
        <w:t>structural deformation</w:t>
      </w:r>
      <w:r>
        <w:t xml:space="preserve"> plays a significant role in modifying the spatial distribution of metamorphic zones. Processes such as folding, faulting, and shearing can juxtapose rocks of contrasting metamorphic grades, disrupt original </w:t>
      </w:r>
      <w:proofErr w:type="spellStart"/>
      <w:r>
        <w:t>isograds</w:t>
      </w:r>
      <w:proofErr w:type="spellEnd"/>
      <w:r>
        <w:t xml:space="preserve">, and produce complex geological architectures. As a result, accurate interpretation of index mineral distributions requires integration with detailed structural analysis to distinguish between primary metamorphic patterns and tectonic overprints (Fossen, 2016; </w:t>
      </w:r>
      <w:proofErr w:type="spellStart"/>
      <w:r>
        <w:t>Passchier</w:t>
      </w:r>
      <w:proofErr w:type="spellEnd"/>
      <w:r>
        <w:t xml:space="preserve"> &amp; </w:t>
      </w:r>
      <w:proofErr w:type="spellStart"/>
      <w:r>
        <w:t>Trouw</w:t>
      </w:r>
      <w:proofErr w:type="spellEnd"/>
      <w:r>
        <w:t xml:space="preserve">, 2005). These limitations highlight the need for a </w:t>
      </w:r>
      <w:r w:rsidRPr="00D169C5">
        <w:rPr>
          <w:rStyle w:val="Strong"/>
          <w:b w:val="0"/>
        </w:rPr>
        <w:t>multidisciplinary approach</w:t>
      </w:r>
      <w:r>
        <w:t>, combining mineralogical, geochemical, and structural data, to ensure robust interpretation of index minerals in mineral exploration.</w:t>
      </w:r>
    </w:p>
    <w:p w14:paraId="3A94F61D" w14:textId="77777777" w:rsidR="003F5F64" w:rsidRPr="003F5F64" w:rsidRDefault="003F5F64" w:rsidP="003F5F64">
      <w:pPr>
        <w:spacing w:after="0" w:line="240" w:lineRule="auto"/>
        <w:jc w:val="both"/>
        <w:rPr>
          <w:rFonts w:ascii="Times New Roman" w:eastAsia="Times New Roman" w:hAnsi="Times New Roman" w:cs="Times New Roman"/>
          <w:sz w:val="24"/>
          <w:szCs w:val="24"/>
        </w:rPr>
      </w:pPr>
    </w:p>
    <w:p w14:paraId="7FB27D57" w14:textId="77777777" w:rsidR="003F5F64" w:rsidRPr="003F5F64" w:rsidRDefault="003F5F64" w:rsidP="003F5F64">
      <w:pPr>
        <w:spacing w:before="100" w:beforeAutospacing="1" w:after="100" w:afterAutospacing="1" w:line="240" w:lineRule="auto"/>
        <w:jc w:val="both"/>
        <w:outlineLvl w:val="1"/>
        <w:rPr>
          <w:rFonts w:ascii="Times New Roman" w:eastAsia="Times New Roman" w:hAnsi="Times New Roman" w:cs="Times New Roman"/>
          <w:b/>
          <w:bCs/>
          <w:sz w:val="24"/>
          <w:szCs w:val="24"/>
        </w:rPr>
      </w:pPr>
      <w:r w:rsidRPr="003F5F64">
        <w:rPr>
          <w:rFonts w:ascii="Times New Roman" w:eastAsia="Times New Roman" w:hAnsi="Times New Roman" w:cs="Times New Roman"/>
          <w:b/>
          <w:bCs/>
          <w:sz w:val="24"/>
          <w:szCs w:val="24"/>
        </w:rPr>
        <w:lastRenderedPageBreak/>
        <w:t>3.6 Emerging Technologies in Index Mineral Detection</w:t>
      </w:r>
    </w:p>
    <w:p w14:paraId="7D7F6564" w14:textId="77777777" w:rsidR="003F5F64" w:rsidRPr="003F5F64" w:rsidRDefault="003F5F64" w:rsidP="003F5F64">
      <w:pPr>
        <w:spacing w:before="100" w:beforeAutospacing="1" w:after="100" w:afterAutospacing="1" w:line="240" w:lineRule="auto"/>
        <w:jc w:val="both"/>
        <w:rPr>
          <w:rFonts w:ascii="Times New Roman" w:eastAsia="Times New Roman" w:hAnsi="Times New Roman" w:cs="Times New Roman"/>
          <w:sz w:val="24"/>
          <w:szCs w:val="24"/>
        </w:rPr>
      </w:pPr>
      <w:r w:rsidRPr="003F5F64">
        <w:rPr>
          <w:rFonts w:ascii="Times New Roman" w:eastAsia="Times New Roman" w:hAnsi="Times New Roman" w:cs="Times New Roman"/>
          <w:sz w:val="24"/>
          <w:szCs w:val="24"/>
        </w:rPr>
        <w:t>Modern exploration technologies are transforming the use of index minerals in mineral exploration. Hyperspectral imaging systems can detect subtle variations in mineral composition based on their spectral signatures. Portable spectrometers allow rapid identification of alteration minerals directly in the field.</w:t>
      </w:r>
    </w:p>
    <w:p w14:paraId="1B61B806" w14:textId="77777777" w:rsidR="003F5F64" w:rsidRPr="003F5F64" w:rsidRDefault="003F5F64" w:rsidP="003F5F64">
      <w:pPr>
        <w:spacing w:before="100" w:beforeAutospacing="1" w:after="100" w:afterAutospacing="1" w:line="240" w:lineRule="auto"/>
        <w:jc w:val="both"/>
        <w:rPr>
          <w:rFonts w:ascii="Times New Roman" w:eastAsia="Times New Roman" w:hAnsi="Times New Roman" w:cs="Times New Roman"/>
          <w:sz w:val="24"/>
          <w:szCs w:val="24"/>
        </w:rPr>
      </w:pPr>
      <w:r w:rsidRPr="003F5F64">
        <w:rPr>
          <w:rFonts w:ascii="Times New Roman" w:eastAsia="Times New Roman" w:hAnsi="Times New Roman" w:cs="Times New Roman"/>
          <w:sz w:val="24"/>
          <w:szCs w:val="24"/>
        </w:rPr>
        <w:t>Machine learning algorithms are also increasingly used to analyze large geological datasets. By integrating mineralogical data with geochemical and geophysical information, these models can predict the location of concealed mineral deposits that may not be exposed at the surface.</w:t>
      </w:r>
    </w:p>
    <w:p w14:paraId="0EDD7A0D" w14:textId="77777777" w:rsidR="003F5F64" w:rsidRPr="003F5F64" w:rsidRDefault="003F5F64" w:rsidP="003F5F64">
      <w:pPr>
        <w:spacing w:before="100" w:beforeAutospacing="1" w:after="100" w:afterAutospacing="1" w:line="240" w:lineRule="auto"/>
        <w:jc w:val="both"/>
        <w:rPr>
          <w:rFonts w:ascii="Times New Roman" w:eastAsia="Times New Roman" w:hAnsi="Times New Roman" w:cs="Times New Roman"/>
          <w:sz w:val="24"/>
          <w:szCs w:val="24"/>
        </w:rPr>
      </w:pPr>
      <w:r w:rsidRPr="003F5F64">
        <w:rPr>
          <w:rFonts w:ascii="Times New Roman" w:eastAsia="Times New Roman" w:hAnsi="Times New Roman" w:cs="Times New Roman"/>
          <w:sz w:val="24"/>
          <w:szCs w:val="24"/>
        </w:rPr>
        <w:t>These technological developments significantly enhance the effectiveness of index mineral analysis and improve the accuracy of exploration targeting.</w:t>
      </w:r>
    </w:p>
    <w:p w14:paraId="619FFD38" w14:textId="77777777" w:rsidR="003F5F64" w:rsidRPr="003F5F64" w:rsidRDefault="003F5F64" w:rsidP="003F5F64">
      <w:pPr>
        <w:spacing w:before="100" w:beforeAutospacing="1" w:after="100" w:afterAutospacing="1" w:line="240" w:lineRule="auto"/>
        <w:jc w:val="both"/>
        <w:outlineLvl w:val="0"/>
        <w:rPr>
          <w:rFonts w:ascii="Times New Roman" w:eastAsia="Times New Roman" w:hAnsi="Times New Roman" w:cs="Times New Roman"/>
          <w:b/>
          <w:bCs/>
          <w:kern w:val="36"/>
          <w:sz w:val="24"/>
          <w:szCs w:val="24"/>
        </w:rPr>
      </w:pPr>
      <w:r w:rsidRPr="003F5F64">
        <w:rPr>
          <w:rFonts w:ascii="Times New Roman" w:eastAsia="Times New Roman" w:hAnsi="Times New Roman" w:cs="Times New Roman"/>
          <w:b/>
          <w:bCs/>
          <w:kern w:val="36"/>
          <w:sz w:val="24"/>
          <w:szCs w:val="24"/>
        </w:rPr>
        <w:t>4. Conclusion</w:t>
      </w:r>
    </w:p>
    <w:p w14:paraId="51C22589" w14:textId="77777777" w:rsidR="003F5F64" w:rsidRPr="003F5F64" w:rsidRDefault="003F5F64" w:rsidP="003F5F64">
      <w:pPr>
        <w:spacing w:before="100" w:beforeAutospacing="1" w:after="100" w:afterAutospacing="1" w:line="240" w:lineRule="auto"/>
        <w:jc w:val="both"/>
        <w:rPr>
          <w:rFonts w:ascii="Times New Roman" w:eastAsia="Times New Roman" w:hAnsi="Times New Roman" w:cs="Times New Roman"/>
          <w:sz w:val="24"/>
          <w:szCs w:val="24"/>
        </w:rPr>
      </w:pPr>
      <w:r w:rsidRPr="003F5F64">
        <w:rPr>
          <w:rFonts w:ascii="Times New Roman" w:eastAsia="Times New Roman" w:hAnsi="Times New Roman" w:cs="Times New Roman"/>
          <w:sz w:val="24"/>
          <w:szCs w:val="24"/>
        </w:rPr>
        <w:t>Index minerals remain fundamental tools in mineral exploration because they provide reliable indicators of metamorphic conditions and fluid evolution within geological terrains. Their occurrence allows geologists to reconstruct metamorphic gradients, identify zones of fluid generation, and locate favorable environments for ore deposition.</w:t>
      </w:r>
    </w:p>
    <w:p w14:paraId="2026CA98" w14:textId="77777777" w:rsidR="003F5F64" w:rsidRPr="003F5F64" w:rsidRDefault="003F5F64" w:rsidP="003F5F64">
      <w:pPr>
        <w:spacing w:before="100" w:beforeAutospacing="1" w:after="100" w:afterAutospacing="1" w:line="240" w:lineRule="auto"/>
        <w:jc w:val="both"/>
        <w:rPr>
          <w:rFonts w:ascii="Times New Roman" w:eastAsia="Times New Roman" w:hAnsi="Times New Roman" w:cs="Times New Roman"/>
          <w:sz w:val="24"/>
          <w:szCs w:val="24"/>
        </w:rPr>
      </w:pPr>
      <w:r w:rsidRPr="003F5F64">
        <w:rPr>
          <w:rFonts w:ascii="Times New Roman" w:eastAsia="Times New Roman" w:hAnsi="Times New Roman" w:cs="Times New Roman"/>
          <w:sz w:val="24"/>
          <w:szCs w:val="24"/>
        </w:rPr>
        <w:t>Case studies from the Abitibi Greenstone Belt and the Broken Hill demonstrate how index mineral mapping can significantly improve exploration targeting. Minerals such as garnet, staurolite, sillimanite, and gahnite serve as valuable pathfinders that help locate concealed ore deposits.</w:t>
      </w:r>
    </w:p>
    <w:p w14:paraId="0B36EA2F" w14:textId="77777777" w:rsidR="003F5F64" w:rsidRPr="003F5F64" w:rsidRDefault="003F5F64" w:rsidP="003F5F64">
      <w:pPr>
        <w:spacing w:before="100" w:beforeAutospacing="1" w:after="100" w:afterAutospacing="1" w:line="240" w:lineRule="auto"/>
        <w:jc w:val="both"/>
        <w:rPr>
          <w:rFonts w:ascii="Times New Roman" w:eastAsia="Times New Roman" w:hAnsi="Times New Roman" w:cs="Times New Roman"/>
          <w:sz w:val="24"/>
          <w:szCs w:val="24"/>
        </w:rPr>
      </w:pPr>
      <w:r w:rsidRPr="003F5F64">
        <w:rPr>
          <w:rFonts w:ascii="Times New Roman" w:eastAsia="Times New Roman" w:hAnsi="Times New Roman" w:cs="Times New Roman"/>
          <w:sz w:val="24"/>
          <w:szCs w:val="24"/>
        </w:rPr>
        <w:t>Although challenges such as retrograde metamorphism and compositional constraints exist, advances in hyperspectral mineral</w:t>
      </w:r>
      <w:r w:rsidR="00B53962">
        <w:rPr>
          <w:rFonts w:ascii="Times New Roman" w:eastAsia="Times New Roman" w:hAnsi="Times New Roman" w:cs="Times New Roman"/>
          <w:sz w:val="24"/>
          <w:szCs w:val="24"/>
        </w:rPr>
        <w:t xml:space="preserve"> detection and machine learning </w:t>
      </w:r>
      <w:r w:rsidRPr="003F5F64">
        <w:rPr>
          <w:rFonts w:ascii="Times New Roman" w:eastAsia="Times New Roman" w:hAnsi="Times New Roman" w:cs="Times New Roman"/>
          <w:sz w:val="24"/>
          <w:szCs w:val="24"/>
        </w:rPr>
        <w:t>based exploration models are enhancing the reliability of mineral vectoring techniques. The integration of classical metamorphic mineralogy with modern analytical technologies is therefore expected to play an increasingly important role in future mineral exploration programs.</w:t>
      </w:r>
    </w:p>
    <w:p w14:paraId="54C2D30E" w14:textId="77777777" w:rsidR="006A1161" w:rsidRDefault="006A1161" w:rsidP="003F5F64">
      <w:pPr>
        <w:spacing w:before="100" w:beforeAutospacing="1" w:after="100" w:afterAutospacing="1" w:line="240" w:lineRule="auto"/>
        <w:jc w:val="both"/>
        <w:outlineLvl w:val="0"/>
        <w:rPr>
          <w:rFonts w:ascii="Times New Roman" w:eastAsia="Times New Roman" w:hAnsi="Times New Roman" w:cs="Times New Roman"/>
          <w:b/>
          <w:bCs/>
          <w:kern w:val="36"/>
          <w:sz w:val="24"/>
          <w:szCs w:val="24"/>
        </w:rPr>
      </w:pPr>
    </w:p>
    <w:p w14:paraId="5127B2F3" w14:textId="77777777" w:rsidR="003F5F64" w:rsidRDefault="003F5F64" w:rsidP="003F5F64">
      <w:pPr>
        <w:spacing w:before="100" w:beforeAutospacing="1" w:after="100" w:afterAutospacing="1" w:line="240" w:lineRule="auto"/>
        <w:jc w:val="both"/>
        <w:outlineLvl w:val="0"/>
        <w:rPr>
          <w:rFonts w:ascii="Times New Roman" w:eastAsia="Times New Roman" w:hAnsi="Times New Roman" w:cs="Times New Roman"/>
          <w:b/>
          <w:bCs/>
          <w:kern w:val="36"/>
          <w:sz w:val="24"/>
          <w:szCs w:val="24"/>
        </w:rPr>
      </w:pPr>
      <w:r w:rsidRPr="003F5F64">
        <w:rPr>
          <w:rFonts w:ascii="Times New Roman" w:eastAsia="Times New Roman" w:hAnsi="Times New Roman" w:cs="Times New Roman"/>
          <w:b/>
          <w:bCs/>
          <w:kern w:val="36"/>
          <w:sz w:val="24"/>
          <w:szCs w:val="24"/>
        </w:rPr>
        <w:t>References</w:t>
      </w:r>
    </w:p>
    <w:p w14:paraId="7B08FF92" w14:textId="77777777" w:rsidR="00CD7829" w:rsidRPr="00A52E6D" w:rsidRDefault="00CD7829" w:rsidP="00CD7829">
      <w:pPr>
        <w:spacing w:before="100" w:beforeAutospacing="1" w:after="100" w:afterAutospacing="1" w:line="240" w:lineRule="auto"/>
        <w:rPr>
          <w:rFonts w:ascii="Times New Roman" w:eastAsia="Times New Roman" w:hAnsi="Times New Roman" w:cs="Times New Roman"/>
          <w:sz w:val="24"/>
          <w:szCs w:val="24"/>
        </w:rPr>
      </w:pPr>
      <w:r w:rsidRPr="00A52E6D">
        <w:rPr>
          <w:rFonts w:ascii="Times New Roman" w:eastAsia="Times New Roman" w:hAnsi="Times New Roman" w:cs="Times New Roman"/>
          <w:sz w:val="24"/>
          <w:szCs w:val="24"/>
        </w:rPr>
        <w:t xml:space="preserve">Arribas, A. (1995). Characteristics of high-sulfidation epithermal deposits, and their relation to magmatic fluid. </w:t>
      </w:r>
      <w:r w:rsidRPr="00A52E6D">
        <w:rPr>
          <w:rFonts w:ascii="Times New Roman" w:eastAsia="Times New Roman" w:hAnsi="Times New Roman" w:cs="Times New Roman"/>
          <w:i/>
          <w:iCs/>
          <w:sz w:val="24"/>
          <w:szCs w:val="24"/>
        </w:rPr>
        <w:t>Mineralogical Association of Canada Short Course Series, 23</w:t>
      </w:r>
      <w:r w:rsidRPr="00A52E6D">
        <w:rPr>
          <w:rFonts w:ascii="Times New Roman" w:eastAsia="Times New Roman" w:hAnsi="Times New Roman" w:cs="Times New Roman"/>
          <w:sz w:val="24"/>
          <w:szCs w:val="24"/>
        </w:rPr>
        <w:t>, 419–454.</w:t>
      </w:r>
    </w:p>
    <w:p w14:paraId="23418870" w14:textId="77777777" w:rsidR="00D169C5" w:rsidRDefault="00D169C5" w:rsidP="00D169C5">
      <w:pPr>
        <w:spacing w:before="100" w:beforeAutospacing="1" w:after="100" w:afterAutospacing="1" w:line="240" w:lineRule="auto"/>
        <w:jc w:val="both"/>
        <w:outlineLvl w:val="0"/>
        <w:rPr>
          <w:rFonts w:ascii="Times New Roman" w:hAnsi="Times New Roman" w:cs="Times New Roman"/>
          <w:sz w:val="24"/>
          <w:szCs w:val="24"/>
        </w:rPr>
      </w:pPr>
      <w:r w:rsidRPr="00B162F0">
        <w:rPr>
          <w:rFonts w:ascii="Times New Roman" w:hAnsi="Times New Roman" w:cs="Times New Roman"/>
          <w:sz w:val="24"/>
          <w:szCs w:val="24"/>
        </w:rPr>
        <w:t xml:space="preserve">Ayer, J.A., Thurston, P.C., Bateman, R., Dubé, B., Gibson, H.L., Hamilton, M.A., Hathway, B., </w:t>
      </w:r>
      <w:proofErr w:type="spellStart"/>
      <w:r w:rsidRPr="00B162F0">
        <w:rPr>
          <w:rFonts w:ascii="Times New Roman" w:hAnsi="Times New Roman" w:cs="Times New Roman"/>
          <w:sz w:val="24"/>
          <w:szCs w:val="24"/>
        </w:rPr>
        <w:t>Hocker</w:t>
      </w:r>
      <w:proofErr w:type="spellEnd"/>
      <w:r w:rsidRPr="00B162F0">
        <w:rPr>
          <w:rFonts w:ascii="Times New Roman" w:hAnsi="Times New Roman" w:cs="Times New Roman"/>
          <w:sz w:val="24"/>
          <w:szCs w:val="24"/>
        </w:rPr>
        <w:t xml:space="preserve">, S.M., </w:t>
      </w:r>
      <w:proofErr w:type="spellStart"/>
      <w:r w:rsidRPr="00B162F0">
        <w:rPr>
          <w:rFonts w:ascii="Times New Roman" w:hAnsi="Times New Roman" w:cs="Times New Roman"/>
          <w:sz w:val="24"/>
          <w:szCs w:val="24"/>
        </w:rPr>
        <w:t>Houlé</w:t>
      </w:r>
      <w:proofErr w:type="spellEnd"/>
      <w:r w:rsidRPr="00B162F0">
        <w:rPr>
          <w:rFonts w:ascii="Times New Roman" w:hAnsi="Times New Roman" w:cs="Times New Roman"/>
          <w:sz w:val="24"/>
          <w:szCs w:val="24"/>
        </w:rPr>
        <w:t xml:space="preserve">, M.G., Hudak, G., Ispolatov, V.O., Lafrance, B., Lesher, C.M., MacDonald, P.J., </w:t>
      </w:r>
      <w:proofErr w:type="spellStart"/>
      <w:r w:rsidRPr="00B162F0">
        <w:rPr>
          <w:rFonts w:ascii="Times New Roman" w:hAnsi="Times New Roman" w:cs="Times New Roman"/>
          <w:sz w:val="24"/>
          <w:szCs w:val="24"/>
        </w:rPr>
        <w:t>Péloquin</w:t>
      </w:r>
      <w:proofErr w:type="spellEnd"/>
      <w:r w:rsidRPr="00B162F0">
        <w:rPr>
          <w:rFonts w:ascii="Times New Roman" w:hAnsi="Times New Roman" w:cs="Times New Roman"/>
          <w:sz w:val="24"/>
          <w:szCs w:val="24"/>
        </w:rPr>
        <w:t xml:space="preserve">, A.S., </w:t>
      </w:r>
      <w:proofErr w:type="spellStart"/>
      <w:r w:rsidRPr="00B162F0">
        <w:rPr>
          <w:rFonts w:ascii="Times New Roman" w:hAnsi="Times New Roman" w:cs="Times New Roman"/>
          <w:sz w:val="24"/>
          <w:szCs w:val="24"/>
        </w:rPr>
        <w:t>Piercey</w:t>
      </w:r>
      <w:proofErr w:type="spellEnd"/>
      <w:r w:rsidRPr="00B162F0">
        <w:rPr>
          <w:rFonts w:ascii="Times New Roman" w:hAnsi="Times New Roman" w:cs="Times New Roman"/>
          <w:sz w:val="24"/>
          <w:szCs w:val="24"/>
        </w:rPr>
        <w:t>, S.J., Reed, L.E., Thompson, P. H.,</w:t>
      </w:r>
      <w:r w:rsidR="00CD7829">
        <w:rPr>
          <w:rFonts w:ascii="Times New Roman" w:hAnsi="Times New Roman" w:cs="Times New Roman"/>
          <w:sz w:val="24"/>
          <w:szCs w:val="24"/>
        </w:rPr>
        <w:t>(</w:t>
      </w:r>
      <w:r w:rsidRPr="00B162F0">
        <w:rPr>
          <w:rFonts w:ascii="Times New Roman" w:hAnsi="Times New Roman" w:cs="Times New Roman"/>
          <w:sz w:val="24"/>
          <w:szCs w:val="24"/>
        </w:rPr>
        <w:t xml:space="preserve"> 2005</w:t>
      </w:r>
      <w:r w:rsidR="00CD7829">
        <w:rPr>
          <w:rFonts w:ascii="Times New Roman" w:hAnsi="Times New Roman" w:cs="Times New Roman"/>
          <w:sz w:val="24"/>
          <w:szCs w:val="24"/>
        </w:rPr>
        <w:t>)</w:t>
      </w:r>
      <w:r w:rsidRPr="00B162F0">
        <w:rPr>
          <w:rFonts w:ascii="Times New Roman" w:hAnsi="Times New Roman" w:cs="Times New Roman"/>
          <w:sz w:val="24"/>
          <w:szCs w:val="24"/>
        </w:rPr>
        <w:t>. Overview of results from the Greenstone Architecture Project: Discover Abitibi Initiative. Ontario Geological Survey</w:t>
      </w:r>
      <w:r w:rsidRPr="00CD7829">
        <w:rPr>
          <w:rFonts w:ascii="Times New Roman" w:hAnsi="Times New Roman" w:cs="Times New Roman"/>
          <w:i/>
          <w:sz w:val="24"/>
          <w:szCs w:val="24"/>
        </w:rPr>
        <w:t>; Open File Report 6154,</w:t>
      </w:r>
      <w:r w:rsidRPr="00B162F0">
        <w:rPr>
          <w:rFonts w:ascii="Times New Roman" w:hAnsi="Times New Roman" w:cs="Times New Roman"/>
          <w:sz w:val="24"/>
          <w:szCs w:val="24"/>
        </w:rPr>
        <w:t xml:space="preserve"> p. 146.</w:t>
      </w:r>
    </w:p>
    <w:p w14:paraId="241C0908" w14:textId="77777777" w:rsidR="00CD7829" w:rsidRDefault="00CD7829" w:rsidP="00CD7829">
      <w:pPr>
        <w:spacing w:before="100" w:beforeAutospacing="1" w:after="100" w:afterAutospacing="1" w:line="240" w:lineRule="auto"/>
        <w:rPr>
          <w:rFonts w:ascii="Times New Roman" w:eastAsia="Times New Roman" w:hAnsi="Times New Roman" w:cs="Times New Roman"/>
          <w:sz w:val="24"/>
          <w:szCs w:val="24"/>
        </w:rPr>
      </w:pPr>
      <w:r w:rsidRPr="00B162F0">
        <w:rPr>
          <w:rFonts w:ascii="Times New Roman" w:hAnsi="Times New Roman" w:cs="Times New Roman"/>
          <w:sz w:val="24"/>
          <w:szCs w:val="24"/>
        </w:rPr>
        <w:t xml:space="preserve">Ayer, J. A., Amelin, Y., Corfu, F., Kamo, S., Ketchum, J., Kwok, K., &amp; Trowell, N. (2002). Evolution of the southern Abitibi greenstone belt based on U-Pb geochronology: Autochthonous </w:t>
      </w:r>
      <w:r w:rsidRPr="00B162F0">
        <w:rPr>
          <w:rFonts w:ascii="Times New Roman" w:hAnsi="Times New Roman" w:cs="Times New Roman"/>
          <w:sz w:val="24"/>
          <w:szCs w:val="24"/>
        </w:rPr>
        <w:lastRenderedPageBreak/>
        <w:t xml:space="preserve">volcanic construction followed by plutonism, regional deformation and sedimentation. </w:t>
      </w:r>
      <w:r w:rsidRPr="00B162F0">
        <w:rPr>
          <w:rStyle w:val="Emphasis"/>
          <w:rFonts w:ascii="Times New Roman" w:hAnsi="Times New Roman" w:cs="Times New Roman"/>
          <w:sz w:val="24"/>
          <w:szCs w:val="24"/>
        </w:rPr>
        <w:t>Precambrian Research, 115</w:t>
      </w:r>
      <w:r w:rsidRPr="00B162F0">
        <w:rPr>
          <w:rFonts w:ascii="Times New Roman" w:hAnsi="Times New Roman" w:cs="Times New Roman"/>
          <w:sz w:val="24"/>
          <w:szCs w:val="24"/>
        </w:rPr>
        <w:t>(1), 63–95.</w:t>
      </w:r>
      <w:r>
        <w:rPr>
          <w:rFonts w:ascii="Times New Roman" w:hAnsi="Times New Roman" w:cs="Times New Roman"/>
          <w:sz w:val="24"/>
          <w:szCs w:val="24"/>
        </w:rPr>
        <w:tab/>
      </w:r>
      <w:r>
        <w:rPr>
          <w:rFonts w:ascii="Times New Roman" w:hAnsi="Times New Roman" w:cs="Times New Roman"/>
          <w:sz w:val="24"/>
          <w:szCs w:val="24"/>
        </w:rPr>
        <w:br/>
      </w:r>
      <w:r>
        <w:rPr>
          <w:rFonts w:ascii="Times New Roman" w:hAnsi="Times New Roman" w:cs="Times New Roman"/>
          <w:sz w:val="24"/>
          <w:szCs w:val="24"/>
        </w:rPr>
        <w:br/>
      </w:r>
      <w:r w:rsidRPr="00A52E6D">
        <w:rPr>
          <w:rFonts w:ascii="Times New Roman" w:eastAsia="Times New Roman" w:hAnsi="Times New Roman" w:cs="Times New Roman"/>
          <w:sz w:val="24"/>
          <w:szCs w:val="24"/>
        </w:rPr>
        <w:t xml:space="preserve">Ballard, J. R., Palin, M. J., &amp; Campbell, I. H. (2002). Relative oxidation states of magmas inferred from </w:t>
      </w:r>
      <w:proofErr w:type="gramStart"/>
      <w:r w:rsidRPr="00A52E6D">
        <w:rPr>
          <w:rFonts w:ascii="Times New Roman" w:eastAsia="Times New Roman" w:hAnsi="Times New Roman" w:cs="Times New Roman"/>
          <w:sz w:val="24"/>
          <w:szCs w:val="24"/>
        </w:rPr>
        <w:t>Ce(</w:t>
      </w:r>
      <w:proofErr w:type="gramEnd"/>
      <w:r w:rsidRPr="00A52E6D">
        <w:rPr>
          <w:rFonts w:ascii="Times New Roman" w:eastAsia="Times New Roman" w:hAnsi="Times New Roman" w:cs="Times New Roman"/>
          <w:sz w:val="24"/>
          <w:szCs w:val="24"/>
        </w:rPr>
        <w:t xml:space="preserve">IV)/Ce(III) in zircon: Application to porphyry copper deposits of northern Chile. </w:t>
      </w:r>
      <w:r w:rsidRPr="00A52E6D">
        <w:rPr>
          <w:rFonts w:ascii="Times New Roman" w:eastAsia="Times New Roman" w:hAnsi="Times New Roman" w:cs="Times New Roman"/>
          <w:i/>
          <w:iCs/>
          <w:sz w:val="24"/>
          <w:szCs w:val="24"/>
        </w:rPr>
        <w:t>Contributions to Mineralogy and Petrology, 144</w:t>
      </w:r>
      <w:r w:rsidRPr="00A52E6D">
        <w:rPr>
          <w:rFonts w:ascii="Times New Roman" w:eastAsia="Times New Roman" w:hAnsi="Times New Roman" w:cs="Times New Roman"/>
          <w:sz w:val="24"/>
          <w:szCs w:val="24"/>
        </w:rPr>
        <w:t>(3), 347–364.</w:t>
      </w:r>
    </w:p>
    <w:p w14:paraId="6293314D" w14:textId="77777777" w:rsidR="00B914E2" w:rsidRPr="00B914E2" w:rsidRDefault="00B914E2" w:rsidP="00CD7829">
      <w:pPr>
        <w:spacing w:before="100" w:beforeAutospacing="1" w:after="100" w:afterAutospacing="1" w:line="240" w:lineRule="auto"/>
        <w:rPr>
          <w:rFonts w:ascii="Times New Roman" w:eastAsia="Times New Roman" w:hAnsi="Times New Roman" w:cs="Times New Roman"/>
          <w:sz w:val="24"/>
          <w:szCs w:val="24"/>
        </w:rPr>
      </w:pPr>
      <w:r w:rsidRPr="00B914E2">
        <w:rPr>
          <w:rFonts w:ascii="Times New Roman" w:hAnsi="Times New Roman" w:cs="Times New Roman"/>
          <w:color w:val="222222"/>
          <w:sz w:val="24"/>
          <w:szCs w:val="24"/>
          <w:shd w:val="clear" w:color="auto" w:fill="FFFFFF"/>
        </w:rPr>
        <w:t>Bédard, J. H., &amp; Harris, L. B. (2014). Neoarchean disaggregation and reassembly of the Superior craton. </w:t>
      </w:r>
      <w:r w:rsidRPr="00B914E2">
        <w:rPr>
          <w:rFonts w:ascii="Times New Roman" w:hAnsi="Times New Roman" w:cs="Times New Roman"/>
          <w:i/>
          <w:iCs/>
          <w:color w:val="222222"/>
          <w:sz w:val="24"/>
          <w:szCs w:val="24"/>
          <w:shd w:val="clear" w:color="auto" w:fill="FFFFFF"/>
        </w:rPr>
        <w:t>Geology</w:t>
      </w:r>
      <w:r w:rsidRPr="00B914E2">
        <w:rPr>
          <w:rFonts w:ascii="Times New Roman" w:hAnsi="Times New Roman" w:cs="Times New Roman"/>
          <w:color w:val="222222"/>
          <w:sz w:val="24"/>
          <w:szCs w:val="24"/>
          <w:shd w:val="clear" w:color="auto" w:fill="FFFFFF"/>
        </w:rPr>
        <w:t>, </w:t>
      </w:r>
      <w:r w:rsidRPr="00B914E2">
        <w:rPr>
          <w:rFonts w:ascii="Times New Roman" w:hAnsi="Times New Roman" w:cs="Times New Roman"/>
          <w:i/>
          <w:iCs/>
          <w:color w:val="222222"/>
          <w:sz w:val="24"/>
          <w:szCs w:val="24"/>
          <w:shd w:val="clear" w:color="auto" w:fill="FFFFFF"/>
        </w:rPr>
        <w:t>42</w:t>
      </w:r>
      <w:r w:rsidRPr="00B914E2">
        <w:rPr>
          <w:rFonts w:ascii="Times New Roman" w:hAnsi="Times New Roman" w:cs="Times New Roman"/>
          <w:color w:val="222222"/>
          <w:sz w:val="24"/>
          <w:szCs w:val="24"/>
          <w:shd w:val="clear" w:color="auto" w:fill="FFFFFF"/>
        </w:rPr>
        <w:t>(11), 951-954.</w:t>
      </w:r>
    </w:p>
    <w:p w14:paraId="43D7360F" w14:textId="77777777" w:rsidR="00D169C5" w:rsidRDefault="00D169C5" w:rsidP="00D169C5">
      <w:pPr>
        <w:pStyle w:val="NormalWeb"/>
      </w:pPr>
      <w:r>
        <w:t xml:space="preserve">Bucher, K., &amp; Grapes, R. (2011). </w:t>
      </w:r>
      <w:r>
        <w:rPr>
          <w:rStyle w:val="Emphasis"/>
        </w:rPr>
        <w:t>Petrogenesis of metamorphic rocks</w:t>
      </w:r>
      <w:r>
        <w:t xml:space="preserve"> (8th ed.). Springer.</w:t>
      </w:r>
    </w:p>
    <w:p w14:paraId="3241A42F" w14:textId="77777777" w:rsidR="00D169C5" w:rsidRDefault="00D169C5" w:rsidP="00D169C5">
      <w:pPr>
        <w:spacing w:before="100" w:beforeAutospacing="1" w:after="100" w:afterAutospacing="1" w:line="240" w:lineRule="auto"/>
        <w:jc w:val="both"/>
        <w:rPr>
          <w:rFonts w:ascii="Times New Roman" w:hAnsi="Times New Roman" w:cs="Times New Roman"/>
          <w:sz w:val="24"/>
          <w:szCs w:val="24"/>
        </w:rPr>
      </w:pPr>
      <w:r w:rsidRPr="00C22E2B">
        <w:rPr>
          <w:rFonts w:ascii="Times New Roman" w:hAnsi="Times New Roman" w:cs="Times New Roman"/>
          <w:sz w:val="24"/>
          <w:szCs w:val="24"/>
        </w:rPr>
        <w:t xml:space="preserve">Corfu, F. (1993). The evolution of the southern Abitibi greenstone belt in light of precise U-Pb geochronology. Econ. Geol. 88 (6), 1323–1340. </w:t>
      </w:r>
    </w:p>
    <w:p w14:paraId="1B446489" w14:textId="77777777" w:rsidR="00D169C5" w:rsidRPr="00D169C5" w:rsidRDefault="00D169C5" w:rsidP="00D169C5">
      <w:pPr>
        <w:spacing w:before="240"/>
        <w:jc w:val="both"/>
        <w:rPr>
          <w:rFonts w:ascii="Times New Roman" w:hAnsi="Times New Roman" w:cs="Times New Roman"/>
          <w:sz w:val="24"/>
          <w:szCs w:val="24"/>
        </w:rPr>
      </w:pPr>
      <w:r w:rsidRPr="00CD030B">
        <w:rPr>
          <w:rFonts w:ascii="Times New Roman" w:hAnsi="Times New Roman" w:cs="Times New Roman"/>
          <w:sz w:val="24"/>
          <w:szCs w:val="24"/>
        </w:rPr>
        <w:t xml:space="preserve">Corfu, F., Jackson, S.L., Sutcliffe, R.H. (1991). U–Pb ages and tectonic significance of late alkalic magmatism and non-Archean sedimentation in the Timiskaming Group, southern Abitibi belt, Ontario. </w:t>
      </w:r>
      <w:r w:rsidRPr="00CD030B">
        <w:rPr>
          <w:rStyle w:val="Emphasis"/>
          <w:rFonts w:ascii="Times New Roman" w:hAnsi="Times New Roman" w:cs="Times New Roman"/>
          <w:sz w:val="24"/>
          <w:szCs w:val="24"/>
        </w:rPr>
        <w:t>Canadian Journal of Earth Sciences</w:t>
      </w:r>
      <w:r w:rsidRPr="00CD030B">
        <w:rPr>
          <w:rFonts w:ascii="Times New Roman" w:hAnsi="Times New Roman" w:cs="Times New Roman"/>
          <w:sz w:val="24"/>
          <w:szCs w:val="24"/>
        </w:rPr>
        <w:t xml:space="preserve"> 28 (4), 489–503.</w:t>
      </w:r>
    </w:p>
    <w:p w14:paraId="29D19DDC" w14:textId="77777777" w:rsidR="00D169C5" w:rsidRDefault="00D169C5" w:rsidP="00D169C5">
      <w:pPr>
        <w:spacing w:before="100" w:beforeAutospacing="1" w:after="100" w:afterAutospacing="1" w:line="240" w:lineRule="auto"/>
        <w:jc w:val="both"/>
        <w:rPr>
          <w:rFonts w:ascii="Times New Roman" w:hAnsi="Times New Roman" w:cs="Times New Roman"/>
          <w:sz w:val="24"/>
          <w:szCs w:val="24"/>
        </w:rPr>
      </w:pPr>
      <w:r w:rsidRPr="00C22E2B">
        <w:rPr>
          <w:rFonts w:ascii="Times New Roman" w:hAnsi="Times New Roman" w:cs="Times New Roman"/>
          <w:sz w:val="24"/>
          <w:szCs w:val="24"/>
        </w:rPr>
        <w:t xml:space="preserve">Daigneault, R., Mueller, W.U., Chown, E.H. (2002). Oblique Archean subduction: accretion and exhumation of an oceanic arc during dextral </w:t>
      </w:r>
      <w:proofErr w:type="spellStart"/>
      <w:r w:rsidRPr="00C22E2B">
        <w:rPr>
          <w:rFonts w:ascii="Times New Roman" w:hAnsi="Times New Roman" w:cs="Times New Roman"/>
          <w:sz w:val="24"/>
          <w:szCs w:val="24"/>
        </w:rPr>
        <w:t>transpression</w:t>
      </w:r>
      <w:proofErr w:type="spellEnd"/>
      <w:r w:rsidRPr="00C22E2B">
        <w:rPr>
          <w:rFonts w:ascii="Times New Roman" w:hAnsi="Times New Roman" w:cs="Times New Roman"/>
          <w:sz w:val="24"/>
          <w:szCs w:val="24"/>
        </w:rPr>
        <w:t xml:space="preserve">, Southern Volcanic Zone, Abitibi </w:t>
      </w:r>
      <w:proofErr w:type="spellStart"/>
      <w:r w:rsidRPr="00C22E2B">
        <w:rPr>
          <w:rFonts w:ascii="Times New Roman" w:hAnsi="Times New Roman" w:cs="Times New Roman"/>
          <w:sz w:val="24"/>
          <w:szCs w:val="24"/>
        </w:rPr>
        <w:t>Subprovince</w:t>
      </w:r>
      <w:proofErr w:type="spellEnd"/>
      <w:r w:rsidRPr="00C22E2B">
        <w:rPr>
          <w:rFonts w:ascii="Times New Roman" w:hAnsi="Times New Roman" w:cs="Times New Roman"/>
          <w:sz w:val="24"/>
          <w:szCs w:val="24"/>
        </w:rPr>
        <w:t xml:space="preserve"> Canada. Precambrian Res. 115 (1), 261–290. </w:t>
      </w:r>
    </w:p>
    <w:p w14:paraId="69A1BC56" w14:textId="77777777" w:rsidR="00D169C5" w:rsidRPr="00D169C5" w:rsidRDefault="00D169C5" w:rsidP="00D169C5">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Dube, B., &amp; Gosselin, P.</w:t>
      </w:r>
      <w:r w:rsidRPr="00C64BB7">
        <w:rPr>
          <w:rFonts w:ascii="Times New Roman" w:hAnsi="Times New Roman" w:cs="Times New Roman"/>
          <w:sz w:val="24"/>
          <w:szCs w:val="24"/>
        </w:rPr>
        <w:t xml:space="preserve"> </w:t>
      </w:r>
      <w:r>
        <w:rPr>
          <w:rFonts w:ascii="Times New Roman" w:hAnsi="Times New Roman" w:cs="Times New Roman"/>
          <w:sz w:val="24"/>
          <w:szCs w:val="24"/>
        </w:rPr>
        <w:t>(</w:t>
      </w:r>
      <w:r w:rsidRPr="00C64BB7">
        <w:rPr>
          <w:rFonts w:ascii="Times New Roman" w:hAnsi="Times New Roman" w:cs="Times New Roman"/>
          <w:sz w:val="24"/>
          <w:szCs w:val="24"/>
        </w:rPr>
        <w:t>2007</w:t>
      </w:r>
      <w:r>
        <w:rPr>
          <w:rFonts w:ascii="Times New Roman" w:hAnsi="Times New Roman" w:cs="Times New Roman"/>
          <w:sz w:val="24"/>
          <w:szCs w:val="24"/>
        </w:rPr>
        <w:t>)</w:t>
      </w:r>
      <w:r w:rsidRPr="00C64BB7">
        <w:rPr>
          <w:rFonts w:ascii="Times New Roman" w:hAnsi="Times New Roman" w:cs="Times New Roman"/>
          <w:sz w:val="24"/>
          <w:szCs w:val="24"/>
        </w:rPr>
        <w:t>. Greenstone-hosted quartz-carbonate vein deposits. Mineral Deposits of Canada: A synthesis of major deposit-types, district metallogeny, the evolution of geological provinces, and exploration methods. Geol. Assoc. Can. Miner. Deposits Div. Spec. Publ. 5, 49–73.</w:t>
      </w:r>
    </w:p>
    <w:p w14:paraId="7CC33104" w14:textId="77777777" w:rsidR="00D169C5" w:rsidRDefault="00D169C5" w:rsidP="00D169C5">
      <w:pPr>
        <w:pStyle w:val="NormalWeb"/>
      </w:pPr>
      <w:r>
        <w:t xml:space="preserve">Fossen, H. (2016). </w:t>
      </w:r>
      <w:r>
        <w:rPr>
          <w:rStyle w:val="Emphasis"/>
        </w:rPr>
        <w:t>Structural geology</w:t>
      </w:r>
      <w:r>
        <w:t xml:space="preserve"> (2nd ed.). Cambridge University Press.</w:t>
      </w:r>
    </w:p>
    <w:p w14:paraId="673C575E" w14:textId="77777777" w:rsidR="00CD7829" w:rsidRDefault="00CD7829" w:rsidP="00CD7829">
      <w:pPr>
        <w:pStyle w:val="NormalWeb"/>
      </w:pPr>
      <w:r>
        <w:t xml:space="preserve">Franklin, J. M., Gibson, H. L., Jonasson, I. R., &amp; Galley, A. G. (2005). Volcanogenic massive sulfide deposits. In J. W. Hedenquist, J. F. H. Thompson, R. J. Goldfarb, &amp; J. P. Richards (Eds.), </w:t>
      </w:r>
      <w:r>
        <w:rPr>
          <w:rStyle w:val="Emphasis"/>
        </w:rPr>
        <w:t>Economic geology 100th anniversary volume</w:t>
      </w:r>
      <w:r>
        <w:t xml:space="preserve"> (pp. 523–560). Society of Economic Geologists.</w:t>
      </w:r>
    </w:p>
    <w:p w14:paraId="10F0A72A" w14:textId="77777777" w:rsidR="00823C7C" w:rsidRDefault="00823C7C" w:rsidP="00CD7829">
      <w:pPr>
        <w:pStyle w:val="NormalWeb"/>
      </w:pPr>
      <w:r>
        <w:t xml:space="preserve">Frost, B.R., Swapp, S.M. and Gregory, R.W., 2005. Prolonged existence of </w:t>
      </w:r>
      <w:proofErr w:type="spellStart"/>
      <w:r>
        <w:t>sulphide</w:t>
      </w:r>
      <w:proofErr w:type="spellEnd"/>
      <w:r>
        <w:t xml:space="preserve"> melt in the Broken Hill orebody, New South Wales, Australia. </w:t>
      </w:r>
      <w:r w:rsidRPr="00823C7C">
        <w:rPr>
          <w:i/>
        </w:rPr>
        <w:t>Canadian Mineralogist, 43</w:t>
      </w:r>
      <w:r>
        <w:t>, 479-494</w:t>
      </w:r>
    </w:p>
    <w:p w14:paraId="7B49ACF4" w14:textId="77777777" w:rsidR="00CD7829" w:rsidRDefault="00CD7829" w:rsidP="00CD7829">
      <w:pPr>
        <w:pStyle w:val="NormalWeb"/>
      </w:pPr>
      <w:r>
        <w:t xml:space="preserve">Goldfarb, R. J., Baker, T., Dubé, B., Groves, D. I., Hart, C. J. R., &amp; Gosselin, P. (2005). Distribution, character, and genesis of gold deposits in metamorphic terranes. In J. W. </w:t>
      </w:r>
    </w:p>
    <w:p w14:paraId="547CFD68" w14:textId="77777777" w:rsidR="00CD030B" w:rsidRDefault="00CD030B" w:rsidP="00CD030B">
      <w:pPr>
        <w:spacing w:before="240"/>
        <w:jc w:val="both"/>
        <w:rPr>
          <w:rFonts w:ascii="Times New Roman" w:hAnsi="Times New Roman" w:cs="Times New Roman"/>
          <w:sz w:val="24"/>
          <w:szCs w:val="24"/>
        </w:rPr>
      </w:pPr>
      <w:r w:rsidRPr="00CD030B">
        <w:rPr>
          <w:rFonts w:ascii="Times New Roman" w:hAnsi="Times New Roman" w:cs="Times New Roman"/>
          <w:sz w:val="24"/>
          <w:szCs w:val="24"/>
        </w:rPr>
        <w:t xml:space="preserve">Goodwin, A. M. (1982). Archean volcanism in southwestern Abitibi belt, Ontario and Quebec: Form, composition, and development. </w:t>
      </w:r>
      <w:r w:rsidRPr="00CD030B">
        <w:rPr>
          <w:rStyle w:val="Emphasis"/>
          <w:rFonts w:ascii="Times New Roman" w:hAnsi="Times New Roman" w:cs="Times New Roman"/>
          <w:sz w:val="24"/>
          <w:szCs w:val="24"/>
        </w:rPr>
        <w:t>Canadian Journal of Earth Sciences, 19</w:t>
      </w:r>
      <w:r w:rsidRPr="00CD030B">
        <w:rPr>
          <w:rFonts w:ascii="Times New Roman" w:hAnsi="Times New Roman" w:cs="Times New Roman"/>
          <w:sz w:val="24"/>
          <w:szCs w:val="24"/>
        </w:rPr>
        <w:t>(6), 1140–1155.</w:t>
      </w:r>
    </w:p>
    <w:p w14:paraId="5A1266DB" w14:textId="77777777" w:rsidR="00CD7829" w:rsidRDefault="00CD7829" w:rsidP="00CD7829">
      <w:pPr>
        <w:spacing w:before="100" w:beforeAutospacing="1" w:after="100" w:afterAutospacing="1" w:line="240" w:lineRule="auto"/>
        <w:rPr>
          <w:rFonts w:ascii="Times New Roman" w:eastAsia="Times New Roman" w:hAnsi="Times New Roman" w:cs="Times New Roman"/>
          <w:sz w:val="24"/>
          <w:szCs w:val="24"/>
        </w:rPr>
      </w:pPr>
      <w:r w:rsidRPr="00513670">
        <w:rPr>
          <w:rFonts w:ascii="Times New Roman" w:eastAsia="Times New Roman" w:hAnsi="Times New Roman" w:cs="Times New Roman"/>
          <w:sz w:val="24"/>
          <w:szCs w:val="24"/>
        </w:rPr>
        <w:t xml:space="preserve">Groves, D. I., Goldfarb, R. J., Gebre-Mariam, M., Hagemann, S. G., &amp; Robert, F. (1998). Orogenic gold deposits: A proposed classification in the context of their crustal distribution and relationship to other gold deposit types. </w:t>
      </w:r>
      <w:r w:rsidRPr="00513670">
        <w:rPr>
          <w:rFonts w:ascii="Times New Roman" w:eastAsia="Times New Roman" w:hAnsi="Times New Roman" w:cs="Times New Roman"/>
          <w:i/>
          <w:iCs/>
          <w:sz w:val="24"/>
          <w:szCs w:val="24"/>
        </w:rPr>
        <w:t>Ore Geology Reviews, 13</w:t>
      </w:r>
      <w:r w:rsidRPr="00513670">
        <w:rPr>
          <w:rFonts w:ascii="Times New Roman" w:eastAsia="Times New Roman" w:hAnsi="Times New Roman" w:cs="Times New Roman"/>
          <w:sz w:val="24"/>
          <w:szCs w:val="24"/>
        </w:rPr>
        <w:t>(1–5), 7–27.</w:t>
      </w:r>
    </w:p>
    <w:p w14:paraId="0F00C4DD" w14:textId="77777777" w:rsidR="0099246B" w:rsidRPr="00CD7829" w:rsidRDefault="0099246B" w:rsidP="00CD7829">
      <w:pPr>
        <w:spacing w:before="100" w:beforeAutospacing="1" w:after="100" w:afterAutospacing="1" w:line="240" w:lineRule="auto"/>
        <w:rPr>
          <w:rFonts w:ascii="Times New Roman" w:eastAsia="Times New Roman" w:hAnsi="Times New Roman" w:cs="Times New Roman"/>
          <w:sz w:val="24"/>
          <w:szCs w:val="24"/>
        </w:rPr>
      </w:pPr>
      <w:r w:rsidRPr="00A52E6D">
        <w:rPr>
          <w:rFonts w:ascii="Times New Roman" w:eastAsia="Times New Roman" w:hAnsi="Times New Roman" w:cs="Times New Roman"/>
          <w:sz w:val="24"/>
          <w:szCs w:val="24"/>
        </w:rPr>
        <w:lastRenderedPageBreak/>
        <w:t xml:space="preserve">Halley, S., </w:t>
      </w:r>
      <w:proofErr w:type="spellStart"/>
      <w:r w:rsidRPr="00A52E6D">
        <w:rPr>
          <w:rFonts w:ascii="Times New Roman" w:eastAsia="Times New Roman" w:hAnsi="Times New Roman" w:cs="Times New Roman"/>
          <w:sz w:val="24"/>
          <w:szCs w:val="24"/>
        </w:rPr>
        <w:t>Dilles</w:t>
      </w:r>
      <w:proofErr w:type="spellEnd"/>
      <w:r w:rsidRPr="00A52E6D">
        <w:rPr>
          <w:rFonts w:ascii="Times New Roman" w:eastAsia="Times New Roman" w:hAnsi="Times New Roman" w:cs="Times New Roman"/>
          <w:sz w:val="24"/>
          <w:szCs w:val="24"/>
        </w:rPr>
        <w:t xml:space="preserve">, J. H., &amp; </w:t>
      </w:r>
      <w:proofErr w:type="spellStart"/>
      <w:r w:rsidRPr="00A52E6D">
        <w:rPr>
          <w:rFonts w:ascii="Times New Roman" w:eastAsia="Times New Roman" w:hAnsi="Times New Roman" w:cs="Times New Roman"/>
          <w:sz w:val="24"/>
          <w:szCs w:val="24"/>
        </w:rPr>
        <w:t>Tosdal</w:t>
      </w:r>
      <w:proofErr w:type="spellEnd"/>
      <w:r w:rsidRPr="00A52E6D">
        <w:rPr>
          <w:rFonts w:ascii="Times New Roman" w:eastAsia="Times New Roman" w:hAnsi="Times New Roman" w:cs="Times New Roman"/>
          <w:sz w:val="24"/>
          <w:szCs w:val="24"/>
        </w:rPr>
        <w:t xml:space="preserve">, R. M. (2015). Footprints: Hydrothermal alteration and geochemical dispersion around porphyry copper deposits. </w:t>
      </w:r>
      <w:r w:rsidRPr="00A52E6D">
        <w:rPr>
          <w:rFonts w:ascii="Times New Roman" w:eastAsia="Times New Roman" w:hAnsi="Times New Roman" w:cs="Times New Roman"/>
          <w:i/>
          <w:iCs/>
          <w:sz w:val="24"/>
          <w:szCs w:val="24"/>
        </w:rPr>
        <w:t>Society of Economic Geologists Newsletter, 100</w:t>
      </w:r>
      <w:r w:rsidRPr="00A52E6D">
        <w:rPr>
          <w:rFonts w:ascii="Times New Roman" w:eastAsia="Times New Roman" w:hAnsi="Times New Roman" w:cs="Times New Roman"/>
          <w:sz w:val="24"/>
          <w:szCs w:val="24"/>
        </w:rPr>
        <w:t>, 1–17.</w:t>
      </w:r>
    </w:p>
    <w:p w14:paraId="2B8D1BF1" w14:textId="77777777" w:rsidR="001016DE" w:rsidRPr="00CD030B" w:rsidRDefault="00CD030B" w:rsidP="001016DE">
      <w:pPr>
        <w:jc w:val="both"/>
        <w:rPr>
          <w:rFonts w:ascii="Times New Roman" w:hAnsi="Times New Roman" w:cs="Times New Roman"/>
          <w:sz w:val="24"/>
          <w:szCs w:val="24"/>
        </w:rPr>
      </w:pPr>
      <w:r w:rsidRPr="00CD030B">
        <w:rPr>
          <w:rFonts w:ascii="Times New Roman" w:hAnsi="Times New Roman" w:cs="Times New Roman"/>
          <w:sz w:val="24"/>
          <w:szCs w:val="24"/>
        </w:rPr>
        <w:t xml:space="preserve">Harris, L. B., &amp; Bédard, J. H. (2014). Crustal evolution and deformation in a non-plate-tectonic Archean Earth: Comparisons with Venus. In: </w:t>
      </w:r>
      <w:r w:rsidRPr="00CD030B">
        <w:rPr>
          <w:rStyle w:val="Emphasis"/>
          <w:rFonts w:ascii="Times New Roman" w:hAnsi="Times New Roman" w:cs="Times New Roman"/>
          <w:sz w:val="24"/>
          <w:szCs w:val="24"/>
        </w:rPr>
        <w:t>Evolution of Archean Crust and Early Life</w:t>
      </w:r>
      <w:r w:rsidRPr="00CD030B">
        <w:rPr>
          <w:rFonts w:ascii="Times New Roman" w:hAnsi="Times New Roman" w:cs="Times New Roman"/>
          <w:sz w:val="24"/>
          <w:szCs w:val="24"/>
        </w:rPr>
        <w:t xml:space="preserve"> (pp. 215–291).</w:t>
      </w:r>
    </w:p>
    <w:p w14:paraId="5F75B53B" w14:textId="77777777" w:rsidR="00513670" w:rsidRDefault="00513670" w:rsidP="00513670">
      <w:pPr>
        <w:spacing w:before="100" w:beforeAutospacing="1" w:after="100" w:afterAutospacing="1" w:line="240" w:lineRule="auto"/>
        <w:rPr>
          <w:rFonts w:ascii="Times New Roman" w:eastAsia="Times New Roman" w:hAnsi="Times New Roman" w:cs="Times New Roman"/>
          <w:sz w:val="24"/>
          <w:szCs w:val="24"/>
        </w:rPr>
      </w:pPr>
      <w:r w:rsidRPr="00513670">
        <w:rPr>
          <w:rFonts w:ascii="Times New Roman" w:eastAsia="Times New Roman" w:hAnsi="Times New Roman" w:cs="Times New Roman"/>
          <w:sz w:val="24"/>
          <w:szCs w:val="24"/>
        </w:rPr>
        <w:t xml:space="preserve">Hart, C. J. R. (2005). Classifying, distinguishing and exploring for intrusion-related gold systems. In </w:t>
      </w:r>
      <w:r w:rsidRPr="00513670">
        <w:rPr>
          <w:rFonts w:ascii="Times New Roman" w:eastAsia="Times New Roman" w:hAnsi="Times New Roman" w:cs="Times New Roman"/>
          <w:i/>
          <w:iCs/>
          <w:sz w:val="24"/>
          <w:szCs w:val="24"/>
        </w:rPr>
        <w:t>Proceedings of the New Zealand Minerals Conference</w:t>
      </w:r>
      <w:r w:rsidRPr="00513670">
        <w:rPr>
          <w:rFonts w:ascii="Times New Roman" w:eastAsia="Times New Roman" w:hAnsi="Times New Roman" w:cs="Times New Roman"/>
          <w:sz w:val="24"/>
          <w:szCs w:val="24"/>
        </w:rPr>
        <w:t xml:space="preserve"> (pp. 125–133).</w:t>
      </w:r>
    </w:p>
    <w:p w14:paraId="41B6799E" w14:textId="77777777" w:rsidR="00CD7829" w:rsidRDefault="00CD7829" w:rsidP="00513670">
      <w:pPr>
        <w:spacing w:before="100" w:beforeAutospacing="1" w:after="100" w:afterAutospacing="1" w:line="240" w:lineRule="auto"/>
        <w:rPr>
          <w:rFonts w:ascii="Times New Roman" w:eastAsia="Times New Roman" w:hAnsi="Times New Roman" w:cs="Times New Roman"/>
          <w:sz w:val="24"/>
          <w:szCs w:val="24"/>
        </w:rPr>
      </w:pPr>
      <w:r w:rsidRPr="00A52E6D">
        <w:rPr>
          <w:rFonts w:ascii="Times New Roman" w:eastAsia="Times New Roman" w:hAnsi="Times New Roman" w:cs="Times New Roman"/>
          <w:sz w:val="24"/>
          <w:szCs w:val="24"/>
        </w:rPr>
        <w:t xml:space="preserve">Hedenquist, J. W., Arribas, A., Jr., &amp; Gonzalez-Urien, E. (2000). Exploration for epithermal gold deposits. In S. G. Hagemann &amp; P. E. Brown (Eds.), </w:t>
      </w:r>
      <w:r w:rsidRPr="00A52E6D">
        <w:rPr>
          <w:rFonts w:ascii="Times New Roman" w:eastAsia="Times New Roman" w:hAnsi="Times New Roman" w:cs="Times New Roman"/>
          <w:i/>
          <w:iCs/>
          <w:sz w:val="24"/>
          <w:szCs w:val="24"/>
        </w:rPr>
        <w:t>Gold in 2000</w:t>
      </w:r>
      <w:r w:rsidRPr="00A52E6D">
        <w:rPr>
          <w:rFonts w:ascii="Times New Roman" w:eastAsia="Times New Roman" w:hAnsi="Times New Roman" w:cs="Times New Roman"/>
          <w:sz w:val="24"/>
          <w:szCs w:val="24"/>
        </w:rPr>
        <w:t xml:space="preserve"> (pp. 245–277). Society of Economic Geologists.</w:t>
      </w:r>
    </w:p>
    <w:p w14:paraId="10646C6E" w14:textId="77777777" w:rsidR="0099246B" w:rsidRDefault="0099246B" w:rsidP="0099246B">
      <w:pPr>
        <w:pStyle w:val="NormalWeb"/>
      </w:pPr>
      <w:r>
        <w:t xml:space="preserve">Hedenquist, J. F. H. Thompson, R. J. Goldfarb, &amp; J. P. Richards (Eds.), </w:t>
      </w:r>
      <w:r>
        <w:rPr>
          <w:rStyle w:val="Emphasis"/>
        </w:rPr>
        <w:t>Economic geology 100th anniversary volume</w:t>
      </w:r>
      <w:r>
        <w:t xml:space="preserve"> (pp. 407–450). Society of Economic Geologists.</w:t>
      </w:r>
    </w:p>
    <w:p w14:paraId="77A07D1E" w14:textId="77777777" w:rsidR="00CD7829" w:rsidRPr="00CD030B" w:rsidRDefault="00CD7829" w:rsidP="00CD7829">
      <w:pPr>
        <w:spacing w:before="100" w:beforeAutospacing="1" w:after="100" w:afterAutospacing="1" w:line="240" w:lineRule="auto"/>
        <w:jc w:val="both"/>
        <w:rPr>
          <w:rFonts w:ascii="Times New Roman" w:hAnsi="Times New Roman" w:cs="Times New Roman"/>
          <w:sz w:val="24"/>
          <w:szCs w:val="24"/>
        </w:rPr>
      </w:pPr>
      <w:r w:rsidRPr="00CD030B">
        <w:rPr>
          <w:rFonts w:ascii="Times New Roman" w:hAnsi="Times New Roman" w:cs="Times New Roman"/>
          <w:sz w:val="24"/>
          <w:szCs w:val="24"/>
        </w:rPr>
        <w:t>Jolly, W. T. (1978). Metamorphic history of the Archean Abitibi belt. Geological Survey of Canada.</w:t>
      </w:r>
    </w:p>
    <w:p w14:paraId="62ECDAD6" w14:textId="77777777" w:rsidR="00A52E6D" w:rsidRDefault="00A52E6D" w:rsidP="00A52E6D">
      <w:pPr>
        <w:spacing w:before="100" w:beforeAutospacing="1" w:after="100" w:afterAutospacing="1" w:line="240" w:lineRule="auto"/>
        <w:rPr>
          <w:rFonts w:ascii="Times New Roman" w:eastAsia="Times New Roman" w:hAnsi="Times New Roman" w:cs="Times New Roman"/>
          <w:sz w:val="24"/>
          <w:szCs w:val="24"/>
        </w:rPr>
      </w:pPr>
      <w:r w:rsidRPr="00A52E6D">
        <w:rPr>
          <w:rFonts w:ascii="Times New Roman" w:eastAsia="Times New Roman" w:hAnsi="Times New Roman" w:cs="Times New Roman"/>
          <w:sz w:val="24"/>
          <w:szCs w:val="24"/>
        </w:rPr>
        <w:t xml:space="preserve">Lang, J. R., &amp; Baker, T. (2001). Intrusion-related gold systems: The present level of understanding. </w:t>
      </w:r>
      <w:proofErr w:type="spellStart"/>
      <w:r w:rsidRPr="00A52E6D">
        <w:rPr>
          <w:rFonts w:ascii="Times New Roman" w:eastAsia="Times New Roman" w:hAnsi="Times New Roman" w:cs="Times New Roman"/>
          <w:i/>
          <w:iCs/>
          <w:sz w:val="24"/>
          <w:szCs w:val="24"/>
        </w:rPr>
        <w:t>Mineralium</w:t>
      </w:r>
      <w:proofErr w:type="spellEnd"/>
      <w:r w:rsidRPr="00A52E6D">
        <w:rPr>
          <w:rFonts w:ascii="Times New Roman" w:eastAsia="Times New Roman" w:hAnsi="Times New Roman" w:cs="Times New Roman"/>
          <w:i/>
          <w:iCs/>
          <w:sz w:val="24"/>
          <w:szCs w:val="24"/>
        </w:rPr>
        <w:t xml:space="preserve"> Deposita, 36</w:t>
      </w:r>
      <w:r w:rsidRPr="00A52E6D">
        <w:rPr>
          <w:rFonts w:ascii="Times New Roman" w:eastAsia="Times New Roman" w:hAnsi="Times New Roman" w:cs="Times New Roman"/>
          <w:sz w:val="24"/>
          <w:szCs w:val="24"/>
        </w:rPr>
        <w:t>(6), 477–489.</w:t>
      </w:r>
    </w:p>
    <w:p w14:paraId="33943629" w14:textId="77777777" w:rsidR="00D169C5" w:rsidRPr="00A52E6D" w:rsidRDefault="00D169C5" w:rsidP="00A52E6D">
      <w:pPr>
        <w:spacing w:before="100" w:beforeAutospacing="1" w:after="100" w:afterAutospacing="1" w:line="240" w:lineRule="auto"/>
        <w:rPr>
          <w:rFonts w:ascii="Times New Roman" w:eastAsia="Times New Roman" w:hAnsi="Times New Roman" w:cs="Times New Roman"/>
          <w:sz w:val="24"/>
          <w:szCs w:val="24"/>
        </w:rPr>
      </w:pPr>
      <w:r w:rsidRPr="00513670">
        <w:rPr>
          <w:rFonts w:ascii="Times New Roman" w:eastAsia="Times New Roman" w:hAnsi="Times New Roman" w:cs="Times New Roman"/>
          <w:sz w:val="24"/>
          <w:szCs w:val="24"/>
        </w:rPr>
        <w:t xml:space="preserve">Large, R. R., Danyushevsky, L., </w:t>
      </w:r>
      <w:proofErr w:type="spellStart"/>
      <w:r w:rsidRPr="00513670">
        <w:rPr>
          <w:rFonts w:ascii="Times New Roman" w:eastAsia="Times New Roman" w:hAnsi="Times New Roman" w:cs="Times New Roman"/>
          <w:sz w:val="24"/>
          <w:szCs w:val="24"/>
        </w:rPr>
        <w:t>Hollit</w:t>
      </w:r>
      <w:proofErr w:type="spellEnd"/>
      <w:r w:rsidRPr="00513670">
        <w:rPr>
          <w:rFonts w:ascii="Times New Roman" w:eastAsia="Times New Roman" w:hAnsi="Times New Roman" w:cs="Times New Roman"/>
          <w:sz w:val="24"/>
          <w:szCs w:val="24"/>
        </w:rPr>
        <w:t xml:space="preserve">, C., Maslennikov, V., Meffre, S., Gilbert, S., Bull, S., Scott, R., Embo, P., Thomas, H., Singh, B., &amp; Foster, J. (2009). Gold and trace element zonation in pyrite using a laser imaging technique: Implications for the timing of gold in orogenic and Carlin-style sediment-hosted deposits. </w:t>
      </w:r>
      <w:r w:rsidRPr="00513670">
        <w:rPr>
          <w:rFonts w:ascii="Times New Roman" w:eastAsia="Times New Roman" w:hAnsi="Times New Roman" w:cs="Times New Roman"/>
          <w:i/>
          <w:iCs/>
          <w:sz w:val="24"/>
          <w:szCs w:val="24"/>
        </w:rPr>
        <w:t>Economic Geology, 104</w:t>
      </w:r>
      <w:r w:rsidRPr="00513670">
        <w:rPr>
          <w:rFonts w:ascii="Times New Roman" w:eastAsia="Times New Roman" w:hAnsi="Times New Roman" w:cs="Times New Roman"/>
          <w:sz w:val="24"/>
          <w:szCs w:val="24"/>
        </w:rPr>
        <w:t>(5), 635–668.</w:t>
      </w:r>
    </w:p>
    <w:p w14:paraId="57EE8461" w14:textId="77777777" w:rsidR="00A52E6D" w:rsidRPr="00A52E6D" w:rsidRDefault="00A52E6D" w:rsidP="00A52E6D">
      <w:pPr>
        <w:spacing w:before="100" w:beforeAutospacing="1" w:after="100" w:afterAutospacing="1" w:line="240" w:lineRule="auto"/>
        <w:rPr>
          <w:rFonts w:ascii="Times New Roman" w:eastAsia="Times New Roman" w:hAnsi="Times New Roman" w:cs="Times New Roman"/>
          <w:sz w:val="24"/>
          <w:szCs w:val="24"/>
        </w:rPr>
      </w:pPr>
      <w:r w:rsidRPr="00A52E6D">
        <w:rPr>
          <w:rFonts w:ascii="Times New Roman" w:eastAsia="Times New Roman" w:hAnsi="Times New Roman" w:cs="Times New Roman"/>
          <w:sz w:val="24"/>
          <w:szCs w:val="24"/>
        </w:rPr>
        <w:t xml:space="preserve">Lu, Y.-J., Loucks, R. R., Fiorentini, M., McCuaig, T. C., Evans, N. J., Yang, Z.-M., Hou, Z.-Q., Kirkland, C. L., Parra-Avila, L. A., &amp; Kobussen, A. (2016). Zircon composition as a pathfinder for porphyry Cu–Au deposits. </w:t>
      </w:r>
      <w:r w:rsidRPr="00A52E6D">
        <w:rPr>
          <w:rFonts w:ascii="Times New Roman" w:eastAsia="Times New Roman" w:hAnsi="Times New Roman" w:cs="Times New Roman"/>
          <w:i/>
          <w:iCs/>
          <w:sz w:val="24"/>
          <w:szCs w:val="24"/>
        </w:rPr>
        <w:t>Economic Geology, 111</w:t>
      </w:r>
      <w:r w:rsidRPr="00A52E6D">
        <w:rPr>
          <w:rFonts w:ascii="Times New Roman" w:eastAsia="Times New Roman" w:hAnsi="Times New Roman" w:cs="Times New Roman"/>
          <w:sz w:val="24"/>
          <w:szCs w:val="24"/>
        </w:rPr>
        <w:t>(8), 2023–2041.</w:t>
      </w:r>
    </w:p>
    <w:p w14:paraId="745973FF" w14:textId="77777777" w:rsidR="00A52E6D" w:rsidRPr="00A52E6D" w:rsidRDefault="00A52E6D" w:rsidP="00A52E6D">
      <w:pPr>
        <w:spacing w:before="100" w:beforeAutospacing="1" w:after="100" w:afterAutospacing="1" w:line="240" w:lineRule="auto"/>
        <w:rPr>
          <w:rFonts w:ascii="Times New Roman" w:eastAsia="Times New Roman" w:hAnsi="Times New Roman" w:cs="Times New Roman"/>
          <w:sz w:val="24"/>
          <w:szCs w:val="24"/>
        </w:rPr>
      </w:pPr>
      <w:r w:rsidRPr="00A52E6D">
        <w:rPr>
          <w:rFonts w:ascii="Times New Roman" w:eastAsia="Times New Roman" w:hAnsi="Times New Roman" w:cs="Times New Roman"/>
          <w:sz w:val="24"/>
          <w:szCs w:val="24"/>
        </w:rPr>
        <w:t xml:space="preserve">Lypaczewski, P., Rivard, B., Peter, J. M., &amp; McClenaghan, M. B. (2016). The mineral chemistry of chlorite as a tool for exploration in volcanogenic massive sulfide systems. </w:t>
      </w:r>
      <w:r w:rsidRPr="00A52E6D">
        <w:rPr>
          <w:rFonts w:ascii="Times New Roman" w:eastAsia="Times New Roman" w:hAnsi="Times New Roman" w:cs="Times New Roman"/>
          <w:i/>
          <w:iCs/>
          <w:sz w:val="24"/>
          <w:szCs w:val="24"/>
        </w:rPr>
        <w:t>Ore Geology Reviews, 72</w:t>
      </w:r>
      <w:r w:rsidRPr="00A52E6D">
        <w:rPr>
          <w:rFonts w:ascii="Times New Roman" w:eastAsia="Times New Roman" w:hAnsi="Times New Roman" w:cs="Times New Roman"/>
          <w:sz w:val="24"/>
          <w:szCs w:val="24"/>
        </w:rPr>
        <w:t>, 120–136.</w:t>
      </w:r>
    </w:p>
    <w:p w14:paraId="26C3FA05" w14:textId="77777777" w:rsidR="00A52E6D" w:rsidRDefault="00A52E6D" w:rsidP="00A52E6D">
      <w:pPr>
        <w:spacing w:before="100" w:beforeAutospacing="1" w:after="100" w:afterAutospacing="1" w:line="240" w:lineRule="auto"/>
        <w:rPr>
          <w:rFonts w:ascii="Times New Roman" w:eastAsia="Times New Roman" w:hAnsi="Times New Roman" w:cs="Times New Roman"/>
          <w:sz w:val="24"/>
          <w:szCs w:val="24"/>
        </w:rPr>
      </w:pPr>
      <w:r w:rsidRPr="00A52E6D">
        <w:rPr>
          <w:rFonts w:ascii="Times New Roman" w:eastAsia="Times New Roman" w:hAnsi="Times New Roman" w:cs="Times New Roman"/>
          <w:sz w:val="24"/>
          <w:szCs w:val="24"/>
        </w:rPr>
        <w:t xml:space="preserve">Mao, M., Rukhlov, A. S., Rowins, S. M., Spence, J., &amp; Coogan, L. A. (2016). Apatite trace element compositions: A robust new tool for mineral exploration. </w:t>
      </w:r>
      <w:r w:rsidRPr="00A52E6D">
        <w:rPr>
          <w:rFonts w:ascii="Times New Roman" w:eastAsia="Times New Roman" w:hAnsi="Times New Roman" w:cs="Times New Roman"/>
          <w:i/>
          <w:iCs/>
          <w:sz w:val="24"/>
          <w:szCs w:val="24"/>
        </w:rPr>
        <w:t>Economic Geology, 111</w:t>
      </w:r>
      <w:r w:rsidRPr="00A52E6D">
        <w:rPr>
          <w:rFonts w:ascii="Times New Roman" w:eastAsia="Times New Roman" w:hAnsi="Times New Roman" w:cs="Times New Roman"/>
          <w:sz w:val="24"/>
          <w:szCs w:val="24"/>
        </w:rPr>
        <w:t>(5), 1187–1222.</w:t>
      </w:r>
    </w:p>
    <w:p w14:paraId="475B595F" w14:textId="77777777" w:rsidR="007109AD" w:rsidRDefault="007109AD" w:rsidP="007109AD">
      <w:pPr>
        <w:pStyle w:val="NormalWeb"/>
      </w:pPr>
      <w:r>
        <w:t xml:space="preserve">McClenaghan, S. H., Lentz, D. R., </w:t>
      </w:r>
      <w:proofErr w:type="spellStart"/>
      <w:r>
        <w:t>Cabri</w:t>
      </w:r>
      <w:proofErr w:type="spellEnd"/>
      <w:r>
        <w:t xml:space="preserve">, L. J., &amp; McFarlane, C. R. M. (2015). Major and trace element chemistry of gahnite as an exploration guide to Broken Hill-type Pb-Zn-Ag mineralization in the Broken Hill domain, New South Wales, Australia. </w:t>
      </w:r>
      <w:r>
        <w:rPr>
          <w:rStyle w:val="Emphasis"/>
        </w:rPr>
        <w:t>Journal of Geochemical Exploration, 159</w:t>
      </w:r>
      <w:r>
        <w:t>, 1–21.</w:t>
      </w:r>
    </w:p>
    <w:p w14:paraId="16807D43" w14:textId="77777777" w:rsidR="00D169C5" w:rsidRDefault="00D169C5" w:rsidP="007109AD">
      <w:pPr>
        <w:pStyle w:val="NormalWeb"/>
      </w:pPr>
      <w:proofErr w:type="spellStart"/>
      <w:r>
        <w:lastRenderedPageBreak/>
        <w:t>Passchier</w:t>
      </w:r>
      <w:proofErr w:type="spellEnd"/>
      <w:r>
        <w:t xml:space="preserve">, C. W., &amp; </w:t>
      </w:r>
      <w:proofErr w:type="spellStart"/>
      <w:r>
        <w:t>Trouw</w:t>
      </w:r>
      <w:proofErr w:type="spellEnd"/>
      <w:r>
        <w:t xml:space="preserve">, R. A. J. (2005). </w:t>
      </w:r>
      <w:proofErr w:type="spellStart"/>
      <w:r>
        <w:rPr>
          <w:rStyle w:val="Emphasis"/>
        </w:rPr>
        <w:t>Microtectonics</w:t>
      </w:r>
      <w:proofErr w:type="spellEnd"/>
      <w:r>
        <w:t xml:space="preserve"> (2nd ed.). Springer.</w:t>
      </w:r>
    </w:p>
    <w:p w14:paraId="5A522E75" w14:textId="77777777" w:rsidR="007109AD" w:rsidRDefault="007109AD" w:rsidP="007109AD">
      <w:pPr>
        <w:pStyle w:val="NormalWeb"/>
      </w:pPr>
      <w:r>
        <w:t xml:space="preserve">Phillips, G. N., &amp; Powell, R. (2010). Formation of gold deposits: A metamorphic devolatilization model. </w:t>
      </w:r>
      <w:r>
        <w:rPr>
          <w:rStyle w:val="Emphasis"/>
        </w:rPr>
        <w:t>Journal of Metamorphic Geology, 28</w:t>
      </w:r>
      <w:r>
        <w:t>(6), 689–718.</w:t>
      </w:r>
    </w:p>
    <w:p w14:paraId="1DCD2469" w14:textId="77777777" w:rsidR="00F45416" w:rsidRDefault="00F45416" w:rsidP="007109AD">
      <w:pPr>
        <w:pStyle w:val="NormalWeb"/>
      </w:pPr>
      <w:r>
        <w:t xml:space="preserve">Phillips, G.N. (1980). Water activity changes across an amphibolite-granulite facies transition, Broken Hill, Australia. </w:t>
      </w:r>
      <w:r w:rsidRPr="00F45416">
        <w:rPr>
          <w:i/>
        </w:rPr>
        <w:t>Contributions to Mineralogy and Petrology, 75</w:t>
      </w:r>
      <w:r>
        <w:t>, 377-386.</w:t>
      </w:r>
    </w:p>
    <w:p w14:paraId="61FA84D1" w14:textId="77777777" w:rsidR="00CD7829" w:rsidRDefault="00A52E6D" w:rsidP="00CD7829">
      <w:pPr>
        <w:spacing w:before="100" w:beforeAutospacing="1" w:after="100" w:afterAutospacing="1" w:line="240" w:lineRule="auto"/>
        <w:jc w:val="both"/>
        <w:rPr>
          <w:rFonts w:ascii="Times New Roman" w:hAnsi="Times New Roman" w:cs="Times New Roman"/>
          <w:sz w:val="24"/>
          <w:szCs w:val="24"/>
        </w:rPr>
      </w:pPr>
      <w:r w:rsidRPr="00A52E6D">
        <w:rPr>
          <w:rFonts w:ascii="Times New Roman" w:eastAsia="Times New Roman" w:hAnsi="Times New Roman" w:cs="Times New Roman"/>
          <w:sz w:val="24"/>
          <w:szCs w:val="24"/>
        </w:rPr>
        <w:t xml:space="preserve">Piccoli, P. M., &amp; Candela, P. A. (2002). Apatite in igneous systems. In M. J. Kohn, J. Rakovan, &amp; J. M. Hughes (Eds.), </w:t>
      </w:r>
      <w:r w:rsidRPr="00A52E6D">
        <w:rPr>
          <w:rFonts w:ascii="Times New Roman" w:eastAsia="Times New Roman" w:hAnsi="Times New Roman" w:cs="Times New Roman"/>
          <w:i/>
          <w:iCs/>
          <w:sz w:val="24"/>
          <w:szCs w:val="24"/>
        </w:rPr>
        <w:t>Phosphates: Geochemical, geobiological, and materials importance</w:t>
      </w:r>
      <w:r w:rsidRPr="00A52E6D">
        <w:rPr>
          <w:rFonts w:ascii="Times New Roman" w:eastAsia="Times New Roman" w:hAnsi="Times New Roman" w:cs="Times New Roman"/>
          <w:sz w:val="24"/>
          <w:szCs w:val="24"/>
        </w:rPr>
        <w:t xml:space="preserve"> (pp. 255–292). Mineralogical Society of America.</w:t>
      </w:r>
      <w:r w:rsidR="00CD7829" w:rsidRPr="00CD7829">
        <w:rPr>
          <w:rFonts w:ascii="Times New Roman" w:hAnsi="Times New Roman" w:cs="Times New Roman"/>
          <w:sz w:val="24"/>
          <w:szCs w:val="24"/>
        </w:rPr>
        <w:t xml:space="preserve"> </w:t>
      </w:r>
    </w:p>
    <w:p w14:paraId="62C63A5D" w14:textId="77777777" w:rsidR="00CD7829" w:rsidRPr="003C5982" w:rsidRDefault="00CD7829" w:rsidP="00CD7829">
      <w:pPr>
        <w:spacing w:before="100" w:beforeAutospacing="1" w:after="100" w:afterAutospacing="1" w:line="240" w:lineRule="auto"/>
        <w:jc w:val="both"/>
        <w:rPr>
          <w:rFonts w:ascii="Times New Roman" w:eastAsia="Times New Roman" w:hAnsi="Times New Roman" w:cs="Times New Roman"/>
          <w:sz w:val="24"/>
          <w:szCs w:val="24"/>
        </w:rPr>
      </w:pPr>
      <w:r w:rsidRPr="003C5982">
        <w:rPr>
          <w:rFonts w:ascii="Times New Roman" w:hAnsi="Times New Roman" w:cs="Times New Roman"/>
          <w:sz w:val="24"/>
          <w:szCs w:val="24"/>
        </w:rPr>
        <w:t xml:space="preserve">Powell, W.G., </w:t>
      </w:r>
      <w:r>
        <w:rPr>
          <w:rFonts w:ascii="Times New Roman" w:hAnsi="Times New Roman" w:cs="Times New Roman"/>
          <w:sz w:val="24"/>
          <w:szCs w:val="24"/>
        </w:rPr>
        <w:t>Carmichael, D.M., Hodgson, C.J.</w:t>
      </w:r>
      <w:r w:rsidRPr="003C5982">
        <w:rPr>
          <w:rFonts w:ascii="Times New Roman" w:hAnsi="Times New Roman" w:cs="Times New Roman"/>
          <w:sz w:val="24"/>
          <w:szCs w:val="24"/>
        </w:rPr>
        <w:t xml:space="preserve"> </w:t>
      </w:r>
      <w:r>
        <w:rPr>
          <w:rFonts w:ascii="Times New Roman" w:hAnsi="Times New Roman" w:cs="Times New Roman"/>
          <w:sz w:val="24"/>
          <w:szCs w:val="24"/>
        </w:rPr>
        <w:t>(</w:t>
      </w:r>
      <w:r w:rsidRPr="003C5982">
        <w:rPr>
          <w:rFonts w:ascii="Times New Roman" w:hAnsi="Times New Roman" w:cs="Times New Roman"/>
          <w:sz w:val="24"/>
          <w:szCs w:val="24"/>
        </w:rPr>
        <w:t>1995</w:t>
      </w:r>
      <w:r>
        <w:rPr>
          <w:rFonts w:ascii="Times New Roman" w:hAnsi="Times New Roman" w:cs="Times New Roman"/>
          <w:sz w:val="24"/>
          <w:szCs w:val="24"/>
        </w:rPr>
        <w:t>)</w:t>
      </w:r>
      <w:r w:rsidRPr="003C5982">
        <w:rPr>
          <w:rFonts w:ascii="Times New Roman" w:hAnsi="Times New Roman" w:cs="Times New Roman"/>
          <w:sz w:val="24"/>
          <w:szCs w:val="24"/>
        </w:rPr>
        <w:t>. Conditions and timing of metamorphism in the southern Abitibi greenstone belt, Quebec. Can. J. Earth Sci. 32 (6), 787–805.</w:t>
      </w:r>
    </w:p>
    <w:p w14:paraId="69B9E5F6" w14:textId="77777777" w:rsidR="007109AD" w:rsidRPr="00A52E6D" w:rsidRDefault="007109AD" w:rsidP="007109AD">
      <w:pPr>
        <w:pStyle w:val="NormalWeb"/>
      </w:pPr>
      <w:r w:rsidRPr="009430B3">
        <w:t xml:space="preserve">Robert, F., &amp; Poulsen, K. H. (2001). Orogenic gold: The geology and geochemistry of a deposit type. </w:t>
      </w:r>
      <w:r w:rsidRPr="009430B3">
        <w:rPr>
          <w:rStyle w:val="Emphasis"/>
        </w:rPr>
        <w:t>Reviews in Economic Geology, 14</w:t>
      </w:r>
      <w:r w:rsidRPr="009430B3">
        <w:t>, 233–275.</w:t>
      </w:r>
    </w:p>
    <w:p w14:paraId="1BB808F4" w14:textId="77777777" w:rsidR="00A52E6D" w:rsidRPr="00A52E6D" w:rsidRDefault="00A52E6D" w:rsidP="00A52E6D">
      <w:pPr>
        <w:spacing w:before="100" w:beforeAutospacing="1" w:after="100" w:afterAutospacing="1" w:line="240" w:lineRule="auto"/>
        <w:rPr>
          <w:rFonts w:ascii="Times New Roman" w:eastAsia="Times New Roman" w:hAnsi="Times New Roman" w:cs="Times New Roman"/>
          <w:sz w:val="24"/>
          <w:szCs w:val="24"/>
        </w:rPr>
      </w:pPr>
      <w:r w:rsidRPr="00A52E6D">
        <w:rPr>
          <w:rFonts w:ascii="Times New Roman" w:eastAsia="Times New Roman" w:hAnsi="Times New Roman" w:cs="Times New Roman"/>
          <w:sz w:val="24"/>
          <w:szCs w:val="24"/>
        </w:rPr>
        <w:t xml:space="preserve">Sandhaus, D. J., &amp; Craig, J. R. (1986). Gahnite in the metamorphosed base metal sulfide deposits of the Virginia district, Minnesota: Implications for exploration. </w:t>
      </w:r>
      <w:r w:rsidRPr="00A52E6D">
        <w:rPr>
          <w:rFonts w:ascii="Times New Roman" w:eastAsia="Times New Roman" w:hAnsi="Times New Roman" w:cs="Times New Roman"/>
          <w:i/>
          <w:iCs/>
          <w:sz w:val="24"/>
          <w:szCs w:val="24"/>
        </w:rPr>
        <w:t>Economic Geology, 81</w:t>
      </w:r>
      <w:r w:rsidRPr="00A52E6D">
        <w:rPr>
          <w:rFonts w:ascii="Times New Roman" w:eastAsia="Times New Roman" w:hAnsi="Times New Roman" w:cs="Times New Roman"/>
          <w:sz w:val="24"/>
          <w:szCs w:val="24"/>
        </w:rPr>
        <w:t>(2), 493–499.</w:t>
      </w:r>
    </w:p>
    <w:p w14:paraId="7E3C3268" w14:textId="77777777" w:rsidR="00A52E6D" w:rsidRPr="00A52E6D" w:rsidRDefault="00A52E6D" w:rsidP="00A52E6D">
      <w:pPr>
        <w:spacing w:before="100" w:beforeAutospacing="1" w:after="100" w:afterAutospacing="1" w:line="240" w:lineRule="auto"/>
        <w:rPr>
          <w:rFonts w:ascii="Times New Roman" w:eastAsia="Times New Roman" w:hAnsi="Times New Roman" w:cs="Times New Roman"/>
          <w:sz w:val="24"/>
          <w:szCs w:val="24"/>
        </w:rPr>
      </w:pPr>
      <w:r w:rsidRPr="00A52E6D">
        <w:rPr>
          <w:rFonts w:ascii="Times New Roman" w:eastAsia="Times New Roman" w:hAnsi="Times New Roman" w:cs="Times New Roman"/>
          <w:sz w:val="24"/>
          <w:szCs w:val="24"/>
        </w:rPr>
        <w:t xml:space="preserve">Sillitoe, R. H. (2010). Porphyry copper systems. </w:t>
      </w:r>
      <w:r w:rsidRPr="00A52E6D">
        <w:rPr>
          <w:rFonts w:ascii="Times New Roman" w:eastAsia="Times New Roman" w:hAnsi="Times New Roman" w:cs="Times New Roman"/>
          <w:i/>
          <w:iCs/>
          <w:sz w:val="24"/>
          <w:szCs w:val="24"/>
        </w:rPr>
        <w:t>Economic Geology, 105</w:t>
      </w:r>
      <w:r w:rsidRPr="00A52E6D">
        <w:rPr>
          <w:rFonts w:ascii="Times New Roman" w:eastAsia="Times New Roman" w:hAnsi="Times New Roman" w:cs="Times New Roman"/>
          <w:sz w:val="24"/>
          <w:szCs w:val="24"/>
        </w:rPr>
        <w:t>(1), 3–41.</w:t>
      </w:r>
    </w:p>
    <w:p w14:paraId="6666C1B4" w14:textId="77777777" w:rsidR="007109AD" w:rsidRPr="00A52E6D" w:rsidRDefault="00A52E6D" w:rsidP="00A52E6D">
      <w:pPr>
        <w:spacing w:before="100" w:beforeAutospacing="1" w:after="100" w:afterAutospacing="1" w:line="240" w:lineRule="auto"/>
        <w:rPr>
          <w:rFonts w:ascii="Times New Roman" w:eastAsia="Times New Roman" w:hAnsi="Times New Roman" w:cs="Times New Roman"/>
          <w:sz w:val="24"/>
          <w:szCs w:val="24"/>
        </w:rPr>
      </w:pPr>
      <w:r w:rsidRPr="00A52E6D">
        <w:rPr>
          <w:rFonts w:ascii="Times New Roman" w:eastAsia="Times New Roman" w:hAnsi="Times New Roman" w:cs="Times New Roman"/>
          <w:sz w:val="24"/>
          <w:szCs w:val="24"/>
        </w:rPr>
        <w:t xml:space="preserve">Spear, F. S. (1993). </w:t>
      </w:r>
      <w:r w:rsidRPr="00A52E6D">
        <w:rPr>
          <w:rFonts w:ascii="Times New Roman" w:eastAsia="Times New Roman" w:hAnsi="Times New Roman" w:cs="Times New Roman"/>
          <w:i/>
          <w:iCs/>
          <w:sz w:val="24"/>
          <w:szCs w:val="24"/>
        </w:rPr>
        <w:t>Metamorphic phase equilibria and pressure-temperature-time paths</w:t>
      </w:r>
      <w:r w:rsidRPr="00A52E6D">
        <w:rPr>
          <w:rFonts w:ascii="Times New Roman" w:eastAsia="Times New Roman" w:hAnsi="Times New Roman" w:cs="Times New Roman"/>
          <w:sz w:val="24"/>
          <w:szCs w:val="24"/>
        </w:rPr>
        <w:t>. Mineralogical Society of America.</w:t>
      </w:r>
    </w:p>
    <w:p w14:paraId="0F221566" w14:textId="77777777" w:rsidR="007109AD" w:rsidRDefault="00A52E6D" w:rsidP="00A52E6D">
      <w:pPr>
        <w:spacing w:before="100" w:beforeAutospacing="1" w:after="100" w:afterAutospacing="1" w:line="240" w:lineRule="auto"/>
        <w:rPr>
          <w:rFonts w:ascii="Times New Roman" w:eastAsia="Times New Roman" w:hAnsi="Times New Roman" w:cs="Times New Roman"/>
          <w:sz w:val="24"/>
          <w:szCs w:val="24"/>
        </w:rPr>
      </w:pPr>
      <w:r w:rsidRPr="00A52E6D">
        <w:rPr>
          <w:rFonts w:ascii="Times New Roman" w:eastAsia="Times New Roman" w:hAnsi="Times New Roman" w:cs="Times New Roman"/>
          <w:sz w:val="24"/>
          <w:szCs w:val="24"/>
        </w:rPr>
        <w:t>Spry, P. G., Peter, J. M., &amp; Slack, J. F. (2000). Meta-</w:t>
      </w:r>
      <w:proofErr w:type="spellStart"/>
      <w:r w:rsidRPr="00A52E6D">
        <w:rPr>
          <w:rFonts w:ascii="Times New Roman" w:eastAsia="Times New Roman" w:hAnsi="Times New Roman" w:cs="Times New Roman"/>
          <w:sz w:val="24"/>
          <w:szCs w:val="24"/>
        </w:rPr>
        <w:t>exhalites</w:t>
      </w:r>
      <w:proofErr w:type="spellEnd"/>
      <w:r w:rsidRPr="00A52E6D">
        <w:rPr>
          <w:rFonts w:ascii="Times New Roman" w:eastAsia="Times New Roman" w:hAnsi="Times New Roman" w:cs="Times New Roman"/>
          <w:sz w:val="24"/>
          <w:szCs w:val="24"/>
        </w:rPr>
        <w:t xml:space="preserve"> as exploration guides to ore. </w:t>
      </w:r>
      <w:r w:rsidRPr="00A52E6D">
        <w:rPr>
          <w:rFonts w:ascii="Times New Roman" w:eastAsia="Times New Roman" w:hAnsi="Times New Roman" w:cs="Times New Roman"/>
          <w:i/>
          <w:iCs/>
          <w:sz w:val="24"/>
          <w:szCs w:val="24"/>
        </w:rPr>
        <w:t>Reviews in Economic Geology, 11</w:t>
      </w:r>
      <w:r w:rsidRPr="00A52E6D">
        <w:rPr>
          <w:rFonts w:ascii="Times New Roman" w:eastAsia="Times New Roman" w:hAnsi="Times New Roman" w:cs="Times New Roman"/>
          <w:sz w:val="24"/>
          <w:szCs w:val="24"/>
        </w:rPr>
        <w:t>, 163–201.</w:t>
      </w:r>
    </w:p>
    <w:p w14:paraId="299B98F6" w14:textId="77777777" w:rsidR="00F45416" w:rsidRPr="00F45416" w:rsidRDefault="00F45416" w:rsidP="00A52E6D">
      <w:pPr>
        <w:spacing w:before="100" w:beforeAutospacing="1" w:after="100" w:afterAutospacing="1" w:line="240" w:lineRule="auto"/>
        <w:rPr>
          <w:rFonts w:ascii="Times New Roman" w:eastAsia="Times New Roman" w:hAnsi="Times New Roman" w:cs="Times New Roman"/>
          <w:sz w:val="24"/>
          <w:szCs w:val="24"/>
        </w:rPr>
      </w:pPr>
      <w:r w:rsidRPr="00F45416">
        <w:rPr>
          <w:rFonts w:ascii="Times New Roman" w:hAnsi="Times New Roman" w:cs="Times New Roman"/>
          <w:sz w:val="24"/>
          <w:szCs w:val="24"/>
        </w:rPr>
        <w:t xml:space="preserve">Stevens, B.P.J., Barnes, R.G., Brown, R.E., Stroud, W.J. and Willis, I.L., 1988. The Willyama Supergroup in the Broken Hill and </w:t>
      </w:r>
      <w:proofErr w:type="spellStart"/>
      <w:r w:rsidRPr="00F45416">
        <w:rPr>
          <w:rFonts w:ascii="Times New Roman" w:hAnsi="Times New Roman" w:cs="Times New Roman"/>
          <w:sz w:val="24"/>
          <w:szCs w:val="24"/>
        </w:rPr>
        <w:t>Euriowie</w:t>
      </w:r>
      <w:proofErr w:type="spellEnd"/>
      <w:r w:rsidRPr="00F45416">
        <w:rPr>
          <w:rFonts w:ascii="Times New Roman" w:hAnsi="Times New Roman" w:cs="Times New Roman"/>
          <w:sz w:val="24"/>
          <w:szCs w:val="24"/>
        </w:rPr>
        <w:t xml:space="preserve"> Blocks, New South Wales. </w:t>
      </w:r>
      <w:r w:rsidRPr="00F45416">
        <w:rPr>
          <w:rFonts w:ascii="Times New Roman" w:hAnsi="Times New Roman" w:cs="Times New Roman"/>
          <w:i/>
          <w:sz w:val="24"/>
          <w:szCs w:val="24"/>
        </w:rPr>
        <w:t>Precambrian Research, 40-41</w:t>
      </w:r>
      <w:r w:rsidRPr="00F45416">
        <w:rPr>
          <w:rFonts w:ascii="Times New Roman" w:hAnsi="Times New Roman" w:cs="Times New Roman"/>
          <w:sz w:val="24"/>
          <w:szCs w:val="24"/>
        </w:rPr>
        <w:t>, 297-327.</w:t>
      </w:r>
    </w:p>
    <w:p w14:paraId="5147E3F7" w14:textId="77777777" w:rsidR="007109AD" w:rsidRDefault="007109AD" w:rsidP="007109AD">
      <w:pPr>
        <w:pStyle w:val="NormalWeb"/>
      </w:pPr>
      <w:r>
        <w:t xml:space="preserve">Sutcliffe, R. H., Barrie, C. T., &amp; </w:t>
      </w:r>
      <w:proofErr w:type="spellStart"/>
      <w:r>
        <w:t>Beauchoue</w:t>
      </w:r>
      <w:proofErr w:type="spellEnd"/>
      <w:r>
        <w:t xml:space="preserve">, G P. (1993). Plutonism in the southern Abitibi </w:t>
      </w:r>
      <w:proofErr w:type="spellStart"/>
      <w:r>
        <w:t>Subprovince</w:t>
      </w:r>
      <w:proofErr w:type="spellEnd"/>
      <w:r>
        <w:t xml:space="preserve">: A tectonic and petrogenetic framework. </w:t>
      </w:r>
      <w:r>
        <w:rPr>
          <w:rStyle w:val="Emphasis"/>
        </w:rPr>
        <w:t>Economic Geology, 88</w:t>
      </w:r>
      <w:r>
        <w:t>(6), 1359–1375.</w:t>
      </w:r>
    </w:p>
    <w:p w14:paraId="4E016953" w14:textId="77777777" w:rsidR="007109AD" w:rsidRPr="00A52E6D" w:rsidRDefault="007109AD" w:rsidP="007109AD">
      <w:pPr>
        <w:pStyle w:val="NormalWeb"/>
      </w:pPr>
      <w:r>
        <w:t xml:space="preserve">Thébaud, N., &amp; Rey, P. F. (2013). Archean gravity-driven tectonics on hot flooded continents: Controls on long-lived mineralized hydrothermal systems away from continental margins. </w:t>
      </w:r>
      <w:r>
        <w:rPr>
          <w:rStyle w:val="Emphasis"/>
        </w:rPr>
        <w:t>Precambrian Research, 229</w:t>
      </w:r>
      <w:r>
        <w:t>, 93–104.</w:t>
      </w:r>
    </w:p>
    <w:p w14:paraId="273272E4" w14:textId="77777777" w:rsidR="007109AD" w:rsidRPr="00A52E6D" w:rsidRDefault="00A52E6D" w:rsidP="00A52E6D">
      <w:pPr>
        <w:spacing w:before="100" w:beforeAutospacing="1" w:after="100" w:afterAutospacing="1" w:line="240" w:lineRule="auto"/>
        <w:rPr>
          <w:rFonts w:ascii="Times New Roman" w:eastAsia="Times New Roman" w:hAnsi="Times New Roman" w:cs="Times New Roman"/>
          <w:sz w:val="24"/>
          <w:szCs w:val="24"/>
        </w:rPr>
      </w:pPr>
      <w:r w:rsidRPr="00A52E6D">
        <w:rPr>
          <w:rFonts w:ascii="Times New Roman" w:eastAsia="Times New Roman" w:hAnsi="Times New Roman" w:cs="Times New Roman"/>
          <w:sz w:val="24"/>
          <w:szCs w:val="24"/>
        </w:rPr>
        <w:t xml:space="preserve">Walters, S. G. (1998). Regional metamorphism of the Broken Hill orebody, Australia. </w:t>
      </w:r>
      <w:r w:rsidRPr="00A52E6D">
        <w:rPr>
          <w:rFonts w:ascii="Times New Roman" w:eastAsia="Times New Roman" w:hAnsi="Times New Roman" w:cs="Times New Roman"/>
          <w:i/>
          <w:iCs/>
          <w:sz w:val="24"/>
          <w:szCs w:val="24"/>
        </w:rPr>
        <w:t>Economic Geology, 93</w:t>
      </w:r>
      <w:r w:rsidRPr="00A52E6D">
        <w:rPr>
          <w:rFonts w:ascii="Times New Roman" w:eastAsia="Times New Roman" w:hAnsi="Times New Roman" w:cs="Times New Roman"/>
          <w:sz w:val="24"/>
          <w:szCs w:val="24"/>
        </w:rPr>
        <w:t>(7), 1053–1063.</w:t>
      </w:r>
    </w:p>
    <w:p w14:paraId="556E5138" w14:textId="77777777" w:rsidR="00A52E6D" w:rsidRDefault="00A52E6D" w:rsidP="00A52E6D">
      <w:pPr>
        <w:spacing w:before="100" w:beforeAutospacing="1" w:after="100" w:afterAutospacing="1" w:line="240" w:lineRule="auto"/>
        <w:rPr>
          <w:rFonts w:ascii="Times New Roman" w:eastAsia="Times New Roman" w:hAnsi="Times New Roman" w:cs="Times New Roman"/>
          <w:sz w:val="24"/>
          <w:szCs w:val="24"/>
        </w:rPr>
      </w:pPr>
      <w:r w:rsidRPr="00A52E6D">
        <w:rPr>
          <w:rFonts w:ascii="Times New Roman" w:eastAsia="Times New Roman" w:hAnsi="Times New Roman" w:cs="Times New Roman"/>
          <w:sz w:val="24"/>
          <w:szCs w:val="24"/>
        </w:rPr>
        <w:t xml:space="preserve">Walshe, J. L. (1986). A six-component chlorite solid solution model and the conditions of chlorite formation in hydrothermal and geothermal systems. </w:t>
      </w:r>
      <w:r w:rsidRPr="00A52E6D">
        <w:rPr>
          <w:rFonts w:ascii="Times New Roman" w:eastAsia="Times New Roman" w:hAnsi="Times New Roman" w:cs="Times New Roman"/>
          <w:i/>
          <w:iCs/>
          <w:sz w:val="24"/>
          <w:szCs w:val="24"/>
        </w:rPr>
        <w:t>Economic Geology, 81</w:t>
      </w:r>
      <w:r w:rsidRPr="00A52E6D">
        <w:rPr>
          <w:rFonts w:ascii="Times New Roman" w:eastAsia="Times New Roman" w:hAnsi="Times New Roman" w:cs="Times New Roman"/>
          <w:sz w:val="24"/>
          <w:szCs w:val="24"/>
        </w:rPr>
        <w:t>(3), 681–703.</w:t>
      </w:r>
    </w:p>
    <w:p w14:paraId="042EBA9F" w14:textId="77777777" w:rsidR="00CD7829" w:rsidRPr="00CD7829" w:rsidRDefault="00CD7829" w:rsidP="00A52E6D">
      <w:pPr>
        <w:spacing w:before="100" w:beforeAutospacing="1" w:after="100" w:afterAutospacing="1" w:line="240" w:lineRule="auto"/>
        <w:rPr>
          <w:rFonts w:ascii="Times New Roman" w:eastAsia="Times New Roman" w:hAnsi="Times New Roman" w:cs="Times New Roman"/>
          <w:sz w:val="24"/>
          <w:szCs w:val="24"/>
        </w:rPr>
      </w:pPr>
      <w:r w:rsidRPr="00CD7829">
        <w:rPr>
          <w:rFonts w:ascii="Times New Roman" w:hAnsi="Times New Roman" w:cs="Times New Roman"/>
          <w:sz w:val="24"/>
          <w:szCs w:val="24"/>
        </w:rPr>
        <w:lastRenderedPageBreak/>
        <w:t xml:space="preserve">Winter, J. D. (2010). </w:t>
      </w:r>
      <w:r w:rsidRPr="00CD7829">
        <w:rPr>
          <w:rStyle w:val="Emphasis"/>
          <w:rFonts w:ascii="Times New Roman" w:hAnsi="Times New Roman" w:cs="Times New Roman"/>
          <w:sz w:val="24"/>
          <w:szCs w:val="24"/>
        </w:rPr>
        <w:t>Principles of igneous and metamorphic petrology</w:t>
      </w:r>
      <w:r w:rsidRPr="00CD7829">
        <w:rPr>
          <w:rFonts w:ascii="Times New Roman" w:hAnsi="Times New Roman" w:cs="Times New Roman"/>
          <w:sz w:val="24"/>
          <w:szCs w:val="24"/>
        </w:rPr>
        <w:t xml:space="preserve"> (2nd ed.). Pearson.</w:t>
      </w:r>
    </w:p>
    <w:p w14:paraId="0FBA211C" w14:textId="77777777" w:rsidR="00A52E6D" w:rsidRPr="00A52E6D" w:rsidRDefault="00A52E6D" w:rsidP="00A52E6D">
      <w:pPr>
        <w:spacing w:before="100" w:beforeAutospacing="1" w:after="100" w:afterAutospacing="1" w:line="240" w:lineRule="auto"/>
        <w:rPr>
          <w:rFonts w:ascii="Times New Roman" w:eastAsia="Times New Roman" w:hAnsi="Times New Roman" w:cs="Times New Roman"/>
          <w:sz w:val="24"/>
          <w:szCs w:val="24"/>
        </w:rPr>
      </w:pPr>
      <w:r w:rsidRPr="00A52E6D">
        <w:rPr>
          <w:rFonts w:ascii="Times New Roman" w:eastAsia="Times New Roman" w:hAnsi="Times New Roman" w:cs="Times New Roman"/>
          <w:sz w:val="24"/>
          <w:szCs w:val="24"/>
        </w:rPr>
        <w:t xml:space="preserve">Yang, K., Huntington, J. F., Gemmell, J. B., &amp; Scott, K. M. (2011). Spectral characteristics of white mica in hydrothermal systems: Implications for exploration. </w:t>
      </w:r>
      <w:r w:rsidRPr="00A52E6D">
        <w:rPr>
          <w:rFonts w:ascii="Times New Roman" w:eastAsia="Times New Roman" w:hAnsi="Times New Roman" w:cs="Times New Roman"/>
          <w:i/>
          <w:iCs/>
          <w:sz w:val="24"/>
          <w:szCs w:val="24"/>
        </w:rPr>
        <w:t>Ore Geology Reviews, 43</w:t>
      </w:r>
      <w:r w:rsidRPr="00A52E6D">
        <w:rPr>
          <w:rFonts w:ascii="Times New Roman" w:eastAsia="Times New Roman" w:hAnsi="Times New Roman" w:cs="Times New Roman"/>
          <w:sz w:val="24"/>
          <w:szCs w:val="24"/>
        </w:rPr>
        <w:t>(1), 111–124.</w:t>
      </w:r>
    </w:p>
    <w:p w14:paraId="7294DD40" w14:textId="77777777" w:rsidR="00A52E6D" w:rsidRPr="00A52E6D" w:rsidRDefault="00A52E6D" w:rsidP="00A52E6D">
      <w:pPr>
        <w:spacing w:before="100" w:beforeAutospacing="1" w:after="100" w:afterAutospacing="1" w:line="240" w:lineRule="auto"/>
        <w:rPr>
          <w:rFonts w:ascii="Times New Roman" w:eastAsia="Times New Roman" w:hAnsi="Times New Roman" w:cs="Times New Roman"/>
          <w:sz w:val="24"/>
          <w:szCs w:val="24"/>
        </w:rPr>
      </w:pPr>
      <w:r w:rsidRPr="00A52E6D">
        <w:rPr>
          <w:rFonts w:ascii="Times New Roman" w:eastAsia="Times New Roman" w:hAnsi="Times New Roman" w:cs="Times New Roman"/>
          <w:sz w:val="24"/>
          <w:szCs w:val="24"/>
        </w:rPr>
        <w:t xml:space="preserve">Yardley, B. W. D. (1989). </w:t>
      </w:r>
      <w:r w:rsidRPr="00A52E6D">
        <w:rPr>
          <w:rFonts w:ascii="Times New Roman" w:eastAsia="Times New Roman" w:hAnsi="Times New Roman" w:cs="Times New Roman"/>
          <w:i/>
          <w:iCs/>
          <w:sz w:val="24"/>
          <w:szCs w:val="24"/>
        </w:rPr>
        <w:t>An introduction to metamorphic petrology</w:t>
      </w:r>
      <w:r w:rsidRPr="00A52E6D">
        <w:rPr>
          <w:rFonts w:ascii="Times New Roman" w:eastAsia="Times New Roman" w:hAnsi="Times New Roman" w:cs="Times New Roman"/>
          <w:sz w:val="24"/>
          <w:szCs w:val="24"/>
        </w:rPr>
        <w:t>. Longman Scientific &amp; Technical.</w:t>
      </w:r>
    </w:p>
    <w:p w14:paraId="53F8D54A" w14:textId="77777777" w:rsidR="00A52E6D" w:rsidRPr="00513670" w:rsidRDefault="00A52E6D" w:rsidP="00513670">
      <w:pPr>
        <w:spacing w:before="100" w:beforeAutospacing="1" w:after="100" w:afterAutospacing="1" w:line="240" w:lineRule="auto"/>
        <w:rPr>
          <w:rFonts w:ascii="Times New Roman" w:eastAsia="Times New Roman" w:hAnsi="Times New Roman" w:cs="Times New Roman"/>
          <w:sz w:val="24"/>
          <w:szCs w:val="24"/>
        </w:rPr>
      </w:pPr>
    </w:p>
    <w:p w14:paraId="0C1B473C" w14:textId="77777777" w:rsidR="00513670" w:rsidRPr="00513670" w:rsidRDefault="00513670" w:rsidP="00513670">
      <w:pPr>
        <w:pBdr>
          <w:top w:val="single" w:sz="6" w:space="1" w:color="auto"/>
        </w:pBdr>
        <w:spacing w:after="0" w:line="240" w:lineRule="auto"/>
        <w:jc w:val="center"/>
        <w:rPr>
          <w:rFonts w:ascii="Arial" w:eastAsia="Times New Roman" w:hAnsi="Arial" w:cs="Arial"/>
          <w:vanish/>
          <w:sz w:val="16"/>
          <w:szCs w:val="16"/>
        </w:rPr>
      </w:pPr>
      <w:r w:rsidRPr="00513670">
        <w:rPr>
          <w:rFonts w:ascii="Arial" w:eastAsia="Times New Roman" w:hAnsi="Arial" w:cs="Arial"/>
          <w:vanish/>
          <w:sz w:val="16"/>
          <w:szCs w:val="16"/>
        </w:rPr>
        <w:t>Bottom of Form</w:t>
      </w:r>
    </w:p>
    <w:p w14:paraId="0D8889FD" w14:textId="77777777" w:rsidR="00EB27A4" w:rsidRPr="003F5F64" w:rsidRDefault="00EB27A4" w:rsidP="007109AD">
      <w:pPr>
        <w:spacing w:before="100" w:beforeAutospacing="1" w:after="100" w:afterAutospacing="1" w:line="240" w:lineRule="auto"/>
        <w:jc w:val="both"/>
        <w:rPr>
          <w:rFonts w:ascii="Times New Roman" w:eastAsia="Times New Roman" w:hAnsi="Times New Roman" w:cs="Times New Roman"/>
          <w:sz w:val="24"/>
          <w:szCs w:val="24"/>
        </w:rPr>
      </w:pPr>
    </w:p>
    <w:sectPr w:rsidR="00EB27A4" w:rsidRPr="003F5F64" w:rsidSect="006167C1">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B41B69" w14:textId="77777777" w:rsidR="007E734C" w:rsidRDefault="007E734C" w:rsidP="00E34BC4">
      <w:pPr>
        <w:spacing w:after="0" w:line="240" w:lineRule="auto"/>
      </w:pPr>
      <w:r>
        <w:separator/>
      </w:r>
    </w:p>
  </w:endnote>
  <w:endnote w:type="continuationSeparator" w:id="0">
    <w:p w14:paraId="54E3DB99" w14:textId="77777777" w:rsidR="007E734C" w:rsidRDefault="007E734C" w:rsidP="00E34B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336E6" w14:textId="77777777" w:rsidR="00E34BC4" w:rsidRDefault="00E34B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8ACA69" w14:textId="77777777" w:rsidR="00E34BC4" w:rsidRDefault="00E34BC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65EDDD" w14:textId="77777777" w:rsidR="00E34BC4" w:rsidRDefault="00E34B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2EE639" w14:textId="77777777" w:rsidR="007E734C" w:rsidRDefault="007E734C" w:rsidP="00E34BC4">
      <w:pPr>
        <w:spacing w:after="0" w:line="240" w:lineRule="auto"/>
      </w:pPr>
      <w:r>
        <w:separator/>
      </w:r>
    </w:p>
  </w:footnote>
  <w:footnote w:type="continuationSeparator" w:id="0">
    <w:p w14:paraId="378A5223" w14:textId="77777777" w:rsidR="007E734C" w:rsidRDefault="007E734C" w:rsidP="00E34B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51E53E" w14:textId="073527E6" w:rsidR="00E34BC4" w:rsidRDefault="00E34BC4">
    <w:pPr>
      <w:pStyle w:val="Header"/>
    </w:pPr>
    <w:r>
      <w:rPr>
        <w:noProof/>
      </w:rPr>
      <w:pict w14:anchorId="66F605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1108282"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1DA53" w14:textId="3840AA33" w:rsidR="00E34BC4" w:rsidRDefault="00E34BC4">
    <w:pPr>
      <w:pStyle w:val="Header"/>
    </w:pPr>
    <w:r>
      <w:rPr>
        <w:noProof/>
      </w:rPr>
      <w:pict w14:anchorId="1437B5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1108283"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5FE9A0" w14:textId="20D191F5" w:rsidR="00E34BC4" w:rsidRDefault="00E34BC4">
    <w:pPr>
      <w:pStyle w:val="Header"/>
    </w:pPr>
    <w:r>
      <w:rPr>
        <w:noProof/>
      </w:rPr>
      <w:pict w14:anchorId="1902F0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1108281"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6E07E04"/>
    <w:multiLevelType w:val="multilevel"/>
    <w:tmpl w:val="5ECA0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5F64"/>
    <w:rsid w:val="000559E1"/>
    <w:rsid w:val="00074498"/>
    <w:rsid w:val="001016DE"/>
    <w:rsid w:val="00153932"/>
    <w:rsid w:val="001F3B84"/>
    <w:rsid w:val="002855AC"/>
    <w:rsid w:val="002B2362"/>
    <w:rsid w:val="003312E3"/>
    <w:rsid w:val="00343244"/>
    <w:rsid w:val="003C5982"/>
    <w:rsid w:val="003F5F64"/>
    <w:rsid w:val="00410876"/>
    <w:rsid w:val="00427DC2"/>
    <w:rsid w:val="00434842"/>
    <w:rsid w:val="00461950"/>
    <w:rsid w:val="004A0F75"/>
    <w:rsid w:val="004A7BF6"/>
    <w:rsid w:val="00513670"/>
    <w:rsid w:val="0057131B"/>
    <w:rsid w:val="00580679"/>
    <w:rsid w:val="005A229D"/>
    <w:rsid w:val="005B1896"/>
    <w:rsid w:val="005E131E"/>
    <w:rsid w:val="005F48A4"/>
    <w:rsid w:val="006167C1"/>
    <w:rsid w:val="00633BC3"/>
    <w:rsid w:val="006A1161"/>
    <w:rsid w:val="007109AD"/>
    <w:rsid w:val="00777BC5"/>
    <w:rsid w:val="007B154D"/>
    <w:rsid w:val="007E734C"/>
    <w:rsid w:val="00803519"/>
    <w:rsid w:val="00823C7C"/>
    <w:rsid w:val="008B2DE0"/>
    <w:rsid w:val="009060A7"/>
    <w:rsid w:val="00976B39"/>
    <w:rsid w:val="0099246B"/>
    <w:rsid w:val="009A4477"/>
    <w:rsid w:val="00A32CAD"/>
    <w:rsid w:val="00A52E6D"/>
    <w:rsid w:val="00A7123C"/>
    <w:rsid w:val="00AE4E8B"/>
    <w:rsid w:val="00B162F0"/>
    <w:rsid w:val="00B30950"/>
    <w:rsid w:val="00B53962"/>
    <w:rsid w:val="00B914E2"/>
    <w:rsid w:val="00C22E2B"/>
    <w:rsid w:val="00C64BB7"/>
    <w:rsid w:val="00C75E4B"/>
    <w:rsid w:val="00C874B9"/>
    <w:rsid w:val="00CD030B"/>
    <w:rsid w:val="00CD7829"/>
    <w:rsid w:val="00D169C5"/>
    <w:rsid w:val="00D666A7"/>
    <w:rsid w:val="00DC7D95"/>
    <w:rsid w:val="00DF3B74"/>
    <w:rsid w:val="00E33ED9"/>
    <w:rsid w:val="00E34BC4"/>
    <w:rsid w:val="00EB27A4"/>
    <w:rsid w:val="00EF085C"/>
    <w:rsid w:val="00F45416"/>
    <w:rsid w:val="00F76798"/>
    <w:rsid w:val="00FC29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C8E271B"/>
  <w15:chartTrackingRefBased/>
  <w15:docId w15:val="{8D011450-68CC-423E-979E-10EFA7AB0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3F5F6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3F5F6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0559E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5F64"/>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3F5F64"/>
    <w:rPr>
      <w:rFonts w:ascii="Times New Roman" w:eastAsia="Times New Roman" w:hAnsi="Times New Roman" w:cs="Times New Roman"/>
      <w:b/>
      <w:bCs/>
      <w:sz w:val="36"/>
      <w:szCs w:val="36"/>
    </w:rPr>
  </w:style>
  <w:style w:type="paragraph" w:styleId="NormalWeb">
    <w:name w:val="Normal (Web)"/>
    <w:basedOn w:val="Normal"/>
    <w:uiPriority w:val="99"/>
    <w:unhideWhenUsed/>
    <w:rsid w:val="003F5F6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F5F64"/>
    <w:rPr>
      <w:b/>
      <w:bCs/>
    </w:rPr>
  </w:style>
  <w:style w:type="character" w:styleId="Emphasis">
    <w:name w:val="Emphasis"/>
    <w:basedOn w:val="DefaultParagraphFont"/>
    <w:uiPriority w:val="20"/>
    <w:qFormat/>
    <w:rsid w:val="003F5F64"/>
    <w:rPr>
      <w:i/>
      <w:iCs/>
    </w:rPr>
  </w:style>
  <w:style w:type="table" w:styleId="TableGrid">
    <w:name w:val="Table Grid"/>
    <w:basedOn w:val="TableNormal"/>
    <w:uiPriority w:val="39"/>
    <w:rsid w:val="00777B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TopofForm">
    <w:name w:val="HTML Top of Form"/>
    <w:basedOn w:val="Normal"/>
    <w:next w:val="Normal"/>
    <w:link w:val="z-TopofFormChar"/>
    <w:hidden/>
    <w:uiPriority w:val="99"/>
    <w:semiHidden/>
    <w:unhideWhenUsed/>
    <w:rsid w:val="0051367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513670"/>
    <w:rPr>
      <w:rFonts w:ascii="Arial" w:eastAsia="Times New Roman" w:hAnsi="Arial" w:cs="Arial"/>
      <w:vanish/>
      <w:sz w:val="16"/>
      <w:szCs w:val="16"/>
    </w:rPr>
  </w:style>
  <w:style w:type="paragraph" w:customStyle="1" w:styleId="placeholder">
    <w:name w:val="placeholder"/>
    <w:basedOn w:val="Normal"/>
    <w:rsid w:val="00513670"/>
    <w:pPr>
      <w:spacing w:before="100" w:beforeAutospacing="1" w:after="100" w:afterAutospacing="1" w:line="240" w:lineRule="auto"/>
    </w:pPr>
    <w:rPr>
      <w:rFonts w:ascii="Times New Roman" w:eastAsia="Times New Roman" w:hAnsi="Times New Roman" w:cs="Times New Roman"/>
      <w:sz w:val="24"/>
      <w:szCs w:val="24"/>
    </w:rPr>
  </w:style>
  <w:style w:type="paragraph" w:styleId="z-BottomofForm">
    <w:name w:val="HTML Bottom of Form"/>
    <w:basedOn w:val="Normal"/>
    <w:next w:val="Normal"/>
    <w:link w:val="z-BottomofFormChar"/>
    <w:hidden/>
    <w:uiPriority w:val="99"/>
    <w:semiHidden/>
    <w:unhideWhenUsed/>
    <w:rsid w:val="00513670"/>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513670"/>
    <w:rPr>
      <w:rFonts w:ascii="Arial" w:eastAsia="Times New Roman" w:hAnsi="Arial" w:cs="Arial"/>
      <w:vanish/>
      <w:sz w:val="16"/>
      <w:szCs w:val="16"/>
    </w:rPr>
  </w:style>
  <w:style w:type="character" w:customStyle="1" w:styleId="Heading3Char">
    <w:name w:val="Heading 3 Char"/>
    <w:basedOn w:val="DefaultParagraphFont"/>
    <w:link w:val="Heading3"/>
    <w:uiPriority w:val="9"/>
    <w:semiHidden/>
    <w:rsid w:val="000559E1"/>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2B2362"/>
    <w:rPr>
      <w:color w:val="0563C1" w:themeColor="hyperlink"/>
      <w:u w:val="single"/>
    </w:rPr>
  </w:style>
  <w:style w:type="character" w:styleId="UnresolvedMention">
    <w:name w:val="Unresolved Mention"/>
    <w:basedOn w:val="DefaultParagraphFont"/>
    <w:uiPriority w:val="99"/>
    <w:semiHidden/>
    <w:unhideWhenUsed/>
    <w:rsid w:val="002B2362"/>
    <w:rPr>
      <w:color w:val="605E5C"/>
      <w:shd w:val="clear" w:color="auto" w:fill="E1DFDD"/>
    </w:rPr>
  </w:style>
  <w:style w:type="paragraph" w:styleId="Header">
    <w:name w:val="header"/>
    <w:basedOn w:val="Normal"/>
    <w:link w:val="HeaderChar"/>
    <w:uiPriority w:val="99"/>
    <w:unhideWhenUsed/>
    <w:rsid w:val="00E34B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4BC4"/>
  </w:style>
  <w:style w:type="paragraph" w:styleId="Footer">
    <w:name w:val="footer"/>
    <w:basedOn w:val="Normal"/>
    <w:link w:val="FooterChar"/>
    <w:uiPriority w:val="99"/>
    <w:unhideWhenUsed/>
    <w:rsid w:val="00E34B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4B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594930">
      <w:bodyDiv w:val="1"/>
      <w:marLeft w:val="0"/>
      <w:marRight w:val="0"/>
      <w:marTop w:val="0"/>
      <w:marBottom w:val="0"/>
      <w:divBdr>
        <w:top w:val="none" w:sz="0" w:space="0" w:color="auto"/>
        <w:left w:val="none" w:sz="0" w:space="0" w:color="auto"/>
        <w:bottom w:val="none" w:sz="0" w:space="0" w:color="auto"/>
        <w:right w:val="none" w:sz="0" w:space="0" w:color="auto"/>
      </w:divBdr>
    </w:div>
    <w:div w:id="168058423">
      <w:bodyDiv w:val="1"/>
      <w:marLeft w:val="0"/>
      <w:marRight w:val="0"/>
      <w:marTop w:val="0"/>
      <w:marBottom w:val="0"/>
      <w:divBdr>
        <w:top w:val="none" w:sz="0" w:space="0" w:color="auto"/>
        <w:left w:val="none" w:sz="0" w:space="0" w:color="auto"/>
        <w:bottom w:val="none" w:sz="0" w:space="0" w:color="auto"/>
        <w:right w:val="none" w:sz="0" w:space="0" w:color="auto"/>
      </w:divBdr>
    </w:div>
    <w:div w:id="224029384">
      <w:bodyDiv w:val="1"/>
      <w:marLeft w:val="0"/>
      <w:marRight w:val="0"/>
      <w:marTop w:val="0"/>
      <w:marBottom w:val="0"/>
      <w:divBdr>
        <w:top w:val="none" w:sz="0" w:space="0" w:color="auto"/>
        <w:left w:val="none" w:sz="0" w:space="0" w:color="auto"/>
        <w:bottom w:val="none" w:sz="0" w:space="0" w:color="auto"/>
        <w:right w:val="none" w:sz="0" w:space="0" w:color="auto"/>
      </w:divBdr>
    </w:div>
    <w:div w:id="529955043">
      <w:bodyDiv w:val="1"/>
      <w:marLeft w:val="0"/>
      <w:marRight w:val="0"/>
      <w:marTop w:val="0"/>
      <w:marBottom w:val="0"/>
      <w:divBdr>
        <w:top w:val="none" w:sz="0" w:space="0" w:color="auto"/>
        <w:left w:val="none" w:sz="0" w:space="0" w:color="auto"/>
        <w:bottom w:val="none" w:sz="0" w:space="0" w:color="auto"/>
        <w:right w:val="none" w:sz="0" w:space="0" w:color="auto"/>
      </w:divBdr>
    </w:div>
    <w:div w:id="621617363">
      <w:bodyDiv w:val="1"/>
      <w:marLeft w:val="0"/>
      <w:marRight w:val="0"/>
      <w:marTop w:val="0"/>
      <w:marBottom w:val="0"/>
      <w:divBdr>
        <w:top w:val="none" w:sz="0" w:space="0" w:color="auto"/>
        <w:left w:val="none" w:sz="0" w:space="0" w:color="auto"/>
        <w:bottom w:val="none" w:sz="0" w:space="0" w:color="auto"/>
        <w:right w:val="none" w:sz="0" w:space="0" w:color="auto"/>
      </w:divBdr>
    </w:div>
    <w:div w:id="688264592">
      <w:bodyDiv w:val="1"/>
      <w:marLeft w:val="0"/>
      <w:marRight w:val="0"/>
      <w:marTop w:val="0"/>
      <w:marBottom w:val="0"/>
      <w:divBdr>
        <w:top w:val="none" w:sz="0" w:space="0" w:color="auto"/>
        <w:left w:val="none" w:sz="0" w:space="0" w:color="auto"/>
        <w:bottom w:val="none" w:sz="0" w:space="0" w:color="auto"/>
        <w:right w:val="none" w:sz="0" w:space="0" w:color="auto"/>
      </w:divBdr>
    </w:div>
    <w:div w:id="1041595640">
      <w:bodyDiv w:val="1"/>
      <w:marLeft w:val="0"/>
      <w:marRight w:val="0"/>
      <w:marTop w:val="0"/>
      <w:marBottom w:val="0"/>
      <w:divBdr>
        <w:top w:val="none" w:sz="0" w:space="0" w:color="auto"/>
        <w:left w:val="none" w:sz="0" w:space="0" w:color="auto"/>
        <w:bottom w:val="none" w:sz="0" w:space="0" w:color="auto"/>
        <w:right w:val="none" w:sz="0" w:space="0" w:color="auto"/>
      </w:divBdr>
    </w:div>
    <w:div w:id="1343583001">
      <w:bodyDiv w:val="1"/>
      <w:marLeft w:val="0"/>
      <w:marRight w:val="0"/>
      <w:marTop w:val="0"/>
      <w:marBottom w:val="0"/>
      <w:divBdr>
        <w:top w:val="none" w:sz="0" w:space="0" w:color="auto"/>
        <w:left w:val="none" w:sz="0" w:space="0" w:color="auto"/>
        <w:bottom w:val="none" w:sz="0" w:space="0" w:color="auto"/>
        <w:right w:val="none" w:sz="0" w:space="0" w:color="auto"/>
      </w:divBdr>
    </w:div>
    <w:div w:id="1525360583">
      <w:bodyDiv w:val="1"/>
      <w:marLeft w:val="0"/>
      <w:marRight w:val="0"/>
      <w:marTop w:val="0"/>
      <w:marBottom w:val="0"/>
      <w:divBdr>
        <w:top w:val="none" w:sz="0" w:space="0" w:color="auto"/>
        <w:left w:val="none" w:sz="0" w:space="0" w:color="auto"/>
        <w:bottom w:val="none" w:sz="0" w:space="0" w:color="auto"/>
        <w:right w:val="none" w:sz="0" w:space="0" w:color="auto"/>
      </w:divBdr>
    </w:div>
    <w:div w:id="1671177607">
      <w:bodyDiv w:val="1"/>
      <w:marLeft w:val="0"/>
      <w:marRight w:val="0"/>
      <w:marTop w:val="0"/>
      <w:marBottom w:val="0"/>
      <w:divBdr>
        <w:top w:val="none" w:sz="0" w:space="0" w:color="auto"/>
        <w:left w:val="none" w:sz="0" w:space="0" w:color="auto"/>
        <w:bottom w:val="none" w:sz="0" w:space="0" w:color="auto"/>
        <w:right w:val="none" w:sz="0" w:space="0" w:color="auto"/>
      </w:divBdr>
      <w:divsChild>
        <w:div w:id="2124690193">
          <w:marLeft w:val="0"/>
          <w:marRight w:val="0"/>
          <w:marTop w:val="0"/>
          <w:marBottom w:val="0"/>
          <w:divBdr>
            <w:top w:val="none" w:sz="0" w:space="0" w:color="auto"/>
            <w:left w:val="none" w:sz="0" w:space="0" w:color="auto"/>
            <w:bottom w:val="none" w:sz="0" w:space="0" w:color="auto"/>
            <w:right w:val="none" w:sz="0" w:space="0" w:color="auto"/>
          </w:divBdr>
          <w:divsChild>
            <w:div w:id="2123066682">
              <w:marLeft w:val="0"/>
              <w:marRight w:val="0"/>
              <w:marTop w:val="0"/>
              <w:marBottom w:val="0"/>
              <w:divBdr>
                <w:top w:val="none" w:sz="0" w:space="0" w:color="auto"/>
                <w:left w:val="none" w:sz="0" w:space="0" w:color="auto"/>
                <w:bottom w:val="none" w:sz="0" w:space="0" w:color="auto"/>
                <w:right w:val="none" w:sz="0" w:space="0" w:color="auto"/>
              </w:divBdr>
              <w:divsChild>
                <w:div w:id="422149679">
                  <w:marLeft w:val="0"/>
                  <w:marRight w:val="0"/>
                  <w:marTop w:val="0"/>
                  <w:marBottom w:val="0"/>
                  <w:divBdr>
                    <w:top w:val="none" w:sz="0" w:space="0" w:color="auto"/>
                    <w:left w:val="none" w:sz="0" w:space="0" w:color="auto"/>
                    <w:bottom w:val="none" w:sz="0" w:space="0" w:color="auto"/>
                    <w:right w:val="none" w:sz="0" w:space="0" w:color="auto"/>
                  </w:divBdr>
                  <w:divsChild>
                    <w:div w:id="150221411">
                      <w:marLeft w:val="0"/>
                      <w:marRight w:val="0"/>
                      <w:marTop w:val="0"/>
                      <w:marBottom w:val="0"/>
                      <w:divBdr>
                        <w:top w:val="none" w:sz="0" w:space="0" w:color="auto"/>
                        <w:left w:val="none" w:sz="0" w:space="0" w:color="auto"/>
                        <w:bottom w:val="none" w:sz="0" w:space="0" w:color="auto"/>
                        <w:right w:val="none" w:sz="0" w:space="0" w:color="auto"/>
                      </w:divBdr>
                      <w:divsChild>
                        <w:div w:id="184949288">
                          <w:marLeft w:val="0"/>
                          <w:marRight w:val="0"/>
                          <w:marTop w:val="0"/>
                          <w:marBottom w:val="0"/>
                          <w:divBdr>
                            <w:top w:val="none" w:sz="0" w:space="0" w:color="auto"/>
                            <w:left w:val="none" w:sz="0" w:space="0" w:color="auto"/>
                            <w:bottom w:val="none" w:sz="0" w:space="0" w:color="auto"/>
                            <w:right w:val="none" w:sz="0" w:space="0" w:color="auto"/>
                          </w:divBdr>
                          <w:divsChild>
                            <w:div w:id="392234672">
                              <w:marLeft w:val="0"/>
                              <w:marRight w:val="0"/>
                              <w:marTop w:val="0"/>
                              <w:marBottom w:val="0"/>
                              <w:divBdr>
                                <w:top w:val="none" w:sz="0" w:space="0" w:color="auto"/>
                                <w:left w:val="none" w:sz="0" w:space="0" w:color="auto"/>
                                <w:bottom w:val="none" w:sz="0" w:space="0" w:color="auto"/>
                                <w:right w:val="none" w:sz="0" w:space="0" w:color="auto"/>
                              </w:divBdr>
                              <w:divsChild>
                                <w:div w:id="206719782">
                                  <w:marLeft w:val="0"/>
                                  <w:marRight w:val="0"/>
                                  <w:marTop w:val="0"/>
                                  <w:marBottom w:val="0"/>
                                  <w:divBdr>
                                    <w:top w:val="none" w:sz="0" w:space="0" w:color="auto"/>
                                    <w:left w:val="none" w:sz="0" w:space="0" w:color="auto"/>
                                    <w:bottom w:val="none" w:sz="0" w:space="0" w:color="auto"/>
                                    <w:right w:val="none" w:sz="0" w:space="0" w:color="auto"/>
                                  </w:divBdr>
                                  <w:divsChild>
                                    <w:div w:id="91508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6986706">
          <w:marLeft w:val="0"/>
          <w:marRight w:val="0"/>
          <w:marTop w:val="0"/>
          <w:marBottom w:val="0"/>
          <w:divBdr>
            <w:top w:val="none" w:sz="0" w:space="0" w:color="auto"/>
            <w:left w:val="none" w:sz="0" w:space="0" w:color="auto"/>
            <w:bottom w:val="none" w:sz="0" w:space="0" w:color="auto"/>
            <w:right w:val="none" w:sz="0" w:space="0" w:color="auto"/>
          </w:divBdr>
          <w:divsChild>
            <w:div w:id="2092775997">
              <w:marLeft w:val="0"/>
              <w:marRight w:val="0"/>
              <w:marTop w:val="0"/>
              <w:marBottom w:val="0"/>
              <w:divBdr>
                <w:top w:val="none" w:sz="0" w:space="0" w:color="auto"/>
                <w:left w:val="none" w:sz="0" w:space="0" w:color="auto"/>
                <w:bottom w:val="none" w:sz="0" w:space="0" w:color="auto"/>
                <w:right w:val="none" w:sz="0" w:space="0" w:color="auto"/>
              </w:divBdr>
              <w:divsChild>
                <w:div w:id="1779983090">
                  <w:marLeft w:val="0"/>
                  <w:marRight w:val="0"/>
                  <w:marTop w:val="0"/>
                  <w:marBottom w:val="0"/>
                  <w:divBdr>
                    <w:top w:val="none" w:sz="0" w:space="0" w:color="auto"/>
                    <w:left w:val="none" w:sz="0" w:space="0" w:color="auto"/>
                    <w:bottom w:val="none" w:sz="0" w:space="0" w:color="auto"/>
                    <w:right w:val="none" w:sz="0" w:space="0" w:color="auto"/>
                  </w:divBdr>
                  <w:divsChild>
                    <w:div w:id="505747454">
                      <w:marLeft w:val="0"/>
                      <w:marRight w:val="0"/>
                      <w:marTop w:val="0"/>
                      <w:marBottom w:val="0"/>
                      <w:divBdr>
                        <w:top w:val="none" w:sz="0" w:space="0" w:color="auto"/>
                        <w:left w:val="none" w:sz="0" w:space="0" w:color="auto"/>
                        <w:bottom w:val="none" w:sz="0" w:space="0" w:color="auto"/>
                        <w:right w:val="none" w:sz="0" w:space="0" w:color="auto"/>
                      </w:divBdr>
                      <w:divsChild>
                        <w:div w:id="1095175967">
                          <w:marLeft w:val="0"/>
                          <w:marRight w:val="0"/>
                          <w:marTop w:val="0"/>
                          <w:marBottom w:val="0"/>
                          <w:divBdr>
                            <w:top w:val="none" w:sz="0" w:space="0" w:color="auto"/>
                            <w:left w:val="none" w:sz="0" w:space="0" w:color="auto"/>
                            <w:bottom w:val="none" w:sz="0" w:space="0" w:color="auto"/>
                            <w:right w:val="none" w:sz="0" w:space="0" w:color="auto"/>
                          </w:divBdr>
                          <w:divsChild>
                            <w:div w:id="744181070">
                              <w:marLeft w:val="0"/>
                              <w:marRight w:val="0"/>
                              <w:marTop w:val="0"/>
                              <w:marBottom w:val="0"/>
                              <w:divBdr>
                                <w:top w:val="none" w:sz="0" w:space="0" w:color="auto"/>
                                <w:left w:val="none" w:sz="0" w:space="0" w:color="auto"/>
                                <w:bottom w:val="none" w:sz="0" w:space="0" w:color="auto"/>
                                <w:right w:val="none" w:sz="0" w:space="0" w:color="auto"/>
                              </w:divBdr>
                              <w:divsChild>
                                <w:div w:id="272518627">
                                  <w:marLeft w:val="0"/>
                                  <w:marRight w:val="0"/>
                                  <w:marTop w:val="0"/>
                                  <w:marBottom w:val="0"/>
                                  <w:divBdr>
                                    <w:top w:val="none" w:sz="0" w:space="0" w:color="auto"/>
                                    <w:left w:val="none" w:sz="0" w:space="0" w:color="auto"/>
                                    <w:bottom w:val="none" w:sz="0" w:space="0" w:color="auto"/>
                                    <w:right w:val="none" w:sz="0" w:space="0" w:color="auto"/>
                                  </w:divBdr>
                                  <w:divsChild>
                                    <w:div w:id="1499225889">
                                      <w:marLeft w:val="0"/>
                                      <w:marRight w:val="0"/>
                                      <w:marTop w:val="0"/>
                                      <w:marBottom w:val="0"/>
                                      <w:divBdr>
                                        <w:top w:val="none" w:sz="0" w:space="0" w:color="auto"/>
                                        <w:left w:val="none" w:sz="0" w:space="0" w:color="auto"/>
                                        <w:bottom w:val="none" w:sz="0" w:space="0" w:color="auto"/>
                                        <w:right w:val="none" w:sz="0" w:space="0" w:color="auto"/>
                                      </w:divBdr>
                                      <w:divsChild>
                                        <w:div w:id="1987860005">
                                          <w:marLeft w:val="0"/>
                                          <w:marRight w:val="0"/>
                                          <w:marTop w:val="0"/>
                                          <w:marBottom w:val="0"/>
                                          <w:divBdr>
                                            <w:top w:val="none" w:sz="0" w:space="0" w:color="auto"/>
                                            <w:left w:val="none" w:sz="0" w:space="0" w:color="auto"/>
                                            <w:bottom w:val="none" w:sz="0" w:space="0" w:color="auto"/>
                                            <w:right w:val="none" w:sz="0" w:space="0" w:color="auto"/>
                                          </w:divBdr>
                                          <w:divsChild>
                                            <w:div w:id="197007375">
                                              <w:marLeft w:val="0"/>
                                              <w:marRight w:val="0"/>
                                              <w:marTop w:val="0"/>
                                              <w:marBottom w:val="0"/>
                                              <w:divBdr>
                                                <w:top w:val="none" w:sz="0" w:space="0" w:color="auto"/>
                                                <w:left w:val="none" w:sz="0" w:space="0" w:color="auto"/>
                                                <w:bottom w:val="none" w:sz="0" w:space="0" w:color="auto"/>
                                                <w:right w:val="none" w:sz="0" w:space="0" w:color="auto"/>
                                              </w:divBdr>
                                              <w:divsChild>
                                                <w:div w:id="69612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71659018">
      <w:bodyDiv w:val="1"/>
      <w:marLeft w:val="0"/>
      <w:marRight w:val="0"/>
      <w:marTop w:val="0"/>
      <w:marBottom w:val="0"/>
      <w:divBdr>
        <w:top w:val="none" w:sz="0" w:space="0" w:color="auto"/>
        <w:left w:val="none" w:sz="0" w:space="0" w:color="auto"/>
        <w:bottom w:val="none" w:sz="0" w:space="0" w:color="auto"/>
        <w:right w:val="none" w:sz="0" w:space="0" w:color="auto"/>
      </w:divBdr>
    </w:div>
    <w:div w:id="2051876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jpeg"/><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287</TotalTime>
  <Pages>16</Pages>
  <Words>5557</Words>
  <Characters>31676</Characters>
  <Application>Microsoft Office Word</Application>
  <DocSecurity>0</DocSecurity>
  <Lines>263</Lines>
  <Paragraphs>74</Paragraphs>
  <ScaleCrop>false</ScaleCrop>
  <HeadingPairs>
    <vt:vector size="4" baseType="variant">
      <vt:variant>
        <vt:lpstr>Title</vt:lpstr>
      </vt:variant>
      <vt:variant>
        <vt:i4>1</vt:i4>
      </vt:variant>
      <vt:variant>
        <vt:lpstr>Headings</vt:lpstr>
      </vt:variant>
      <vt:variant>
        <vt:i4>17</vt:i4>
      </vt:variant>
    </vt:vector>
  </HeadingPairs>
  <TitlesOfParts>
    <vt:vector size="18" baseType="lpstr">
      <vt:lpstr/>
      <vt:lpstr>    Metamorphic Index Minerals as Exploration Vectors: Linking Metamorphic P–T Evolu</vt:lpstr>
      <vt:lpstr>    Adeyinka Olasehinde	  Department of Geology, Faculty of Science, Gombe State Uni</vt:lpstr>
      <vt:lpstr>    Abstract</vt:lpstr>
      <vt:lpstr>1. Introduction</vt:lpstr>
      <vt:lpstr>2. Methodology</vt:lpstr>
      <vt:lpstr>    3.1 Index Minerals and Metamorphic Zoning</vt:lpstr>
      <vt:lpstr>    3.2 Orogenic Gold Systems in the Abitibi Greenstone Belt</vt:lpstr>
      <vt:lpstr>    3.3 The Broken Hill Pb–Zn–Ag Deposit</vt:lpstr>
      <vt:lpstr>        3.4 Link Between Metamorphic P–T Evolution and Orogenic Gold and VMS Mineralizat</vt:lpstr>
      <vt:lpstr>    </vt:lpstr>
      <vt:lpstr>    3.4 Exploration Vectoring Using Alteration Minerals</vt:lpstr>
      <vt:lpstr>    3.5 Limitations in the Use of Index Minerals</vt:lpstr>
      <vt:lpstr>    3.6 Emerging Technologies in Index Mineral Detection</vt:lpstr>
      <vt:lpstr>4. Conclusion</vt:lpstr>
      <vt:lpstr/>
      <vt:lpstr>References</vt:lpstr>
      <vt:lpstr>Ayer, J.A., Thurston, P.C., Bateman, R., Dubé, B., Gibson, H.L., Hamilton, M.A.,</vt:lpstr>
    </vt:vector>
  </TitlesOfParts>
  <Company/>
  <LinksUpToDate>false</LinksUpToDate>
  <CharactersWithSpaces>37159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GSU</dc:creator>
  <cp:keywords/>
  <dc:description/>
  <cp:lastModifiedBy>SDI 1084</cp:lastModifiedBy>
  <cp:revision>26</cp:revision>
  <dcterms:created xsi:type="dcterms:W3CDTF">2026-03-15T02:47:00Z</dcterms:created>
  <dcterms:modified xsi:type="dcterms:W3CDTF">2026-05-02T09:19:00Z</dcterms:modified>
</cp:coreProperties>
</file>