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F2446" w14:textId="77777777" w:rsidR="00754C9A" w:rsidRPr="00CA28B4" w:rsidRDefault="00754C9A" w:rsidP="00441B6F">
      <w:pPr>
        <w:pStyle w:val="Title"/>
        <w:spacing w:after="0"/>
        <w:jc w:val="both"/>
        <w:rPr>
          <w:rFonts w:ascii="Arial" w:hAnsi="Arial" w:cs="Arial"/>
          <w:lang w:val="fr-FR"/>
        </w:rPr>
      </w:pPr>
    </w:p>
    <w:p w14:paraId="1C75F27B" w14:textId="45DD421C" w:rsidR="00EE6C05" w:rsidRDefault="00EE6C05" w:rsidP="00441B6F">
      <w:pPr>
        <w:pStyle w:val="Author"/>
        <w:spacing w:line="240" w:lineRule="auto"/>
        <w:rPr>
          <w:rFonts w:ascii="Arial" w:hAnsi="Arial" w:cs="Arial"/>
          <w:bCs/>
          <w:iCs/>
          <w:kern w:val="28"/>
          <w:sz w:val="36"/>
        </w:rPr>
      </w:pPr>
      <w:r w:rsidRPr="007B1647">
        <w:rPr>
          <w:rFonts w:ascii="Times New Roman" w:hAnsi="Times New Roman"/>
          <w:sz w:val="20"/>
        </w:rPr>
        <w:t>Original Research Article</w:t>
      </w:r>
    </w:p>
    <w:p w14:paraId="630F6293" w14:textId="423593DA" w:rsidR="00163BC4" w:rsidRPr="00163BC4" w:rsidRDefault="00394E0A" w:rsidP="00441B6F">
      <w:pPr>
        <w:pStyle w:val="Author"/>
        <w:spacing w:line="240" w:lineRule="auto"/>
        <w:rPr>
          <w:rFonts w:ascii="Arial" w:hAnsi="Arial" w:cs="Arial"/>
          <w:bCs/>
          <w:iCs/>
          <w:kern w:val="28"/>
          <w:sz w:val="36"/>
        </w:rPr>
      </w:pPr>
      <w:r w:rsidRPr="00394E0A">
        <w:rPr>
          <w:rFonts w:ascii="Arial" w:hAnsi="Arial" w:cs="Arial"/>
          <w:bCs/>
          <w:iCs/>
          <w:kern w:val="28"/>
          <w:sz w:val="36"/>
        </w:rPr>
        <w:t>Residual Effect of Laying Hen Manure on Pearl Millet Production in the Sudano-Sahelian Zone of Burkina Faso</w:t>
      </w:r>
      <w:r w:rsidR="00231920">
        <w:rPr>
          <w:rFonts w:ascii="Arial" w:hAnsi="Arial" w:cs="Arial"/>
          <w:bCs/>
          <w:iCs/>
          <w:kern w:val="28"/>
          <w:sz w:val="36"/>
        </w:rPr>
        <w:t xml:space="preserve"> </w:t>
      </w:r>
    </w:p>
    <w:p w14:paraId="604596BD" w14:textId="77777777" w:rsidR="00A258C3" w:rsidRPr="00790ADA" w:rsidRDefault="00A258C3" w:rsidP="00441B6F">
      <w:pPr>
        <w:pStyle w:val="Author"/>
        <w:spacing w:line="240" w:lineRule="auto"/>
        <w:jc w:val="both"/>
        <w:rPr>
          <w:rFonts w:ascii="Arial" w:hAnsi="Arial" w:cs="Arial"/>
          <w:sz w:val="36"/>
        </w:rPr>
      </w:pPr>
    </w:p>
    <w:p w14:paraId="3FF2B983" w14:textId="77777777" w:rsidR="00192955" w:rsidRDefault="00192955" w:rsidP="00150F94">
      <w:pPr>
        <w:pStyle w:val="Footer"/>
      </w:pPr>
    </w:p>
    <w:p w14:paraId="5C70A279" w14:textId="77777777" w:rsidR="002C57D2" w:rsidRPr="00FB3A86" w:rsidRDefault="002C57D2" w:rsidP="00441B6F">
      <w:pPr>
        <w:pStyle w:val="Affiliation"/>
        <w:spacing w:after="0" w:line="240" w:lineRule="auto"/>
        <w:jc w:val="both"/>
        <w:rPr>
          <w:rFonts w:ascii="Arial" w:hAnsi="Arial" w:cs="Arial"/>
        </w:rPr>
      </w:pPr>
    </w:p>
    <w:p w14:paraId="6815DD96" w14:textId="77777777" w:rsidR="00B01FCD" w:rsidRPr="00FB3A86" w:rsidRDefault="00093AC2" w:rsidP="00441B6F">
      <w:pPr>
        <w:pStyle w:val="Copyright"/>
        <w:spacing w:after="0" w:line="240" w:lineRule="auto"/>
        <w:jc w:val="both"/>
        <w:rPr>
          <w:rFonts w:ascii="Arial" w:hAnsi="Arial" w:cs="Arial"/>
        </w:rPr>
        <w:sectPr w:rsidR="00B01FCD" w:rsidRPr="00FB3A86" w:rsidSect="00362B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0E370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E2B755" w14:textId="4F719679" w:rsidR="00B01FCD" w:rsidRDefault="00B01FCD" w:rsidP="00441B6F">
      <w:pPr>
        <w:pStyle w:val="AbstHead"/>
        <w:spacing w:after="0"/>
        <w:jc w:val="both"/>
        <w:rPr>
          <w:rFonts w:ascii="Arial" w:hAnsi="Arial" w:cs="Arial"/>
        </w:rPr>
      </w:pPr>
      <w:r w:rsidRPr="00FB3A86">
        <w:rPr>
          <w:rFonts w:ascii="Arial" w:hAnsi="Arial" w:cs="Arial"/>
        </w:rPr>
        <w:t>ABSTRACT</w:t>
      </w:r>
    </w:p>
    <w:p w14:paraId="79A00A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5890C4" w14:textId="77777777" w:rsidTr="001E44FE">
        <w:tc>
          <w:tcPr>
            <w:tcW w:w="9576" w:type="dxa"/>
            <w:shd w:val="clear" w:color="auto" w:fill="F2F2F2"/>
          </w:tcPr>
          <w:p w14:paraId="3DD3B4B2" w14:textId="544C0ED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4024A">
              <w:rPr>
                <w:rFonts w:ascii="Arial" w:eastAsia="Calibri" w:hAnsi="Arial" w:cs="Arial"/>
                <w:b/>
                <w:szCs w:val="22"/>
              </w:rPr>
              <w:t>T</w:t>
            </w:r>
            <w:r w:rsidR="00D4024A" w:rsidRPr="00D4024A">
              <w:rPr>
                <w:rFonts w:ascii="Arial" w:eastAsia="Calibri" w:hAnsi="Arial" w:cs="Arial"/>
                <w:szCs w:val="22"/>
              </w:rPr>
              <w:t>he present study aims to evaluate the residual effect of laying hen manure (LHM) on the growth, development, and yield of pearl millet, in order to better understand its role in promoting sustainable production systems.</w:t>
            </w:r>
          </w:p>
          <w:p w14:paraId="7DC7EAB9" w14:textId="152C1D5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4024A" w:rsidRPr="00D4024A">
              <w:rPr>
                <w:rFonts w:ascii="Arial" w:eastAsia="Calibri" w:hAnsi="Arial" w:cs="Arial"/>
                <w:szCs w:val="22"/>
              </w:rPr>
              <w:t>A field experiment was conducted usin</w:t>
            </w:r>
            <w:r w:rsidR="00D4024A">
              <w:rPr>
                <w:rFonts w:ascii="Arial" w:eastAsia="Calibri" w:hAnsi="Arial" w:cs="Arial"/>
                <w:szCs w:val="22"/>
              </w:rPr>
              <w:t>g</w:t>
            </w:r>
            <w:r w:rsidR="00D4024A" w:rsidRPr="00D4024A">
              <w:rPr>
                <w:rFonts w:ascii="Arial" w:eastAsia="Calibri" w:hAnsi="Arial" w:cs="Arial"/>
                <w:szCs w:val="22"/>
              </w:rPr>
              <w:t xml:space="preserve"> a Fisher’s randomized block design</w:t>
            </w:r>
            <w:r w:rsidR="00D4024A">
              <w:rPr>
                <w:rFonts w:ascii="Arial" w:eastAsia="Calibri" w:hAnsi="Arial" w:cs="Arial"/>
                <w:szCs w:val="22"/>
              </w:rPr>
              <w:t>,</w:t>
            </w:r>
            <w:r w:rsidR="00D4024A" w:rsidRPr="00D4024A">
              <w:rPr>
                <w:rFonts w:ascii="Arial" w:hAnsi="Arial" w:cs="Arial"/>
              </w:rPr>
              <w:t xml:space="preserve"> </w:t>
            </w:r>
            <w:r w:rsidR="00D4024A" w:rsidRPr="00D4024A">
              <w:rPr>
                <w:rFonts w:ascii="Arial" w:eastAsia="Calibri" w:hAnsi="Arial" w:cs="Arial"/>
                <w:szCs w:val="22"/>
              </w:rPr>
              <w:t>consisting of five (05) treatments, each replicated three (03) times</w:t>
            </w:r>
            <w:r w:rsidRPr="00BA1B01">
              <w:rPr>
                <w:rFonts w:ascii="Arial" w:eastAsia="Calibri" w:hAnsi="Arial" w:cs="Arial"/>
                <w:szCs w:val="22"/>
              </w:rPr>
              <w:t>.</w:t>
            </w:r>
          </w:p>
          <w:p w14:paraId="7984C825" w14:textId="13B753C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4024A" w:rsidRPr="00D4024A">
              <w:rPr>
                <w:rFonts w:ascii="Arial" w:eastAsia="Calibri" w:hAnsi="Arial" w:cs="Arial"/>
                <w:szCs w:val="22"/>
              </w:rPr>
              <w:t xml:space="preserve">The experiment was carried out at the experimental station of the Rural Development Institute in </w:t>
            </w:r>
            <w:proofErr w:type="spellStart"/>
            <w:r w:rsidR="00D4024A" w:rsidRPr="00D4024A">
              <w:rPr>
                <w:rFonts w:ascii="Arial" w:eastAsia="Calibri" w:hAnsi="Arial" w:cs="Arial"/>
                <w:szCs w:val="22"/>
              </w:rPr>
              <w:t>Gampela</w:t>
            </w:r>
            <w:proofErr w:type="spellEnd"/>
            <w:r w:rsidR="00D4024A" w:rsidRPr="00D4024A">
              <w:rPr>
                <w:rFonts w:ascii="Arial" w:eastAsia="Calibri" w:hAnsi="Arial" w:cs="Arial"/>
                <w:szCs w:val="22"/>
              </w:rPr>
              <w:t>, Burkina Faso during the rainy season of the 2022/2023</w:t>
            </w:r>
            <w:r w:rsidR="00D4024A">
              <w:rPr>
                <w:rFonts w:ascii="Arial" w:eastAsia="Calibri" w:hAnsi="Arial" w:cs="Arial"/>
                <w:szCs w:val="22"/>
              </w:rPr>
              <w:t xml:space="preserve"> (June at November 2023) </w:t>
            </w:r>
            <w:r w:rsidR="00D4024A" w:rsidRPr="00D4024A">
              <w:rPr>
                <w:rFonts w:ascii="Arial" w:eastAsia="Calibri" w:hAnsi="Arial" w:cs="Arial"/>
                <w:szCs w:val="22"/>
              </w:rPr>
              <w:t>cropping year</w:t>
            </w:r>
            <w:r w:rsidRPr="00BA1B01">
              <w:rPr>
                <w:rFonts w:ascii="Arial" w:eastAsia="Calibri" w:hAnsi="Arial" w:cs="Arial"/>
                <w:szCs w:val="22"/>
              </w:rPr>
              <w:t>.</w:t>
            </w:r>
          </w:p>
          <w:p w14:paraId="75FF26E7" w14:textId="659F399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4024A" w:rsidRPr="00D4024A">
              <w:rPr>
                <w:rFonts w:ascii="Arial" w:eastAsia="Calibri" w:hAnsi="Arial" w:cs="Arial"/>
                <w:szCs w:val="22"/>
              </w:rPr>
              <w:t xml:space="preserve">During the 2022/2023 cropping season, the experimental plots of 17 m² corresponding to the different </w:t>
            </w:r>
            <w:r w:rsidR="00D4024A">
              <w:rPr>
                <w:rFonts w:ascii="Arial" w:eastAsia="Calibri" w:hAnsi="Arial" w:cs="Arial"/>
                <w:szCs w:val="22"/>
              </w:rPr>
              <w:t xml:space="preserve">residual </w:t>
            </w:r>
            <w:r w:rsidR="00D4024A" w:rsidRPr="00D4024A">
              <w:rPr>
                <w:rFonts w:ascii="Arial" w:eastAsia="Calibri" w:hAnsi="Arial" w:cs="Arial"/>
                <w:szCs w:val="22"/>
              </w:rPr>
              <w:t>treatments</w:t>
            </w:r>
            <w:r w:rsidR="00D4024A">
              <w:rPr>
                <w:rFonts w:ascii="Arial" w:eastAsia="Calibri" w:hAnsi="Arial" w:cs="Arial"/>
                <w:szCs w:val="22"/>
              </w:rPr>
              <w:t xml:space="preserve"> </w:t>
            </w:r>
            <w:r w:rsidR="00D4024A" w:rsidRPr="00D4024A">
              <w:rPr>
                <w:rFonts w:ascii="Arial" w:eastAsia="Calibri" w:hAnsi="Arial" w:cs="Arial"/>
                <w:szCs w:val="22"/>
              </w:rPr>
              <w:t>T0 (control), T1 (100 kg ha</w:t>
            </w:r>
            <w:r w:rsidR="00D4024A" w:rsidRPr="00D4024A">
              <w:rPr>
                <w:rFonts w:ascii="Cambria Math" w:eastAsia="Calibri" w:hAnsi="Cambria Math" w:cs="Cambria Math"/>
                <w:szCs w:val="22"/>
              </w:rPr>
              <w:t>⁻</w:t>
            </w:r>
            <w:r w:rsidR="00D4024A" w:rsidRPr="00D4024A">
              <w:rPr>
                <w:rFonts w:ascii="Arial" w:eastAsia="Calibri" w:hAnsi="Arial" w:cs="Arial"/>
                <w:szCs w:val="22"/>
              </w:rPr>
              <w:t>¹ NPK + 50 kg ha</w:t>
            </w:r>
            <w:r w:rsidR="00D4024A" w:rsidRPr="00D4024A">
              <w:rPr>
                <w:rFonts w:ascii="Cambria Math" w:eastAsia="Calibri" w:hAnsi="Cambria Math" w:cs="Cambria Math"/>
                <w:szCs w:val="22"/>
              </w:rPr>
              <w:t>⁻</w:t>
            </w:r>
            <w:r w:rsidR="00D4024A" w:rsidRPr="00D4024A">
              <w:rPr>
                <w:rFonts w:ascii="Arial" w:eastAsia="Calibri" w:hAnsi="Arial" w:cs="Arial"/>
                <w:szCs w:val="22"/>
              </w:rPr>
              <w:t>¹ urea), T2 (2.5 t ha</w:t>
            </w:r>
            <w:r w:rsidR="00D4024A" w:rsidRPr="00D4024A">
              <w:rPr>
                <w:rFonts w:ascii="Cambria Math" w:eastAsia="Calibri" w:hAnsi="Cambria Math" w:cs="Cambria Math"/>
                <w:szCs w:val="22"/>
              </w:rPr>
              <w:t>⁻</w:t>
            </w:r>
            <w:r w:rsidR="00D4024A" w:rsidRPr="00D4024A">
              <w:rPr>
                <w:rFonts w:ascii="Arial" w:eastAsia="Calibri" w:hAnsi="Arial" w:cs="Arial"/>
                <w:szCs w:val="22"/>
              </w:rPr>
              <w:t xml:space="preserve">¹ </w:t>
            </w:r>
            <w:r w:rsidR="00D4024A">
              <w:rPr>
                <w:rFonts w:ascii="Arial" w:eastAsia="Calibri" w:hAnsi="Arial" w:cs="Arial"/>
                <w:szCs w:val="22"/>
              </w:rPr>
              <w:t>LHM</w:t>
            </w:r>
            <w:r w:rsidR="00D4024A" w:rsidRPr="00D4024A">
              <w:rPr>
                <w:rFonts w:ascii="Arial" w:eastAsia="Calibri" w:hAnsi="Arial" w:cs="Arial"/>
                <w:szCs w:val="22"/>
              </w:rPr>
              <w:t>), T3 (5 t ha</w:t>
            </w:r>
            <w:r w:rsidR="00D4024A" w:rsidRPr="00D4024A">
              <w:rPr>
                <w:rFonts w:ascii="Cambria Math" w:eastAsia="Calibri" w:hAnsi="Cambria Math" w:cs="Cambria Math"/>
                <w:szCs w:val="22"/>
              </w:rPr>
              <w:t>⁻</w:t>
            </w:r>
            <w:r w:rsidR="00D4024A" w:rsidRPr="00D4024A">
              <w:rPr>
                <w:rFonts w:ascii="Arial" w:eastAsia="Calibri" w:hAnsi="Arial" w:cs="Arial"/>
                <w:szCs w:val="22"/>
              </w:rPr>
              <w:t xml:space="preserve">¹ </w:t>
            </w:r>
            <w:r w:rsidR="00D4024A">
              <w:rPr>
                <w:rFonts w:ascii="Arial" w:eastAsia="Calibri" w:hAnsi="Arial" w:cs="Arial"/>
                <w:szCs w:val="22"/>
              </w:rPr>
              <w:t>LHM</w:t>
            </w:r>
            <w:r w:rsidR="00D4024A" w:rsidRPr="00D4024A">
              <w:rPr>
                <w:rFonts w:ascii="Arial" w:eastAsia="Calibri" w:hAnsi="Arial" w:cs="Arial"/>
                <w:szCs w:val="22"/>
              </w:rPr>
              <w:t>), and T4 (7.5 t ha</w:t>
            </w:r>
            <w:r w:rsidR="00D4024A" w:rsidRPr="00D4024A">
              <w:rPr>
                <w:rFonts w:ascii="Cambria Math" w:eastAsia="Calibri" w:hAnsi="Cambria Math" w:cs="Cambria Math"/>
                <w:szCs w:val="22"/>
              </w:rPr>
              <w:t>⁻</w:t>
            </w:r>
            <w:r w:rsidR="00D4024A" w:rsidRPr="00D4024A">
              <w:rPr>
                <w:rFonts w:ascii="Arial" w:eastAsia="Calibri" w:hAnsi="Arial" w:cs="Arial"/>
                <w:szCs w:val="22"/>
              </w:rPr>
              <w:t xml:space="preserve">¹ </w:t>
            </w:r>
            <w:r w:rsidR="00D4024A">
              <w:rPr>
                <w:rFonts w:ascii="Arial" w:eastAsia="Calibri" w:hAnsi="Arial" w:cs="Arial"/>
                <w:szCs w:val="22"/>
              </w:rPr>
              <w:t>LHM</w:t>
            </w:r>
            <w:r w:rsidR="00D4024A" w:rsidRPr="00D4024A">
              <w:rPr>
                <w:rFonts w:ascii="Arial" w:eastAsia="Calibri" w:hAnsi="Arial" w:cs="Arial"/>
                <w:szCs w:val="22"/>
              </w:rPr>
              <w:t>)</w:t>
            </w:r>
            <w:r w:rsidR="00D4024A">
              <w:rPr>
                <w:rFonts w:ascii="Arial" w:eastAsia="Calibri" w:hAnsi="Arial" w:cs="Arial"/>
                <w:szCs w:val="22"/>
              </w:rPr>
              <w:t xml:space="preserve"> </w:t>
            </w:r>
            <w:r w:rsidR="00D4024A" w:rsidRPr="00D4024A">
              <w:rPr>
                <w:rFonts w:ascii="Arial" w:eastAsia="Calibri" w:hAnsi="Arial" w:cs="Arial"/>
                <w:szCs w:val="22"/>
              </w:rPr>
              <w:t>were ploughed, followed by millet sowing. The treatments had been applied during the 2021/2022 cropping season; no fertilizer was applied during the 2022/2023 season. Growth parameters, yield components, and yields were measured and analyzed.</w:t>
            </w:r>
          </w:p>
          <w:p w14:paraId="588468AC" w14:textId="1A5F8B13"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4024A" w:rsidRPr="00D4024A">
              <w:rPr>
                <w:rFonts w:ascii="Arial" w:eastAsia="Calibri" w:hAnsi="Arial" w:cs="Arial"/>
                <w:szCs w:val="22"/>
              </w:rPr>
              <w:t>The results showed that the residual effects of LHM significantly enhanced plant height, collar diameter, tiller number, fertile tillers, panicle length and diameter, as well as grain and straw yields. Moreover, LHM application significantly reduced the days to flowering initiation and to 50% flowering. In contrast, the residual effect of mineral fertilization (NPK + urea) did not significantly influence these parameters. Among the treatments, LHM at 5 and 7.5 t ha</w:t>
            </w:r>
            <w:r w:rsidR="00D4024A" w:rsidRPr="00D4024A">
              <w:rPr>
                <w:rFonts w:ascii="Cambria Math" w:eastAsia="Calibri" w:hAnsi="Cambria Math" w:cs="Cambria Math"/>
                <w:szCs w:val="22"/>
              </w:rPr>
              <w:t>⁻</w:t>
            </w:r>
            <w:r w:rsidR="00D4024A" w:rsidRPr="00D4024A">
              <w:rPr>
                <w:rFonts w:ascii="Arial" w:eastAsia="Calibri" w:hAnsi="Arial" w:cs="Arial"/>
                <w:szCs w:val="22"/>
              </w:rPr>
              <w:t>¹ produced the highest grain yields, reaching 3290.71 and 3528.63 kg ha</w:t>
            </w:r>
            <w:r w:rsidR="00D4024A" w:rsidRPr="00D4024A">
              <w:rPr>
                <w:rFonts w:ascii="Cambria Math" w:eastAsia="Calibri" w:hAnsi="Cambria Math" w:cs="Cambria Math"/>
                <w:szCs w:val="22"/>
              </w:rPr>
              <w:t>⁻</w:t>
            </w:r>
            <w:r w:rsidR="00D4024A" w:rsidRPr="00D4024A">
              <w:rPr>
                <w:rFonts w:ascii="Arial" w:eastAsia="Calibri" w:hAnsi="Arial" w:cs="Arial"/>
                <w:szCs w:val="22"/>
              </w:rPr>
              <w:t>¹, respectively.</w:t>
            </w:r>
          </w:p>
          <w:p w14:paraId="0F1D2D1E" w14:textId="137BFCA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4024A" w:rsidRPr="00D4024A">
              <w:rPr>
                <w:rFonts w:ascii="Arial" w:eastAsia="Calibri" w:hAnsi="Arial" w:cs="Arial"/>
                <w:szCs w:val="22"/>
              </w:rPr>
              <w:t>These findings suggest that the strategic use of LHM, even at alternating intervals, represents an effective approach to optimize pearl millet yield while improving soil fertility in low-input agricultural systems</w:t>
            </w:r>
            <w:r w:rsidR="00D4024A">
              <w:rPr>
                <w:rFonts w:ascii="Arial" w:eastAsia="Calibri" w:hAnsi="Arial" w:cs="Arial"/>
                <w:szCs w:val="22"/>
              </w:rPr>
              <w:t>.</w:t>
            </w:r>
          </w:p>
        </w:tc>
      </w:tr>
    </w:tbl>
    <w:p w14:paraId="79B6AA3B" w14:textId="77777777" w:rsidR="00636EB2" w:rsidRDefault="00636EB2" w:rsidP="00441B6F">
      <w:pPr>
        <w:pStyle w:val="Body"/>
        <w:spacing w:after="0"/>
        <w:rPr>
          <w:rFonts w:ascii="Arial" w:hAnsi="Arial" w:cs="Arial"/>
          <w:i/>
        </w:rPr>
      </w:pPr>
    </w:p>
    <w:p w14:paraId="5043F871" w14:textId="6CF7DDE9" w:rsidR="00B52896" w:rsidRPr="00D4024A" w:rsidRDefault="00A24E7E" w:rsidP="00D4024A">
      <w:pPr>
        <w:pStyle w:val="Body"/>
        <w:spacing w:after="0"/>
        <w:rPr>
          <w:rFonts w:ascii="Arial" w:hAnsi="Arial" w:cs="Arial"/>
          <w:i/>
        </w:rPr>
      </w:pPr>
      <w:r>
        <w:rPr>
          <w:rFonts w:ascii="Arial" w:hAnsi="Arial" w:cs="Arial"/>
          <w:i/>
        </w:rPr>
        <w:t xml:space="preserve">Keywords: </w:t>
      </w:r>
      <w:r w:rsidR="00015B13" w:rsidRPr="00015B13">
        <w:rPr>
          <w:rFonts w:ascii="Arial" w:hAnsi="Arial" w:cs="Arial"/>
          <w:i/>
        </w:rPr>
        <w:t xml:space="preserve">laying hen manure, </w:t>
      </w:r>
      <w:r w:rsidR="00015B13" w:rsidRPr="00015B13">
        <w:rPr>
          <w:rFonts w:ascii="Arial" w:hAnsi="Arial" w:cs="Arial"/>
          <w:i/>
          <w:iCs/>
        </w:rPr>
        <w:t>Pennisetum glaucum</w:t>
      </w:r>
      <w:r w:rsidR="00015B13" w:rsidRPr="00015B13">
        <w:rPr>
          <w:rFonts w:ascii="Arial" w:hAnsi="Arial" w:cs="Arial"/>
          <w:i/>
        </w:rPr>
        <w:t xml:space="preserve"> L, residual effects, Burkina Faso</w:t>
      </w:r>
    </w:p>
    <w:p w14:paraId="5A9EF605" w14:textId="77777777" w:rsidR="0024282C" w:rsidRDefault="0024282C" w:rsidP="00441B6F">
      <w:pPr>
        <w:pStyle w:val="Body"/>
        <w:spacing w:after="0"/>
        <w:rPr>
          <w:rFonts w:ascii="Arial" w:hAnsi="Arial" w:cs="Arial"/>
          <w:i/>
          <w:sz w:val="18"/>
        </w:rPr>
      </w:pPr>
    </w:p>
    <w:p w14:paraId="1F50F808" w14:textId="77777777" w:rsidR="00505F06" w:rsidRPr="00A24E7E" w:rsidRDefault="00505F06" w:rsidP="00441B6F">
      <w:pPr>
        <w:pStyle w:val="Body"/>
        <w:spacing w:after="0"/>
        <w:rPr>
          <w:rFonts w:ascii="Arial" w:hAnsi="Arial" w:cs="Arial"/>
          <w:i/>
        </w:rPr>
      </w:pPr>
    </w:p>
    <w:p w14:paraId="00481910" w14:textId="13567F9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F6193B" w14:textId="77777777" w:rsidR="00790ADA" w:rsidRPr="00FB3A86" w:rsidRDefault="00790ADA" w:rsidP="00441B6F">
      <w:pPr>
        <w:pStyle w:val="AbstHead"/>
        <w:spacing w:after="0"/>
        <w:jc w:val="both"/>
        <w:rPr>
          <w:rFonts w:ascii="Arial" w:hAnsi="Arial" w:cs="Arial"/>
        </w:rPr>
      </w:pPr>
    </w:p>
    <w:p w14:paraId="17B21B54" w14:textId="58871381" w:rsidR="005C4C86" w:rsidRPr="005C4C86" w:rsidRDefault="005C4C86" w:rsidP="005C4C86">
      <w:pPr>
        <w:pStyle w:val="Body"/>
        <w:rPr>
          <w:rFonts w:ascii="Arial" w:hAnsi="Arial" w:cs="Arial"/>
        </w:rPr>
      </w:pPr>
      <w:r w:rsidRPr="005C4C86">
        <w:rPr>
          <w:rFonts w:ascii="Arial" w:hAnsi="Arial" w:cs="Arial"/>
        </w:rPr>
        <w:t xml:space="preserve">In Burkina Faso, pearl millet (Pennisetum glaucum [L.] R. Br.) occupies a central position in both production systems and the diet of local populations, particularly in the Sudano-Sahelian zone. It ranks as the third most important cereal in terms of production, with approximately 718,000 tons harvested from 1.2 million hectares (FAOSTAT, 2023), and, together with sorghum, constitutes one of the most widely consumed staple crops (DGPER, 2010; MAAH, 2020; INSD, 2021; FAO, 2022). Beyond its role in human nutrition, millet is also valued for its aboveground biomass, which is used as livestock feed and for various artisanal purposes (Moussa et al., 2017). Its high nutritional value, particularly in terms of </w:t>
      </w:r>
      <w:r w:rsidRPr="005C4C86">
        <w:rPr>
          <w:rFonts w:ascii="Arial" w:hAnsi="Arial" w:cs="Arial"/>
        </w:rPr>
        <w:lastRenderedPageBreak/>
        <w:t>proteins, minerals, and vitamins, further underscores its importance in combating malnutrition (Latham, 2001; Amadou et al., 2013).</w:t>
      </w:r>
    </w:p>
    <w:p w14:paraId="724676B6" w14:textId="4BC48613" w:rsidR="005C4C86" w:rsidRPr="005C4C86" w:rsidRDefault="005C4C86" w:rsidP="005C4C86">
      <w:pPr>
        <w:pStyle w:val="Body"/>
        <w:rPr>
          <w:rFonts w:ascii="Arial" w:hAnsi="Arial" w:cs="Arial"/>
        </w:rPr>
      </w:pPr>
      <w:r w:rsidRPr="005C4C86">
        <w:rPr>
          <w:rFonts w:ascii="Arial" w:hAnsi="Arial" w:cs="Arial"/>
        </w:rPr>
        <w:t>Despite its significance, millet production remains constrained by several factors, notably the progressive decline in soil fertility. Extensive farming practices, coupled with increasing demographic pressure, have led to the depletion of soil organic matter and essential nutrients, resulting in low yields estimated at around 860 kg ha</w:t>
      </w:r>
      <w:r w:rsidRPr="005C4C86">
        <w:rPr>
          <w:rFonts w:ascii="Cambria Math" w:hAnsi="Cambria Math" w:cs="Cambria Math"/>
        </w:rPr>
        <w:t>⁻</w:t>
      </w:r>
      <w:r w:rsidRPr="005C4C86">
        <w:rPr>
          <w:rFonts w:ascii="Arial" w:hAnsi="Arial" w:cs="Arial"/>
        </w:rPr>
        <w:t xml:space="preserve">¹ (Da et al., 2008; </w:t>
      </w:r>
      <w:proofErr w:type="spellStart"/>
      <w:r w:rsidRPr="005C4C86">
        <w:rPr>
          <w:rFonts w:ascii="Arial" w:hAnsi="Arial" w:cs="Arial"/>
        </w:rPr>
        <w:t>Traoré</w:t>
      </w:r>
      <w:proofErr w:type="spellEnd"/>
      <w:r w:rsidRPr="005C4C86">
        <w:rPr>
          <w:rFonts w:ascii="Arial" w:hAnsi="Arial" w:cs="Arial"/>
        </w:rPr>
        <w:t xml:space="preserve"> &amp; </w:t>
      </w:r>
      <w:proofErr w:type="spellStart"/>
      <w:r w:rsidRPr="005C4C86">
        <w:rPr>
          <w:rFonts w:ascii="Arial" w:hAnsi="Arial" w:cs="Arial"/>
        </w:rPr>
        <w:t>Requier</w:t>
      </w:r>
      <w:proofErr w:type="spellEnd"/>
      <w:r w:rsidRPr="005C4C86">
        <w:rPr>
          <w:rFonts w:ascii="Arial" w:hAnsi="Arial" w:cs="Arial"/>
        </w:rPr>
        <w:t xml:space="preserve">-Desjardins, 2019; MAAH, 2019). To enhance productivity, farmers commonly rely on mineral fertilizers such as NPK and urea. However, their use remains limited due to high costs, poor accessibility, and frequent supply shortages during the cropping season (Sanfo, 2010; Bagayoko et al., 2011; Bambara, 2017). Moreover, the excessive use of chemical fertilizers may have detrimental environmental consequences, including soil degradation and water pollution (Bossy, 2014; </w:t>
      </w:r>
      <w:proofErr w:type="spellStart"/>
      <w:r w:rsidRPr="005C4C86">
        <w:rPr>
          <w:rFonts w:ascii="Arial" w:hAnsi="Arial" w:cs="Arial"/>
        </w:rPr>
        <w:t>Adouane</w:t>
      </w:r>
      <w:proofErr w:type="spellEnd"/>
      <w:r w:rsidRPr="005C4C86">
        <w:rPr>
          <w:rFonts w:ascii="Arial" w:hAnsi="Arial" w:cs="Arial"/>
        </w:rPr>
        <w:t xml:space="preserve"> et al., 2023).</w:t>
      </w:r>
    </w:p>
    <w:p w14:paraId="378CFDC8" w14:textId="790E0918" w:rsidR="005C4C86" w:rsidRPr="005C4C86" w:rsidRDefault="005C4C86" w:rsidP="005C4C86">
      <w:pPr>
        <w:pStyle w:val="Body"/>
        <w:rPr>
          <w:rFonts w:ascii="Arial" w:hAnsi="Arial" w:cs="Arial"/>
        </w:rPr>
      </w:pPr>
      <w:r w:rsidRPr="005C4C86">
        <w:rPr>
          <w:rFonts w:ascii="Arial" w:hAnsi="Arial" w:cs="Arial"/>
        </w:rPr>
        <w:t xml:space="preserve">In this context, organic fertilizers represent a sustainable alternative for improving soil fertility and increasing agricultural productivity. Among these, poultry manure is of particular interest due to its high content of essential nutrients, especially nitrogen and phosphorus (IF20, 2006; </w:t>
      </w:r>
      <w:proofErr w:type="spellStart"/>
      <w:r w:rsidRPr="005C4C86">
        <w:rPr>
          <w:rFonts w:ascii="Arial" w:hAnsi="Arial" w:cs="Arial"/>
        </w:rPr>
        <w:t>Siboukeur</w:t>
      </w:r>
      <w:proofErr w:type="spellEnd"/>
      <w:r w:rsidRPr="005C4C86">
        <w:rPr>
          <w:rFonts w:ascii="Arial" w:hAnsi="Arial" w:cs="Arial"/>
        </w:rPr>
        <w:t xml:space="preserve">, 2013; </w:t>
      </w:r>
      <w:proofErr w:type="spellStart"/>
      <w:r w:rsidRPr="005C4C86">
        <w:rPr>
          <w:rFonts w:ascii="Arial" w:hAnsi="Arial" w:cs="Arial"/>
        </w:rPr>
        <w:t>Gomgnimbou</w:t>
      </w:r>
      <w:proofErr w:type="spellEnd"/>
      <w:r w:rsidRPr="005C4C86">
        <w:rPr>
          <w:rFonts w:ascii="Arial" w:hAnsi="Arial" w:cs="Arial"/>
        </w:rPr>
        <w:t xml:space="preserve"> et al., 2016). In Burkina Faso, the recent expansion of the poultry sector has led to a substantial increase in manure production, particularly from laying hens (Ouedraogo et al., 2015; Kiba et al., 2020). This manure is recognized for its high nutrient content, averaging about 40 kg t</w:t>
      </w:r>
      <w:r w:rsidRPr="005C4C86">
        <w:rPr>
          <w:rFonts w:ascii="Cambria Math" w:hAnsi="Cambria Math" w:cs="Cambria Math"/>
        </w:rPr>
        <w:t>⁻</w:t>
      </w:r>
      <w:r w:rsidRPr="005C4C86">
        <w:rPr>
          <w:rFonts w:ascii="Arial" w:hAnsi="Arial" w:cs="Arial"/>
        </w:rPr>
        <w:t>¹ of nitrogen and phosphorus and 25 kg t</w:t>
      </w:r>
      <w:r w:rsidRPr="005C4C86">
        <w:rPr>
          <w:rFonts w:ascii="Cambria Math" w:hAnsi="Cambria Math" w:cs="Cambria Math"/>
        </w:rPr>
        <w:t>⁻</w:t>
      </w:r>
      <w:r w:rsidRPr="005C4C86">
        <w:rPr>
          <w:rFonts w:ascii="Arial" w:hAnsi="Arial" w:cs="Arial"/>
        </w:rPr>
        <w:t>¹ of potassium, making it a valuable organic amendment (ITAVI, 2011).</w:t>
      </w:r>
    </w:p>
    <w:p w14:paraId="2A72E382" w14:textId="036109A9" w:rsidR="00790ADA" w:rsidRPr="00FB3A86" w:rsidRDefault="005C4C86" w:rsidP="00D4024A">
      <w:pPr>
        <w:pStyle w:val="Body"/>
        <w:rPr>
          <w:rFonts w:ascii="Arial" w:hAnsi="Arial" w:cs="Arial"/>
        </w:rPr>
      </w:pPr>
      <w:r w:rsidRPr="005C4C86">
        <w:rPr>
          <w:rFonts w:ascii="Arial" w:hAnsi="Arial" w:cs="Arial"/>
        </w:rPr>
        <w:t>Several studies have highlighted the positive effects of poultry manure on soil properties and crop productivity (</w:t>
      </w:r>
      <w:proofErr w:type="spellStart"/>
      <w:r w:rsidRPr="005C4C86">
        <w:rPr>
          <w:rFonts w:ascii="Arial" w:hAnsi="Arial" w:cs="Arial"/>
        </w:rPr>
        <w:t>Agbede</w:t>
      </w:r>
      <w:proofErr w:type="spellEnd"/>
      <w:r w:rsidRPr="005C4C86">
        <w:rPr>
          <w:rFonts w:ascii="Arial" w:hAnsi="Arial" w:cs="Arial"/>
        </w:rPr>
        <w:t xml:space="preserve"> et al., 2008; </w:t>
      </w:r>
      <w:proofErr w:type="spellStart"/>
      <w:r w:rsidRPr="005C4C86">
        <w:rPr>
          <w:rFonts w:ascii="Arial" w:hAnsi="Arial" w:cs="Arial"/>
        </w:rPr>
        <w:t>Gomgnimbou</w:t>
      </w:r>
      <w:proofErr w:type="spellEnd"/>
      <w:r w:rsidRPr="005C4C86">
        <w:rPr>
          <w:rFonts w:ascii="Arial" w:hAnsi="Arial" w:cs="Arial"/>
        </w:rPr>
        <w:t xml:space="preserve"> et al., 2016; Bambara, 2017; </w:t>
      </w:r>
      <w:proofErr w:type="spellStart"/>
      <w:r w:rsidRPr="005C4C86">
        <w:rPr>
          <w:rFonts w:ascii="Arial" w:hAnsi="Arial" w:cs="Arial"/>
        </w:rPr>
        <w:t>Soremi</w:t>
      </w:r>
      <w:proofErr w:type="spellEnd"/>
      <w:r w:rsidRPr="005C4C86">
        <w:rPr>
          <w:rFonts w:ascii="Arial" w:hAnsi="Arial" w:cs="Arial"/>
        </w:rPr>
        <w:t xml:space="preserve"> et al., 2017). However, these studies have primarily focused on the immediate effects of such amendments. In low-input agricultural systems, the residual effect of organic amendments</w:t>
      </w:r>
      <w:r>
        <w:rPr>
          <w:rFonts w:ascii="Arial" w:hAnsi="Arial" w:cs="Arial"/>
        </w:rPr>
        <w:t xml:space="preserve"> </w:t>
      </w:r>
      <w:r w:rsidRPr="005C4C86">
        <w:rPr>
          <w:rFonts w:ascii="Arial" w:hAnsi="Arial" w:cs="Arial"/>
        </w:rPr>
        <w:t>that is, their impact beyond the year of application</w:t>
      </w:r>
      <w:r>
        <w:rPr>
          <w:rFonts w:ascii="Arial" w:hAnsi="Arial" w:cs="Arial"/>
        </w:rPr>
        <w:t xml:space="preserve"> </w:t>
      </w:r>
      <w:r w:rsidRPr="005C4C86">
        <w:rPr>
          <w:rFonts w:ascii="Arial" w:hAnsi="Arial" w:cs="Arial"/>
        </w:rPr>
        <w:t>represents a critical lever for sustaining soil fertility and reducing production costs. Despite its importance, limited research has been conducted on the residual effects of laying hen manure, particularly on millet under the agroecological conditions of Burkina Faso.</w:t>
      </w:r>
      <w:r>
        <w:rPr>
          <w:rFonts w:ascii="Arial" w:hAnsi="Arial" w:cs="Arial"/>
        </w:rPr>
        <w:t xml:space="preserve"> </w:t>
      </w:r>
      <w:r w:rsidRPr="005C4C86">
        <w:rPr>
          <w:rFonts w:ascii="Arial" w:hAnsi="Arial" w:cs="Arial"/>
        </w:rPr>
        <w:t>Therefore, the present study aims to evaluate the residual effect of laying hen manure (LHM) on the growth, development, and yield of pearl millet, in order to better understand its role in promoting sustainable production systems.</w:t>
      </w:r>
    </w:p>
    <w:p w14:paraId="148EBD9B" w14:textId="3182FF2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0CB2CF" w14:textId="77777777" w:rsidR="00790ADA" w:rsidRPr="00FB3A86" w:rsidRDefault="00790ADA" w:rsidP="00441B6F">
      <w:pPr>
        <w:pStyle w:val="AbstHead"/>
        <w:spacing w:after="0"/>
        <w:jc w:val="both"/>
        <w:rPr>
          <w:rFonts w:ascii="Arial" w:hAnsi="Arial" w:cs="Arial"/>
        </w:rPr>
      </w:pPr>
    </w:p>
    <w:p w14:paraId="50407BEB" w14:textId="6E7B323D" w:rsidR="006D074D" w:rsidRPr="006D074D" w:rsidRDefault="006D074D" w:rsidP="006D074D">
      <w:pPr>
        <w:pStyle w:val="Body"/>
        <w:rPr>
          <w:rFonts w:ascii="Arial" w:hAnsi="Arial" w:cs="Arial"/>
          <w:b/>
          <w:bCs/>
          <w:sz w:val="22"/>
          <w:szCs w:val="22"/>
        </w:rPr>
      </w:pPr>
      <w:r w:rsidRPr="006D074D">
        <w:rPr>
          <w:rFonts w:ascii="Arial" w:hAnsi="Arial" w:cs="Arial"/>
          <w:b/>
          <w:bCs/>
          <w:sz w:val="22"/>
          <w:szCs w:val="22"/>
        </w:rPr>
        <w:t>2.1 Study site</w:t>
      </w:r>
    </w:p>
    <w:p w14:paraId="54DECCA6" w14:textId="77777777" w:rsidR="006D074D" w:rsidRPr="006D074D" w:rsidRDefault="006D074D" w:rsidP="006D074D">
      <w:pPr>
        <w:pStyle w:val="Body"/>
        <w:rPr>
          <w:rFonts w:ascii="Arial" w:hAnsi="Arial" w:cs="Arial"/>
        </w:rPr>
      </w:pPr>
      <w:r w:rsidRPr="006D074D">
        <w:rPr>
          <w:rFonts w:ascii="Arial" w:hAnsi="Arial" w:cs="Arial"/>
        </w:rPr>
        <w:t xml:space="preserve">The study was conducted during the 2022/2023 rainy season at the experimental station of the </w:t>
      </w:r>
      <w:proofErr w:type="spellStart"/>
      <w:r w:rsidRPr="006D074D">
        <w:rPr>
          <w:rFonts w:ascii="Arial" w:hAnsi="Arial" w:cs="Arial"/>
        </w:rPr>
        <w:t>Institut</w:t>
      </w:r>
      <w:proofErr w:type="spellEnd"/>
      <w:r w:rsidRPr="006D074D">
        <w:rPr>
          <w:rFonts w:ascii="Arial" w:hAnsi="Arial" w:cs="Arial"/>
        </w:rPr>
        <w:t xml:space="preserve"> du </w:t>
      </w:r>
      <w:proofErr w:type="spellStart"/>
      <w:r w:rsidRPr="006D074D">
        <w:rPr>
          <w:rFonts w:ascii="Arial" w:hAnsi="Arial" w:cs="Arial"/>
        </w:rPr>
        <w:t>Développement</w:t>
      </w:r>
      <w:proofErr w:type="spellEnd"/>
      <w:r w:rsidRPr="006D074D">
        <w:rPr>
          <w:rFonts w:ascii="Arial" w:hAnsi="Arial" w:cs="Arial"/>
        </w:rPr>
        <w:t xml:space="preserve"> Rural (IDR) in </w:t>
      </w:r>
      <w:proofErr w:type="spellStart"/>
      <w:r w:rsidRPr="006D074D">
        <w:rPr>
          <w:rFonts w:ascii="Arial" w:hAnsi="Arial" w:cs="Arial"/>
        </w:rPr>
        <w:t>Gampèla</w:t>
      </w:r>
      <w:proofErr w:type="spellEnd"/>
      <w:r w:rsidRPr="006D074D">
        <w:rPr>
          <w:rFonts w:ascii="Arial" w:hAnsi="Arial" w:cs="Arial"/>
        </w:rPr>
        <w:t xml:space="preserve">, within the rural commune of </w:t>
      </w:r>
      <w:proofErr w:type="spellStart"/>
      <w:r w:rsidRPr="006D074D">
        <w:rPr>
          <w:rFonts w:ascii="Arial" w:hAnsi="Arial" w:cs="Arial"/>
        </w:rPr>
        <w:t>Saaba</w:t>
      </w:r>
      <w:proofErr w:type="spellEnd"/>
      <w:r w:rsidRPr="006D074D">
        <w:rPr>
          <w:rFonts w:ascii="Arial" w:hAnsi="Arial" w:cs="Arial"/>
        </w:rPr>
        <w:t xml:space="preserve"> (Central Region, Burkina Faso), located at 12°15′ N and 1°12′ W.</w:t>
      </w:r>
    </w:p>
    <w:p w14:paraId="025DD3D3" w14:textId="77777777" w:rsidR="006D074D" w:rsidRPr="006D074D" w:rsidRDefault="006D074D" w:rsidP="006D074D">
      <w:pPr>
        <w:pStyle w:val="Body"/>
        <w:rPr>
          <w:rFonts w:ascii="Arial" w:hAnsi="Arial" w:cs="Arial"/>
        </w:rPr>
      </w:pPr>
      <w:r w:rsidRPr="006D074D">
        <w:rPr>
          <w:rFonts w:ascii="Arial" w:hAnsi="Arial" w:cs="Arial"/>
        </w:rPr>
        <w:t xml:space="preserve">The soils, classified as </w:t>
      </w:r>
      <w:proofErr w:type="spellStart"/>
      <w:r w:rsidRPr="006D074D">
        <w:rPr>
          <w:rFonts w:ascii="Arial" w:hAnsi="Arial" w:cs="Arial"/>
        </w:rPr>
        <w:t>endogleyic</w:t>
      </w:r>
      <w:proofErr w:type="spellEnd"/>
      <w:r w:rsidRPr="006D074D">
        <w:rPr>
          <w:rFonts w:ascii="Arial" w:hAnsi="Arial" w:cs="Arial"/>
        </w:rPr>
        <w:t xml:space="preserve"> </w:t>
      </w:r>
      <w:proofErr w:type="spellStart"/>
      <w:r w:rsidRPr="006D074D">
        <w:rPr>
          <w:rFonts w:ascii="Arial" w:hAnsi="Arial" w:cs="Arial"/>
        </w:rPr>
        <w:t>acrisols</w:t>
      </w:r>
      <w:proofErr w:type="spellEnd"/>
      <w:r w:rsidRPr="006D074D">
        <w:rPr>
          <w:rFonts w:ascii="Arial" w:hAnsi="Arial" w:cs="Arial"/>
        </w:rPr>
        <w:t>, have a sandy-silty texture in the topsoil and a clay-silty texture in the subsoil. They are generally poor in mineral nutrients and organic matter and are slightly acidic (WRB, 2015; BUNASOL, 2019).</w:t>
      </w:r>
    </w:p>
    <w:p w14:paraId="28657419" w14:textId="25C93662" w:rsidR="00C72802" w:rsidRDefault="006D074D" w:rsidP="006D074D">
      <w:pPr>
        <w:pStyle w:val="Body"/>
        <w:spacing w:after="0"/>
        <w:rPr>
          <w:rFonts w:ascii="Arial" w:hAnsi="Arial" w:cs="Arial"/>
        </w:rPr>
      </w:pPr>
      <w:r w:rsidRPr="006D074D">
        <w:rPr>
          <w:rFonts w:ascii="Arial" w:hAnsi="Arial" w:cs="Arial"/>
        </w:rPr>
        <w:t xml:space="preserve">The climate is Sudano-Sahelian, characterized by a rainy season from June to October and a dry season from November to May. Annual rainfall ranges between 600 and 800 mm (Fick et </w:t>
      </w:r>
      <w:proofErr w:type="spellStart"/>
      <w:r w:rsidRPr="006D074D">
        <w:rPr>
          <w:rFonts w:ascii="Arial" w:hAnsi="Arial" w:cs="Arial"/>
        </w:rPr>
        <w:t>Hijmans</w:t>
      </w:r>
      <w:proofErr w:type="spellEnd"/>
      <w:r w:rsidRPr="006D074D">
        <w:rPr>
          <w:rFonts w:ascii="Arial" w:hAnsi="Arial" w:cs="Arial"/>
        </w:rPr>
        <w:t>, 2017). During the 2022 experiment, total rainfall reached 913 mm, and mean temperatures ranged from 24.6 °C to 33.19 °C, with a thermal amplitude of 8.59 °C (Fig</w:t>
      </w:r>
      <w:r w:rsidR="00C72802">
        <w:rPr>
          <w:rFonts w:ascii="Arial" w:hAnsi="Arial" w:cs="Arial"/>
        </w:rPr>
        <w:t>.</w:t>
      </w:r>
      <w:r w:rsidRPr="006D074D">
        <w:rPr>
          <w:rFonts w:ascii="Arial" w:hAnsi="Arial" w:cs="Arial"/>
        </w:rPr>
        <w:t xml:space="preserve"> 1). </w:t>
      </w:r>
    </w:p>
    <w:p w14:paraId="6ACA76DB" w14:textId="77777777" w:rsidR="00C72802" w:rsidRDefault="00C72802" w:rsidP="006D074D">
      <w:pPr>
        <w:pStyle w:val="Body"/>
        <w:spacing w:after="0"/>
        <w:rPr>
          <w:rFonts w:ascii="Arial" w:hAnsi="Arial" w:cs="Arial"/>
        </w:rPr>
      </w:pPr>
    </w:p>
    <w:p w14:paraId="1642F5D8" w14:textId="6F059AC0" w:rsidR="00C72802" w:rsidRDefault="00C72802" w:rsidP="006D074D">
      <w:pPr>
        <w:pStyle w:val="Body"/>
        <w:spacing w:after="0"/>
        <w:rPr>
          <w:rFonts w:ascii="Arial" w:hAnsi="Arial" w:cs="Arial"/>
        </w:rPr>
      </w:pPr>
      <w:r>
        <w:rPr>
          <w:noProof/>
        </w:rPr>
        <w:lastRenderedPageBreak/>
        <w:drawing>
          <wp:inline distT="0" distB="0" distL="0" distR="0" wp14:anchorId="450EAAFD" wp14:editId="3E61377F">
            <wp:extent cx="5212080" cy="3620213"/>
            <wp:effectExtent l="0" t="0" r="0" b="0"/>
            <wp:docPr id="1659813862" name="Graphique 1">
              <a:extLst xmlns:a="http://schemas.openxmlformats.org/drawingml/2006/main">
                <a:ext uri="{FF2B5EF4-FFF2-40B4-BE49-F238E27FC236}">
                  <a16:creationId xmlns:a16="http://schemas.microsoft.com/office/drawing/2014/main" id="{7648FA43-428A-C2CC-1A02-F50BEB8A5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FAEAF6" w14:textId="77777777" w:rsidR="00C72802" w:rsidRDefault="00C72802" w:rsidP="006D074D">
      <w:pPr>
        <w:pStyle w:val="Body"/>
        <w:spacing w:after="0"/>
        <w:rPr>
          <w:rFonts w:ascii="Arial" w:hAnsi="Arial" w:cs="Arial"/>
          <w:b/>
          <w:bCs/>
        </w:rPr>
      </w:pPr>
    </w:p>
    <w:p w14:paraId="4A0712ED" w14:textId="70789BB9" w:rsidR="00C72802" w:rsidRPr="00C72802" w:rsidRDefault="00C72802" w:rsidP="006D074D">
      <w:pPr>
        <w:pStyle w:val="Body"/>
        <w:spacing w:after="0"/>
        <w:rPr>
          <w:rFonts w:ascii="Arial" w:hAnsi="Arial" w:cs="Arial"/>
          <w:b/>
          <w:bCs/>
        </w:rPr>
      </w:pPr>
      <w:r w:rsidRPr="00C72802">
        <w:rPr>
          <w:rFonts w:ascii="Arial" w:hAnsi="Arial" w:cs="Arial"/>
          <w:b/>
          <w:bCs/>
        </w:rPr>
        <w:t xml:space="preserve">Fig. 1. </w:t>
      </w:r>
      <w:proofErr w:type="spellStart"/>
      <w:r w:rsidRPr="00C72802">
        <w:rPr>
          <w:rFonts w:ascii="Arial" w:hAnsi="Arial" w:cs="Arial"/>
          <w:b/>
          <w:bCs/>
        </w:rPr>
        <w:t>Ombrothermic</w:t>
      </w:r>
      <w:proofErr w:type="spellEnd"/>
      <w:r w:rsidRPr="00C72802">
        <w:rPr>
          <w:rFonts w:ascii="Arial" w:hAnsi="Arial" w:cs="Arial"/>
          <w:b/>
          <w:bCs/>
        </w:rPr>
        <w:t xml:space="preserve"> diagram for the year 2022</w:t>
      </w:r>
    </w:p>
    <w:p w14:paraId="2991400A" w14:textId="77777777" w:rsidR="00C72802" w:rsidRDefault="00C72802" w:rsidP="006D074D">
      <w:pPr>
        <w:pStyle w:val="Body"/>
        <w:spacing w:after="0"/>
        <w:rPr>
          <w:rFonts w:ascii="Arial" w:hAnsi="Arial" w:cs="Arial"/>
        </w:rPr>
      </w:pPr>
    </w:p>
    <w:p w14:paraId="650E3639" w14:textId="2000FE01" w:rsidR="006942D2" w:rsidRPr="006942D2" w:rsidRDefault="006942D2" w:rsidP="006942D2">
      <w:pPr>
        <w:pStyle w:val="Body"/>
        <w:rPr>
          <w:rFonts w:ascii="Arial" w:hAnsi="Arial" w:cs="Arial"/>
          <w:b/>
          <w:bCs/>
          <w:sz w:val="22"/>
          <w:szCs w:val="22"/>
        </w:rPr>
      </w:pPr>
      <w:r w:rsidRPr="006942D2">
        <w:rPr>
          <w:rFonts w:ascii="Arial" w:hAnsi="Arial" w:cs="Arial"/>
          <w:b/>
          <w:bCs/>
          <w:sz w:val="22"/>
          <w:szCs w:val="22"/>
        </w:rPr>
        <w:t>2.2 Plant material</w:t>
      </w:r>
    </w:p>
    <w:p w14:paraId="6D432024" w14:textId="77777777" w:rsidR="006942D2" w:rsidRDefault="006942D2" w:rsidP="006942D2">
      <w:pPr>
        <w:pStyle w:val="Body"/>
        <w:spacing w:after="0"/>
        <w:rPr>
          <w:rFonts w:ascii="Arial" w:hAnsi="Arial" w:cs="Arial"/>
        </w:rPr>
      </w:pPr>
      <w:r w:rsidRPr="006942D2">
        <w:rPr>
          <w:rFonts w:ascii="Arial" w:hAnsi="Arial" w:cs="Arial"/>
        </w:rPr>
        <w:t>The plant material used was the hybrid pearl millet variety “</w:t>
      </w:r>
      <w:proofErr w:type="spellStart"/>
      <w:r w:rsidRPr="006942D2">
        <w:rPr>
          <w:rFonts w:ascii="Arial" w:hAnsi="Arial" w:cs="Arial"/>
        </w:rPr>
        <w:t>Nafagnon</w:t>
      </w:r>
      <w:proofErr w:type="spellEnd"/>
      <w:r w:rsidRPr="006942D2">
        <w:rPr>
          <w:rFonts w:ascii="Arial" w:hAnsi="Arial" w:cs="Arial"/>
        </w:rPr>
        <w:t xml:space="preserve">”, provided by the National Institute for Environment and Agricultural Research (INERA) in </w:t>
      </w:r>
      <w:proofErr w:type="spellStart"/>
      <w:r w:rsidRPr="006942D2">
        <w:rPr>
          <w:rFonts w:ascii="Arial" w:hAnsi="Arial" w:cs="Arial"/>
        </w:rPr>
        <w:t>Kamboinsé</w:t>
      </w:r>
      <w:proofErr w:type="spellEnd"/>
      <w:r w:rsidRPr="006942D2">
        <w:rPr>
          <w:rFonts w:ascii="Arial" w:hAnsi="Arial" w:cs="Arial"/>
        </w:rPr>
        <w:t>, Burkina Faso. The choice of this variety was justified by: (</w:t>
      </w:r>
      <w:proofErr w:type="spellStart"/>
      <w:r w:rsidRPr="006942D2">
        <w:rPr>
          <w:rFonts w:ascii="Arial" w:hAnsi="Arial" w:cs="Arial"/>
        </w:rPr>
        <w:t>i</w:t>
      </w:r>
      <w:proofErr w:type="spellEnd"/>
      <w:r w:rsidRPr="006942D2">
        <w:rPr>
          <w:rFonts w:ascii="Arial" w:hAnsi="Arial" w:cs="Arial"/>
        </w:rPr>
        <w:t>) its high potential yield of 4 t/ha, which is significantly higher than that of traditional varieties; (ii) its earliness, with a growth cycle of 80–85 days; (iii) its resistance to downy mildew, with an incidence below 10%; and (iv) its tolerance to ergot and smut (CGIAR, 2021).</w:t>
      </w:r>
    </w:p>
    <w:p w14:paraId="5F95F069" w14:textId="77777777" w:rsidR="006942D2" w:rsidRPr="006942D2" w:rsidRDefault="006942D2" w:rsidP="006942D2">
      <w:pPr>
        <w:pStyle w:val="Body"/>
        <w:spacing w:after="0"/>
        <w:rPr>
          <w:rFonts w:ascii="Arial" w:hAnsi="Arial" w:cs="Arial"/>
        </w:rPr>
      </w:pPr>
    </w:p>
    <w:p w14:paraId="4334F373" w14:textId="77777777" w:rsidR="006942D2" w:rsidRPr="006942D2" w:rsidRDefault="006942D2" w:rsidP="006942D2">
      <w:pPr>
        <w:pStyle w:val="Body"/>
        <w:rPr>
          <w:rFonts w:ascii="Arial" w:hAnsi="Arial" w:cs="Arial"/>
          <w:b/>
          <w:bCs/>
          <w:sz w:val="22"/>
          <w:szCs w:val="22"/>
        </w:rPr>
      </w:pPr>
      <w:r w:rsidRPr="006942D2">
        <w:rPr>
          <w:rFonts w:ascii="Arial" w:hAnsi="Arial" w:cs="Arial"/>
          <w:b/>
          <w:bCs/>
          <w:sz w:val="22"/>
          <w:szCs w:val="22"/>
        </w:rPr>
        <w:t>2.3. Physicochemical characteristics of the soil of the experimental plot from the previous year</w:t>
      </w:r>
    </w:p>
    <w:p w14:paraId="616C4BAE" w14:textId="2B7DB715" w:rsidR="006942D2" w:rsidRDefault="006942D2" w:rsidP="006942D2">
      <w:pPr>
        <w:pStyle w:val="Body"/>
        <w:rPr>
          <w:rFonts w:ascii="Arial" w:hAnsi="Arial" w:cs="Arial"/>
        </w:rPr>
      </w:pPr>
      <w:r w:rsidRPr="006942D2">
        <w:rPr>
          <w:rFonts w:ascii="Arial" w:hAnsi="Arial" w:cs="Arial"/>
        </w:rPr>
        <w:t xml:space="preserve">The soil of the experimental plot from the previous year was characterized by a sandy texture (80.39% sand, 9.81% silt, and 9.8% clay), a high organic matter content (5.63%), and a high total carbon content (3.26%). In addition, the C/N ratio (11) and the base saturation (64%) were high, indicating good mineralization of soil organic matter (Table </w:t>
      </w:r>
      <w:r w:rsidR="00576B81">
        <w:rPr>
          <w:rFonts w:ascii="Arial" w:hAnsi="Arial" w:cs="Arial"/>
        </w:rPr>
        <w:t>1</w:t>
      </w:r>
      <w:r w:rsidRPr="006942D2">
        <w:rPr>
          <w:rFonts w:ascii="Arial" w:hAnsi="Arial" w:cs="Arial"/>
        </w:rPr>
        <w:t xml:space="preserve">). Chemical analyses showed that the soil was moderately acidic (pH = 5.39) and poor in calcium (4.67%), potassium (32.96 ppm), nitrogen (0.29%), phosphorus (4.89 ppm), sodium (948.66 mg/kg), total exchangeable bases (5.28 </w:t>
      </w:r>
      <w:proofErr w:type="spellStart"/>
      <w:r w:rsidRPr="006942D2">
        <w:rPr>
          <w:rFonts w:ascii="Arial" w:hAnsi="Arial" w:cs="Arial"/>
        </w:rPr>
        <w:t>meq</w:t>
      </w:r>
      <w:proofErr w:type="spellEnd"/>
      <w:r w:rsidRPr="006942D2">
        <w:rPr>
          <w:rFonts w:ascii="Arial" w:hAnsi="Arial" w:cs="Arial"/>
        </w:rPr>
        <w:t xml:space="preserve">), and cation exchange capacity (8.25 </w:t>
      </w:r>
      <w:proofErr w:type="spellStart"/>
      <w:r w:rsidRPr="006942D2">
        <w:rPr>
          <w:rFonts w:ascii="Arial" w:hAnsi="Arial" w:cs="Arial"/>
        </w:rPr>
        <w:t>meq</w:t>
      </w:r>
      <w:proofErr w:type="spellEnd"/>
      <w:r w:rsidRPr="006942D2">
        <w:rPr>
          <w:rFonts w:ascii="Arial" w:hAnsi="Arial" w:cs="Arial"/>
        </w:rPr>
        <w:t>) (Table</w:t>
      </w:r>
      <w:r>
        <w:rPr>
          <w:rFonts w:ascii="Arial" w:hAnsi="Arial" w:cs="Arial"/>
        </w:rPr>
        <w:t xml:space="preserve"> 1</w:t>
      </w:r>
      <w:r w:rsidRPr="006942D2">
        <w:rPr>
          <w:rFonts w:ascii="Arial" w:hAnsi="Arial" w:cs="Arial"/>
        </w:rPr>
        <w:t>).</w:t>
      </w:r>
    </w:p>
    <w:p w14:paraId="10E573A7" w14:textId="4D928B09" w:rsidR="00362BE8" w:rsidRDefault="00362BE8" w:rsidP="006942D2">
      <w:pPr>
        <w:pStyle w:val="Body"/>
        <w:rPr>
          <w:rFonts w:ascii="Arial" w:hAnsi="Arial" w:cs="Arial"/>
        </w:rPr>
      </w:pPr>
    </w:p>
    <w:p w14:paraId="09ECA90C" w14:textId="571DDD7E" w:rsidR="00362BE8" w:rsidRDefault="00362BE8" w:rsidP="006942D2">
      <w:pPr>
        <w:pStyle w:val="Body"/>
        <w:rPr>
          <w:rFonts w:ascii="Arial" w:hAnsi="Arial" w:cs="Arial"/>
        </w:rPr>
      </w:pPr>
    </w:p>
    <w:p w14:paraId="2FC70417" w14:textId="00F4AD9E" w:rsidR="00362BE8" w:rsidRDefault="00362BE8" w:rsidP="006942D2">
      <w:pPr>
        <w:pStyle w:val="Body"/>
        <w:rPr>
          <w:rFonts w:ascii="Arial" w:hAnsi="Arial" w:cs="Arial"/>
        </w:rPr>
      </w:pPr>
    </w:p>
    <w:p w14:paraId="45B52FE9" w14:textId="77777777" w:rsidR="00362BE8" w:rsidRPr="006942D2" w:rsidRDefault="00362BE8" w:rsidP="006942D2">
      <w:pPr>
        <w:pStyle w:val="Body"/>
        <w:rPr>
          <w:rFonts w:ascii="Arial" w:hAnsi="Arial" w:cs="Arial"/>
        </w:rPr>
      </w:pPr>
    </w:p>
    <w:p w14:paraId="12A0484D" w14:textId="11ACB4A7" w:rsidR="006942D2" w:rsidRPr="006942D2" w:rsidRDefault="006942D2" w:rsidP="006942D2">
      <w:pPr>
        <w:pStyle w:val="Body"/>
        <w:rPr>
          <w:rFonts w:ascii="Arial" w:hAnsi="Arial" w:cs="Arial"/>
          <w:b/>
          <w:bCs/>
        </w:rPr>
      </w:pPr>
      <w:r w:rsidRPr="006942D2">
        <w:rPr>
          <w:rFonts w:ascii="Arial" w:hAnsi="Arial" w:cs="Arial"/>
          <w:b/>
          <w:bCs/>
        </w:rPr>
        <w:t xml:space="preserve">Table 1. Last year chemical characteristic of the experiment soil </w:t>
      </w:r>
    </w:p>
    <w:tbl>
      <w:tblPr>
        <w:tblStyle w:val="ListTable6Colorful"/>
        <w:tblW w:w="0" w:type="auto"/>
        <w:tblLook w:val="04A0" w:firstRow="1" w:lastRow="0" w:firstColumn="1" w:lastColumn="0" w:noHBand="0" w:noVBand="1"/>
      </w:tblPr>
      <w:tblGrid>
        <w:gridCol w:w="6937"/>
        <w:gridCol w:w="1487"/>
      </w:tblGrid>
      <w:tr w:rsidR="006942D2" w:rsidRPr="0090182C" w14:paraId="1BD15C4D" w14:textId="77777777" w:rsidTr="00901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tcPr>
          <w:p w14:paraId="2A026FA4" w14:textId="11F5A7D7" w:rsidR="006942D2" w:rsidRPr="006942D2" w:rsidRDefault="006942D2" w:rsidP="00576B81">
            <w:pPr>
              <w:pStyle w:val="Body"/>
              <w:spacing w:after="0"/>
              <w:rPr>
                <w:rFonts w:ascii="Arial" w:hAnsi="Arial" w:cs="Arial"/>
                <w:lang w:val="fr-FR"/>
              </w:rPr>
            </w:pPr>
            <w:proofErr w:type="spellStart"/>
            <w:r w:rsidRPr="006942D2">
              <w:rPr>
                <w:rFonts w:ascii="Arial" w:hAnsi="Arial" w:cs="Arial"/>
                <w:lang w:val="fr-FR"/>
              </w:rPr>
              <w:t>Param</w:t>
            </w:r>
            <w:r w:rsidR="007C0E93" w:rsidRPr="0090182C">
              <w:rPr>
                <w:rFonts w:ascii="Arial" w:hAnsi="Arial" w:cs="Arial"/>
                <w:lang w:val="fr-FR"/>
              </w:rPr>
              <w:t>eters</w:t>
            </w:r>
            <w:proofErr w:type="spellEnd"/>
          </w:p>
        </w:tc>
        <w:tc>
          <w:tcPr>
            <w:tcW w:w="1487" w:type="dxa"/>
          </w:tcPr>
          <w:p w14:paraId="3A81ACDD" w14:textId="4C95D20E" w:rsidR="006942D2" w:rsidRPr="006942D2" w:rsidRDefault="007C0E93" w:rsidP="00576B8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lang w:val="fr-FR"/>
              </w:rPr>
              <w:t>Value</w:t>
            </w:r>
            <w:r w:rsidR="006942D2" w:rsidRPr="006942D2">
              <w:rPr>
                <w:rFonts w:ascii="Arial" w:hAnsi="Arial" w:cs="Arial"/>
                <w:lang w:val="fr-FR"/>
              </w:rPr>
              <w:t xml:space="preserve"> </w:t>
            </w:r>
          </w:p>
        </w:tc>
      </w:tr>
      <w:tr w:rsidR="0090182C" w:rsidRPr="0090182C" w14:paraId="6C3CC8D3"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4E261513" w14:textId="01F0C958" w:rsidR="0090182C" w:rsidRPr="0090182C" w:rsidRDefault="0090182C" w:rsidP="0090182C">
            <w:pPr>
              <w:pStyle w:val="Body"/>
              <w:spacing w:after="0"/>
              <w:rPr>
                <w:rFonts w:ascii="Arial" w:hAnsi="Arial" w:cs="Arial"/>
                <w:b w:val="0"/>
                <w:bCs w:val="0"/>
                <w:lang w:val="fr-FR"/>
              </w:rPr>
            </w:pPr>
            <w:r w:rsidRPr="0090182C">
              <w:rPr>
                <w:rFonts w:ascii="Arial" w:hAnsi="Arial" w:cs="Arial"/>
                <w:b w:val="0"/>
                <w:bCs w:val="0"/>
              </w:rPr>
              <w:t>Soil texture</w:t>
            </w:r>
          </w:p>
        </w:tc>
        <w:tc>
          <w:tcPr>
            <w:tcW w:w="1487" w:type="dxa"/>
            <w:shd w:val="clear" w:color="auto" w:fill="auto"/>
          </w:tcPr>
          <w:p w14:paraId="26036B6C" w14:textId="3C70113B" w:rsidR="0090182C" w:rsidRPr="0090182C"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lang w:val="fr-FR"/>
              </w:rPr>
              <w:t>Sandy</w:t>
            </w:r>
          </w:p>
        </w:tc>
      </w:tr>
      <w:tr w:rsidR="0090182C" w:rsidRPr="0090182C" w14:paraId="2191DFBF"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49CEAA6C" w14:textId="571129BB"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Clay (%)</w:t>
            </w:r>
          </w:p>
        </w:tc>
        <w:tc>
          <w:tcPr>
            <w:tcW w:w="1487" w:type="dxa"/>
          </w:tcPr>
          <w:p w14:paraId="186CD0C5" w14:textId="292C2DFB"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9.80</w:t>
            </w:r>
          </w:p>
        </w:tc>
      </w:tr>
      <w:tr w:rsidR="0090182C" w:rsidRPr="0090182C" w14:paraId="027AAE42"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7441757B" w14:textId="7DD88924"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Silt (%)</w:t>
            </w:r>
          </w:p>
        </w:tc>
        <w:tc>
          <w:tcPr>
            <w:tcW w:w="1487" w:type="dxa"/>
            <w:shd w:val="clear" w:color="auto" w:fill="auto"/>
          </w:tcPr>
          <w:p w14:paraId="0E44DA63" w14:textId="0F48D9C5"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9.81</w:t>
            </w:r>
          </w:p>
        </w:tc>
      </w:tr>
      <w:tr w:rsidR="0090182C" w:rsidRPr="0090182C" w14:paraId="4AAF201F"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377BC67C" w14:textId="6BBB9F41"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Sand (%)</w:t>
            </w:r>
          </w:p>
        </w:tc>
        <w:tc>
          <w:tcPr>
            <w:tcW w:w="1487" w:type="dxa"/>
          </w:tcPr>
          <w:p w14:paraId="227A58D8" w14:textId="0BE53E0F"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80.39</w:t>
            </w:r>
          </w:p>
        </w:tc>
      </w:tr>
      <w:tr w:rsidR="0090182C" w:rsidRPr="0090182C" w14:paraId="66103958"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3B70344E" w14:textId="7FC98834"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organic matter (%)</w:t>
            </w:r>
          </w:p>
        </w:tc>
        <w:tc>
          <w:tcPr>
            <w:tcW w:w="1487" w:type="dxa"/>
            <w:shd w:val="clear" w:color="auto" w:fill="auto"/>
          </w:tcPr>
          <w:p w14:paraId="5A937584" w14:textId="208618E5"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5.63</w:t>
            </w:r>
          </w:p>
        </w:tc>
      </w:tr>
      <w:tr w:rsidR="0090182C" w:rsidRPr="0090182C" w14:paraId="01B7CE9A"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1774D07E" w14:textId="6B34CB5B"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carbon (%)</w:t>
            </w:r>
          </w:p>
        </w:tc>
        <w:tc>
          <w:tcPr>
            <w:tcW w:w="1487" w:type="dxa"/>
          </w:tcPr>
          <w:p w14:paraId="776F3E59" w14:textId="7E12B217"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3.26</w:t>
            </w:r>
          </w:p>
        </w:tc>
      </w:tr>
      <w:tr w:rsidR="0090182C" w:rsidRPr="0090182C" w14:paraId="3CCECD72"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037D9D93" w14:textId="79338ADD"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nitrogen (%)</w:t>
            </w:r>
          </w:p>
        </w:tc>
        <w:tc>
          <w:tcPr>
            <w:tcW w:w="1487" w:type="dxa"/>
            <w:shd w:val="clear" w:color="auto" w:fill="auto"/>
          </w:tcPr>
          <w:p w14:paraId="0512C9A7" w14:textId="7D6087BD"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0.29</w:t>
            </w:r>
          </w:p>
        </w:tc>
      </w:tr>
      <w:tr w:rsidR="0090182C" w:rsidRPr="0090182C" w14:paraId="78918802"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64AC6B6D" w14:textId="0AF6C069"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C/N ratio</w:t>
            </w:r>
          </w:p>
        </w:tc>
        <w:tc>
          <w:tcPr>
            <w:tcW w:w="1487" w:type="dxa"/>
          </w:tcPr>
          <w:p w14:paraId="45A225D0" w14:textId="337E434C"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11.00</w:t>
            </w:r>
          </w:p>
        </w:tc>
      </w:tr>
      <w:tr w:rsidR="0090182C" w:rsidRPr="0090182C" w14:paraId="477A8323"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021BA0B4" w14:textId="2EA510AD"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Available phosphorus (ppm)</w:t>
            </w:r>
          </w:p>
        </w:tc>
        <w:tc>
          <w:tcPr>
            <w:tcW w:w="1487" w:type="dxa"/>
            <w:shd w:val="clear" w:color="auto" w:fill="auto"/>
          </w:tcPr>
          <w:p w14:paraId="78F0C31F" w14:textId="2244DB11"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4.89</w:t>
            </w:r>
          </w:p>
        </w:tc>
      </w:tr>
      <w:tr w:rsidR="0090182C" w:rsidRPr="0090182C" w14:paraId="6922EA4B"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42059E78" w14:textId="564168E8"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Available potassium (ppm)</w:t>
            </w:r>
          </w:p>
        </w:tc>
        <w:tc>
          <w:tcPr>
            <w:tcW w:w="1487" w:type="dxa"/>
          </w:tcPr>
          <w:p w14:paraId="6C9D49BE" w14:textId="2AB1E561"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32.96</w:t>
            </w:r>
          </w:p>
        </w:tc>
      </w:tr>
      <w:tr w:rsidR="0090182C" w:rsidRPr="0090182C" w14:paraId="7D4296AF"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7B832B37" w14:textId="3A2AE3AE"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magnesium (g/kg)</w:t>
            </w:r>
          </w:p>
        </w:tc>
        <w:tc>
          <w:tcPr>
            <w:tcW w:w="1487" w:type="dxa"/>
            <w:shd w:val="clear" w:color="auto" w:fill="auto"/>
          </w:tcPr>
          <w:p w14:paraId="721DD35D" w14:textId="72FD08DF"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2.74</w:t>
            </w:r>
          </w:p>
        </w:tc>
      </w:tr>
      <w:tr w:rsidR="0090182C" w:rsidRPr="0090182C" w14:paraId="7E0EDF90"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7E9BBA2C" w14:textId="6EF6F042"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calcium (g/kg)</w:t>
            </w:r>
          </w:p>
        </w:tc>
        <w:tc>
          <w:tcPr>
            <w:tcW w:w="1487" w:type="dxa"/>
          </w:tcPr>
          <w:p w14:paraId="37421AE7" w14:textId="5629C7A6"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4.67</w:t>
            </w:r>
          </w:p>
        </w:tc>
      </w:tr>
      <w:tr w:rsidR="0090182C" w:rsidRPr="0090182C" w14:paraId="7578808D"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1BA39ABD" w14:textId="09D605B6"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sodium (mg/kg)</w:t>
            </w:r>
          </w:p>
        </w:tc>
        <w:tc>
          <w:tcPr>
            <w:tcW w:w="1487" w:type="dxa"/>
            <w:shd w:val="clear" w:color="auto" w:fill="auto"/>
          </w:tcPr>
          <w:p w14:paraId="6E740F36" w14:textId="5D629A80"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948.66</w:t>
            </w:r>
          </w:p>
        </w:tc>
      </w:tr>
      <w:tr w:rsidR="0090182C" w:rsidRPr="0090182C" w14:paraId="29CAC994"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2AE89DD4" w14:textId="3EE0C10C"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Ca²</w:t>
            </w:r>
            <w:r w:rsidRPr="0090182C">
              <w:rPr>
                <w:rFonts w:ascii="Cambria Math" w:hAnsi="Cambria Math" w:cs="Cambria Math"/>
                <w:b w:val="0"/>
                <w:bCs w:val="0"/>
              </w:rPr>
              <w:t>⁺</w:t>
            </w:r>
            <w:r w:rsidRPr="0090182C">
              <w:rPr>
                <w:rFonts w:ascii="Arial" w:hAnsi="Arial" w:cs="Arial"/>
                <w:b w:val="0"/>
                <w:bCs w:val="0"/>
              </w:rPr>
              <w:t xml:space="preserve">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tcPr>
          <w:p w14:paraId="38FBAA8E" w14:textId="696F3CA5"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2.50</w:t>
            </w:r>
          </w:p>
        </w:tc>
      </w:tr>
      <w:tr w:rsidR="0090182C" w:rsidRPr="0090182C" w14:paraId="45CFBEC6"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63A3EAE3" w14:textId="38A3FD8D"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Mg²</w:t>
            </w:r>
            <w:r w:rsidRPr="0090182C">
              <w:rPr>
                <w:rFonts w:ascii="Cambria Math" w:hAnsi="Cambria Math" w:cs="Cambria Math"/>
                <w:b w:val="0"/>
                <w:bCs w:val="0"/>
              </w:rPr>
              <w:t>⁺</w:t>
            </w:r>
            <w:r w:rsidRPr="0090182C">
              <w:rPr>
                <w:rFonts w:ascii="Arial" w:hAnsi="Arial" w:cs="Arial"/>
                <w:b w:val="0"/>
                <w:bCs w:val="0"/>
              </w:rPr>
              <w:t xml:space="preserve">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shd w:val="clear" w:color="auto" w:fill="auto"/>
          </w:tcPr>
          <w:p w14:paraId="2276E22E" w14:textId="4E87933E"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1.86</w:t>
            </w:r>
          </w:p>
        </w:tc>
      </w:tr>
      <w:tr w:rsidR="0090182C" w:rsidRPr="0090182C" w14:paraId="3E15D89A"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4DD69762" w14:textId="2AF563C0"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K</w:t>
            </w:r>
            <w:r w:rsidRPr="0090182C">
              <w:rPr>
                <w:rFonts w:ascii="Cambria Math" w:hAnsi="Cambria Math" w:cs="Cambria Math"/>
                <w:b w:val="0"/>
                <w:bCs w:val="0"/>
              </w:rPr>
              <w:t>⁺</w:t>
            </w:r>
            <w:r w:rsidRPr="0090182C">
              <w:rPr>
                <w:rFonts w:ascii="Arial" w:hAnsi="Arial" w:cs="Arial"/>
                <w:b w:val="0"/>
                <w:bCs w:val="0"/>
              </w:rPr>
              <w:t xml:space="preserve">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tcPr>
          <w:p w14:paraId="3C7A6231" w14:textId="63AD296E"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0.64</w:t>
            </w:r>
          </w:p>
        </w:tc>
      </w:tr>
      <w:tr w:rsidR="0090182C" w:rsidRPr="0090182C" w14:paraId="567088E1"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67236DE0" w14:textId="02214B56"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Na</w:t>
            </w:r>
            <w:r w:rsidRPr="0090182C">
              <w:rPr>
                <w:rFonts w:ascii="Cambria Math" w:hAnsi="Cambria Math" w:cs="Cambria Math"/>
                <w:b w:val="0"/>
                <w:bCs w:val="0"/>
              </w:rPr>
              <w:t>⁺</w:t>
            </w:r>
            <w:r w:rsidRPr="0090182C">
              <w:rPr>
                <w:rFonts w:ascii="Arial" w:hAnsi="Arial" w:cs="Arial"/>
                <w:b w:val="0"/>
                <w:bCs w:val="0"/>
              </w:rPr>
              <w:t xml:space="preserve">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shd w:val="clear" w:color="auto" w:fill="auto"/>
          </w:tcPr>
          <w:p w14:paraId="553B13B9" w14:textId="755D43F7"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0.28</w:t>
            </w:r>
          </w:p>
        </w:tc>
      </w:tr>
      <w:tr w:rsidR="0090182C" w:rsidRPr="0090182C" w14:paraId="1AA305FC"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3640166D" w14:textId="627662EC" w:rsidR="0090182C" w:rsidRPr="006942D2" w:rsidRDefault="0090182C" w:rsidP="0090182C">
            <w:pPr>
              <w:pStyle w:val="Body"/>
              <w:spacing w:after="0"/>
              <w:rPr>
                <w:rFonts w:ascii="Arial" w:hAnsi="Arial" w:cs="Arial"/>
                <w:b w:val="0"/>
                <w:bCs w:val="0"/>
              </w:rPr>
            </w:pPr>
            <w:r w:rsidRPr="0090182C">
              <w:rPr>
                <w:rFonts w:ascii="Arial" w:hAnsi="Arial" w:cs="Arial"/>
                <w:b w:val="0"/>
                <w:bCs w:val="0"/>
              </w:rPr>
              <w:t>Sum of exchangeable bases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tcPr>
          <w:p w14:paraId="53A922A5" w14:textId="7A4B4179"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5.28</w:t>
            </w:r>
          </w:p>
        </w:tc>
      </w:tr>
      <w:tr w:rsidR="0090182C" w:rsidRPr="0090182C" w14:paraId="2A415200"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7B29598D" w14:textId="2525B4CD"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Cation exchange capacity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shd w:val="clear" w:color="auto" w:fill="auto"/>
          </w:tcPr>
          <w:p w14:paraId="7C5D8196" w14:textId="3C879EB6"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8.25</w:t>
            </w:r>
          </w:p>
        </w:tc>
      </w:tr>
      <w:tr w:rsidR="0090182C" w:rsidRPr="0090182C" w14:paraId="494B9C8F"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26F3A33E" w14:textId="7509FEFA"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Base saturation rate (%)</w:t>
            </w:r>
          </w:p>
        </w:tc>
        <w:tc>
          <w:tcPr>
            <w:tcW w:w="1487" w:type="dxa"/>
          </w:tcPr>
          <w:p w14:paraId="6BCA41CF" w14:textId="3DED6913"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64.00</w:t>
            </w:r>
          </w:p>
        </w:tc>
      </w:tr>
      <w:tr w:rsidR="0090182C" w:rsidRPr="0090182C" w14:paraId="7772D9AF"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74C1E540" w14:textId="7DBD2DA7"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pH</w:t>
            </w:r>
          </w:p>
        </w:tc>
        <w:tc>
          <w:tcPr>
            <w:tcW w:w="1487" w:type="dxa"/>
            <w:shd w:val="clear" w:color="auto" w:fill="auto"/>
          </w:tcPr>
          <w:p w14:paraId="4D84B725" w14:textId="5D8D66D6"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bl>
    <w:p w14:paraId="052BAA05" w14:textId="77777777" w:rsidR="006942D2" w:rsidRDefault="006942D2" w:rsidP="006D074D">
      <w:pPr>
        <w:pStyle w:val="Body"/>
        <w:spacing w:after="0"/>
        <w:rPr>
          <w:rFonts w:ascii="Arial" w:hAnsi="Arial" w:cs="Arial"/>
        </w:rPr>
      </w:pPr>
    </w:p>
    <w:p w14:paraId="429C1CBD" w14:textId="77777777" w:rsidR="00B55DAC" w:rsidRPr="006507C6" w:rsidRDefault="00B55DAC" w:rsidP="00B55DAC">
      <w:pPr>
        <w:pStyle w:val="Body"/>
        <w:rPr>
          <w:rFonts w:ascii="Arial" w:hAnsi="Arial" w:cs="Arial"/>
          <w:b/>
          <w:bCs/>
          <w:sz w:val="22"/>
          <w:szCs w:val="22"/>
        </w:rPr>
      </w:pPr>
      <w:r w:rsidRPr="006507C6">
        <w:rPr>
          <w:rFonts w:ascii="Arial" w:hAnsi="Arial" w:cs="Arial"/>
          <w:b/>
          <w:bCs/>
          <w:sz w:val="22"/>
          <w:szCs w:val="22"/>
        </w:rPr>
        <w:t>2.4. Physicochemical properties of laying hen manure apply last year</w:t>
      </w:r>
    </w:p>
    <w:p w14:paraId="7A07677B" w14:textId="480D50A8" w:rsidR="00B55DAC" w:rsidRPr="00B55DAC" w:rsidRDefault="00B55DAC" w:rsidP="00B55DAC">
      <w:pPr>
        <w:pStyle w:val="Body"/>
        <w:rPr>
          <w:rFonts w:ascii="Arial" w:hAnsi="Arial" w:cs="Arial"/>
        </w:rPr>
      </w:pPr>
      <w:r w:rsidRPr="00B55DAC">
        <w:rPr>
          <w:rFonts w:ascii="Arial" w:hAnsi="Arial" w:cs="Arial"/>
        </w:rPr>
        <w:t xml:space="preserve">The laying hen manure used during the 2021/2022 winter season, preceding the study period (2022/2023), exhibited a slightly alkaline pH of 8.02. It was characterized by a high organic matter content (63.84%), with a carbon content of 37.03% and a C/N ratio of 9, indicating a high mineralization potential and relatively rapid decomposition (Table </w:t>
      </w:r>
      <w:r w:rsidR="006507C6">
        <w:rPr>
          <w:rFonts w:ascii="Arial" w:hAnsi="Arial" w:cs="Arial"/>
        </w:rPr>
        <w:t>2</w:t>
      </w:r>
      <w:r w:rsidRPr="00B55DAC">
        <w:rPr>
          <w:rFonts w:ascii="Arial" w:hAnsi="Arial" w:cs="Arial"/>
        </w:rPr>
        <w:t>).</w:t>
      </w:r>
    </w:p>
    <w:p w14:paraId="0919DE4F" w14:textId="21D53D45" w:rsidR="00B55DAC" w:rsidRPr="00B55DAC" w:rsidRDefault="00B55DAC" w:rsidP="00B55DAC">
      <w:pPr>
        <w:pStyle w:val="Body"/>
        <w:rPr>
          <w:rFonts w:ascii="Arial" w:hAnsi="Arial" w:cs="Arial"/>
        </w:rPr>
      </w:pPr>
      <w:r w:rsidRPr="00B55DAC">
        <w:rPr>
          <w:rFonts w:ascii="Arial" w:hAnsi="Arial" w:cs="Arial"/>
        </w:rPr>
        <w:t>Nutritionally, the manure contained high concentrations of major nutrients, including total nitrogen (3.96%), available phosphorus (18.85 g.kg</w:t>
      </w:r>
      <w:r w:rsidRPr="00B55DAC">
        <w:rPr>
          <w:rFonts w:ascii="Cambria Math" w:hAnsi="Cambria Math" w:cs="Cambria Math"/>
        </w:rPr>
        <w:t>⁻</w:t>
      </w:r>
      <w:r w:rsidRPr="00B55DAC">
        <w:rPr>
          <w:rFonts w:ascii="Arial" w:hAnsi="Arial" w:cs="Arial"/>
        </w:rPr>
        <w:t>¹), and available potassium (12.89 g·kg</w:t>
      </w:r>
      <w:r w:rsidRPr="00B55DAC">
        <w:rPr>
          <w:rFonts w:ascii="Cambria Math" w:hAnsi="Cambria Math" w:cs="Cambria Math"/>
        </w:rPr>
        <w:t>⁻</w:t>
      </w:r>
      <w:r w:rsidRPr="00B55DAC">
        <w:rPr>
          <w:rFonts w:ascii="Arial" w:hAnsi="Arial" w:cs="Arial"/>
        </w:rPr>
        <w:t>¹). It was also rich in calcium (39.76 g.kg</w:t>
      </w:r>
      <w:r w:rsidRPr="00B55DAC">
        <w:rPr>
          <w:rFonts w:ascii="Cambria Math" w:hAnsi="Cambria Math" w:cs="Cambria Math"/>
        </w:rPr>
        <w:t>⁻</w:t>
      </w:r>
      <w:r w:rsidRPr="00B55DAC">
        <w:rPr>
          <w:rFonts w:ascii="Arial" w:hAnsi="Arial" w:cs="Arial"/>
        </w:rPr>
        <w:t>¹) and magnesium (9.79 g.kg</w:t>
      </w:r>
      <w:r w:rsidRPr="00B55DAC">
        <w:rPr>
          <w:rFonts w:ascii="Cambria Math" w:hAnsi="Cambria Math" w:cs="Cambria Math"/>
        </w:rPr>
        <w:t>⁻</w:t>
      </w:r>
      <w:r w:rsidRPr="00B55DAC">
        <w:rPr>
          <w:rFonts w:ascii="Arial" w:hAnsi="Arial" w:cs="Arial"/>
        </w:rPr>
        <w:t xml:space="preserve">¹), with a notable sodium content of 186.47 ppm (Table </w:t>
      </w:r>
      <w:r w:rsidR="006507C6">
        <w:rPr>
          <w:rFonts w:ascii="Arial" w:hAnsi="Arial" w:cs="Arial"/>
        </w:rPr>
        <w:t>2</w:t>
      </w:r>
      <w:r w:rsidRPr="00B55DAC">
        <w:rPr>
          <w:rFonts w:ascii="Arial" w:hAnsi="Arial" w:cs="Arial"/>
        </w:rPr>
        <w:t>).</w:t>
      </w:r>
    </w:p>
    <w:p w14:paraId="407243A8" w14:textId="4A9469B3" w:rsidR="00B55DAC" w:rsidRDefault="00B55DAC" w:rsidP="00B55DAC">
      <w:pPr>
        <w:pStyle w:val="Body"/>
        <w:spacing w:after="0"/>
        <w:rPr>
          <w:rFonts w:ascii="Arial" w:hAnsi="Arial" w:cs="Arial"/>
          <w:b/>
          <w:bCs/>
        </w:rPr>
      </w:pPr>
      <w:r w:rsidRPr="00B55DAC">
        <w:rPr>
          <w:rFonts w:ascii="Arial" w:hAnsi="Arial" w:cs="Arial"/>
          <w:b/>
          <w:bCs/>
        </w:rPr>
        <w:t xml:space="preserve">Table </w:t>
      </w:r>
      <w:r w:rsidR="006507C6" w:rsidRPr="006507C6">
        <w:rPr>
          <w:rFonts w:ascii="Arial" w:hAnsi="Arial" w:cs="Arial"/>
          <w:b/>
          <w:bCs/>
        </w:rPr>
        <w:t>2.</w:t>
      </w:r>
      <w:r w:rsidRPr="00B55DAC">
        <w:rPr>
          <w:rFonts w:ascii="Arial" w:hAnsi="Arial" w:cs="Arial"/>
          <w:b/>
          <w:bCs/>
        </w:rPr>
        <w:t xml:space="preserve"> Chemical properties of laying hen manure apply last year.</w:t>
      </w:r>
    </w:p>
    <w:p w14:paraId="4C32BD13" w14:textId="77777777" w:rsidR="006507C6" w:rsidRPr="00B55DAC" w:rsidRDefault="006507C6" w:rsidP="00B55DAC">
      <w:pPr>
        <w:pStyle w:val="Body"/>
        <w:spacing w:after="0"/>
        <w:rPr>
          <w:rFonts w:ascii="Arial" w:hAnsi="Arial" w:cs="Arial"/>
          <w:b/>
          <w:bCs/>
        </w:rPr>
      </w:pPr>
    </w:p>
    <w:tbl>
      <w:tblPr>
        <w:tblStyle w:val="ListTable6Colorful"/>
        <w:tblW w:w="0" w:type="auto"/>
        <w:tblLook w:val="04A0" w:firstRow="1" w:lastRow="0" w:firstColumn="1" w:lastColumn="0" w:noHBand="0" w:noVBand="1"/>
      </w:tblPr>
      <w:tblGrid>
        <w:gridCol w:w="2819"/>
        <w:gridCol w:w="2801"/>
        <w:gridCol w:w="2804"/>
      </w:tblGrid>
      <w:tr w:rsidR="00B55DAC" w:rsidRPr="006507C6" w14:paraId="3E6D5A3F" w14:textId="77777777" w:rsidTr="00650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9A5E64" w14:textId="77777777" w:rsidR="00B55DAC" w:rsidRPr="00B55DAC" w:rsidRDefault="00B55DAC" w:rsidP="006507C6">
            <w:pPr>
              <w:pStyle w:val="Body"/>
              <w:spacing w:after="0"/>
              <w:rPr>
                <w:rFonts w:ascii="Arial" w:hAnsi="Arial" w:cs="Arial"/>
              </w:rPr>
            </w:pPr>
            <w:r w:rsidRPr="00B55DAC">
              <w:rPr>
                <w:rFonts w:ascii="Arial" w:hAnsi="Arial" w:cs="Arial"/>
              </w:rPr>
              <w:t>Parameter</w:t>
            </w:r>
          </w:p>
        </w:tc>
        <w:tc>
          <w:tcPr>
            <w:tcW w:w="2880" w:type="dxa"/>
          </w:tcPr>
          <w:p w14:paraId="0F2424C8" w14:textId="77777777" w:rsidR="00B55DAC" w:rsidRPr="00B55DAC" w:rsidRDefault="00B55DAC" w:rsidP="006507C6">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Unit</w:t>
            </w:r>
          </w:p>
        </w:tc>
        <w:tc>
          <w:tcPr>
            <w:tcW w:w="2880" w:type="dxa"/>
          </w:tcPr>
          <w:p w14:paraId="78A3C945" w14:textId="77777777" w:rsidR="00B55DAC" w:rsidRPr="00B55DAC" w:rsidRDefault="00B55DAC" w:rsidP="006507C6">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Value</w:t>
            </w:r>
          </w:p>
        </w:tc>
      </w:tr>
      <w:tr w:rsidR="00B55DAC" w:rsidRPr="006507C6" w14:paraId="07E5AF12"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042BF83C"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organic matter </w:t>
            </w:r>
          </w:p>
        </w:tc>
        <w:tc>
          <w:tcPr>
            <w:tcW w:w="2880" w:type="dxa"/>
            <w:shd w:val="clear" w:color="auto" w:fill="auto"/>
          </w:tcPr>
          <w:p w14:paraId="25DEC501"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w:t>
            </w:r>
          </w:p>
        </w:tc>
        <w:tc>
          <w:tcPr>
            <w:tcW w:w="2880" w:type="dxa"/>
            <w:shd w:val="clear" w:color="auto" w:fill="auto"/>
          </w:tcPr>
          <w:p w14:paraId="6E387B78"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63.84</w:t>
            </w:r>
          </w:p>
        </w:tc>
      </w:tr>
      <w:tr w:rsidR="00B55DAC" w:rsidRPr="006507C6" w14:paraId="53DCC747"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1179FE6A"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carbon </w:t>
            </w:r>
          </w:p>
        </w:tc>
        <w:tc>
          <w:tcPr>
            <w:tcW w:w="2880" w:type="dxa"/>
          </w:tcPr>
          <w:p w14:paraId="1021D6D1"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w:t>
            </w:r>
          </w:p>
        </w:tc>
        <w:tc>
          <w:tcPr>
            <w:tcW w:w="2880" w:type="dxa"/>
          </w:tcPr>
          <w:p w14:paraId="7D3ACD24"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37.03</w:t>
            </w:r>
          </w:p>
        </w:tc>
      </w:tr>
      <w:tr w:rsidR="00B55DAC" w:rsidRPr="006507C6" w14:paraId="2F327933"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57D5C988"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C/N ratio</w:t>
            </w:r>
          </w:p>
        </w:tc>
        <w:tc>
          <w:tcPr>
            <w:tcW w:w="2880" w:type="dxa"/>
            <w:shd w:val="clear" w:color="auto" w:fill="auto"/>
          </w:tcPr>
          <w:p w14:paraId="3FA13EF9"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w:t>
            </w:r>
          </w:p>
        </w:tc>
        <w:tc>
          <w:tcPr>
            <w:tcW w:w="2880" w:type="dxa"/>
            <w:shd w:val="clear" w:color="auto" w:fill="auto"/>
          </w:tcPr>
          <w:p w14:paraId="27F9A4C2"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9</w:t>
            </w:r>
          </w:p>
        </w:tc>
      </w:tr>
      <w:tr w:rsidR="00B55DAC" w:rsidRPr="006507C6" w14:paraId="4F1FBBC6"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3E606162"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nitrogen </w:t>
            </w:r>
          </w:p>
        </w:tc>
        <w:tc>
          <w:tcPr>
            <w:tcW w:w="2880" w:type="dxa"/>
          </w:tcPr>
          <w:p w14:paraId="1284CDDD"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w:t>
            </w:r>
          </w:p>
        </w:tc>
        <w:tc>
          <w:tcPr>
            <w:tcW w:w="2880" w:type="dxa"/>
          </w:tcPr>
          <w:p w14:paraId="0BDA41EC"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3.96</w:t>
            </w:r>
          </w:p>
        </w:tc>
      </w:tr>
      <w:tr w:rsidR="00B55DAC" w:rsidRPr="006507C6" w14:paraId="19C18893"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0F7367E2"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Available phosphorus</w:t>
            </w:r>
          </w:p>
        </w:tc>
        <w:tc>
          <w:tcPr>
            <w:tcW w:w="2880" w:type="dxa"/>
            <w:shd w:val="clear" w:color="auto" w:fill="auto"/>
          </w:tcPr>
          <w:p w14:paraId="5965117B"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 xml:space="preserve"> g·kg</w:t>
            </w:r>
            <w:r w:rsidRPr="00B55DAC">
              <w:rPr>
                <w:rFonts w:ascii="Cambria Math" w:hAnsi="Cambria Math" w:cs="Cambria Math"/>
              </w:rPr>
              <w:t>⁻</w:t>
            </w:r>
            <w:r w:rsidRPr="00B55DAC">
              <w:rPr>
                <w:rFonts w:ascii="Arial" w:hAnsi="Arial" w:cs="Arial"/>
              </w:rPr>
              <w:t>¹</w:t>
            </w:r>
          </w:p>
        </w:tc>
        <w:tc>
          <w:tcPr>
            <w:tcW w:w="2880" w:type="dxa"/>
            <w:shd w:val="clear" w:color="auto" w:fill="auto"/>
          </w:tcPr>
          <w:p w14:paraId="155C875C"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18.85</w:t>
            </w:r>
          </w:p>
        </w:tc>
      </w:tr>
      <w:tr w:rsidR="00B55DAC" w:rsidRPr="006507C6" w14:paraId="40695DCB"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30A13310"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Available potassium</w:t>
            </w:r>
          </w:p>
        </w:tc>
        <w:tc>
          <w:tcPr>
            <w:tcW w:w="2880" w:type="dxa"/>
          </w:tcPr>
          <w:p w14:paraId="3330C77A"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 xml:space="preserve"> g·kg</w:t>
            </w:r>
            <w:r w:rsidRPr="00B55DAC">
              <w:rPr>
                <w:rFonts w:ascii="Cambria Math" w:hAnsi="Cambria Math" w:cs="Cambria Math"/>
              </w:rPr>
              <w:t>⁻</w:t>
            </w:r>
            <w:r w:rsidRPr="00B55DAC">
              <w:rPr>
                <w:rFonts w:ascii="Arial" w:hAnsi="Arial" w:cs="Arial"/>
              </w:rPr>
              <w:t>¹</w:t>
            </w:r>
          </w:p>
        </w:tc>
        <w:tc>
          <w:tcPr>
            <w:tcW w:w="2880" w:type="dxa"/>
          </w:tcPr>
          <w:p w14:paraId="716164EA"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12.89</w:t>
            </w:r>
          </w:p>
        </w:tc>
      </w:tr>
      <w:tr w:rsidR="00B55DAC" w:rsidRPr="006507C6" w14:paraId="5FA56040"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25400718"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calcium </w:t>
            </w:r>
          </w:p>
        </w:tc>
        <w:tc>
          <w:tcPr>
            <w:tcW w:w="2880" w:type="dxa"/>
            <w:shd w:val="clear" w:color="auto" w:fill="auto"/>
          </w:tcPr>
          <w:p w14:paraId="245CEF19"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g/kg</w:t>
            </w:r>
          </w:p>
        </w:tc>
        <w:tc>
          <w:tcPr>
            <w:tcW w:w="2880" w:type="dxa"/>
            <w:shd w:val="clear" w:color="auto" w:fill="auto"/>
          </w:tcPr>
          <w:p w14:paraId="1C4D6195"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39.76</w:t>
            </w:r>
          </w:p>
        </w:tc>
      </w:tr>
      <w:tr w:rsidR="00B55DAC" w:rsidRPr="006507C6" w14:paraId="2B921D67"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666A7042"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magnesium </w:t>
            </w:r>
          </w:p>
        </w:tc>
        <w:tc>
          <w:tcPr>
            <w:tcW w:w="2880" w:type="dxa"/>
          </w:tcPr>
          <w:p w14:paraId="1C617B3B"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g/kg</w:t>
            </w:r>
          </w:p>
        </w:tc>
        <w:tc>
          <w:tcPr>
            <w:tcW w:w="2880" w:type="dxa"/>
          </w:tcPr>
          <w:p w14:paraId="62C14572"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9.79</w:t>
            </w:r>
          </w:p>
        </w:tc>
      </w:tr>
      <w:tr w:rsidR="00B55DAC" w:rsidRPr="006507C6" w14:paraId="43A7ED4E"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1F7EBCFB"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sodium </w:t>
            </w:r>
          </w:p>
        </w:tc>
        <w:tc>
          <w:tcPr>
            <w:tcW w:w="2880" w:type="dxa"/>
            <w:shd w:val="clear" w:color="auto" w:fill="auto"/>
          </w:tcPr>
          <w:p w14:paraId="5C24A460"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ppm</w:t>
            </w:r>
          </w:p>
        </w:tc>
        <w:tc>
          <w:tcPr>
            <w:tcW w:w="2880" w:type="dxa"/>
            <w:shd w:val="clear" w:color="auto" w:fill="auto"/>
          </w:tcPr>
          <w:p w14:paraId="04C2E3C0"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186.47</w:t>
            </w:r>
          </w:p>
        </w:tc>
      </w:tr>
      <w:tr w:rsidR="00B55DAC" w:rsidRPr="006507C6" w14:paraId="7FD5F4A8"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1C4797CA"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lastRenderedPageBreak/>
              <w:t>pH (H</w:t>
            </w:r>
            <w:r w:rsidRPr="00B55DAC">
              <w:rPr>
                <w:rFonts w:ascii="Cambria Math" w:hAnsi="Cambria Math" w:cs="Cambria Math"/>
                <w:b w:val="0"/>
                <w:bCs w:val="0"/>
              </w:rPr>
              <w:t>₂</w:t>
            </w:r>
            <w:r w:rsidRPr="00B55DAC">
              <w:rPr>
                <w:rFonts w:ascii="Arial" w:hAnsi="Arial" w:cs="Arial"/>
                <w:b w:val="0"/>
                <w:bCs w:val="0"/>
              </w:rPr>
              <w:t>O)</w:t>
            </w:r>
          </w:p>
        </w:tc>
        <w:tc>
          <w:tcPr>
            <w:tcW w:w="2880" w:type="dxa"/>
          </w:tcPr>
          <w:p w14:paraId="0196DAAE"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w:t>
            </w:r>
          </w:p>
        </w:tc>
        <w:tc>
          <w:tcPr>
            <w:tcW w:w="2880" w:type="dxa"/>
          </w:tcPr>
          <w:p w14:paraId="135004D4"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8.02</w:t>
            </w:r>
          </w:p>
        </w:tc>
      </w:tr>
    </w:tbl>
    <w:p w14:paraId="021A9427" w14:textId="77777777" w:rsidR="00B55DAC" w:rsidRPr="00B55DAC" w:rsidRDefault="00B55DAC" w:rsidP="00B55DAC">
      <w:pPr>
        <w:pStyle w:val="Body"/>
        <w:rPr>
          <w:rFonts w:ascii="Arial" w:hAnsi="Arial" w:cs="Arial"/>
        </w:rPr>
      </w:pPr>
    </w:p>
    <w:p w14:paraId="50B23E2F" w14:textId="77777777" w:rsidR="00B55DAC" w:rsidRPr="00D031FD" w:rsidRDefault="00B55DAC" w:rsidP="00B55DAC">
      <w:pPr>
        <w:pStyle w:val="Body"/>
        <w:rPr>
          <w:rFonts w:ascii="Arial" w:hAnsi="Arial" w:cs="Arial"/>
          <w:b/>
          <w:bCs/>
          <w:sz w:val="22"/>
          <w:szCs w:val="22"/>
          <w:lang w:val="fr-FR"/>
        </w:rPr>
      </w:pPr>
      <w:r w:rsidRPr="00D031FD">
        <w:rPr>
          <w:rFonts w:ascii="Arial" w:hAnsi="Arial" w:cs="Arial"/>
          <w:b/>
          <w:bCs/>
          <w:sz w:val="22"/>
          <w:szCs w:val="22"/>
          <w:lang w:val="fr-FR"/>
        </w:rPr>
        <w:t xml:space="preserve">2.5. </w:t>
      </w:r>
      <w:proofErr w:type="spellStart"/>
      <w:r w:rsidRPr="00D031FD">
        <w:rPr>
          <w:rFonts w:ascii="Arial" w:hAnsi="Arial" w:cs="Arial"/>
          <w:b/>
          <w:bCs/>
          <w:sz w:val="22"/>
          <w:szCs w:val="22"/>
          <w:lang w:val="fr-FR"/>
        </w:rPr>
        <w:t>Experimental</w:t>
      </w:r>
      <w:proofErr w:type="spellEnd"/>
      <w:r w:rsidRPr="00D031FD">
        <w:rPr>
          <w:rFonts w:ascii="Arial" w:hAnsi="Arial" w:cs="Arial"/>
          <w:b/>
          <w:bCs/>
          <w:sz w:val="22"/>
          <w:szCs w:val="22"/>
          <w:lang w:val="fr-FR"/>
        </w:rPr>
        <w:t xml:space="preserve"> design</w:t>
      </w:r>
    </w:p>
    <w:p w14:paraId="61087CBF" w14:textId="77777777" w:rsidR="00B55DAC" w:rsidRDefault="00B55DAC" w:rsidP="00B55DAC">
      <w:pPr>
        <w:pStyle w:val="Body"/>
        <w:spacing w:after="0"/>
        <w:rPr>
          <w:rFonts w:ascii="Arial" w:hAnsi="Arial" w:cs="Arial"/>
        </w:rPr>
      </w:pPr>
      <w:r w:rsidRPr="00B55DAC">
        <w:rPr>
          <w:rFonts w:ascii="Arial" w:hAnsi="Arial" w:cs="Arial"/>
        </w:rPr>
        <w:t xml:space="preserve">The experimental design used was a Fisher’s randomized block design, consisting of five (05) treatments, each replicated three (03) times. </w:t>
      </w:r>
      <w:bookmarkStart w:id="0" w:name="_Hlk225949271"/>
      <w:r w:rsidRPr="00B55DAC">
        <w:rPr>
          <w:rFonts w:ascii="Arial" w:hAnsi="Arial" w:cs="Arial"/>
        </w:rPr>
        <w:t xml:space="preserve">The treatments were as follows: T0 = control; T1 = 100 kg/ha NPK + 50 kg/ha urea; T2 = 2.5 t/ha laying hen manure; T3 = 5 t/ha layer hen manure; T4 = 7.5 t/ha layer hen manure. </w:t>
      </w:r>
      <w:bookmarkEnd w:id="0"/>
      <w:r w:rsidRPr="00B55DAC">
        <w:rPr>
          <w:rFonts w:ascii="Arial" w:hAnsi="Arial" w:cs="Arial"/>
        </w:rPr>
        <w:t>Each experimental plot had an area of 17 m² and represented one treatment, resulting in a total of 15 plots (5 treatments × 3 replications). The different treatments were applied during the 2021/2022 winter season. However, no fertilizer was applied to the experimental plots during the 2022/2023 winter season. The plots were separated by a distance of 2 meters from each other.</w:t>
      </w:r>
    </w:p>
    <w:p w14:paraId="3F42B89B" w14:textId="77777777" w:rsidR="00D031FD" w:rsidRPr="00B55DAC" w:rsidRDefault="00D031FD" w:rsidP="00B55DAC">
      <w:pPr>
        <w:pStyle w:val="Body"/>
        <w:spacing w:after="0"/>
        <w:rPr>
          <w:rFonts w:ascii="Arial" w:hAnsi="Arial" w:cs="Arial"/>
        </w:rPr>
      </w:pPr>
    </w:p>
    <w:p w14:paraId="1DA69CE8" w14:textId="77777777" w:rsidR="00B55DAC" w:rsidRPr="00D031FD" w:rsidRDefault="00B55DAC" w:rsidP="00B55DAC">
      <w:pPr>
        <w:pStyle w:val="Body"/>
        <w:rPr>
          <w:rFonts w:ascii="Arial" w:hAnsi="Arial" w:cs="Arial"/>
          <w:b/>
          <w:bCs/>
          <w:sz w:val="22"/>
          <w:szCs w:val="22"/>
        </w:rPr>
      </w:pPr>
      <w:r w:rsidRPr="00D031FD">
        <w:rPr>
          <w:rFonts w:ascii="Arial" w:hAnsi="Arial" w:cs="Arial"/>
          <w:b/>
          <w:bCs/>
          <w:sz w:val="22"/>
          <w:szCs w:val="22"/>
        </w:rPr>
        <w:t>2.6. Trial management</w:t>
      </w:r>
    </w:p>
    <w:p w14:paraId="1BDE2AE1" w14:textId="77777777" w:rsidR="00B55DAC" w:rsidRPr="00B55DAC" w:rsidRDefault="00B55DAC" w:rsidP="00B55DAC">
      <w:pPr>
        <w:pStyle w:val="Body"/>
        <w:rPr>
          <w:rFonts w:ascii="Arial" w:hAnsi="Arial" w:cs="Arial"/>
        </w:rPr>
      </w:pPr>
      <w:r w:rsidRPr="00B55DAC">
        <w:rPr>
          <w:rFonts w:ascii="Arial" w:hAnsi="Arial" w:cs="Arial"/>
        </w:rPr>
        <w:t>During the 2022/2023 winter season, experimental plots corresponding to treatments T0–T4 from the previous season (2021/2022) were ploughed. Following ploughing, drainage channels were established between plots to prevent cross-contamination among treatments, particularly through surface water runoff. No fertilizer was applied to the plots of treatments T0 to T4. Sowing was carried out the day after ploughing, with a spacing of 80 cm between rows and 40 cm between hills. Weeding was carried out at 14 days after sowing (DAS), followed by thinning to two plants per hill. Earthing-up was conducted at 35 DAS to reduce lodging risk. Harvesting was performed at 95 DAS.</w:t>
      </w:r>
    </w:p>
    <w:p w14:paraId="351FAEDD" w14:textId="77777777" w:rsidR="00B55DAC" w:rsidRPr="006767A9" w:rsidRDefault="00B55DAC" w:rsidP="00B55DAC">
      <w:pPr>
        <w:pStyle w:val="Body"/>
        <w:rPr>
          <w:rFonts w:ascii="Arial" w:hAnsi="Arial" w:cs="Arial"/>
          <w:b/>
          <w:bCs/>
          <w:sz w:val="22"/>
          <w:szCs w:val="22"/>
        </w:rPr>
      </w:pPr>
      <w:r w:rsidRPr="006767A9">
        <w:rPr>
          <w:rFonts w:ascii="Arial" w:hAnsi="Arial" w:cs="Arial"/>
          <w:b/>
          <w:bCs/>
          <w:sz w:val="22"/>
          <w:szCs w:val="22"/>
        </w:rPr>
        <w:t>2.7. Data collection</w:t>
      </w:r>
    </w:p>
    <w:p w14:paraId="37AB41A7" w14:textId="07907F9D" w:rsidR="00B55DAC" w:rsidRPr="00B55DAC" w:rsidRDefault="00B55DAC" w:rsidP="00B55DAC">
      <w:pPr>
        <w:pStyle w:val="Body"/>
        <w:rPr>
          <w:rFonts w:ascii="Arial" w:hAnsi="Arial" w:cs="Arial"/>
        </w:rPr>
      </w:pPr>
      <w:r w:rsidRPr="00B55DAC">
        <w:rPr>
          <w:rFonts w:ascii="Arial" w:hAnsi="Arial" w:cs="Arial"/>
        </w:rPr>
        <w:t>Growth parameters were recorded at the flowering stage, including plant height (measuring tape), collar diameter (vernier caliper), and the number of tillers and flowering tillers (counting).</w:t>
      </w:r>
      <w:r w:rsidR="006767A9">
        <w:rPr>
          <w:rFonts w:ascii="Arial" w:hAnsi="Arial" w:cs="Arial"/>
        </w:rPr>
        <w:t xml:space="preserve"> </w:t>
      </w:r>
      <w:r w:rsidR="0084251C">
        <w:rPr>
          <w:rFonts w:ascii="Arial" w:hAnsi="Arial" w:cs="Arial"/>
        </w:rPr>
        <w:t xml:space="preserve">At flowering, </w:t>
      </w:r>
      <w:r w:rsidR="005F43E7">
        <w:rPr>
          <w:rFonts w:ascii="Arial" w:hAnsi="Arial" w:cs="Arial"/>
        </w:rPr>
        <w:t xml:space="preserve">the </w:t>
      </w:r>
      <w:r w:rsidR="005F43E7" w:rsidRPr="003F081A">
        <w:rPr>
          <w:rFonts w:ascii="Arial" w:hAnsi="Arial" w:cs="Arial"/>
        </w:rPr>
        <w:t>number of days to 50% flowering</w:t>
      </w:r>
      <w:r w:rsidR="00FA73F9">
        <w:rPr>
          <w:rFonts w:ascii="Arial" w:hAnsi="Arial" w:cs="Arial"/>
        </w:rPr>
        <w:t xml:space="preserve"> and the </w:t>
      </w:r>
      <w:bookmarkStart w:id="1" w:name="_Hlk229055084"/>
      <w:r w:rsidR="00FA73F9">
        <w:rPr>
          <w:rFonts w:ascii="Arial" w:hAnsi="Arial" w:cs="Arial"/>
        </w:rPr>
        <w:t>n</w:t>
      </w:r>
      <w:r w:rsidR="00FA73F9" w:rsidRPr="00FA73F9">
        <w:rPr>
          <w:rFonts w:ascii="Arial" w:hAnsi="Arial" w:cs="Arial"/>
        </w:rPr>
        <w:t>umber of days to flowering onset</w:t>
      </w:r>
      <w:bookmarkEnd w:id="1"/>
      <w:r w:rsidR="00FA73F9">
        <w:rPr>
          <w:rFonts w:ascii="Arial" w:hAnsi="Arial" w:cs="Arial"/>
        </w:rPr>
        <w:t xml:space="preserve"> was determined by counting.</w:t>
      </w:r>
      <w:r w:rsidR="005F43E7" w:rsidRPr="00B55DAC">
        <w:rPr>
          <w:rFonts w:ascii="Arial" w:hAnsi="Arial" w:cs="Arial"/>
        </w:rPr>
        <w:t xml:space="preserve"> </w:t>
      </w:r>
      <w:r w:rsidRPr="00B55DAC">
        <w:rPr>
          <w:rFonts w:ascii="Arial" w:hAnsi="Arial" w:cs="Arial"/>
        </w:rPr>
        <w:t>At maturity, panicle length and diameter were measured using a measuring tape and a vernier caliper, respectively. After harvesting, drying, and weighing the grains and straw, grain yield, straw yield, and harvest index were calculated as follows:</w:t>
      </w:r>
    </w:p>
    <w:p w14:paraId="40027A23" w14:textId="0CCDAEDF" w:rsidR="00B55DAC" w:rsidRPr="00B55DAC" w:rsidRDefault="00B55DAC" w:rsidP="00B55DAC">
      <w:pPr>
        <w:pStyle w:val="Body"/>
        <w:rPr>
          <w:rFonts w:ascii="Arial" w:hAnsi="Arial" w:cs="Arial"/>
        </w:rPr>
      </w:pPr>
      <m:oMathPara>
        <m:oMath>
          <m:r>
            <w:rPr>
              <w:rFonts w:ascii="Cambria Math" w:hAnsi="Cambria Math" w:cs="Arial"/>
            </w:rPr>
            <m:t>Grain yield (</m:t>
          </m:r>
          <m:f>
            <m:fPr>
              <m:ctrlPr>
                <w:rPr>
                  <w:rFonts w:ascii="Cambria Math" w:hAnsi="Cambria Math" w:cs="Arial"/>
                  <w:i/>
                </w:rPr>
              </m:ctrlPr>
            </m:fPr>
            <m:num>
              <m:r>
                <w:rPr>
                  <w:rFonts w:ascii="Cambria Math" w:hAnsi="Cambria Math" w:cs="Arial"/>
                </w:rPr>
                <m:t>kg</m:t>
              </m:r>
            </m:num>
            <m:den>
              <m:r>
                <w:rPr>
                  <w:rFonts w:ascii="Cambria Math" w:hAnsi="Cambria Math" w:cs="Arial"/>
                </w:rPr>
                <m:t>ha</m:t>
              </m:r>
            </m:den>
          </m:f>
          <m:r>
            <w:rPr>
              <w:rFonts w:ascii="Cambria Math" w:hAnsi="Cambria Math" w:cs="Arial"/>
            </w:rPr>
            <m:t>)</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Grain weigh ×10000 </m:t>
              </m:r>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num>
            <m:den>
              <m:r>
                <m:rPr>
                  <m:sty m:val="p"/>
                </m:rPr>
                <w:rPr>
                  <w:rFonts w:ascii="Cambria Math" w:hAnsi="Cambria Math" w:cs="Arial"/>
                </w:rPr>
                <m:t xml:space="preserve">17 </m:t>
              </m:r>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den>
          </m:f>
        </m:oMath>
      </m:oMathPara>
    </w:p>
    <w:p w14:paraId="3A145BB8" w14:textId="12C30183" w:rsidR="00B55DAC" w:rsidRPr="00B55DAC" w:rsidRDefault="00B55DAC" w:rsidP="00B55DAC">
      <w:pPr>
        <w:pStyle w:val="Body"/>
        <w:rPr>
          <w:rFonts w:ascii="Arial" w:hAnsi="Arial" w:cs="Arial"/>
        </w:rPr>
      </w:pPr>
      <m:oMathPara>
        <m:oMath>
          <m:r>
            <w:rPr>
              <w:rFonts w:ascii="Cambria Math" w:hAnsi="Cambria Math" w:cs="Arial"/>
            </w:rPr>
            <m:t>Straw yield (</m:t>
          </m:r>
          <m:f>
            <m:fPr>
              <m:ctrlPr>
                <w:rPr>
                  <w:rFonts w:ascii="Cambria Math" w:hAnsi="Cambria Math" w:cs="Arial"/>
                  <w:i/>
                </w:rPr>
              </m:ctrlPr>
            </m:fPr>
            <m:num>
              <m:r>
                <w:rPr>
                  <w:rFonts w:ascii="Cambria Math" w:hAnsi="Cambria Math" w:cs="Arial"/>
                </w:rPr>
                <m:t>kg</m:t>
              </m:r>
            </m:num>
            <m:den>
              <m:r>
                <w:rPr>
                  <w:rFonts w:ascii="Cambria Math" w:hAnsi="Cambria Math" w:cs="Arial"/>
                </w:rPr>
                <m:t>ha</m:t>
              </m:r>
            </m:den>
          </m:f>
          <m:r>
            <w:rPr>
              <w:rFonts w:ascii="Cambria Math" w:hAnsi="Cambria Math" w:cs="Arial"/>
            </w:rPr>
            <m:t>)</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Straw weigh ×10000 </m:t>
              </m:r>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num>
            <m:den>
              <m:r>
                <m:rPr>
                  <m:sty m:val="p"/>
                </m:rPr>
                <w:rPr>
                  <w:rFonts w:ascii="Cambria Math" w:hAnsi="Cambria Math" w:cs="Arial"/>
                </w:rPr>
                <m:t xml:space="preserve">17 </m:t>
              </m:r>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den>
          </m:f>
        </m:oMath>
      </m:oMathPara>
    </w:p>
    <w:p w14:paraId="3A0F74DD" w14:textId="31795FBB" w:rsidR="00B55DAC" w:rsidRPr="00B55DAC" w:rsidRDefault="00B55DAC" w:rsidP="00B55DAC">
      <w:pPr>
        <w:pStyle w:val="Body"/>
        <w:rPr>
          <w:rFonts w:ascii="Arial" w:hAnsi="Arial" w:cs="Arial"/>
        </w:rPr>
      </w:pPr>
      <m:oMathPara>
        <m:oMath>
          <m:r>
            <w:rPr>
              <w:rFonts w:ascii="Cambria Math" w:hAnsi="Cambria Math" w:cs="Arial"/>
            </w:rPr>
            <m:t>Harvest index</m:t>
          </m:r>
          <m:r>
            <m:rPr>
              <m:sty m:val="p"/>
            </m:rPr>
            <w:rPr>
              <w:rFonts w:ascii="Cambria Math" w:hAnsi="Cambria Math" w:cs="Arial"/>
            </w:rPr>
            <m:t>=</m:t>
          </m:r>
          <m:f>
            <m:fPr>
              <m:ctrlPr>
                <w:rPr>
                  <w:rFonts w:ascii="Cambria Math" w:hAnsi="Cambria Math" w:cs="Arial"/>
                </w:rPr>
              </m:ctrlPr>
            </m:fPr>
            <m:num>
              <m:r>
                <w:rPr>
                  <w:rFonts w:ascii="Cambria Math" w:hAnsi="Cambria Math" w:cs="Arial"/>
                </w:rPr>
                <m:t>Grain yield</m:t>
              </m:r>
            </m:num>
            <m:den>
              <m:r>
                <m:rPr>
                  <m:sty m:val="p"/>
                </m:rPr>
                <w:rPr>
                  <w:rFonts w:ascii="Cambria Math" w:hAnsi="Cambria Math" w:cs="Arial"/>
                </w:rPr>
                <m:t>Straw yield</m:t>
              </m:r>
            </m:den>
          </m:f>
        </m:oMath>
      </m:oMathPara>
    </w:p>
    <w:p w14:paraId="7E032603" w14:textId="77777777" w:rsidR="00B55DAC" w:rsidRPr="006767A9" w:rsidRDefault="00B55DAC" w:rsidP="00B55DAC">
      <w:pPr>
        <w:pStyle w:val="Body"/>
        <w:rPr>
          <w:rFonts w:ascii="Arial" w:hAnsi="Arial" w:cs="Arial"/>
          <w:b/>
          <w:bCs/>
          <w:sz w:val="22"/>
          <w:szCs w:val="22"/>
        </w:rPr>
      </w:pPr>
      <w:r w:rsidRPr="006767A9">
        <w:rPr>
          <w:rFonts w:ascii="Arial" w:hAnsi="Arial" w:cs="Arial"/>
          <w:b/>
          <w:bCs/>
          <w:sz w:val="22"/>
          <w:szCs w:val="22"/>
        </w:rPr>
        <w:t>2.8. Data analysis</w:t>
      </w:r>
    </w:p>
    <w:p w14:paraId="72D38CDB" w14:textId="271C8248" w:rsidR="00AA74E0" w:rsidRDefault="00B55DAC" w:rsidP="00441B6F">
      <w:pPr>
        <w:pStyle w:val="Body"/>
        <w:spacing w:after="0"/>
        <w:rPr>
          <w:rFonts w:ascii="Arial" w:hAnsi="Arial" w:cs="Arial"/>
        </w:rPr>
      </w:pPr>
      <w:r w:rsidRPr="00B55DAC">
        <w:rPr>
          <w:rFonts w:ascii="Arial" w:hAnsi="Arial" w:cs="Arial"/>
        </w:rPr>
        <w:t>Microsoft Excel (version 2016) was used for data processing and graph generation. In addition, XLSTAT (version 2016) was employed to perform a one-way analysis of variance (ANOVA) in order to assess the effects of the different fertilizer treatments on the measured parameters. When the ANOVA indicated significant differences among treatments, a Newman–Keuls multiple comparison test at the 5% significance level was applied to separate the treatment means.</w:t>
      </w:r>
      <w:r w:rsidR="00AA74E0" w:rsidRPr="00FB3A86">
        <w:rPr>
          <w:rFonts w:ascii="Arial" w:hAnsi="Arial" w:cs="Arial"/>
        </w:rPr>
        <w:t xml:space="preserve">  </w:t>
      </w:r>
    </w:p>
    <w:p w14:paraId="38CFAD76" w14:textId="77777777" w:rsidR="00790ADA" w:rsidRPr="00FB3A86" w:rsidRDefault="00790ADA" w:rsidP="00441B6F">
      <w:pPr>
        <w:pStyle w:val="Body"/>
        <w:spacing w:after="0"/>
        <w:rPr>
          <w:rFonts w:ascii="Arial" w:hAnsi="Arial" w:cs="Arial"/>
        </w:rPr>
      </w:pPr>
    </w:p>
    <w:p w14:paraId="123E64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DA42BD" w14:textId="77777777" w:rsidR="000A5E43" w:rsidRDefault="000A5E43" w:rsidP="00441B6F">
      <w:pPr>
        <w:pStyle w:val="Head1"/>
        <w:spacing w:after="0"/>
        <w:jc w:val="both"/>
        <w:rPr>
          <w:rFonts w:ascii="Arial" w:hAnsi="Arial" w:cs="Arial"/>
        </w:rPr>
      </w:pPr>
    </w:p>
    <w:p w14:paraId="53BF2F3F" w14:textId="5D4B5551" w:rsidR="000A5E43" w:rsidRDefault="000A5E43" w:rsidP="00441B6F">
      <w:pPr>
        <w:pStyle w:val="Head1"/>
        <w:spacing w:after="0"/>
        <w:jc w:val="both"/>
        <w:rPr>
          <w:rFonts w:ascii="Arial" w:hAnsi="Arial" w:cs="Arial"/>
          <w:caps w:val="0"/>
        </w:rPr>
      </w:pPr>
      <w:r>
        <w:rPr>
          <w:rFonts w:ascii="Arial" w:hAnsi="Arial" w:cs="Arial"/>
        </w:rPr>
        <w:t xml:space="preserve">3.1 </w:t>
      </w:r>
      <w:r w:rsidR="00797F7E">
        <w:rPr>
          <w:rFonts w:ascii="Arial" w:hAnsi="Arial" w:cs="Arial"/>
          <w:caps w:val="0"/>
        </w:rPr>
        <w:t>Results</w:t>
      </w:r>
    </w:p>
    <w:p w14:paraId="617D465C" w14:textId="77777777" w:rsidR="00797F7E" w:rsidRDefault="00797F7E" w:rsidP="00441B6F">
      <w:pPr>
        <w:pStyle w:val="Head1"/>
        <w:spacing w:after="0"/>
        <w:jc w:val="both"/>
        <w:rPr>
          <w:rFonts w:ascii="Arial" w:hAnsi="Arial" w:cs="Arial"/>
          <w:caps w:val="0"/>
        </w:rPr>
      </w:pPr>
    </w:p>
    <w:p w14:paraId="50F77527" w14:textId="26A3D393" w:rsidR="00797F7E" w:rsidRPr="00797F7E" w:rsidRDefault="00797F7E" w:rsidP="00797F7E">
      <w:pPr>
        <w:pStyle w:val="Body"/>
        <w:rPr>
          <w:rFonts w:ascii="Arial" w:hAnsi="Arial" w:cs="Arial"/>
          <w:b/>
          <w:bCs/>
        </w:rPr>
      </w:pPr>
      <w:r>
        <w:rPr>
          <w:rFonts w:ascii="Arial" w:hAnsi="Arial" w:cs="Arial"/>
          <w:b/>
          <w:bCs/>
        </w:rPr>
        <w:t xml:space="preserve">3.1.1 </w:t>
      </w:r>
      <w:r w:rsidRPr="00797F7E">
        <w:rPr>
          <w:rFonts w:ascii="Arial" w:hAnsi="Arial" w:cs="Arial"/>
          <w:b/>
          <w:bCs/>
        </w:rPr>
        <w:t>Residual effect of laying hen manure on the growth parameters</w:t>
      </w:r>
    </w:p>
    <w:p w14:paraId="40562A2A" w14:textId="7EA505FC" w:rsidR="00797F7E" w:rsidRPr="00797F7E" w:rsidRDefault="00797F7E" w:rsidP="00797F7E">
      <w:pPr>
        <w:pStyle w:val="Body"/>
        <w:rPr>
          <w:rFonts w:ascii="Arial" w:hAnsi="Arial" w:cs="Arial"/>
        </w:rPr>
      </w:pPr>
      <w:r w:rsidRPr="00797F7E">
        <w:rPr>
          <w:rFonts w:ascii="Arial" w:hAnsi="Arial" w:cs="Arial"/>
        </w:rPr>
        <w:t xml:space="preserve">Plant height in the treatments T2 (2.5 t/ha), T3 (5 t/ha), and T4 (7.5 t/ha) of laying hen manure was significantly higher than in the control, with increases of 42 cm, 59.34 cm, and 74.67 cm, respectively (Table </w:t>
      </w:r>
      <w:r>
        <w:rPr>
          <w:rFonts w:ascii="Arial" w:hAnsi="Arial" w:cs="Arial"/>
        </w:rPr>
        <w:t>3</w:t>
      </w:r>
      <w:r w:rsidRPr="00797F7E">
        <w:rPr>
          <w:rFonts w:ascii="Arial" w:hAnsi="Arial" w:cs="Arial"/>
        </w:rPr>
        <w:t>). The tallest plants were observed under T3 and T4, reaching 223.67 cm and 239 cm, respectively. ANOVA results indicated a significant effect of treatments on plant height (</w:t>
      </w:r>
      <w:r w:rsidRPr="00A83E08">
        <w:rPr>
          <w:rFonts w:ascii="Arial" w:hAnsi="Arial" w:cs="Arial"/>
          <w:i/>
          <w:iCs/>
        </w:rPr>
        <w:t>P</w:t>
      </w:r>
      <w:r w:rsidRPr="00797F7E">
        <w:rPr>
          <w:rFonts w:ascii="Arial" w:hAnsi="Arial" w:cs="Arial"/>
        </w:rPr>
        <w:t xml:space="preserve"> = .000).</w:t>
      </w:r>
    </w:p>
    <w:p w14:paraId="449C74A9" w14:textId="3690C869" w:rsidR="00797F7E" w:rsidRPr="00797F7E" w:rsidRDefault="00797F7E" w:rsidP="00797F7E">
      <w:pPr>
        <w:pStyle w:val="Body"/>
        <w:rPr>
          <w:rFonts w:ascii="Arial" w:hAnsi="Arial" w:cs="Arial"/>
        </w:rPr>
      </w:pPr>
      <w:r w:rsidRPr="00797F7E">
        <w:rPr>
          <w:rFonts w:ascii="Arial" w:hAnsi="Arial" w:cs="Arial"/>
        </w:rPr>
        <w:t xml:space="preserve">Similarly, T2, T3, and T4 laying hen manure significantly increased collar diameter compared to the control (Table </w:t>
      </w:r>
      <w:r>
        <w:rPr>
          <w:rFonts w:ascii="Arial" w:hAnsi="Arial" w:cs="Arial"/>
        </w:rPr>
        <w:t>3</w:t>
      </w:r>
      <w:r w:rsidRPr="00797F7E">
        <w:rPr>
          <w:rFonts w:ascii="Arial" w:hAnsi="Arial" w:cs="Arial"/>
        </w:rPr>
        <w:t>). The largest collar diameters were recorded under T3 (21.06 mm) and T4 (20.39 mm), with statistical analysis confirming significant differences between treatments (</w:t>
      </w:r>
      <w:r w:rsidRPr="00A83E08">
        <w:rPr>
          <w:rFonts w:ascii="Arial" w:hAnsi="Arial" w:cs="Arial"/>
          <w:i/>
          <w:iCs/>
        </w:rPr>
        <w:t>P</w:t>
      </w:r>
      <w:r w:rsidRPr="00797F7E">
        <w:rPr>
          <w:rFonts w:ascii="Arial" w:hAnsi="Arial" w:cs="Arial"/>
        </w:rPr>
        <w:t xml:space="preserve"> = .000).</w:t>
      </w:r>
    </w:p>
    <w:p w14:paraId="41344459" w14:textId="204633E6" w:rsidR="00797F7E" w:rsidRPr="00797F7E" w:rsidRDefault="00797F7E" w:rsidP="00322A68">
      <w:pPr>
        <w:pStyle w:val="Body"/>
        <w:rPr>
          <w:rFonts w:ascii="Arial" w:hAnsi="Arial" w:cs="Arial"/>
        </w:rPr>
      </w:pPr>
      <w:r w:rsidRPr="00797F7E">
        <w:rPr>
          <w:rFonts w:ascii="Arial" w:hAnsi="Arial" w:cs="Arial"/>
        </w:rPr>
        <w:t xml:space="preserve">The number of tillers was also significantly higher under T3 and T4, exceeding the control by 3.67 and 3.33 tillers, respectively. The highest tiller numbers were observed under T3 and T4, reaching 5.67 and 5.33 tillers, respectively (Table </w:t>
      </w:r>
      <w:r w:rsidR="00322A68">
        <w:rPr>
          <w:rFonts w:ascii="Arial" w:hAnsi="Arial" w:cs="Arial"/>
        </w:rPr>
        <w:t>3</w:t>
      </w:r>
      <w:r w:rsidRPr="00797F7E">
        <w:rPr>
          <w:rFonts w:ascii="Arial" w:hAnsi="Arial" w:cs="Arial"/>
        </w:rPr>
        <w:t>). ANOVA revealed a significant effect of treatments on tiller production (</w:t>
      </w:r>
      <w:r w:rsidRPr="00A83E08">
        <w:rPr>
          <w:rFonts w:ascii="Arial" w:hAnsi="Arial" w:cs="Arial"/>
          <w:i/>
          <w:iCs/>
        </w:rPr>
        <w:t>P</w:t>
      </w:r>
      <w:r w:rsidRPr="00797F7E">
        <w:rPr>
          <w:rFonts w:ascii="Arial" w:hAnsi="Arial" w:cs="Arial"/>
        </w:rPr>
        <w:t xml:space="preserve"> = .000).</w:t>
      </w:r>
    </w:p>
    <w:p w14:paraId="0D2ED2B7" w14:textId="4F73FBFF" w:rsidR="00797F7E" w:rsidRDefault="00797F7E" w:rsidP="00797F7E">
      <w:pPr>
        <w:pStyle w:val="Body"/>
        <w:spacing w:after="0"/>
        <w:rPr>
          <w:rFonts w:ascii="Arial" w:hAnsi="Arial" w:cs="Arial"/>
        </w:rPr>
      </w:pPr>
      <w:r w:rsidRPr="00797F7E">
        <w:rPr>
          <w:rFonts w:ascii="Arial" w:hAnsi="Arial" w:cs="Arial"/>
        </w:rPr>
        <w:t xml:space="preserve">Finally, T3 and T4 significantly increased the number of flowering tillers compared to the control, with the highest values observed under these treatments, 3.33 and 4.33 flowering tillers, respectively (Table </w:t>
      </w:r>
      <w:r w:rsidR="00322A68">
        <w:rPr>
          <w:rFonts w:ascii="Arial" w:hAnsi="Arial" w:cs="Arial"/>
        </w:rPr>
        <w:t>3</w:t>
      </w:r>
      <w:r w:rsidRPr="00797F7E">
        <w:rPr>
          <w:rFonts w:ascii="Arial" w:hAnsi="Arial" w:cs="Arial"/>
        </w:rPr>
        <w:t>). Statistical analysis confirmed a significant effect of treatments on the number of flowering tillers (</w:t>
      </w:r>
      <w:r w:rsidRPr="00A83E08">
        <w:rPr>
          <w:rFonts w:ascii="Arial" w:hAnsi="Arial" w:cs="Arial"/>
          <w:i/>
          <w:iCs/>
        </w:rPr>
        <w:t>P</w:t>
      </w:r>
      <w:r w:rsidRPr="00797F7E">
        <w:rPr>
          <w:rFonts w:ascii="Arial" w:hAnsi="Arial" w:cs="Arial"/>
        </w:rPr>
        <w:t xml:space="preserve"> = .000).</w:t>
      </w:r>
    </w:p>
    <w:p w14:paraId="664C2398" w14:textId="77777777" w:rsidR="00322A68" w:rsidRPr="00797F7E" w:rsidRDefault="00322A68" w:rsidP="00797F7E">
      <w:pPr>
        <w:pStyle w:val="Body"/>
        <w:spacing w:after="0"/>
        <w:rPr>
          <w:rFonts w:ascii="Arial" w:hAnsi="Arial" w:cs="Arial"/>
        </w:rPr>
      </w:pPr>
    </w:p>
    <w:p w14:paraId="58567BCA" w14:textId="3FD2F70D" w:rsidR="00797F7E" w:rsidRPr="00322A68" w:rsidRDefault="00797F7E" w:rsidP="00322A68">
      <w:pPr>
        <w:pStyle w:val="Body"/>
        <w:rPr>
          <w:rFonts w:ascii="Arial" w:hAnsi="Arial" w:cs="Arial"/>
          <w:b/>
          <w:bCs/>
        </w:rPr>
      </w:pPr>
      <w:r w:rsidRPr="00322A68">
        <w:rPr>
          <w:rFonts w:ascii="Arial" w:hAnsi="Arial" w:cs="Arial"/>
          <w:b/>
          <w:bCs/>
        </w:rPr>
        <w:t xml:space="preserve">Table </w:t>
      </w:r>
      <w:r w:rsidR="00322A68" w:rsidRPr="00322A68">
        <w:rPr>
          <w:rFonts w:ascii="Arial" w:hAnsi="Arial" w:cs="Arial"/>
          <w:b/>
          <w:bCs/>
        </w:rPr>
        <w:t>3.</w:t>
      </w:r>
      <w:r w:rsidRPr="00322A68">
        <w:rPr>
          <w:rFonts w:ascii="Arial" w:hAnsi="Arial" w:cs="Arial"/>
          <w:b/>
          <w:bCs/>
        </w:rPr>
        <w:t xml:space="preserve"> Residual effect of fertilizers on growth parameters.</w:t>
      </w:r>
    </w:p>
    <w:tbl>
      <w:tblPr>
        <w:tblStyle w:val="ListTable6Colorful"/>
        <w:tblW w:w="8388" w:type="dxa"/>
        <w:tblLook w:val="04A0" w:firstRow="1" w:lastRow="0" w:firstColumn="1" w:lastColumn="0" w:noHBand="0" w:noVBand="1"/>
      </w:tblPr>
      <w:tblGrid>
        <w:gridCol w:w="1188"/>
        <w:gridCol w:w="1890"/>
        <w:gridCol w:w="1620"/>
        <w:gridCol w:w="1530"/>
        <w:gridCol w:w="2160"/>
      </w:tblGrid>
      <w:tr w:rsidR="00F426DB" w:rsidRPr="00797F7E" w14:paraId="37F0F5CE" w14:textId="77777777" w:rsidTr="00F42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8D7CEE6" w14:textId="77777777" w:rsidR="00797F7E" w:rsidRPr="00797F7E" w:rsidRDefault="00797F7E" w:rsidP="00322A68">
            <w:pPr>
              <w:pStyle w:val="Body"/>
              <w:spacing w:after="0"/>
              <w:rPr>
                <w:rFonts w:ascii="Arial" w:hAnsi="Arial" w:cs="Arial"/>
              </w:rPr>
            </w:pPr>
            <w:r w:rsidRPr="00797F7E">
              <w:rPr>
                <w:rFonts w:ascii="Arial" w:hAnsi="Arial" w:cs="Arial"/>
              </w:rPr>
              <w:t>Treatment</w:t>
            </w:r>
          </w:p>
        </w:tc>
        <w:tc>
          <w:tcPr>
            <w:tcW w:w="1890" w:type="dxa"/>
          </w:tcPr>
          <w:p w14:paraId="5A291137" w14:textId="7FEB9FD2" w:rsidR="00797F7E" w:rsidRPr="00797F7E" w:rsidRDefault="00797F7E" w:rsidP="00322A6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Plant height (</w:t>
            </w:r>
            <w:r w:rsidR="005B4261">
              <w:rPr>
                <w:rFonts w:ascii="Arial" w:hAnsi="Arial" w:cs="Arial"/>
              </w:rPr>
              <w:t>c</w:t>
            </w:r>
            <w:r w:rsidRPr="00797F7E">
              <w:rPr>
                <w:rFonts w:ascii="Arial" w:hAnsi="Arial" w:cs="Arial"/>
              </w:rPr>
              <w:t>m)</w:t>
            </w:r>
          </w:p>
        </w:tc>
        <w:tc>
          <w:tcPr>
            <w:tcW w:w="1620" w:type="dxa"/>
          </w:tcPr>
          <w:p w14:paraId="748645A4" w14:textId="77777777" w:rsidR="00797F7E" w:rsidRPr="00797F7E" w:rsidRDefault="00797F7E" w:rsidP="00322A6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Diameter of collet (mm)</w:t>
            </w:r>
          </w:p>
        </w:tc>
        <w:tc>
          <w:tcPr>
            <w:tcW w:w="1530" w:type="dxa"/>
          </w:tcPr>
          <w:p w14:paraId="5E2A9C89" w14:textId="77777777" w:rsidR="00797F7E" w:rsidRPr="00797F7E" w:rsidRDefault="00797F7E" w:rsidP="00322A6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Number of tillers</w:t>
            </w:r>
          </w:p>
        </w:tc>
        <w:tc>
          <w:tcPr>
            <w:tcW w:w="2160" w:type="dxa"/>
          </w:tcPr>
          <w:p w14:paraId="23C42CA2" w14:textId="77777777" w:rsidR="00797F7E" w:rsidRPr="00797F7E" w:rsidRDefault="00797F7E" w:rsidP="00322A6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Number of tillers flowering per plant</w:t>
            </w:r>
          </w:p>
        </w:tc>
      </w:tr>
      <w:tr w:rsidR="00F426DB" w:rsidRPr="00797F7E" w14:paraId="7692155D" w14:textId="77777777" w:rsidTr="00F42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3212A718" w14:textId="77777777" w:rsidR="00797F7E" w:rsidRPr="00797F7E" w:rsidRDefault="00797F7E" w:rsidP="00322A68">
            <w:pPr>
              <w:pStyle w:val="Body"/>
              <w:spacing w:after="0"/>
              <w:rPr>
                <w:rFonts w:ascii="Arial" w:hAnsi="Arial" w:cs="Arial"/>
              </w:rPr>
            </w:pPr>
            <w:r w:rsidRPr="00797F7E">
              <w:rPr>
                <w:rFonts w:ascii="Arial" w:hAnsi="Arial" w:cs="Arial"/>
              </w:rPr>
              <w:t>T0</w:t>
            </w:r>
          </w:p>
        </w:tc>
        <w:tc>
          <w:tcPr>
            <w:tcW w:w="1890" w:type="dxa"/>
            <w:shd w:val="clear" w:color="auto" w:fill="auto"/>
          </w:tcPr>
          <w:p w14:paraId="10A11398"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164.33 ± 10.21b</w:t>
            </w:r>
          </w:p>
        </w:tc>
        <w:tc>
          <w:tcPr>
            <w:tcW w:w="1620" w:type="dxa"/>
            <w:shd w:val="clear" w:color="auto" w:fill="auto"/>
          </w:tcPr>
          <w:p w14:paraId="0E7979D3"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13.43 ± 0.77c</w:t>
            </w:r>
          </w:p>
        </w:tc>
        <w:tc>
          <w:tcPr>
            <w:tcW w:w="1530" w:type="dxa"/>
            <w:shd w:val="clear" w:color="auto" w:fill="auto"/>
          </w:tcPr>
          <w:p w14:paraId="654351B1"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2.00 ± 0b</w:t>
            </w:r>
          </w:p>
        </w:tc>
        <w:tc>
          <w:tcPr>
            <w:tcW w:w="2160" w:type="dxa"/>
            <w:shd w:val="clear" w:color="auto" w:fill="auto"/>
          </w:tcPr>
          <w:p w14:paraId="62A1DC6C"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1.33 ± 0.57c</w:t>
            </w:r>
          </w:p>
        </w:tc>
      </w:tr>
      <w:tr w:rsidR="00F426DB" w:rsidRPr="00797F7E" w14:paraId="0CA2C10B" w14:textId="77777777" w:rsidTr="00F426DB">
        <w:tc>
          <w:tcPr>
            <w:cnfStyle w:val="001000000000" w:firstRow="0" w:lastRow="0" w:firstColumn="1" w:lastColumn="0" w:oddVBand="0" w:evenVBand="0" w:oddHBand="0" w:evenHBand="0" w:firstRowFirstColumn="0" w:firstRowLastColumn="0" w:lastRowFirstColumn="0" w:lastRowLastColumn="0"/>
            <w:tcW w:w="1188" w:type="dxa"/>
          </w:tcPr>
          <w:p w14:paraId="5D4A93D5" w14:textId="77777777" w:rsidR="00797F7E" w:rsidRPr="00797F7E" w:rsidRDefault="00797F7E" w:rsidP="00322A68">
            <w:pPr>
              <w:pStyle w:val="Body"/>
              <w:spacing w:after="0"/>
              <w:rPr>
                <w:rFonts w:ascii="Arial" w:hAnsi="Arial" w:cs="Arial"/>
              </w:rPr>
            </w:pPr>
            <w:r w:rsidRPr="00797F7E">
              <w:rPr>
                <w:rFonts w:ascii="Arial" w:hAnsi="Arial" w:cs="Arial"/>
              </w:rPr>
              <w:t>T1</w:t>
            </w:r>
          </w:p>
        </w:tc>
        <w:tc>
          <w:tcPr>
            <w:tcW w:w="1890" w:type="dxa"/>
          </w:tcPr>
          <w:p w14:paraId="111646BF"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151.33 ± 28.11b</w:t>
            </w:r>
          </w:p>
        </w:tc>
        <w:tc>
          <w:tcPr>
            <w:tcW w:w="1620" w:type="dxa"/>
          </w:tcPr>
          <w:p w14:paraId="1EA4C43D"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14.81 ± 1.15c</w:t>
            </w:r>
          </w:p>
        </w:tc>
        <w:tc>
          <w:tcPr>
            <w:tcW w:w="1530" w:type="dxa"/>
          </w:tcPr>
          <w:p w14:paraId="32090A23"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2.00 ± 0b</w:t>
            </w:r>
          </w:p>
        </w:tc>
        <w:tc>
          <w:tcPr>
            <w:tcW w:w="2160" w:type="dxa"/>
          </w:tcPr>
          <w:p w14:paraId="1FD6C07A"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1.67 ± 0.57c</w:t>
            </w:r>
          </w:p>
        </w:tc>
      </w:tr>
      <w:tr w:rsidR="00F426DB" w:rsidRPr="00797F7E" w14:paraId="68F889D9" w14:textId="77777777" w:rsidTr="00F42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5AD489BA" w14:textId="77777777" w:rsidR="00797F7E" w:rsidRPr="00797F7E" w:rsidRDefault="00797F7E" w:rsidP="00322A68">
            <w:pPr>
              <w:pStyle w:val="Body"/>
              <w:spacing w:after="0"/>
              <w:rPr>
                <w:rFonts w:ascii="Arial" w:hAnsi="Arial" w:cs="Arial"/>
              </w:rPr>
            </w:pPr>
            <w:r w:rsidRPr="00797F7E">
              <w:rPr>
                <w:rFonts w:ascii="Arial" w:hAnsi="Arial" w:cs="Arial"/>
              </w:rPr>
              <w:t>T2</w:t>
            </w:r>
          </w:p>
        </w:tc>
        <w:tc>
          <w:tcPr>
            <w:tcW w:w="1890" w:type="dxa"/>
            <w:shd w:val="clear" w:color="auto" w:fill="auto"/>
          </w:tcPr>
          <w:p w14:paraId="26B49065"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206.33 ± 7.09a</w:t>
            </w:r>
          </w:p>
        </w:tc>
        <w:tc>
          <w:tcPr>
            <w:tcW w:w="1620" w:type="dxa"/>
            <w:shd w:val="clear" w:color="auto" w:fill="auto"/>
          </w:tcPr>
          <w:p w14:paraId="781434C6"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17.88 ± 0.78b</w:t>
            </w:r>
          </w:p>
        </w:tc>
        <w:tc>
          <w:tcPr>
            <w:tcW w:w="1530" w:type="dxa"/>
            <w:shd w:val="clear" w:color="auto" w:fill="auto"/>
          </w:tcPr>
          <w:p w14:paraId="3A399813"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2.67 ± 0.57b</w:t>
            </w:r>
          </w:p>
        </w:tc>
        <w:tc>
          <w:tcPr>
            <w:tcW w:w="2160" w:type="dxa"/>
            <w:shd w:val="clear" w:color="auto" w:fill="auto"/>
          </w:tcPr>
          <w:p w14:paraId="4E8BEC64"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2.33 ± 0.57bc</w:t>
            </w:r>
          </w:p>
        </w:tc>
      </w:tr>
      <w:tr w:rsidR="00F426DB" w:rsidRPr="00797F7E" w14:paraId="3933ED4D" w14:textId="77777777" w:rsidTr="00F426DB">
        <w:tc>
          <w:tcPr>
            <w:cnfStyle w:val="001000000000" w:firstRow="0" w:lastRow="0" w:firstColumn="1" w:lastColumn="0" w:oddVBand="0" w:evenVBand="0" w:oddHBand="0" w:evenHBand="0" w:firstRowFirstColumn="0" w:firstRowLastColumn="0" w:lastRowFirstColumn="0" w:lastRowLastColumn="0"/>
            <w:tcW w:w="1188" w:type="dxa"/>
          </w:tcPr>
          <w:p w14:paraId="21CD3BA6" w14:textId="77777777" w:rsidR="00797F7E" w:rsidRPr="00797F7E" w:rsidRDefault="00797F7E" w:rsidP="00322A68">
            <w:pPr>
              <w:pStyle w:val="Body"/>
              <w:spacing w:after="0"/>
              <w:rPr>
                <w:rFonts w:ascii="Arial" w:hAnsi="Arial" w:cs="Arial"/>
              </w:rPr>
            </w:pPr>
            <w:r w:rsidRPr="00797F7E">
              <w:rPr>
                <w:rFonts w:ascii="Arial" w:hAnsi="Arial" w:cs="Arial"/>
              </w:rPr>
              <w:t>T3</w:t>
            </w:r>
          </w:p>
        </w:tc>
        <w:tc>
          <w:tcPr>
            <w:tcW w:w="1890" w:type="dxa"/>
          </w:tcPr>
          <w:p w14:paraId="597625C5"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223.67 ± 4.04a</w:t>
            </w:r>
          </w:p>
        </w:tc>
        <w:tc>
          <w:tcPr>
            <w:tcW w:w="1620" w:type="dxa"/>
          </w:tcPr>
          <w:p w14:paraId="2493E7EF"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21.06 ± 0.95a</w:t>
            </w:r>
          </w:p>
        </w:tc>
        <w:tc>
          <w:tcPr>
            <w:tcW w:w="1530" w:type="dxa"/>
          </w:tcPr>
          <w:p w14:paraId="59358ED8"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5.67 ± 0.57a</w:t>
            </w:r>
          </w:p>
        </w:tc>
        <w:tc>
          <w:tcPr>
            <w:tcW w:w="2160" w:type="dxa"/>
          </w:tcPr>
          <w:p w14:paraId="76B5D832"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3.33 ± 0.57ab</w:t>
            </w:r>
          </w:p>
        </w:tc>
      </w:tr>
      <w:tr w:rsidR="00F426DB" w:rsidRPr="00797F7E" w14:paraId="44E62AA0" w14:textId="77777777" w:rsidTr="00F42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1823759F" w14:textId="77777777" w:rsidR="00797F7E" w:rsidRPr="00797F7E" w:rsidRDefault="00797F7E" w:rsidP="00322A68">
            <w:pPr>
              <w:pStyle w:val="Body"/>
              <w:spacing w:after="0"/>
              <w:rPr>
                <w:rFonts w:ascii="Arial" w:hAnsi="Arial" w:cs="Arial"/>
              </w:rPr>
            </w:pPr>
            <w:r w:rsidRPr="00797F7E">
              <w:rPr>
                <w:rFonts w:ascii="Arial" w:hAnsi="Arial" w:cs="Arial"/>
              </w:rPr>
              <w:t>T4</w:t>
            </w:r>
          </w:p>
        </w:tc>
        <w:tc>
          <w:tcPr>
            <w:tcW w:w="1890" w:type="dxa"/>
            <w:shd w:val="clear" w:color="auto" w:fill="auto"/>
          </w:tcPr>
          <w:p w14:paraId="236415A7"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239.00 ± 18.24a</w:t>
            </w:r>
          </w:p>
        </w:tc>
        <w:tc>
          <w:tcPr>
            <w:tcW w:w="1620" w:type="dxa"/>
            <w:shd w:val="clear" w:color="auto" w:fill="auto"/>
          </w:tcPr>
          <w:p w14:paraId="519F66AF"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20.39 ± 1.72a</w:t>
            </w:r>
          </w:p>
        </w:tc>
        <w:tc>
          <w:tcPr>
            <w:tcW w:w="1530" w:type="dxa"/>
            <w:shd w:val="clear" w:color="auto" w:fill="auto"/>
          </w:tcPr>
          <w:p w14:paraId="6B331832"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5.33 ± 1.15a</w:t>
            </w:r>
          </w:p>
        </w:tc>
        <w:tc>
          <w:tcPr>
            <w:tcW w:w="2160" w:type="dxa"/>
            <w:shd w:val="clear" w:color="auto" w:fill="auto"/>
          </w:tcPr>
          <w:p w14:paraId="22342117"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4.33 ± 1.15a</w:t>
            </w:r>
          </w:p>
        </w:tc>
      </w:tr>
      <w:tr w:rsidR="00F426DB" w:rsidRPr="00797F7E" w14:paraId="37B0A61D" w14:textId="77777777" w:rsidTr="00F426DB">
        <w:tc>
          <w:tcPr>
            <w:cnfStyle w:val="001000000000" w:firstRow="0" w:lastRow="0" w:firstColumn="1" w:lastColumn="0" w:oddVBand="0" w:evenVBand="0" w:oddHBand="0" w:evenHBand="0" w:firstRowFirstColumn="0" w:firstRowLastColumn="0" w:lastRowFirstColumn="0" w:lastRowLastColumn="0"/>
            <w:tcW w:w="1188" w:type="dxa"/>
          </w:tcPr>
          <w:p w14:paraId="4CFE099A" w14:textId="77777777" w:rsidR="00797F7E" w:rsidRPr="00797F7E" w:rsidRDefault="00797F7E" w:rsidP="00322A68">
            <w:pPr>
              <w:pStyle w:val="Body"/>
              <w:spacing w:after="0"/>
              <w:rPr>
                <w:rFonts w:ascii="Arial" w:hAnsi="Arial" w:cs="Arial"/>
              </w:rPr>
            </w:pPr>
            <w:r w:rsidRPr="00A83E08">
              <w:rPr>
                <w:rFonts w:ascii="Arial" w:hAnsi="Arial" w:cs="Arial"/>
                <w:i/>
                <w:iCs/>
              </w:rPr>
              <w:t>P</w:t>
            </w:r>
            <w:r w:rsidRPr="00797F7E">
              <w:rPr>
                <w:rFonts w:ascii="Arial" w:hAnsi="Arial" w:cs="Arial"/>
              </w:rPr>
              <w:t>-value</w:t>
            </w:r>
          </w:p>
        </w:tc>
        <w:tc>
          <w:tcPr>
            <w:tcW w:w="1890" w:type="dxa"/>
          </w:tcPr>
          <w:p w14:paraId="48C32BBE" w14:textId="7E2FEC0E"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97F7E">
              <w:rPr>
                <w:rFonts w:ascii="Arial" w:hAnsi="Arial" w:cs="Arial"/>
                <w:b/>
                <w:bCs/>
              </w:rPr>
              <w:t>.000</w:t>
            </w:r>
          </w:p>
        </w:tc>
        <w:tc>
          <w:tcPr>
            <w:tcW w:w="1620" w:type="dxa"/>
          </w:tcPr>
          <w:p w14:paraId="0271E6DA" w14:textId="726A1120"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97F7E">
              <w:rPr>
                <w:rFonts w:ascii="Arial" w:hAnsi="Arial" w:cs="Arial"/>
                <w:b/>
                <w:bCs/>
              </w:rPr>
              <w:t>.000</w:t>
            </w:r>
          </w:p>
        </w:tc>
        <w:tc>
          <w:tcPr>
            <w:tcW w:w="1530" w:type="dxa"/>
          </w:tcPr>
          <w:p w14:paraId="66B1EFF7" w14:textId="642176CC"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97F7E">
              <w:rPr>
                <w:rFonts w:ascii="Arial" w:hAnsi="Arial" w:cs="Arial"/>
                <w:b/>
                <w:bCs/>
              </w:rPr>
              <w:t>.000</w:t>
            </w:r>
          </w:p>
        </w:tc>
        <w:tc>
          <w:tcPr>
            <w:tcW w:w="2160" w:type="dxa"/>
          </w:tcPr>
          <w:p w14:paraId="534FCE78" w14:textId="4B5EBCDE"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97F7E">
              <w:rPr>
                <w:rFonts w:ascii="Arial" w:hAnsi="Arial" w:cs="Arial"/>
                <w:b/>
                <w:bCs/>
              </w:rPr>
              <w:t>.003</w:t>
            </w:r>
          </w:p>
        </w:tc>
      </w:tr>
    </w:tbl>
    <w:p w14:paraId="0EE17C2E" w14:textId="2CDEEC0D" w:rsidR="00797F7E" w:rsidRDefault="00797F7E" w:rsidP="00797F7E">
      <w:pPr>
        <w:pStyle w:val="Body"/>
        <w:spacing w:after="0"/>
        <w:rPr>
          <w:rFonts w:ascii="Arial" w:hAnsi="Arial" w:cs="Arial"/>
          <w:i/>
          <w:iCs/>
          <w:sz w:val="18"/>
          <w:szCs w:val="18"/>
        </w:rPr>
      </w:pPr>
      <w:r w:rsidRPr="00F426DB">
        <w:rPr>
          <w:rFonts w:ascii="Arial" w:hAnsi="Arial" w:cs="Arial"/>
          <w:b/>
          <w:bCs/>
          <w:i/>
          <w:iCs/>
          <w:sz w:val="18"/>
          <w:szCs w:val="18"/>
        </w:rPr>
        <w:t>Legend:</w:t>
      </w:r>
      <w:r w:rsidRPr="00F426DB">
        <w:rPr>
          <w:rFonts w:ascii="Arial" w:hAnsi="Arial" w:cs="Arial"/>
          <w:i/>
          <w:iCs/>
          <w:sz w:val="18"/>
          <w:szCs w:val="18"/>
        </w:rPr>
        <w:t xml:space="preserve"> LHM = laying hen manure, T0 = control, T1 = 150 kg NPK + 50 kg urea, T2 = 2.5 t/ha of LHM, T3 = 5 t/ha of LHM, T4 = 7.5 t/ha of LHM</w:t>
      </w:r>
      <w:r w:rsidR="007D069A">
        <w:rPr>
          <w:rFonts w:ascii="Arial" w:hAnsi="Arial" w:cs="Arial"/>
          <w:i/>
          <w:iCs/>
          <w:sz w:val="18"/>
          <w:szCs w:val="18"/>
        </w:rPr>
        <w:t xml:space="preserve">, </w:t>
      </w:r>
      <w:bookmarkStart w:id="2" w:name="_Hlk228526195"/>
      <w:r w:rsidR="007D069A">
        <w:rPr>
          <w:rFonts w:ascii="Arial" w:hAnsi="Arial" w:cs="Arial"/>
          <w:i/>
          <w:iCs/>
          <w:sz w:val="18"/>
          <w:szCs w:val="18"/>
        </w:rPr>
        <w:t>means</w:t>
      </w:r>
      <w:r w:rsidR="007D069A" w:rsidRPr="007D069A">
        <w:rPr>
          <w:rFonts w:ascii="Arial" w:hAnsi="Arial" w:cs="Arial"/>
          <w:i/>
          <w:iCs/>
          <w:sz w:val="18"/>
          <w:szCs w:val="18"/>
        </w:rPr>
        <w:t xml:space="preserve"> followed by the same letter are not significantly different at the 5% significance level according to the Newman–Keuls test.</w:t>
      </w:r>
      <w:bookmarkEnd w:id="2"/>
    </w:p>
    <w:p w14:paraId="0D1BF506" w14:textId="77777777" w:rsidR="00F426DB" w:rsidRPr="00F426DB" w:rsidRDefault="00F426DB" w:rsidP="00797F7E">
      <w:pPr>
        <w:pStyle w:val="Body"/>
        <w:spacing w:after="0"/>
        <w:rPr>
          <w:rFonts w:ascii="Arial" w:hAnsi="Arial" w:cs="Arial"/>
          <w:i/>
          <w:iCs/>
          <w:sz w:val="18"/>
          <w:szCs w:val="18"/>
        </w:rPr>
      </w:pPr>
    </w:p>
    <w:p w14:paraId="7B65BBC9" w14:textId="6BB6DC61" w:rsidR="00797F7E" w:rsidRPr="00797F7E" w:rsidRDefault="00797F7E" w:rsidP="00797F7E">
      <w:pPr>
        <w:pStyle w:val="Body"/>
        <w:rPr>
          <w:rFonts w:ascii="Arial" w:hAnsi="Arial" w:cs="Arial"/>
          <w:b/>
          <w:bCs/>
        </w:rPr>
      </w:pPr>
      <w:r w:rsidRPr="00797F7E">
        <w:rPr>
          <w:rFonts w:ascii="Arial" w:hAnsi="Arial" w:cs="Arial"/>
          <w:b/>
          <w:bCs/>
        </w:rPr>
        <w:t>3.</w:t>
      </w:r>
      <w:r w:rsidR="00A83E08">
        <w:rPr>
          <w:rFonts w:ascii="Arial" w:hAnsi="Arial" w:cs="Arial"/>
          <w:b/>
          <w:bCs/>
        </w:rPr>
        <w:t>1.</w:t>
      </w:r>
      <w:r w:rsidRPr="00797F7E">
        <w:rPr>
          <w:rFonts w:ascii="Arial" w:hAnsi="Arial" w:cs="Arial"/>
          <w:b/>
          <w:bCs/>
        </w:rPr>
        <w:t>2 Residual effect of laying hen manure on the cycle parameters</w:t>
      </w:r>
    </w:p>
    <w:p w14:paraId="08E20E60" w14:textId="48050D53" w:rsidR="00797F7E" w:rsidRPr="00797F7E" w:rsidRDefault="00797F7E" w:rsidP="00D4024A">
      <w:pPr>
        <w:pStyle w:val="Body"/>
        <w:rPr>
          <w:rFonts w:ascii="Arial" w:hAnsi="Arial" w:cs="Arial"/>
        </w:rPr>
      </w:pPr>
      <w:r w:rsidRPr="00797F7E">
        <w:rPr>
          <w:rFonts w:ascii="Arial" w:hAnsi="Arial" w:cs="Arial"/>
        </w:rPr>
        <w:t xml:space="preserve">The </w:t>
      </w:r>
      <w:r w:rsidR="00FA3C13" w:rsidRPr="00FA3C13">
        <w:rPr>
          <w:rFonts w:ascii="Arial" w:hAnsi="Arial" w:cs="Arial"/>
        </w:rPr>
        <w:t xml:space="preserve">number of days to flowering onset </w:t>
      </w:r>
      <w:r w:rsidRPr="00797F7E">
        <w:rPr>
          <w:rFonts w:ascii="Arial" w:hAnsi="Arial" w:cs="Arial"/>
        </w:rPr>
        <w:t>of plants under treatments T2, T3, and T4 was significantly shorter compared to the control plants (T0) (Fig</w:t>
      </w:r>
      <w:r w:rsidR="002204CD">
        <w:rPr>
          <w:rFonts w:ascii="Arial" w:hAnsi="Arial" w:cs="Arial"/>
        </w:rPr>
        <w:t>.</w:t>
      </w:r>
      <w:r w:rsidRPr="00797F7E">
        <w:rPr>
          <w:rFonts w:ascii="Arial" w:hAnsi="Arial" w:cs="Arial"/>
        </w:rPr>
        <w:t xml:space="preserve"> 2). The earliest </w:t>
      </w:r>
      <w:r w:rsidR="00FA3C13" w:rsidRPr="00FA3C13">
        <w:rPr>
          <w:rFonts w:ascii="Arial" w:hAnsi="Arial" w:cs="Arial"/>
        </w:rPr>
        <w:t>number of days to flowering onset</w:t>
      </w:r>
      <w:r w:rsidRPr="00797F7E">
        <w:rPr>
          <w:rFonts w:ascii="Arial" w:hAnsi="Arial" w:cs="Arial"/>
        </w:rPr>
        <w:t xml:space="preserve"> was recorded under T2, T3, and T4, with 50.66, 49.66, and 49 days, respectively (Fig</w:t>
      </w:r>
      <w:r w:rsidR="002204CD">
        <w:rPr>
          <w:rFonts w:ascii="Arial" w:hAnsi="Arial" w:cs="Arial"/>
        </w:rPr>
        <w:t>.</w:t>
      </w:r>
      <w:r w:rsidRPr="00797F7E">
        <w:rPr>
          <w:rFonts w:ascii="Arial" w:hAnsi="Arial" w:cs="Arial"/>
        </w:rPr>
        <w:t xml:space="preserve"> 2). Statistical analysis revealed a significant difference among treatments for this parameter (</w:t>
      </w:r>
      <w:r w:rsidRPr="00797F7E">
        <w:rPr>
          <w:rFonts w:ascii="Arial" w:hAnsi="Arial" w:cs="Arial"/>
          <w:i/>
          <w:iCs/>
        </w:rPr>
        <w:t>P</w:t>
      </w:r>
      <w:r w:rsidRPr="00797F7E">
        <w:rPr>
          <w:rFonts w:ascii="Arial" w:hAnsi="Arial" w:cs="Arial"/>
        </w:rPr>
        <w:t xml:space="preserve"> = .006).</w:t>
      </w:r>
    </w:p>
    <w:p w14:paraId="634E3231" w14:textId="30A2FA7D" w:rsidR="00797F7E" w:rsidRPr="00797F7E" w:rsidRDefault="00797F7E" w:rsidP="00797F7E">
      <w:pPr>
        <w:pStyle w:val="Body"/>
        <w:spacing w:after="0"/>
        <w:rPr>
          <w:rFonts w:ascii="Arial" w:hAnsi="Arial" w:cs="Arial"/>
        </w:rPr>
      </w:pPr>
      <w:r w:rsidRPr="00797F7E">
        <w:rPr>
          <w:rFonts w:ascii="Arial" w:hAnsi="Arial" w:cs="Arial"/>
        </w:rPr>
        <w:t>Similarly, the time to reach 50% flowering was significantly reduced in plants receiving T2, T3, and T4 compared to the control (T0) (Fig</w:t>
      </w:r>
      <w:r w:rsidR="002204CD">
        <w:rPr>
          <w:rFonts w:ascii="Arial" w:hAnsi="Arial" w:cs="Arial"/>
        </w:rPr>
        <w:t>.</w:t>
      </w:r>
      <w:r w:rsidRPr="00797F7E">
        <w:rPr>
          <w:rFonts w:ascii="Arial" w:hAnsi="Arial" w:cs="Arial"/>
        </w:rPr>
        <w:t xml:space="preserve"> 2). The earliest 50% flowering was observed </w:t>
      </w:r>
      <w:r w:rsidRPr="00797F7E">
        <w:rPr>
          <w:rFonts w:ascii="Arial" w:hAnsi="Arial" w:cs="Arial"/>
        </w:rPr>
        <w:lastRenderedPageBreak/>
        <w:t>under T4, at 55 days. ANOVA results confirmed a significant effect of treatments on the 50% flowering period (</w:t>
      </w:r>
      <w:r w:rsidRPr="00797F7E">
        <w:rPr>
          <w:rFonts w:ascii="Arial" w:hAnsi="Arial" w:cs="Arial"/>
          <w:i/>
          <w:iCs/>
        </w:rPr>
        <w:t>P</w:t>
      </w:r>
      <w:r w:rsidRPr="00797F7E">
        <w:rPr>
          <w:rFonts w:ascii="Arial" w:hAnsi="Arial" w:cs="Arial"/>
        </w:rPr>
        <w:t xml:space="preserve"> = .000).</w:t>
      </w:r>
    </w:p>
    <w:p w14:paraId="49E88048" w14:textId="77777777" w:rsidR="00797F7E" w:rsidRPr="00797F7E" w:rsidRDefault="00797F7E" w:rsidP="00797F7E">
      <w:pPr>
        <w:pStyle w:val="Body"/>
        <w:rPr>
          <w:rFonts w:ascii="Arial" w:hAnsi="Arial" w:cs="Arial"/>
          <w:b/>
          <w:bCs/>
        </w:rPr>
      </w:pPr>
    </w:p>
    <w:p w14:paraId="778E1502" w14:textId="77777777" w:rsidR="00797F7E" w:rsidRPr="00797F7E" w:rsidRDefault="00797F7E" w:rsidP="00797F7E">
      <w:pPr>
        <w:pStyle w:val="Body"/>
        <w:spacing w:after="0"/>
        <w:rPr>
          <w:rFonts w:ascii="Arial" w:hAnsi="Arial" w:cs="Arial"/>
          <w:lang w:val="fr-FR"/>
        </w:rPr>
      </w:pPr>
      <w:r w:rsidRPr="00797F7E">
        <w:rPr>
          <w:rFonts w:ascii="Arial" w:hAnsi="Arial" w:cs="Arial"/>
          <w:noProof/>
        </w:rPr>
        <w:drawing>
          <wp:inline distT="0" distB="0" distL="0" distR="0" wp14:anchorId="627E00D5" wp14:editId="56EAC366">
            <wp:extent cx="5924550" cy="3495675"/>
            <wp:effectExtent l="0" t="0" r="0" b="0"/>
            <wp:docPr id="299965907" name="Graphique 1">
              <a:extLst xmlns:a="http://schemas.openxmlformats.org/drawingml/2006/main">
                <a:ext uri="{FF2B5EF4-FFF2-40B4-BE49-F238E27FC236}">
                  <a16:creationId xmlns:a16="http://schemas.microsoft.com/office/drawing/2014/main" id="{0FD51F86-8E85-2634-80F2-7673CD4DC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C8D92D" w14:textId="680A7574" w:rsidR="00797F7E" w:rsidRDefault="00797F7E" w:rsidP="002204CD">
      <w:pPr>
        <w:pStyle w:val="Body"/>
        <w:spacing w:before="240" w:after="0"/>
        <w:rPr>
          <w:rFonts w:ascii="Arial" w:hAnsi="Arial" w:cs="Arial"/>
          <w:b/>
          <w:bCs/>
        </w:rPr>
      </w:pPr>
      <w:r w:rsidRPr="002204CD">
        <w:rPr>
          <w:rFonts w:ascii="Arial" w:hAnsi="Arial" w:cs="Arial"/>
          <w:b/>
          <w:bCs/>
        </w:rPr>
        <w:t>Fig</w:t>
      </w:r>
      <w:r w:rsidR="002204CD" w:rsidRPr="002204CD">
        <w:rPr>
          <w:rFonts w:ascii="Arial" w:hAnsi="Arial" w:cs="Arial"/>
          <w:b/>
          <w:bCs/>
        </w:rPr>
        <w:t>.</w:t>
      </w:r>
      <w:r w:rsidRPr="002204CD">
        <w:rPr>
          <w:rFonts w:ascii="Arial" w:hAnsi="Arial" w:cs="Arial"/>
          <w:b/>
          <w:bCs/>
        </w:rPr>
        <w:t xml:space="preserve"> 2</w:t>
      </w:r>
      <w:r w:rsidR="002204CD" w:rsidRPr="002204CD">
        <w:rPr>
          <w:rFonts w:ascii="Arial" w:hAnsi="Arial" w:cs="Arial"/>
          <w:b/>
          <w:bCs/>
        </w:rPr>
        <w:t>.</w:t>
      </w:r>
      <w:r w:rsidRPr="002204CD">
        <w:rPr>
          <w:rFonts w:ascii="Arial" w:hAnsi="Arial" w:cs="Arial"/>
          <w:b/>
          <w:bCs/>
        </w:rPr>
        <w:t xml:space="preserve"> Residual effect of fertilizers on cycle parameters.</w:t>
      </w:r>
    </w:p>
    <w:p w14:paraId="03B8AF79" w14:textId="7E5A0088" w:rsidR="0078764E" w:rsidRPr="007D069A" w:rsidRDefault="0078764E" w:rsidP="002204CD">
      <w:pPr>
        <w:pStyle w:val="Body"/>
        <w:spacing w:before="240" w:after="0"/>
        <w:rPr>
          <w:rFonts w:ascii="Arial" w:hAnsi="Arial" w:cs="Arial"/>
          <w:i/>
          <w:iCs/>
          <w:sz w:val="18"/>
          <w:szCs w:val="18"/>
        </w:rPr>
      </w:pPr>
      <w:r w:rsidRPr="007D069A">
        <w:rPr>
          <w:rFonts w:ascii="Arial" w:hAnsi="Arial" w:cs="Arial"/>
          <w:i/>
          <w:iCs/>
          <w:sz w:val="18"/>
          <w:szCs w:val="18"/>
        </w:rPr>
        <w:t xml:space="preserve">Legend: </w:t>
      </w:r>
      <w:r w:rsidR="007D069A" w:rsidRPr="007D069A">
        <w:rPr>
          <w:rFonts w:ascii="Arial" w:hAnsi="Arial" w:cs="Arial"/>
          <w:i/>
          <w:iCs/>
          <w:sz w:val="18"/>
          <w:szCs w:val="18"/>
        </w:rPr>
        <w:t>Error bars followed by the same letter are not significantly different at the 5% significance level according to the Newman–Keuls test.</w:t>
      </w:r>
    </w:p>
    <w:p w14:paraId="1EF5668B" w14:textId="77777777" w:rsidR="002204CD" w:rsidRDefault="002204CD" w:rsidP="002204CD">
      <w:pPr>
        <w:pStyle w:val="Body"/>
        <w:spacing w:after="0"/>
        <w:rPr>
          <w:rFonts w:ascii="Arial" w:hAnsi="Arial" w:cs="Arial"/>
          <w:b/>
          <w:bCs/>
        </w:rPr>
      </w:pPr>
    </w:p>
    <w:p w14:paraId="7B71B0FA" w14:textId="03E55BDD" w:rsidR="00CA28B4" w:rsidRDefault="00CA28B4" w:rsidP="002204CD">
      <w:pPr>
        <w:pStyle w:val="Body"/>
        <w:spacing w:after="0"/>
        <w:rPr>
          <w:rFonts w:ascii="Arial" w:hAnsi="Arial" w:cs="Arial"/>
          <w:b/>
          <w:bCs/>
        </w:rPr>
      </w:pPr>
      <w:r>
        <w:rPr>
          <w:rFonts w:ascii="Arial" w:hAnsi="Arial" w:cs="Arial"/>
          <w:b/>
          <w:bCs/>
        </w:rPr>
        <w:t xml:space="preserve">3.1.3 </w:t>
      </w:r>
      <w:r w:rsidR="00717714" w:rsidRPr="00717714">
        <w:rPr>
          <w:rFonts w:ascii="Arial" w:hAnsi="Arial" w:cs="Arial"/>
          <w:b/>
          <w:bCs/>
        </w:rPr>
        <w:t>Pearson correlation matrix</w:t>
      </w:r>
    </w:p>
    <w:p w14:paraId="1863D599" w14:textId="77777777" w:rsidR="00744EF8" w:rsidRDefault="00744EF8" w:rsidP="002204CD">
      <w:pPr>
        <w:pStyle w:val="Body"/>
        <w:spacing w:after="0"/>
        <w:rPr>
          <w:rFonts w:ascii="Arial" w:hAnsi="Arial" w:cs="Arial"/>
          <w:b/>
          <w:bCs/>
        </w:rPr>
      </w:pPr>
    </w:p>
    <w:p w14:paraId="0B1A8382" w14:textId="7E78DE95" w:rsidR="00744EF8" w:rsidRDefault="00717714" w:rsidP="002204CD">
      <w:pPr>
        <w:pStyle w:val="Body"/>
        <w:spacing w:after="0"/>
        <w:rPr>
          <w:rFonts w:ascii="Arial" w:hAnsi="Arial" w:cs="Arial"/>
        </w:rPr>
      </w:pPr>
      <w:r w:rsidRPr="00717714">
        <w:rPr>
          <w:rFonts w:ascii="Arial" w:hAnsi="Arial" w:cs="Arial"/>
        </w:rPr>
        <w:t>Plant height was significantly correlated with stem collar diameter (r = 0.787) and tiller number (r = 0.808). However, it was significantly and negatively correlated with the number of days to 50% flowering (r = -0.834). Grain yield was significantly and positively correlated with the number of flowering tillers (r = 0.818), panicle length (r = 0.868), and panicle diameter (r = 0.980). In contrast, it was significantly and negatively correlated with the number of days to 50% flowering (r = -0.862)</w:t>
      </w:r>
      <w:r w:rsidR="00641039">
        <w:rPr>
          <w:rFonts w:ascii="Arial" w:hAnsi="Arial" w:cs="Arial"/>
        </w:rPr>
        <w:t xml:space="preserve"> (Table 4)</w:t>
      </w:r>
      <w:r w:rsidR="008347E1" w:rsidRPr="00717714">
        <w:rPr>
          <w:rFonts w:ascii="Arial" w:hAnsi="Arial" w:cs="Arial"/>
        </w:rPr>
        <w:t xml:space="preserve">. </w:t>
      </w:r>
    </w:p>
    <w:p w14:paraId="0561C62C" w14:textId="77777777" w:rsidR="00717714" w:rsidRDefault="00717714" w:rsidP="002204CD">
      <w:pPr>
        <w:pStyle w:val="Body"/>
        <w:spacing w:after="0"/>
        <w:rPr>
          <w:rFonts w:ascii="Arial" w:hAnsi="Arial" w:cs="Arial"/>
        </w:rPr>
      </w:pPr>
    </w:p>
    <w:p w14:paraId="2DBCB647" w14:textId="0281031C" w:rsidR="00717714" w:rsidRPr="00717714" w:rsidRDefault="00717714" w:rsidP="002204CD">
      <w:pPr>
        <w:pStyle w:val="Body"/>
        <w:spacing w:after="0"/>
        <w:rPr>
          <w:rFonts w:ascii="Arial" w:hAnsi="Arial" w:cs="Arial"/>
        </w:rPr>
      </w:pPr>
      <w:r>
        <w:rPr>
          <w:rFonts w:ascii="Arial" w:hAnsi="Arial" w:cs="Arial"/>
        </w:rPr>
        <w:t xml:space="preserve">Table 4. </w:t>
      </w:r>
      <w:r w:rsidR="00310ACA">
        <w:rPr>
          <w:rFonts w:ascii="Arial" w:hAnsi="Arial" w:cs="Arial"/>
          <w:b/>
          <w:bCs/>
        </w:rPr>
        <w:t>C</w:t>
      </w:r>
      <w:r w:rsidR="00310ACA" w:rsidRPr="00717714">
        <w:rPr>
          <w:rFonts w:ascii="Arial" w:hAnsi="Arial" w:cs="Arial"/>
          <w:b/>
          <w:bCs/>
        </w:rPr>
        <w:t>orrelation matrix</w:t>
      </w:r>
      <w:r w:rsidR="00310ACA">
        <w:rPr>
          <w:rFonts w:ascii="Arial" w:hAnsi="Arial" w:cs="Arial"/>
          <w:b/>
          <w:bCs/>
        </w:rPr>
        <w:t xml:space="preserve"> between the different parameters</w:t>
      </w:r>
    </w:p>
    <w:p w14:paraId="58E68876" w14:textId="77777777" w:rsidR="00CA28B4" w:rsidRPr="00717714" w:rsidRDefault="00CA28B4" w:rsidP="002204CD">
      <w:pPr>
        <w:pStyle w:val="Body"/>
        <w:spacing w:after="0"/>
        <w:rPr>
          <w:rFonts w:ascii="Arial" w:hAnsi="Arial" w:cs="Arial"/>
          <w:b/>
          <w:bCs/>
        </w:rPr>
      </w:pPr>
    </w:p>
    <w:tbl>
      <w:tblPr>
        <w:tblW w:w="9630" w:type="dxa"/>
        <w:tblInd w:w="108" w:type="dxa"/>
        <w:tblLook w:val="04A0" w:firstRow="1" w:lastRow="0" w:firstColumn="1" w:lastColumn="0" w:noHBand="0" w:noVBand="1"/>
      </w:tblPr>
      <w:tblGrid>
        <w:gridCol w:w="1250"/>
        <w:gridCol w:w="494"/>
        <w:gridCol w:w="717"/>
        <w:gridCol w:w="717"/>
        <w:gridCol w:w="717"/>
        <w:gridCol w:w="805"/>
        <w:gridCol w:w="1028"/>
        <w:gridCol w:w="862"/>
        <w:gridCol w:w="810"/>
        <w:gridCol w:w="810"/>
        <w:gridCol w:w="810"/>
        <w:gridCol w:w="810"/>
      </w:tblGrid>
      <w:tr w:rsidR="00E776EA" w:rsidRPr="00E776EA" w14:paraId="78D4F1D5" w14:textId="77777777" w:rsidTr="00744EF8">
        <w:trPr>
          <w:trHeight w:val="300"/>
        </w:trPr>
        <w:tc>
          <w:tcPr>
            <w:tcW w:w="1050" w:type="dxa"/>
            <w:tcBorders>
              <w:top w:val="single" w:sz="8" w:space="0" w:color="auto"/>
              <w:left w:val="nil"/>
              <w:bottom w:val="nil"/>
              <w:right w:val="nil"/>
            </w:tcBorders>
            <w:noWrap/>
            <w:vAlign w:val="bottom"/>
            <w:hideMark/>
          </w:tcPr>
          <w:p w14:paraId="5F0DCBB1" w14:textId="5638F113" w:rsidR="00E776EA" w:rsidRPr="00E776EA" w:rsidRDefault="0087018C" w:rsidP="00E776EA">
            <w:pPr>
              <w:jc w:val="center"/>
              <w:rPr>
                <w:rFonts w:ascii="Arial" w:hAnsi="Arial" w:cs="Arial"/>
                <w:color w:val="000000"/>
              </w:rPr>
            </w:pPr>
            <w:r>
              <w:rPr>
                <w:rFonts w:ascii="Arial" w:hAnsi="Arial" w:cs="Arial"/>
                <w:color w:val="000000"/>
              </w:rPr>
              <w:t>Parameters</w:t>
            </w:r>
          </w:p>
        </w:tc>
        <w:tc>
          <w:tcPr>
            <w:tcW w:w="494" w:type="dxa"/>
            <w:tcBorders>
              <w:top w:val="single" w:sz="8" w:space="0" w:color="auto"/>
              <w:left w:val="nil"/>
              <w:bottom w:val="nil"/>
              <w:right w:val="nil"/>
            </w:tcBorders>
            <w:noWrap/>
            <w:vAlign w:val="bottom"/>
            <w:hideMark/>
          </w:tcPr>
          <w:p w14:paraId="2F4C4009" w14:textId="77777777" w:rsidR="00E776EA" w:rsidRPr="00E776EA" w:rsidRDefault="00E776EA" w:rsidP="00E776EA">
            <w:pPr>
              <w:jc w:val="center"/>
              <w:rPr>
                <w:rFonts w:ascii="Arial" w:hAnsi="Arial" w:cs="Arial"/>
                <w:color w:val="000000"/>
              </w:rPr>
            </w:pPr>
            <w:r w:rsidRPr="00E776EA">
              <w:rPr>
                <w:rFonts w:ascii="Arial" w:hAnsi="Arial" w:cs="Arial"/>
                <w:color w:val="000000"/>
              </w:rPr>
              <w:t>PH</w:t>
            </w:r>
          </w:p>
        </w:tc>
        <w:tc>
          <w:tcPr>
            <w:tcW w:w="717" w:type="dxa"/>
            <w:tcBorders>
              <w:top w:val="single" w:sz="8" w:space="0" w:color="auto"/>
              <w:left w:val="nil"/>
              <w:bottom w:val="nil"/>
              <w:right w:val="nil"/>
            </w:tcBorders>
            <w:noWrap/>
            <w:vAlign w:val="bottom"/>
            <w:hideMark/>
          </w:tcPr>
          <w:p w14:paraId="1B4160FA" w14:textId="4D06B17C" w:rsidR="00E776EA" w:rsidRPr="00E776EA" w:rsidRDefault="001C3675" w:rsidP="00E776EA">
            <w:pPr>
              <w:jc w:val="center"/>
              <w:rPr>
                <w:rFonts w:ascii="Arial" w:hAnsi="Arial" w:cs="Arial"/>
                <w:color w:val="000000"/>
              </w:rPr>
            </w:pPr>
            <w:r>
              <w:rPr>
                <w:rFonts w:ascii="Arial" w:hAnsi="Arial" w:cs="Arial"/>
                <w:color w:val="000000"/>
              </w:rPr>
              <w:t>S</w:t>
            </w:r>
            <w:r w:rsidR="00E776EA" w:rsidRPr="00E776EA">
              <w:rPr>
                <w:rFonts w:ascii="Arial" w:hAnsi="Arial" w:cs="Arial"/>
                <w:color w:val="000000"/>
              </w:rPr>
              <w:t>C</w:t>
            </w:r>
            <w:r>
              <w:rPr>
                <w:rFonts w:ascii="Arial" w:hAnsi="Arial" w:cs="Arial"/>
                <w:color w:val="000000"/>
              </w:rPr>
              <w:t>D</w:t>
            </w:r>
          </w:p>
        </w:tc>
        <w:tc>
          <w:tcPr>
            <w:tcW w:w="717" w:type="dxa"/>
            <w:tcBorders>
              <w:top w:val="single" w:sz="8" w:space="0" w:color="auto"/>
              <w:left w:val="nil"/>
              <w:bottom w:val="nil"/>
              <w:right w:val="nil"/>
            </w:tcBorders>
            <w:noWrap/>
            <w:vAlign w:val="bottom"/>
            <w:hideMark/>
          </w:tcPr>
          <w:p w14:paraId="36322A24" w14:textId="4CE3D90C" w:rsidR="00E776EA" w:rsidRPr="00E776EA" w:rsidRDefault="00E776EA" w:rsidP="00E776EA">
            <w:pPr>
              <w:jc w:val="center"/>
              <w:rPr>
                <w:rFonts w:ascii="Arial" w:hAnsi="Arial" w:cs="Arial"/>
                <w:color w:val="000000"/>
              </w:rPr>
            </w:pPr>
            <w:r w:rsidRPr="00E776EA">
              <w:rPr>
                <w:rFonts w:ascii="Arial" w:hAnsi="Arial" w:cs="Arial"/>
                <w:color w:val="000000"/>
              </w:rPr>
              <w:t>T</w:t>
            </w:r>
            <w:r w:rsidR="001C3675">
              <w:rPr>
                <w:rFonts w:ascii="Arial" w:hAnsi="Arial" w:cs="Arial"/>
                <w:color w:val="000000"/>
              </w:rPr>
              <w:t>N</w:t>
            </w:r>
          </w:p>
        </w:tc>
        <w:tc>
          <w:tcPr>
            <w:tcW w:w="717" w:type="dxa"/>
            <w:tcBorders>
              <w:top w:val="single" w:sz="8" w:space="0" w:color="auto"/>
              <w:left w:val="nil"/>
              <w:bottom w:val="nil"/>
              <w:right w:val="nil"/>
            </w:tcBorders>
            <w:noWrap/>
            <w:vAlign w:val="bottom"/>
            <w:hideMark/>
          </w:tcPr>
          <w:p w14:paraId="3D878051" w14:textId="77777777" w:rsidR="00E776EA" w:rsidRPr="00E776EA" w:rsidRDefault="00E776EA" w:rsidP="00E776EA">
            <w:pPr>
              <w:jc w:val="center"/>
              <w:rPr>
                <w:rFonts w:ascii="Arial" w:hAnsi="Arial" w:cs="Arial"/>
                <w:color w:val="000000"/>
              </w:rPr>
            </w:pPr>
            <w:r w:rsidRPr="00E776EA">
              <w:rPr>
                <w:rFonts w:ascii="Arial" w:hAnsi="Arial" w:cs="Arial"/>
                <w:color w:val="000000"/>
              </w:rPr>
              <w:t>NTF</w:t>
            </w:r>
          </w:p>
        </w:tc>
        <w:tc>
          <w:tcPr>
            <w:tcW w:w="805" w:type="dxa"/>
            <w:tcBorders>
              <w:top w:val="single" w:sz="8" w:space="0" w:color="auto"/>
              <w:left w:val="nil"/>
              <w:bottom w:val="nil"/>
              <w:right w:val="nil"/>
            </w:tcBorders>
            <w:noWrap/>
            <w:vAlign w:val="bottom"/>
            <w:hideMark/>
          </w:tcPr>
          <w:p w14:paraId="12528A15" w14:textId="0F500211" w:rsidR="00E776EA" w:rsidRPr="00E776EA" w:rsidRDefault="00E776EA" w:rsidP="00E776EA">
            <w:pPr>
              <w:jc w:val="center"/>
              <w:rPr>
                <w:rFonts w:ascii="Arial" w:hAnsi="Arial" w:cs="Arial"/>
                <w:color w:val="000000"/>
              </w:rPr>
            </w:pPr>
            <w:r w:rsidRPr="00E776EA">
              <w:rPr>
                <w:rFonts w:ascii="Arial" w:hAnsi="Arial" w:cs="Arial"/>
                <w:color w:val="000000"/>
              </w:rPr>
              <w:t>NDF</w:t>
            </w:r>
            <w:r w:rsidR="00DA64E3">
              <w:rPr>
                <w:rFonts w:ascii="Arial" w:hAnsi="Arial" w:cs="Arial"/>
                <w:color w:val="000000"/>
              </w:rPr>
              <w:t>O</w:t>
            </w:r>
          </w:p>
        </w:tc>
        <w:tc>
          <w:tcPr>
            <w:tcW w:w="1028" w:type="dxa"/>
            <w:tcBorders>
              <w:top w:val="single" w:sz="8" w:space="0" w:color="auto"/>
              <w:left w:val="nil"/>
              <w:bottom w:val="nil"/>
              <w:right w:val="nil"/>
            </w:tcBorders>
            <w:noWrap/>
            <w:vAlign w:val="bottom"/>
            <w:hideMark/>
          </w:tcPr>
          <w:p w14:paraId="0387F544" w14:textId="77777777" w:rsidR="00E776EA" w:rsidRPr="00E776EA" w:rsidRDefault="00E776EA" w:rsidP="00E776EA">
            <w:pPr>
              <w:jc w:val="center"/>
              <w:rPr>
                <w:rFonts w:ascii="Arial" w:hAnsi="Arial" w:cs="Arial"/>
                <w:color w:val="000000"/>
              </w:rPr>
            </w:pPr>
            <w:r w:rsidRPr="00E776EA">
              <w:rPr>
                <w:rFonts w:ascii="Arial" w:hAnsi="Arial" w:cs="Arial"/>
                <w:color w:val="000000"/>
              </w:rPr>
              <w:t>ND50%F</w:t>
            </w:r>
          </w:p>
        </w:tc>
        <w:tc>
          <w:tcPr>
            <w:tcW w:w="862" w:type="dxa"/>
            <w:tcBorders>
              <w:top w:val="single" w:sz="8" w:space="0" w:color="auto"/>
              <w:left w:val="nil"/>
              <w:bottom w:val="nil"/>
              <w:right w:val="nil"/>
            </w:tcBorders>
            <w:noWrap/>
            <w:vAlign w:val="bottom"/>
            <w:hideMark/>
          </w:tcPr>
          <w:p w14:paraId="11D8D692" w14:textId="4256D137" w:rsidR="00E776EA" w:rsidRPr="00E776EA" w:rsidRDefault="00E776EA" w:rsidP="00E776EA">
            <w:pPr>
              <w:jc w:val="center"/>
              <w:rPr>
                <w:rFonts w:ascii="Arial" w:hAnsi="Arial" w:cs="Arial"/>
                <w:color w:val="000000"/>
              </w:rPr>
            </w:pPr>
            <w:r w:rsidRPr="00E776EA">
              <w:rPr>
                <w:rFonts w:ascii="Arial" w:hAnsi="Arial" w:cs="Arial"/>
                <w:color w:val="000000"/>
              </w:rPr>
              <w:t>P</w:t>
            </w:r>
            <w:r w:rsidR="00980BCE">
              <w:rPr>
                <w:rFonts w:ascii="Arial" w:hAnsi="Arial" w:cs="Arial"/>
                <w:color w:val="000000"/>
              </w:rPr>
              <w:t>L</w:t>
            </w:r>
          </w:p>
        </w:tc>
        <w:tc>
          <w:tcPr>
            <w:tcW w:w="810" w:type="dxa"/>
            <w:tcBorders>
              <w:top w:val="single" w:sz="8" w:space="0" w:color="auto"/>
              <w:left w:val="nil"/>
              <w:bottom w:val="nil"/>
              <w:right w:val="nil"/>
            </w:tcBorders>
            <w:noWrap/>
            <w:vAlign w:val="bottom"/>
            <w:hideMark/>
          </w:tcPr>
          <w:p w14:paraId="46AC609A" w14:textId="331262CE" w:rsidR="00E776EA" w:rsidRPr="00E776EA" w:rsidRDefault="00E776EA" w:rsidP="00E776EA">
            <w:pPr>
              <w:jc w:val="center"/>
              <w:rPr>
                <w:rFonts w:ascii="Arial" w:hAnsi="Arial" w:cs="Arial"/>
                <w:color w:val="000000"/>
              </w:rPr>
            </w:pPr>
            <w:r w:rsidRPr="00E776EA">
              <w:rPr>
                <w:rFonts w:ascii="Arial" w:hAnsi="Arial" w:cs="Arial"/>
                <w:color w:val="000000"/>
              </w:rPr>
              <w:t>P</w:t>
            </w:r>
            <w:r w:rsidR="00980BCE">
              <w:rPr>
                <w:rFonts w:ascii="Arial" w:hAnsi="Arial" w:cs="Arial"/>
                <w:color w:val="000000"/>
              </w:rPr>
              <w:t>D</w:t>
            </w:r>
          </w:p>
        </w:tc>
        <w:tc>
          <w:tcPr>
            <w:tcW w:w="810" w:type="dxa"/>
            <w:tcBorders>
              <w:top w:val="single" w:sz="8" w:space="0" w:color="auto"/>
              <w:left w:val="nil"/>
              <w:bottom w:val="nil"/>
              <w:right w:val="nil"/>
            </w:tcBorders>
            <w:noWrap/>
            <w:vAlign w:val="bottom"/>
            <w:hideMark/>
          </w:tcPr>
          <w:p w14:paraId="5E02CB4F" w14:textId="77777777" w:rsidR="00E776EA" w:rsidRPr="00E776EA" w:rsidRDefault="00E776EA" w:rsidP="00E776EA">
            <w:pPr>
              <w:jc w:val="center"/>
              <w:rPr>
                <w:rFonts w:ascii="Arial" w:hAnsi="Arial" w:cs="Arial"/>
                <w:color w:val="000000"/>
              </w:rPr>
            </w:pPr>
            <w:r w:rsidRPr="00E776EA">
              <w:rPr>
                <w:rFonts w:ascii="Arial" w:hAnsi="Arial" w:cs="Arial"/>
                <w:color w:val="000000"/>
              </w:rPr>
              <w:t>GY</w:t>
            </w:r>
          </w:p>
        </w:tc>
        <w:tc>
          <w:tcPr>
            <w:tcW w:w="810" w:type="dxa"/>
            <w:tcBorders>
              <w:top w:val="single" w:sz="8" w:space="0" w:color="auto"/>
              <w:left w:val="nil"/>
              <w:bottom w:val="nil"/>
              <w:right w:val="nil"/>
            </w:tcBorders>
            <w:noWrap/>
            <w:vAlign w:val="bottom"/>
            <w:hideMark/>
          </w:tcPr>
          <w:p w14:paraId="2C3E8DF6" w14:textId="77777777" w:rsidR="00E776EA" w:rsidRPr="00E776EA" w:rsidRDefault="00E776EA" w:rsidP="00E776EA">
            <w:pPr>
              <w:jc w:val="center"/>
              <w:rPr>
                <w:rFonts w:ascii="Arial" w:hAnsi="Arial" w:cs="Arial"/>
                <w:color w:val="000000"/>
              </w:rPr>
            </w:pPr>
            <w:r w:rsidRPr="00E776EA">
              <w:rPr>
                <w:rFonts w:ascii="Arial" w:hAnsi="Arial" w:cs="Arial"/>
                <w:color w:val="000000"/>
              </w:rPr>
              <w:t>SY</w:t>
            </w:r>
          </w:p>
        </w:tc>
        <w:tc>
          <w:tcPr>
            <w:tcW w:w="810" w:type="dxa"/>
            <w:tcBorders>
              <w:top w:val="single" w:sz="8" w:space="0" w:color="auto"/>
              <w:left w:val="nil"/>
              <w:bottom w:val="nil"/>
              <w:right w:val="nil"/>
            </w:tcBorders>
            <w:noWrap/>
            <w:vAlign w:val="bottom"/>
            <w:hideMark/>
          </w:tcPr>
          <w:p w14:paraId="76D8DE4C" w14:textId="77777777" w:rsidR="00E776EA" w:rsidRPr="00E776EA" w:rsidRDefault="00E776EA" w:rsidP="00E776EA">
            <w:pPr>
              <w:jc w:val="center"/>
              <w:rPr>
                <w:rFonts w:ascii="Arial" w:hAnsi="Arial" w:cs="Arial"/>
                <w:color w:val="000000"/>
              </w:rPr>
            </w:pPr>
            <w:r w:rsidRPr="00E776EA">
              <w:rPr>
                <w:rFonts w:ascii="Arial" w:hAnsi="Arial" w:cs="Arial"/>
                <w:color w:val="000000"/>
              </w:rPr>
              <w:t>HI</w:t>
            </w:r>
          </w:p>
        </w:tc>
      </w:tr>
      <w:tr w:rsidR="00E776EA" w:rsidRPr="00E776EA" w14:paraId="79FE5063" w14:textId="77777777" w:rsidTr="00744EF8">
        <w:trPr>
          <w:trHeight w:val="300"/>
        </w:trPr>
        <w:tc>
          <w:tcPr>
            <w:tcW w:w="1050" w:type="dxa"/>
            <w:tcBorders>
              <w:top w:val="single" w:sz="4" w:space="0" w:color="auto"/>
              <w:left w:val="nil"/>
              <w:bottom w:val="nil"/>
              <w:right w:val="nil"/>
            </w:tcBorders>
            <w:noWrap/>
            <w:vAlign w:val="bottom"/>
            <w:hideMark/>
          </w:tcPr>
          <w:p w14:paraId="1C4E6BB2" w14:textId="77777777" w:rsidR="00E776EA" w:rsidRPr="00E776EA" w:rsidRDefault="00E776EA" w:rsidP="00E776EA">
            <w:pPr>
              <w:rPr>
                <w:rFonts w:ascii="Arial" w:hAnsi="Arial" w:cs="Arial"/>
                <w:color w:val="000000"/>
              </w:rPr>
            </w:pPr>
            <w:r w:rsidRPr="00E776EA">
              <w:rPr>
                <w:rFonts w:ascii="Arial" w:hAnsi="Arial" w:cs="Arial"/>
                <w:color w:val="000000"/>
              </w:rPr>
              <w:t>PH</w:t>
            </w:r>
          </w:p>
        </w:tc>
        <w:tc>
          <w:tcPr>
            <w:tcW w:w="494" w:type="dxa"/>
            <w:tcBorders>
              <w:top w:val="single" w:sz="4" w:space="0" w:color="auto"/>
              <w:left w:val="nil"/>
              <w:bottom w:val="nil"/>
              <w:right w:val="nil"/>
            </w:tcBorders>
            <w:noWrap/>
            <w:vAlign w:val="bottom"/>
            <w:hideMark/>
          </w:tcPr>
          <w:p w14:paraId="07865420"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717" w:type="dxa"/>
            <w:tcBorders>
              <w:top w:val="single" w:sz="4" w:space="0" w:color="auto"/>
              <w:left w:val="nil"/>
              <w:bottom w:val="nil"/>
              <w:right w:val="nil"/>
            </w:tcBorders>
            <w:noWrap/>
            <w:vAlign w:val="bottom"/>
            <w:hideMark/>
          </w:tcPr>
          <w:p w14:paraId="4755F58A"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0.797</w:t>
            </w:r>
          </w:p>
        </w:tc>
        <w:tc>
          <w:tcPr>
            <w:tcW w:w="717" w:type="dxa"/>
            <w:tcBorders>
              <w:top w:val="single" w:sz="4" w:space="0" w:color="auto"/>
              <w:left w:val="nil"/>
              <w:bottom w:val="nil"/>
              <w:right w:val="nil"/>
            </w:tcBorders>
            <w:noWrap/>
            <w:vAlign w:val="bottom"/>
            <w:hideMark/>
          </w:tcPr>
          <w:p w14:paraId="47B98586"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0.808</w:t>
            </w:r>
          </w:p>
        </w:tc>
        <w:tc>
          <w:tcPr>
            <w:tcW w:w="717" w:type="dxa"/>
            <w:tcBorders>
              <w:top w:val="single" w:sz="4" w:space="0" w:color="auto"/>
              <w:left w:val="nil"/>
              <w:bottom w:val="nil"/>
              <w:right w:val="nil"/>
            </w:tcBorders>
            <w:noWrap/>
            <w:vAlign w:val="bottom"/>
            <w:hideMark/>
          </w:tcPr>
          <w:p w14:paraId="33445014"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0.832</w:t>
            </w:r>
          </w:p>
        </w:tc>
        <w:tc>
          <w:tcPr>
            <w:tcW w:w="805" w:type="dxa"/>
            <w:tcBorders>
              <w:top w:val="single" w:sz="4" w:space="0" w:color="auto"/>
              <w:left w:val="nil"/>
              <w:bottom w:val="nil"/>
              <w:right w:val="nil"/>
            </w:tcBorders>
            <w:noWrap/>
            <w:vAlign w:val="bottom"/>
            <w:hideMark/>
          </w:tcPr>
          <w:p w14:paraId="5EC0E668"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-0.637</w:t>
            </w:r>
          </w:p>
        </w:tc>
        <w:tc>
          <w:tcPr>
            <w:tcW w:w="1028" w:type="dxa"/>
            <w:tcBorders>
              <w:top w:val="single" w:sz="4" w:space="0" w:color="auto"/>
              <w:left w:val="nil"/>
              <w:bottom w:val="nil"/>
              <w:right w:val="nil"/>
            </w:tcBorders>
            <w:noWrap/>
            <w:vAlign w:val="bottom"/>
            <w:hideMark/>
          </w:tcPr>
          <w:p w14:paraId="29540723"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-0.834</w:t>
            </w:r>
          </w:p>
        </w:tc>
        <w:tc>
          <w:tcPr>
            <w:tcW w:w="862" w:type="dxa"/>
            <w:tcBorders>
              <w:top w:val="single" w:sz="4" w:space="0" w:color="auto"/>
              <w:left w:val="nil"/>
              <w:bottom w:val="nil"/>
              <w:right w:val="nil"/>
            </w:tcBorders>
            <w:noWrap/>
            <w:vAlign w:val="bottom"/>
            <w:hideMark/>
          </w:tcPr>
          <w:p w14:paraId="17A29E03"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0.763</w:t>
            </w:r>
          </w:p>
        </w:tc>
        <w:tc>
          <w:tcPr>
            <w:tcW w:w="810" w:type="dxa"/>
            <w:tcBorders>
              <w:top w:val="single" w:sz="4" w:space="0" w:color="auto"/>
              <w:left w:val="nil"/>
              <w:bottom w:val="nil"/>
              <w:right w:val="nil"/>
            </w:tcBorders>
            <w:noWrap/>
            <w:vAlign w:val="bottom"/>
            <w:hideMark/>
          </w:tcPr>
          <w:p w14:paraId="549499D4"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0.796</w:t>
            </w:r>
          </w:p>
        </w:tc>
        <w:tc>
          <w:tcPr>
            <w:tcW w:w="810" w:type="dxa"/>
            <w:tcBorders>
              <w:top w:val="single" w:sz="4" w:space="0" w:color="auto"/>
              <w:left w:val="nil"/>
              <w:bottom w:val="nil"/>
              <w:right w:val="nil"/>
            </w:tcBorders>
            <w:noWrap/>
            <w:vAlign w:val="bottom"/>
            <w:hideMark/>
          </w:tcPr>
          <w:p w14:paraId="63DE3175"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0.834</w:t>
            </w:r>
          </w:p>
        </w:tc>
        <w:tc>
          <w:tcPr>
            <w:tcW w:w="810" w:type="dxa"/>
            <w:tcBorders>
              <w:top w:val="single" w:sz="4" w:space="0" w:color="auto"/>
              <w:left w:val="nil"/>
              <w:bottom w:val="nil"/>
              <w:right w:val="nil"/>
            </w:tcBorders>
            <w:noWrap/>
            <w:vAlign w:val="bottom"/>
            <w:hideMark/>
          </w:tcPr>
          <w:p w14:paraId="5E1C2E5E"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0.811</w:t>
            </w:r>
          </w:p>
        </w:tc>
        <w:tc>
          <w:tcPr>
            <w:tcW w:w="810" w:type="dxa"/>
            <w:tcBorders>
              <w:top w:val="single" w:sz="4" w:space="0" w:color="auto"/>
              <w:left w:val="nil"/>
              <w:bottom w:val="nil"/>
              <w:right w:val="nil"/>
            </w:tcBorders>
            <w:noWrap/>
            <w:vAlign w:val="bottom"/>
            <w:hideMark/>
          </w:tcPr>
          <w:p w14:paraId="7A2BB652" w14:textId="77777777" w:rsidR="00E776EA" w:rsidRPr="00E776EA" w:rsidRDefault="00E776EA" w:rsidP="00E776EA">
            <w:pPr>
              <w:jc w:val="right"/>
              <w:rPr>
                <w:rFonts w:ascii="Arial" w:hAnsi="Arial" w:cs="Arial"/>
                <w:color w:val="000000"/>
              </w:rPr>
            </w:pPr>
            <w:r w:rsidRPr="00E776EA">
              <w:rPr>
                <w:rFonts w:ascii="Arial" w:hAnsi="Arial" w:cs="Arial"/>
                <w:color w:val="000000"/>
              </w:rPr>
              <w:t>0.440</w:t>
            </w:r>
          </w:p>
        </w:tc>
      </w:tr>
      <w:tr w:rsidR="00E776EA" w:rsidRPr="00E776EA" w14:paraId="1A2BC846" w14:textId="77777777" w:rsidTr="00744EF8">
        <w:trPr>
          <w:trHeight w:val="300"/>
        </w:trPr>
        <w:tc>
          <w:tcPr>
            <w:tcW w:w="1050" w:type="dxa"/>
            <w:tcBorders>
              <w:top w:val="nil"/>
              <w:left w:val="nil"/>
              <w:bottom w:val="nil"/>
              <w:right w:val="nil"/>
            </w:tcBorders>
            <w:noWrap/>
            <w:vAlign w:val="bottom"/>
            <w:hideMark/>
          </w:tcPr>
          <w:p w14:paraId="2C5ED5AF" w14:textId="362A7694" w:rsidR="00E776EA" w:rsidRPr="00E776EA" w:rsidRDefault="00DA64E3" w:rsidP="00E776EA">
            <w:pPr>
              <w:rPr>
                <w:rFonts w:ascii="Arial" w:hAnsi="Arial" w:cs="Arial"/>
                <w:color w:val="000000"/>
              </w:rPr>
            </w:pPr>
            <w:r>
              <w:rPr>
                <w:rFonts w:ascii="Arial" w:hAnsi="Arial" w:cs="Arial"/>
                <w:color w:val="000000"/>
              </w:rPr>
              <w:t>SCD</w:t>
            </w:r>
          </w:p>
        </w:tc>
        <w:tc>
          <w:tcPr>
            <w:tcW w:w="494" w:type="dxa"/>
            <w:tcBorders>
              <w:top w:val="nil"/>
              <w:left w:val="nil"/>
              <w:bottom w:val="nil"/>
              <w:right w:val="nil"/>
            </w:tcBorders>
            <w:noWrap/>
            <w:vAlign w:val="bottom"/>
          </w:tcPr>
          <w:p w14:paraId="4D386DD2" w14:textId="24C76ED6"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hideMark/>
          </w:tcPr>
          <w:p w14:paraId="08D9E390"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717" w:type="dxa"/>
            <w:tcBorders>
              <w:top w:val="nil"/>
              <w:left w:val="nil"/>
              <w:bottom w:val="nil"/>
              <w:right w:val="nil"/>
            </w:tcBorders>
            <w:noWrap/>
            <w:vAlign w:val="bottom"/>
            <w:hideMark/>
          </w:tcPr>
          <w:p w14:paraId="29FBCFB9"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0.895</w:t>
            </w:r>
          </w:p>
        </w:tc>
        <w:tc>
          <w:tcPr>
            <w:tcW w:w="717" w:type="dxa"/>
            <w:tcBorders>
              <w:top w:val="nil"/>
              <w:left w:val="nil"/>
              <w:bottom w:val="nil"/>
              <w:right w:val="nil"/>
            </w:tcBorders>
            <w:noWrap/>
            <w:vAlign w:val="bottom"/>
            <w:hideMark/>
          </w:tcPr>
          <w:p w14:paraId="3C5CBFD4"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0.799</w:t>
            </w:r>
          </w:p>
        </w:tc>
        <w:tc>
          <w:tcPr>
            <w:tcW w:w="805" w:type="dxa"/>
            <w:tcBorders>
              <w:top w:val="nil"/>
              <w:left w:val="nil"/>
              <w:bottom w:val="nil"/>
              <w:right w:val="nil"/>
            </w:tcBorders>
            <w:noWrap/>
            <w:vAlign w:val="bottom"/>
            <w:hideMark/>
          </w:tcPr>
          <w:p w14:paraId="4D37F6C4"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-0.813</w:t>
            </w:r>
          </w:p>
        </w:tc>
        <w:tc>
          <w:tcPr>
            <w:tcW w:w="1028" w:type="dxa"/>
            <w:tcBorders>
              <w:top w:val="nil"/>
              <w:left w:val="nil"/>
              <w:bottom w:val="nil"/>
              <w:right w:val="nil"/>
            </w:tcBorders>
            <w:noWrap/>
            <w:vAlign w:val="bottom"/>
            <w:hideMark/>
          </w:tcPr>
          <w:p w14:paraId="7702935E"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-0.837</w:t>
            </w:r>
          </w:p>
        </w:tc>
        <w:tc>
          <w:tcPr>
            <w:tcW w:w="862" w:type="dxa"/>
            <w:tcBorders>
              <w:top w:val="nil"/>
              <w:left w:val="nil"/>
              <w:bottom w:val="nil"/>
              <w:right w:val="nil"/>
            </w:tcBorders>
            <w:noWrap/>
            <w:vAlign w:val="bottom"/>
            <w:hideMark/>
          </w:tcPr>
          <w:p w14:paraId="38DC7901"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0.841</w:t>
            </w:r>
          </w:p>
        </w:tc>
        <w:tc>
          <w:tcPr>
            <w:tcW w:w="810" w:type="dxa"/>
            <w:tcBorders>
              <w:top w:val="nil"/>
              <w:left w:val="nil"/>
              <w:bottom w:val="nil"/>
              <w:right w:val="nil"/>
            </w:tcBorders>
            <w:noWrap/>
            <w:vAlign w:val="bottom"/>
            <w:hideMark/>
          </w:tcPr>
          <w:p w14:paraId="7D1AFEF1"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0.908</w:t>
            </w:r>
          </w:p>
        </w:tc>
        <w:tc>
          <w:tcPr>
            <w:tcW w:w="810" w:type="dxa"/>
            <w:tcBorders>
              <w:top w:val="nil"/>
              <w:left w:val="nil"/>
              <w:bottom w:val="nil"/>
              <w:right w:val="nil"/>
            </w:tcBorders>
            <w:noWrap/>
            <w:vAlign w:val="bottom"/>
            <w:hideMark/>
          </w:tcPr>
          <w:p w14:paraId="0FB34CC1"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0.901</w:t>
            </w:r>
          </w:p>
        </w:tc>
        <w:tc>
          <w:tcPr>
            <w:tcW w:w="810" w:type="dxa"/>
            <w:tcBorders>
              <w:top w:val="nil"/>
              <w:left w:val="nil"/>
              <w:bottom w:val="nil"/>
              <w:right w:val="nil"/>
            </w:tcBorders>
            <w:noWrap/>
            <w:vAlign w:val="bottom"/>
            <w:hideMark/>
          </w:tcPr>
          <w:p w14:paraId="6C943C7C"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0.836</w:t>
            </w:r>
          </w:p>
        </w:tc>
        <w:tc>
          <w:tcPr>
            <w:tcW w:w="810" w:type="dxa"/>
            <w:tcBorders>
              <w:top w:val="nil"/>
              <w:left w:val="nil"/>
              <w:bottom w:val="nil"/>
              <w:right w:val="nil"/>
            </w:tcBorders>
            <w:noWrap/>
            <w:vAlign w:val="bottom"/>
            <w:hideMark/>
          </w:tcPr>
          <w:p w14:paraId="0DE15FFB"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0.595</w:t>
            </w:r>
          </w:p>
        </w:tc>
      </w:tr>
      <w:tr w:rsidR="00E776EA" w:rsidRPr="00E776EA" w14:paraId="7D4BF5B7" w14:textId="77777777" w:rsidTr="00744EF8">
        <w:trPr>
          <w:trHeight w:val="300"/>
        </w:trPr>
        <w:tc>
          <w:tcPr>
            <w:tcW w:w="1050" w:type="dxa"/>
            <w:tcBorders>
              <w:top w:val="nil"/>
              <w:left w:val="nil"/>
              <w:bottom w:val="nil"/>
              <w:right w:val="nil"/>
            </w:tcBorders>
            <w:noWrap/>
            <w:vAlign w:val="bottom"/>
            <w:hideMark/>
          </w:tcPr>
          <w:p w14:paraId="1CAEDFBA" w14:textId="1387868E" w:rsidR="00E776EA" w:rsidRPr="00E776EA" w:rsidRDefault="00E776EA" w:rsidP="00E776EA">
            <w:pPr>
              <w:rPr>
                <w:rFonts w:ascii="Arial" w:hAnsi="Arial" w:cs="Arial"/>
                <w:color w:val="000000"/>
              </w:rPr>
            </w:pPr>
            <w:r w:rsidRPr="00E776EA">
              <w:rPr>
                <w:rFonts w:ascii="Arial" w:hAnsi="Arial" w:cs="Arial"/>
                <w:color w:val="000000"/>
              </w:rPr>
              <w:t>T</w:t>
            </w:r>
            <w:r w:rsidR="00DA64E3">
              <w:rPr>
                <w:rFonts w:ascii="Arial" w:hAnsi="Arial" w:cs="Arial"/>
                <w:color w:val="000000"/>
              </w:rPr>
              <w:t>N</w:t>
            </w:r>
          </w:p>
        </w:tc>
        <w:tc>
          <w:tcPr>
            <w:tcW w:w="494" w:type="dxa"/>
            <w:tcBorders>
              <w:top w:val="nil"/>
              <w:left w:val="nil"/>
              <w:bottom w:val="nil"/>
              <w:right w:val="nil"/>
            </w:tcBorders>
            <w:noWrap/>
            <w:vAlign w:val="bottom"/>
          </w:tcPr>
          <w:p w14:paraId="7BC9A22E" w14:textId="11F3BCCB"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015FC716" w14:textId="45FE0062"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hideMark/>
          </w:tcPr>
          <w:p w14:paraId="52653A95"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717" w:type="dxa"/>
            <w:tcBorders>
              <w:top w:val="nil"/>
              <w:left w:val="nil"/>
              <w:bottom w:val="nil"/>
              <w:right w:val="nil"/>
            </w:tcBorders>
            <w:noWrap/>
            <w:vAlign w:val="bottom"/>
            <w:hideMark/>
          </w:tcPr>
          <w:p w14:paraId="10854AB0"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0.847</w:t>
            </w:r>
          </w:p>
        </w:tc>
        <w:tc>
          <w:tcPr>
            <w:tcW w:w="805" w:type="dxa"/>
            <w:tcBorders>
              <w:top w:val="nil"/>
              <w:left w:val="nil"/>
              <w:bottom w:val="nil"/>
              <w:right w:val="nil"/>
            </w:tcBorders>
            <w:noWrap/>
            <w:vAlign w:val="bottom"/>
            <w:hideMark/>
          </w:tcPr>
          <w:p w14:paraId="648EF7BC"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-0.694</w:t>
            </w:r>
          </w:p>
        </w:tc>
        <w:tc>
          <w:tcPr>
            <w:tcW w:w="1028" w:type="dxa"/>
            <w:tcBorders>
              <w:top w:val="nil"/>
              <w:left w:val="nil"/>
              <w:bottom w:val="nil"/>
              <w:right w:val="nil"/>
            </w:tcBorders>
            <w:noWrap/>
            <w:vAlign w:val="bottom"/>
            <w:hideMark/>
          </w:tcPr>
          <w:p w14:paraId="5BC2D12B"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-0.770</w:t>
            </w:r>
          </w:p>
        </w:tc>
        <w:tc>
          <w:tcPr>
            <w:tcW w:w="862" w:type="dxa"/>
            <w:tcBorders>
              <w:top w:val="nil"/>
              <w:left w:val="nil"/>
              <w:bottom w:val="nil"/>
              <w:right w:val="nil"/>
            </w:tcBorders>
            <w:noWrap/>
            <w:vAlign w:val="bottom"/>
            <w:hideMark/>
          </w:tcPr>
          <w:p w14:paraId="5BDF51B6"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0.787</w:t>
            </w:r>
          </w:p>
        </w:tc>
        <w:tc>
          <w:tcPr>
            <w:tcW w:w="810" w:type="dxa"/>
            <w:tcBorders>
              <w:top w:val="nil"/>
              <w:left w:val="nil"/>
              <w:bottom w:val="nil"/>
              <w:right w:val="nil"/>
            </w:tcBorders>
            <w:noWrap/>
            <w:vAlign w:val="bottom"/>
            <w:hideMark/>
          </w:tcPr>
          <w:p w14:paraId="214E8CF5"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0.918</w:t>
            </w:r>
          </w:p>
        </w:tc>
        <w:tc>
          <w:tcPr>
            <w:tcW w:w="810" w:type="dxa"/>
            <w:tcBorders>
              <w:top w:val="nil"/>
              <w:left w:val="nil"/>
              <w:bottom w:val="nil"/>
              <w:right w:val="nil"/>
            </w:tcBorders>
            <w:noWrap/>
            <w:vAlign w:val="bottom"/>
            <w:hideMark/>
          </w:tcPr>
          <w:p w14:paraId="5D8264AD"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0.895</w:t>
            </w:r>
          </w:p>
        </w:tc>
        <w:tc>
          <w:tcPr>
            <w:tcW w:w="810" w:type="dxa"/>
            <w:tcBorders>
              <w:top w:val="nil"/>
              <w:left w:val="nil"/>
              <w:bottom w:val="nil"/>
              <w:right w:val="nil"/>
            </w:tcBorders>
            <w:noWrap/>
            <w:vAlign w:val="bottom"/>
            <w:hideMark/>
          </w:tcPr>
          <w:p w14:paraId="6E5D1A3C"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0.830</w:t>
            </w:r>
          </w:p>
        </w:tc>
        <w:tc>
          <w:tcPr>
            <w:tcW w:w="810" w:type="dxa"/>
            <w:tcBorders>
              <w:top w:val="nil"/>
              <w:left w:val="nil"/>
              <w:bottom w:val="nil"/>
              <w:right w:val="nil"/>
            </w:tcBorders>
            <w:noWrap/>
            <w:vAlign w:val="bottom"/>
            <w:hideMark/>
          </w:tcPr>
          <w:p w14:paraId="04C46464" w14:textId="77777777" w:rsidR="00E776EA" w:rsidRPr="00E776EA" w:rsidRDefault="00E776EA" w:rsidP="00E776EA">
            <w:pPr>
              <w:jc w:val="right"/>
              <w:rPr>
                <w:rFonts w:ascii="Arial" w:hAnsi="Arial" w:cs="Arial"/>
                <w:color w:val="000000"/>
              </w:rPr>
            </w:pPr>
            <w:r w:rsidRPr="00E776EA">
              <w:rPr>
                <w:rFonts w:ascii="Arial" w:hAnsi="Arial" w:cs="Arial"/>
                <w:color w:val="000000"/>
              </w:rPr>
              <w:t>0.498</w:t>
            </w:r>
          </w:p>
        </w:tc>
      </w:tr>
      <w:tr w:rsidR="00E776EA" w:rsidRPr="00E776EA" w14:paraId="39835D02" w14:textId="77777777" w:rsidTr="00744EF8">
        <w:trPr>
          <w:trHeight w:val="300"/>
        </w:trPr>
        <w:tc>
          <w:tcPr>
            <w:tcW w:w="1050" w:type="dxa"/>
            <w:tcBorders>
              <w:top w:val="nil"/>
              <w:left w:val="nil"/>
              <w:bottom w:val="nil"/>
              <w:right w:val="nil"/>
            </w:tcBorders>
            <w:noWrap/>
            <w:vAlign w:val="bottom"/>
            <w:hideMark/>
          </w:tcPr>
          <w:p w14:paraId="661E5FD2" w14:textId="77777777" w:rsidR="00E776EA" w:rsidRPr="00E776EA" w:rsidRDefault="00E776EA" w:rsidP="00E776EA">
            <w:pPr>
              <w:rPr>
                <w:rFonts w:ascii="Arial" w:hAnsi="Arial" w:cs="Arial"/>
                <w:color w:val="000000"/>
              </w:rPr>
            </w:pPr>
            <w:r w:rsidRPr="00E776EA">
              <w:rPr>
                <w:rFonts w:ascii="Arial" w:hAnsi="Arial" w:cs="Arial"/>
                <w:color w:val="000000"/>
              </w:rPr>
              <w:t>NTF</w:t>
            </w:r>
          </w:p>
        </w:tc>
        <w:tc>
          <w:tcPr>
            <w:tcW w:w="494" w:type="dxa"/>
            <w:tcBorders>
              <w:top w:val="nil"/>
              <w:left w:val="nil"/>
              <w:bottom w:val="nil"/>
              <w:right w:val="nil"/>
            </w:tcBorders>
            <w:noWrap/>
            <w:vAlign w:val="bottom"/>
          </w:tcPr>
          <w:p w14:paraId="364EDC52" w14:textId="4E9E824D"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0A671840" w14:textId="3C619C79"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3019F64A" w14:textId="3900858D"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hideMark/>
          </w:tcPr>
          <w:p w14:paraId="6F0A40B5"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805" w:type="dxa"/>
            <w:tcBorders>
              <w:top w:val="nil"/>
              <w:left w:val="nil"/>
              <w:bottom w:val="nil"/>
              <w:right w:val="nil"/>
            </w:tcBorders>
            <w:noWrap/>
            <w:vAlign w:val="bottom"/>
            <w:hideMark/>
          </w:tcPr>
          <w:p w14:paraId="7761590F"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-0.693</w:t>
            </w:r>
          </w:p>
        </w:tc>
        <w:tc>
          <w:tcPr>
            <w:tcW w:w="1028" w:type="dxa"/>
            <w:tcBorders>
              <w:top w:val="nil"/>
              <w:left w:val="nil"/>
              <w:bottom w:val="nil"/>
              <w:right w:val="nil"/>
            </w:tcBorders>
            <w:noWrap/>
            <w:vAlign w:val="bottom"/>
            <w:hideMark/>
          </w:tcPr>
          <w:p w14:paraId="6CA297A5"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-0.825</w:t>
            </w:r>
          </w:p>
        </w:tc>
        <w:tc>
          <w:tcPr>
            <w:tcW w:w="862" w:type="dxa"/>
            <w:tcBorders>
              <w:top w:val="nil"/>
              <w:left w:val="nil"/>
              <w:bottom w:val="nil"/>
              <w:right w:val="nil"/>
            </w:tcBorders>
            <w:noWrap/>
            <w:vAlign w:val="bottom"/>
            <w:hideMark/>
          </w:tcPr>
          <w:p w14:paraId="34A0973E"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0.772</w:t>
            </w:r>
          </w:p>
        </w:tc>
        <w:tc>
          <w:tcPr>
            <w:tcW w:w="810" w:type="dxa"/>
            <w:tcBorders>
              <w:top w:val="nil"/>
              <w:left w:val="nil"/>
              <w:bottom w:val="nil"/>
              <w:right w:val="nil"/>
            </w:tcBorders>
            <w:noWrap/>
            <w:vAlign w:val="bottom"/>
            <w:hideMark/>
          </w:tcPr>
          <w:p w14:paraId="0FD6FA92"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0.842</w:t>
            </w:r>
          </w:p>
        </w:tc>
        <w:tc>
          <w:tcPr>
            <w:tcW w:w="810" w:type="dxa"/>
            <w:tcBorders>
              <w:top w:val="nil"/>
              <w:left w:val="nil"/>
              <w:bottom w:val="nil"/>
              <w:right w:val="nil"/>
            </w:tcBorders>
            <w:noWrap/>
            <w:vAlign w:val="bottom"/>
            <w:hideMark/>
          </w:tcPr>
          <w:p w14:paraId="45576CBC"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0.818</w:t>
            </w:r>
          </w:p>
        </w:tc>
        <w:tc>
          <w:tcPr>
            <w:tcW w:w="810" w:type="dxa"/>
            <w:tcBorders>
              <w:top w:val="nil"/>
              <w:left w:val="nil"/>
              <w:bottom w:val="nil"/>
              <w:right w:val="nil"/>
            </w:tcBorders>
            <w:noWrap/>
            <w:vAlign w:val="bottom"/>
            <w:hideMark/>
          </w:tcPr>
          <w:p w14:paraId="45F33CE4"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0.738</w:t>
            </w:r>
          </w:p>
        </w:tc>
        <w:tc>
          <w:tcPr>
            <w:tcW w:w="810" w:type="dxa"/>
            <w:tcBorders>
              <w:top w:val="nil"/>
              <w:left w:val="nil"/>
              <w:bottom w:val="nil"/>
              <w:right w:val="nil"/>
            </w:tcBorders>
            <w:noWrap/>
            <w:vAlign w:val="bottom"/>
            <w:hideMark/>
          </w:tcPr>
          <w:p w14:paraId="1F73D371" w14:textId="77777777" w:rsidR="00E776EA" w:rsidRPr="00E776EA" w:rsidRDefault="00E776EA" w:rsidP="00E776EA">
            <w:pPr>
              <w:jc w:val="right"/>
              <w:rPr>
                <w:rFonts w:ascii="Arial" w:hAnsi="Arial" w:cs="Arial"/>
                <w:color w:val="000000"/>
              </w:rPr>
            </w:pPr>
            <w:r w:rsidRPr="00E776EA">
              <w:rPr>
                <w:rFonts w:ascii="Arial" w:hAnsi="Arial" w:cs="Arial"/>
                <w:color w:val="000000"/>
              </w:rPr>
              <w:t>0.532</w:t>
            </w:r>
          </w:p>
        </w:tc>
      </w:tr>
      <w:tr w:rsidR="00E776EA" w:rsidRPr="00E776EA" w14:paraId="346290E2" w14:textId="77777777" w:rsidTr="00744EF8">
        <w:trPr>
          <w:trHeight w:val="300"/>
        </w:trPr>
        <w:tc>
          <w:tcPr>
            <w:tcW w:w="1050" w:type="dxa"/>
            <w:tcBorders>
              <w:top w:val="nil"/>
              <w:left w:val="nil"/>
              <w:bottom w:val="nil"/>
              <w:right w:val="nil"/>
            </w:tcBorders>
            <w:noWrap/>
            <w:vAlign w:val="bottom"/>
            <w:hideMark/>
          </w:tcPr>
          <w:p w14:paraId="7F93F016" w14:textId="5EA3A09F" w:rsidR="00E776EA" w:rsidRPr="00E776EA" w:rsidRDefault="00E776EA" w:rsidP="00E776EA">
            <w:pPr>
              <w:rPr>
                <w:rFonts w:ascii="Arial" w:hAnsi="Arial" w:cs="Arial"/>
                <w:color w:val="000000"/>
              </w:rPr>
            </w:pPr>
            <w:r w:rsidRPr="00E776EA">
              <w:rPr>
                <w:rFonts w:ascii="Arial" w:hAnsi="Arial" w:cs="Arial"/>
                <w:color w:val="000000"/>
              </w:rPr>
              <w:t>NDF</w:t>
            </w:r>
            <w:r w:rsidR="00DA64E3">
              <w:rPr>
                <w:rFonts w:ascii="Arial" w:hAnsi="Arial" w:cs="Arial"/>
                <w:color w:val="000000"/>
              </w:rPr>
              <w:t>O</w:t>
            </w:r>
          </w:p>
        </w:tc>
        <w:tc>
          <w:tcPr>
            <w:tcW w:w="494" w:type="dxa"/>
            <w:tcBorders>
              <w:top w:val="nil"/>
              <w:left w:val="nil"/>
              <w:bottom w:val="nil"/>
              <w:right w:val="nil"/>
            </w:tcBorders>
            <w:noWrap/>
            <w:vAlign w:val="bottom"/>
          </w:tcPr>
          <w:p w14:paraId="696E7E71" w14:textId="31F9938C"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4EF59808" w14:textId="07BCA4E1"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3ED642B9" w14:textId="64103BE0"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3CCA888D" w14:textId="1A055473" w:rsidR="00E776EA" w:rsidRPr="00E776EA" w:rsidRDefault="00E776EA" w:rsidP="00E776EA">
            <w:pPr>
              <w:jc w:val="right"/>
              <w:rPr>
                <w:rFonts w:ascii="Arial" w:hAnsi="Arial" w:cs="Arial"/>
                <w:b/>
                <w:bCs/>
                <w:color w:val="000000"/>
              </w:rPr>
            </w:pPr>
          </w:p>
        </w:tc>
        <w:tc>
          <w:tcPr>
            <w:tcW w:w="805" w:type="dxa"/>
            <w:tcBorders>
              <w:top w:val="nil"/>
              <w:left w:val="nil"/>
              <w:bottom w:val="nil"/>
              <w:right w:val="nil"/>
            </w:tcBorders>
            <w:noWrap/>
            <w:vAlign w:val="bottom"/>
            <w:hideMark/>
          </w:tcPr>
          <w:p w14:paraId="40E55ECB"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1028" w:type="dxa"/>
            <w:tcBorders>
              <w:top w:val="nil"/>
              <w:left w:val="nil"/>
              <w:bottom w:val="nil"/>
              <w:right w:val="nil"/>
            </w:tcBorders>
            <w:noWrap/>
            <w:vAlign w:val="bottom"/>
            <w:hideMark/>
          </w:tcPr>
          <w:p w14:paraId="3A7255DB"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0.701</w:t>
            </w:r>
          </w:p>
        </w:tc>
        <w:tc>
          <w:tcPr>
            <w:tcW w:w="862" w:type="dxa"/>
            <w:tcBorders>
              <w:top w:val="nil"/>
              <w:left w:val="nil"/>
              <w:bottom w:val="nil"/>
              <w:right w:val="nil"/>
            </w:tcBorders>
            <w:noWrap/>
            <w:vAlign w:val="bottom"/>
            <w:hideMark/>
          </w:tcPr>
          <w:p w14:paraId="4F5490AB"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-0.841</w:t>
            </w:r>
          </w:p>
        </w:tc>
        <w:tc>
          <w:tcPr>
            <w:tcW w:w="810" w:type="dxa"/>
            <w:tcBorders>
              <w:top w:val="nil"/>
              <w:left w:val="nil"/>
              <w:bottom w:val="nil"/>
              <w:right w:val="nil"/>
            </w:tcBorders>
            <w:noWrap/>
            <w:vAlign w:val="bottom"/>
            <w:hideMark/>
          </w:tcPr>
          <w:p w14:paraId="7A3ECF5A"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-0.771</w:t>
            </w:r>
          </w:p>
        </w:tc>
        <w:tc>
          <w:tcPr>
            <w:tcW w:w="810" w:type="dxa"/>
            <w:tcBorders>
              <w:top w:val="nil"/>
              <w:left w:val="nil"/>
              <w:bottom w:val="nil"/>
              <w:right w:val="nil"/>
            </w:tcBorders>
            <w:noWrap/>
            <w:vAlign w:val="bottom"/>
            <w:hideMark/>
          </w:tcPr>
          <w:p w14:paraId="56A5AABA"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-0.796</w:t>
            </w:r>
          </w:p>
        </w:tc>
        <w:tc>
          <w:tcPr>
            <w:tcW w:w="810" w:type="dxa"/>
            <w:tcBorders>
              <w:top w:val="nil"/>
              <w:left w:val="nil"/>
              <w:bottom w:val="nil"/>
              <w:right w:val="nil"/>
            </w:tcBorders>
            <w:noWrap/>
            <w:vAlign w:val="bottom"/>
            <w:hideMark/>
          </w:tcPr>
          <w:p w14:paraId="2C93854D"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-0.766</w:t>
            </w:r>
          </w:p>
        </w:tc>
        <w:tc>
          <w:tcPr>
            <w:tcW w:w="810" w:type="dxa"/>
            <w:tcBorders>
              <w:top w:val="nil"/>
              <w:left w:val="nil"/>
              <w:bottom w:val="nil"/>
              <w:right w:val="nil"/>
            </w:tcBorders>
            <w:noWrap/>
            <w:vAlign w:val="bottom"/>
            <w:hideMark/>
          </w:tcPr>
          <w:p w14:paraId="326DABBF" w14:textId="77777777" w:rsidR="00E776EA" w:rsidRPr="00E776EA" w:rsidRDefault="00E776EA" w:rsidP="00E776EA">
            <w:pPr>
              <w:jc w:val="right"/>
              <w:rPr>
                <w:rFonts w:ascii="Arial" w:hAnsi="Arial" w:cs="Arial"/>
                <w:color w:val="000000"/>
              </w:rPr>
            </w:pPr>
            <w:r w:rsidRPr="00E776EA">
              <w:rPr>
                <w:rFonts w:ascii="Arial" w:hAnsi="Arial" w:cs="Arial"/>
                <w:color w:val="000000"/>
              </w:rPr>
              <w:t>-0.424</w:t>
            </w:r>
          </w:p>
        </w:tc>
      </w:tr>
      <w:tr w:rsidR="00E776EA" w:rsidRPr="00E776EA" w14:paraId="6AB509F8" w14:textId="77777777" w:rsidTr="00744EF8">
        <w:trPr>
          <w:trHeight w:val="300"/>
        </w:trPr>
        <w:tc>
          <w:tcPr>
            <w:tcW w:w="1050" w:type="dxa"/>
            <w:tcBorders>
              <w:top w:val="nil"/>
              <w:left w:val="nil"/>
              <w:bottom w:val="nil"/>
              <w:right w:val="nil"/>
            </w:tcBorders>
            <w:noWrap/>
            <w:vAlign w:val="bottom"/>
            <w:hideMark/>
          </w:tcPr>
          <w:p w14:paraId="445D076B" w14:textId="77777777" w:rsidR="00E776EA" w:rsidRPr="00E776EA" w:rsidRDefault="00E776EA" w:rsidP="00E776EA">
            <w:pPr>
              <w:rPr>
                <w:rFonts w:ascii="Arial" w:hAnsi="Arial" w:cs="Arial"/>
                <w:color w:val="000000"/>
              </w:rPr>
            </w:pPr>
            <w:r w:rsidRPr="00E776EA">
              <w:rPr>
                <w:rFonts w:ascii="Arial" w:hAnsi="Arial" w:cs="Arial"/>
                <w:color w:val="000000"/>
              </w:rPr>
              <w:lastRenderedPageBreak/>
              <w:t>ND50%F</w:t>
            </w:r>
          </w:p>
        </w:tc>
        <w:tc>
          <w:tcPr>
            <w:tcW w:w="494" w:type="dxa"/>
            <w:tcBorders>
              <w:top w:val="nil"/>
              <w:left w:val="nil"/>
              <w:bottom w:val="nil"/>
              <w:right w:val="nil"/>
            </w:tcBorders>
            <w:noWrap/>
            <w:vAlign w:val="bottom"/>
          </w:tcPr>
          <w:p w14:paraId="3FF25B21" w14:textId="4E9E37F4"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4F9ED0DC" w14:textId="6B0DF3D3"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1ABF79E4" w14:textId="5DD5EF6B"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3EB3DDDF" w14:textId="59857354" w:rsidR="00E776EA" w:rsidRPr="00E776EA" w:rsidRDefault="00E776EA" w:rsidP="00E776EA">
            <w:pPr>
              <w:jc w:val="right"/>
              <w:rPr>
                <w:rFonts w:ascii="Arial" w:hAnsi="Arial" w:cs="Arial"/>
                <w:b/>
                <w:bCs/>
                <w:color w:val="000000"/>
              </w:rPr>
            </w:pPr>
          </w:p>
        </w:tc>
        <w:tc>
          <w:tcPr>
            <w:tcW w:w="805" w:type="dxa"/>
            <w:tcBorders>
              <w:top w:val="nil"/>
              <w:left w:val="nil"/>
              <w:bottom w:val="nil"/>
              <w:right w:val="nil"/>
            </w:tcBorders>
            <w:noWrap/>
            <w:vAlign w:val="bottom"/>
          </w:tcPr>
          <w:p w14:paraId="155376C7" w14:textId="3AAC7ADE" w:rsidR="00E776EA" w:rsidRPr="00E776EA" w:rsidRDefault="00E776EA" w:rsidP="00E776EA">
            <w:pPr>
              <w:jc w:val="right"/>
              <w:rPr>
                <w:rFonts w:ascii="Arial" w:hAnsi="Arial" w:cs="Arial"/>
                <w:b/>
                <w:bCs/>
                <w:color w:val="000000"/>
              </w:rPr>
            </w:pPr>
          </w:p>
        </w:tc>
        <w:tc>
          <w:tcPr>
            <w:tcW w:w="1028" w:type="dxa"/>
            <w:tcBorders>
              <w:top w:val="nil"/>
              <w:left w:val="nil"/>
              <w:bottom w:val="nil"/>
              <w:right w:val="nil"/>
            </w:tcBorders>
            <w:noWrap/>
            <w:vAlign w:val="bottom"/>
            <w:hideMark/>
          </w:tcPr>
          <w:p w14:paraId="3E005DB3"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862" w:type="dxa"/>
            <w:tcBorders>
              <w:top w:val="nil"/>
              <w:left w:val="nil"/>
              <w:bottom w:val="nil"/>
              <w:right w:val="nil"/>
            </w:tcBorders>
            <w:noWrap/>
            <w:vAlign w:val="bottom"/>
            <w:hideMark/>
          </w:tcPr>
          <w:p w14:paraId="2F1778B7"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-0.847</w:t>
            </w:r>
          </w:p>
        </w:tc>
        <w:tc>
          <w:tcPr>
            <w:tcW w:w="810" w:type="dxa"/>
            <w:tcBorders>
              <w:top w:val="nil"/>
              <w:left w:val="nil"/>
              <w:bottom w:val="nil"/>
              <w:right w:val="nil"/>
            </w:tcBorders>
            <w:noWrap/>
            <w:vAlign w:val="bottom"/>
            <w:hideMark/>
          </w:tcPr>
          <w:p w14:paraId="327ED268"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-0.837</w:t>
            </w:r>
          </w:p>
        </w:tc>
        <w:tc>
          <w:tcPr>
            <w:tcW w:w="810" w:type="dxa"/>
            <w:tcBorders>
              <w:top w:val="nil"/>
              <w:left w:val="nil"/>
              <w:bottom w:val="nil"/>
              <w:right w:val="nil"/>
            </w:tcBorders>
            <w:noWrap/>
            <w:vAlign w:val="bottom"/>
            <w:hideMark/>
          </w:tcPr>
          <w:p w14:paraId="465AB606"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-0.862</w:t>
            </w:r>
          </w:p>
        </w:tc>
        <w:tc>
          <w:tcPr>
            <w:tcW w:w="810" w:type="dxa"/>
            <w:tcBorders>
              <w:top w:val="nil"/>
              <w:left w:val="nil"/>
              <w:bottom w:val="nil"/>
              <w:right w:val="nil"/>
            </w:tcBorders>
            <w:noWrap/>
            <w:vAlign w:val="bottom"/>
            <w:hideMark/>
          </w:tcPr>
          <w:p w14:paraId="2105E0A5"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-0.859</w:t>
            </w:r>
          </w:p>
        </w:tc>
        <w:tc>
          <w:tcPr>
            <w:tcW w:w="810" w:type="dxa"/>
            <w:tcBorders>
              <w:top w:val="nil"/>
              <w:left w:val="nil"/>
              <w:bottom w:val="nil"/>
              <w:right w:val="nil"/>
            </w:tcBorders>
            <w:noWrap/>
            <w:vAlign w:val="bottom"/>
            <w:hideMark/>
          </w:tcPr>
          <w:p w14:paraId="7987D2F5" w14:textId="77777777" w:rsidR="00E776EA" w:rsidRPr="00E776EA" w:rsidRDefault="00E776EA" w:rsidP="00E776EA">
            <w:pPr>
              <w:jc w:val="right"/>
              <w:rPr>
                <w:rFonts w:ascii="Arial" w:hAnsi="Arial" w:cs="Arial"/>
                <w:color w:val="000000"/>
              </w:rPr>
            </w:pPr>
            <w:r w:rsidRPr="00E776EA">
              <w:rPr>
                <w:rFonts w:ascii="Arial" w:hAnsi="Arial" w:cs="Arial"/>
                <w:color w:val="000000"/>
              </w:rPr>
              <w:t>-0.414</w:t>
            </w:r>
          </w:p>
        </w:tc>
      </w:tr>
      <w:tr w:rsidR="00E776EA" w:rsidRPr="00E776EA" w14:paraId="47B77F7F" w14:textId="77777777" w:rsidTr="00744EF8">
        <w:trPr>
          <w:trHeight w:val="300"/>
        </w:trPr>
        <w:tc>
          <w:tcPr>
            <w:tcW w:w="1050" w:type="dxa"/>
            <w:tcBorders>
              <w:top w:val="nil"/>
              <w:left w:val="nil"/>
              <w:bottom w:val="nil"/>
              <w:right w:val="nil"/>
            </w:tcBorders>
            <w:noWrap/>
            <w:vAlign w:val="bottom"/>
            <w:hideMark/>
          </w:tcPr>
          <w:p w14:paraId="3E4C70CC" w14:textId="743CA2CB" w:rsidR="00E776EA" w:rsidRPr="00E776EA" w:rsidRDefault="00E776EA" w:rsidP="00E776EA">
            <w:pPr>
              <w:rPr>
                <w:rFonts w:ascii="Arial" w:hAnsi="Arial" w:cs="Arial"/>
                <w:color w:val="000000"/>
              </w:rPr>
            </w:pPr>
            <w:r w:rsidRPr="00E776EA">
              <w:rPr>
                <w:rFonts w:ascii="Arial" w:hAnsi="Arial" w:cs="Arial"/>
                <w:color w:val="000000"/>
              </w:rPr>
              <w:t>P</w:t>
            </w:r>
            <w:r w:rsidR="002242A7">
              <w:rPr>
                <w:rFonts w:ascii="Arial" w:hAnsi="Arial" w:cs="Arial"/>
                <w:color w:val="000000"/>
              </w:rPr>
              <w:t>L</w:t>
            </w:r>
          </w:p>
        </w:tc>
        <w:tc>
          <w:tcPr>
            <w:tcW w:w="494" w:type="dxa"/>
            <w:tcBorders>
              <w:top w:val="nil"/>
              <w:left w:val="nil"/>
              <w:bottom w:val="nil"/>
              <w:right w:val="nil"/>
            </w:tcBorders>
            <w:noWrap/>
            <w:vAlign w:val="bottom"/>
          </w:tcPr>
          <w:p w14:paraId="159005B3" w14:textId="26D55A2B"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5137515C" w14:textId="114FC650"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52390C24" w14:textId="734EBD0D"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7193931F" w14:textId="6FA63627" w:rsidR="00E776EA" w:rsidRPr="00E776EA" w:rsidRDefault="00E776EA" w:rsidP="00E776EA">
            <w:pPr>
              <w:jc w:val="right"/>
              <w:rPr>
                <w:rFonts w:ascii="Arial" w:hAnsi="Arial" w:cs="Arial"/>
                <w:b/>
                <w:bCs/>
                <w:color w:val="000000"/>
              </w:rPr>
            </w:pPr>
          </w:p>
        </w:tc>
        <w:tc>
          <w:tcPr>
            <w:tcW w:w="805" w:type="dxa"/>
            <w:tcBorders>
              <w:top w:val="nil"/>
              <w:left w:val="nil"/>
              <w:bottom w:val="nil"/>
              <w:right w:val="nil"/>
            </w:tcBorders>
            <w:noWrap/>
            <w:vAlign w:val="bottom"/>
          </w:tcPr>
          <w:p w14:paraId="4580087E" w14:textId="05F27A28" w:rsidR="00E776EA" w:rsidRPr="00E776EA" w:rsidRDefault="00E776EA" w:rsidP="00E776EA">
            <w:pPr>
              <w:jc w:val="right"/>
              <w:rPr>
                <w:rFonts w:ascii="Arial" w:hAnsi="Arial" w:cs="Arial"/>
                <w:b/>
                <w:bCs/>
                <w:color w:val="000000"/>
              </w:rPr>
            </w:pPr>
          </w:p>
        </w:tc>
        <w:tc>
          <w:tcPr>
            <w:tcW w:w="1028" w:type="dxa"/>
            <w:tcBorders>
              <w:top w:val="nil"/>
              <w:left w:val="nil"/>
              <w:bottom w:val="nil"/>
              <w:right w:val="nil"/>
            </w:tcBorders>
            <w:noWrap/>
            <w:vAlign w:val="bottom"/>
          </w:tcPr>
          <w:p w14:paraId="5BD2A9E8" w14:textId="57FA53B8" w:rsidR="00E776EA" w:rsidRPr="00E776EA" w:rsidRDefault="00E776EA" w:rsidP="00E776EA">
            <w:pPr>
              <w:jc w:val="right"/>
              <w:rPr>
                <w:rFonts w:ascii="Arial" w:hAnsi="Arial" w:cs="Arial"/>
                <w:b/>
                <w:bCs/>
                <w:color w:val="000000"/>
              </w:rPr>
            </w:pPr>
          </w:p>
        </w:tc>
        <w:tc>
          <w:tcPr>
            <w:tcW w:w="862" w:type="dxa"/>
            <w:tcBorders>
              <w:top w:val="nil"/>
              <w:left w:val="nil"/>
              <w:bottom w:val="nil"/>
              <w:right w:val="nil"/>
            </w:tcBorders>
            <w:noWrap/>
            <w:vAlign w:val="bottom"/>
            <w:hideMark/>
          </w:tcPr>
          <w:p w14:paraId="3BCD04D8"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810" w:type="dxa"/>
            <w:tcBorders>
              <w:top w:val="nil"/>
              <w:left w:val="nil"/>
              <w:bottom w:val="nil"/>
              <w:right w:val="nil"/>
            </w:tcBorders>
            <w:noWrap/>
            <w:vAlign w:val="bottom"/>
            <w:hideMark/>
          </w:tcPr>
          <w:p w14:paraId="433FAAF6"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0.867</w:t>
            </w:r>
          </w:p>
        </w:tc>
        <w:tc>
          <w:tcPr>
            <w:tcW w:w="810" w:type="dxa"/>
            <w:tcBorders>
              <w:top w:val="nil"/>
              <w:left w:val="nil"/>
              <w:bottom w:val="nil"/>
              <w:right w:val="nil"/>
            </w:tcBorders>
            <w:noWrap/>
            <w:vAlign w:val="bottom"/>
            <w:hideMark/>
          </w:tcPr>
          <w:p w14:paraId="7C8E66B2"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0.868</w:t>
            </w:r>
          </w:p>
        </w:tc>
        <w:tc>
          <w:tcPr>
            <w:tcW w:w="810" w:type="dxa"/>
            <w:tcBorders>
              <w:top w:val="nil"/>
              <w:left w:val="nil"/>
              <w:bottom w:val="nil"/>
              <w:right w:val="nil"/>
            </w:tcBorders>
            <w:noWrap/>
            <w:vAlign w:val="bottom"/>
            <w:hideMark/>
          </w:tcPr>
          <w:p w14:paraId="7E06B7DE"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0.827</w:t>
            </w:r>
          </w:p>
        </w:tc>
        <w:tc>
          <w:tcPr>
            <w:tcW w:w="810" w:type="dxa"/>
            <w:tcBorders>
              <w:top w:val="nil"/>
              <w:left w:val="nil"/>
              <w:bottom w:val="nil"/>
              <w:right w:val="nil"/>
            </w:tcBorders>
            <w:noWrap/>
            <w:vAlign w:val="bottom"/>
            <w:hideMark/>
          </w:tcPr>
          <w:p w14:paraId="62C8AD91" w14:textId="77777777" w:rsidR="00E776EA" w:rsidRPr="00E776EA" w:rsidRDefault="00E776EA" w:rsidP="00E776EA">
            <w:pPr>
              <w:jc w:val="right"/>
              <w:rPr>
                <w:rFonts w:ascii="Arial" w:hAnsi="Arial" w:cs="Arial"/>
                <w:color w:val="000000"/>
              </w:rPr>
            </w:pPr>
            <w:r w:rsidRPr="00E776EA">
              <w:rPr>
                <w:rFonts w:ascii="Arial" w:hAnsi="Arial" w:cs="Arial"/>
                <w:color w:val="000000"/>
              </w:rPr>
              <w:t>0.512</w:t>
            </w:r>
          </w:p>
        </w:tc>
      </w:tr>
      <w:tr w:rsidR="00E776EA" w:rsidRPr="00E776EA" w14:paraId="4DB2FB28" w14:textId="77777777" w:rsidTr="00744EF8">
        <w:trPr>
          <w:trHeight w:val="300"/>
        </w:trPr>
        <w:tc>
          <w:tcPr>
            <w:tcW w:w="1050" w:type="dxa"/>
            <w:tcBorders>
              <w:top w:val="nil"/>
              <w:left w:val="nil"/>
              <w:bottom w:val="nil"/>
              <w:right w:val="nil"/>
            </w:tcBorders>
            <w:noWrap/>
            <w:vAlign w:val="bottom"/>
            <w:hideMark/>
          </w:tcPr>
          <w:p w14:paraId="65A31396" w14:textId="41EB6E97" w:rsidR="00E776EA" w:rsidRPr="00E776EA" w:rsidRDefault="00E776EA" w:rsidP="00E776EA">
            <w:pPr>
              <w:rPr>
                <w:rFonts w:ascii="Arial" w:hAnsi="Arial" w:cs="Arial"/>
                <w:color w:val="000000"/>
              </w:rPr>
            </w:pPr>
            <w:r w:rsidRPr="00E776EA">
              <w:rPr>
                <w:rFonts w:ascii="Arial" w:hAnsi="Arial" w:cs="Arial"/>
                <w:color w:val="000000"/>
              </w:rPr>
              <w:t>P</w:t>
            </w:r>
            <w:r w:rsidR="002242A7">
              <w:rPr>
                <w:rFonts w:ascii="Arial" w:hAnsi="Arial" w:cs="Arial"/>
                <w:color w:val="000000"/>
              </w:rPr>
              <w:t>D</w:t>
            </w:r>
          </w:p>
        </w:tc>
        <w:tc>
          <w:tcPr>
            <w:tcW w:w="494" w:type="dxa"/>
            <w:tcBorders>
              <w:top w:val="nil"/>
              <w:left w:val="nil"/>
              <w:bottom w:val="nil"/>
              <w:right w:val="nil"/>
            </w:tcBorders>
            <w:noWrap/>
            <w:vAlign w:val="bottom"/>
          </w:tcPr>
          <w:p w14:paraId="3C334346" w14:textId="61F0E4E2"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15A8AFD8" w14:textId="3C77AAD4"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036EBC07" w14:textId="2EB78C1E"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4A3001C1" w14:textId="567871CC" w:rsidR="00E776EA" w:rsidRPr="00E776EA" w:rsidRDefault="00E776EA" w:rsidP="00E776EA">
            <w:pPr>
              <w:jc w:val="right"/>
              <w:rPr>
                <w:rFonts w:ascii="Arial" w:hAnsi="Arial" w:cs="Arial"/>
                <w:b/>
                <w:bCs/>
                <w:color w:val="000000"/>
              </w:rPr>
            </w:pPr>
          </w:p>
        </w:tc>
        <w:tc>
          <w:tcPr>
            <w:tcW w:w="805" w:type="dxa"/>
            <w:tcBorders>
              <w:top w:val="nil"/>
              <w:left w:val="nil"/>
              <w:bottom w:val="nil"/>
              <w:right w:val="nil"/>
            </w:tcBorders>
            <w:noWrap/>
            <w:vAlign w:val="bottom"/>
          </w:tcPr>
          <w:p w14:paraId="2EC01F35" w14:textId="42450C66" w:rsidR="00E776EA" w:rsidRPr="00E776EA" w:rsidRDefault="00E776EA" w:rsidP="00E776EA">
            <w:pPr>
              <w:jc w:val="right"/>
              <w:rPr>
                <w:rFonts w:ascii="Arial" w:hAnsi="Arial" w:cs="Arial"/>
                <w:b/>
                <w:bCs/>
                <w:color w:val="000000"/>
              </w:rPr>
            </w:pPr>
          </w:p>
        </w:tc>
        <w:tc>
          <w:tcPr>
            <w:tcW w:w="1028" w:type="dxa"/>
            <w:tcBorders>
              <w:top w:val="nil"/>
              <w:left w:val="nil"/>
              <w:bottom w:val="nil"/>
              <w:right w:val="nil"/>
            </w:tcBorders>
            <w:noWrap/>
            <w:vAlign w:val="bottom"/>
          </w:tcPr>
          <w:p w14:paraId="1B7A02C8" w14:textId="396AB0FB" w:rsidR="00E776EA" w:rsidRPr="00E776EA" w:rsidRDefault="00E776EA" w:rsidP="00E776EA">
            <w:pPr>
              <w:jc w:val="right"/>
              <w:rPr>
                <w:rFonts w:ascii="Arial" w:hAnsi="Arial" w:cs="Arial"/>
                <w:b/>
                <w:bCs/>
                <w:color w:val="000000"/>
              </w:rPr>
            </w:pPr>
          </w:p>
        </w:tc>
        <w:tc>
          <w:tcPr>
            <w:tcW w:w="862" w:type="dxa"/>
            <w:tcBorders>
              <w:top w:val="nil"/>
              <w:left w:val="nil"/>
              <w:bottom w:val="nil"/>
              <w:right w:val="nil"/>
            </w:tcBorders>
            <w:noWrap/>
            <w:vAlign w:val="bottom"/>
          </w:tcPr>
          <w:p w14:paraId="32C973EC" w14:textId="36CB3AD9" w:rsidR="00E776EA" w:rsidRPr="00E776EA" w:rsidRDefault="00E776EA" w:rsidP="00E776EA">
            <w:pPr>
              <w:jc w:val="right"/>
              <w:rPr>
                <w:rFonts w:ascii="Arial" w:hAnsi="Arial" w:cs="Arial"/>
                <w:b/>
                <w:bCs/>
                <w:color w:val="000000"/>
              </w:rPr>
            </w:pPr>
          </w:p>
        </w:tc>
        <w:tc>
          <w:tcPr>
            <w:tcW w:w="810" w:type="dxa"/>
            <w:tcBorders>
              <w:top w:val="nil"/>
              <w:left w:val="nil"/>
              <w:bottom w:val="nil"/>
              <w:right w:val="nil"/>
            </w:tcBorders>
            <w:noWrap/>
            <w:vAlign w:val="bottom"/>
            <w:hideMark/>
          </w:tcPr>
          <w:p w14:paraId="7570E039"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810" w:type="dxa"/>
            <w:tcBorders>
              <w:top w:val="nil"/>
              <w:left w:val="nil"/>
              <w:bottom w:val="nil"/>
              <w:right w:val="nil"/>
            </w:tcBorders>
            <w:noWrap/>
            <w:vAlign w:val="bottom"/>
            <w:hideMark/>
          </w:tcPr>
          <w:p w14:paraId="0656F374"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0.980</w:t>
            </w:r>
          </w:p>
        </w:tc>
        <w:tc>
          <w:tcPr>
            <w:tcW w:w="810" w:type="dxa"/>
            <w:tcBorders>
              <w:top w:val="nil"/>
              <w:left w:val="nil"/>
              <w:bottom w:val="nil"/>
              <w:right w:val="nil"/>
            </w:tcBorders>
            <w:noWrap/>
            <w:vAlign w:val="bottom"/>
            <w:hideMark/>
          </w:tcPr>
          <w:p w14:paraId="50C66FA6"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0.899</w:t>
            </w:r>
          </w:p>
        </w:tc>
        <w:tc>
          <w:tcPr>
            <w:tcW w:w="810" w:type="dxa"/>
            <w:tcBorders>
              <w:top w:val="nil"/>
              <w:left w:val="nil"/>
              <w:bottom w:val="nil"/>
              <w:right w:val="nil"/>
            </w:tcBorders>
            <w:noWrap/>
            <w:vAlign w:val="bottom"/>
            <w:hideMark/>
          </w:tcPr>
          <w:p w14:paraId="67B60A38"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0.671</w:t>
            </w:r>
          </w:p>
        </w:tc>
      </w:tr>
      <w:tr w:rsidR="00E776EA" w:rsidRPr="00E776EA" w14:paraId="7FF8D6E6" w14:textId="77777777" w:rsidTr="00744EF8">
        <w:trPr>
          <w:trHeight w:val="300"/>
        </w:trPr>
        <w:tc>
          <w:tcPr>
            <w:tcW w:w="1050" w:type="dxa"/>
            <w:tcBorders>
              <w:top w:val="nil"/>
              <w:left w:val="nil"/>
              <w:bottom w:val="nil"/>
              <w:right w:val="nil"/>
            </w:tcBorders>
            <w:noWrap/>
            <w:vAlign w:val="bottom"/>
            <w:hideMark/>
          </w:tcPr>
          <w:p w14:paraId="665A0E30" w14:textId="77777777" w:rsidR="00E776EA" w:rsidRPr="00E776EA" w:rsidRDefault="00E776EA" w:rsidP="00E776EA">
            <w:pPr>
              <w:rPr>
                <w:rFonts w:ascii="Arial" w:hAnsi="Arial" w:cs="Arial"/>
                <w:color w:val="000000"/>
              </w:rPr>
            </w:pPr>
            <w:r w:rsidRPr="00E776EA">
              <w:rPr>
                <w:rFonts w:ascii="Arial" w:hAnsi="Arial" w:cs="Arial"/>
                <w:color w:val="000000"/>
              </w:rPr>
              <w:t>GY</w:t>
            </w:r>
          </w:p>
        </w:tc>
        <w:tc>
          <w:tcPr>
            <w:tcW w:w="494" w:type="dxa"/>
            <w:tcBorders>
              <w:top w:val="nil"/>
              <w:left w:val="nil"/>
              <w:bottom w:val="nil"/>
              <w:right w:val="nil"/>
            </w:tcBorders>
            <w:noWrap/>
            <w:vAlign w:val="bottom"/>
          </w:tcPr>
          <w:p w14:paraId="27DF2D6B" w14:textId="718993F5"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37DE1D84" w14:textId="55E15098"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5F1F1AE8" w14:textId="5287200E"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47581AD6" w14:textId="65B29438" w:rsidR="00E776EA" w:rsidRPr="00E776EA" w:rsidRDefault="00E776EA" w:rsidP="00E776EA">
            <w:pPr>
              <w:jc w:val="right"/>
              <w:rPr>
                <w:rFonts w:ascii="Arial" w:hAnsi="Arial" w:cs="Arial"/>
                <w:b/>
                <w:bCs/>
                <w:color w:val="000000"/>
              </w:rPr>
            </w:pPr>
          </w:p>
        </w:tc>
        <w:tc>
          <w:tcPr>
            <w:tcW w:w="805" w:type="dxa"/>
            <w:tcBorders>
              <w:top w:val="nil"/>
              <w:left w:val="nil"/>
              <w:bottom w:val="nil"/>
              <w:right w:val="nil"/>
            </w:tcBorders>
            <w:noWrap/>
            <w:vAlign w:val="bottom"/>
          </w:tcPr>
          <w:p w14:paraId="1A0A5471" w14:textId="6DF983E9" w:rsidR="00E776EA" w:rsidRPr="00E776EA" w:rsidRDefault="00E776EA" w:rsidP="00E776EA">
            <w:pPr>
              <w:jc w:val="right"/>
              <w:rPr>
                <w:rFonts w:ascii="Arial" w:hAnsi="Arial" w:cs="Arial"/>
                <w:b/>
                <w:bCs/>
                <w:color w:val="000000"/>
              </w:rPr>
            </w:pPr>
          </w:p>
        </w:tc>
        <w:tc>
          <w:tcPr>
            <w:tcW w:w="1028" w:type="dxa"/>
            <w:tcBorders>
              <w:top w:val="nil"/>
              <w:left w:val="nil"/>
              <w:bottom w:val="nil"/>
              <w:right w:val="nil"/>
            </w:tcBorders>
            <w:noWrap/>
            <w:vAlign w:val="bottom"/>
          </w:tcPr>
          <w:p w14:paraId="19563E95" w14:textId="4D145FAE" w:rsidR="00E776EA" w:rsidRPr="00E776EA" w:rsidRDefault="00E776EA" w:rsidP="00E776EA">
            <w:pPr>
              <w:jc w:val="right"/>
              <w:rPr>
                <w:rFonts w:ascii="Arial" w:hAnsi="Arial" w:cs="Arial"/>
                <w:b/>
                <w:bCs/>
                <w:color w:val="000000"/>
              </w:rPr>
            </w:pPr>
          </w:p>
        </w:tc>
        <w:tc>
          <w:tcPr>
            <w:tcW w:w="862" w:type="dxa"/>
            <w:tcBorders>
              <w:top w:val="nil"/>
              <w:left w:val="nil"/>
              <w:bottom w:val="nil"/>
              <w:right w:val="nil"/>
            </w:tcBorders>
            <w:noWrap/>
            <w:vAlign w:val="bottom"/>
          </w:tcPr>
          <w:p w14:paraId="1CAB9134" w14:textId="2D9D6270" w:rsidR="00E776EA" w:rsidRPr="00E776EA" w:rsidRDefault="00E776EA" w:rsidP="00E776EA">
            <w:pPr>
              <w:jc w:val="right"/>
              <w:rPr>
                <w:rFonts w:ascii="Arial" w:hAnsi="Arial" w:cs="Arial"/>
                <w:b/>
                <w:bCs/>
                <w:color w:val="000000"/>
              </w:rPr>
            </w:pPr>
          </w:p>
        </w:tc>
        <w:tc>
          <w:tcPr>
            <w:tcW w:w="810" w:type="dxa"/>
            <w:tcBorders>
              <w:top w:val="nil"/>
              <w:left w:val="nil"/>
              <w:bottom w:val="nil"/>
              <w:right w:val="nil"/>
            </w:tcBorders>
            <w:noWrap/>
            <w:vAlign w:val="bottom"/>
          </w:tcPr>
          <w:p w14:paraId="7CEE3EC5" w14:textId="09D620BB" w:rsidR="00E776EA" w:rsidRPr="00E776EA" w:rsidRDefault="00E776EA" w:rsidP="00E776EA">
            <w:pPr>
              <w:jc w:val="right"/>
              <w:rPr>
                <w:rFonts w:ascii="Arial" w:hAnsi="Arial" w:cs="Arial"/>
                <w:b/>
                <w:bCs/>
                <w:color w:val="000000"/>
              </w:rPr>
            </w:pPr>
          </w:p>
        </w:tc>
        <w:tc>
          <w:tcPr>
            <w:tcW w:w="810" w:type="dxa"/>
            <w:tcBorders>
              <w:top w:val="nil"/>
              <w:left w:val="nil"/>
              <w:bottom w:val="nil"/>
              <w:right w:val="nil"/>
            </w:tcBorders>
            <w:noWrap/>
            <w:vAlign w:val="bottom"/>
            <w:hideMark/>
          </w:tcPr>
          <w:p w14:paraId="5AEB0553"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810" w:type="dxa"/>
            <w:tcBorders>
              <w:top w:val="nil"/>
              <w:left w:val="nil"/>
              <w:bottom w:val="nil"/>
              <w:right w:val="nil"/>
            </w:tcBorders>
            <w:noWrap/>
            <w:vAlign w:val="bottom"/>
            <w:hideMark/>
          </w:tcPr>
          <w:p w14:paraId="05382170"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0.962</w:t>
            </w:r>
          </w:p>
        </w:tc>
        <w:tc>
          <w:tcPr>
            <w:tcW w:w="810" w:type="dxa"/>
            <w:tcBorders>
              <w:top w:val="nil"/>
              <w:left w:val="nil"/>
              <w:bottom w:val="nil"/>
              <w:right w:val="nil"/>
            </w:tcBorders>
            <w:noWrap/>
            <w:vAlign w:val="bottom"/>
            <w:hideMark/>
          </w:tcPr>
          <w:p w14:paraId="556788D3"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0.569</w:t>
            </w:r>
          </w:p>
        </w:tc>
      </w:tr>
      <w:tr w:rsidR="00E776EA" w:rsidRPr="00E776EA" w14:paraId="494C49BB" w14:textId="77777777" w:rsidTr="00744EF8">
        <w:trPr>
          <w:trHeight w:val="300"/>
        </w:trPr>
        <w:tc>
          <w:tcPr>
            <w:tcW w:w="1050" w:type="dxa"/>
            <w:tcBorders>
              <w:top w:val="nil"/>
              <w:left w:val="nil"/>
              <w:bottom w:val="nil"/>
              <w:right w:val="nil"/>
            </w:tcBorders>
            <w:noWrap/>
            <w:vAlign w:val="bottom"/>
            <w:hideMark/>
          </w:tcPr>
          <w:p w14:paraId="08592401" w14:textId="77777777" w:rsidR="00E776EA" w:rsidRPr="00E776EA" w:rsidRDefault="00E776EA" w:rsidP="00E776EA">
            <w:pPr>
              <w:rPr>
                <w:rFonts w:ascii="Arial" w:hAnsi="Arial" w:cs="Arial"/>
                <w:color w:val="000000"/>
              </w:rPr>
            </w:pPr>
            <w:r w:rsidRPr="00E776EA">
              <w:rPr>
                <w:rFonts w:ascii="Arial" w:hAnsi="Arial" w:cs="Arial"/>
                <w:color w:val="000000"/>
              </w:rPr>
              <w:t>SY</w:t>
            </w:r>
          </w:p>
        </w:tc>
        <w:tc>
          <w:tcPr>
            <w:tcW w:w="494" w:type="dxa"/>
            <w:tcBorders>
              <w:top w:val="nil"/>
              <w:left w:val="nil"/>
              <w:bottom w:val="nil"/>
              <w:right w:val="nil"/>
            </w:tcBorders>
            <w:noWrap/>
            <w:vAlign w:val="bottom"/>
          </w:tcPr>
          <w:p w14:paraId="5EC6E3F2" w14:textId="6D3AE1BF"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0F23B3DA" w14:textId="6095C888"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67B76C1D" w14:textId="2840FF7B" w:rsidR="00E776EA" w:rsidRPr="00E776EA" w:rsidRDefault="00E776EA" w:rsidP="00E776EA">
            <w:pPr>
              <w:jc w:val="right"/>
              <w:rPr>
                <w:rFonts w:ascii="Arial" w:hAnsi="Arial" w:cs="Arial"/>
                <w:b/>
                <w:bCs/>
                <w:color w:val="000000"/>
              </w:rPr>
            </w:pPr>
          </w:p>
        </w:tc>
        <w:tc>
          <w:tcPr>
            <w:tcW w:w="717" w:type="dxa"/>
            <w:tcBorders>
              <w:top w:val="nil"/>
              <w:left w:val="nil"/>
              <w:bottom w:val="nil"/>
              <w:right w:val="nil"/>
            </w:tcBorders>
            <w:noWrap/>
            <w:vAlign w:val="bottom"/>
          </w:tcPr>
          <w:p w14:paraId="02BB7E0A" w14:textId="3BE3ABC2" w:rsidR="00E776EA" w:rsidRPr="00E776EA" w:rsidRDefault="00E776EA" w:rsidP="00E776EA">
            <w:pPr>
              <w:jc w:val="right"/>
              <w:rPr>
                <w:rFonts w:ascii="Arial" w:hAnsi="Arial" w:cs="Arial"/>
                <w:b/>
                <w:bCs/>
                <w:color w:val="000000"/>
              </w:rPr>
            </w:pPr>
          </w:p>
        </w:tc>
        <w:tc>
          <w:tcPr>
            <w:tcW w:w="805" w:type="dxa"/>
            <w:tcBorders>
              <w:top w:val="nil"/>
              <w:left w:val="nil"/>
              <w:bottom w:val="nil"/>
              <w:right w:val="nil"/>
            </w:tcBorders>
            <w:noWrap/>
            <w:vAlign w:val="bottom"/>
          </w:tcPr>
          <w:p w14:paraId="6DDEEF84" w14:textId="5652A729" w:rsidR="00E776EA" w:rsidRPr="00E776EA" w:rsidRDefault="00E776EA" w:rsidP="00E776EA">
            <w:pPr>
              <w:jc w:val="right"/>
              <w:rPr>
                <w:rFonts w:ascii="Arial" w:hAnsi="Arial" w:cs="Arial"/>
                <w:b/>
                <w:bCs/>
                <w:color w:val="000000"/>
              </w:rPr>
            </w:pPr>
          </w:p>
        </w:tc>
        <w:tc>
          <w:tcPr>
            <w:tcW w:w="1028" w:type="dxa"/>
            <w:tcBorders>
              <w:top w:val="nil"/>
              <w:left w:val="nil"/>
              <w:bottom w:val="nil"/>
              <w:right w:val="nil"/>
            </w:tcBorders>
            <w:noWrap/>
            <w:vAlign w:val="bottom"/>
          </w:tcPr>
          <w:p w14:paraId="1C978967" w14:textId="21A76F87" w:rsidR="00E776EA" w:rsidRPr="00E776EA" w:rsidRDefault="00E776EA" w:rsidP="00E776EA">
            <w:pPr>
              <w:jc w:val="right"/>
              <w:rPr>
                <w:rFonts w:ascii="Arial" w:hAnsi="Arial" w:cs="Arial"/>
                <w:b/>
                <w:bCs/>
                <w:color w:val="000000"/>
              </w:rPr>
            </w:pPr>
          </w:p>
        </w:tc>
        <w:tc>
          <w:tcPr>
            <w:tcW w:w="862" w:type="dxa"/>
            <w:tcBorders>
              <w:top w:val="nil"/>
              <w:left w:val="nil"/>
              <w:bottom w:val="nil"/>
              <w:right w:val="nil"/>
            </w:tcBorders>
            <w:noWrap/>
            <w:vAlign w:val="bottom"/>
          </w:tcPr>
          <w:p w14:paraId="7C7EF4EE" w14:textId="2F6E554D" w:rsidR="00E776EA" w:rsidRPr="00E776EA" w:rsidRDefault="00E776EA" w:rsidP="00E776EA">
            <w:pPr>
              <w:jc w:val="right"/>
              <w:rPr>
                <w:rFonts w:ascii="Arial" w:hAnsi="Arial" w:cs="Arial"/>
                <w:b/>
                <w:bCs/>
                <w:color w:val="000000"/>
              </w:rPr>
            </w:pPr>
          </w:p>
        </w:tc>
        <w:tc>
          <w:tcPr>
            <w:tcW w:w="810" w:type="dxa"/>
            <w:tcBorders>
              <w:top w:val="nil"/>
              <w:left w:val="nil"/>
              <w:bottom w:val="nil"/>
              <w:right w:val="nil"/>
            </w:tcBorders>
            <w:noWrap/>
            <w:vAlign w:val="bottom"/>
          </w:tcPr>
          <w:p w14:paraId="2D87375D" w14:textId="76B268B1" w:rsidR="00E776EA" w:rsidRPr="00E776EA" w:rsidRDefault="00E776EA" w:rsidP="00E776EA">
            <w:pPr>
              <w:jc w:val="right"/>
              <w:rPr>
                <w:rFonts w:ascii="Arial" w:hAnsi="Arial" w:cs="Arial"/>
                <w:b/>
                <w:bCs/>
                <w:color w:val="000000"/>
              </w:rPr>
            </w:pPr>
          </w:p>
        </w:tc>
        <w:tc>
          <w:tcPr>
            <w:tcW w:w="810" w:type="dxa"/>
            <w:tcBorders>
              <w:top w:val="nil"/>
              <w:left w:val="nil"/>
              <w:bottom w:val="nil"/>
              <w:right w:val="nil"/>
            </w:tcBorders>
            <w:noWrap/>
            <w:vAlign w:val="bottom"/>
            <w:hideMark/>
          </w:tcPr>
          <w:p w14:paraId="3763A9A7" w14:textId="3567486F" w:rsidR="00E776EA" w:rsidRPr="00E776EA" w:rsidRDefault="00E776EA" w:rsidP="00E776EA">
            <w:pPr>
              <w:jc w:val="right"/>
              <w:rPr>
                <w:rFonts w:ascii="Arial" w:hAnsi="Arial" w:cs="Arial"/>
                <w:b/>
                <w:bCs/>
                <w:color w:val="000000"/>
              </w:rPr>
            </w:pPr>
          </w:p>
        </w:tc>
        <w:tc>
          <w:tcPr>
            <w:tcW w:w="810" w:type="dxa"/>
            <w:tcBorders>
              <w:top w:val="nil"/>
              <w:left w:val="nil"/>
              <w:bottom w:val="nil"/>
              <w:right w:val="nil"/>
            </w:tcBorders>
            <w:noWrap/>
            <w:vAlign w:val="bottom"/>
            <w:hideMark/>
          </w:tcPr>
          <w:p w14:paraId="05702E5C"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c>
          <w:tcPr>
            <w:tcW w:w="810" w:type="dxa"/>
            <w:tcBorders>
              <w:top w:val="nil"/>
              <w:left w:val="nil"/>
              <w:bottom w:val="nil"/>
              <w:right w:val="nil"/>
            </w:tcBorders>
            <w:noWrap/>
            <w:vAlign w:val="bottom"/>
            <w:hideMark/>
          </w:tcPr>
          <w:p w14:paraId="3BAF25DC" w14:textId="77777777" w:rsidR="00E776EA" w:rsidRPr="00E776EA" w:rsidRDefault="00E776EA" w:rsidP="00E776EA">
            <w:pPr>
              <w:jc w:val="right"/>
              <w:rPr>
                <w:rFonts w:ascii="Arial" w:hAnsi="Arial" w:cs="Arial"/>
                <w:color w:val="000000"/>
              </w:rPr>
            </w:pPr>
            <w:r w:rsidRPr="00E776EA">
              <w:rPr>
                <w:rFonts w:ascii="Arial" w:hAnsi="Arial" w:cs="Arial"/>
                <w:color w:val="000000"/>
              </w:rPr>
              <w:t>0.344</w:t>
            </w:r>
          </w:p>
        </w:tc>
      </w:tr>
      <w:tr w:rsidR="00E776EA" w:rsidRPr="00E776EA" w14:paraId="6806C9D7" w14:textId="77777777" w:rsidTr="00744EF8">
        <w:trPr>
          <w:trHeight w:val="315"/>
        </w:trPr>
        <w:tc>
          <w:tcPr>
            <w:tcW w:w="1050" w:type="dxa"/>
            <w:tcBorders>
              <w:top w:val="nil"/>
              <w:left w:val="nil"/>
              <w:bottom w:val="single" w:sz="8" w:space="0" w:color="auto"/>
              <w:right w:val="nil"/>
            </w:tcBorders>
            <w:noWrap/>
            <w:vAlign w:val="bottom"/>
            <w:hideMark/>
          </w:tcPr>
          <w:p w14:paraId="0EB5587D" w14:textId="77777777" w:rsidR="00E776EA" w:rsidRPr="00E776EA" w:rsidRDefault="00E776EA" w:rsidP="00E776EA">
            <w:pPr>
              <w:rPr>
                <w:rFonts w:ascii="Arial" w:hAnsi="Arial" w:cs="Arial"/>
                <w:color w:val="000000"/>
              </w:rPr>
            </w:pPr>
            <w:r w:rsidRPr="00E776EA">
              <w:rPr>
                <w:rFonts w:ascii="Arial" w:hAnsi="Arial" w:cs="Arial"/>
                <w:color w:val="000000"/>
              </w:rPr>
              <w:t>HI</w:t>
            </w:r>
          </w:p>
        </w:tc>
        <w:tc>
          <w:tcPr>
            <w:tcW w:w="494" w:type="dxa"/>
            <w:tcBorders>
              <w:top w:val="nil"/>
              <w:left w:val="nil"/>
              <w:bottom w:val="single" w:sz="8" w:space="0" w:color="auto"/>
              <w:right w:val="nil"/>
            </w:tcBorders>
            <w:noWrap/>
            <w:vAlign w:val="bottom"/>
          </w:tcPr>
          <w:p w14:paraId="5E1066CF" w14:textId="25A143EF" w:rsidR="00E776EA" w:rsidRPr="00E776EA" w:rsidRDefault="00E776EA" w:rsidP="00E776EA">
            <w:pPr>
              <w:jc w:val="right"/>
              <w:rPr>
                <w:rFonts w:ascii="Arial" w:hAnsi="Arial" w:cs="Arial"/>
                <w:color w:val="000000"/>
              </w:rPr>
            </w:pPr>
          </w:p>
        </w:tc>
        <w:tc>
          <w:tcPr>
            <w:tcW w:w="717" w:type="dxa"/>
            <w:tcBorders>
              <w:top w:val="nil"/>
              <w:left w:val="nil"/>
              <w:bottom w:val="single" w:sz="8" w:space="0" w:color="auto"/>
              <w:right w:val="nil"/>
            </w:tcBorders>
            <w:noWrap/>
            <w:vAlign w:val="bottom"/>
          </w:tcPr>
          <w:p w14:paraId="36450444" w14:textId="372BC7EB" w:rsidR="00E776EA" w:rsidRPr="00E776EA" w:rsidRDefault="00E776EA" w:rsidP="00E776EA">
            <w:pPr>
              <w:jc w:val="right"/>
              <w:rPr>
                <w:rFonts w:ascii="Arial" w:hAnsi="Arial" w:cs="Arial"/>
                <w:b/>
                <w:bCs/>
                <w:color w:val="000000"/>
              </w:rPr>
            </w:pPr>
          </w:p>
        </w:tc>
        <w:tc>
          <w:tcPr>
            <w:tcW w:w="717" w:type="dxa"/>
            <w:tcBorders>
              <w:top w:val="nil"/>
              <w:left w:val="nil"/>
              <w:bottom w:val="single" w:sz="8" w:space="0" w:color="auto"/>
              <w:right w:val="nil"/>
            </w:tcBorders>
            <w:noWrap/>
            <w:vAlign w:val="bottom"/>
          </w:tcPr>
          <w:p w14:paraId="10C18238" w14:textId="507BC46F" w:rsidR="00E776EA" w:rsidRPr="00E776EA" w:rsidRDefault="00E776EA" w:rsidP="00E776EA">
            <w:pPr>
              <w:jc w:val="right"/>
              <w:rPr>
                <w:rFonts w:ascii="Arial" w:hAnsi="Arial" w:cs="Arial"/>
                <w:color w:val="000000"/>
              </w:rPr>
            </w:pPr>
          </w:p>
        </w:tc>
        <w:tc>
          <w:tcPr>
            <w:tcW w:w="717" w:type="dxa"/>
            <w:tcBorders>
              <w:top w:val="nil"/>
              <w:left w:val="nil"/>
              <w:bottom w:val="single" w:sz="8" w:space="0" w:color="auto"/>
              <w:right w:val="nil"/>
            </w:tcBorders>
            <w:noWrap/>
            <w:vAlign w:val="bottom"/>
          </w:tcPr>
          <w:p w14:paraId="6AAD45D4" w14:textId="5F0EA924" w:rsidR="00E776EA" w:rsidRPr="00E776EA" w:rsidRDefault="00E776EA" w:rsidP="00E776EA">
            <w:pPr>
              <w:jc w:val="right"/>
              <w:rPr>
                <w:rFonts w:ascii="Arial" w:hAnsi="Arial" w:cs="Arial"/>
                <w:color w:val="000000"/>
              </w:rPr>
            </w:pPr>
          </w:p>
        </w:tc>
        <w:tc>
          <w:tcPr>
            <w:tcW w:w="805" w:type="dxa"/>
            <w:tcBorders>
              <w:top w:val="nil"/>
              <w:left w:val="nil"/>
              <w:bottom w:val="single" w:sz="8" w:space="0" w:color="auto"/>
              <w:right w:val="nil"/>
            </w:tcBorders>
            <w:noWrap/>
            <w:vAlign w:val="bottom"/>
          </w:tcPr>
          <w:p w14:paraId="145CCBA8" w14:textId="6553E896" w:rsidR="00E776EA" w:rsidRPr="00E776EA" w:rsidRDefault="00E776EA" w:rsidP="00E776EA">
            <w:pPr>
              <w:jc w:val="right"/>
              <w:rPr>
                <w:rFonts w:ascii="Arial" w:hAnsi="Arial" w:cs="Arial"/>
                <w:color w:val="000000"/>
              </w:rPr>
            </w:pPr>
          </w:p>
        </w:tc>
        <w:tc>
          <w:tcPr>
            <w:tcW w:w="1028" w:type="dxa"/>
            <w:tcBorders>
              <w:top w:val="nil"/>
              <w:left w:val="nil"/>
              <w:bottom w:val="single" w:sz="8" w:space="0" w:color="auto"/>
              <w:right w:val="nil"/>
            </w:tcBorders>
            <w:noWrap/>
            <w:vAlign w:val="bottom"/>
          </w:tcPr>
          <w:p w14:paraId="46FDA640" w14:textId="467A852D" w:rsidR="00E776EA" w:rsidRPr="00E776EA" w:rsidRDefault="00E776EA" w:rsidP="00E776EA">
            <w:pPr>
              <w:jc w:val="right"/>
              <w:rPr>
                <w:rFonts w:ascii="Arial" w:hAnsi="Arial" w:cs="Arial"/>
                <w:color w:val="000000"/>
              </w:rPr>
            </w:pPr>
          </w:p>
        </w:tc>
        <w:tc>
          <w:tcPr>
            <w:tcW w:w="862" w:type="dxa"/>
            <w:tcBorders>
              <w:top w:val="nil"/>
              <w:left w:val="nil"/>
              <w:bottom w:val="single" w:sz="8" w:space="0" w:color="auto"/>
              <w:right w:val="nil"/>
            </w:tcBorders>
            <w:noWrap/>
            <w:vAlign w:val="bottom"/>
          </w:tcPr>
          <w:p w14:paraId="0BDFC443" w14:textId="71D654A7" w:rsidR="00E776EA" w:rsidRPr="00E776EA" w:rsidRDefault="00E776EA" w:rsidP="00E776EA">
            <w:pPr>
              <w:jc w:val="right"/>
              <w:rPr>
                <w:rFonts w:ascii="Arial" w:hAnsi="Arial" w:cs="Arial"/>
                <w:color w:val="000000"/>
              </w:rPr>
            </w:pPr>
          </w:p>
        </w:tc>
        <w:tc>
          <w:tcPr>
            <w:tcW w:w="810" w:type="dxa"/>
            <w:tcBorders>
              <w:top w:val="nil"/>
              <w:left w:val="nil"/>
              <w:bottom w:val="single" w:sz="8" w:space="0" w:color="auto"/>
              <w:right w:val="nil"/>
            </w:tcBorders>
            <w:noWrap/>
            <w:vAlign w:val="bottom"/>
          </w:tcPr>
          <w:p w14:paraId="2278FE1B" w14:textId="3AF205D3" w:rsidR="00E776EA" w:rsidRPr="00E776EA" w:rsidRDefault="00E776EA" w:rsidP="00E776EA">
            <w:pPr>
              <w:jc w:val="right"/>
              <w:rPr>
                <w:rFonts w:ascii="Arial" w:hAnsi="Arial" w:cs="Arial"/>
                <w:b/>
                <w:bCs/>
                <w:color w:val="000000"/>
              </w:rPr>
            </w:pPr>
          </w:p>
        </w:tc>
        <w:tc>
          <w:tcPr>
            <w:tcW w:w="810" w:type="dxa"/>
            <w:tcBorders>
              <w:top w:val="nil"/>
              <w:left w:val="nil"/>
              <w:bottom w:val="single" w:sz="8" w:space="0" w:color="auto"/>
              <w:right w:val="nil"/>
            </w:tcBorders>
            <w:noWrap/>
            <w:vAlign w:val="bottom"/>
          </w:tcPr>
          <w:p w14:paraId="16B91B64" w14:textId="2A0C7505" w:rsidR="00E776EA" w:rsidRPr="00E776EA" w:rsidRDefault="00E776EA" w:rsidP="00E776EA">
            <w:pPr>
              <w:jc w:val="right"/>
              <w:rPr>
                <w:rFonts w:ascii="Arial" w:hAnsi="Arial" w:cs="Arial"/>
                <w:b/>
                <w:bCs/>
                <w:color w:val="000000"/>
              </w:rPr>
            </w:pPr>
          </w:p>
        </w:tc>
        <w:tc>
          <w:tcPr>
            <w:tcW w:w="810" w:type="dxa"/>
            <w:tcBorders>
              <w:top w:val="nil"/>
              <w:left w:val="nil"/>
              <w:bottom w:val="single" w:sz="8" w:space="0" w:color="auto"/>
              <w:right w:val="nil"/>
            </w:tcBorders>
            <w:noWrap/>
            <w:vAlign w:val="bottom"/>
          </w:tcPr>
          <w:p w14:paraId="565C8D0A" w14:textId="772A3A53" w:rsidR="00E776EA" w:rsidRPr="00E776EA" w:rsidRDefault="00E776EA" w:rsidP="00E776EA">
            <w:pPr>
              <w:jc w:val="right"/>
              <w:rPr>
                <w:rFonts w:ascii="Arial" w:hAnsi="Arial" w:cs="Arial"/>
                <w:color w:val="000000"/>
              </w:rPr>
            </w:pPr>
          </w:p>
        </w:tc>
        <w:tc>
          <w:tcPr>
            <w:tcW w:w="810" w:type="dxa"/>
            <w:tcBorders>
              <w:top w:val="nil"/>
              <w:left w:val="nil"/>
              <w:bottom w:val="single" w:sz="8" w:space="0" w:color="auto"/>
              <w:right w:val="nil"/>
            </w:tcBorders>
            <w:noWrap/>
            <w:vAlign w:val="bottom"/>
            <w:hideMark/>
          </w:tcPr>
          <w:p w14:paraId="379B9DF0" w14:textId="77777777" w:rsidR="00E776EA" w:rsidRPr="00E776EA" w:rsidRDefault="00E776EA" w:rsidP="00E776EA">
            <w:pPr>
              <w:jc w:val="right"/>
              <w:rPr>
                <w:rFonts w:ascii="Arial" w:hAnsi="Arial" w:cs="Arial"/>
                <w:b/>
                <w:bCs/>
                <w:color w:val="000000"/>
              </w:rPr>
            </w:pPr>
            <w:r w:rsidRPr="00E776EA">
              <w:rPr>
                <w:rFonts w:ascii="Arial" w:hAnsi="Arial" w:cs="Arial"/>
                <w:b/>
                <w:bCs/>
                <w:color w:val="000000"/>
              </w:rPr>
              <w:t>1</w:t>
            </w:r>
          </w:p>
        </w:tc>
      </w:tr>
    </w:tbl>
    <w:p w14:paraId="2FFD7E2C" w14:textId="37180BCA" w:rsidR="00CA28B4" w:rsidRPr="00641039" w:rsidRDefault="00310ACA" w:rsidP="002204CD">
      <w:pPr>
        <w:pStyle w:val="Body"/>
        <w:spacing w:after="0"/>
        <w:rPr>
          <w:rFonts w:ascii="Arial" w:hAnsi="Arial" w:cs="Arial"/>
          <w:b/>
          <w:bCs/>
          <w:i/>
          <w:iCs/>
          <w:sz w:val="18"/>
          <w:szCs w:val="18"/>
        </w:rPr>
      </w:pPr>
      <w:r w:rsidRPr="00641039">
        <w:rPr>
          <w:rFonts w:ascii="Arial" w:hAnsi="Arial" w:cs="Arial"/>
          <w:b/>
          <w:bCs/>
          <w:i/>
          <w:iCs/>
          <w:sz w:val="18"/>
          <w:szCs w:val="18"/>
        </w:rPr>
        <w:t xml:space="preserve">Legend: PH = </w:t>
      </w:r>
      <w:r w:rsidRPr="00641039">
        <w:rPr>
          <w:rFonts w:ascii="Arial" w:hAnsi="Arial" w:cs="Arial"/>
          <w:i/>
          <w:iCs/>
          <w:sz w:val="18"/>
          <w:szCs w:val="18"/>
        </w:rPr>
        <w:t xml:space="preserve">plant height, </w:t>
      </w:r>
      <w:r w:rsidR="001C3675" w:rsidRPr="00641039">
        <w:rPr>
          <w:rFonts w:ascii="Arial" w:hAnsi="Arial" w:cs="Arial"/>
          <w:b/>
          <w:bCs/>
          <w:i/>
          <w:iCs/>
          <w:sz w:val="18"/>
          <w:szCs w:val="18"/>
        </w:rPr>
        <w:t xml:space="preserve">SCD </w:t>
      </w:r>
      <w:r w:rsidR="001C3675" w:rsidRPr="00641039">
        <w:rPr>
          <w:rFonts w:ascii="Arial" w:hAnsi="Arial" w:cs="Arial"/>
          <w:i/>
          <w:iCs/>
          <w:sz w:val="18"/>
          <w:szCs w:val="18"/>
        </w:rPr>
        <w:t xml:space="preserve">= steam diameter collar, </w:t>
      </w:r>
      <w:r w:rsidR="001C3675" w:rsidRPr="00641039">
        <w:rPr>
          <w:rFonts w:ascii="Arial" w:hAnsi="Arial" w:cs="Arial"/>
          <w:b/>
          <w:bCs/>
          <w:i/>
          <w:iCs/>
          <w:sz w:val="18"/>
          <w:szCs w:val="18"/>
        </w:rPr>
        <w:t>TN</w:t>
      </w:r>
      <w:r w:rsidR="001C3675" w:rsidRPr="00641039">
        <w:rPr>
          <w:rFonts w:ascii="Arial" w:hAnsi="Arial" w:cs="Arial"/>
          <w:i/>
          <w:iCs/>
          <w:sz w:val="18"/>
          <w:szCs w:val="18"/>
        </w:rPr>
        <w:t xml:space="preserve"> = tiller number</w:t>
      </w:r>
      <w:r w:rsidR="00980BCE" w:rsidRPr="00641039">
        <w:rPr>
          <w:rFonts w:ascii="Arial" w:hAnsi="Arial" w:cs="Arial"/>
          <w:i/>
          <w:iCs/>
          <w:sz w:val="18"/>
          <w:szCs w:val="18"/>
        </w:rPr>
        <w:t xml:space="preserve">, </w:t>
      </w:r>
      <w:r w:rsidR="00DA64E3" w:rsidRPr="00DA64E3">
        <w:rPr>
          <w:rFonts w:ascii="Arial" w:hAnsi="Arial" w:cs="Arial"/>
          <w:b/>
          <w:bCs/>
          <w:i/>
          <w:iCs/>
          <w:sz w:val="18"/>
          <w:szCs w:val="18"/>
        </w:rPr>
        <w:t>NDFO =</w:t>
      </w:r>
      <w:r w:rsidR="00DA64E3">
        <w:rPr>
          <w:rFonts w:ascii="Arial" w:hAnsi="Arial" w:cs="Arial"/>
          <w:i/>
          <w:iCs/>
          <w:sz w:val="18"/>
          <w:szCs w:val="18"/>
        </w:rPr>
        <w:t xml:space="preserve"> </w:t>
      </w:r>
      <w:r w:rsidR="00DA64E3">
        <w:rPr>
          <w:rFonts w:ascii="Arial" w:hAnsi="Arial" w:cs="Arial"/>
        </w:rPr>
        <w:t>n</w:t>
      </w:r>
      <w:r w:rsidR="00DA64E3" w:rsidRPr="00FA73F9">
        <w:rPr>
          <w:rFonts w:ascii="Arial" w:hAnsi="Arial" w:cs="Arial"/>
        </w:rPr>
        <w:t>umber of days to flowering onset</w:t>
      </w:r>
      <w:r w:rsidR="00DA64E3" w:rsidRPr="00641039">
        <w:rPr>
          <w:rFonts w:ascii="Arial" w:hAnsi="Arial" w:cs="Arial"/>
          <w:b/>
          <w:bCs/>
          <w:i/>
          <w:iCs/>
          <w:sz w:val="18"/>
          <w:szCs w:val="18"/>
        </w:rPr>
        <w:t xml:space="preserve"> </w:t>
      </w:r>
      <w:r w:rsidR="00980BCE" w:rsidRPr="00641039">
        <w:rPr>
          <w:rFonts w:ascii="Arial" w:hAnsi="Arial" w:cs="Arial"/>
          <w:b/>
          <w:bCs/>
          <w:i/>
          <w:iCs/>
          <w:sz w:val="18"/>
          <w:szCs w:val="18"/>
        </w:rPr>
        <w:t>ND50%F</w:t>
      </w:r>
      <w:r w:rsidR="00980BCE" w:rsidRPr="00641039">
        <w:rPr>
          <w:rFonts w:ascii="Arial" w:hAnsi="Arial" w:cs="Arial"/>
          <w:i/>
          <w:iCs/>
          <w:sz w:val="18"/>
          <w:szCs w:val="18"/>
        </w:rPr>
        <w:t xml:space="preserve"> = number of days to 50% flowering, </w:t>
      </w:r>
      <w:r w:rsidR="00980BCE" w:rsidRPr="00641039">
        <w:rPr>
          <w:rFonts w:ascii="Arial" w:hAnsi="Arial" w:cs="Arial"/>
          <w:b/>
          <w:bCs/>
          <w:i/>
          <w:iCs/>
          <w:sz w:val="18"/>
          <w:szCs w:val="18"/>
        </w:rPr>
        <w:t xml:space="preserve">PL </w:t>
      </w:r>
      <w:r w:rsidR="00980BCE" w:rsidRPr="00641039">
        <w:rPr>
          <w:rFonts w:ascii="Arial" w:hAnsi="Arial" w:cs="Arial"/>
          <w:i/>
          <w:iCs/>
          <w:sz w:val="18"/>
          <w:szCs w:val="18"/>
        </w:rPr>
        <w:t xml:space="preserve">= panicle length, </w:t>
      </w:r>
      <w:r w:rsidR="00980BCE" w:rsidRPr="00641039">
        <w:rPr>
          <w:rFonts w:ascii="Arial" w:hAnsi="Arial" w:cs="Arial"/>
          <w:b/>
          <w:bCs/>
          <w:i/>
          <w:iCs/>
          <w:sz w:val="18"/>
          <w:szCs w:val="18"/>
        </w:rPr>
        <w:t xml:space="preserve">PD </w:t>
      </w:r>
      <w:r w:rsidR="00980BCE" w:rsidRPr="00641039">
        <w:rPr>
          <w:rFonts w:ascii="Arial" w:hAnsi="Arial" w:cs="Arial"/>
          <w:i/>
          <w:iCs/>
          <w:sz w:val="18"/>
          <w:szCs w:val="18"/>
        </w:rPr>
        <w:t xml:space="preserve">= panicle diameter, </w:t>
      </w:r>
      <w:r w:rsidR="003F081A" w:rsidRPr="00641039">
        <w:rPr>
          <w:rFonts w:ascii="Arial" w:hAnsi="Arial" w:cs="Arial"/>
          <w:b/>
          <w:bCs/>
          <w:i/>
          <w:iCs/>
          <w:sz w:val="18"/>
          <w:szCs w:val="18"/>
        </w:rPr>
        <w:t>GY</w:t>
      </w:r>
      <w:r w:rsidR="003F081A" w:rsidRPr="00641039">
        <w:rPr>
          <w:rFonts w:ascii="Arial" w:hAnsi="Arial" w:cs="Arial"/>
          <w:i/>
          <w:iCs/>
          <w:sz w:val="18"/>
          <w:szCs w:val="18"/>
        </w:rPr>
        <w:t xml:space="preserve"> = grains yield, </w:t>
      </w:r>
      <w:r w:rsidR="003F081A" w:rsidRPr="00641039">
        <w:rPr>
          <w:rFonts w:ascii="Arial" w:hAnsi="Arial" w:cs="Arial"/>
          <w:b/>
          <w:bCs/>
          <w:i/>
          <w:iCs/>
          <w:sz w:val="18"/>
          <w:szCs w:val="18"/>
        </w:rPr>
        <w:t>SY</w:t>
      </w:r>
      <w:r w:rsidR="003F081A" w:rsidRPr="00641039">
        <w:rPr>
          <w:rFonts w:ascii="Arial" w:hAnsi="Arial" w:cs="Arial"/>
          <w:i/>
          <w:iCs/>
          <w:sz w:val="18"/>
          <w:szCs w:val="18"/>
        </w:rPr>
        <w:t xml:space="preserve"> = straw yield, </w:t>
      </w:r>
      <w:r w:rsidR="003F081A" w:rsidRPr="00641039">
        <w:rPr>
          <w:rFonts w:ascii="Arial" w:hAnsi="Arial" w:cs="Arial"/>
          <w:b/>
          <w:bCs/>
          <w:i/>
          <w:iCs/>
          <w:sz w:val="18"/>
          <w:szCs w:val="18"/>
        </w:rPr>
        <w:t>HI</w:t>
      </w:r>
      <w:r w:rsidR="003F081A" w:rsidRPr="00641039">
        <w:rPr>
          <w:rFonts w:ascii="Arial" w:hAnsi="Arial" w:cs="Arial"/>
          <w:i/>
          <w:iCs/>
          <w:sz w:val="18"/>
          <w:szCs w:val="18"/>
        </w:rPr>
        <w:t xml:space="preserve"> = harvest index.</w:t>
      </w:r>
    </w:p>
    <w:p w14:paraId="03554AEB" w14:textId="77777777" w:rsidR="002204CD" w:rsidRPr="002204CD" w:rsidRDefault="002204CD" w:rsidP="00797F7E">
      <w:pPr>
        <w:pStyle w:val="Body"/>
        <w:spacing w:after="0"/>
        <w:rPr>
          <w:rFonts w:ascii="Arial" w:hAnsi="Arial" w:cs="Arial"/>
          <w:b/>
          <w:bCs/>
        </w:rPr>
      </w:pPr>
    </w:p>
    <w:p w14:paraId="5440591B" w14:textId="0436C51B" w:rsidR="00797F7E" w:rsidRPr="00797F7E" w:rsidRDefault="00797F7E" w:rsidP="00797F7E">
      <w:pPr>
        <w:pStyle w:val="Body"/>
        <w:rPr>
          <w:rFonts w:ascii="Arial" w:hAnsi="Arial" w:cs="Arial"/>
          <w:b/>
          <w:bCs/>
        </w:rPr>
      </w:pPr>
      <w:r w:rsidRPr="00797F7E">
        <w:rPr>
          <w:rFonts w:ascii="Arial" w:hAnsi="Arial" w:cs="Arial"/>
          <w:b/>
          <w:bCs/>
        </w:rPr>
        <w:t>3.</w:t>
      </w:r>
      <w:r w:rsidR="002204CD">
        <w:rPr>
          <w:rFonts w:ascii="Arial" w:hAnsi="Arial" w:cs="Arial"/>
          <w:b/>
          <w:bCs/>
        </w:rPr>
        <w:t>1.</w:t>
      </w:r>
      <w:r w:rsidR="00641039">
        <w:rPr>
          <w:rFonts w:ascii="Arial" w:hAnsi="Arial" w:cs="Arial"/>
          <w:b/>
          <w:bCs/>
        </w:rPr>
        <w:t>4</w:t>
      </w:r>
      <w:r w:rsidRPr="00797F7E">
        <w:rPr>
          <w:rFonts w:ascii="Arial" w:hAnsi="Arial" w:cs="Arial"/>
          <w:b/>
          <w:bCs/>
        </w:rPr>
        <w:t xml:space="preserve"> </w:t>
      </w:r>
      <w:bookmarkStart w:id="3" w:name="_Hlk228526100"/>
      <w:r w:rsidRPr="00797F7E">
        <w:rPr>
          <w:rFonts w:ascii="Arial" w:hAnsi="Arial" w:cs="Arial"/>
          <w:b/>
          <w:bCs/>
        </w:rPr>
        <w:t>Residual effect of laying hen manure on the yield parameters</w:t>
      </w:r>
      <w:bookmarkEnd w:id="3"/>
    </w:p>
    <w:p w14:paraId="43A73EC5" w14:textId="56A3B671" w:rsidR="00797F7E" w:rsidRPr="00797F7E" w:rsidRDefault="00797F7E" w:rsidP="00D4024A">
      <w:pPr>
        <w:pStyle w:val="Body"/>
        <w:rPr>
          <w:rFonts w:ascii="Arial" w:hAnsi="Arial" w:cs="Arial"/>
        </w:rPr>
      </w:pPr>
      <w:r w:rsidRPr="00797F7E">
        <w:rPr>
          <w:rFonts w:ascii="Arial" w:hAnsi="Arial" w:cs="Arial"/>
        </w:rPr>
        <w:t xml:space="preserve">The panicle length of plants under treatments T2, T3, and T4 of laying hen manure was significantly greater than that of the control treatment T0 (Table </w:t>
      </w:r>
      <w:r w:rsidR="00C65D7C">
        <w:rPr>
          <w:rFonts w:ascii="Arial" w:hAnsi="Arial" w:cs="Arial"/>
        </w:rPr>
        <w:t>5</w:t>
      </w:r>
      <w:r w:rsidRPr="00797F7E">
        <w:rPr>
          <w:rFonts w:ascii="Arial" w:hAnsi="Arial" w:cs="Arial"/>
        </w:rPr>
        <w:t xml:space="preserve">). The longest panicle was observed under treatments T3 and T4, measuring 32.33 cm and 35.33 cm, respectively (Table </w:t>
      </w:r>
      <w:r w:rsidR="00C65D7C">
        <w:rPr>
          <w:rFonts w:ascii="Arial" w:hAnsi="Arial" w:cs="Arial"/>
        </w:rPr>
        <w:t>5</w:t>
      </w:r>
      <w:r w:rsidRPr="00797F7E">
        <w:rPr>
          <w:rFonts w:ascii="Arial" w:hAnsi="Arial" w:cs="Arial"/>
        </w:rPr>
        <w:t>). ANOVA revealed a significant effect of treatments on panicle length (</w:t>
      </w:r>
      <w:r w:rsidRPr="007E4041">
        <w:rPr>
          <w:rFonts w:ascii="Arial" w:hAnsi="Arial" w:cs="Arial"/>
          <w:i/>
          <w:iCs/>
        </w:rPr>
        <w:t>P</w:t>
      </w:r>
      <w:r w:rsidRPr="00797F7E">
        <w:rPr>
          <w:rFonts w:ascii="Arial" w:hAnsi="Arial" w:cs="Arial"/>
        </w:rPr>
        <w:t xml:space="preserve"> = .006).</w:t>
      </w:r>
    </w:p>
    <w:p w14:paraId="021FDCDE" w14:textId="092F5B49" w:rsidR="00797F7E" w:rsidRPr="00797F7E" w:rsidRDefault="00797F7E" w:rsidP="00D4024A">
      <w:pPr>
        <w:pStyle w:val="Body"/>
        <w:rPr>
          <w:rFonts w:ascii="Arial" w:hAnsi="Arial" w:cs="Arial"/>
        </w:rPr>
      </w:pPr>
      <w:r w:rsidRPr="00797F7E">
        <w:rPr>
          <w:rFonts w:ascii="Arial" w:hAnsi="Arial" w:cs="Arial"/>
        </w:rPr>
        <w:t xml:space="preserve">Similarly, the panicle diameter was larger under treatments T3 and T4, with increases of 7.09 mm and 7.84 mm, respectively, compared to the control T0 (Table </w:t>
      </w:r>
      <w:r w:rsidR="00C65D7C">
        <w:rPr>
          <w:rFonts w:ascii="Arial" w:hAnsi="Arial" w:cs="Arial"/>
        </w:rPr>
        <w:t>5</w:t>
      </w:r>
      <w:r w:rsidRPr="00797F7E">
        <w:rPr>
          <w:rFonts w:ascii="Arial" w:hAnsi="Arial" w:cs="Arial"/>
        </w:rPr>
        <w:t>). The largest panicles were recorded under T3 and T4, measuring 30.42 mm and 31.17 mm, respectively. Statistical analysis confirmed a significant effect of treatments on panicle diameter (</w:t>
      </w:r>
      <w:r w:rsidRPr="007E4041">
        <w:rPr>
          <w:rFonts w:ascii="Arial" w:hAnsi="Arial" w:cs="Arial"/>
          <w:i/>
          <w:iCs/>
        </w:rPr>
        <w:t>P</w:t>
      </w:r>
      <w:r w:rsidRPr="00797F7E">
        <w:rPr>
          <w:rFonts w:ascii="Arial" w:hAnsi="Arial" w:cs="Arial"/>
        </w:rPr>
        <w:t xml:space="preserve"> = .000).</w:t>
      </w:r>
    </w:p>
    <w:p w14:paraId="1B68E733" w14:textId="50977FAB" w:rsidR="00797F7E" w:rsidRPr="00797F7E" w:rsidRDefault="00797F7E" w:rsidP="00D4024A">
      <w:pPr>
        <w:pStyle w:val="Body"/>
        <w:rPr>
          <w:rFonts w:ascii="Arial" w:hAnsi="Arial" w:cs="Arial"/>
        </w:rPr>
      </w:pPr>
      <w:r w:rsidRPr="00797F7E">
        <w:rPr>
          <w:rFonts w:ascii="Arial" w:hAnsi="Arial" w:cs="Arial"/>
        </w:rPr>
        <w:t xml:space="preserve">In parallel with the increase in panicle length, grain yield was significantly improved under treatments T2, T3, and T4 compared to the control T0 (Table </w:t>
      </w:r>
      <w:r w:rsidR="00C65D7C">
        <w:rPr>
          <w:rFonts w:ascii="Arial" w:hAnsi="Arial" w:cs="Arial"/>
        </w:rPr>
        <w:t>5</w:t>
      </w:r>
      <w:r w:rsidRPr="00797F7E">
        <w:rPr>
          <w:rFonts w:ascii="Arial" w:hAnsi="Arial" w:cs="Arial"/>
        </w:rPr>
        <w:t>). In particular, the highest grain yields were recorded under T3 and T4, reaching 3290.17 kg/ha and 3528.63 kg/ha, respectively. ANOVA confirmed a significant effect of treatments on grain yield (</w:t>
      </w:r>
      <w:r w:rsidRPr="007E4041">
        <w:rPr>
          <w:rFonts w:ascii="Arial" w:hAnsi="Arial" w:cs="Arial"/>
          <w:i/>
          <w:iCs/>
        </w:rPr>
        <w:t>P</w:t>
      </w:r>
      <w:r w:rsidRPr="00797F7E">
        <w:rPr>
          <w:rFonts w:ascii="Arial" w:hAnsi="Arial" w:cs="Arial"/>
        </w:rPr>
        <w:t xml:space="preserve"> = .000).</w:t>
      </w:r>
    </w:p>
    <w:p w14:paraId="227A4C00" w14:textId="42634E60" w:rsidR="00797F7E" w:rsidRPr="00797F7E" w:rsidRDefault="00797F7E" w:rsidP="00D4024A">
      <w:pPr>
        <w:pStyle w:val="Body"/>
        <w:rPr>
          <w:rFonts w:ascii="Arial" w:hAnsi="Arial" w:cs="Arial"/>
        </w:rPr>
      </w:pPr>
      <w:r w:rsidRPr="00797F7E">
        <w:rPr>
          <w:rFonts w:ascii="Arial" w:hAnsi="Arial" w:cs="Arial"/>
        </w:rPr>
        <w:t xml:space="preserve">Regarding straw yield, treatments T3 and T4 also produced higher values than the control (Table </w:t>
      </w:r>
      <w:r w:rsidR="00C65D7C">
        <w:rPr>
          <w:rFonts w:ascii="Arial" w:hAnsi="Arial" w:cs="Arial"/>
        </w:rPr>
        <w:t>5</w:t>
      </w:r>
      <w:r w:rsidRPr="00797F7E">
        <w:rPr>
          <w:rFonts w:ascii="Arial" w:hAnsi="Arial" w:cs="Arial"/>
        </w:rPr>
        <w:t>), with the maximum straw yields observed under T3 and T4, reaching 5123.11 kg/ha and 5613.62 kg/ha, respectively. ANOVA indicated a significant effect of treatments on straw yield (</w:t>
      </w:r>
      <w:r w:rsidRPr="007E4041">
        <w:rPr>
          <w:rFonts w:ascii="Arial" w:hAnsi="Arial" w:cs="Arial"/>
          <w:i/>
          <w:iCs/>
        </w:rPr>
        <w:t>P</w:t>
      </w:r>
      <w:r w:rsidRPr="00797F7E">
        <w:rPr>
          <w:rFonts w:ascii="Arial" w:hAnsi="Arial" w:cs="Arial"/>
        </w:rPr>
        <w:t xml:space="preserve"> = .000).</w:t>
      </w:r>
    </w:p>
    <w:p w14:paraId="48E79B98" w14:textId="2ED6B8FF" w:rsidR="007E4041" w:rsidRDefault="00797F7E" w:rsidP="00D4024A">
      <w:pPr>
        <w:pStyle w:val="Body"/>
        <w:rPr>
          <w:rFonts w:ascii="Arial" w:hAnsi="Arial" w:cs="Arial"/>
        </w:rPr>
      </w:pPr>
      <w:r w:rsidRPr="00797F7E">
        <w:rPr>
          <w:rFonts w:ascii="Arial" w:hAnsi="Arial" w:cs="Arial"/>
        </w:rPr>
        <w:t xml:space="preserve">In contrast to other yield parameters, the harvest index remained generally similar across all treatments. However, treatments T1 to T4 showed a slightly higher harvest index above 0.5, except for the control T0 (Table </w:t>
      </w:r>
      <w:r w:rsidR="00C65D7C">
        <w:rPr>
          <w:rFonts w:ascii="Arial" w:hAnsi="Arial" w:cs="Arial"/>
        </w:rPr>
        <w:t>5</w:t>
      </w:r>
      <w:r w:rsidRPr="00797F7E">
        <w:rPr>
          <w:rFonts w:ascii="Arial" w:hAnsi="Arial" w:cs="Arial"/>
        </w:rPr>
        <w:t>). ANOVA revealed no significant effect of treatments on the harvest index (</w:t>
      </w:r>
      <w:r w:rsidRPr="007E4041">
        <w:rPr>
          <w:rFonts w:ascii="Arial" w:hAnsi="Arial" w:cs="Arial"/>
          <w:i/>
          <w:iCs/>
        </w:rPr>
        <w:t>P</w:t>
      </w:r>
      <w:r w:rsidRPr="00797F7E">
        <w:rPr>
          <w:rFonts w:ascii="Arial" w:hAnsi="Arial" w:cs="Arial"/>
        </w:rPr>
        <w:t xml:space="preserve"> = .13). </w:t>
      </w:r>
    </w:p>
    <w:p w14:paraId="1CA5CBBD" w14:textId="77777777" w:rsidR="00C82CF6" w:rsidRDefault="00C82CF6" w:rsidP="00797F7E">
      <w:pPr>
        <w:pStyle w:val="Body"/>
        <w:spacing w:after="0"/>
        <w:rPr>
          <w:rFonts w:ascii="Arial" w:hAnsi="Arial" w:cs="Arial"/>
        </w:rPr>
        <w:sectPr w:rsidR="00C82CF6" w:rsidSect="00362BE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7B1D6AF" w14:textId="77777777" w:rsidR="007E4041" w:rsidRDefault="007E4041" w:rsidP="00797F7E">
      <w:pPr>
        <w:pStyle w:val="Body"/>
        <w:spacing w:after="0"/>
        <w:rPr>
          <w:rFonts w:ascii="Arial" w:hAnsi="Arial" w:cs="Arial"/>
        </w:rPr>
      </w:pPr>
    </w:p>
    <w:p w14:paraId="40C0D280" w14:textId="77777777" w:rsidR="006166EC" w:rsidRPr="00D4024A" w:rsidRDefault="006166EC" w:rsidP="00AC2FB7">
      <w:pPr>
        <w:pStyle w:val="Body"/>
        <w:rPr>
          <w:rFonts w:ascii="Arial" w:hAnsi="Arial" w:cs="Arial"/>
          <w:b/>
          <w:bCs/>
        </w:rPr>
        <w:sectPr w:rsidR="006166EC" w:rsidRPr="00D4024A" w:rsidSect="00362BE8">
          <w:type w:val="continuous"/>
          <w:pgSz w:w="12240" w:h="15840"/>
          <w:pgMar w:top="1440" w:right="2016" w:bottom="2016" w:left="2016" w:header="720" w:footer="1123" w:gutter="0"/>
          <w:cols w:space="720"/>
          <w:docGrid w:linePitch="272"/>
        </w:sectPr>
      </w:pPr>
    </w:p>
    <w:p w14:paraId="34C00870" w14:textId="08A64269" w:rsidR="00C82CF6" w:rsidRPr="00AC2FB7" w:rsidRDefault="00C82CF6" w:rsidP="00AC2FB7">
      <w:pPr>
        <w:pStyle w:val="Body"/>
        <w:rPr>
          <w:rFonts w:ascii="Arial" w:hAnsi="Arial" w:cs="Arial"/>
          <w:b/>
          <w:bCs/>
        </w:rPr>
      </w:pPr>
      <w:r w:rsidRPr="00D4024A">
        <w:rPr>
          <w:rFonts w:ascii="Arial" w:hAnsi="Arial" w:cs="Arial"/>
          <w:b/>
          <w:bCs/>
        </w:rPr>
        <w:lastRenderedPageBreak/>
        <w:t xml:space="preserve">Table </w:t>
      </w:r>
      <w:r w:rsidR="00641039">
        <w:rPr>
          <w:rFonts w:ascii="Arial" w:hAnsi="Arial" w:cs="Arial"/>
          <w:b/>
          <w:bCs/>
        </w:rPr>
        <w:t>5</w:t>
      </w:r>
      <w:r w:rsidR="00AC2FB7" w:rsidRPr="00D4024A">
        <w:rPr>
          <w:rFonts w:ascii="Arial" w:hAnsi="Arial" w:cs="Arial"/>
          <w:b/>
          <w:bCs/>
        </w:rPr>
        <w:t>.</w:t>
      </w:r>
      <w:r w:rsidRPr="00D4024A">
        <w:rPr>
          <w:rFonts w:ascii="Arial" w:hAnsi="Arial" w:cs="Arial"/>
          <w:b/>
          <w:bCs/>
        </w:rPr>
        <w:t xml:space="preserve"> </w:t>
      </w:r>
      <w:r w:rsidR="00AC2FB7" w:rsidRPr="00AC2FB7">
        <w:rPr>
          <w:rFonts w:ascii="Arial" w:hAnsi="Arial" w:cs="Arial"/>
          <w:b/>
          <w:bCs/>
        </w:rPr>
        <w:t xml:space="preserve">Residual effect </w:t>
      </w:r>
      <w:r w:rsidR="00AC2FB7">
        <w:rPr>
          <w:rFonts w:ascii="Arial" w:hAnsi="Arial" w:cs="Arial"/>
          <w:b/>
          <w:bCs/>
        </w:rPr>
        <w:t>of fertilizers</w:t>
      </w:r>
      <w:r w:rsidR="00AC2FB7" w:rsidRPr="00AC2FB7">
        <w:rPr>
          <w:rFonts w:ascii="Arial" w:hAnsi="Arial" w:cs="Arial"/>
          <w:b/>
          <w:bCs/>
        </w:rPr>
        <w:t xml:space="preserve"> on the yield parameters</w:t>
      </w:r>
    </w:p>
    <w:tbl>
      <w:tblPr>
        <w:tblStyle w:val="ListTable6Colorful"/>
        <w:tblW w:w="0" w:type="auto"/>
        <w:tblLook w:val="04A0" w:firstRow="1" w:lastRow="0" w:firstColumn="1" w:lastColumn="0" w:noHBand="0" w:noVBand="1"/>
      </w:tblPr>
      <w:tblGrid>
        <w:gridCol w:w="1422"/>
        <w:gridCol w:w="2524"/>
        <w:gridCol w:w="2533"/>
        <w:gridCol w:w="2270"/>
        <w:gridCol w:w="2184"/>
        <w:gridCol w:w="1667"/>
      </w:tblGrid>
      <w:tr w:rsidR="006166EC" w:rsidRPr="00C82CF6" w14:paraId="19278EB9" w14:textId="77777777" w:rsidTr="00616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461091F2" w14:textId="77777777" w:rsidR="00C82CF6" w:rsidRPr="00C82CF6" w:rsidRDefault="00C82CF6" w:rsidP="00AC2FB7">
            <w:pPr>
              <w:pStyle w:val="Body"/>
              <w:spacing w:after="0"/>
              <w:rPr>
                <w:rFonts w:ascii="Arial" w:hAnsi="Arial" w:cs="Arial"/>
              </w:rPr>
            </w:pPr>
            <w:r w:rsidRPr="00C82CF6">
              <w:rPr>
                <w:rFonts w:ascii="Arial" w:hAnsi="Arial" w:cs="Arial"/>
              </w:rPr>
              <w:t>Treatment</w:t>
            </w:r>
          </w:p>
        </w:tc>
        <w:tc>
          <w:tcPr>
            <w:tcW w:w="2610" w:type="dxa"/>
          </w:tcPr>
          <w:p w14:paraId="04BBC1EA"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Length of panicle (Cm)</w:t>
            </w:r>
          </w:p>
        </w:tc>
        <w:tc>
          <w:tcPr>
            <w:tcW w:w="2610" w:type="dxa"/>
          </w:tcPr>
          <w:p w14:paraId="320AEF0C"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Diameter of panicle (mm)</w:t>
            </w:r>
          </w:p>
        </w:tc>
        <w:tc>
          <w:tcPr>
            <w:tcW w:w="2340" w:type="dxa"/>
          </w:tcPr>
          <w:p w14:paraId="68816C4F"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Grains yield (Kg/ha)</w:t>
            </w:r>
          </w:p>
        </w:tc>
        <w:tc>
          <w:tcPr>
            <w:tcW w:w="2250" w:type="dxa"/>
          </w:tcPr>
          <w:p w14:paraId="48250171"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Straw yield (Kg/ha)</w:t>
            </w:r>
          </w:p>
        </w:tc>
        <w:tc>
          <w:tcPr>
            <w:tcW w:w="1705" w:type="dxa"/>
          </w:tcPr>
          <w:p w14:paraId="4EB537B9"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Harvest index</w:t>
            </w:r>
          </w:p>
        </w:tc>
      </w:tr>
      <w:tr w:rsidR="006166EC" w:rsidRPr="00C82CF6" w14:paraId="34919CB3" w14:textId="77777777" w:rsidTr="00616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auto"/>
          </w:tcPr>
          <w:p w14:paraId="1D9B12DF" w14:textId="77777777" w:rsidR="00C82CF6" w:rsidRPr="00C82CF6" w:rsidRDefault="00C82CF6" w:rsidP="00AC2FB7">
            <w:pPr>
              <w:pStyle w:val="Body"/>
              <w:spacing w:after="0"/>
              <w:rPr>
                <w:rFonts w:ascii="Arial" w:hAnsi="Arial" w:cs="Arial"/>
                <w:b w:val="0"/>
              </w:rPr>
            </w:pPr>
            <w:r w:rsidRPr="00C82CF6">
              <w:rPr>
                <w:rFonts w:ascii="Arial" w:hAnsi="Arial" w:cs="Arial"/>
                <w:b w:val="0"/>
              </w:rPr>
              <w:t>T0</w:t>
            </w:r>
          </w:p>
        </w:tc>
        <w:tc>
          <w:tcPr>
            <w:tcW w:w="2610" w:type="dxa"/>
            <w:shd w:val="clear" w:color="auto" w:fill="auto"/>
          </w:tcPr>
          <w:p w14:paraId="612FA94F"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24.33 ± 1.53c</w:t>
            </w:r>
          </w:p>
        </w:tc>
        <w:tc>
          <w:tcPr>
            <w:tcW w:w="2610" w:type="dxa"/>
            <w:shd w:val="clear" w:color="auto" w:fill="auto"/>
          </w:tcPr>
          <w:p w14:paraId="7C7F33A8"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23.33 ± 2.03b</w:t>
            </w:r>
          </w:p>
        </w:tc>
        <w:tc>
          <w:tcPr>
            <w:tcW w:w="2340" w:type="dxa"/>
            <w:shd w:val="clear" w:color="auto" w:fill="auto"/>
          </w:tcPr>
          <w:p w14:paraId="36EDACD1"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644.43 ± 93.24c</w:t>
            </w:r>
          </w:p>
        </w:tc>
        <w:tc>
          <w:tcPr>
            <w:tcW w:w="2250" w:type="dxa"/>
            <w:shd w:val="clear" w:color="auto" w:fill="auto"/>
          </w:tcPr>
          <w:p w14:paraId="570BA045"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1613.87 ± 128.4bb</w:t>
            </w:r>
          </w:p>
        </w:tc>
        <w:tc>
          <w:tcPr>
            <w:tcW w:w="1705" w:type="dxa"/>
            <w:shd w:val="clear" w:color="auto" w:fill="auto"/>
          </w:tcPr>
          <w:p w14:paraId="741068CE"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0.40 ± 0.04a</w:t>
            </w:r>
          </w:p>
        </w:tc>
      </w:tr>
      <w:tr w:rsidR="006166EC" w:rsidRPr="00C82CF6" w14:paraId="1CA033A6" w14:textId="77777777" w:rsidTr="006166EC">
        <w:tc>
          <w:tcPr>
            <w:cnfStyle w:val="001000000000" w:firstRow="0" w:lastRow="0" w:firstColumn="1" w:lastColumn="0" w:oddVBand="0" w:evenVBand="0" w:oddHBand="0" w:evenHBand="0" w:firstRowFirstColumn="0" w:firstRowLastColumn="0" w:lastRowFirstColumn="0" w:lastRowLastColumn="0"/>
            <w:tcW w:w="1435" w:type="dxa"/>
          </w:tcPr>
          <w:p w14:paraId="51354E3A" w14:textId="77777777" w:rsidR="00C82CF6" w:rsidRPr="00C82CF6" w:rsidRDefault="00C82CF6" w:rsidP="00AC2FB7">
            <w:pPr>
              <w:pStyle w:val="Body"/>
              <w:spacing w:after="0"/>
              <w:rPr>
                <w:rFonts w:ascii="Arial" w:hAnsi="Arial" w:cs="Arial"/>
                <w:b w:val="0"/>
              </w:rPr>
            </w:pPr>
            <w:r w:rsidRPr="00C82CF6">
              <w:rPr>
                <w:rFonts w:ascii="Arial" w:hAnsi="Arial" w:cs="Arial"/>
                <w:b w:val="0"/>
              </w:rPr>
              <w:t>T1</w:t>
            </w:r>
          </w:p>
        </w:tc>
        <w:tc>
          <w:tcPr>
            <w:tcW w:w="2610" w:type="dxa"/>
          </w:tcPr>
          <w:p w14:paraId="0506E0B0"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26.67 ± 1.15c</w:t>
            </w:r>
          </w:p>
        </w:tc>
        <w:tc>
          <w:tcPr>
            <w:tcW w:w="2610" w:type="dxa"/>
          </w:tcPr>
          <w:p w14:paraId="73E67CB4"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23.84 ± 1.46b</w:t>
            </w:r>
          </w:p>
        </w:tc>
        <w:tc>
          <w:tcPr>
            <w:tcW w:w="2340" w:type="dxa"/>
          </w:tcPr>
          <w:p w14:paraId="6C4AEB24"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892.44 ± 273.48c</w:t>
            </w:r>
          </w:p>
        </w:tc>
        <w:tc>
          <w:tcPr>
            <w:tcW w:w="2250" w:type="dxa"/>
          </w:tcPr>
          <w:p w14:paraId="112BB7B2"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1746.53 ± 240.38b</w:t>
            </w:r>
          </w:p>
        </w:tc>
        <w:tc>
          <w:tcPr>
            <w:tcW w:w="1705" w:type="dxa"/>
          </w:tcPr>
          <w:p w14:paraId="5532E5A1"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0.53 ± 0.21a</w:t>
            </w:r>
          </w:p>
        </w:tc>
      </w:tr>
      <w:tr w:rsidR="006166EC" w:rsidRPr="00C82CF6" w14:paraId="4A3EA1C3" w14:textId="77777777" w:rsidTr="00616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auto"/>
          </w:tcPr>
          <w:p w14:paraId="48EA18D5" w14:textId="77777777" w:rsidR="00C82CF6" w:rsidRPr="00C82CF6" w:rsidRDefault="00C82CF6" w:rsidP="00AC2FB7">
            <w:pPr>
              <w:pStyle w:val="Body"/>
              <w:spacing w:after="0"/>
              <w:rPr>
                <w:rFonts w:ascii="Arial" w:hAnsi="Arial" w:cs="Arial"/>
                <w:b w:val="0"/>
              </w:rPr>
            </w:pPr>
            <w:r w:rsidRPr="00C82CF6">
              <w:rPr>
                <w:rFonts w:ascii="Arial" w:hAnsi="Arial" w:cs="Arial"/>
                <w:b w:val="0"/>
              </w:rPr>
              <w:t>T2</w:t>
            </w:r>
          </w:p>
        </w:tc>
        <w:tc>
          <w:tcPr>
            <w:tcW w:w="2610" w:type="dxa"/>
            <w:shd w:val="clear" w:color="auto" w:fill="auto"/>
          </w:tcPr>
          <w:p w14:paraId="57C77FB0"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31.00 ± 1.73b</w:t>
            </w:r>
          </w:p>
        </w:tc>
        <w:tc>
          <w:tcPr>
            <w:tcW w:w="2610" w:type="dxa"/>
            <w:shd w:val="clear" w:color="auto" w:fill="auto"/>
          </w:tcPr>
          <w:p w14:paraId="1B7A7AC0"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25.66 ± 1.25b</w:t>
            </w:r>
          </w:p>
        </w:tc>
        <w:tc>
          <w:tcPr>
            <w:tcW w:w="2340" w:type="dxa"/>
            <w:shd w:val="clear" w:color="auto" w:fill="auto"/>
          </w:tcPr>
          <w:p w14:paraId="44C3DC3C"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1718.20 ± 191.86b</w:t>
            </w:r>
          </w:p>
        </w:tc>
        <w:tc>
          <w:tcPr>
            <w:tcW w:w="2250" w:type="dxa"/>
            <w:shd w:val="clear" w:color="auto" w:fill="auto"/>
          </w:tcPr>
          <w:p w14:paraId="28E4C463"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2725.32 ± 303.31b</w:t>
            </w:r>
          </w:p>
        </w:tc>
        <w:tc>
          <w:tcPr>
            <w:tcW w:w="1705" w:type="dxa"/>
            <w:shd w:val="clear" w:color="auto" w:fill="auto"/>
          </w:tcPr>
          <w:p w14:paraId="6B4ED497"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0.64 ± 0.14a</w:t>
            </w:r>
          </w:p>
        </w:tc>
      </w:tr>
      <w:tr w:rsidR="006166EC" w:rsidRPr="00C82CF6" w14:paraId="48E6602D" w14:textId="77777777" w:rsidTr="006166EC">
        <w:tc>
          <w:tcPr>
            <w:cnfStyle w:val="001000000000" w:firstRow="0" w:lastRow="0" w:firstColumn="1" w:lastColumn="0" w:oddVBand="0" w:evenVBand="0" w:oddHBand="0" w:evenHBand="0" w:firstRowFirstColumn="0" w:firstRowLastColumn="0" w:lastRowFirstColumn="0" w:lastRowLastColumn="0"/>
            <w:tcW w:w="1435" w:type="dxa"/>
          </w:tcPr>
          <w:p w14:paraId="5FD087E2" w14:textId="77777777" w:rsidR="00C82CF6" w:rsidRPr="00C82CF6" w:rsidRDefault="00C82CF6" w:rsidP="00AC2FB7">
            <w:pPr>
              <w:pStyle w:val="Body"/>
              <w:spacing w:after="0"/>
              <w:rPr>
                <w:rFonts w:ascii="Arial" w:hAnsi="Arial" w:cs="Arial"/>
                <w:b w:val="0"/>
              </w:rPr>
            </w:pPr>
            <w:r w:rsidRPr="00C82CF6">
              <w:rPr>
                <w:rFonts w:ascii="Arial" w:hAnsi="Arial" w:cs="Arial"/>
                <w:b w:val="0"/>
              </w:rPr>
              <w:t>T3</w:t>
            </w:r>
          </w:p>
        </w:tc>
        <w:tc>
          <w:tcPr>
            <w:tcW w:w="2610" w:type="dxa"/>
          </w:tcPr>
          <w:p w14:paraId="5DF9E555"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32.33 ± 2.31ab</w:t>
            </w:r>
          </w:p>
        </w:tc>
        <w:tc>
          <w:tcPr>
            <w:tcW w:w="2610" w:type="dxa"/>
          </w:tcPr>
          <w:p w14:paraId="56DFCDDC"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30.42 ± 0.36a</w:t>
            </w:r>
          </w:p>
        </w:tc>
        <w:tc>
          <w:tcPr>
            <w:tcW w:w="2340" w:type="dxa"/>
          </w:tcPr>
          <w:p w14:paraId="62E964E9"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3290.71 ± 108.60a</w:t>
            </w:r>
          </w:p>
        </w:tc>
        <w:tc>
          <w:tcPr>
            <w:tcW w:w="2250" w:type="dxa"/>
          </w:tcPr>
          <w:p w14:paraId="2ED11F61"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5123.11 ± 804.27a</w:t>
            </w:r>
          </w:p>
        </w:tc>
        <w:tc>
          <w:tcPr>
            <w:tcW w:w="1705" w:type="dxa"/>
          </w:tcPr>
          <w:p w14:paraId="27AD92D3"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0.65 ± 0.09a</w:t>
            </w:r>
          </w:p>
        </w:tc>
      </w:tr>
      <w:tr w:rsidR="006166EC" w:rsidRPr="00C82CF6" w14:paraId="1A1264F7" w14:textId="77777777" w:rsidTr="00616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auto"/>
          </w:tcPr>
          <w:p w14:paraId="490468AD" w14:textId="77777777" w:rsidR="00C82CF6" w:rsidRPr="00C82CF6" w:rsidRDefault="00C82CF6" w:rsidP="00AC2FB7">
            <w:pPr>
              <w:pStyle w:val="Body"/>
              <w:spacing w:after="0"/>
              <w:rPr>
                <w:rFonts w:ascii="Arial" w:hAnsi="Arial" w:cs="Arial"/>
                <w:b w:val="0"/>
              </w:rPr>
            </w:pPr>
            <w:r w:rsidRPr="00C82CF6">
              <w:rPr>
                <w:rFonts w:ascii="Arial" w:hAnsi="Arial" w:cs="Arial"/>
                <w:b w:val="0"/>
              </w:rPr>
              <w:t>T4</w:t>
            </w:r>
          </w:p>
        </w:tc>
        <w:tc>
          <w:tcPr>
            <w:tcW w:w="2610" w:type="dxa"/>
            <w:shd w:val="clear" w:color="auto" w:fill="auto"/>
          </w:tcPr>
          <w:p w14:paraId="493095E1"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35.33 ± 1.53a</w:t>
            </w:r>
          </w:p>
        </w:tc>
        <w:tc>
          <w:tcPr>
            <w:tcW w:w="2610" w:type="dxa"/>
            <w:shd w:val="clear" w:color="auto" w:fill="auto"/>
          </w:tcPr>
          <w:p w14:paraId="67F2BB31"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31.17 ± 0.82a</w:t>
            </w:r>
          </w:p>
        </w:tc>
        <w:tc>
          <w:tcPr>
            <w:tcW w:w="2340" w:type="dxa"/>
            <w:shd w:val="clear" w:color="auto" w:fill="auto"/>
          </w:tcPr>
          <w:p w14:paraId="66043A90"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3528.63 ± 290.32a</w:t>
            </w:r>
          </w:p>
        </w:tc>
        <w:tc>
          <w:tcPr>
            <w:tcW w:w="2250" w:type="dxa"/>
            <w:shd w:val="clear" w:color="auto" w:fill="auto"/>
          </w:tcPr>
          <w:p w14:paraId="4B479881"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5613.62 ± 928.40a</w:t>
            </w:r>
          </w:p>
        </w:tc>
        <w:tc>
          <w:tcPr>
            <w:tcW w:w="1705" w:type="dxa"/>
            <w:shd w:val="clear" w:color="auto" w:fill="auto"/>
          </w:tcPr>
          <w:p w14:paraId="14B25FD0"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0.64 ± 0.07a</w:t>
            </w:r>
          </w:p>
        </w:tc>
      </w:tr>
      <w:tr w:rsidR="006166EC" w:rsidRPr="00C82CF6" w14:paraId="14A37A03" w14:textId="77777777" w:rsidTr="006166EC">
        <w:tc>
          <w:tcPr>
            <w:cnfStyle w:val="001000000000" w:firstRow="0" w:lastRow="0" w:firstColumn="1" w:lastColumn="0" w:oddVBand="0" w:evenVBand="0" w:oddHBand="0" w:evenHBand="0" w:firstRowFirstColumn="0" w:firstRowLastColumn="0" w:lastRowFirstColumn="0" w:lastRowLastColumn="0"/>
            <w:tcW w:w="1435" w:type="dxa"/>
          </w:tcPr>
          <w:p w14:paraId="4EB80643" w14:textId="77777777" w:rsidR="00C82CF6" w:rsidRPr="00C82CF6" w:rsidRDefault="00C82CF6" w:rsidP="00AC2FB7">
            <w:pPr>
              <w:pStyle w:val="Body"/>
              <w:spacing w:after="0"/>
              <w:rPr>
                <w:rFonts w:ascii="Arial" w:hAnsi="Arial" w:cs="Arial"/>
              </w:rPr>
            </w:pPr>
            <w:r w:rsidRPr="00E824C3">
              <w:rPr>
                <w:rFonts w:ascii="Arial" w:hAnsi="Arial" w:cs="Arial"/>
                <w:i/>
                <w:iCs/>
              </w:rPr>
              <w:t>P</w:t>
            </w:r>
            <w:r w:rsidRPr="00C82CF6">
              <w:rPr>
                <w:rFonts w:ascii="Arial" w:hAnsi="Arial" w:cs="Arial"/>
              </w:rPr>
              <w:t>-value</w:t>
            </w:r>
          </w:p>
        </w:tc>
        <w:tc>
          <w:tcPr>
            <w:tcW w:w="2610" w:type="dxa"/>
          </w:tcPr>
          <w:p w14:paraId="04D50A77" w14:textId="2624EFE9"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82CF6">
              <w:rPr>
                <w:rFonts w:ascii="Arial" w:hAnsi="Arial" w:cs="Arial"/>
                <w:b/>
                <w:bCs/>
              </w:rPr>
              <w:t>.006</w:t>
            </w:r>
          </w:p>
        </w:tc>
        <w:tc>
          <w:tcPr>
            <w:tcW w:w="2610" w:type="dxa"/>
          </w:tcPr>
          <w:p w14:paraId="7BFF2DB3" w14:textId="18861E6F"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82CF6">
              <w:rPr>
                <w:rFonts w:ascii="Arial" w:hAnsi="Arial" w:cs="Arial"/>
                <w:b/>
                <w:bCs/>
              </w:rPr>
              <w:t>.000</w:t>
            </w:r>
          </w:p>
        </w:tc>
        <w:tc>
          <w:tcPr>
            <w:tcW w:w="2340" w:type="dxa"/>
          </w:tcPr>
          <w:p w14:paraId="07892E42" w14:textId="75F38401"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82CF6">
              <w:rPr>
                <w:rFonts w:ascii="Arial" w:hAnsi="Arial" w:cs="Arial"/>
                <w:b/>
                <w:bCs/>
              </w:rPr>
              <w:t>.000</w:t>
            </w:r>
          </w:p>
        </w:tc>
        <w:tc>
          <w:tcPr>
            <w:tcW w:w="2250" w:type="dxa"/>
          </w:tcPr>
          <w:p w14:paraId="34C041C4" w14:textId="434AFD63"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82CF6">
              <w:rPr>
                <w:rFonts w:ascii="Arial" w:hAnsi="Arial" w:cs="Arial"/>
                <w:b/>
                <w:bCs/>
              </w:rPr>
              <w:t>.000</w:t>
            </w:r>
          </w:p>
        </w:tc>
        <w:tc>
          <w:tcPr>
            <w:tcW w:w="1705" w:type="dxa"/>
          </w:tcPr>
          <w:p w14:paraId="4EA7C0FD" w14:textId="632A79C2"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.13</w:t>
            </w:r>
          </w:p>
        </w:tc>
      </w:tr>
    </w:tbl>
    <w:p w14:paraId="0B94FA15" w14:textId="5A30CA5C" w:rsidR="007E4041" w:rsidRPr="00E824C3" w:rsidRDefault="00C82CF6" w:rsidP="00797F7E">
      <w:pPr>
        <w:pStyle w:val="Body"/>
        <w:spacing w:after="0"/>
        <w:rPr>
          <w:rFonts w:ascii="Arial" w:hAnsi="Arial" w:cs="Arial"/>
          <w:i/>
          <w:iCs/>
          <w:sz w:val="18"/>
          <w:szCs w:val="18"/>
        </w:rPr>
      </w:pPr>
      <w:r w:rsidRPr="00E824C3">
        <w:rPr>
          <w:rFonts w:ascii="Arial" w:hAnsi="Arial" w:cs="Arial"/>
          <w:b/>
          <w:bCs/>
          <w:i/>
          <w:iCs/>
          <w:sz w:val="18"/>
          <w:szCs w:val="18"/>
        </w:rPr>
        <w:t>Legend:</w:t>
      </w:r>
      <w:r w:rsidRPr="00E824C3">
        <w:rPr>
          <w:rFonts w:ascii="Arial" w:hAnsi="Arial" w:cs="Arial"/>
          <w:i/>
          <w:iCs/>
          <w:sz w:val="18"/>
          <w:szCs w:val="18"/>
        </w:rPr>
        <w:t xml:space="preserve"> LHM = laying hen manure, T0 = control, T1 = 150 kg NPK + 50 kg urea, T2 = 2.5 t/ha of LHM, T3 = 5 t/ha of LHM, T4 = 7.5 t/ha of LHM</w:t>
      </w:r>
      <w:r w:rsidR="00E824C3" w:rsidRPr="00E824C3">
        <w:rPr>
          <w:rFonts w:ascii="Arial" w:hAnsi="Arial" w:cs="Arial"/>
          <w:i/>
          <w:iCs/>
          <w:sz w:val="18"/>
          <w:szCs w:val="18"/>
        </w:rPr>
        <w:t>, means followed by the same letter are not significantly different at the 5% significance level according to the Newman–Keuls test.</w:t>
      </w:r>
    </w:p>
    <w:p w14:paraId="21B57C9B" w14:textId="77777777" w:rsidR="00C82CF6" w:rsidRDefault="00C82CF6" w:rsidP="00797F7E">
      <w:pPr>
        <w:pStyle w:val="Body"/>
        <w:spacing w:after="0"/>
        <w:rPr>
          <w:rFonts w:ascii="Arial" w:hAnsi="Arial" w:cs="Arial"/>
        </w:rPr>
      </w:pPr>
    </w:p>
    <w:p w14:paraId="38119C8C" w14:textId="77777777" w:rsidR="00E053D0" w:rsidRDefault="00E053D0" w:rsidP="00441B6F">
      <w:pPr>
        <w:pStyle w:val="Body"/>
        <w:spacing w:after="0"/>
        <w:rPr>
          <w:rFonts w:ascii="Arial" w:hAnsi="Arial" w:cs="Arial"/>
        </w:rPr>
      </w:pPr>
    </w:p>
    <w:p w14:paraId="27C2437A" w14:textId="77777777" w:rsidR="006166EC" w:rsidRDefault="006166EC" w:rsidP="00441B6F">
      <w:pPr>
        <w:pStyle w:val="Body"/>
        <w:spacing w:after="0"/>
        <w:rPr>
          <w:rFonts w:ascii="Arial" w:hAnsi="Arial" w:cs="Arial"/>
        </w:rPr>
      </w:pPr>
    </w:p>
    <w:p w14:paraId="32CD1E9A" w14:textId="77777777" w:rsidR="006166EC" w:rsidRDefault="006166EC" w:rsidP="00441B6F">
      <w:pPr>
        <w:pStyle w:val="Body"/>
        <w:spacing w:after="0"/>
        <w:rPr>
          <w:rFonts w:ascii="Arial" w:hAnsi="Arial" w:cs="Arial"/>
        </w:rPr>
      </w:pPr>
    </w:p>
    <w:p w14:paraId="1E58BDB8" w14:textId="77777777" w:rsidR="006166EC" w:rsidRDefault="006166EC" w:rsidP="00441B6F">
      <w:pPr>
        <w:pStyle w:val="Body"/>
        <w:spacing w:after="0"/>
        <w:rPr>
          <w:rFonts w:ascii="Arial" w:hAnsi="Arial" w:cs="Arial"/>
        </w:rPr>
      </w:pPr>
    </w:p>
    <w:p w14:paraId="1276E93B" w14:textId="77777777" w:rsidR="006166EC" w:rsidRDefault="006166EC" w:rsidP="00441B6F">
      <w:pPr>
        <w:pStyle w:val="Body"/>
        <w:spacing w:after="0"/>
        <w:rPr>
          <w:rFonts w:ascii="Arial" w:hAnsi="Arial" w:cs="Arial"/>
        </w:rPr>
      </w:pPr>
    </w:p>
    <w:p w14:paraId="018EE343" w14:textId="77777777" w:rsidR="006166EC" w:rsidRDefault="006166EC" w:rsidP="00441B6F">
      <w:pPr>
        <w:pStyle w:val="Body"/>
        <w:spacing w:after="0"/>
        <w:rPr>
          <w:rFonts w:ascii="Arial" w:hAnsi="Arial" w:cs="Arial"/>
        </w:rPr>
      </w:pPr>
    </w:p>
    <w:p w14:paraId="10D137BF" w14:textId="77777777" w:rsidR="006166EC" w:rsidRDefault="006166EC" w:rsidP="00441B6F">
      <w:pPr>
        <w:pStyle w:val="Body"/>
        <w:spacing w:after="0"/>
        <w:rPr>
          <w:rFonts w:ascii="Arial" w:hAnsi="Arial" w:cs="Arial"/>
        </w:rPr>
      </w:pPr>
    </w:p>
    <w:p w14:paraId="6F60D93B" w14:textId="77777777" w:rsidR="006166EC" w:rsidRDefault="006166EC" w:rsidP="00441B6F">
      <w:pPr>
        <w:pStyle w:val="Body"/>
        <w:spacing w:after="0"/>
        <w:rPr>
          <w:rFonts w:ascii="Arial" w:hAnsi="Arial" w:cs="Arial"/>
        </w:rPr>
      </w:pPr>
    </w:p>
    <w:p w14:paraId="5887CFE5" w14:textId="77777777" w:rsidR="006166EC" w:rsidRDefault="006166EC" w:rsidP="00441B6F">
      <w:pPr>
        <w:pStyle w:val="Body"/>
        <w:spacing w:after="0"/>
        <w:rPr>
          <w:rFonts w:ascii="Arial" w:hAnsi="Arial" w:cs="Arial"/>
        </w:rPr>
      </w:pPr>
    </w:p>
    <w:p w14:paraId="2AF62608" w14:textId="77777777" w:rsidR="006166EC" w:rsidRDefault="006166EC" w:rsidP="00441B6F">
      <w:pPr>
        <w:pStyle w:val="Body"/>
        <w:spacing w:after="0"/>
        <w:rPr>
          <w:rFonts w:ascii="Arial" w:hAnsi="Arial" w:cs="Arial"/>
        </w:rPr>
      </w:pPr>
    </w:p>
    <w:p w14:paraId="28FFF0BA" w14:textId="77777777" w:rsidR="006166EC" w:rsidRDefault="006166EC" w:rsidP="00441B6F">
      <w:pPr>
        <w:pStyle w:val="Body"/>
        <w:spacing w:after="0"/>
        <w:rPr>
          <w:rFonts w:ascii="Arial" w:hAnsi="Arial" w:cs="Arial"/>
        </w:rPr>
      </w:pPr>
    </w:p>
    <w:p w14:paraId="63A21C4A" w14:textId="77777777" w:rsidR="006166EC" w:rsidRDefault="006166EC" w:rsidP="00441B6F">
      <w:pPr>
        <w:pStyle w:val="Body"/>
        <w:spacing w:after="0"/>
        <w:rPr>
          <w:rFonts w:ascii="Arial" w:hAnsi="Arial" w:cs="Arial"/>
        </w:rPr>
      </w:pPr>
    </w:p>
    <w:p w14:paraId="02C9DCB7" w14:textId="77777777" w:rsidR="006166EC" w:rsidRDefault="006166EC" w:rsidP="00441B6F">
      <w:pPr>
        <w:pStyle w:val="Body"/>
        <w:spacing w:after="0"/>
        <w:rPr>
          <w:rFonts w:ascii="Arial" w:hAnsi="Arial" w:cs="Arial"/>
        </w:rPr>
      </w:pPr>
    </w:p>
    <w:p w14:paraId="70C8C08D" w14:textId="77777777" w:rsidR="006166EC" w:rsidRDefault="006166EC" w:rsidP="00441B6F">
      <w:pPr>
        <w:pStyle w:val="Body"/>
        <w:spacing w:after="0"/>
        <w:rPr>
          <w:rFonts w:ascii="Arial" w:hAnsi="Arial" w:cs="Arial"/>
        </w:rPr>
      </w:pPr>
    </w:p>
    <w:p w14:paraId="3A7D28B6" w14:textId="77777777" w:rsidR="006166EC" w:rsidRDefault="006166EC" w:rsidP="00441B6F">
      <w:pPr>
        <w:pStyle w:val="Body"/>
        <w:spacing w:after="0"/>
        <w:rPr>
          <w:rFonts w:ascii="Arial" w:hAnsi="Arial" w:cs="Arial"/>
        </w:rPr>
      </w:pPr>
    </w:p>
    <w:p w14:paraId="07E86E31" w14:textId="77777777" w:rsidR="006166EC" w:rsidRDefault="006166EC" w:rsidP="00441B6F">
      <w:pPr>
        <w:pStyle w:val="Body"/>
        <w:spacing w:after="0"/>
        <w:rPr>
          <w:rFonts w:ascii="Arial" w:hAnsi="Arial" w:cs="Arial"/>
        </w:rPr>
      </w:pPr>
    </w:p>
    <w:p w14:paraId="32FE7BA9" w14:textId="77777777" w:rsidR="006166EC" w:rsidRDefault="006166EC" w:rsidP="00441B6F">
      <w:pPr>
        <w:pStyle w:val="Body"/>
        <w:spacing w:after="0"/>
        <w:rPr>
          <w:rFonts w:ascii="Arial" w:hAnsi="Arial" w:cs="Arial"/>
        </w:rPr>
      </w:pPr>
    </w:p>
    <w:p w14:paraId="022FFDF6" w14:textId="77777777" w:rsidR="006166EC" w:rsidRDefault="006166EC" w:rsidP="00441B6F">
      <w:pPr>
        <w:pStyle w:val="Body"/>
        <w:spacing w:after="0"/>
        <w:rPr>
          <w:rFonts w:ascii="Arial" w:hAnsi="Arial" w:cs="Arial"/>
        </w:rPr>
      </w:pPr>
    </w:p>
    <w:p w14:paraId="46518007" w14:textId="77777777" w:rsidR="006166EC" w:rsidRDefault="006166EC" w:rsidP="00441B6F">
      <w:pPr>
        <w:pStyle w:val="Body"/>
        <w:spacing w:after="0"/>
        <w:rPr>
          <w:rFonts w:ascii="Arial" w:hAnsi="Arial" w:cs="Arial"/>
        </w:rPr>
      </w:pPr>
    </w:p>
    <w:p w14:paraId="66D9933B" w14:textId="77777777" w:rsidR="006166EC" w:rsidRDefault="006166EC" w:rsidP="00441B6F">
      <w:pPr>
        <w:pStyle w:val="Body"/>
        <w:spacing w:after="0"/>
        <w:rPr>
          <w:rFonts w:ascii="Arial" w:hAnsi="Arial" w:cs="Arial"/>
        </w:rPr>
      </w:pPr>
    </w:p>
    <w:p w14:paraId="5B3AE81B" w14:textId="77777777" w:rsidR="006166EC" w:rsidRDefault="006166EC" w:rsidP="00441B6F">
      <w:pPr>
        <w:pStyle w:val="Body"/>
        <w:spacing w:after="0"/>
        <w:rPr>
          <w:rFonts w:ascii="Arial" w:hAnsi="Arial" w:cs="Arial"/>
        </w:rPr>
      </w:pPr>
    </w:p>
    <w:p w14:paraId="5B04FDDF" w14:textId="77777777" w:rsidR="006166EC" w:rsidRDefault="006166EC" w:rsidP="00441B6F">
      <w:pPr>
        <w:pStyle w:val="Body"/>
        <w:spacing w:after="0"/>
        <w:rPr>
          <w:rFonts w:ascii="Arial" w:hAnsi="Arial" w:cs="Arial"/>
        </w:rPr>
      </w:pPr>
    </w:p>
    <w:p w14:paraId="7CAD65DD" w14:textId="77777777" w:rsidR="006166EC" w:rsidRDefault="006166EC" w:rsidP="00441B6F">
      <w:pPr>
        <w:pStyle w:val="Body"/>
        <w:spacing w:after="0"/>
        <w:rPr>
          <w:rFonts w:ascii="Arial" w:hAnsi="Arial" w:cs="Arial"/>
        </w:rPr>
        <w:sectPr w:rsidR="006166EC" w:rsidSect="00362BE8">
          <w:type w:val="continuous"/>
          <w:pgSz w:w="15840" w:h="12240" w:orient="landscape"/>
          <w:pgMar w:top="2016" w:right="1440" w:bottom="2016" w:left="2016" w:header="720" w:footer="1123" w:gutter="0"/>
          <w:cols w:space="720"/>
          <w:docGrid w:linePitch="272"/>
        </w:sectPr>
      </w:pPr>
    </w:p>
    <w:p w14:paraId="68351655" w14:textId="0219E64B" w:rsidR="006166EC" w:rsidRDefault="006166EC" w:rsidP="00441B6F">
      <w:pPr>
        <w:pStyle w:val="Body"/>
        <w:spacing w:after="0"/>
        <w:rPr>
          <w:rFonts w:ascii="Arial" w:hAnsi="Arial" w:cs="Arial"/>
          <w:b/>
          <w:bCs/>
          <w:sz w:val="22"/>
          <w:szCs w:val="22"/>
        </w:rPr>
      </w:pPr>
      <w:r w:rsidRPr="00E76C53">
        <w:rPr>
          <w:rFonts w:ascii="Arial" w:hAnsi="Arial" w:cs="Arial"/>
          <w:b/>
          <w:bCs/>
          <w:sz w:val="22"/>
          <w:szCs w:val="22"/>
        </w:rPr>
        <w:lastRenderedPageBreak/>
        <w:t>3.2. Discussion</w:t>
      </w:r>
    </w:p>
    <w:p w14:paraId="2BCC598F" w14:textId="202BA603" w:rsidR="004E479E" w:rsidRPr="00D4024A" w:rsidRDefault="004E479E" w:rsidP="00D4024A">
      <w:pPr>
        <w:pStyle w:val="Body"/>
        <w:rPr>
          <w:rFonts w:ascii="Arial" w:hAnsi="Arial" w:cs="Arial"/>
          <w:lang w:val="fr-FR"/>
        </w:rPr>
      </w:pPr>
      <w:r w:rsidRPr="004E479E">
        <w:rPr>
          <w:rFonts w:ascii="Arial" w:hAnsi="Arial" w:cs="Arial"/>
        </w:rPr>
        <w:t>The results obtained highlight a significant residual effect of fertilization one year after the application of laying hen manure (LHM), with its intensity varying according to the growth parameters considered and the applied doses. In particular, the application rates of 5 and 7.5 t ha</w:t>
      </w:r>
      <w:r w:rsidRPr="004E479E">
        <w:rPr>
          <w:rFonts w:ascii="Cambria Math" w:hAnsi="Cambria Math" w:cs="Cambria Math"/>
        </w:rPr>
        <w:t>⁻</w:t>
      </w:r>
      <w:r w:rsidRPr="004E479E">
        <w:rPr>
          <w:rFonts w:ascii="Arial" w:hAnsi="Arial" w:cs="Arial"/>
        </w:rPr>
        <w:t xml:space="preserve">¹ of LHM induced a marked improvement in plant height and collar diameter of pearl millet, reflecting enhanced vegetative vigor. This residual effect can be attributed to the mineralization dynamics of the organic matter contained in laying hen manure, which ensures a gradual release of nutrients, particularly nitrogen and phosphorus. According to </w:t>
      </w:r>
      <w:proofErr w:type="spellStart"/>
      <w:r w:rsidRPr="004E479E">
        <w:rPr>
          <w:rFonts w:ascii="Arial" w:hAnsi="Arial" w:cs="Arial"/>
        </w:rPr>
        <w:t>Gachon</w:t>
      </w:r>
      <w:proofErr w:type="spellEnd"/>
      <w:r w:rsidRPr="004E479E">
        <w:rPr>
          <w:rFonts w:ascii="Arial" w:hAnsi="Arial" w:cs="Arial"/>
        </w:rPr>
        <w:t xml:space="preserve"> (1968), Stevenson (1986), and Harper (1994), nitrogen and phosphorus are key nutrients that promote plant growth. Unlike mineral fertilizers, which provide rapid but short-lived nutrient availability, organic amendments such as poultry manure ensure a prolonged nutrient supply that is better synchronized with plant physiological requirements. This delayed nutrient release explains the persistence of the fertilizing effect beyond the year of application.</w:t>
      </w:r>
      <w:r w:rsidR="00D4024A">
        <w:rPr>
          <w:rFonts w:ascii="Arial" w:hAnsi="Arial" w:cs="Arial"/>
        </w:rPr>
        <w:t xml:space="preserve"> </w:t>
      </w:r>
      <w:r w:rsidRPr="004E479E">
        <w:rPr>
          <w:rFonts w:ascii="Arial" w:hAnsi="Arial" w:cs="Arial"/>
        </w:rPr>
        <w:t xml:space="preserve">Furthermore, the observed improvement in growth parameters may also result from indirect effects on soil properties, including increased organic matter content, improved soil structure, enhanced water retention capacity, and stimulated microbial activity. These changes create a more favorable </w:t>
      </w:r>
      <w:proofErr w:type="spellStart"/>
      <w:r w:rsidRPr="004E479E">
        <w:rPr>
          <w:rFonts w:ascii="Arial" w:hAnsi="Arial" w:cs="Arial"/>
        </w:rPr>
        <w:t>rhizospheric</w:t>
      </w:r>
      <w:proofErr w:type="spellEnd"/>
      <w:r w:rsidRPr="004E479E">
        <w:rPr>
          <w:rFonts w:ascii="Arial" w:hAnsi="Arial" w:cs="Arial"/>
        </w:rPr>
        <w:t xml:space="preserve"> environment for nutrient uptake and root development, thereby promoting aboveground growth of pearl millet. These findings are consistent with recent studies reporting positive residual effects of organic fertilizers on crop growth and yield, such as quinoa (</w:t>
      </w:r>
      <w:r w:rsidRPr="004E479E">
        <w:rPr>
          <w:rFonts w:ascii="Arial" w:hAnsi="Arial" w:cs="Arial"/>
          <w:i/>
          <w:iCs/>
        </w:rPr>
        <w:t>Chenopodium quinoa</w:t>
      </w:r>
      <w:r w:rsidRPr="004E479E">
        <w:rPr>
          <w:rFonts w:ascii="Arial" w:hAnsi="Arial" w:cs="Arial"/>
        </w:rPr>
        <w:t>) under organic fertilization (</w:t>
      </w:r>
      <w:proofErr w:type="spellStart"/>
      <w:r w:rsidRPr="004E479E">
        <w:rPr>
          <w:rFonts w:ascii="Arial" w:hAnsi="Arial" w:cs="Arial"/>
        </w:rPr>
        <w:t>Taaime</w:t>
      </w:r>
      <w:proofErr w:type="spellEnd"/>
      <w:r w:rsidRPr="004E479E">
        <w:rPr>
          <w:rFonts w:ascii="Arial" w:hAnsi="Arial" w:cs="Arial"/>
        </w:rPr>
        <w:t xml:space="preserve"> et al., 2024) and maize under compost application (Da, 2010).</w:t>
      </w:r>
      <w:r w:rsidR="00D4024A">
        <w:rPr>
          <w:rFonts w:ascii="Arial" w:hAnsi="Arial" w:cs="Arial"/>
        </w:rPr>
        <w:t xml:space="preserve"> </w:t>
      </w:r>
      <w:r w:rsidR="00D4024A" w:rsidRPr="00D4024A">
        <w:rPr>
          <w:rFonts w:ascii="Arial" w:hAnsi="Arial" w:cs="Arial"/>
        </w:rPr>
        <w:t xml:space="preserve">The findings of Dhaliwal et al. (2023) showed that the residual effect of a </w:t>
      </w:r>
      <w:proofErr w:type="gramStart"/>
      <w:r w:rsidR="00D4024A" w:rsidRPr="00D4024A">
        <w:rPr>
          <w:rFonts w:ascii="Arial" w:hAnsi="Arial" w:cs="Arial"/>
        </w:rPr>
        <w:t>6</w:t>
      </w:r>
      <w:r w:rsidR="00D4024A">
        <w:rPr>
          <w:rFonts w:ascii="Arial" w:hAnsi="Arial" w:cs="Arial"/>
        </w:rPr>
        <w:t xml:space="preserve"> </w:t>
      </w:r>
      <w:r w:rsidR="00D4024A" w:rsidRPr="00D4024A">
        <w:rPr>
          <w:rFonts w:ascii="Arial" w:hAnsi="Arial" w:cs="Arial"/>
        </w:rPr>
        <w:t>t</w:t>
      </w:r>
      <w:proofErr w:type="gramEnd"/>
      <w:r w:rsidR="00D4024A">
        <w:rPr>
          <w:rFonts w:ascii="Arial" w:hAnsi="Arial" w:cs="Arial"/>
        </w:rPr>
        <w:t xml:space="preserve"> </w:t>
      </w:r>
      <w:r w:rsidR="00D4024A" w:rsidRPr="00D4024A">
        <w:rPr>
          <w:rFonts w:ascii="Arial" w:hAnsi="Arial" w:cs="Arial"/>
        </w:rPr>
        <w:t>ha</w:t>
      </w:r>
      <w:r w:rsidR="00D4024A" w:rsidRPr="00D4024A">
        <w:rPr>
          <w:rFonts w:ascii="Cambria Math" w:hAnsi="Cambria Math" w:cs="Cambria Math"/>
        </w:rPr>
        <w:t>⁻</w:t>
      </w:r>
      <w:r w:rsidR="00D4024A" w:rsidRPr="00D4024A">
        <w:rPr>
          <w:rFonts w:ascii="Arial" w:hAnsi="Arial" w:cs="Arial"/>
        </w:rPr>
        <w:t>¹ poultry manure application increased wheat height by approximately 41%, which is lower than the value obtained in the present study, where a 45% increase in pearl millet plant height was recorded under the application of 7.5 t ha</w:t>
      </w:r>
      <w:r w:rsidR="00D4024A" w:rsidRPr="00D4024A">
        <w:rPr>
          <w:rFonts w:ascii="Cambria Math" w:hAnsi="Cambria Math" w:cs="Cambria Math"/>
        </w:rPr>
        <w:t>⁻</w:t>
      </w:r>
      <w:r w:rsidR="00D4024A" w:rsidRPr="00D4024A">
        <w:rPr>
          <w:rFonts w:ascii="Arial" w:hAnsi="Arial" w:cs="Arial"/>
        </w:rPr>
        <w:t>¹ of laying hen manure. This difference may be partly explained by the higher manure application rate used in our study compared to that of Dhaliwal et al. (2023). Furthermore, it may also be attributed to the nitrogen content of the manure used, estimated at 3.96%, which is considerably higher than the 1.2% reported by Dhaliwal et al. (2023), thereby promoting greater vegetative growth in plants.</w:t>
      </w:r>
    </w:p>
    <w:p w14:paraId="4DB5866A" w14:textId="5FCF9441" w:rsidR="00D4024A" w:rsidRPr="00D4024A" w:rsidRDefault="004E479E" w:rsidP="004E479E">
      <w:pPr>
        <w:pStyle w:val="Body"/>
        <w:spacing w:after="0"/>
        <w:rPr>
          <w:rFonts w:ascii="Arial" w:hAnsi="Arial" w:cs="Arial"/>
        </w:rPr>
      </w:pPr>
      <w:r w:rsidRPr="004E479E">
        <w:rPr>
          <w:rFonts w:ascii="Arial" w:hAnsi="Arial" w:cs="Arial"/>
        </w:rPr>
        <w:t>Similarly, to plant height and stem diameter, tillering and tiller flowering were significantly increased under the residual effect of 5 and 7.5 t ha</w:t>
      </w:r>
      <w:r w:rsidRPr="004E479E">
        <w:rPr>
          <w:rFonts w:ascii="Cambria Math" w:hAnsi="Cambria Math" w:cs="Cambria Math"/>
        </w:rPr>
        <w:t>⁻</w:t>
      </w:r>
      <w:r w:rsidRPr="004E479E">
        <w:rPr>
          <w:rFonts w:ascii="Arial" w:hAnsi="Arial" w:cs="Arial"/>
        </w:rPr>
        <w:t xml:space="preserve">¹ LHM treatments. When supplied in sufficient amounts, nitrogen and phosphorus stimulate tillering (Vidal, 1963; Gros, 1979; </w:t>
      </w:r>
      <w:proofErr w:type="spellStart"/>
      <w:r w:rsidRPr="004E479E">
        <w:rPr>
          <w:rFonts w:ascii="Arial" w:hAnsi="Arial" w:cs="Arial"/>
        </w:rPr>
        <w:t>Dutordoir</w:t>
      </w:r>
      <w:proofErr w:type="spellEnd"/>
      <w:r w:rsidRPr="004E479E">
        <w:rPr>
          <w:rFonts w:ascii="Arial" w:hAnsi="Arial" w:cs="Arial"/>
        </w:rPr>
        <w:t>, 2006; Rahman et al., 2013) as well as tiller flowering (Diouf, 1990; Adam, 2000). Thus, pearl millet plants likely benefited from the residual availability of these nutrients released from the previous year’s manure application. Similar results have been reported in wheat under the residual effect of compost and poultry manure (Dhaliwal et al., 2023)</w:t>
      </w:r>
      <w:r w:rsidR="00D4024A">
        <w:rPr>
          <w:rFonts w:ascii="Arial" w:hAnsi="Arial" w:cs="Arial"/>
        </w:rPr>
        <w:t xml:space="preserve">. </w:t>
      </w:r>
      <w:r w:rsidR="00D4024A" w:rsidRPr="00D4024A">
        <w:rPr>
          <w:rFonts w:ascii="Arial" w:hAnsi="Arial" w:cs="Arial"/>
        </w:rPr>
        <w:t xml:space="preserve">Liza et al. (2014) reported a 62% increase in tiller number under the residual effect of a </w:t>
      </w:r>
      <w:proofErr w:type="gramStart"/>
      <w:r w:rsidR="00D4024A" w:rsidRPr="00D4024A">
        <w:rPr>
          <w:rFonts w:ascii="Arial" w:hAnsi="Arial" w:cs="Arial"/>
        </w:rPr>
        <w:t>5 t</w:t>
      </w:r>
      <w:proofErr w:type="gramEnd"/>
      <w:r w:rsidR="00D4024A" w:rsidRPr="00D4024A">
        <w:rPr>
          <w:rFonts w:ascii="Arial" w:hAnsi="Arial" w:cs="Arial"/>
        </w:rPr>
        <w:t xml:space="preserve"> ha</w:t>
      </w:r>
      <w:r w:rsidR="00D4024A" w:rsidRPr="00D4024A">
        <w:rPr>
          <w:rFonts w:ascii="Cambria Math" w:hAnsi="Cambria Math" w:cs="Cambria Math"/>
        </w:rPr>
        <w:t>⁻</w:t>
      </w:r>
      <w:r w:rsidR="00D4024A" w:rsidRPr="00D4024A">
        <w:rPr>
          <w:rFonts w:ascii="Arial" w:hAnsi="Arial" w:cs="Arial"/>
        </w:rPr>
        <w:t>¹ poultry manure application, a value lower than that observed in the present study, where an increase of 84% was recorded at the same application rate. This discrepancy may be attributed to the higher nutrient content of the laying hen manure used in our study, particularly in nitrogen (3.96%) and phosphorus (1.88%), compared to that reported by Liza et al. (2014), which contained 1.18% nitrogen and 1.13% phosphorus, respectively. These nutrients are well known to strongly stimulate plant tillering.</w:t>
      </w:r>
      <w:r w:rsidRPr="00D4024A">
        <w:rPr>
          <w:rFonts w:ascii="Arial" w:hAnsi="Arial" w:cs="Arial"/>
        </w:rPr>
        <w:t xml:space="preserve"> </w:t>
      </w:r>
    </w:p>
    <w:p w14:paraId="4F8EC54B" w14:textId="77777777" w:rsidR="00D4024A" w:rsidRPr="00D4024A" w:rsidRDefault="00D4024A" w:rsidP="004E479E">
      <w:pPr>
        <w:pStyle w:val="Body"/>
        <w:spacing w:after="0"/>
        <w:rPr>
          <w:rFonts w:ascii="Arial" w:hAnsi="Arial" w:cs="Arial"/>
        </w:rPr>
      </w:pPr>
    </w:p>
    <w:p w14:paraId="304ADCDD" w14:textId="7B5310F4" w:rsidR="004E479E" w:rsidRPr="00D4024A" w:rsidRDefault="004E479E" w:rsidP="00D4024A">
      <w:pPr>
        <w:pStyle w:val="Body"/>
        <w:rPr>
          <w:rFonts w:ascii="Arial" w:hAnsi="Arial" w:cs="Arial"/>
        </w:rPr>
      </w:pPr>
      <w:r w:rsidRPr="004E479E">
        <w:rPr>
          <w:rFonts w:ascii="Arial" w:hAnsi="Arial" w:cs="Arial"/>
        </w:rPr>
        <w:t>The onset of flowering and 50% flowering were significantly earlier under the residual effect of LHM applied at 2.5, 5, and 7.5 t ha</w:t>
      </w:r>
      <w:r w:rsidRPr="004E479E">
        <w:rPr>
          <w:rFonts w:ascii="Cambria Math" w:hAnsi="Cambria Math" w:cs="Cambria Math"/>
        </w:rPr>
        <w:t>⁻</w:t>
      </w:r>
      <w:r w:rsidRPr="004E479E">
        <w:rPr>
          <w:rFonts w:ascii="Arial" w:hAnsi="Arial" w:cs="Arial"/>
        </w:rPr>
        <w:t>¹, with a stronger response observed at 5 and 7.5 t ha</w:t>
      </w:r>
      <w:r w:rsidRPr="004E479E">
        <w:rPr>
          <w:rFonts w:ascii="Cambria Math" w:hAnsi="Cambria Math" w:cs="Cambria Math"/>
        </w:rPr>
        <w:t>⁻</w:t>
      </w:r>
      <w:r w:rsidRPr="004E479E">
        <w:rPr>
          <w:rFonts w:ascii="Arial" w:hAnsi="Arial" w:cs="Arial"/>
        </w:rPr>
        <w:t>¹, which induced the earliest flowering. This earliness may be attributed to improved phosphorus nutrition, as phosphorus is known to accelerate flowering processes (Adam, 2000; Kati, 2012). Indeed, the previous application of LHM likely allowed for gradual mineralization and phosphorus release into the soil, making it available for pearl millet during the following season and promoting an increase in the number of fertile tillers.</w:t>
      </w:r>
      <w:r w:rsidR="00D4024A">
        <w:rPr>
          <w:rFonts w:ascii="Arial" w:hAnsi="Arial" w:cs="Arial"/>
        </w:rPr>
        <w:t xml:space="preserve"> </w:t>
      </w:r>
      <w:r w:rsidR="00D4024A" w:rsidRPr="00D4024A">
        <w:rPr>
          <w:rFonts w:ascii="Arial" w:hAnsi="Arial" w:cs="Arial"/>
        </w:rPr>
        <w:t xml:space="preserve">Our results are consistent with those of Dhaliwal et al. (2023), who also reported an increase in the </w:t>
      </w:r>
      <w:r w:rsidR="00D4024A" w:rsidRPr="00D4024A">
        <w:rPr>
          <w:rFonts w:ascii="Arial" w:hAnsi="Arial" w:cs="Arial"/>
        </w:rPr>
        <w:lastRenderedPageBreak/>
        <w:t xml:space="preserve">number of flowering tillers in wheat under the residual effect of a </w:t>
      </w:r>
      <w:proofErr w:type="gramStart"/>
      <w:r w:rsidR="00D4024A" w:rsidRPr="00D4024A">
        <w:rPr>
          <w:rFonts w:ascii="Arial" w:hAnsi="Arial" w:cs="Arial"/>
        </w:rPr>
        <w:t>6 t</w:t>
      </w:r>
      <w:proofErr w:type="gramEnd"/>
      <w:r w:rsidR="00D4024A" w:rsidRPr="00D4024A">
        <w:rPr>
          <w:rFonts w:ascii="Arial" w:hAnsi="Arial" w:cs="Arial"/>
        </w:rPr>
        <w:t xml:space="preserve"> ha</w:t>
      </w:r>
      <w:r w:rsidR="00D4024A" w:rsidRPr="00D4024A">
        <w:rPr>
          <w:rFonts w:ascii="Cambria Math" w:hAnsi="Cambria Math" w:cs="Cambria Math"/>
        </w:rPr>
        <w:t>⁻</w:t>
      </w:r>
      <w:r w:rsidR="00D4024A" w:rsidRPr="00D4024A">
        <w:rPr>
          <w:rFonts w:ascii="Arial" w:hAnsi="Arial" w:cs="Arial"/>
        </w:rPr>
        <w:t xml:space="preserve">¹ poultry manure application. However, the magnitude of this increase (10.41%) remains markedly lower than that observed in the present study (150%) under a </w:t>
      </w:r>
      <w:proofErr w:type="gramStart"/>
      <w:r w:rsidR="00D4024A" w:rsidRPr="00D4024A">
        <w:rPr>
          <w:rFonts w:ascii="Arial" w:hAnsi="Arial" w:cs="Arial"/>
        </w:rPr>
        <w:t>5 t</w:t>
      </w:r>
      <w:proofErr w:type="gramEnd"/>
      <w:r w:rsidR="00D4024A" w:rsidRPr="00D4024A">
        <w:rPr>
          <w:rFonts w:ascii="Arial" w:hAnsi="Arial" w:cs="Arial"/>
        </w:rPr>
        <w:t xml:space="preserve"> ha</w:t>
      </w:r>
      <w:r w:rsidR="00D4024A" w:rsidRPr="00D4024A">
        <w:rPr>
          <w:rFonts w:ascii="Cambria Math" w:hAnsi="Cambria Math" w:cs="Cambria Math"/>
        </w:rPr>
        <w:t>⁻</w:t>
      </w:r>
      <w:r w:rsidR="00D4024A" w:rsidRPr="00D4024A">
        <w:rPr>
          <w:rFonts w:ascii="Arial" w:hAnsi="Arial" w:cs="Arial"/>
        </w:rPr>
        <w:t>¹ application of laying hen manure. This difference may be explained, on the one hand, by the relatively lower nutrient requirements of pearl millet compared to wheat, and, on the other hand, by the higher phosphorus content of the laying hen manure used in our study (1.88%) compared to that reported by Dhaliwal et al. (2023) (1.13%). Given the well-established role of phosphorus in promoting flowering, this difference in nutrient content may have contributed to the more pronounced response observed in our study.</w:t>
      </w:r>
    </w:p>
    <w:p w14:paraId="4307E459" w14:textId="77777777" w:rsidR="004E479E" w:rsidRPr="004E479E" w:rsidRDefault="004E479E" w:rsidP="00D4024A">
      <w:pPr>
        <w:pStyle w:val="Body"/>
        <w:rPr>
          <w:rFonts w:ascii="Arial" w:hAnsi="Arial" w:cs="Arial"/>
        </w:rPr>
      </w:pPr>
      <w:r w:rsidRPr="004E479E">
        <w:rPr>
          <w:rFonts w:ascii="Arial" w:hAnsi="Arial" w:cs="Arial"/>
        </w:rPr>
        <w:t>Pearl millet yield components were significantly enhanced by the residual effect of laying hen manure. Grain and straw yields were markedly increased under the 5 and 7.5 t ha</w:t>
      </w:r>
      <w:r w:rsidRPr="004E479E">
        <w:rPr>
          <w:rFonts w:ascii="Cambria Math" w:hAnsi="Cambria Math" w:cs="Cambria Math"/>
        </w:rPr>
        <w:t>⁻</w:t>
      </w:r>
      <w:r w:rsidRPr="004E479E">
        <w:rPr>
          <w:rFonts w:ascii="Arial" w:hAnsi="Arial" w:cs="Arial"/>
        </w:rPr>
        <w:t xml:space="preserve">¹ treatments. This improvement can be explained, on the one hand, by the gradual release of essential nutrients such as nitrogen and phosphorus from the mineralization of organic matter applied in the previous year, which supports vegetative growth, reproductive development, and ultimately yield formation (Dhaliwal et al., 2023; Mak-Mensah et al., 2021). On the other hand, LHM likely improved soil structure by increasing porosity, water-holding capacity, and nutrient retention. These </w:t>
      </w:r>
      <w:proofErr w:type="spellStart"/>
      <w:r w:rsidRPr="004E479E">
        <w:rPr>
          <w:rFonts w:ascii="Arial" w:hAnsi="Arial" w:cs="Arial"/>
        </w:rPr>
        <w:t>physico</w:t>
      </w:r>
      <w:proofErr w:type="spellEnd"/>
      <w:r w:rsidRPr="004E479E">
        <w:rPr>
          <w:rFonts w:ascii="Arial" w:hAnsi="Arial" w:cs="Arial"/>
        </w:rPr>
        <w:t>-chemical improvements enhanced plant growth and yield components by improving nutrient availability throughout the crop cycle (Dhaliwal et al., 2023; Zhao et al., 2022). The organic matter added through LHM also contributes to long-term soil fertility maintenance.</w:t>
      </w:r>
    </w:p>
    <w:p w14:paraId="20D010E9" w14:textId="77777777" w:rsidR="004E479E" w:rsidRPr="004E479E" w:rsidRDefault="004E479E" w:rsidP="00D4024A">
      <w:pPr>
        <w:pStyle w:val="Body"/>
        <w:rPr>
          <w:rFonts w:ascii="Arial" w:hAnsi="Arial" w:cs="Arial"/>
        </w:rPr>
      </w:pPr>
      <w:r w:rsidRPr="004E479E">
        <w:rPr>
          <w:rFonts w:ascii="Arial" w:hAnsi="Arial" w:cs="Arial"/>
        </w:rPr>
        <w:t>These findings are consistent with previous studies on other crops. For example, residual vermicompost application at 4.5 t ha</w:t>
      </w:r>
      <w:r w:rsidRPr="004E479E">
        <w:rPr>
          <w:rFonts w:ascii="Cambria Math" w:hAnsi="Cambria Math" w:cs="Cambria Math"/>
        </w:rPr>
        <w:t>⁻</w:t>
      </w:r>
      <w:r w:rsidRPr="004E479E">
        <w:rPr>
          <w:rFonts w:ascii="Arial" w:hAnsi="Arial" w:cs="Arial"/>
        </w:rPr>
        <w:t>¹ produced the highest sorghum yield (</w:t>
      </w:r>
      <w:proofErr w:type="spellStart"/>
      <w:r w:rsidRPr="004E479E">
        <w:rPr>
          <w:rFonts w:ascii="Arial" w:hAnsi="Arial" w:cs="Arial"/>
        </w:rPr>
        <w:t>Ebbisa</w:t>
      </w:r>
      <w:proofErr w:type="spellEnd"/>
      <w:r w:rsidRPr="004E479E">
        <w:rPr>
          <w:rFonts w:ascii="Arial" w:hAnsi="Arial" w:cs="Arial"/>
        </w:rPr>
        <w:t xml:space="preserve"> et al., 2025). Similarly, the residual effect of farmyard manure combined with 75% NPK significantly increased wheat grain yield by enhancing N, P, and K uptake (Dhaliwal et al., 2023). Comparable results have been reported in quinoa, where residual organic amendments improved growth and yield over multiple seasons (</w:t>
      </w:r>
      <w:proofErr w:type="spellStart"/>
      <w:r w:rsidRPr="004E479E">
        <w:rPr>
          <w:rFonts w:ascii="Arial" w:hAnsi="Arial" w:cs="Arial"/>
        </w:rPr>
        <w:t>Taaime</w:t>
      </w:r>
      <w:proofErr w:type="spellEnd"/>
      <w:r w:rsidRPr="004E479E">
        <w:rPr>
          <w:rFonts w:ascii="Arial" w:hAnsi="Arial" w:cs="Arial"/>
        </w:rPr>
        <w:t xml:space="preserve"> et al., 2024), as well as in rice and wheat systems where residual organic wastes increased grain and straw yields (</w:t>
      </w:r>
      <w:proofErr w:type="spellStart"/>
      <w:r w:rsidRPr="004E479E">
        <w:rPr>
          <w:rFonts w:ascii="Arial" w:hAnsi="Arial" w:cs="Arial"/>
        </w:rPr>
        <w:t>Rautaray</w:t>
      </w:r>
      <w:proofErr w:type="spellEnd"/>
      <w:r w:rsidRPr="004E479E">
        <w:rPr>
          <w:rFonts w:ascii="Arial" w:hAnsi="Arial" w:cs="Arial"/>
        </w:rPr>
        <w:t xml:space="preserve"> et al., 2003; López-Piñeiro et al., 2007). A similar trend was observed in maize, where poultry manure and compost produced the highest yields two years after application (</w:t>
      </w:r>
      <w:proofErr w:type="spellStart"/>
      <w:r w:rsidRPr="004E479E">
        <w:rPr>
          <w:rFonts w:ascii="Arial" w:hAnsi="Arial" w:cs="Arial"/>
        </w:rPr>
        <w:t>Widowati</w:t>
      </w:r>
      <w:proofErr w:type="spellEnd"/>
      <w:r w:rsidRPr="004E479E">
        <w:rPr>
          <w:rFonts w:ascii="Arial" w:hAnsi="Arial" w:cs="Arial"/>
        </w:rPr>
        <w:t xml:space="preserve"> et al., 2020). Likewise, wheat yield increases due to residual poultry manure effects have been reported for more than three years (Bodruzzaman et al., 2002). Nahar et al. (1995) and </w:t>
      </w:r>
      <w:proofErr w:type="spellStart"/>
      <w:r w:rsidRPr="004E479E">
        <w:rPr>
          <w:rFonts w:ascii="Arial" w:hAnsi="Arial" w:cs="Arial"/>
        </w:rPr>
        <w:t>Demelash</w:t>
      </w:r>
      <w:proofErr w:type="spellEnd"/>
      <w:r w:rsidRPr="004E479E">
        <w:rPr>
          <w:rFonts w:ascii="Arial" w:hAnsi="Arial" w:cs="Arial"/>
        </w:rPr>
        <w:t xml:space="preserve"> et al. (2014) also reported wheat yield increases due to residual compost effects, while </w:t>
      </w:r>
      <w:proofErr w:type="spellStart"/>
      <w:r w:rsidRPr="004E479E">
        <w:rPr>
          <w:rFonts w:ascii="Arial" w:hAnsi="Arial" w:cs="Arial"/>
        </w:rPr>
        <w:t>Gomgnimbou</w:t>
      </w:r>
      <w:proofErr w:type="spellEnd"/>
      <w:r w:rsidRPr="004E479E">
        <w:rPr>
          <w:rFonts w:ascii="Arial" w:hAnsi="Arial" w:cs="Arial"/>
        </w:rPr>
        <w:t xml:space="preserve"> et al. (2019) observed enhanced maize grain and straw yield under residual poultry manure application.</w:t>
      </w:r>
    </w:p>
    <w:p w14:paraId="5FD2A0D5" w14:textId="1A1B6899" w:rsidR="004E479E" w:rsidRPr="004E479E" w:rsidRDefault="004E479E" w:rsidP="00D4024A">
      <w:pPr>
        <w:pStyle w:val="Body"/>
        <w:rPr>
          <w:rFonts w:ascii="Arial" w:hAnsi="Arial" w:cs="Arial"/>
        </w:rPr>
      </w:pPr>
      <w:r w:rsidRPr="004E479E">
        <w:rPr>
          <w:rFonts w:ascii="Arial" w:hAnsi="Arial" w:cs="Arial"/>
        </w:rPr>
        <w:t>In contrast to laying hen manure, the residual effect of mineral fertilization (NPK + urea) did not significantly influence pearl millet growth parameters, flowering cycle, or yield. This may be explained by the nature and behavior of mineral nutrients in the soil. Although mineral fertilizers provide rapid nutrient availability, they are often subject to leaching, volatilization, or rapid immobilization, which limits their persistence and availability for subsequent cropping seasons (Brady &amp; Weil, 2016). Unlike organic amendments, mineral fertilizers do not contribute organic matter capable of sustaining long-term soil fertility or stimulating microbial activity. Consequently, the beneficial effects observed with LHM</w:t>
      </w:r>
      <w:r w:rsidR="00D4024A">
        <w:rPr>
          <w:rFonts w:ascii="Arial" w:hAnsi="Arial" w:cs="Arial"/>
        </w:rPr>
        <w:t xml:space="preserve"> </w:t>
      </w:r>
      <w:r w:rsidRPr="004E479E">
        <w:rPr>
          <w:rFonts w:ascii="Arial" w:hAnsi="Arial" w:cs="Arial"/>
        </w:rPr>
        <w:t>such as improved vegetative growth, increased tillering, earlier flowering, and higher grain and straw yields</w:t>
      </w:r>
      <w:r w:rsidR="00D4024A">
        <w:rPr>
          <w:rFonts w:ascii="Arial" w:hAnsi="Arial" w:cs="Arial"/>
        </w:rPr>
        <w:t xml:space="preserve"> </w:t>
      </w:r>
      <w:r w:rsidRPr="004E479E">
        <w:rPr>
          <w:rFonts w:ascii="Arial" w:hAnsi="Arial" w:cs="Arial"/>
        </w:rPr>
        <w:t>are not expressed under purely mineral fertilization once the application season has passed.</w:t>
      </w:r>
      <w:r w:rsidR="00D4024A">
        <w:rPr>
          <w:rFonts w:ascii="Arial" w:hAnsi="Arial" w:cs="Arial"/>
        </w:rPr>
        <w:t xml:space="preserve"> </w:t>
      </w:r>
      <w:r w:rsidRPr="004E479E">
        <w:rPr>
          <w:rFonts w:ascii="Arial" w:hAnsi="Arial" w:cs="Arial"/>
        </w:rPr>
        <w:t xml:space="preserve">Moreover, the absence of residual effects may also be linked to the high mobility of </w:t>
      </w:r>
      <w:proofErr w:type="spellStart"/>
      <w:r w:rsidRPr="004E479E">
        <w:rPr>
          <w:rFonts w:ascii="Arial" w:hAnsi="Arial" w:cs="Arial"/>
        </w:rPr>
        <w:t>ureaderived</w:t>
      </w:r>
      <w:proofErr w:type="spellEnd"/>
      <w:r w:rsidRPr="004E479E">
        <w:rPr>
          <w:rFonts w:ascii="Arial" w:hAnsi="Arial" w:cs="Arial"/>
        </w:rPr>
        <w:t xml:space="preserve"> nitrogen and mineral phosphorus, which can be rapidly lost through leaching, volatilization, or chemical fixation (Celik et al., 2004; Seliger &amp; McElroy, 2001). Therefore, mineral fertilization mainly provides an immediate effect for the current season but does not contribute sustainably to subsequent crop cycles, unlike organic amendments such as LHM.</w:t>
      </w:r>
    </w:p>
    <w:p w14:paraId="2E70F2EE" w14:textId="77777777" w:rsidR="004E479E" w:rsidRPr="004E479E" w:rsidRDefault="004E479E" w:rsidP="004E479E">
      <w:pPr>
        <w:pStyle w:val="Body"/>
        <w:spacing w:after="0"/>
        <w:rPr>
          <w:rFonts w:ascii="Arial" w:hAnsi="Arial" w:cs="Arial"/>
        </w:rPr>
      </w:pPr>
      <w:r w:rsidRPr="004E479E">
        <w:rPr>
          <w:rFonts w:ascii="Arial" w:hAnsi="Arial" w:cs="Arial"/>
        </w:rPr>
        <w:lastRenderedPageBreak/>
        <w:t>Overall, the findings of this study highlight the importance of organic fertilization not only for immediate crop performance but also for sustaining soil fertility and productivity over time. The residual effect of laying hen manure at 5 and 7.5 t ha</w:t>
      </w:r>
      <w:r w:rsidRPr="004E479E">
        <w:rPr>
          <w:rFonts w:ascii="Cambria Math" w:hAnsi="Cambria Math" w:cs="Cambria Math"/>
        </w:rPr>
        <w:t>⁻</w:t>
      </w:r>
      <w:r w:rsidRPr="004E479E">
        <w:rPr>
          <w:rFonts w:ascii="Arial" w:hAnsi="Arial" w:cs="Arial"/>
        </w:rPr>
        <w:t>¹ represents a sustainable strategy for improving pearl millet yield while enhancing long-term soil health and agricultural productivity.</w:t>
      </w:r>
    </w:p>
    <w:p w14:paraId="2773EA11" w14:textId="77777777" w:rsidR="00E76C53" w:rsidRPr="00E76C53" w:rsidRDefault="00E76C53" w:rsidP="00441B6F">
      <w:pPr>
        <w:pStyle w:val="Body"/>
        <w:spacing w:after="0"/>
        <w:rPr>
          <w:rFonts w:ascii="Arial" w:hAnsi="Arial" w:cs="Arial"/>
          <w:sz w:val="22"/>
          <w:szCs w:val="22"/>
        </w:rPr>
      </w:pPr>
    </w:p>
    <w:p w14:paraId="16AF6BB9" w14:textId="77777777" w:rsidR="00790ADA" w:rsidRPr="00FB3A86" w:rsidRDefault="00790ADA" w:rsidP="00441B6F">
      <w:pPr>
        <w:pStyle w:val="Body"/>
        <w:spacing w:after="0"/>
        <w:rPr>
          <w:rFonts w:ascii="Arial" w:hAnsi="Arial" w:cs="Arial"/>
        </w:rPr>
      </w:pPr>
    </w:p>
    <w:p w14:paraId="62C448E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2DEF09" w14:textId="77777777" w:rsidR="00790ADA" w:rsidRPr="00FB3A86" w:rsidRDefault="00790ADA" w:rsidP="00441B6F">
      <w:pPr>
        <w:pStyle w:val="ConcHead"/>
        <w:spacing w:after="0"/>
        <w:jc w:val="both"/>
        <w:rPr>
          <w:rFonts w:ascii="Arial" w:hAnsi="Arial" w:cs="Arial"/>
        </w:rPr>
      </w:pPr>
    </w:p>
    <w:p w14:paraId="4037DE52" w14:textId="66F0E6A9" w:rsidR="00B01FCD" w:rsidRDefault="00D4024A" w:rsidP="00441B6F">
      <w:pPr>
        <w:pStyle w:val="Body"/>
        <w:spacing w:after="0"/>
        <w:rPr>
          <w:rFonts w:ascii="Arial" w:hAnsi="Arial" w:cs="Arial"/>
        </w:rPr>
      </w:pPr>
      <w:r w:rsidRPr="00D4024A">
        <w:rPr>
          <w:rFonts w:ascii="Arial" w:hAnsi="Arial" w:cs="Arial"/>
        </w:rPr>
        <w:t>This study aimed to evaluate the residual effect of laying hen manure (LHM) on the growth, development, and yield of pearl millet (Pennisetum glaucum L.) in order to better assess its role in the sustainability of production systems. The results revealed that the application of LHM at 5 and 7.5 t ha</w:t>
      </w:r>
      <w:r w:rsidRPr="00D4024A">
        <w:rPr>
          <w:rFonts w:ascii="Cambria Math" w:hAnsi="Cambria Math" w:cs="Cambria Math"/>
        </w:rPr>
        <w:t>⁻</w:t>
      </w:r>
      <w:r w:rsidRPr="00D4024A">
        <w:rPr>
          <w:rFonts w:ascii="Arial" w:hAnsi="Arial" w:cs="Arial"/>
        </w:rPr>
        <w:t>¹ exerts a significant residual effect, leading to sustained improvements in growth parameters as well as grain and straw yields. Unlike mineral fertilizers, whose effects are short-lived, LHM promotes prolonged soil fertility and enhanced crop productivity. These findings suggest that the strategic use of LHM, even at alternating intervals, represents an effective approach to optimize pearl millet yield while improving soil fertility in low-input agricultural systems.</w:t>
      </w:r>
    </w:p>
    <w:p w14:paraId="3686F859" w14:textId="77777777" w:rsidR="005326DE" w:rsidRDefault="005326DE" w:rsidP="00441B6F">
      <w:pPr>
        <w:pStyle w:val="Body"/>
        <w:spacing w:after="0"/>
        <w:rPr>
          <w:rFonts w:ascii="Arial" w:hAnsi="Arial" w:cs="Arial"/>
        </w:rPr>
      </w:pPr>
    </w:p>
    <w:p w14:paraId="573F65E0" w14:textId="77777777" w:rsidR="005326DE" w:rsidRDefault="005326DE" w:rsidP="005326DE">
      <w:pPr>
        <w:pStyle w:val="DefAcrHead"/>
        <w:spacing w:after="0"/>
        <w:jc w:val="both"/>
        <w:rPr>
          <w:rFonts w:ascii="Arial" w:hAnsi="Arial" w:cs="Arial"/>
        </w:rPr>
      </w:pPr>
      <w:r w:rsidRPr="00FB3A86">
        <w:rPr>
          <w:rFonts w:ascii="Arial" w:hAnsi="Arial" w:cs="Arial"/>
        </w:rPr>
        <w:t>Definitions, Acronyms, Abbreviations</w:t>
      </w:r>
    </w:p>
    <w:p w14:paraId="36342D99" w14:textId="77777777" w:rsidR="005326DE" w:rsidRDefault="005326DE" w:rsidP="005326DE">
      <w:pPr>
        <w:pStyle w:val="Body"/>
        <w:spacing w:after="0"/>
        <w:rPr>
          <w:rFonts w:ascii="Arial" w:hAnsi="Arial" w:cs="Arial"/>
        </w:rPr>
      </w:pPr>
      <w:r>
        <w:rPr>
          <w:rFonts w:ascii="Arial" w:hAnsi="Arial" w:cs="Arial"/>
        </w:rPr>
        <w:t xml:space="preserve"> LHM: laying hen manure</w:t>
      </w:r>
    </w:p>
    <w:p w14:paraId="0AC61DA7" w14:textId="77777777" w:rsidR="005326DE" w:rsidRDefault="005326DE" w:rsidP="005326DE">
      <w:pPr>
        <w:pStyle w:val="Body"/>
        <w:spacing w:after="0"/>
        <w:rPr>
          <w:rFonts w:ascii="Arial" w:hAnsi="Arial" w:cs="Arial"/>
        </w:rPr>
      </w:pPr>
      <w:r>
        <w:rPr>
          <w:rFonts w:ascii="Arial" w:hAnsi="Arial" w:cs="Arial"/>
        </w:rPr>
        <w:t xml:space="preserve">ANOVA: </w:t>
      </w:r>
      <w:r w:rsidRPr="00B55DAC">
        <w:rPr>
          <w:rFonts w:ascii="Arial" w:hAnsi="Arial" w:cs="Arial"/>
        </w:rPr>
        <w:t>analysis of variance</w:t>
      </w:r>
    </w:p>
    <w:p w14:paraId="6D6C45B0" w14:textId="77777777" w:rsidR="005326DE" w:rsidRDefault="005326DE" w:rsidP="005326DE">
      <w:pPr>
        <w:pStyle w:val="Body"/>
        <w:spacing w:after="0"/>
        <w:rPr>
          <w:rFonts w:ascii="Arial" w:hAnsi="Arial" w:cs="Arial"/>
        </w:rPr>
      </w:pPr>
      <w:r>
        <w:rPr>
          <w:rFonts w:ascii="Arial" w:hAnsi="Arial" w:cs="Arial"/>
        </w:rPr>
        <w:t>INERA: n</w:t>
      </w:r>
      <w:r w:rsidRPr="006942D2">
        <w:rPr>
          <w:rFonts w:ascii="Arial" w:hAnsi="Arial" w:cs="Arial"/>
        </w:rPr>
        <w:t>ational Institute for Environment and Agricultural Research</w:t>
      </w:r>
    </w:p>
    <w:p w14:paraId="01BBF18D" w14:textId="77777777" w:rsidR="005326DE" w:rsidRDefault="005326DE" w:rsidP="00441B6F">
      <w:pPr>
        <w:pStyle w:val="Body"/>
        <w:spacing w:after="0"/>
        <w:rPr>
          <w:rFonts w:ascii="Arial" w:hAnsi="Arial" w:cs="Arial"/>
        </w:rPr>
      </w:pPr>
    </w:p>
    <w:p w14:paraId="3D699A8E" w14:textId="77777777" w:rsidR="002B685A" w:rsidRDefault="002B685A" w:rsidP="00441B6F">
      <w:pPr>
        <w:pStyle w:val="ReferHead"/>
        <w:spacing w:after="0"/>
        <w:jc w:val="both"/>
        <w:rPr>
          <w:rFonts w:ascii="Arial" w:hAnsi="Arial" w:cs="Arial"/>
          <w:b w:val="0"/>
          <w:caps w:val="0"/>
          <w:sz w:val="20"/>
        </w:rPr>
      </w:pPr>
      <w:bookmarkStart w:id="4" w:name="_GoBack"/>
      <w:bookmarkEnd w:id="4"/>
    </w:p>
    <w:p w14:paraId="175B05A4"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9F42611" w14:textId="77777777" w:rsidR="002B685A" w:rsidRPr="002B685A" w:rsidRDefault="002B685A" w:rsidP="00441B6F">
      <w:pPr>
        <w:pStyle w:val="ReferHead"/>
        <w:spacing w:after="0"/>
        <w:jc w:val="both"/>
        <w:rPr>
          <w:rFonts w:ascii="Arial" w:hAnsi="Arial" w:cs="Arial"/>
          <w:bCs/>
        </w:rPr>
      </w:pPr>
    </w:p>
    <w:p w14:paraId="1631F193" w14:textId="0DAEB903" w:rsidR="001A29D8" w:rsidRPr="00F469F0" w:rsidRDefault="00D4024A"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150D42F0" w14:textId="77777777" w:rsidR="001A29D8" w:rsidRDefault="001A29D8" w:rsidP="00441B6F">
      <w:pPr>
        <w:pStyle w:val="ReferHead"/>
        <w:spacing w:after="0"/>
        <w:jc w:val="both"/>
        <w:rPr>
          <w:rFonts w:ascii="Arial" w:hAnsi="Arial" w:cs="Arial"/>
          <w:b w:val="0"/>
          <w:caps w:val="0"/>
          <w:sz w:val="20"/>
        </w:rPr>
      </w:pPr>
    </w:p>
    <w:p w14:paraId="38CD9CF2" w14:textId="77777777" w:rsidR="005C784C" w:rsidRDefault="005C784C" w:rsidP="00441B6F">
      <w:pPr>
        <w:pStyle w:val="ReferHead"/>
        <w:spacing w:after="0"/>
        <w:jc w:val="both"/>
        <w:rPr>
          <w:rFonts w:ascii="Arial" w:hAnsi="Arial" w:cs="Arial"/>
          <w:b w:val="0"/>
          <w:caps w:val="0"/>
          <w:sz w:val="20"/>
        </w:rPr>
      </w:pPr>
    </w:p>
    <w:p w14:paraId="430ACCC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05DBD9E" w14:textId="77777777" w:rsidR="005C784C" w:rsidRPr="002B685A" w:rsidRDefault="005C784C" w:rsidP="00441B6F">
      <w:pPr>
        <w:pStyle w:val="ReferHead"/>
        <w:spacing w:after="0"/>
        <w:jc w:val="both"/>
        <w:rPr>
          <w:rFonts w:ascii="Arial" w:hAnsi="Arial" w:cs="Arial"/>
          <w:bCs/>
        </w:rPr>
      </w:pPr>
    </w:p>
    <w:p w14:paraId="4A374084" w14:textId="7666FA10" w:rsidR="0041027F" w:rsidRDefault="00D4024A"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03B99DB0" w14:textId="77777777" w:rsidR="005326DE" w:rsidRPr="00F469F0" w:rsidRDefault="005326DE" w:rsidP="00441B6F">
      <w:pPr>
        <w:pStyle w:val="ReferHead"/>
        <w:spacing w:after="0"/>
        <w:jc w:val="both"/>
        <w:rPr>
          <w:rFonts w:ascii="Arial" w:hAnsi="Arial" w:cs="Arial"/>
          <w:b w:val="0"/>
          <w:caps w:val="0"/>
          <w:sz w:val="20"/>
          <w:u w:val="single"/>
        </w:rPr>
      </w:pPr>
    </w:p>
    <w:p w14:paraId="44B2F712" w14:textId="77777777" w:rsidR="00860000" w:rsidRDefault="00860000" w:rsidP="00441B6F">
      <w:pPr>
        <w:pStyle w:val="ReferHead"/>
        <w:spacing w:after="0"/>
        <w:jc w:val="both"/>
        <w:rPr>
          <w:rFonts w:ascii="Arial" w:hAnsi="Arial" w:cs="Arial"/>
        </w:rPr>
      </w:pPr>
    </w:p>
    <w:p w14:paraId="20BD55B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8D2D36" w14:textId="77777777" w:rsidR="00790ADA" w:rsidRPr="00FB3A86" w:rsidRDefault="00790ADA" w:rsidP="00441B6F">
      <w:pPr>
        <w:pStyle w:val="ReferHead"/>
        <w:spacing w:after="0"/>
        <w:jc w:val="both"/>
        <w:rPr>
          <w:rFonts w:ascii="Arial" w:hAnsi="Arial" w:cs="Arial"/>
        </w:rPr>
      </w:pPr>
    </w:p>
    <w:p w14:paraId="1647C91A" w14:textId="27EBD0AA" w:rsidR="00D4024A" w:rsidRPr="00D4024A" w:rsidRDefault="00D4024A" w:rsidP="00D4024A">
      <w:pPr>
        <w:pStyle w:val="Body"/>
        <w:rPr>
          <w:lang w:val="fr-FR"/>
        </w:rPr>
      </w:pPr>
      <w:r w:rsidRPr="00CA28B4">
        <w:t xml:space="preserve">Adam, Y. N. (2000). </w:t>
      </w:r>
      <w:r w:rsidR="00D151F2" w:rsidRPr="00D151F2">
        <w:rPr>
          <w:i/>
          <w:iCs/>
        </w:rPr>
        <w:t>Study of a fertilizer based on Burkina phosphate on irrigated rice in the Kou Valley, western Burkina Faso (final year thesis). Polytechnic University of Bobo-Dioulasso, Burkina Faso.</w:t>
      </w:r>
    </w:p>
    <w:p w14:paraId="5AFA9DB2" w14:textId="5D1E347F" w:rsidR="00D4024A" w:rsidRPr="00D4024A" w:rsidRDefault="00D4024A" w:rsidP="00D4024A">
      <w:pPr>
        <w:pStyle w:val="Body"/>
        <w:rPr>
          <w:lang w:val="fr-FR"/>
        </w:rPr>
      </w:pPr>
      <w:proofErr w:type="spellStart"/>
      <w:r w:rsidRPr="00D4024A">
        <w:rPr>
          <w:lang w:val="fr-FR"/>
        </w:rPr>
        <w:t>Adouane</w:t>
      </w:r>
      <w:proofErr w:type="spellEnd"/>
      <w:r w:rsidRPr="00D4024A">
        <w:rPr>
          <w:lang w:val="fr-FR"/>
        </w:rPr>
        <w:t xml:space="preserve">, T., </w:t>
      </w:r>
      <w:proofErr w:type="spellStart"/>
      <w:r w:rsidRPr="00D4024A">
        <w:rPr>
          <w:lang w:val="fr-FR"/>
        </w:rPr>
        <w:t>Barrached</w:t>
      </w:r>
      <w:proofErr w:type="spellEnd"/>
      <w:r w:rsidRPr="00D4024A">
        <w:rPr>
          <w:lang w:val="fr-FR"/>
        </w:rPr>
        <w:t xml:space="preserve">, A., &amp; </w:t>
      </w:r>
      <w:proofErr w:type="spellStart"/>
      <w:r w:rsidRPr="00D4024A">
        <w:rPr>
          <w:lang w:val="fr-FR"/>
        </w:rPr>
        <w:t>Bezziche</w:t>
      </w:r>
      <w:proofErr w:type="spellEnd"/>
      <w:r w:rsidRPr="00D4024A">
        <w:rPr>
          <w:lang w:val="fr-FR"/>
        </w:rPr>
        <w:t xml:space="preserve">, H. (2023). </w:t>
      </w:r>
      <w:r w:rsidR="00D151F2" w:rsidRPr="00D151F2">
        <w:rPr>
          <w:i/>
          <w:iCs/>
        </w:rPr>
        <w:t xml:space="preserve">Negative impacts of chemical fertilizers on the environment and public health (final year thesis). </w:t>
      </w:r>
      <w:proofErr w:type="spellStart"/>
      <w:r w:rsidR="00D151F2" w:rsidRPr="00D151F2">
        <w:rPr>
          <w:i/>
          <w:iCs/>
        </w:rPr>
        <w:t>Kasdi</w:t>
      </w:r>
      <w:proofErr w:type="spellEnd"/>
      <w:r w:rsidR="00D151F2" w:rsidRPr="00D151F2">
        <w:rPr>
          <w:i/>
          <w:iCs/>
        </w:rPr>
        <w:t xml:space="preserve"> </w:t>
      </w:r>
      <w:proofErr w:type="spellStart"/>
      <w:r w:rsidR="00D151F2" w:rsidRPr="00D151F2">
        <w:rPr>
          <w:i/>
          <w:iCs/>
        </w:rPr>
        <w:t>Merbah</w:t>
      </w:r>
      <w:proofErr w:type="spellEnd"/>
      <w:r w:rsidR="00D151F2" w:rsidRPr="00D151F2">
        <w:rPr>
          <w:i/>
          <w:iCs/>
        </w:rPr>
        <w:t xml:space="preserve"> University of Ouargla, Algeria.</w:t>
      </w:r>
    </w:p>
    <w:p w14:paraId="5B8098CB" w14:textId="77777777" w:rsidR="00D4024A" w:rsidRPr="00D4024A" w:rsidRDefault="00D4024A" w:rsidP="00D4024A">
      <w:pPr>
        <w:pStyle w:val="Body"/>
      </w:pPr>
      <w:proofErr w:type="spellStart"/>
      <w:r w:rsidRPr="00D4024A">
        <w:rPr>
          <w:lang w:val="fr-FR"/>
        </w:rPr>
        <w:t>Agbede</w:t>
      </w:r>
      <w:proofErr w:type="spellEnd"/>
      <w:r w:rsidRPr="00D4024A">
        <w:rPr>
          <w:lang w:val="fr-FR"/>
        </w:rPr>
        <w:t xml:space="preserve">, T. M., Ojeniyi, S. O., &amp; Adeyemo, A. J. (2008). </w:t>
      </w:r>
      <w:r w:rsidRPr="00D4024A">
        <w:t xml:space="preserve">Effect of poultry manure on soil physical and chemical properties, growth and grain yield of sorghum in southwest Nigeria. </w:t>
      </w:r>
      <w:r w:rsidRPr="00D4024A">
        <w:rPr>
          <w:i/>
          <w:iCs/>
        </w:rPr>
        <w:t>American-Eurasian Journal of Sustainable Agriculture, 2</w:t>
      </w:r>
      <w:r w:rsidRPr="00D4024A">
        <w:t>(1), 72–77.</w:t>
      </w:r>
    </w:p>
    <w:p w14:paraId="6F72897F" w14:textId="77777777" w:rsidR="00D4024A" w:rsidRPr="00D4024A" w:rsidRDefault="00D4024A" w:rsidP="00D4024A">
      <w:pPr>
        <w:pStyle w:val="Body"/>
      </w:pPr>
      <w:r w:rsidRPr="00D4024A">
        <w:t xml:space="preserve">Amadou, I., </w:t>
      </w:r>
      <w:proofErr w:type="spellStart"/>
      <w:r w:rsidRPr="00D4024A">
        <w:t>Gounga</w:t>
      </w:r>
      <w:proofErr w:type="spellEnd"/>
      <w:r w:rsidRPr="00D4024A">
        <w:t xml:space="preserve">, M. E., &amp; Le, G.-W. (2013). Millets: Nutritional composition, some health benefits and processing – A review. </w:t>
      </w:r>
      <w:r w:rsidRPr="00D4024A">
        <w:rPr>
          <w:i/>
          <w:iCs/>
        </w:rPr>
        <w:t>Emirates Journal of Food and Agriculture, 25</w:t>
      </w:r>
      <w:r w:rsidRPr="00D4024A">
        <w:t>(7), 501–508.</w:t>
      </w:r>
    </w:p>
    <w:p w14:paraId="1811C09B" w14:textId="77777777" w:rsidR="00D4024A" w:rsidRPr="00D4024A" w:rsidRDefault="00D4024A" w:rsidP="00D4024A">
      <w:pPr>
        <w:pStyle w:val="Body"/>
      </w:pPr>
      <w:r w:rsidRPr="00D4024A">
        <w:lastRenderedPageBreak/>
        <w:t xml:space="preserve">Bagayoko, M., Maman, N., </w:t>
      </w:r>
      <w:proofErr w:type="spellStart"/>
      <w:r w:rsidRPr="00D4024A">
        <w:t>Palé</w:t>
      </w:r>
      <w:proofErr w:type="spellEnd"/>
      <w:r w:rsidRPr="00D4024A">
        <w:t xml:space="preserve">, S., </w:t>
      </w:r>
      <w:proofErr w:type="spellStart"/>
      <w:r w:rsidRPr="00D4024A">
        <w:t>Sirifi</w:t>
      </w:r>
      <w:proofErr w:type="spellEnd"/>
      <w:r w:rsidRPr="00D4024A">
        <w:t xml:space="preserve">, S., </w:t>
      </w:r>
      <w:proofErr w:type="spellStart"/>
      <w:r w:rsidRPr="00D4024A">
        <w:t>Taonda</w:t>
      </w:r>
      <w:proofErr w:type="spellEnd"/>
      <w:r w:rsidRPr="00D4024A">
        <w:t xml:space="preserve">, S. J. B., Traoré, S., &amp; Mason, S. C. (2011). Microdose and N and P fertilizer application rates for pearl millet in West Africa. </w:t>
      </w:r>
      <w:r w:rsidRPr="00D4024A">
        <w:rPr>
          <w:i/>
          <w:iCs/>
        </w:rPr>
        <w:t>African Journal of Agricultural Research, 6</w:t>
      </w:r>
      <w:r w:rsidRPr="00D4024A">
        <w:t>(5), 1141–1150. https://doi.org/10.5897/AJAR10.711</w:t>
      </w:r>
    </w:p>
    <w:p w14:paraId="7C16AA56" w14:textId="54BADDC8" w:rsidR="00D4024A" w:rsidRPr="00D4024A" w:rsidRDefault="00D4024A" w:rsidP="00D4024A">
      <w:pPr>
        <w:pStyle w:val="Body"/>
        <w:rPr>
          <w:lang w:val="fr-FR"/>
        </w:rPr>
      </w:pPr>
      <w:r w:rsidRPr="00D4024A">
        <w:t xml:space="preserve">Bambara, C. A. (2017). </w:t>
      </w:r>
      <w:r w:rsidR="00D151F2" w:rsidRPr="00D151F2">
        <w:rPr>
          <w:i/>
          <w:iCs/>
        </w:rPr>
        <w:t xml:space="preserve">Effects of poultry manure on soil chemical properties and upland rice yield in the </w:t>
      </w:r>
      <w:proofErr w:type="spellStart"/>
      <w:r w:rsidR="00D151F2" w:rsidRPr="00D151F2">
        <w:rPr>
          <w:i/>
          <w:iCs/>
        </w:rPr>
        <w:t>Sudano-Sudanian</w:t>
      </w:r>
      <w:proofErr w:type="spellEnd"/>
      <w:r w:rsidR="00D151F2" w:rsidRPr="00D151F2">
        <w:rPr>
          <w:i/>
          <w:iCs/>
        </w:rPr>
        <w:t xml:space="preserve"> zone of Burkina Faso (Engineering thesis). Nazi Boni University, Burkina Faso.</w:t>
      </w:r>
    </w:p>
    <w:p w14:paraId="0C918FA5" w14:textId="77777777" w:rsidR="00D4024A" w:rsidRPr="00D4024A" w:rsidRDefault="00D4024A" w:rsidP="00D4024A">
      <w:pPr>
        <w:pStyle w:val="Body"/>
        <w:rPr>
          <w:lang w:val="fr-FR"/>
        </w:rPr>
      </w:pPr>
      <w:r w:rsidRPr="00D4024A">
        <w:rPr>
          <w:lang w:val="fr-FR"/>
        </w:rPr>
        <w:t xml:space="preserve">Bodruzzaman, M., Sadat, M. A., Meisner, C. A., Hossain, A. B. S., &amp; Khan, H. H. (2002). </w:t>
      </w:r>
      <w:r w:rsidRPr="00D4024A">
        <w:t xml:space="preserve">Direct and residual effects of applied organic manures on yield in a wheat–rice cropping pattern. In </w:t>
      </w:r>
      <w:r w:rsidRPr="00D4024A">
        <w:rPr>
          <w:i/>
          <w:iCs/>
        </w:rPr>
        <w:t>Proceedings of the 17th World Congress of Soil Science</w:t>
      </w:r>
      <w:r w:rsidRPr="00D4024A">
        <w:t xml:space="preserve"> (p. 781). </w:t>
      </w:r>
      <w:r w:rsidRPr="00D4024A">
        <w:rPr>
          <w:lang w:val="fr-FR"/>
        </w:rPr>
        <w:t>Bangkok, Thailand.</w:t>
      </w:r>
    </w:p>
    <w:p w14:paraId="47405DB8" w14:textId="533C739E" w:rsidR="00D4024A" w:rsidRPr="00D4024A" w:rsidRDefault="00D4024A" w:rsidP="00D4024A">
      <w:pPr>
        <w:pStyle w:val="Body"/>
        <w:rPr>
          <w:lang w:val="fr-FR"/>
        </w:rPr>
      </w:pPr>
      <w:r w:rsidRPr="00D4024A">
        <w:rPr>
          <w:lang w:val="fr-FR"/>
        </w:rPr>
        <w:t xml:space="preserve">Bossy, D. (2014). </w:t>
      </w:r>
      <w:r w:rsidR="001428B4" w:rsidRPr="001428B4">
        <w:rPr>
          <w:i/>
          <w:iCs/>
        </w:rPr>
        <w:t>Fertilizers: A dangerous agricultural pollution. 57 pp</w:t>
      </w:r>
      <w:r w:rsidRPr="00CA28B4">
        <w:rPr>
          <w:lang w:val="fr-FR"/>
        </w:rPr>
        <w:t>.</w:t>
      </w:r>
    </w:p>
    <w:p w14:paraId="0B583F34" w14:textId="77777777" w:rsidR="00D4024A" w:rsidRPr="00D4024A" w:rsidRDefault="00D4024A" w:rsidP="00D4024A">
      <w:pPr>
        <w:pStyle w:val="Body"/>
        <w:rPr>
          <w:lang w:val="fr-FR"/>
        </w:rPr>
      </w:pPr>
      <w:r w:rsidRPr="00CA28B4">
        <w:t xml:space="preserve">Brady, N. C., &amp; Weil, R. R. (2016). </w:t>
      </w:r>
      <w:r w:rsidRPr="00D4024A">
        <w:rPr>
          <w:i/>
          <w:iCs/>
        </w:rPr>
        <w:t>The nature and properties of soils</w:t>
      </w:r>
      <w:r w:rsidRPr="00D4024A">
        <w:t xml:space="preserve"> (15th ed.). </w:t>
      </w:r>
      <w:r w:rsidRPr="00D4024A">
        <w:rPr>
          <w:lang w:val="fr-FR"/>
        </w:rPr>
        <w:t>Pearson.</w:t>
      </w:r>
    </w:p>
    <w:p w14:paraId="537D5BD2" w14:textId="56B16051" w:rsidR="00D4024A" w:rsidRPr="001428B4" w:rsidRDefault="00D4024A" w:rsidP="00D4024A">
      <w:pPr>
        <w:pStyle w:val="Body"/>
      </w:pPr>
      <w:r w:rsidRPr="00D4024A">
        <w:rPr>
          <w:lang w:val="fr-FR"/>
        </w:rPr>
        <w:t xml:space="preserve">BUNASOL. (2019). </w:t>
      </w:r>
      <w:r w:rsidR="001428B4" w:rsidRPr="001428B4">
        <w:rPr>
          <w:i/>
          <w:iCs/>
        </w:rPr>
        <w:t xml:space="preserve">Pedoclimatic studies of the </w:t>
      </w:r>
      <w:proofErr w:type="spellStart"/>
      <w:r w:rsidR="001428B4" w:rsidRPr="001428B4">
        <w:rPr>
          <w:i/>
          <w:iCs/>
        </w:rPr>
        <w:t>Gampéla</w:t>
      </w:r>
      <w:proofErr w:type="spellEnd"/>
      <w:r w:rsidR="001428B4" w:rsidRPr="001428B4">
        <w:rPr>
          <w:i/>
          <w:iCs/>
        </w:rPr>
        <w:t xml:space="preserve"> experimental </w:t>
      </w:r>
      <w:proofErr w:type="gramStart"/>
      <w:r w:rsidR="001428B4" w:rsidRPr="001428B4">
        <w:rPr>
          <w:i/>
          <w:iCs/>
        </w:rPr>
        <w:t>station.</w:t>
      </w:r>
      <w:r w:rsidRPr="001428B4">
        <w:t>.</w:t>
      </w:r>
      <w:proofErr w:type="gramEnd"/>
    </w:p>
    <w:p w14:paraId="0B386E65" w14:textId="77777777" w:rsidR="00D4024A" w:rsidRPr="00D4024A" w:rsidRDefault="00D4024A" w:rsidP="00D4024A">
      <w:pPr>
        <w:pStyle w:val="Body"/>
      </w:pPr>
      <w:r w:rsidRPr="00D4024A">
        <w:t xml:space="preserve">Celik, I., </w:t>
      </w:r>
      <w:proofErr w:type="spellStart"/>
      <w:r w:rsidRPr="00D4024A">
        <w:t>Ortas</w:t>
      </w:r>
      <w:proofErr w:type="spellEnd"/>
      <w:r w:rsidRPr="00D4024A">
        <w:t xml:space="preserve">, I., &amp; Kilic, S. (2004). Effects of compost, mycorrhiza, manure and fertilizer on some physical properties of a </w:t>
      </w:r>
      <w:proofErr w:type="spellStart"/>
      <w:r w:rsidRPr="00D4024A">
        <w:t>Chromoxerert</w:t>
      </w:r>
      <w:proofErr w:type="spellEnd"/>
      <w:r w:rsidRPr="00D4024A">
        <w:t xml:space="preserve"> soil. </w:t>
      </w:r>
      <w:r w:rsidRPr="00D4024A">
        <w:rPr>
          <w:i/>
          <w:iCs/>
        </w:rPr>
        <w:t>Soil and Tillage Research, 78</w:t>
      </w:r>
      <w:r w:rsidRPr="00D4024A">
        <w:t>(1), 59–67. https://doi.org/10.1016/j.still.2004.02.012</w:t>
      </w:r>
    </w:p>
    <w:p w14:paraId="0EEFC9C6" w14:textId="32AA3DF0" w:rsidR="00D4024A" w:rsidRPr="00D4024A" w:rsidRDefault="00D4024A" w:rsidP="00D4024A">
      <w:pPr>
        <w:pStyle w:val="Body"/>
      </w:pPr>
      <w:r w:rsidRPr="00D4024A">
        <w:t>CGIAR. (2021).</w:t>
      </w:r>
      <w:r w:rsidRPr="00D4024A">
        <w:rPr>
          <w:i/>
          <w:iCs/>
        </w:rPr>
        <w:t xml:space="preserve"> Burkina Faso releases its first pearl millet hybrid. High-</w:t>
      </w:r>
      <w:proofErr w:type="spellStart"/>
      <w:r w:rsidRPr="00D4024A">
        <w:rPr>
          <w:i/>
          <w:iCs/>
        </w:rPr>
        <w:t>yieldng</w:t>
      </w:r>
      <w:proofErr w:type="spellEnd"/>
      <w:r w:rsidRPr="00D4024A">
        <w:rPr>
          <w:i/>
          <w:iCs/>
        </w:rPr>
        <w:t>, downy- mildew resistant and suitable for food and fodder. Developed by ICRISAT and evaluated by INERA</w:t>
      </w:r>
      <w:r w:rsidRPr="00D4024A">
        <w:t>.</w:t>
      </w:r>
    </w:p>
    <w:p w14:paraId="201C636F" w14:textId="31C13FB6" w:rsidR="00D4024A" w:rsidRPr="00D4024A" w:rsidRDefault="00D4024A" w:rsidP="00D4024A">
      <w:pPr>
        <w:pStyle w:val="Body"/>
      </w:pPr>
      <w:r w:rsidRPr="00D4024A">
        <w:t xml:space="preserve">Da, D. E. C., Yacouba, H., &amp; </w:t>
      </w:r>
      <w:proofErr w:type="spellStart"/>
      <w:r w:rsidRPr="00D4024A">
        <w:t>Yonkeu</w:t>
      </w:r>
      <w:proofErr w:type="spellEnd"/>
      <w:r w:rsidRPr="00D4024A">
        <w:t xml:space="preserve">, S. (2008). </w:t>
      </w:r>
      <w:r w:rsidR="001428B4" w:rsidRPr="001428B4">
        <w:t xml:space="preserve">Morpho-pedological units and soil fertility management in the Centre-North of Burkina Faso. </w:t>
      </w:r>
      <w:r w:rsidR="001428B4" w:rsidRPr="001428B4">
        <w:rPr>
          <w:i/>
          <w:iCs/>
        </w:rPr>
        <w:t>International Journal of Biological and Chemical Sciences</w:t>
      </w:r>
      <w:r w:rsidR="001428B4" w:rsidRPr="001428B4">
        <w:t>, 2(3), 306–315.</w:t>
      </w:r>
    </w:p>
    <w:p w14:paraId="7C1F5D22" w14:textId="58D83CC8" w:rsidR="00D4024A" w:rsidRPr="00D4024A" w:rsidRDefault="00D4024A" w:rsidP="00D4024A">
      <w:pPr>
        <w:pStyle w:val="Body"/>
      </w:pPr>
      <w:r w:rsidRPr="00D4024A">
        <w:t xml:space="preserve">Da, I. A. N. (2010). </w:t>
      </w:r>
      <w:r w:rsidR="00DF3051" w:rsidRPr="00DF3051">
        <w:rPr>
          <w:i/>
          <w:iCs/>
        </w:rPr>
        <w:t xml:space="preserve">Residual effects of organic fertilization on the growth and development of cotton and maize (DEA </w:t>
      </w:r>
      <w:r w:rsidR="00DF3051">
        <w:rPr>
          <w:i/>
          <w:iCs/>
        </w:rPr>
        <w:t>memoire</w:t>
      </w:r>
      <w:r w:rsidR="00DF3051" w:rsidRPr="00DF3051">
        <w:rPr>
          <w:i/>
          <w:iCs/>
        </w:rPr>
        <w:t>). Polytechnic University of Bobo-Dioulasso.</w:t>
      </w:r>
    </w:p>
    <w:p w14:paraId="5A44C9F3" w14:textId="77777777" w:rsidR="00D4024A" w:rsidRPr="00D4024A" w:rsidRDefault="00D4024A" w:rsidP="00D4024A">
      <w:pPr>
        <w:pStyle w:val="Body"/>
      </w:pPr>
      <w:proofErr w:type="spellStart"/>
      <w:r w:rsidRPr="00D4024A">
        <w:t>Demelash</w:t>
      </w:r>
      <w:proofErr w:type="spellEnd"/>
      <w:r w:rsidRPr="00D4024A">
        <w:t xml:space="preserve">, N., &amp; Bayu, W. (2014). Current and residual effects of compost and inorganic fertilizer on wheat and soil chemical properties. </w:t>
      </w:r>
      <w:r w:rsidRPr="00D4024A">
        <w:rPr>
          <w:i/>
          <w:iCs/>
        </w:rPr>
        <w:t>Nutrient Cycling in Agroecosystems, 100</w:t>
      </w:r>
      <w:r w:rsidRPr="00D4024A">
        <w:t xml:space="preserve">, 357–367. </w:t>
      </w:r>
      <w:hyperlink r:id="rId20" w:tgtFrame="_new" w:history="1">
        <w:r w:rsidRPr="00D4024A">
          <w:rPr>
            <w:rStyle w:val="Hyperlink"/>
          </w:rPr>
          <w:t>https://doi.org/10.1007/s10705-014-9654-5</w:t>
        </w:r>
      </w:hyperlink>
    </w:p>
    <w:p w14:paraId="1C045EFF" w14:textId="38E58027" w:rsidR="00D4024A" w:rsidRPr="00D4024A" w:rsidRDefault="00D4024A" w:rsidP="00D4024A">
      <w:pPr>
        <w:pStyle w:val="Body"/>
        <w:rPr>
          <w:lang w:val="fr-FR"/>
        </w:rPr>
      </w:pPr>
      <w:r w:rsidRPr="00D4024A">
        <w:t xml:space="preserve">Dhaliwal, S. S., Sharma, V., Shukla, A. K., Gupta, R. K., Verma, V., Kaur, M., Behera, S. K., &amp; Singh, P. (2023). Residual Effect of Organic and Inorganic Fertilizers on Growth, Yield and Nutrient Uptake in Wheat under a Basmati Rice–Wheat Cropping System in North-Western India. </w:t>
      </w:r>
      <w:r w:rsidRPr="00D4024A">
        <w:rPr>
          <w:lang w:val="fr-FR"/>
        </w:rPr>
        <w:t xml:space="preserve">Agriculture 2023, 13, 556. </w:t>
      </w:r>
      <w:hyperlink r:id="rId21" w:tgtFrame="_new" w:history="1">
        <w:r w:rsidRPr="00D4024A">
          <w:rPr>
            <w:rStyle w:val="Hyperlink"/>
            <w:lang w:val="fr-FR"/>
          </w:rPr>
          <w:t>https://doi.org/10.3390/agriculture13030556</w:t>
        </w:r>
      </w:hyperlink>
    </w:p>
    <w:p w14:paraId="6EBD2FCE" w14:textId="2FD20E6A" w:rsidR="00D4024A" w:rsidRPr="00DF3051" w:rsidRDefault="00D4024A" w:rsidP="00D4024A">
      <w:pPr>
        <w:pStyle w:val="Body"/>
      </w:pPr>
      <w:r w:rsidRPr="00D4024A">
        <w:rPr>
          <w:lang w:val="fr-FR"/>
        </w:rPr>
        <w:t xml:space="preserve">Diouf, M. (1990). </w:t>
      </w:r>
      <w:r w:rsidR="00DF3051" w:rsidRPr="00DF3051">
        <w:rPr>
          <w:i/>
          <w:iCs/>
        </w:rPr>
        <w:t>Analysis of yield formation in pearl millet (</w:t>
      </w:r>
      <w:proofErr w:type="spellStart"/>
      <w:r w:rsidR="00DF3051" w:rsidRPr="00DF3051">
        <w:rPr>
          <w:i/>
          <w:iCs/>
        </w:rPr>
        <w:t>Pennisetum</w:t>
      </w:r>
      <w:proofErr w:type="spellEnd"/>
      <w:r w:rsidR="00DF3051" w:rsidRPr="00DF3051">
        <w:rPr>
          <w:i/>
          <w:iCs/>
        </w:rPr>
        <w:t xml:space="preserve"> </w:t>
      </w:r>
      <w:proofErr w:type="spellStart"/>
      <w:r w:rsidR="00DF3051" w:rsidRPr="00DF3051">
        <w:rPr>
          <w:i/>
          <w:iCs/>
        </w:rPr>
        <w:t>typhoides</w:t>
      </w:r>
      <w:proofErr w:type="spellEnd"/>
      <w:r w:rsidR="00DF3051" w:rsidRPr="00DF3051">
        <w:rPr>
          <w:i/>
          <w:iCs/>
        </w:rPr>
        <w:t xml:space="preserve"> </w:t>
      </w:r>
      <w:proofErr w:type="spellStart"/>
      <w:r w:rsidR="00DF3051" w:rsidRPr="00DF3051">
        <w:rPr>
          <w:i/>
          <w:iCs/>
        </w:rPr>
        <w:t>Stapf</w:t>
      </w:r>
      <w:proofErr w:type="spellEnd"/>
      <w:r w:rsidR="00DF3051" w:rsidRPr="00DF3051">
        <w:rPr>
          <w:i/>
          <w:iCs/>
        </w:rPr>
        <w:t xml:space="preserve"> &amp; Hubb.). Development of a diagnostic method in farmers’ fields. PhD thesis, INA, Paris-Grignon.</w:t>
      </w:r>
    </w:p>
    <w:p w14:paraId="6ADFE380" w14:textId="03FC98C9" w:rsidR="00D4024A" w:rsidRPr="00D4024A" w:rsidRDefault="00D4024A" w:rsidP="00D4024A">
      <w:pPr>
        <w:pStyle w:val="Body"/>
        <w:rPr>
          <w:lang w:val="fr-FR"/>
        </w:rPr>
      </w:pPr>
      <w:r w:rsidRPr="00D4024A">
        <w:rPr>
          <w:lang w:val="fr-FR"/>
        </w:rPr>
        <w:t xml:space="preserve">DGPER/MAHRH. (2010). </w:t>
      </w:r>
      <w:r w:rsidR="00DF3051" w:rsidRPr="00DF3051">
        <w:rPr>
          <w:i/>
          <w:iCs/>
        </w:rPr>
        <w:t>Report of the 3rd joint SAP-GTP mission on monitoring the 2010–2011 agropastoral season and the food and nutrition situation. Burkina Faso.</w:t>
      </w:r>
    </w:p>
    <w:p w14:paraId="2A279478" w14:textId="3A3DB1FA" w:rsidR="00D4024A" w:rsidRPr="003C7B4E" w:rsidRDefault="00D4024A" w:rsidP="00D4024A">
      <w:pPr>
        <w:pStyle w:val="Body"/>
      </w:pPr>
      <w:proofErr w:type="spellStart"/>
      <w:r w:rsidRPr="00D4024A">
        <w:rPr>
          <w:lang w:val="fr-FR"/>
        </w:rPr>
        <w:lastRenderedPageBreak/>
        <w:t>Dutordoir</w:t>
      </w:r>
      <w:proofErr w:type="spellEnd"/>
      <w:r w:rsidRPr="00D4024A">
        <w:rPr>
          <w:lang w:val="fr-FR"/>
        </w:rPr>
        <w:t xml:space="preserve">, D. C. (2006). </w:t>
      </w:r>
      <w:r w:rsidR="003C7B4E" w:rsidRPr="003C7B4E">
        <w:rPr>
          <w:i/>
          <w:iCs/>
        </w:rPr>
        <w:t>Impact of soil fertility management practices on millet yields in Fakara (Niger). Thesis, Agronomic and Environmental Sciences. Catholic University of Louvain, Belgium, 214 pp.</w:t>
      </w:r>
    </w:p>
    <w:p w14:paraId="4B7799E2" w14:textId="2BD5B1C8" w:rsidR="00D4024A" w:rsidRPr="00D4024A" w:rsidRDefault="00D4024A" w:rsidP="00D4024A">
      <w:pPr>
        <w:pStyle w:val="Body"/>
      </w:pPr>
      <w:r w:rsidRPr="00CA28B4">
        <w:t xml:space="preserve">Ebbisa, A. F., </w:t>
      </w:r>
      <w:proofErr w:type="spellStart"/>
      <w:r w:rsidRPr="00CA28B4">
        <w:t>Dechassa</w:t>
      </w:r>
      <w:proofErr w:type="spellEnd"/>
      <w:r w:rsidRPr="00CA28B4">
        <w:t xml:space="preserve">, N., </w:t>
      </w:r>
      <w:proofErr w:type="spellStart"/>
      <w:r w:rsidRPr="00CA28B4">
        <w:t>Bekeko</w:t>
      </w:r>
      <w:proofErr w:type="spellEnd"/>
      <w:r w:rsidRPr="00CA28B4">
        <w:t xml:space="preserve">, Z., &amp; Liben, F. (2025). </w:t>
      </w:r>
      <w:r w:rsidRPr="00D4024A">
        <w:t xml:space="preserve">Residual effect of vermicompost and preceding groundnut on soil fertility and associated Striga density under sorghum cropping in Eastern Ethiopia. </w:t>
      </w:r>
      <w:proofErr w:type="spellStart"/>
      <w:r w:rsidRPr="00D4024A">
        <w:t>PLoS</w:t>
      </w:r>
      <w:proofErr w:type="spellEnd"/>
      <w:r w:rsidRPr="00D4024A">
        <w:t xml:space="preserve"> ONE 20(3): e0318057. </w:t>
      </w:r>
      <w:hyperlink r:id="rId22" w:history="1">
        <w:r w:rsidRPr="00D4024A">
          <w:rPr>
            <w:rStyle w:val="Hyperlink"/>
          </w:rPr>
          <w:t>https://doi.org/10.1371/journal</w:t>
        </w:r>
      </w:hyperlink>
    </w:p>
    <w:p w14:paraId="46574838" w14:textId="77777777" w:rsidR="00D4024A" w:rsidRPr="00D4024A" w:rsidRDefault="00D4024A" w:rsidP="00D4024A">
      <w:pPr>
        <w:pStyle w:val="Body"/>
      </w:pPr>
      <w:r w:rsidRPr="00D4024A">
        <w:t xml:space="preserve">FAO. (2022). </w:t>
      </w:r>
      <w:r w:rsidRPr="00D4024A">
        <w:rPr>
          <w:i/>
          <w:iCs/>
        </w:rPr>
        <w:t>The state of food security and nutrition in the world</w:t>
      </w:r>
      <w:r w:rsidRPr="00D4024A">
        <w:t>.</w:t>
      </w:r>
    </w:p>
    <w:p w14:paraId="1D7A735F" w14:textId="770D94A9" w:rsidR="00D4024A" w:rsidRPr="00D4024A" w:rsidRDefault="00D4024A" w:rsidP="00D4024A">
      <w:pPr>
        <w:pStyle w:val="Body"/>
      </w:pPr>
      <w:r w:rsidRPr="00D4024A">
        <w:t xml:space="preserve">FAO. (2023). </w:t>
      </w:r>
      <w:r w:rsidRPr="00D4024A">
        <w:rPr>
          <w:i/>
          <w:iCs/>
        </w:rPr>
        <w:t xml:space="preserve">Sustainable soil management as a keystone of nutrition sensitive agriculture in Burkina Faso. CC BY-NC-SA 3.0 IGO </w:t>
      </w:r>
      <w:proofErr w:type="spellStart"/>
      <w:r w:rsidRPr="00D4024A">
        <w:rPr>
          <w:i/>
          <w:iCs/>
        </w:rPr>
        <w:t>licence</w:t>
      </w:r>
      <w:proofErr w:type="spellEnd"/>
      <w:r w:rsidRPr="00D4024A">
        <w:t>.</w:t>
      </w:r>
    </w:p>
    <w:p w14:paraId="7DA8D3FB" w14:textId="198C8D50" w:rsidR="00D4024A" w:rsidRPr="00D4024A" w:rsidRDefault="00D4024A" w:rsidP="00D4024A">
      <w:pPr>
        <w:pStyle w:val="Body"/>
      </w:pPr>
      <w:r w:rsidRPr="00D4024A">
        <w:t xml:space="preserve">Fick, S. E., &amp; </w:t>
      </w:r>
      <w:proofErr w:type="spellStart"/>
      <w:r w:rsidRPr="00D4024A">
        <w:t>Hijmans</w:t>
      </w:r>
      <w:proofErr w:type="spellEnd"/>
      <w:r w:rsidRPr="00D4024A">
        <w:t xml:space="preserve">, R. J. (2017). </w:t>
      </w:r>
      <w:proofErr w:type="spellStart"/>
      <w:r w:rsidRPr="00D4024A">
        <w:t>Worldclim</w:t>
      </w:r>
      <w:proofErr w:type="spellEnd"/>
      <w:r w:rsidRPr="00D4024A">
        <w:t xml:space="preserve"> 2: new 1-km spatial resolution climate surfaces for global land areas. </w:t>
      </w:r>
      <w:r w:rsidRPr="00D4024A">
        <w:rPr>
          <w:i/>
          <w:iCs/>
        </w:rPr>
        <w:t>International Journal of Climatology, 37</w:t>
      </w:r>
      <w:r w:rsidRPr="00D4024A">
        <w:t>, 4302–4315.</w:t>
      </w:r>
    </w:p>
    <w:p w14:paraId="50D94788" w14:textId="77777777" w:rsidR="00D4024A" w:rsidRPr="00D4024A" w:rsidRDefault="00D4024A" w:rsidP="00D4024A">
      <w:pPr>
        <w:pStyle w:val="Body"/>
      </w:pPr>
      <w:r w:rsidRPr="00D4024A">
        <w:t xml:space="preserve">Gachon, L. (1968). Phosphorus. </w:t>
      </w:r>
      <w:r w:rsidRPr="00D4024A">
        <w:rPr>
          <w:i/>
          <w:iCs/>
        </w:rPr>
        <w:t>Science, 231</w:t>
      </w:r>
      <w:r w:rsidRPr="00D4024A">
        <w:t>, 579–586.</w:t>
      </w:r>
    </w:p>
    <w:p w14:paraId="3A9A1648" w14:textId="612E2161" w:rsidR="00D4024A" w:rsidRPr="00D4024A" w:rsidRDefault="00D4024A" w:rsidP="00D4024A">
      <w:pPr>
        <w:pStyle w:val="Body"/>
      </w:pPr>
      <w:proofErr w:type="spellStart"/>
      <w:r w:rsidRPr="00D4024A">
        <w:t>Gomgnimbou</w:t>
      </w:r>
      <w:proofErr w:type="spellEnd"/>
      <w:r w:rsidRPr="00D4024A">
        <w:t xml:space="preserve">, A., Coulibaly, K., Sanon, A., </w:t>
      </w:r>
      <w:proofErr w:type="spellStart"/>
      <w:r w:rsidRPr="00D4024A">
        <w:t>Bacyé</w:t>
      </w:r>
      <w:proofErr w:type="spellEnd"/>
      <w:r w:rsidRPr="00D4024A">
        <w:t xml:space="preserve">, B., Nacro, B. H., &amp; </w:t>
      </w:r>
      <w:proofErr w:type="spellStart"/>
      <w:r w:rsidRPr="00D4024A">
        <w:t>Sédogo</w:t>
      </w:r>
      <w:proofErr w:type="spellEnd"/>
      <w:r w:rsidRPr="00D4024A">
        <w:t>, P. M. (2016). Study of the Nutrient Composition of Organic Fertilizers in the Zone of Bobo-Dioulasso (Burkina Faso). International Journal of Sciences Research. 2(4), 617-622.</w:t>
      </w:r>
    </w:p>
    <w:p w14:paraId="445594E2" w14:textId="1198B0B9" w:rsidR="00D4024A" w:rsidRPr="00D4024A" w:rsidRDefault="00D4024A" w:rsidP="00D4024A">
      <w:pPr>
        <w:pStyle w:val="Body"/>
      </w:pPr>
      <w:proofErr w:type="spellStart"/>
      <w:r w:rsidRPr="00D4024A">
        <w:t>Gomgnimbou</w:t>
      </w:r>
      <w:proofErr w:type="spellEnd"/>
      <w:r w:rsidRPr="00D4024A">
        <w:t xml:space="preserve">, A. P. K., Bandaogo, A. A., Coulibaly, K., Sanon, A., &amp; Nacro, H. B. (2019). </w:t>
      </w:r>
      <w:r w:rsidR="003C7B4E" w:rsidRPr="003C7B4E">
        <w:t xml:space="preserve">Short-term effects of poultry manure application on maize (Zea mays L.) yield and chemical properties of a </w:t>
      </w:r>
      <w:proofErr w:type="spellStart"/>
      <w:r w:rsidR="003C7B4E" w:rsidRPr="003C7B4E">
        <w:t>ferrallitic</w:t>
      </w:r>
      <w:proofErr w:type="spellEnd"/>
      <w:r w:rsidR="003C7B4E" w:rsidRPr="003C7B4E">
        <w:t xml:space="preserve"> soil in the </w:t>
      </w:r>
      <w:proofErr w:type="spellStart"/>
      <w:r w:rsidR="003C7B4E" w:rsidRPr="003C7B4E">
        <w:t>Sudano-Sudanian</w:t>
      </w:r>
      <w:proofErr w:type="spellEnd"/>
      <w:r w:rsidR="003C7B4E" w:rsidRPr="003C7B4E">
        <w:t xml:space="preserve"> zone of Burkina Faso. </w:t>
      </w:r>
      <w:r w:rsidR="003C7B4E" w:rsidRPr="003C7B4E">
        <w:rPr>
          <w:i/>
          <w:iCs/>
        </w:rPr>
        <w:t>Int. J. Biol. Chem. Sci.</w:t>
      </w:r>
      <w:r w:rsidR="003C7B4E" w:rsidRPr="003C7B4E">
        <w:t xml:space="preserve">, 13(4) (October), 2041–2052. </w:t>
      </w:r>
      <w:hyperlink r:id="rId23" w:tgtFrame="_new" w:history="1">
        <w:r w:rsidR="003C7B4E" w:rsidRPr="003C7B4E">
          <w:rPr>
            <w:rStyle w:val="Hyperlink"/>
          </w:rPr>
          <w:t>https://doi.org/10.4314/ijbcs.v13i4.11</w:t>
        </w:r>
      </w:hyperlink>
      <w:r w:rsidRPr="00D4024A">
        <w:t>.</w:t>
      </w:r>
    </w:p>
    <w:p w14:paraId="223D7BF1" w14:textId="4596FECA" w:rsidR="00D4024A" w:rsidRPr="00D4024A" w:rsidRDefault="00D4024A" w:rsidP="00D4024A">
      <w:pPr>
        <w:pStyle w:val="Body"/>
      </w:pPr>
      <w:r w:rsidRPr="00D4024A">
        <w:t xml:space="preserve">Gros, A. (1979). </w:t>
      </w:r>
      <w:r w:rsidRPr="00D4024A">
        <w:rPr>
          <w:i/>
          <w:iCs/>
        </w:rPr>
        <w:t>Fertilizers: A practical guide to fertilization</w:t>
      </w:r>
      <w:r w:rsidRPr="00D4024A">
        <w:t xml:space="preserve">. Maison </w:t>
      </w:r>
      <w:proofErr w:type="spellStart"/>
      <w:r w:rsidRPr="00D4024A">
        <w:t>Rustique</w:t>
      </w:r>
      <w:proofErr w:type="spellEnd"/>
      <w:r w:rsidRPr="00D4024A">
        <w:t xml:space="preserve">. </w:t>
      </w:r>
      <w:r w:rsidRPr="006A216D">
        <w:t>Paris</w:t>
      </w:r>
      <w:r w:rsidRPr="00FB1E75">
        <w:t>; 542 p.</w:t>
      </w:r>
    </w:p>
    <w:p w14:paraId="2BC89E39" w14:textId="79ED15B4" w:rsidR="00D4024A" w:rsidRPr="00CA28B4" w:rsidRDefault="00D4024A" w:rsidP="00D4024A">
      <w:pPr>
        <w:pStyle w:val="Body"/>
        <w:rPr>
          <w:lang w:val="fr-FR"/>
        </w:rPr>
      </w:pPr>
      <w:r w:rsidRPr="00D4024A">
        <w:t xml:space="preserve">Harper, J. E. (1994). Nitrogen metabolism. In </w:t>
      </w:r>
      <w:r w:rsidRPr="00D4024A">
        <w:rPr>
          <w:i/>
          <w:iCs/>
        </w:rPr>
        <w:t>Physiology and determination of crop yield</w:t>
      </w:r>
      <w:r>
        <w:t xml:space="preserve">. </w:t>
      </w:r>
      <w:proofErr w:type="spellStart"/>
      <w:r w:rsidRPr="00CA28B4">
        <w:rPr>
          <w:lang w:val="fr-FR"/>
        </w:rPr>
        <w:t>Soil</w:t>
      </w:r>
      <w:proofErr w:type="spellEnd"/>
      <w:r w:rsidRPr="00CA28B4">
        <w:rPr>
          <w:lang w:val="fr-FR"/>
        </w:rPr>
        <w:t xml:space="preserve"> Science Society of </w:t>
      </w:r>
      <w:proofErr w:type="gramStart"/>
      <w:r w:rsidRPr="00CA28B4">
        <w:rPr>
          <w:lang w:val="fr-FR"/>
        </w:rPr>
        <w:t>America;</w:t>
      </w:r>
      <w:proofErr w:type="gramEnd"/>
      <w:r w:rsidRPr="00CA28B4">
        <w:rPr>
          <w:lang w:val="fr-FR"/>
        </w:rPr>
        <w:t xml:space="preserve"> 285-302 (pp. 285–302). </w:t>
      </w:r>
      <w:proofErr w:type="gramStart"/>
      <w:r w:rsidRPr="00CA28B4">
        <w:rPr>
          <w:lang w:val="fr-FR"/>
        </w:rPr>
        <w:t>DOI:</w:t>
      </w:r>
      <w:proofErr w:type="gramEnd"/>
      <w:r w:rsidRPr="00CA28B4">
        <w:rPr>
          <w:lang w:val="fr-FR"/>
        </w:rPr>
        <w:t>10.2134/1994</w:t>
      </w:r>
    </w:p>
    <w:p w14:paraId="4A6ACA19" w14:textId="49FF6FD2" w:rsidR="00D4024A" w:rsidRPr="006F5528" w:rsidRDefault="00D4024A" w:rsidP="00D4024A">
      <w:pPr>
        <w:pStyle w:val="Body"/>
      </w:pPr>
      <w:r w:rsidRPr="00D4024A">
        <w:rPr>
          <w:lang w:val="fr-FR"/>
        </w:rPr>
        <w:t xml:space="preserve">IF20. (2006). </w:t>
      </w:r>
      <w:r w:rsidR="006F5528" w:rsidRPr="006F5528">
        <w:rPr>
          <w:i/>
          <w:iCs/>
        </w:rPr>
        <w:t>Characterization of organic fertilizers. 104 pp.</w:t>
      </w:r>
    </w:p>
    <w:p w14:paraId="7DD7EF4E" w14:textId="471C5D60" w:rsidR="00D4024A" w:rsidRPr="006F5528" w:rsidRDefault="00D4024A" w:rsidP="00D4024A">
      <w:pPr>
        <w:pStyle w:val="Body"/>
      </w:pPr>
      <w:r w:rsidRPr="00D4024A">
        <w:rPr>
          <w:lang w:val="fr-FR"/>
        </w:rPr>
        <w:t xml:space="preserve">INSD. (2021). </w:t>
      </w:r>
      <w:r w:rsidR="006F5528" w:rsidRPr="006F5528">
        <w:t>National Survey on the Use of Food Products (ENUPA) in Burkina Faso</w:t>
      </w:r>
      <w:r w:rsidRPr="006F5528">
        <w:t>.</w:t>
      </w:r>
    </w:p>
    <w:p w14:paraId="60047573" w14:textId="77CD550D" w:rsidR="00D4024A" w:rsidRPr="00D4024A" w:rsidRDefault="00D4024A" w:rsidP="00D4024A">
      <w:pPr>
        <w:pStyle w:val="Body"/>
        <w:rPr>
          <w:lang w:val="fr-FR"/>
        </w:rPr>
      </w:pPr>
      <w:r w:rsidRPr="00D4024A">
        <w:rPr>
          <w:lang w:val="fr-FR"/>
        </w:rPr>
        <w:t xml:space="preserve">ITAVI. (2011). </w:t>
      </w:r>
      <w:r w:rsidR="006F5528" w:rsidRPr="006F5528">
        <w:rPr>
          <w:i/>
          <w:iCs/>
        </w:rPr>
        <w:t>Poultry manure</w:t>
      </w:r>
      <w:r w:rsidRPr="00D4024A">
        <w:rPr>
          <w:lang w:val="fr-FR"/>
        </w:rPr>
        <w:t>.</w:t>
      </w:r>
    </w:p>
    <w:p w14:paraId="261AAF32" w14:textId="7FE6C6D8" w:rsidR="00D4024A" w:rsidRPr="00D4024A" w:rsidRDefault="00D4024A" w:rsidP="00D4024A">
      <w:pPr>
        <w:pStyle w:val="Body"/>
        <w:rPr>
          <w:lang w:val="fr-FR"/>
        </w:rPr>
      </w:pPr>
      <w:r w:rsidRPr="00D4024A">
        <w:rPr>
          <w:lang w:val="fr-FR"/>
        </w:rPr>
        <w:t xml:space="preserve">Kati, Y. (2012). </w:t>
      </w:r>
      <w:r w:rsidR="002340C2" w:rsidRPr="002340C2">
        <w:rPr>
          <w:i/>
          <w:iCs/>
        </w:rPr>
        <w:t xml:space="preserve">Contribution to improving phosphorus fertilization management in mountain soils: case of apple orchard soils in </w:t>
      </w:r>
      <w:proofErr w:type="spellStart"/>
      <w:r w:rsidR="002340C2" w:rsidRPr="002340C2">
        <w:rPr>
          <w:i/>
          <w:iCs/>
        </w:rPr>
        <w:t>Ichemoul</w:t>
      </w:r>
      <w:proofErr w:type="spellEnd"/>
      <w:r w:rsidR="002340C2" w:rsidRPr="002340C2">
        <w:rPr>
          <w:i/>
          <w:iCs/>
        </w:rPr>
        <w:t xml:space="preserve"> (</w:t>
      </w:r>
      <w:proofErr w:type="spellStart"/>
      <w:r w:rsidR="002340C2" w:rsidRPr="002340C2">
        <w:rPr>
          <w:i/>
          <w:iCs/>
        </w:rPr>
        <w:t>Aurès</w:t>
      </w:r>
      <w:proofErr w:type="spellEnd"/>
      <w:r w:rsidR="002340C2" w:rsidRPr="002340C2">
        <w:rPr>
          <w:i/>
          <w:iCs/>
        </w:rPr>
        <w:t>, Algeria). Thesis, Master’s degree in Agronomic Sciences, University of El-</w:t>
      </w:r>
      <w:proofErr w:type="spellStart"/>
      <w:r w:rsidR="002340C2" w:rsidRPr="002340C2">
        <w:rPr>
          <w:i/>
          <w:iCs/>
        </w:rPr>
        <w:t>Hadj</w:t>
      </w:r>
      <w:proofErr w:type="spellEnd"/>
      <w:r w:rsidR="002340C2" w:rsidRPr="002340C2">
        <w:rPr>
          <w:i/>
          <w:iCs/>
        </w:rPr>
        <w:t xml:space="preserve"> </w:t>
      </w:r>
      <w:proofErr w:type="spellStart"/>
      <w:r w:rsidR="002340C2" w:rsidRPr="002340C2">
        <w:rPr>
          <w:i/>
          <w:iCs/>
        </w:rPr>
        <w:t>Lakhdar</w:t>
      </w:r>
      <w:proofErr w:type="spellEnd"/>
      <w:r w:rsidR="002340C2" w:rsidRPr="002340C2">
        <w:rPr>
          <w:i/>
          <w:iCs/>
        </w:rPr>
        <w:t xml:space="preserve"> </w:t>
      </w:r>
      <w:proofErr w:type="spellStart"/>
      <w:r w:rsidR="002340C2" w:rsidRPr="002340C2">
        <w:rPr>
          <w:i/>
          <w:iCs/>
        </w:rPr>
        <w:t>Batna</w:t>
      </w:r>
      <w:proofErr w:type="spellEnd"/>
      <w:r w:rsidR="002340C2" w:rsidRPr="002340C2">
        <w:rPr>
          <w:i/>
          <w:iCs/>
        </w:rPr>
        <w:t>, Institute of Veterinary Sciences and Agronomic Sciences. Option: Soil Science (Pedology), p. 84</w:t>
      </w:r>
      <w:r w:rsidRPr="00D4024A">
        <w:rPr>
          <w:i/>
          <w:iCs/>
          <w:lang w:val="fr-FR"/>
        </w:rPr>
        <w:t>.</w:t>
      </w:r>
    </w:p>
    <w:p w14:paraId="68BFD2A6" w14:textId="3C9B56FC" w:rsidR="00D4024A" w:rsidRPr="00CA28B4" w:rsidRDefault="00D4024A" w:rsidP="00D4024A">
      <w:pPr>
        <w:pStyle w:val="Body"/>
        <w:rPr>
          <w:lang w:val="fr-FR"/>
        </w:rPr>
      </w:pPr>
      <w:r w:rsidRPr="00D4024A">
        <w:rPr>
          <w:lang w:val="fr-FR"/>
        </w:rPr>
        <w:t xml:space="preserve">Kiba, D. I., Zongo, N. A., Traoré, O. Y. A., et al. </w:t>
      </w:r>
      <w:r w:rsidRPr="00D4024A">
        <w:t xml:space="preserve">(2020). </w:t>
      </w:r>
      <w:r w:rsidRPr="00E30830">
        <w:t xml:space="preserve">Poultry Farming Practices Affect the Chemical Composition of Poultry Manure and Its C and N Mineralization in a Ferric </w:t>
      </w:r>
      <w:proofErr w:type="spellStart"/>
      <w:r w:rsidRPr="00E30830">
        <w:t>Acrisol</w:t>
      </w:r>
      <w:proofErr w:type="spellEnd"/>
      <w:r w:rsidRPr="00E30830">
        <w:t xml:space="preserve">. </w:t>
      </w:r>
      <w:r w:rsidRPr="00CA28B4">
        <w:rPr>
          <w:lang w:val="fr-FR"/>
        </w:rPr>
        <w:t xml:space="preserve">Journal of Agricultural Science, 12(3), 95. </w:t>
      </w:r>
      <w:proofErr w:type="gramStart"/>
      <w:r w:rsidRPr="00CA28B4">
        <w:rPr>
          <w:lang w:val="fr-FR"/>
        </w:rPr>
        <w:t>DOI:</w:t>
      </w:r>
      <w:proofErr w:type="gramEnd"/>
      <w:r w:rsidRPr="00CA28B4">
        <w:rPr>
          <w:lang w:val="fr-FR"/>
        </w:rPr>
        <w:t xml:space="preserve"> 10.5539/jas.v12n3p95</w:t>
      </w:r>
    </w:p>
    <w:p w14:paraId="22012111" w14:textId="14AA944B" w:rsidR="00D4024A" w:rsidRPr="00D4024A" w:rsidRDefault="00D4024A" w:rsidP="00D4024A">
      <w:pPr>
        <w:pStyle w:val="Body"/>
        <w:rPr>
          <w:lang w:val="fr-FR"/>
        </w:rPr>
      </w:pPr>
      <w:r w:rsidRPr="00CA28B4">
        <w:rPr>
          <w:lang w:val="fr-FR"/>
        </w:rPr>
        <w:t xml:space="preserve">Latham, M. C. (2001). </w:t>
      </w:r>
      <w:r w:rsidR="00DB2419" w:rsidRPr="00DB2419">
        <w:rPr>
          <w:i/>
          <w:iCs/>
        </w:rPr>
        <w:t xml:space="preserve">Nutrition in developing countries. FAO, </w:t>
      </w:r>
      <w:proofErr w:type="spellStart"/>
      <w:r w:rsidR="00DB2419" w:rsidRPr="00DB2419">
        <w:rPr>
          <w:i/>
          <w:iCs/>
        </w:rPr>
        <w:t>Viale</w:t>
      </w:r>
      <w:proofErr w:type="spellEnd"/>
      <w:r w:rsidR="00DB2419" w:rsidRPr="00DB2419">
        <w:rPr>
          <w:i/>
          <w:iCs/>
        </w:rPr>
        <w:t xml:space="preserve"> </w:t>
      </w:r>
      <w:proofErr w:type="spellStart"/>
      <w:r w:rsidR="00DB2419" w:rsidRPr="00DB2419">
        <w:rPr>
          <w:i/>
          <w:iCs/>
        </w:rPr>
        <w:t>delle</w:t>
      </w:r>
      <w:proofErr w:type="spellEnd"/>
      <w:r w:rsidR="00DB2419" w:rsidRPr="00DB2419">
        <w:rPr>
          <w:i/>
          <w:iCs/>
        </w:rPr>
        <w:t xml:space="preserve"> Terme di Caracalla, 00100 Rome, Italy</w:t>
      </w:r>
      <w:r w:rsidRPr="00D4024A">
        <w:rPr>
          <w:lang w:val="fr-FR"/>
        </w:rPr>
        <w:t>.</w:t>
      </w:r>
    </w:p>
    <w:p w14:paraId="205E5F32" w14:textId="3CFBE970" w:rsidR="00D4024A" w:rsidRPr="00CA28B4" w:rsidRDefault="00D4024A" w:rsidP="00D4024A">
      <w:pPr>
        <w:pStyle w:val="Body"/>
      </w:pPr>
      <w:r w:rsidRPr="00D4024A">
        <w:rPr>
          <w:lang w:val="fr-FR"/>
        </w:rPr>
        <w:t xml:space="preserve">Liza, M. M. J., Islam, M. R., </w:t>
      </w:r>
      <w:proofErr w:type="spellStart"/>
      <w:r w:rsidRPr="00D4024A">
        <w:rPr>
          <w:lang w:val="fr-FR"/>
        </w:rPr>
        <w:t>Jahiruddin</w:t>
      </w:r>
      <w:proofErr w:type="spellEnd"/>
      <w:r w:rsidRPr="00D4024A">
        <w:rPr>
          <w:lang w:val="fr-FR"/>
        </w:rPr>
        <w:t xml:space="preserve">, M., et al. </w:t>
      </w:r>
      <w:r w:rsidRPr="00D4024A">
        <w:t xml:space="preserve">(2014). Residual Effects </w:t>
      </w:r>
      <w:proofErr w:type="gramStart"/>
      <w:r w:rsidRPr="00D4024A">
        <w:t>Of</w:t>
      </w:r>
      <w:proofErr w:type="gramEnd"/>
      <w:r w:rsidRPr="00D4024A">
        <w:t xml:space="preserve"> Organic Manures With Different Levels Of Chemical Fertilizers On Rice. Life Sci J 2014;11(12):6-12]. (ISSN:1097-8135). http://www.lifesciencesite.com</w:t>
      </w:r>
    </w:p>
    <w:p w14:paraId="5F76C8B8" w14:textId="7F7556B8" w:rsidR="00D4024A" w:rsidRPr="00D4024A" w:rsidRDefault="00D4024A" w:rsidP="00D4024A">
      <w:pPr>
        <w:pStyle w:val="Body"/>
      </w:pPr>
      <w:r w:rsidRPr="00CA28B4">
        <w:lastRenderedPageBreak/>
        <w:t xml:space="preserve">López-Piñeiro, A., Murillo, S., Barreto, C., et al. </w:t>
      </w:r>
      <w:r w:rsidRPr="00D4024A">
        <w:t xml:space="preserve">(2007). Changes in organic matter and residual effect of amendment with two-phase olive-mill waste on degraded agricultural soils. Science of the Total Environment 378, 378, 84–89. </w:t>
      </w:r>
      <w:hyperlink r:id="rId24" w:history="1">
        <w:r w:rsidRPr="00D4024A">
          <w:rPr>
            <w:rStyle w:val="Hyperlink"/>
          </w:rPr>
          <w:t>https://doi.org/10.1016/j.scitotenv.2007.01.018</w:t>
        </w:r>
      </w:hyperlink>
    </w:p>
    <w:p w14:paraId="6AFF2697" w14:textId="37550CB1" w:rsidR="00D4024A" w:rsidRPr="00D766FF" w:rsidRDefault="00D4024A" w:rsidP="00D4024A">
      <w:pPr>
        <w:pStyle w:val="Body"/>
      </w:pPr>
      <w:r w:rsidRPr="00D4024A">
        <w:rPr>
          <w:lang w:val="fr-FR"/>
        </w:rPr>
        <w:t xml:space="preserve">MAAH. (2019). </w:t>
      </w:r>
      <w:r w:rsidR="00D766FF" w:rsidRPr="00D766FF">
        <w:rPr>
          <w:i/>
          <w:iCs/>
        </w:rPr>
        <w:t>Final Results of the 2018/2019 Agropastoral Campaign, Food and Nutritional Situation of the Country (Burkina Faso), and Perspectives</w:t>
      </w:r>
      <w:r w:rsidRPr="00D766FF">
        <w:t>.</w:t>
      </w:r>
    </w:p>
    <w:p w14:paraId="59785056" w14:textId="32CFB505" w:rsidR="00D4024A" w:rsidRPr="00790A79" w:rsidRDefault="00D4024A" w:rsidP="00D4024A">
      <w:pPr>
        <w:pStyle w:val="Body"/>
      </w:pPr>
      <w:r w:rsidRPr="00D4024A">
        <w:rPr>
          <w:lang w:val="fr-FR"/>
        </w:rPr>
        <w:t xml:space="preserve">MAAH. (2020). </w:t>
      </w:r>
      <w:r w:rsidR="00790A79">
        <w:t xml:space="preserve">Yearbook of Agricultural Statistics. General Directorate of Sectoral Studies and Statistics, MASA, </w:t>
      </w:r>
      <w:proofErr w:type="spellStart"/>
      <w:r w:rsidR="00790A79">
        <w:t>ParGs</w:t>
      </w:r>
      <w:proofErr w:type="spellEnd"/>
      <w:r w:rsidR="00790A79">
        <w:t xml:space="preserve"> (European Union), 227 p.</w:t>
      </w:r>
    </w:p>
    <w:p w14:paraId="77AED937" w14:textId="3114372A" w:rsidR="00D4024A" w:rsidRPr="00CA28B4" w:rsidRDefault="00D4024A" w:rsidP="00D4024A">
      <w:pPr>
        <w:pStyle w:val="Body"/>
      </w:pPr>
      <w:r w:rsidRPr="00D4024A">
        <w:t xml:space="preserve">Mak-Mensah, E., Obour, P. B., &amp; Wang, Q. (2021). Influence of tied-ridge-furrow with inorganic fertilizer on grain yield across semiarid regions of Asia and Africa: A meta-analysis. </w:t>
      </w:r>
      <w:proofErr w:type="spellStart"/>
      <w:r w:rsidRPr="00D4024A">
        <w:t>PeerJ</w:t>
      </w:r>
      <w:proofErr w:type="spellEnd"/>
      <w:r w:rsidRPr="00D4024A">
        <w:t>;</w:t>
      </w:r>
      <w:r>
        <w:t xml:space="preserve"> </w:t>
      </w:r>
      <w:proofErr w:type="gramStart"/>
      <w:r w:rsidRPr="00D4024A">
        <w:t>9:e</w:t>
      </w:r>
      <w:proofErr w:type="gramEnd"/>
      <w:r w:rsidRPr="00D4024A">
        <w:t>11904. https://doi. org/10.7717/peerj.11904</w:t>
      </w:r>
    </w:p>
    <w:p w14:paraId="09D01B5B" w14:textId="409DEF83" w:rsidR="00D4024A" w:rsidRPr="00790A79" w:rsidRDefault="00D4024A" w:rsidP="00D4024A">
      <w:pPr>
        <w:pStyle w:val="Body"/>
      </w:pPr>
      <w:r w:rsidRPr="00CA28B4">
        <w:t xml:space="preserve">Moussa, H., Idrissa, S., &amp; Mahamadou, C. (2017). </w:t>
      </w:r>
      <w:r w:rsidR="00790A79" w:rsidRPr="00790A79">
        <w:t>Forage Potential of Pearl Millet (</w:t>
      </w:r>
      <w:r w:rsidR="00790A79" w:rsidRPr="00790A79">
        <w:rPr>
          <w:i/>
          <w:iCs/>
        </w:rPr>
        <w:t>Pennisetum glaucum</w:t>
      </w:r>
      <w:r w:rsidR="00790A79" w:rsidRPr="00790A79">
        <w:t xml:space="preserve"> (L.) R. Br): A Literature Review. </w:t>
      </w:r>
      <w:r w:rsidR="00790A79" w:rsidRPr="00790A79">
        <w:rPr>
          <w:i/>
          <w:iCs/>
        </w:rPr>
        <w:t>Journal of Animal &amp; Plant Sciences</w:t>
      </w:r>
      <w:r w:rsidR="00790A79" w:rsidRPr="00790A79">
        <w:t xml:space="preserve">, Vol. 34, Issue 2: 5424–5447. </w:t>
      </w:r>
    </w:p>
    <w:p w14:paraId="0FB615A7" w14:textId="5DD340D1" w:rsidR="00D4024A" w:rsidRPr="00D4024A" w:rsidRDefault="00D4024A" w:rsidP="00D4024A">
      <w:pPr>
        <w:pStyle w:val="Body"/>
      </w:pPr>
      <w:r w:rsidRPr="00CA28B4">
        <w:rPr>
          <w:lang w:val="fr-FR"/>
        </w:rPr>
        <w:t xml:space="preserve">Nahar, K., Haider, J., &amp; Karim, A. J. M. S. (1995). </w:t>
      </w:r>
      <w:r w:rsidRPr="00D4024A">
        <w:t>Residual effect of organic manures and influence of nitrogen fertilizer on soil properties and performance of wheat. Ann Bangl Agric 5:73–78</w:t>
      </w:r>
    </w:p>
    <w:p w14:paraId="576965DB" w14:textId="5F2F0BC7" w:rsidR="00D4024A" w:rsidRPr="00D4024A" w:rsidRDefault="00D4024A" w:rsidP="00D4024A">
      <w:pPr>
        <w:pStyle w:val="Body"/>
      </w:pPr>
      <w:r w:rsidRPr="00D4024A">
        <w:t xml:space="preserve">Ouedraogo, B., Bale, B., Zoundi, S. J., &amp; Sawadogo, L. (2015). </w:t>
      </w:r>
      <w:r w:rsidR="002D4B2E">
        <w:t xml:space="preserve">Characteristics of Village Poultry Farming and the Influence of Improvement Techniques on Its Zootechnical Performance in </w:t>
      </w:r>
      <w:proofErr w:type="spellStart"/>
      <w:r w:rsidR="002D4B2E">
        <w:t>Sourou</w:t>
      </w:r>
      <w:proofErr w:type="spellEnd"/>
      <w:r w:rsidR="002D4B2E">
        <w:t xml:space="preserve"> Province, Northwestern Burkina Faso. </w:t>
      </w:r>
      <w:r w:rsidR="002D4B2E">
        <w:rPr>
          <w:rStyle w:val="Emphasis"/>
        </w:rPr>
        <w:t>International Journal of Biological and Chemical Sciences</w:t>
      </w:r>
      <w:r w:rsidR="002D4B2E">
        <w:t xml:space="preserve"> 9(3): 1528–1543.</w:t>
      </w:r>
    </w:p>
    <w:p w14:paraId="12C7944B" w14:textId="01863EAC" w:rsidR="00D4024A" w:rsidRPr="00CA28B4" w:rsidRDefault="00D4024A" w:rsidP="00D4024A">
      <w:pPr>
        <w:pStyle w:val="Body"/>
        <w:rPr>
          <w:lang w:val="fr-FR"/>
        </w:rPr>
      </w:pPr>
      <w:proofErr w:type="spellStart"/>
      <w:r w:rsidRPr="00D4024A">
        <w:t>Rautaray</w:t>
      </w:r>
      <w:proofErr w:type="spellEnd"/>
      <w:r w:rsidRPr="00D4024A">
        <w:t xml:space="preserve">, S. K., Ghosh, B. C., &amp; Mittra, B. N. (2003). Effect of fly ash, organic wastes and chemical fertilizers on yield, nutrient uptake, heavy metal content and residual fertility in a rice – mustard cropping sequence under acid lateritic soils. </w:t>
      </w:r>
      <w:proofErr w:type="spellStart"/>
      <w:r w:rsidRPr="00CA28B4">
        <w:rPr>
          <w:lang w:val="fr-FR"/>
        </w:rPr>
        <w:t>Bioresource</w:t>
      </w:r>
      <w:proofErr w:type="spellEnd"/>
      <w:r w:rsidRPr="00CA28B4">
        <w:rPr>
          <w:lang w:val="fr-FR"/>
        </w:rPr>
        <w:t xml:space="preserve"> </w:t>
      </w:r>
      <w:proofErr w:type="spellStart"/>
      <w:r w:rsidRPr="00CA28B4">
        <w:rPr>
          <w:lang w:val="fr-FR"/>
        </w:rPr>
        <w:t>Technology</w:t>
      </w:r>
      <w:proofErr w:type="spellEnd"/>
      <w:r w:rsidRPr="00CA28B4">
        <w:rPr>
          <w:lang w:val="fr-FR"/>
        </w:rPr>
        <w:t>, 90, 275–283.</w:t>
      </w:r>
    </w:p>
    <w:p w14:paraId="6503B19E" w14:textId="69E90427" w:rsidR="00D4024A" w:rsidRPr="00D4024A" w:rsidRDefault="00D4024A" w:rsidP="00D4024A">
      <w:pPr>
        <w:pStyle w:val="Body"/>
        <w:rPr>
          <w:lang w:val="fr-FR"/>
        </w:rPr>
      </w:pPr>
      <w:r w:rsidRPr="00CA28B4">
        <w:rPr>
          <w:lang w:val="fr-FR"/>
        </w:rPr>
        <w:t>Sanfo, S. (2010).</w:t>
      </w:r>
      <w:r w:rsidRPr="00CA28B4">
        <w:rPr>
          <w:b/>
          <w:bCs/>
          <w:lang w:val="fr-FR"/>
        </w:rPr>
        <w:t xml:space="preserve"> </w:t>
      </w:r>
      <w:r w:rsidR="002D4B2E">
        <w:t>Agricultural Public Policies and Poverty Alleviation in Burkina Faso: The Case of the Central Plateau Region. Paris: Panthéon-Sorbonne University, 365 p. Doctoral Thesis: Economic Sciences: Panthéon-Sorbonne University.</w:t>
      </w:r>
    </w:p>
    <w:p w14:paraId="0D90B853" w14:textId="34B435AA" w:rsidR="00D4024A" w:rsidRPr="00D4024A" w:rsidRDefault="00D4024A" w:rsidP="00D4024A">
      <w:pPr>
        <w:pStyle w:val="Body"/>
        <w:rPr>
          <w:lang w:val="fr-FR"/>
        </w:rPr>
      </w:pPr>
      <w:r w:rsidRPr="00D4024A">
        <w:t xml:space="preserve">Seliger, H. H., &amp; McElroy, W. D. (2001). Soil chemical properties. In R.W. Miller and D.T. </w:t>
      </w:r>
      <w:proofErr w:type="spellStart"/>
      <w:r w:rsidRPr="00D4024A">
        <w:t>Gradiner</w:t>
      </w:r>
      <w:proofErr w:type="spellEnd"/>
      <w:r w:rsidRPr="00D4024A">
        <w:t xml:space="preserve"> (ed.) Soils in our environment. </w:t>
      </w:r>
      <w:r w:rsidRPr="00CA28B4">
        <w:t xml:space="preserve">9th ed. Prentice Hall, Upper Saddle River. </w:t>
      </w:r>
      <w:r w:rsidRPr="00D4024A">
        <w:rPr>
          <w:lang w:val="fr-FR"/>
        </w:rPr>
        <w:t>NJ (pp. 151–158).</w:t>
      </w:r>
    </w:p>
    <w:p w14:paraId="03FBF42D" w14:textId="7C3126FB" w:rsidR="00D4024A" w:rsidRPr="00CE1A44" w:rsidRDefault="00D4024A" w:rsidP="00D4024A">
      <w:pPr>
        <w:pStyle w:val="Body"/>
      </w:pPr>
      <w:proofErr w:type="spellStart"/>
      <w:r w:rsidRPr="00D4024A">
        <w:rPr>
          <w:lang w:val="fr-FR"/>
        </w:rPr>
        <w:t>Siboukeur</w:t>
      </w:r>
      <w:proofErr w:type="spellEnd"/>
      <w:r w:rsidRPr="00D4024A">
        <w:rPr>
          <w:lang w:val="fr-FR"/>
        </w:rPr>
        <w:t xml:space="preserve">, A. (2013). </w:t>
      </w:r>
      <w:r w:rsidR="00CE1A44" w:rsidRPr="00CE1A44">
        <w:t xml:space="preserve">Assessment of the Fertilizing Value of Different Types of Manure. Thesis, Faculty of Natural and Life Sciences and Earth and Universe Sciences, </w:t>
      </w:r>
      <w:proofErr w:type="spellStart"/>
      <w:r w:rsidR="00CE1A44" w:rsidRPr="00CE1A44">
        <w:t>Kasdi</w:t>
      </w:r>
      <w:proofErr w:type="spellEnd"/>
      <w:r w:rsidR="00CE1A44" w:rsidRPr="00CE1A44">
        <w:t xml:space="preserve"> </w:t>
      </w:r>
      <w:proofErr w:type="spellStart"/>
      <w:r w:rsidR="00CE1A44" w:rsidRPr="00CE1A44">
        <w:t>Merbah</w:t>
      </w:r>
      <w:proofErr w:type="spellEnd"/>
      <w:r w:rsidR="00CE1A44" w:rsidRPr="00CE1A44">
        <w:t xml:space="preserve"> University of Ouargla, 78 pages</w:t>
      </w:r>
      <w:r w:rsidRPr="00CE1A44">
        <w:t>.</w:t>
      </w:r>
    </w:p>
    <w:p w14:paraId="73D31E06" w14:textId="59A52054" w:rsidR="00D4024A" w:rsidRPr="00D4024A" w:rsidRDefault="00D4024A" w:rsidP="00D4024A">
      <w:pPr>
        <w:pStyle w:val="Body"/>
      </w:pPr>
      <w:proofErr w:type="spellStart"/>
      <w:r w:rsidRPr="00D4024A">
        <w:rPr>
          <w:lang w:val="fr-FR"/>
        </w:rPr>
        <w:t>Soremi</w:t>
      </w:r>
      <w:proofErr w:type="spellEnd"/>
      <w:r w:rsidRPr="00D4024A">
        <w:rPr>
          <w:lang w:val="fr-FR"/>
        </w:rPr>
        <w:t xml:space="preserve">, A. O., Adetunji, M. T., </w:t>
      </w:r>
      <w:proofErr w:type="spellStart"/>
      <w:r w:rsidRPr="00D4024A">
        <w:rPr>
          <w:lang w:val="fr-FR"/>
        </w:rPr>
        <w:t>Adejuyigbe</w:t>
      </w:r>
      <w:proofErr w:type="spellEnd"/>
      <w:r w:rsidRPr="00D4024A">
        <w:rPr>
          <w:lang w:val="fr-FR"/>
        </w:rPr>
        <w:t xml:space="preserve">, C. O., et al. </w:t>
      </w:r>
      <w:r w:rsidRPr="00D4024A">
        <w:t>(2017). Effects of Poultry Manure on Some Soil Chemical Properties and Nutrient Bioavailability to Soybean. Journal of Agriculture and Ecology Research International, 11. DOI: 10.9734/JAERI/2017/32419</w:t>
      </w:r>
    </w:p>
    <w:p w14:paraId="0533D32B" w14:textId="65CF15E1" w:rsidR="00D4024A" w:rsidRPr="00D4024A" w:rsidRDefault="00D4024A" w:rsidP="00D4024A">
      <w:pPr>
        <w:pStyle w:val="Body"/>
      </w:pPr>
      <w:r w:rsidRPr="00D4024A">
        <w:t xml:space="preserve">Stevenson, F. J. (1986). </w:t>
      </w:r>
      <w:r w:rsidRPr="00D4024A">
        <w:rPr>
          <w:i/>
          <w:iCs/>
        </w:rPr>
        <w:t>Cycles of soil: Carbon, nitrogen, phosphorus</w:t>
      </w:r>
      <w:r w:rsidRPr="00D4024A">
        <w:t>. John Wiley &amp; Sons, New York.</w:t>
      </w:r>
    </w:p>
    <w:p w14:paraId="3038C19C" w14:textId="6EAE0256" w:rsidR="00D4024A" w:rsidRPr="00D4024A" w:rsidRDefault="00D4024A" w:rsidP="00D4024A">
      <w:pPr>
        <w:pStyle w:val="Body"/>
      </w:pPr>
      <w:proofErr w:type="spellStart"/>
      <w:r w:rsidRPr="00D4024A">
        <w:lastRenderedPageBreak/>
        <w:t>Taaime</w:t>
      </w:r>
      <w:proofErr w:type="spellEnd"/>
      <w:r w:rsidRPr="00D4024A">
        <w:t>, N., et al. (2024). Residual Effects of Compost and Manure Fertilizers on Quinoa Production and Nutrient Uptake. Journal of Soil Science and Plant Nutrition, 24, 4338–4348. https://doi.org/https://doi.org/10.1007/s42729-024-01838-2.</w:t>
      </w:r>
    </w:p>
    <w:p w14:paraId="0C683EDD" w14:textId="4893D55A" w:rsidR="00D4024A" w:rsidRPr="0012148C" w:rsidRDefault="00D4024A" w:rsidP="00D4024A">
      <w:pPr>
        <w:pStyle w:val="Body"/>
      </w:pPr>
      <w:r w:rsidRPr="00CA28B4">
        <w:rPr>
          <w:lang w:val="fr-FR"/>
        </w:rPr>
        <w:t xml:space="preserve">Traoré, S., &amp; </w:t>
      </w:r>
      <w:proofErr w:type="spellStart"/>
      <w:r w:rsidRPr="00CA28B4">
        <w:rPr>
          <w:lang w:val="fr-FR"/>
        </w:rPr>
        <w:t>Requier</w:t>
      </w:r>
      <w:proofErr w:type="spellEnd"/>
      <w:r w:rsidRPr="00CA28B4">
        <w:rPr>
          <w:lang w:val="fr-FR"/>
        </w:rPr>
        <w:t xml:space="preserve">-Desjardins, M. (2019). </w:t>
      </w:r>
      <w:r w:rsidR="0012148C" w:rsidRPr="0012148C">
        <w:t>Study on the Economics of Land Degradation in Burkina Faso. Report for the General Directorate of Hydro-Agricultural Development and Irrigation Development of the Ministry of Agriculture and Hydro-Agricultural Development of Burkina Faso</w:t>
      </w:r>
      <w:r w:rsidRPr="0012148C">
        <w:t xml:space="preserve">, </w:t>
      </w:r>
      <w:proofErr w:type="spellStart"/>
      <w:r w:rsidRPr="0012148C">
        <w:t>ProSol</w:t>
      </w:r>
      <w:proofErr w:type="spellEnd"/>
      <w:r w:rsidRPr="0012148C">
        <w:t>, GIZ, 82 p.</w:t>
      </w:r>
    </w:p>
    <w:p w14:paraId="164058D0" w14:textId="744D916D" w:rsidR="00D4024A" w:rsidRPr="00D4024A" w:rsidRDefault="00D4024A" w:rsidP="00D4024A">
      <w:pPr>
        <w:pStyle w:val="Body"/>
      </w:pPr>
      <w:r w:rsidRPr="00D4024A">
        <w:t>Vidal, P. (1963). Growth and mineral nutrition of millet grown in Senegal. Thesis; 150p.</w:t>
      </w:r>
    </w:p>
    <w:p w14:paraId="3D9BE3B4" w14:textId="1AFBB6AB" w:rsidR="00D4024A" w:rsidRPr="00D4024A" w:rsidRDefault="00D4024A" w:rsidP="00D4024A">
      <w:pPr>
        <w:pStyle w:val="Body"/>
      </w:pPr>
      <w:proofErr w:type="spellStart"/>
      <w:r w:rsidRPr="00D4024A">
        <w:t>Widowati</w:t>
      </w:r>
      <w:proofErr w:type="spellEnd"/>
      <w:r w:rsidRPr="00D4024A">
        <w:t xml:space="preserve">, S., </w:t>
      </w:r>
      <w:proofErr w:type="spellStart"/>
      <w:r w:rsidRPr="00D4024A">
        <w:t>Karamina</w:t>
      </w:r>
      <w:proofErr w:type="spellEnd"/>
      <w:r w:rsidRPr="00D4024A">
        <w:t xml:space="preserve">, H., &amp; </w:t>
      </w:r>
      <w:proofErr w:type="spellStart"/>
      <w:r w:rsidRPr="00D4024A">
        <w:t>Fikrinda</w:t>
      </w:r>
      <w:proofErr w:type="spellEnd"/>
      <w:r w:rsidRPr="00D4024A">
        <w:t xml:space="preserve">, W. (2020). Soil amendment impact to soil organic matter and physical properties on the three soil types after second corn cultivation. AIMS Agric Food 5(1):150–168. </w:t>
      </w:r>
      <w:hyperlink r:id="rId25" w:history="1">
        <w:r w:rsidRPr="00D4024A">
          <w:rPr>
            <w:rStyle w:val="Hyperlink"/>
          </w:rPr>
          <w:t>https://doi.org/10.3934/agrfood.2020.1.150</w:t>
        </w:r>
      </w:hyperlink>
      <w:r w:rsidRPr="00D4024A">
        <w:t>.</w:t>
      </w:r>
    </w:p>
    <w:p w14:paraId="207B3673" w14:textId="6259C3B7" w:rsidR="00D4024A" w:rsidRDefault="00D4024A" w:rsidP="00D4024A">
      <w:pPr>
        <w:pStyle w:val="Body"/>
      </w:pPr>
      <w:r w:rsidRPr="00D4024A">
        <w:t xml:space="preserve">WRB. (2015). </w:t>
      </w:r>
      <w:r w:rsidRPr="00D4024A">
        <w:rPr>
          <w:i/>
          <w:iCs/>
        </w:rPr>
        <w:t>World reference base for soil resources</w:t>
      </w:r>
      <w:r w:rsidRPr="00D4024A">
        <w:t>. 2014: International soil classification system for naming soils and creating legends for soil maps World soil resources report (Vol. 106). Rome, Italy: Food and Agriculture Organization of the United Nations.</w:t>
      </w:r>
    </w:p>
    <w:p w14:paraId="3F5FC890" w14:textId="71A01676" w:rsidR="00D4024A" w:rsidRPr="00D4024A" w:rsidRDefault="00D4024A" w:rsidP="00D4024A">
      <w:pPr>
        <w:pStyle w:val="Body"/>
      </w:pPr>
      <w:r w:rsidRPr="00D4024A">
        <w:t>Zhao, X., Dong, Q., Han, Y., Zhang, K., Shi, X., Yang, X., et al.</w:t>
      </w:r>
      <w:r>
        <w:t xml:space="preserve"> </w:t>
      </w:r>
      <w:r w:rsidRPr="00D4024A">
        <w:t>(2</w:t>
      </w:r>
      <w:r>
        <w:t>022).</w:t>
      </w:r>
      <w:r w:rsidRPr="00D4024A">
        <w:t xml:space="preserve"> Maize/peanut intercropping improves nutrient uptake of side-row maize and system microbial community diversity. BMC Microbiol;</w:t>
      </w:r>
      <w:r>
        <w:t xml:space="preserve"> </w:t>
      </w:r>
      <w:r w:rsidRPr="00D4024A">
        <w:t>22(1):14. https://doi.org/10.1186/s12866-021-02425-6</w:t>
      </w:r>
    </w:p>
    <w:p w14:paraId="49453BB0" w14:textId="77777777" w:rsidR="00441B6F" w:rsidRDefault="00441B6F" w:rsidP="00441B6F">
      <w:pPr>
        <w:pStyle w:val="Body"/>
        <w:spacing w:after="0"/>
        <w:jc w:val="left"/>
      </w:pPr>
    </w:p>
    <w:p w14:paraId="000FB43F" w14:textId="77777777" w:rsidR="00441B6F" w:rsidRDefault="00441B6F" w:rsidP="00441B6F">
      <w:pPr>
        <w:pStyle w:val="Body"/>
        <w:spacing w:after="0"/>
        <w:jc w:val="left"/>
        <w:rPr>
          <w:rFonts w:ascii="Arial" w:hAnsi="Arial" w:cs="Arial"/>
        </w:rPr>
      </w:pPr>
    </w:p>
    <w:p w14:paraId="7582782D" w14:textId="77777777" w:rsidR="00B01FCD" w:rsidRPr="00FB3A86" w:rsidRDefault="00B01FCD" w:rsidP="00441B6F">
      <w:pPr>
        <w:pStyle w:val="Reference"/>
        <w:numPr>
          <w:ilvl w:val="0"/>
          <w:numId w:val="0"/>
        </w:numPr>
        <w:spacing w:line="240" w:lineRule="auto"/>
        <w:rPr>
          <w:rFonts w:ascii="Arial" w:hAnsi="Arial" w:cs="Arial"/>
        </w:rPr>
      </w:pPr>
    </w:p>
    <w:p w14:paraId="4D6C5DC6" w14:textId="77777777" w:rsidR="00B03266" w:rsidRPr="00FB3A86" w:rsidRDefault="00B03266" w:rsidP="00441B6F">
      <w:pPr>
        <w:pStyle w:val="Body"/>
        <w:spacing w:after="0"/>
        <w:rPr>
          <w:rFonts w:ascii="Arial" w:hAnsi="Arial" w:cs="Arial"/>
        </w:rPr>
      </w:pPr>
    </w:p>
    <w:p w14:paraId="181FB09F" w14:textId="4F734834" w:rsidR="004D4277" w:rsidRPr="00FB3A86" w:rsidRDefault="004D4277" w:rsidP="00441B6F">
      <w:pPr>
        <w:pStyle w:val="Appendix"/>
        <w:spacing w:after="0"/>
        <w:jc w:val="both"/>
        <w:rPr>
          <w:rFonts w:ascii="Arial" w:hAnsi="Arial" w:cs="Arial"/>
          <w:b w:val="0"/>
        </w:rPr>
        <w:sectPr w:rsidR="004D4277" w:rsidRPr="00FB3A86" w:rsidSect="00362BE8">
          <w:type w:val="continuous"/>
          <w:pgSz w:w="12240" w:h="15840"/>
          <w:pgMar w:top="1440" w:right="2016" w:bottom="2016" w:left="2016" w:header="720" w:footer="1123" w:gutter="0"/>
          <w:cols w:space="720"/>
          <w:docGrid w:linePitch="272"/>
        </w:sectPr>
      </w:pPr>
    </w:p>
    <w:p w14:paraId="12C793DD" w14:textId="77777777" w:rsidR="00B01FCD" w:rsidRPr="00FB3A86" w:rsidRDefault="00B01FCD" w:rsidP="00441B6F">
      <w:pPr>
        <w:pStyle w:val="Appendix"/>
        <w:spacing w:after="0"/>
        <w:jc w:val="both"/>
        <w:rPr>
          <w:rFonts w:ascii="Arial" w:hAnsi="Arial" w:cs="Arial"/>
          <w:b w:val="0"/>
        </w:rPr>
      </w:pPr>
    </w:p>
    <w:sectPr w:rsidR="00B01FCD" w:rsidRPr="00FB3A86" w:rsidSect="00362BE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DB0FB" w14:textId="77777777" w:rsidR="00093AC2" w:rsidRDefault="00093AC2" w:rsidP="00C37E61">
      <w:r>
        <w:separator/>
      </w:r>
    </w:p>
  </w:endnote>
  <w:endnote w:type="continuationSeparator" w:id="0">
    <w:p w14:paraId="7752863A" w14:textId="77777777" w:rsidR="00093AC2" w:rsidRDefault="00093A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9209" w14:textId="77777777" w:rsidR="00362BE8" w:rsidRDefault="00362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C083" w14:textId="16DA5EE9" w:rsidR="00C37E61" w:rsidRPr="00150F94" w:rsidRDefault="00C37E61" w:rsidP="00150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C970" w14:textId="77777777" w:rsidR="009E048A" w:rsidRDefault="009E048A">
    <w:pPr>
      <w:pStyle w:val="Footer"/>
      <w:rPr>
        <w:rFonts w:ascii="Arial" w:hAnsi="Arial" w:cs="Arial"/>
        <w:sz w:val="16"/>
      </w:rPr>
    </w:pPr>
  </w:p>
  <w:p w14:paraId="2762985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7A31F9" w14:textId="77777777" w:rsidR="009E048A" w:rsidRDefault="009E048A">
    <w:pPr>
      <w:pStyle w:val="Footer"/>
      <w:rPr>
        <w:rFonts w:ascii="Arial" w:hAnsi="Arial" w:cs="Arial"/>
        <w:sz w:val="16"/>
      </w:rPr>
    </w:pPr>
  </w:p>
  <w:p w14:paraId="46DBC9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9D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26A7F" w14:textId="77777777" w:rsidR="00093AC2" w:rsidRDefault="00093AC2" w:rsidP="00C37E61">
      <w:r>
        <w:separator/>
      </w:r>
    </w:p>
  </w:footnote>
  <w:footnote w:type="continuationSeparator" w:id="0">
    <w:p w14:paraId="6E24B5B8" w14:textId="77777777" w:rsidR="00093AC2" w:rsidRDefault="00093A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65C2" w14:textId="41C4C5EF" w:rsidR="00362BE8" w:rsidRDefault="00362BE8">
    <w:pPr>
      <w:pStyle w:val="Header"/>
    </w:pPr>
    <w:r>
      <w:rPr>
        <w:noProof/>
      </w:rPr>
      <w:pict w14:anchorId="49AE6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13C5" w14:textId="31203F51" w:rsidR="00362BE8" w:rsidRDefault="00362BE8">
    <w:pPr>
      <w:pStyle w:val="Header"/>
    </w:pPr>
    <w:r>
      <w:rPr>
        <w:noProof/>
      </w:rPr>
      <w:pict w14:anchorId="7CF07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5501" w14:textId="33ACF064" w:rsidR="00296529" w:rsidRPr="00296529" w:rsidRDefault="00362BE8" w:rsidP="00296529">
    <w:pPr>
      <w:ind w:left="2160"/>
      <w:jc w:val="center"/>
      <w:rPr>
        <w:rFonts w:ascii="Times New Roman" w:eastAsia="Calibri" w:hAnsi="Times New Roman"/>
        <w:i/>
        <w:sz w:val="18"/>
        <w:szCs w:val="22"/>
      </w:rPr>
    </w:pPr>
    <w:r>
      <w:rPr>
        <w:noProof/>
      </w:rPr>
      <w:pict w14:anchorId="0CB26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47D3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94D0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17B8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052D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87F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20D9E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AE888" w14:textId="2C5E56C1" w:rsidR="00362BE8" w:rsidRDefault="00362BE8">
    <w:pPr>
      <w:pStyle w:val="Header"/>
    </w:pPr>
    <w:r>
      <w:rPr>
        <w:noProof/>
      </w:rPr>
      <w:pict w14:anchorId="59E7C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52EB" w14:textId="247CD40E" w:rsidR="00362BE8" w:rsidRDefault="00362BE8">
    <w:pPr>
      <w:pStyle w:val="Header"/>
    </w:pPr>
    <w:r>
      <w:rPr>
        <w:noProof/>
      </w:rPr>
      <w:pict w14:anchorId="2ABCB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636A" w14:textId="43C6D227" w:rsidR="00362BE8" w:rsidRDefault="00362BE8">
    <w:pPr>
      <w:pStyle w:val="Header"/>
    </w:pPr>
    <w:r>
      <w:rPr>
        <w:noProof/>
      </w:rPr>
      <w:pict w14:anchorId="2B570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B13"/>
    <w:rsid w:val="00030174"/>
    <w:rsid w:val="0004579C"/>
    <w:rsid w:val="000529A9"/>
    <w:rsid w:val="00093AC2"/>
    <w:rsid w:val="000A47FA"/>
    <w:rsid w:val="000A5435"/>
    <w:rsid w:val="000A5E43"/>
    <w:rsid w:val="000A65D3"/>
    <w:rsid w:val="000B1E33"/>
    <w:rsid w:val="000D5E49"/>
    <w:rsid w:val="000D689F"/>
    <w:rsid w:val="000E3C9C"/>
    <w:rsid w:val="000E7B7B"/>
    <w:rsid w:val="000E7D62"/>
    <w:rsid w:val="00103357"/>
    <w:rsid w:val="00115CFA"/>
    <w:rsid w:val="0012148C"/>
    <w:rsid w:val="00123C9F"/>
    <w:rsid w:val="00126190"/>
    <w:rsid w:val="00130F17"/>
    <w:rsid w:val="001320BF"/>
    <w:rsid w:val="001428B4"/>
    <w:rsid w:val="00150F94"/>
    <w:rsid w:val="00157002"/>
    <w:rsid w:val="00163BC4"/>
    <w:rsid w:val="00164729"/>
    <w:rsid w:val="00191062"/>
    <w:rsid w:val="00192955"/>
    <w:rsid w:val="00192B72"/>
    <w:rsid w:val="001A29D8"/>
    <w:rsid w:val="001A5CAA"/>
    <w:rsid w:val="001B0427"/>
    <w:rsid w:val="001C3675"/>
    <w:rsid w:val="001D3A51"/>
    <w:rsid w:val="001E10D2"/>
    <w:rsid w:val="001E25B4"/>
    <w:rsid w:val="001E44FE"/>
    <w:rsid w:val="00200595"/>
    <w:rsid w:val="00204835"/>
    <w:rsid w:val="002204CD"/>
    <w:rsid w:val="002242A7"/>
    <w:rsid w:val="00231920"/>
    <w:rsid w:val="0023195C"/>
    <w:rsid w:val="002340C2"/>
    <w:rsid w:val="0024282C"/>
    <w:rsid w:val="002460DC"/>
    <w:rsid w:val="00250985"/>
    <w:rsid w:val="002556F6"/>
    <w:rsid w:val="00283105"/>
    <w:rsid w:val="00284C4C"/>
    <w:rsid w:val="00287E68"/>
    <w:rsid w:val="00296529"/>
    <w:rsid w:val="002B27FB"/>
    <w:rsid w:val="002B3CB2"/>
    <w:rsid w:val="002B685A"/>
    <w:rsid w:val="002C57D2"/>
    <w:rsid w:val="002C5AE6"/>
    <w:rsid w:val="002D4B2E"/>
    <w:rsid w:val="002E0D56"/>
    <w:rsid w:val="00310ACA"/>
    <w:rsid w:val="00315186"/>
    <w:rsid w:val="00322A68"/>
    <w:rsid w:val="0033343E"/>
    <w:rsid w:val="003512C2"/>
    <w:rsid w:val="00362BE8"/>
    <w:rsid w:val="00371FB6"/>
    <w:rsid w:val="003763C1"/>
    <w:rsid w:val="00376BBE"/>
    <w:rsid w:val="0039224F"/>
    <w:rsid w:val="00394E0A"/>
    <w:rsid w:val="003A43A4"/>
    <w:rsid w:val="003A7E18"/>
    <w:rsid w:val="003C4C86"/>
    <w:rsid w:val="003C6258"/>
    <w:rsid w:val="003C7B4E"/>
    <w:rsid w:val="003E2904"/>
    <w:rsid w:val="003F081A"/>
    <w:rsid w:val="00401927"/>
    <w:rsid w:val="0041027F"/>
    <w:rsid w:val="00412475"/>
    <w:rsid w:val="00423789"/>
    <w:rsid w:val="00440F43"/>
    <w:rsid w:val="00441B6F"/>
    <w:rsid w:val="00446221"/>
    <w:rsid w:val="00450E62"/>
    <w:rsid w:val="004539DB"/>
    <w:rsid w:val="00471A80"/>
    <w:rsid w:val="004D305E"/>
    <w:rsid w:val="004D4277"/>
    <w:rsid w:val="004E3D22"/>
    <w:rsid w:val="004E479E"/>
    <w:rsid w:val="00502516"/>
    <w:rsid w:val="00505F06"/>
    <w:rsid w:val="00506828"/>
    <w:rsid w:val="0053056E"/>
    <w:rsid w:val="005326DE"/>
    <w:rsid w:val="00554FDA"/>
    <w:rsid w:val="00576B81"/>
    <w:rsid w:val="005B4261"/>
    <w:rsid w:val="005C4C86"/>
    <w:rsid w:val="005C784C"/>
    <w:rsid w:val="005D17F6"/>
    <w:rsid w:val="005E5539"/>
    <w:rsid w:val="005F43E7"/>
    <w:rsid w:val="00602BF5"/>
    <w:rsid w:val="006166EC"/>
    <w:rsid w:val="00617FDD"/>
    <w:rsid w:val="00633614"/>
    <w:rsid w:val="00633F68"/>
    <w:rsid w:val="00636EB2"/>
    <w:rsid w:val="006375B8"/>
    <w:rsid w:val="00641039"/>
    <w:rsid w:val="006507C6"/>
    <w:rsid w:val="0066510A"/>
    <w:rsid w:val="00673F9F"/>
    <w:rsid w:val="006767A9"/>
    <w:rsid w:val="00686953"/>
    <w:rsid w:val="00687DEA"/>
    <w:rsid w:val="00687E67"/>
    <w:rsid w:val="00690D9E"/>
    <w:rsid w:val="006914AC"/>
    <w:rsid w:val="006942D2"/>
    <w:rsid w:val="006967F7"/>
    <w:rsid w:val="006A250C"/>
    <w:rsid w:val="006B21D3"/>
    <w:rsid w:val="006B57D0"/>
    <w:rsid w:val="006D074D"/>
    <w:rsid w:val="006D30FF"/>
    <w:rsid w:val="006D6940"/>
    <w:rsid w:val="006F11EC"/>
    <w:rsid w:val="006F5528"/>
    <w:rsid w:val="0070082C"/>
    <w:rsid w:val="00717714"/>
    <w:rsid w:val="007369E6"/>
    <w:rsid w:val="00744EF8"/>
    <w:rsid w:val="00746E59"/>
    <w:rsid w:val="00754C9A"/>
    <w:rsid w:val="0075599A"/>
    <w:rsid w:val="00761D52"/>
    <w:rsid w:val="00773D4E"/>
    <w:rsid w:val="0077749E"/>
    <w:rsid w:val="0078764E"/>
    <w:rsid w:val="00790A79"/>
    <w:rsid w:val="00790ADA"/>
    <w:rsid w:val="00797F7E"/>
    <w:rsid w:val="007B02B0"/>
    <w:rsid w:val="007C0E93"/>
    <w:rsid w:val="007D069A"/>
    <w:rsid w:val="007D2288"/>
    <w:rsid w:val="007E088F"/>
    <w:rsid w:val="007E4041"/>
    <w:rsid w:val="007F7B32"/>
    <w:rsid w:val="00804BC2"/>
    <w:rsid w:val="0081431A"/>
    <w:rsid w:val="0083216F"/>
    <w:rsid w:val="008347E1"/>
    <w:rsid w:val="0084251C"/>
    <w:rsid w:val="00860000"/>
    <w:rsid w:val="00863BD3"/>
    <w:rsid w:val="008641ED"/>
    <w:rsid w:val="00866D66"/>
    <w:rsid w:val="008671C6"/>
    <w:rsid w:val="0087018C"/>
    <w:rsid w:val="00875803"/>
    <w:rsid w:val="008B459E"/>
    <w:rsid w:val="008E13AE"/>
    <w:rsid w:val="008E1506"/>
    <w:rsid w:val="008E6B2E"/>
    <w:rsid w:val="008E710C"/>
    <w:rsid w:val="008F69D6"/>
    <w:rsid w:val="0090182C"/>
    <w:rsid w:val="00902823"/>
    <w:rsid w:val="00915CA6"/>
    <w:rsid w:val="00927834"/>
    <w:rsid w:val="009500A6"/>
    <w:rsid w:val="00957C18"/>
    <w:rsid w:val="009659BA"/>
    <w:rsid w:val="009800DF"/>
    <w:rsid w:val="00980BCE"/>
    <w:rsid w:val="00983040"/>
    <w:rsid w:val="0098377A"/>
    <w:rsid w:val="009B3FB9"/>
    <w:rsid w:val="009C2465"/>
    <w:rsid w:val="009D35A0"/>
    <w:rsid w:val="009D7EB7"/>
    <w:rsid w:val="009E048A"/>
    <w:rsid w:val="009E08E9"/>
    <w:rsid w:val="009E3DB9"/>
    <w:rsid w:val="009E6E35"/>
    <w:rsid w:val="009F0EDA"/>
    <w:rsid w:val="00A03B96"/>
    <w:rsid w:val="00A05B19"/>
    <w:rsid w:val="00A1134E"/>
    <w:rsid w:val="00A14C14"/>
    <w:rsid w:val="00A24E7E"/>
    <w:rsid w:val="00A258C3"/>
    <w:rsid w:val="00A347C0"/>
    <w:rsid w:val="00A51431"/>
    <w:rsid w:val="00A539AD"/>
    <w:rsid w:val="00A766C2"/>
    <w:rsid w:val="00A83E08"/>
    <w:rsid w:val="00A94063"/>
    <w:rsid w:val="00AA6219"/>
    <w:rsid w:val="00AA74E0"/>
    <w:rsid w:val="00AB703F"/>
    <w:rsid w:val="00AC2FB7"/>
    <w:rsid w:val="00AC6BB8"/>
    <w:rsid w:val="00AE008F"/>
    <w:rsid w:val="00B01FCD"/>
    <w:rsid w:val="00B03266"/>
    <w:rsid w:val="00B1776C"/>
    <w:rsid w:val="00B52583"/>
    <w:rsid w:val="00B52896"/>
    <w:rsid w:val="00B55DAC"/>
    <w:rsid w:val="00B95236"/>
    <w:rsid w:val="00B96BD9"/>
    <w:rsid w:val="00BA1B01"/>
    <w:rsid w:val="00BA2641"/>
    <w:rsid w:val="00BB37AA"/>
    <w:rsid w:val="00BC53A0"/>
    <w:rsid w:val="00BE62AD"/>
    <w:rsid w:val="00BF121F"/>
    <w:rsid w:val="00BF1F80"/>
    <w:rsid w:val="00C004B3"/>
    <w:rsid w:val="00C166EF"/>
    <w:rsid w:val="00C17EB0"/>
    <w:rsid w:val="00C27F5F"/>
    <w:rsid w:val="00C30A0F"/>
    <w:rsid w:val="00C37E61"/>
    <w:rsid w:val="00C65D7C"/>
    <w:rsid w:val="00C70F1B"/>
    <w:rsid w:val="00C71A47"/>
    <w:rsid w:val="00C72802"/>
    <w:rsid w:val="00C7464C"/>
    <w:rsid w:val="00C82CF6"/>
    <w:rsid w:val="00C85588"/>
    <w:rsid w:val="00CA28B4"/>
    <w:rsid w:val="00CD6755"/>
    <w:rsid w:val="00CD6856"/>
    <w:rsid w:val="00CE0089"/>
    <w:rsid w:val="00CE1A44"/>
    <w:rsid w:val="00CE793C"/>
    <w:rsid w:val="00CF193C"/>
    <w:rsid w:val="00D031FD"/>
    <w:rsid w:val="00D151F2"/>
    <w:rsid w:val="00D173F1"/>
    <w:rsid w:val="00D4024A"/>
    <w:rsid w:val="00D65FCD"/>
    <w:rsid w:val="00D74CB0"/>
    <w:rsid w:val="00D766FF"/>
    <w:rsid w:val="00D8295D"/>
    <w:rsid w:val="00DA64E3"/>
    <w:rsid w:val="00DB2419"/>
    <w:rsid w:val="00DC2A65"/>
    <w:rsid w:val="00DE15F0"/>
    <w:rsid w:val="00DE5663"/>
    <w:rsid w:val="00DE78AA"/>
    <w:rsid w:val="00DF3051"/>
    <w:rsid w:val="00E053D0"/>
    <w:rsid w:val="00E15994"/>
    <w:rsid w:val="00E3114E"/>
    <w:rsid w:val="00E31A70"/>
    <w:rsid w:val="00E35B02"/>
    <w:rsid w:val="00E66496"/>
    <w:rsid w:val="00E66B35"/>
    <w:rsid w:val="00E66E10"/>
    <w:rsid w:val="00E769F6"/>
    <w:rsid w:val="00E76C53"/>
    <w:rsid w:val="00E776EA"/>
    <w:rsid w:val="00E824C3"/>
    <w:rsid w:val="00E8407C"/>
    <w:rsid w:val="00E84F3C"/>
    <w:rsid w:val="00EA012C"/>
    <w:rsid w:val="00EC384C"/>
    <w:rsid w:val="00EC6A55"/>
    <w:rsid w:val="00ED0288"/>
    <w:rsid w:val="00EE52CB"/>
    <w:rsid w:val="00EE6C05"/>
    <w:rsid w:val="00EE7A01"/>
    <w:rsid w:val="00EF581D"/>
    <w:rsid w:val="00EF7FD8"/>
    <w:rsid w:val="00F06F59"/>
    <w:rsid w:val="00F17988"/>
    <w:rsid w:val="00F426DB"/>
    <w:rsid w:val="00F469F0"/>
    <w:rsid w:val="00F53273"/>
    <w:rsid w:val="00F755E4"/>
    <w:rsid w:val="00F77D02"/>
    <w:rsid w:val="00FA3C13"/>
    <w:rsid w:val="00FA73F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B4E6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D07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D074D"/>
    <w:rPr>
      <w:rFonts w:asciiTheme="majorHAnsi" w:eastAsiaTheme="majorEastAsia" w:hAnsiTheme="majorHAnsi" w:cstheme="majorBidi"/>
      <w:color w:val="243F60" w:themeColor="accent1" w:themeShade="7F"/>
      <w:sz w:val="24"/>
      <w:szCs w:val="24"/>
    </w:rPr>
  </w:style>
  <w:style w:type="table" w:styleId="ListTable6Colorful">
    <w:name w:val="List Table 6 Colorful"/>
    <w:basedOn w:val="TableNormal"/>
    <w:uiPriority w:val="51"/>
    <w:rsid w:val="00576B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797F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agriculture1303055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doi.org/10.3934/agrfood.2020.1.150"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oi.org/10.1007/s10705-014-965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scitotenv.2007.01.018"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4314/ijbcs.v13i4.11"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371/journa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'[Graphique dans Microsoft Word]Feuil2'!$A$2</c:f>
              <c:strCache>
                <c:ptCount val="1"/>
                <c:pt idx="0">
                  <c:v>Rainfall 2022</c:v>
                </c:pt>
              </c:strCache>
            </c:strRef>
          </c:tx>
          <c:spPr>
            <a:pattFill prst="horzBrick">
              <a:fgClr>
                <a:sysClr val="windowText" lastClr="000000"/>
              </a:fgClr>
              <a:bgClr>
                <a:schemeClr val="bg1"/>
              </a:bgClr>
            </a:pattFill>
            <a:ln>
              <a:solidFill>
                <a:schemeClr val="tx1"/>
              </a:solidFill>
            </a:ln>
            <a:effectLst/>
          </c:spPr>
          <c:invertIfNegative val="0"/>
          <c:cat>
            <c:strRef>
              <c:f>'[Graphique dans Microsoft Word]Feuil2'!$B$1:$M$1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'[Graphique dans Microsoft Word]Feuil2'!$B$2:$M$2</c:f>
              <c:numCache>
                <c:formatCode>General</c:formatCode>
                <c:ptCount val="12"/>
                <c:pt idx="0">
                  <c:v>0</c:v>
                </c:pt>
                <c:pt idx="1">
                  <c:v>0</c:v>
                </c:pt>
                <c:pt idx="2">
                  <c:v>8.4</c:v>
                </c:pt>
                <c:pt idx="3">
                  <c:v>4.2</c:v>
                </c:pt>
                <c:pt idx="4">
                  <c:v>61.6</c:v>
                </c:pt>
                <c:pt idx="5">
                  <c:v>67</c:v>
                </c:pt>
                <c:pt idx="6">
                  <c:v>151.4</c:v>
                </c:pt>
                <c:pt idx="7">
                  <c:v>331</c:v>
                </c:pt>
                <c:pt idx="8">
                  <c:v>274.5</c:v>
                </c:pt>
                <c:pt idx="9">
                  <c:v>14.6</c:v>
                </c:pt>
                <c:pt idx="10">
                  <c:v>0</c:v>
                </c:pt>
                <c:pt idx="11">
                  <c:v>0</c:v>
                </c:pt>
              </c:numCache>
            </c:numRef>
          </c:val>
          <c:extLst>
            <c:ext xmlns:c16="http://schemas.microsoft.com/office/drawing/2014/chart" uri="{C3380CC4-5D6E-409C-BE32-E72D297353CC}">
              <c16:uniqueId val="{00000000-9AE3-4C92-BE98-97924F4980FA}"/>
            </c:ext>
          </c:extLst>
        </c:ser>
        <c:dLbls>
          <c:showLegendKey val="0"/>
          <c:showVal val="0"/>
          <c:showCatName val="0"/>
          <c:showSerName val="0"/>
          <c:showPercent val="0"/>
          <c:showBubbleSize val="0"/>
        </c:dLbls>
        <c:gapWidth val="150"/>
        <c:axId val="1308912752"/>
        <c:axId val="1308910352"/>
      </c:barChart>
      <c:lineChart>
        <c:grouping val="standard"/>
        <c:varyColors val="0"/>
        <c:ser>
          <c:idx val="1"/>
          <c:order val="1"/>
          <c:tx>
            <c:strRef>
              <c:f>'[Graphique dans Microsoft Word]Feuil2'!$A$3</c:f>
              <c:strCache>
                <c:ptCount val="1"/>
                <c:pt idx="0">
                  <c:v>Temperature 2022</c:v>
                </c:pt>
              </c:strCache>
            </c:strRef>
          </c:tx>
          <c:spPr>
            <a:ln w="28575" cap="rnd">
              <a:solidFill>
                <a:schemeClr val="tx1"/>
              </a:solidFill>
              <a:round/>
            </a:ln>
            <a:effectLst/>
          </c:spPr>
          <c:marker>
            <c:symbol val="diamond"/>
            <c:size val="5"/>
            <c:spPr>
              <a:pattFill prst="pct10">
                <a:fgClr>
                  <a:sysClr val="windowText" lastClr="000000"/>
                </a:fgClr>
                <a:bgClr>
                  <a:schemeClr val="bg1"/>
                </a:bgClr>
              </a:pattFill>
              <a:ln w="9525">
                <a:solidFill>
                  <a:schemeClr val="tx1"/>
                </a:solidFill>
              </a:ln>
              <a:effectLst/>
            </c:spPr>
          </c:marker>
          <c:cat>
            <c:strRef>
              <c:f>'[Graphique dans Microsoft Word]Feuil2'!$B$1:$M$1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'[Graphique dans Microsoft Word]Feuil2'!$B$3:$M$3</c:f>
              <c:numCache>
                <c:formatCode>General</c:formatCode>
                <c:ptCount val="12"/>
                <c:pt idx="0">
                  <c:v>22.81</c:v>
                </c:pt>
                <c:pt idx="1">
                  <c:v>25.95</c:v>
                </c:pt>
                <c:pt idx="2">
                  <c:v>31.46</c:v>
                </c:pt>
                <c:pt idx="3">
                  <c:v>33.04</c:v>
                </c:pt>
                <c:pt idx="4">
                  <c:v>32.75</c:v>
                </c:pt>
                <c:pt idx="5">
                  <c:v>29.45</c:v>
                </c:pt>
                <c:pt idx="6">
                  <c:v>28.23</c:v>
                </c:pt>
                <c:pt idx="7">
                  <c:v>26.68</c:v>
                </c:pt>
                <c:pt idx="8">
                  <c:v>26.68</c:v>
                </c:pt>
                <c:pt idx="9">
                  <c:v>28.05</c:v>
                </c:pt>
                <c:pt idx="10">
                  <c:v>25.9</c:v>
                </c:pt>
                <c:pt idx="11">
                  <c:v>23</c:v>
                </c:pt>
              </c:numCache>
            </c:numRef>
          </c:val>
          <c:smooth val="0"/>
          <c:extLst>
            <c:ext xmlns:c16="http://schemas.microsoft.com/office/drawing/2014/chart" uri="{C3380CC4-5D6E-409C-BE32-E72D297353CC}">
              <c16:uniqueId val="{00000001-9AE3-4C92-BE98-97924F4980FA}"/>
            </c:ext>
          </c:extLst>
        </c:ser>
        <c:dLbls>
          <c:showLegendKey val="0"/>
          <c:showVal val="0"/>
          <c:showCatName val="0"/>
          <c:showSerName val="0"/>
          <c:showPercent val="0"/>
          <c:showBubbleSize val="0"/>
        </c:dLbls>
        <c:marker val="1"/>
        <c:smooth val="0"/>
        <c:axId val="1308905552"/>
        <c:axId val="1308900752"/>
      </c:lineChart>
      <c:catAx>
        <c:axId val="130891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Month</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08910352"/>
        <c:crosses val="autoZero"/>
        <c:auto val="1"/>
        <c:lblAlgn val="ctr"/>
        <c:lblOffset val="100"/>
        <c:noMultiLvlLbl val="0"/>
      </c:catAx>
      <c:valAx>
        <c:axId val="1308910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Rainfall</a:t>
                </a:r>
                <a:r>
                  <a:rPr lang="fr-FR" baseline="0">
                    <a:solidFill>
                      <a:schemeClr val="tx1"/>
                    </a:solidFill>
                    <a:latin typeface="Times New Roman" panose="02020603050405020304" pitchFamily="18" charset="0"/>
                    <a:cs typeface="Times New Roman" panose="02020603050405020304" pitchFamily="18" charset="0"/>
                  </a:rPr>
                  <a:t> among (mm)</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08912752"/>
        <c:crosses val="autoZero"/>
        <c:crossBetween val="between"/>
        <c:majorUnit val="40"/>
      </c:valAx>
      <c:valAx>
        <c:axId val="1308900752"/>
        <c:scaling>
          <c:orientation val="minMax"/>
          <c:max val="18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Temperature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08905552"/>
        <c:crosses val="max"/>
        <c:crossBetween val="between"/>
        <c:majorUnit val="20"/>
        <c:minorUnit val="8"/>
      </c:valAx>
      <c:catAx>
        <c:axId val="1308905552"/>
        <c:scaling>
          <c:orientation val="minMax"/>
        </c:scaling>
        <c:delete val="1"/>
        <c:axPos val="b"/>
        <c:numFmt formatCode="General" sourceLinked="1"/>
        <c:majorTickMark val="none"/>
        <c:minorTickMark val="none"/>
        <c:tickLblPos val="nextTo"/>
        <c:crossAx val="1308900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Feuil16!$A$3</c:f>
              <c:strCache>
                <c:ptCount val="1"/>
                <c:pt idx="0">
                  <c:v>T0</c:v>
                </c:pt>
              </c:strCache>
            </c:strRef>
          </c:tx>
          <c:spPr>
            <a:pattFill prst="pct5">
              <a:fgClr>
                <a:sysClr val="windowText" lastClr="000000"/>
              </a:fgClr>
              <a:bgClr>
                <a:schemeClr val="bg1"/>
              </a:bgClr>
            </a:pattFill>
            <a:ln>
              <a:solidFill>
                <a:schemeClr val="tx1"/>
              </a:solidFill>
            </a:ln>
            <a:effectLst/>
          </c:spPr>
          <c:invertIfNegative val="0"/>
          <c:dLbls>
            <c:dLbl>
              <c:idx val="0"/>
              <c:tx>
                <c:rich>
                  <a:bodyPr/>
                  <a:lstStyle/>
                  <a:p>
                    <a:r>
                      <a:rPr lang="en-US" sz="1100">
                        <a:solidFill>
                          <a:schemeClr val="tx1"/>
                        </a:solidFill>
                      </a:rPr>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E3-4DBE-BB4E-6F08BA917120}"/>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E3-4DBE-BB4E-6F08BA91712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Feuil16!$G$22:$H$22</c:f>
                <c:numCache>
                  <c:formatCode>General</c:formatCode>
                  <c:ptCount val="2"/>
                  <c:pt idx="0">
                    <c:v>1.5275252316518475</c:v>
                  </c:pt>
                  <c:pt idx="1">
                    <c:v>0</c:v>
                  </c:pt>
                </c:numCache>
              </c:numRef>
            </c:plus>
            <c:minus>
              <c:numRef>
                <c:f>Feuil16!$G$22:$H$22</c:f>
                <c:numCache>
                  <c:formatCode>General</c:formatCode>
                  <c:ptCount val="2"/>
                  <c:pt idx="0">
                    <c:v>1.5275252316518475</c:v>
                  </c:pt>
                  <c:pt idx="1">
                    <c:v>0</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Feuil16!$B$3:$C$3</c:f>
              <c:numCache>
                <c:formatCode>General</c:formatCode>
                <c:ptCount val="2"/>
                <c:pt idx="0">
                  <c:v>54.333333333333336</c:v>
                </c:pt>
                <c:pt idx="1">
                  <c:v>63</c:v>
                </c:pt>
              </c:numCache>
            </c:numRef>
          </c:val>
          <c:extLst>
            <c:ext xmlns:c16="http://schemas.microsoft.com/office/drawing/2014/chart" uri="{C3380CC4-5D6E-409C-BE32-E72D297353CC}">
              <c16:uniqueId val="{00000002-5FE3-4DBE-BB4E-6F08BA917120}"/>
            </c:ext>
          </c:extLst>
        </c:ser>
        <c:ser>
          <c:idx val="1"/>
          <c:order val="1"/>
          <c:tx>
            <c:strRef>
              <c:f>Feuil16!$A$4</c:f>
              <c:strCache>
                <c:ptCount val="1"/>
                <c:pt idx="0">
                  <c:v>T1</c:v>
                </c:pt>
              </c:strCache>
            </c:strRef>
          </c:tx>
          <c:spPr>
            <a:pattFill prst="lgCheck">
              <a:fgClr>
                <a:sysClr val="windowText" lastClr="000000"/>
              </a:fgClr>
              <a:bgClr>
                <a:schemeClr val="bg1"/>
              </a:bgClr>
            </a:pattFill>
            <a:ln>
              <a:solidFill>
                <a:schemeClr val="tx1"/>
              </a:solidFill>
            </a:ln>
            <a:effectLst/>
          </c:spPr>
          <c:invertIfNegative val="0"/>
          <c:dLbls>
            <c:dLbl>
              <c:idx val="0"/>
              <c:layout>
                <c:manualLayout>
                  <c:x val="2.143622722400818E-3"/>
                  <c:y val="-2.0202020202020204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ab</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E3-4DBE-BB4E-6F08BA917120}"/>
                </c:ext>
              </c:extLst>
            </c:dLbl>
            <c:dLbl>
              <c:idx val="1"/>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E3-4DBE-BB4E-6F08BA917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Feuil16!$G$23:$H$23</c:f>
                <c:numCache>
                  <c:formatCode>General</c:formatCode>
                  <c:ptCount val="2"/>
                  <c:pt idx="0">
                    <c:v>2.6457513110645907</c:v>
                  </c:pt>
                  <c:pt idx="1">
                    <c:v>0</c:v>
                  </c:pt>
                </c:numCache>
              </c:numRef>
            </c:plus>
            <c:minus>
              <c:numRef>
                <c:f>Feuil16!$G$23:$H$23</c:f>
                <c:numCache>
                  <c:formatCode>General</c:formatCode>
                  <c:ptCount val="2"/>
                  <c:pt idx="0">
                    <c:v>2.6457513110645907</c:v>
                  </c:pt>
                  <c:pt idx="1">
                    <c:v>0</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Feuil16!$B$4:$C$4</c:f>
              <c:numCache>
                <c:formatCode>General</c:formatCode>
                <c:ptCount val="2"/>
                <c:pt idx="0">
                  <c:v>53</c:v>
                </c:pt>
                <c:pt idx="1">
                  <c:v>62</c:v>
                </c:pt>
              </c:numCache>
            </c:numRef>
          </c:val>
          <c:extLst>
            <c:ext xmlns:c16="http://schemas.microsoft.com/office/drawing/2014/chart" uri="{C3380CC4-5D6E-409C-BE32-E72D297353CC}">
              <c16:uniqueId val="{00000005-5FE3-4DBE-BB4E-6F08BA917120}"/>
            </c:ext>
          </c:extLst>
        </c:ser>
        <c:ser>
          <c:idx val="2"/>
          <c:order val="2"/>
          <c:tx>
            <c:strRef>
              <c:f>Feuil16!$A$5</c:f>
              <c:strCache>
                <c:ptCount val="1"/>
                <c:pt idx="0">
                  <c:v>T2</c:v>
                </c:pt>
              </c:strCache>
            </c:strRef>
          </c:tx>
          <c:spPr>
            <a:pattFill prst="zigZag">
              <a:fgClr>
                <a:sysClr val="windowText" lastClr="000000"/>
              </a:fgClr>
              <a:bgClr>
                <a:schemeClr val="bg1"/>
              </a:bgClr>
            </a:pattFill>
            <a:ln>
              <a:solidFill>
                <a:schemeClr val="tx1"/>
              </a:solidFill>
            </a:ln>
            <a:effectLst/>
          </c:spPr>
          <c:invertIfNegative val="0"/>
          <c:dLbls>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bc</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E3-4DBE-BB4E-6F08BA917120}"/>
                </c:ext>
              </c:extLst>
            </c:dLbl>
            <c:dLbl>
              <c:idx val="1"/>
              <c:layout>
                <c:manualLayout>
                  <c:x val="0"/>
                  <c:y val="-1.346801346801346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E3-4DBE-BB4E-6F08BA917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Feuil16!$G$24:$H$24</c:f>
                <c:numCache>
                  <c:formatCode>General</c:formatCode>
                  <c:ptCount val="2"/>
                  <c:pt idx="0">
                    <c:v>1.1547005383793172</c:v>
                  </c:pt>
                  <c:pt idx="1">
                    <c:v>2.0816659994660598</c:v>
                  </c:pt>
                </c:numCache>
              </c:numRef>
            </c:plus>
            <c:minus>
              <c:numRef>
                <c:f>Feuil16!$G$24:$H$24</c:f>
                <c:numCache>
                  <c:formatCode>General</c:formatCode>
                  <c:ptCount val="2"/>
                  <c:pt idx="0">
                    <c:v>1.1547005383793172</c:v>
                  </c:pt>
                  <c:pt idx="1">
                    <c:v>2.0816659994660598</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Feuil16!$B$5:$C$5</c:f>
              <c:numCache>
                <c:formatCode>General</c:formatCode>
                <c:ptCount val="2"/>
                <c:pt idx="0">
                  <c:v>50.666666666666664</c:v>
                </c:pt>
                <c:pt idx="1">
                  <c:v>59.333333333333336</c:v>
                </c:pt>
              </c:numCache>
            </c:numRef>
          </c:val>
          <c:extLst>
            <c:ext xmlns:c16="http://schemas.microsoft.com/office/drawing/2014/chart" uri="{C3380CC4-5D6E-409C-BE32-E72D297353CC}">
              <c16:uniqueId val="{00000008-5FE3-4DBE-BB4E-6F08BA917120}"/>
            </c:ext>
          </c:extLst>
        </c:ser>
        <c:ser>
          <c:idx val="3"/>
          <c:order val="3"/>
          <c:tx>
            <c:strRef>
              <c:f>Feuil16!$A$6</c:f>
              <c:strCache>
                <c:ptCount val="1"/>
                <c:pt idx="0">
                  <c:v>T3</c:v>
                </c:pt>
              </c:strCache>
            </c:strRef>
          </c:tx>
          <c:spPr>
            <a:pattFill prst="wdUpDiag">
              <a:fgClr>
                <a:sysClr val="windowText" lastClr="000000"/>
              </a:fgClr>
              <a:bgClr>
                <a:schemeClr val="bg1"/>
              </a:bgClr>
            </a:pattFill>
            <a:ln>
              <a:solidFill>
                <a:schemeClr val="tx1">
                  <a:alpha val="96000"/>
                </a:schemeClr>
              </a:solidFill>
            </a:ln>
            <a:effectLst/>
          </c:spPr>
          <c:invertIfNegative val="0"/>
          <c:dLbls>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c</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E3-4DBE-BB4E-6F08BA917120}"/>
                </c:ext>
              </c:extLst>
            </c:dLbl>
            <c:dLbl>
              <c:idx val="1"/>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E3-4DBE-BB4E-6F08BA917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Feuil16!$G$25:$H$25</c:f>
                <c:numCache>
                  <c:formatCode>General</c:formatCode>
                  <c:ptCount val="2"/>
                  <c:pt idx="0">
                    <c:v>0.57735026918975707</c:v>
                  </c:pt>
                  <c:pt idx="1">
                    <c:v>2.0816659994660598</c:v>
                  </c:pt>
                </c:numCache>
              </c:numRef>
            </c:plus>
            <c:minus>
              <c:numRef>
                <c:f>Feuil16!$G$25:$H$25</c:f>
                <c:numCache>
                  <c:formatCode>General</c:formatCode>
                  <c:ptCount val="2"/>
                  <c:pt idx="0">
                    <c:v>0.57735026918975707</c:v>
                  </c:pt>
                  <c:pt idx="1">
                    <c:v>2.0816659994660598</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Feuil16!$B$6:$C$6</c:f>
              <c:numCache>
                <c:formatCode>General</c:formatCode>
                <c:ptCount val="2"/>
                <c:pt idx="0">
                  <c:v>49.666666666666664</c:v>
                </c:pt>
                <c:pt idx="1">
                  <c:v>57.666666666666664</c:v>
                </c:pt>
              </c:numCache>
            </c:numRef>
          </c:val>
          <c:extLst>
            <c:ext xmlns:c16="http://schemas.microsoft.com/office/drawing/2014/chart" uri="{C3380CC4-5D6E-409C-BE32-E72D297353CC}">
              <c16:uniqueId val="{0000000B-5FE3-4DBE-BB4E-6F08BA917120}"/>
            </c:ext>
          </c:extLst>
        </c:ser>
        <c:ser>
          <c:idx val="4"/>
          <c:order val="4"/>
          <c:tx>
            <c:strRef>
              <c:f>Feuil16!$A$7</c:f>
              <c:strCache>
                <c:ptCount val="1"/>
                <c:pt idx="0">
                  <c:v>T4</c:v>
                </c:pt>
              </c:strCache>
            </c:strRef>
          </c:tx>
          <c:spPr>
            <a:pattFill prst="lgConfetti">
              <a:fgClr>
                <a:sysClr val="windowText" lastClr="000000"/>
              </a:fgClr>
              <a:bgClr>
                <a:schemeClr val="bg1"/>
              </a:bgClr>
            </a:pattFill>
            <a:ln>
              <a:solidFill>
                <a:schemeClr val="tx1"/>
              </a:solidFill>
            </a:ln>
            <a:effectLst/>
          </c:spPr>
          <c:invertIfNegative val="0"/>
          <c:dLbls>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c</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FE3-4DBE-BB4E-6F08BA917120}"/>
                </c:ext>
              </c:extLst>
            </c:dLbl>
            <c:dLbl>
              <c:idx val="1"/>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c</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FE3-4DBE-BB4E-6F08BA917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Feuil16!$G$26:$H$26</c:f>
                <c:numCache>
                  <c:formatCode>General</c:formatCode>
                  <c:ptCount val="2"/>
                  <c:pt idx="0">
                    <c:v>0</c:v>
                  </c:pt>
                  <c:pt idx="1">
                    <c:v>0</c:v>
                  </c:pt>
                </c:numCache>
              </c:numRef>
            </c:plus>
            <c:minus>
              <c:numRef>
                <c:f>Feuil16!$G$26:$H$26</c:f>
                <c:numCache>
                  <c:formatCode>General</c:formatCode>
                  <c:ptCount val="2"/>
                  <c:pt idx="0">
                    <c:v>0</c:v>
                  </c:pt>
                  <c:pt idx="1">
                    <c:v>0</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Feuil16!$B$7:$C$7</c:f>
              <c:numCache>
                <c:formatCode>General</c:formatCode>
                <c:ptCount val="2"/>
                <c:pt idx="0">
                  <c:v>49</c:v>
                </c:pt>
                <c:pt idx="1">
                  <c:v>55</c:v>
                </c:pt>
              </c:numCache>
            </c:numRef>
          </c:val>
          <c:extLst>
            <c:ext xmlns:c16="http://schemas.microsoft.com/office/drawing/2014/chart" uri="{C3380CC4-5D6E-409C-BE32-E72D297353CC}">
              <c16:uniqueId val="{0000000E-5FE3-4DBE-BB4E-6F08BA917120}"/>
            </c:ext>
          </c:extLst>
        </c:ser>
        <c:dLbls>
          <c:dLblPos val="outEnd"/>
          <c:showLegendKey val="0"/>
          <c:showVal val="1"/>
          <c:showCatName val="0"/>
          <c:showSerName val="0"/>
          <c:showPercent val="0"/>
          <c:showBubbleSize val="0"/>
        </c:dLbls>
        <c:gapWidth val="219"/>
        <c:overlap val="-27"/>
        <c:axId val="2039086479"/>
        <c:axId val="2039073039"/>
      </c:barChart>
      <c:catAx>
        <c:axId val="203908647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Cycle parameters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9073039"/>
        <c:crosses val="autoZero"/>
        <c:auto val="1"/>
        <c:lblAlgn val="ctr"/>
        <c:lblOffset val="100"/>
        <c:noMultiLvlLbl val="0"/>
      </c:catAx>
      <c:valAx>
        <c:axId val="2039073039"/>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Number</a:t>
                </a:r>
                <a:r>
                  <a:rPr lang="en-US" sz="1100" baseline="0">
                    <a:solidFill>
                      <a:schemeClr val="tx1"/>
                    </a:solidFill>
                    <a:latin typeface="Times New Roman" panose="02020603050405020304" pitchFamily="18" charset="0"/>
                    <a:cs typeface="Times New Roman" panose="02020603050405020304" pitchFamily="18" charset="0"/>
                  </a:rPr>
                  <a:t> of days</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9086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7F3B-99EC-4C9A-94BA-8AB38333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419</TotalTime>
  <Pages>16</Pages>
  <Words>6057</Words>
  <Characters>34528</Characters>
  <Application>Microsoft Office Word</Application>
  <DocSecurity>0</DocSecurity>
  <Lines>287</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40504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2026-05-09T09:22:00Z</dcterms:modified>
</cp:coreProperties>
</file>