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57B98" w14:textId="77777777" w:rsidR="00E10F98" w:rsidRPr="00996C96" w:rsidRDefault="000631B4" w:rsidP="000631B4">
      <w:pPr>
        <w:spacing w:after="0" w:line="360" w:lineRule="auto"/>
        <w:jc w:val="center"/>
        <w:rPr>
          <w:rFonts w:ascii="Times New Roman" w:hAnsi="Times New Roman" w:cs="Times New Roman"/>
          <w:b/>
          <w:bCs/>
          <w:sz w:val="24"/>
          <w:szCs w:val="24"/>
        </w:rPr>
      </w:pPr>
      <w:r w:rsidRPr="00996C96">
        <w:rPr>
          <w:rFonts w:ascii="Times New Roman" w:hAnsi="Times New Roman" w:cs="Times New Roman"/>
          <w:b/>
          <w:bCs/>
          <w:sz w:val="24"/>
          <w:szCs w:val="24"/>
        </w:rPr>
        <w:t>Changes in Occupational Structure of Mathura District (1991–2011)</w:t>
      </w:r>
    </w:p>
    <w:p w14:paraId="203E66FD" w14:textId="77777777" w:rsidR="00996C96" w:rsidRPr="00A94485" w:rsidRDefault="00996C96" w:rsidP="000631B4">
      <w:pPr>
        <w:spacing w:after="0" w:line="360" w:lineRule="auto"/>
        <w:jc w:val="center"/>
        <w:rPr>
          <w:rFonts w:ascii="Times New Roman" w:hAnsi="Times New Roman" w:cs="Times New Roman"/>
          <w:b/>
          <w:bCs/>
          <w:sz w:val="24"/>
          <w:szCs w:val="24"/>
          <w:u w:val="single"/>
        </w:rPr>
      </w:pPr>
    </w:p>
    <w:p w14:paraId="42CAD665" w14:textId="77777777" w:rsidR="00920B86" w:rsidRDefault="00920B86" w:rsidP="00294EB1">
      <w:pPr>
        <w:spacing w:after="0" w:line="240" w:lineRule="auto"/>
        <w:ind w:left="734" w:hanging="547"/>
        <w:jc w:val="center"/>
        <w:rPr>
          <w:rFonts w:ascii="Times New Roman" w:hAnsi="Times New Roman" w:cs="Times New Roman"/>
          <w:bCs/>
          <w:sz w:val="24"/>
          <w:szCs w:val="24"/>
        </w:rPr>
      </w:pPr>
      <w:bookmarkStart w:id="0" w:name="_GoBack"/>
      <w:bookmarkEnd w:id="0"/>
    </w:p>
    <w:p w14:paraId="73E02883" w14:textId="77777777" w:rsidR="00920B86" w:rsidRPr="00A94485" w:rsidRDefault="00920B86" w:rsidP="00294EB1">
      <w:pPr>
        <w:spacing w:after="0" w:line="240" w:lineRule="auto"/>
        <w:ind w:left="734" w:hanging="547"/>
        <w:jc w:val="center"/>
        <w:rPr>
          <w:rFonts w:ascii="Times New Roman" w:hAnsi="Times New Roman" w:cs="Times New Roman"/>
          <w:bCs/>
          <w:sz w:val="24"/>
          <w:szCs w:val="24"/>
        </w:rPr>
      </w:pPr>
    </w:p>
    <w:p w14:paraId="1B7B95C7" w14:textId="77777777" w:rsidR="000631B4" w:rsidRPr="00A94485" w:rsidRDefault="000631B4" w:rsidP="000631B4">
      <w:pPr>
        <w:spacing w:after="0" w:line="240" w:lineRule="auto"/>
        <w:jc w:val="center"/>
        <w:outlineLvl w:val="1"/>
        <w:rPr>
          <w:rFonts w:ascii="Times New Roman" w:eastAsia="Times New Roman" w:hAnsi="Times New Roman" w:cs="Times New Roman"/>
          <w:b/>
          <w:bCs/>
          <w:i/>
          <w:iCs/>
          <w:sz w:val="24"/>
          <w:szCs w:val="24"/>
          <w:lang w:bidi="hi-IN"/>
        </w:rPr>
      </w:pPr>
      <w:r w:rsidRPr="00A94485">
        <w:rPr>
          <w:rFonts w:ascii="Times New Roman" w:eastAsia="Times New Roman" w:hAnsi="Times New Roman" w:cs="Times New Roman"/>
          <w:b/>
          <w:bCs/>
          <w:i/>
          <w:iCs/>
          <w:sz w:val="24"/>
          <w:szCs w:val="24"/>
          <w:lang w:bidi="hi-IN"/>
        </w:rPr>
        <w:t>ABSTRACT</w:t>
      </w:r>
    </w:p>
    <w:p w14:paraId="6F2DA8B7" w14:textId="77777777" w:rsidR="006E1D75" w:rsidRPr="00A94485" w:rsidRDefault="006E1D75" w:rsidP="006E1D75">
      <w:pPr>
        <w:spacing w:after="0" w:line="240" w:lineRule="auto"/>
        <w:jc w:val="both"/>
        <w:outlineLvl w:val="1"/>
        <w:rPr>
          <w:rFonts w:ascii="Times New Roman" w:eastAsia="Times New Roman" w:hAnsi="Times New Roman" w:cs="Times New Roman"/>
          <w:i/>
          <w:iCs/>
          <w:sz w:val="24"/>
          <w:szCs w:val="24"/>
          <w:lang w:bidi="hi-IN"/>
        </w:rPr>
      </w:pPr>
      <w:r w:rsidRPr="00A94485">
        <w:rPr>
          <w:rFonts w:ascii="Times New Roman" w:eastAsia="Times New Roman" w:hAnsi="Times New Roman" w:cs="Times New Roman"/>
          <w:i/>
          <w:iCs/>
          <w:sz w:val="24"/>
          <w:szCs w:val="24"/>
          <w:lang w:bidi="hi-IN"/>
        </w:rPr>
        <w:t xml:space="preserve">This current research paper aims at analyzing the evolving trends of occupational structure for the period from 1991 to 2011 in Mathura district using block-wise data from the Census of India. Four broad occupational groups such as cultivators, agricultural </w:t>
      </w:r>
      <w:proofErr w:type="spellStart"/>
      <w:r w:rsidRPr="00A94485">
        <w:rPr>
          <w:rFonts w:ascii="Times New Roman" w:eastAsia="Times New Roman" w:hAnsi="Times New Roman" w:cs="Times New Roman"/>
          <w:i/>
          <w:iCs/>
          <w:sz w:val="24"/>
          <w:szCs w:val="24"/>
          <w:lang w:bidi="hi-IN"/>
        </w:rPr>
        <w:t>labourers</w:t>
      </w:r>
      <w:proofErr w:type="spellEnd"/>
      <w:r w:rsidRPr="00A94485">
        <w:rPr>
          <w:rFonts w:ascii="Times New Roman" w:eastAsia="Times New Roman" w:hAnsi="Times New Roman" w:cs="Times New Roman"/>
          <w:i/>
          <w:iCs/>
          <w:sz w:val="24"/>
          <w:szCs w:val="24"/>
          <w:lang w:bidi="hi-IN"/>
        </w:rPr>
        <w:t xml:space="preserve">, workers engaged in household industries and other workers have been considered for the purpose of this analysis. Analysis of occupational trends shows that there is a declining trend among the category of cultivators and a growing trend of agricultural </w:t>
      </w:r>
      <w:proofErr w:type="spellStart"/>
      <w:r w:rsidRPr="00A94485">
        <w:rPr>
          <w:rFonts w:ascii="Times New Roman" w:eastAsia="Times New Roman" w:hAnsi="Times New Roman" w:cs="Times New Roman"/>
          <w:i/>
          <w:iCs/>
          <w:sz w:val="24"/>
          <w:szCs w:val="24"/>
          <w:lang w:bidi="hi-IN"/>
        </w:rPr>
        <w:t>labourers</w:t>
      </w:r>
      <w:proofErr w:type="spellEnd"/>
      <w:r w:rsidRPr="00A94485">
        <w:rPr>
          <w:rFonts w:ascii="Times New Roman" w:eastAsia="Times New Roman" w:hAnsi="Times New Roman" w:cs="Times New Roman"/>
          <w:i/>
          <w:iCs/>
          <w:sz w:val="24"/>
          <w:szCs w:val="24"/>
          <w:lang w:bidi="hi-IN"/>
        </w:rPr>
        <w:t xml:space="preserve"> that indicates the increasing tendency of the people to earn their livelihood through wage labor in agriculture. In addition to this, the percentage share of household industry workers and other workers also shows a rising trend.</w:t>
      </w:r>
    </w:p>
    <w:p w14:paraId="45AE61E0" w14:textId="77777777" w:rsidR="001A2560" w:rsidRPr="00A94485" w:rsidRDefault="001A2560" w:rsidP="000631B4">
      <w:pPr>
        <w:spacing w:after="0" w:line="240" w:lineRule="auto"/>
        <w:ind w:left="810" w:right="1019"/>
        <w:jc w:val="both"/>
        <w:rPr>
          <w:rFonts w:ascii="Times New Roman" w:eastAsia="Times New Roman" w:hAnsi="Times New Roman" w:cs="Times New Roman"/>
          <w:i/>
          <w:iCs/>
          <w:sz w:val="24"/>
          <w:szCs w:val="24"/>
          <w:lang w:bidi="hi-IN"/>
        </w:rPr>
      </w:pPr>
    </w:p>
    <w:p w14:paraId="4DEDAFB5" w14:textId="77777777" w:rsidR="00CD5217" w:rsidRPr="00A94485" w:rsidRDefault="00CD5217" w:rsidP="001A2560">
      <w:pPr>
        <w:spacing w:after="0" w:line="240" w:lineRule="auto"/>
        <w:ind w:left="1170" w:hanging="1170"/>
        <w:rPr>
          <w:rFonts w:ascii="Times New Roman" w:eastAsia="Times New Roman" w:hAnsi="Times New Roman" w:cs="Times New Roman"/>
          <w:sz w:val="24"/>
          <w:szCs w:val="24"/>
          <w:lang w:bidi="hi-IN"/>
        </w:rPr>
      </w:pPr>
      <w:r w:rsidRPr="00A94485">
        <w:rPr>
          <w:rFonts w:ascii="Times New Roman" w:eastAsia="Times New Roman" w:hAnsi="Times New Roman" w:cs="Times New Roman"/>
          <w:b/>
          <w:bCs/>
          <w:sz w:val="24"/>
          <w:szCs w:val="24"/>
          <w:lang w:bidi="hi-IN"/>
        </w:rPr>
        <w:t>Key</w:t>
      </w:r>
      <w:r w:rsidRPr="00A94485">
        <w:rPr>
          <w:rFonts w:ascii="Times New Roman" w:eastAsia="Times New Roman" w:hAnsi="Times New Roman" w:cs="Times New Roman"/>
          <w:sz w:val="24"/>
          <w:szCs w:val="24"/>
          <w:lang w:bidi="hi-IN"/>
        </w:rPr>
        <w:t xml:space="preserve"> </w:t>
      </w:r>
      <w:r w:rsidRPr="00A94485">
        <w:rPr>
          <w:rFonts w:ascii="Times New Roman" w:eastAsia="Times New Roman" w:hAnsi="Times New Roman" w:cs="Times New Roman"/>
          <w:b/>
          <w:bCs/>
          <w:sz w:val="24"/>
          <w:szCs w:val="24"/>
          <w:lang w:bidi="hi-IN"/>
        </w:rPr>
        <w:t>Word</w:t>
      </w:r>
      <w:r w:rsidRPr="00A94485">
        <w:rPr>
          <w:rFonts w:ascii="Times New Roman" w:eastAsia="Times New Roman" w:hAnsi="Times New Roman" w:cs="Times New Roman"/>
          <w:sz w:val="24"/>
          <w:szCs w:val="24"/>
          <w:lang w:bidi="hi-IN"/>
        </w:rPr>
        <w:t>- Occupational Structure, Work Participation Rate, Location Quotient (LQ</w:t>
      </w:r>
      <w:proofErr w:type="gramStart"/>
      <w:r w:rsidRPr="00A94485">
        <w:rPr>
          <w:rFonts w:ascii="Times New Roman" w:eastAsia="Times New Roman" w:hAnsi="Times New Roman" w:cs="Times New Roman"/>
          <w:sz w:val="24"/>
          <w:szCs w:val="24"/>
          <w:lang w:bidi="hi-IN"/>
        </w:rPr>
        <w:t>)</w:t>
      </w:r>
      <w:r w:rsidR="00294CC8" w:rsidRPr="00A94485">
        <w:rPr>
          <w:rFonts w:ascii="Times New Roman" w:eastAsia="Times New Roman" w:hAnsi="Times New Roman" w:cs="Times New Roman"/>
          <w:sz w:val="24"/>
          <w:szCs w:val="24"/>
          <w:lang w:bidi="hi-IN"/>
        </w:rPr>
        <w:t>,</w:t>
      </w:r>
      <w:r w:rsidR="001A2560" w:rsidRPr="00A94485">
        <w:rPr>
          <w:rFonts w:ascii="Times New Roman" w:eastAsia="Times New Roman" w:hAnsi="Times New Roman" w:cs="Times New Roman"/>
          <w:sz w:val="24"/>
          <w:szCs w:val="24"/>
          <w:lang w:bidi="hi-IN"/>
        </w:rPr>
        <w:t xml:space="preserve">   </w:t>
      </w:r>
      <w:proofErr w:type="gramEnd"/>
      <w:r w:rsidR="001A2560" w:rsidRPr="00A94485">
        <w:rPr>
          <w:rFonts w:ascii="Times New Roman" w:eastAsia="Times New Roman" w:hAnsi="Times New Roman" w:cs="Times New Roman"/>
          <w:sz w:val="24"/>
          <w:szCs w:val="24"/>
          <w:lang w:bidi="hi-IN"/>
        </w:rPr>
        <w:t xml:space="preserve">              </w:t>
      </w:r>
      <w:r w:rsidRPr="00A94485">
        <w:rPr>
          <w:rFonts w:ascii="Times New Roman" w:eastAsia="Times New Roman" w:hAnsi="Times New Roman" w:cs="Times New Roman"/>
          <w:sz w:val="24"/>
          <w:szCs w:val="24"/>
          <w:lang w:bidi="hi-IN"/>
        </w:rPr>
        <w:t xml:space="preserve">Cultivators, </w:t>
      </w:r>
      <w:r w:rsidRPr="00A94485">
        <w:rPr>
          <w:rFonts w:ascii="Times New Roman" w:hAnsi="Times New Roman" w:cs="Times New Roman"/>
          <w:sz w:val="24"/>
          <w:szCs w:val="24"/>
        </w:rPr>
        <w:t>Regional Disparities.</w:t>
      </w:r>
      <w:r w:rsidRPr="00A94485">
        <w:rPr>
          <w:rFonts w:ascii="Times New Roman" w:eastAsia="Times New Roman" w:hAnsi="Times New Roman" w:cs="Times New Roman"/>
          <w:sz w:val="24"/>
          <w:szCs w:val="24"/>
          <w:lang w:bidi="hi-IN"/>
        </w:rPr>
        <w:t xml:space="preserve"> </w:t>
      </w:r>
    </w:p>
    <w:p w14:paraId="327A8AB9" w14:textId="77777777" w:rsidR="001A2560" w:rsidRPr="00A94485" w:rsidRDefault="001A2560" w:rsidP="00A94485">
      <w:pPr>
        <w:spacing w:after="0" w:line="360" w:lineRule="auto"/>
        <w:ind w:left="1170" w:hanging="1170"/>
        <w:rPr>
          <w:rFonts w:ascii="Times New Roman" w:eastAsia="Times New Roman" w:hAnsi="Times New Roman" w:cs="Times New Roman"/>
          <w:sz w:val="24"/>
          <w:szCs w:val="24"/>
          <w:lang w:bidi="hi-IN"/>
        </w:rPr>
      </w:pPr>
    </w:p>
    <w:p w14:paraId="22289820" w14:textId="77777777" w:rsidR="00E10F98" w:rsidRPr="00A94485" w:rsidRDefault="00E10F98" w:rsidP="00A94485">
      <w:pPr>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Introduction</w:t>
      </w:r>
    </w:p>
    <w:p w14:paraId="0A60D0F4"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The concept of occupation is a very complex phenomenon. It is one of the most important characteristics of the population composition of a region, and it directly influences the social and economic conditions of livelihood. It also gives information regarding manpower and the nature and level of its utilization (Jaffe and Stewart, 1951). Occupation has been defined as “that specific activity with a market value which an individual continually pursues with the purpose of obtaining a steady flow of income; this activity also determines the social position of individuals” (Tylor, 1968).</w:t>
      </w:r>
    </w:p>
    <w:p w14:paraId="3F3CE580"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Occupational structure of a country refers to the distribution or division of its population according to different occupations. An understanding of the occupational structure of a population therefore warrants comprehension of the composition of its working force. An analysis of the working force provides a useful tool to social scientists not only for measuring the level of social and economic development an area has attained (Maitra, 1969) but also for formulating future plans for mobilizing its manpower (Chandna and Sidhu, 1980; Sinha, 1971). Moreover, the extent of participation in work is, on the one hand, an index of the social and economic structure of a society (Radhakrishna and Vijayalakshmi, 1974) and, on the other hand, a function of the age structure and the socio‑economic and political compulsions of a society (You, 1971).</w:t>
      </w:r>
    </w:p>
    <w:p w14:paraId="1E3D3692"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 xml:space="preserve">The occupational structure influences many aspects of the population of any region, including the working force, dependency load, employment, and unemployment. It is a key component in the manifestation of the population composition of a region and provides a true picture of the ratio of the working and non‑working population in an area or a country. Therefore, the occupational structure also influences the socio‑economic development and </w:t>
      </w:r>
      <w:r w:rsidR="00E10F98" w:rsidRPr="00A94485">
        <w:rPr>
          <w:rFonts w:ascii="Times New Roman" w:hAnsi="Times New Roman" w:cs="Times New Roman"/>
          <w:sz w:val="24"/>
          <w:szCs w:val="24"/>
        </w:rPr>
        <w:lastRenderedPageBreak/>
        <w:t>future progress of a region or country (Sharma, 2016). The significance of occupational structure of a region lies in the fact that it explicitly reveals the socio‑economic characteristics of the people inhabiting that particular region or country. Hence, it is one of the important measures of socio‑economic development of the country (</w:t>
      </w:r>
      <w:r w:rsidR="00E10F98" w:rsidRPr="00A94485">
        <w:rPr>
          <w:rFonts w:ascii="Times New Roman" w:hAnsi="Times New Roman" w:cs="Times New Roman"/>
          <w:color w:val="212121"/>
          <w:sz w:val="24"/>
          <w:szCs w:val="24"/>
        </w:rPr>
        <w:t>Fernandez-Macias, 2012</w:t>
      </w:r>
      <w:r w:rsidR="00E10F98" w:rsidRPr="00A94485">
        <w:rPr>
          <w:rFonts w:ascii="Times New Roman" w:hAnsi="Times New Roman" w:cs="Times New Roman"/>
          <w:sz w:val="24"/>
          <w:szCs w:val="24"/>
        </w:rPr>
        <w:t>).</w:t>
      </w:r>
    </w:p>
    <w:p w14:paraId="2D633510"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 xml:space="preserve">Occupational structure is the distribution or division of the working population in different sectors based on occupations. It is one of the key elements in the manifestation of the population composition of a region (Chandana, 2010). Occupational structure is playing an important role in the socio‑economic activities in the region and is one of the most significant social features that impacts human life (Kumar, Kumar and Singh, 2016). The study of occupational structure of the population is an important tool that assesses the ratio of the entire working and non‑working population and presents a clear picture of the entire workforce (Kumari and Kumar, 2024). The socio‑economic development of any region depends on the number of individuals who are economically active, and it is one aspect of population structure that shows how the population is engaged in various economic activities (Karthikesan et al., 2018). The occupational changes of a nation refer to the percentage of its workforce employed in various economic activities (Rina and </w:t>
      </w:r>
      <w:proofErr w:type="spellStart"/>
      <w:r w:rsidR="00E10F98" w:rsidRPr="00A94485">
        <w:rPr>
          <w:rFonts w:ascii="Times New Roman" w:hAnsi="Times New Roman" w:cs="Times New Roman"/>
          <w:sz w:val="24"/>
          <w:szCs w:val="24"/>
        </w:rPr>
        <w:t>Godara</w:t>
      </w:r>
      <w:proofErr w:type="spellEnd"/>
      <w:r w:rsidR="00E10F98" w:rsidRPr="00A94485">
        <w:rPr>
          <w:rFonts w:ascii="Times New Roman" w:hAnsi="Times New Roman" w:cs="Times New Roman"/>
          <w:sz w:val="24"/>
          <w:szCs w:val="24"/>
        </w:rPr>
        <w:t>, 2020). An analysis of the working force provides a useful tool to social scientists not only for measuring the level of social and economic development an area has attained but also for formulating future plans for mobilizing its manpower (Singh, 2015). In light of various perspectives, Mathura district has been selected as the study area due to its diverse occupational structure and socio-economic characteristics.</w:t>
      </w:r>
    </w:p>
    <w:p w14:paraId="51F77F3A" w14:textId="77777777" w:rsidR="00E10F98" w:rsidRPr="00A94485" w:rsidRDefault="00E10F98" w:rsidP="00A94485">
      <w:pPr>
        <w:tabs>
          <w:tab w:val="left" w:pos="4152"/>
        </w:tabs>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 xml:space="preserve">Objectives of the study </w:t>
      </w:r>
    </w:p>
    <w:p w14:paraId="1ED8BACD" w14:textId="77777777" w:rsidR="00E10F98" w:rsidRPr="00A94485" w:rsidRDefault="001A2560" w:rsidP="00A94485">
      <w:pPr>
        <w:tabs>
          <w:tab w:val="left" w:pos="0"/>
        </w:tabs>
        <w:spacing w:after="0" w:line="360" w:lineRule="auto"/>
        <w:jc w:val="both"/>
        <w:rPr>
          <w:rFonts w:ascii="Times New Roman" w:hAnsi="Times New Roman" w:cs="Times New Roman"/>
          <w:sz w:val="24"/>
          <w:szCs w:val="24"/>
        </w:rPr>
      </w:pPr>
      <w:r w:rsidRPr="00A94485">
        <w:rPr>
          <w:rFonts w:ascii="Times New Roman" w:hAnsi="Times New Roman" w:cs="Times New Roman"/>
          <w:sz w:val="24"/>
          <w:szCs w:val="24"/>
        </w:rPr>
        <w:tab/>
      </w:r>
      <w:r w:rsidR="00E10F98" w:rsidRPr="00A94485">
        <w:rPr>
          <w:rFonts w:ascii="Times New Roman" w:hAnsi="Times New Roman" w:cs="Times New Roman"/>
          <w:sz w:val="24"/>
          <w:szCs w:val="24"/>
        </w:rPr>
        <w:t>The primary objectives of the present study are to examine the occupational structure of main workers at the block level and to assess the degree of specialization within specific occupational categories. It is important to note that individuals who are engaged in any economically productive activity for a minimum of 183 days in a year are classified as “main workers.”</w:t>
      </w:r>
    </w:p>
    <w:p w14:paraId="7B82FF12" w14:textId="77777777" w:rsidR="00E10F98" w:rsidRPr="00A94485" w:rsidRDefault="00E10F98" w:rsidP="00A94485">
      <w:pPr>
        <w:tabs>
          <w:tab w:val="left" w:pos="4152"/>
        </w:tabs>
        <w:spacing w:after="0" w:line="360" w:lineRule="auto"/>
        <w:jc w:val="both"/>
        <w:rPr>
          <w:rFonts w:ascii="Times New Roman" w:hAnsi="Times New Roman" w:cs="Times New Roman"/>
          <w:b/>
          <w:bCs/>
          <w:sz w:val="24"/>
          <w:szCs w:val="24"/>
        </w:rPr>
      </w:pPr>
      <w:r w:rsidRPr="00A94485">
        <w:rPr>
          <w:rFonts w:ascii="Times New Roman" w:hAnsi="Times New Roman" w:cs="Times New Roman"/>
          <w:b/>
          <w:bCs/>
          <w:sz w:val="24"/>
          <w:szCs w:val="24"/>
        </w:rPr>
        <w:t>Data Base</w:t>
      </w:r>
    </w:p>
    <w:p w14:paraId="6B804302" w14:textId="77777777" w:rsidR="00A40E6F" w:rsidRPr="00A94485" w:rsidRDefault="00E10F98" w:rsidP="00A94485">
      <w:pPr>
        <w:pStyle w:val="NormalWeb"/>
        <w:spacing w:before="0" w:beforeAutospacing="0" w:after="0" w:afterAutospacing="0" w:line="360" w:lineRule="auto"/>
        <w:ind w:firstLine="720"/>
        <w:jc w:val="both"/>
      </w:pPr>
      <w:r w:rsidRPr="00A94485">
        <w:t xml:space="preserve">The present study is based on data obtained from the </w:t>
      </w:r>
      <w:r w:rsidRPr="00A94485">
        <w:rPr>
          <w:rStyle w:val="whitespace-normal"/>
        </w:rPr>
        <w:t>Census of India</w:t>
      </w:r>
      <w:r w:rsidRPr="00A94485">
        <w:t>. Information from three consecutive census years—1991, 2001, and 2011—has been utilized, with data collected from the District Statistical Handbooks corresponding to these years.</w:t>
      </w:r>
      <w:r w:rsidR="00A40E6F" w:rsidRPr="00A94485">
        <w:t xml:space="preserve"> It is essential to mention that in 1991, nine occupational groups were used to classify workers. On the other hand, the four main occupations have been identified in 2001 and 2011 censuses. For consistency purposes and ease of comparison between the three censuses, the classification of workers according to the occupational category has been made using the four occupational </w:t>
      </w:r>
      <w:r w:rsidR="00A40E6F" w:rsidRPr="00A94485">
        <w:lastRenderedPageBreak/>
        <w:t xml:space="preserve">categories, similar to those used in the </w:t>
      </w:r>
      <w:proofErr w:type="spellStart"/>
      <w:r w:rsidR="00A40E6F" w:rsidRPr="00A94485">
        <w:t>later</w:t>
      </w:r>
      <w:proofErr w:type="spellEnd"/>
      <w:r w:rsidR="00A40E6F" w:rsidRPr="00A94485">
        <w:t xml:space="preserve"> two censuses. These categories include (</w:t>
      </w:r>
      <w:proofErr w:type="spellStart"/>
      <w:r w:rsidR="00A40E6F" w:rsidRPr="00A94485">
        <w:t>i</w:t>
      </w:r>
      <w:proofErr w:type="spellEnd"/>
      <w:r w:rsidR="00A40E6F" w:rsidRPr="00A94485">
        <w:t xml:space="preserve">) </w:t>
      </w:r>
      <w:r w:rsidR="0072562E">
        <w:t>C</w:t>
      </w:r>
      <w:r w:rsidR="00A40E6F" w:rsidRPr="00A94485">
        <w:t xml:space="preserve">ultivators, (ii) </w:t>
      </w:r>
      <w:r w:rsidR="0072562E">
        <w:t>A</w:t>
      </w:r>
      <w:r w:rsidR="00A40E6F" w:rsidRPr="00A94485">
        <w:t xml:space="preserve">gricultural </w:t>
      </w:r>
      <w:proofErr w:type="spellStart"/>
      <w:r w:rsidR="0072562E">
        <w:t>L</w:t>
      </w:r>
      <w:r w:rsidR="00A40E6F" w:rsidRPr="00A94485">
        <w:t>abourers</w:t>
      </w:r>
      <w:proofErr w:type="spellEnd"/>
      <w:r w:rsidR="00A40E6F" w:rsidRPr="00A94485">
        <w:t>, (iii)</w:t>
      </w:r>
      <w:r w:rsidR="0072562E">
        <w:t xml:space="preserve"> Household Industries, and (iv) O</w:t>
      </w:r>
      <w:r w:rsidR="00A40E6F" w:rsidRPr="00A94485">
        <w:t>thers</w:t>
      </w:r>
      <w:r w:rsidR="0072562E">
        <w:t xml:space="preserve"> Workers</w:t>
      </w:r>
      <w:r w:rsidR="00A40E6F" w:rsidRPr="00A94485">
        <w:t>.</w:t>
      </w:r>
    </w:p>
    <w:p w14:paraId="32978C1A" w14:textId="77777777" w:rsidR="00A40E6F" w:rsidRPr="0072562E" w:rsidRDefault="00A40E6F" w:rsidP="0072562E">
      <w:pPr>
        <w:pStyle w:val="NormalWeb"/>
        <w:spacing w:before="0" w:beforeAutospacing="0" w:after="0" w:afterAutospacing="0" w:line="360" w:lineRule="auto"/>
        <w:jc w:val="both"/>
        <w:rPr>
          <w:b/>
          <w:bCs/>
        </w:rPr>
      </w:pPr>
      <w:r w:rsidRPr="0072562E">
        <w:rPr>
          <w:b/>
          <w:bCs/>
        </w:rPr>
        <w:t xml:space="preserve">Methodology </w:t>
      </w:r>
    </w:p>
    <w:p w14:paraId="7AE69C54" w14:textId="77777777" w:rsidR="00A40E6F" w:rsidRPr="00A94485" w:rsidRDefault="00A40E6F" w:rsidP="00A94485">
      <w:pPr>
        <w:pStyle w:val="NormalWeb"/>
        <w:spacing w:before="0" w:beforeAutospacing="0" w:after="0" w:afterAutospacing="0" w:line="360" w:lineRule="auto"/>
        <w:ind w:firstLine="720"/>
        <w:jc w:val="both"/>
      </w:pPr>
      <w:r w:rsidRPr="00A94485">
        <w:t>The development block has been chosen as the primary unit for the analysis. In order to find out the share of workers among different occupations, the data has been expressed in percentage terms. Furthermore, the Location Quotient (LQ) for each category has been determined. It is useful in finding out the degree of specialization regarding a particular economic activity in a development block as compared to the district as a whole.</w:t>
      </w:r>
      <w:r w:rsidR="00E10F98" w:rsidRPr="00A94485">
        <w:t xml:space="preserve"> </w:t>
      </w:r>
    </w:p>
    <w:p w14:paraId="7C084F61" w14:textId="77777777" w:rsidR="00A40E6F" w:rsidRPr="00A94485" w:rsidRDefault="00A40E6F" w:rsidP="00A94485">
      <w:pPr>
        <w:pStyle w:val="NormalWeb"/>
        <w:spacing w:before="0" w:beforeAutospacing="0" w:after="0" w:afterAutospacing="0" w:line="360" w:lineRule="auto"/>
        <w:jc w:val="both"/>
      </w:pPr>
      <w:r w:rsidRPr="00A94485">
        <w:rPr>
          <w:noProof/>
        </w:rPr>
        <w:drawing>
          <wp:anchor distT="0" distB="0" distL="114300" distR="114300" simplePos="0" relativeHeight="251695104" behindDoc="1" locked="0" layoutInCell="1" allowOverlap="1" wp14:anchorId="15FE57AC" wp14:editId="59762179">
            <wp:simplePos x="0" y="0"/>
            <wp:positionH relativeFrom="column">
              <wp:posOffset>416560</wp:posOffset>
            </wp:positionH>
            <wp:positionV relativeFrom="paragraph">
              <wp:posOffset>225425</wp:posOffset>
            </wp:positionV>
            <wp:extent cx="1711960" cy="373380"/>
            <wp:effectExtent l="19050" t="0" r="2540" b="0"/>
            <wp:wrapTight wrapText="bothSides">
              <wp:wrapPolygon edited="0">
                <wp:start x="-240" y="0"/>
                <wp:lineTo x="-240" y="20939"/>
                <wp:lineTo x="21632" y="20939"/>
                <wp:lineTo x="21632" y="0"/>
                <wp:lineTo x="-240" y="0"/>
              </wp:wrapPolygon>
            </wp:wrapTight>
            <wp:docPr id="15" name="Picture 1" descr="https://mn.gov/deed/assets/QCEW_LocQuo_tcm1045-571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n.gov/deed/assets/QCEW_LocQuo_tcm1045-571856.png"/>
                    <pic:cNvPicPr>
                      <a:picLocks noChangeAspect="1" noChangeArrowheads="1"/>
                    </pic:cNvPicPr>
                  </pic:nvPicPr>
                  <pic:blipFill>
                    <a:blip r:embed="rId8"/>
                    <a:srcRect l="29487" t="12010" r="12907" b="61880"/>
                    <a:stretch>
                      <a:fillRect/>
                    </a:stretch>
                  </pic:blipFill>
                  <pic:spPr bwMode="auto">
                    <a:xfrm>
                      <a:off x="0" y="0"/>
                      <a:ext cx="1711960" cy="373380"/>
                    </a:xfrm>
                    <a:prstGeom prst="rect">
                      <a:avLst/>
                    </a:prstGeom>
                    <a:noFill/>
                    <a:ln w="9525">
                      <a:noFill/>
                      <a:miter lim="800000"/>
                      <a:headEnd/>
                      <a:tailEnd/>
                    </a:ln>
                  </pic:spPr>
                </pic:pic>
              </a:graphicData>
            </a:graphic>
          </wp:anchor>
        </w:drawing>
      </w:r>
      <w:r w:rsidRPr="00A94485">
        <w:t>Location Quotient can be calculated using the following formula:</w:t>
      </w:r>
    </w:p>
    <w:p w14:paraId="65DA28A8" w14:textId="77777777" w:rsidR="00A94485" w:rsidRDefault="00A94485" w:rsidP="00A94485">
      <w:pPr>
        <w:pStyle w:val="NormalWeb"/>
        <w:spacing w:before="0" w:beforeAutospacing="0" w:after="0" w:afterAutospacing="0" w:line="360" w:lineRule="auto"/>
        <w:ind w:firstLine="720"/>
        <w:jc w:val="both"/>
      </w:pPr>
    </w:p>
    <w:p w14:paraId="7D56AEF0" w14:textId="77777777" w:rsidR="00A94485" w:rsidRDefault="00A94485" w:rsidP="00A94485">
      <w:pPr>
        <w:pStyle w:val="NormalWeb"/>
        <w:spacing w:before="0" w:beforeAutospacing="0" w:after="0" w:afterAutospacing="0" w:line="360" w:lineRule="auto"/>
        <w:ind w:firstLine="720"/>
        <w:jc w:val="both"/>
      </w:pPr>
    </w:p>
    <w:p w14:paraId="01821B56" w14:textId="77777777" w:rsidR="00A40E6F" w:rsidRPr="00A94485" w:rsidRDefault="00A40E6F" w:rsidP="00A94485">
      <w:pPr>
        <w:pStyle w:val="NormalWeb"/>
        <w:spacing w:before="0" w:beforeAutospacing="0" w:after="0" w:afterAutospacing="0" w:line="360" w:lineRule="auto"/>
        <w:jc w:val="both"/>
      </w:pPr>
      <w:r w:rsidRPr="00A94485">
        <w:t>Where:</w:t>
      </w:r>
    </w:p>
    <w:p w14:paraId="775F6650" w14:textId="77777777" w:rsidR="00A40E6F" w:rsidRPr="00A94485" w:rsidRDefault="00A40E6F" w:rsidP="00A94485">
      <w:pPr>
        <w:pStyle w:val="NormalWeb"/>
        <w:spacing w:before="0" w:beforeAutospacing="0" w:after="0" w:afterAutospacing="0" w:line="360" w:lineRule="auto"/>
        <w:jc w:val="both"/>
      </w:pPr>
      <w:r w:rsidRPr="00A94485">
        <w:t>LQ is the Location Quotient for the particular activity in the particular block;</w:t>
      </w:r>
    </w:p>
    <w:p w14:paraId="21E5147C" w14:textId="77777777" w:rsidR="00A40E6F" w:rsidRPr="00A94485" w:rsidRDefault="00A40E6F" w:rsidP="00A94485">
      <w:pPr>
        <w:pStyle w:val="NormalWeb"/>
        <w:spacing w:before="0" w:beforeAutospacing="0" w:after="0" w:afterAutospacing="0" w:line="360" w:lineRule="auto"/>
        <w:jc w:val="both"/>
      </w:pPr>
      <w:r w:rsidRPr="00A94485">
        <w:t>e’ is the number of em</w:t>
      </w:r>
      <w:r w:rsidR="00A94485">
        <w:t xml:space="preserve">ployees in the </w:t>
      </w:r>
      <w:proofErr w:type="spellStart"/>
      <w:r w:rsidR="00A94485">
        <w:t>i</w:t>
      </w:r>
      <w:r w:rsidRPr="00A94485">
        <w:t>th</w:t>
      </w:r>
      <w:proofErr w:type="spellEnd"/>
      <w:r w:rsidRPr="00A94485">
        <w:t xml:space="preserve"> occupational category of the particular block;</w:t>
      </w:r>
    </w:p>
    <w:p w14:paraId="6C4F9D01" w14:textId="77777777" w:rsidR="00A40E6F" w:rsidRPr="00A94485" w:rsidRDefault="00A40E6F" w:rsidP="00A94485">
      <w:pPr>
        <w:pStyle w:val="NormalWeb"/>
        <w:spacing w:before="0" w:beforeAutospacing="0" w:after="0" w:afterAutospacing="0" w:line="360" w:lineRule="auto"/>
        <w:jc w:val="both"/>
      </w:pPr>
      <w:r w:rsidRPr="00A94485">
        <w:t>e is the total number of workers in the particular block;</w:t>
      </w:r>
    </w:p>
    <w:p w14:paraId="454725E6" w14:textId="77777777" w:rsidR="00A40E6F" w:rsidRPr="00A94485" w:rsidRDefault="00A40E6F" w:rsidP="00A94485">
      <w:pPr>
        <w:pStyle w:val="NormalWeb"/>
        <w:spacing w:before="0" w:beforeAutospacing="0" w:after="0" w:afterAutospacing="0" w:line="360" w:lineRule="auto"/>
        <w:jc w:val="both"/>
      </w:pPr>
      <w:r w:rsidRPr="00A94485">
        <w:t>E’ is t</w:t>
      </w:r>
      <w:r w:rsidR="00A94485">
        <w:t xml:space="preserve">he number of employees in the </w:t>
      </w:r>
      <w:proofErr w:type="spellStart"/>
      <w:r w:rsidR="00A94485">
        <w:t>i</w:t>
      </w:r>
      <w:r w:rsidRPr="00A94485">
        <w:t>th</w:t>
      </w:r>
      <w:proofErr w:type="spellEnd"/>
      <w:r w:rsidRPr="00A94485">
        <w:t xml:space="preserve"> occupational category in the particular district; and</w:t>
      </w:r>
    </w:p>
    <w:p w14:paraId="5585D02E" w14:textId="77777777" w:rsidR="00A40E6F" w:rsidRPr="00A94485" w:rsidRDefault="00A40E6F" w:rsidP="00A94485">
      <w:pPr>
        <w:pStyle w:val="NormalWeb"/>
        <w:spacing w:before="0" w:beforeAutospacing="0" w:after="0" w:afterAutospacing="0" w:line="360" w:lineRule="auto"/>
        <w:jc w:val="both"/>
      </w:pPr>
      <w:r w:rsidRPr="00A94485">
        <w:t>E is the total number of workers in the particular district.</w:t>
      </w:r>
    </w:p>
    <w:p w14:paraId="09905692" w14:textId="77777777" w:rsidR="00A40E6F" w:rsidRPr="00A94485" w:rsidRDefault="00A40E6F" w:rsidP="00A94485">
      <w:pPr>
        <w:pStyle w:val="NormalWeb"/>
        <w:spacing w:before="0" w:beforeAutospacing="0" w:after="0" w:afterAutospacing="0" w:line="360" w:lineRule="auto"/>
        <w:ind w:firstLine="720"/>
        <w:jc w:val="both"/>
      </w:pPr>
      <w:r w:rsidRPr="00A94485">
        <w:t>Location Quotient assumes values between less than 1 and more than 1 and implies specialization at different degrees. When LQ is more than 1, it means that the block is specialized in the activity. If LQ is equal to 1, it implies that the share of the activity in the particular block coincides with the share of the activity in the particular district. When LQ is less than 1, it means that the particular block has low specialization in the activity.</w:t>
      </w:r>
    </w:p>
    <w:p w14:paraId="0155DB10" w14:textId="77777777" w:rsidR="00A40E6F" w:rsidRPr="00A94485" w:rsidRDefault="00A40E6F" w:rsidP="00A94485">
      <w:pPr>
        <w:pStyle w:val="NormalWeb"/>
        <w:spacing w:before="0" w:beforeAutospacing="0" w:after="0" w:afterAutospacing="0" w:line="360" w:lineRule="auto"/>
        <w:ind w:firstLine="720"/>
        <w:jc w:val="both"/>
      </w:pPr>
    </w:p>
    <w:p w14:paraId="55C194E1" w14:textId="77777777" w:rsidR="00E10F98" w:rsidRPr="00A94485" w:rsidRDefault="00E10F98" w:rsidP="00A94485">
      <w:pPr>
        <w:pStyle w:val="BodyText"/>
        <w:tabs>
          <w:tab w:val="left" w:pos="900"/>
          <w:tab w:val="left" w:pos="1620"/>
          <w:tab w:val="left" w:pos="2160"/>
        </w:tabs>
        <w:spacing w:line="360" w:lineRule="auto"/>
        <w:rPr>
          <w:b/>
          <w:bCs/>
          <w:sz w:val="24"/>
        </w:rPr>
      </w:pPr>
      <w:r w:rsidRPr="00A94485">
        <w:rPr>
          <w:b/>
          <w:bCs/>
          <w:sz w:val="24"/>
        </w:rPr>
        <w:t>STUDY AREA</w:t>
      </w:r>
    </w:p>
    <w:p w14:paraId="7E79720C" w14:textId="77777777" w:rsidR="000273B5" w:rsidRPr="00A94485" w:rsidRDefault="00E10F98" w:rsidP="00A94485">
      <w:pPr>
        <w:pStyle w:val="BodyText"/>
        <w:tabs>
          <w:tab w:val="left" w:pos="720"/>
        </w:tabs>
        <w:spacing w:line="360" w:lineRule="auto"/>
        <w:rPr>
          <w:sz w:val="24"/>
        </w:rPr>
      </w:pPr>
      <w:r w:rsidRPr="00A94485">
        <w:rPr>
          <w:b/>
          <w:bCs/>
          <w:sz w:val="24"/>
        </w:rPr>
        <w:tab/>
      </w:r>
      <w:r w:rsidR="00FE56FF" w:rsidRPr="00FE56FF">
        <w:rPr>
          <w:sz w:val="24"/>
        </w:rPr>
        <w:t xml:space="preserve">Mathura district, which is the location for this study, is found in the western part of Uttar Pradesh. It is found within the parallels of latitude 27o14’ north to 27o58’ north and longitude 77o17’ east to 77o58’ east occupying an area of 3340 sq. km. (Fig. 1). It borders Haryana state and Aligarh district in the north, Agra district in the south, </w:t>
      </w:r>
      <w:proofErr w:type="spellStart"/>
      <w:r w:rsidR="00FE56FF" w:rsidRPr="00FE56FF">
        <w:rPr>
          <w:sz w:val="24"/>
        </w:rPr>
        <w:t>Hathras</w:t>
      </w:r>
      <w:proofErr w:type="spellEnd"/>
      <w:r w:rsidR="00FE56FF" w:rsidRPr="00FE56FF">
        <w:rPr>
          <w:sz w:val="24"/>
        </w:rPr>
        <w:t xml:space="preserve"> district in the east and state of Rajasthan in the west. Five tehsils have been identified in the district; they are </w:t>
      </w:r>
      <w:proofErr w:type="spellStart"/>
      <w:r w:rsidR="00FE56FF" w:rsidRPr="00FE56FF">
        <w:rPr>
          <w:sz w:val="24"/>
        </w:rPr>
        <w:t>Chhata</w:t>
      </w:r>
      <w:proofErr w:type="spellEnd"/>
      <w:r w:rsidR="00FE56FF" w:rsidRPr="00FE56FF">
        <w:rPr>
          <w:sz w:val="24"/>
        </w:rPr>
        <w:t xml:space="preserve">, Mathura </w:t>
      </w:r>
      <w:proofErr w:type="spellStart"/>
      <w:r w:rsidR="00FE56FF" w:rsidRPr="00FE56FF">
        <w:rPr>
          <w:sz w:val="24"/>
        </w:rPr>
        <w:t>Mahavan</w:t>
      </w:r>
      <w:proofErr w:type="spellEnd"/>
      <w:r w:rsidR="00FE56FF" w:rsidRPr="00FE56FF">
        <w:rPr>
          <w:sz w:val="24"/>
        </w:rPr>
        <w:t xml:space="preserve">, </w:t>
      </w:r>
      <w:proofErr w:type="spellStart"/>
      <w:r w:rsidR="00FE56FF" w:rsidRPr="00FE56FF">
        <w:rPr>
          <w:sz w:val="24"/>
        </w:rPr>
        <w:t>Goverdhan</w:t>
      </w:r>
      <w:proofErr w:type="spellEnd"/>
      <w:r w:rsidR="00FE56FF" w:rsidRPr="00FE56FF">
        <w:rPr>
          <w:sz w:val="24"/>
        </w:rPr>
        <w:t xml:space="preserve"> and </w:t>
      </w:r>
      <w:proofErr w:type="spellStart"/>
      <w:r w:rsidR="00FE56FF" w:rsidRPr="00FE56FF">
        <w:rPr>
          <w:sz w:val="24"/>
        </w:rPr>
        <w:t>Mant</w:t>
      </w:r>
      <w:proofErr w:type="spellEnd"/>
      <w:r w:rsidR="00FE56FF" w:rsidRPr="00FE56FF">
        <w:rPr>
          <w:sz w:val="24"/>
        </w:rPr>
        <w:t xml:space="preserve">. Each tehsil is further sub-divided into ten blocks: </w:t>
      </w:r>
      <w:proofErr w:type="spellStart"/>
      <w:r w:rsidR="00FE56FF" w:rsidRPr="00FE56FF">
        <w:rPr>
          <w:sz w:val="24"/>
        </w:rPr>
        <w:t>Nandgaon</w:t>
      </w:r>
      <w:proofErr w:type="spellEnd"/>
      <w:r w:rsidR="00FE56FF" w:rsidRPr="00FE56FF">
        <w:rPr>
          <w:sz w:val="24"/>
        </w:rPr>
        <w:t xml:space="preserve">, </w:t>
      </w:r>
      <w:proofErr w:type="spellStart"/>
      <w:r w:rsidR="00FE56FF" w:rsidRPr="00FE56FF">
        <w:rPr>
          <w:sz w:val="24"/>
        </w:rPr>
        <w:t>Chhata</w:t>
      </w:r>
      <w:proofErr w:type="spellEnd"/>
      <w:r w:rsidR="00FE56FF" w:rsidRPr="00FE56FF">
        <w:rPr>
          <w:sz w:val="24"/>
        </w:rPr>
        <w:t xml:space="preserve">, </w:t>
      </w:r>
      <w:proofErr w:type="spellStart"/>
      <w:r w:rsidR="00FE56FF" w:rsidRPr="00FE56FF">
        <w:rPr>
          <w:sz w:val="24"/>
        </w:rPr>
        <w:t>Chaumha</w:t>
      </w:r>
      <w:proofErr w:type="spellEnd"/>
      <w:r w:rsidR="00FE56FF" w:rsidRPr="00FE56FF">
        <w:rPr>
          <w:sz w:val="24"/>
        </w:rPr>
        <w:t xml:space="preserve">, </w:t>
      </w:r>
      <w:proofErr w:type="spellStart"/>
      <w:r w:rsidR="00FE56FF" w:rsidRPr="00FE56FF">
        <w:rPr>
          <w:sz w:val="24"/>
        </w:rPr>
        <w:t>Goverdhan</w:t>
      </w:r>
      <w:proofErr w:type="spellEnd"/>
      <w:r w:rsidR="00FE56FF" w:rsidRPr="00FE56FF">
        <w:rPr>
          <w:sz w:val="24"/>
        </w:rPr>
        <w:t xml:space="preserve">, Mathura, Farah, Baldeo, </w:t>
      </w:r>
      <w:proofErr w:type="spellStart"/>
      <w:r w:rsidR="00FE56FF" w:rsidRPr="00FE56FF">
        <w:rPr>
          <w:sz w:val="24"/>
        </w:rPr>
        <w:t>Mant</w:t>
      </w:r>
      <w:proofErr w:type="spellEnd"/>
      <w:r w:rsidR="00FE56FF" w:rsidRPr="00FE56FF">
        <w:rPr>
          <w:sz w:val="24"/>
        </w:rPr>
        <w:t xml:space="preserve">, </w:t>
      </w:r>
      <w:proofErr w:type="spellStart"/>
      <w:r w:rsidR="00FE56FF" w:rsidRPr="00FE56FF">
        <w:rPr>
          <w:sz w:val="24"/>
        </w:rPr>
        <w:t>Nohjheel</w:t>
      </w:r>
      <w:proofErr w:type="spellEnd"/>
      <w:r w:rsidR="00FE56FF" w:rsidRPr="00FE56FF">
        <w:rPr>
          <w:sz w:val="24"/>
        </w:rPr>
        <w:t xml:space="preserve"> and Raya. In terms of its physical features, Mathura district is part of the Indo-Gangetic plain and has flat plain and fertile soils. It occupies the drainage basin of River Yamuna, which flows in the middle of the district from north to south direction.</w:t>
      </w:r>
      <w:r w:rsidR="00FE56FF">
        <w:rPr>
          <w:sz w:val="24"/>
        </w:rPr>
        <w:t xml:space="preserve"> </w:t>
      </w:r>
      <w:r w:rsidRPr="00A94485">
        <w:rPr>
          <w:sz w:val="24"/>
        </w:rPr>
        <w:t xml:space="preserve">Total population of Mathura is 2.55 million out of which 53.67 % are males and 46.33 % are females according to the latest Census (2011). Total literacy rate in district is 70.36 % which </w:t>
      </w:r>
      <w:r w:rsidRPr="00A94485">
        <w:rPr>
          <w:sz w:val="24"/>
        </w:rPr>
        <w:lastRenderedPageBreak/>
        <w:t xml:space="preserve">is below than the national average of 74.04 % (2011), and male literacy rate 81.97 % and literacy rate among female is 56.89%. According to the 2011 Census data for Mathura district in Uttar Pradesh, the total number of workers was 840,939, comprising 635,142 male workers and 205,797 female workers. </w:t>
      </w:r>
      <w:r w:rsidR="000273B5" w:rsidRPr="00A94485">
        <w:rPr>
          <w:sz w:val="24"/>
        </w:rPr>
        <w:t>This forms 33.01% of the total po</w:t>
      </w:r>
      <w:r w:rsidR="00A94485">
        <w:rPr>
          <w:sz w:val="24"/>
        </w:rPr>
        <w:t xml:space="preserve">pulation in the district, which </w:t>
      </w:r>
      <w:r w:rsidR="00A94485" w:rsidRPr="00A94485">
        <w:rPr>
          <w:sz w:val="24"/>
        </w:rPr>
        <w:t>are</w:t>
      </w:r>
      <w:r w:rsidR="000273B5" w:rsidRPr="00A94485">
        <w:rPr>
          <w:sz w:val="24"/>
        </w:rPr>
        <w:t xml:space="preserve"> 2,547,184. Among the total number of workers, 75.54% were males, while 24.46% were females. There was a great disparity between male and female workers. In this category, the main workers accounted for 70.7%, and the marginal workers formed 29.3%. The area economically wise is quite advanced due to efficient agricultural practices and industries. It is also developed as far as tourism is concerned.</w:t>
      </w:r>
    </w:p>
    <w:p w14:paraId="14193AC3" w14:textId="77777777" w:rsidR="000273B5" w:rsidRPr="00A94485" w:rsidRDefault="000273B5" w:rsidP="00A94485">
      <w:pPr>
        <w:pStyle w:val="BodyText"/>
        <w:tabs>
          <w:tab w:val="left" w:pos="720"/>
        </w:tabs>
        <w:spacing w:line="360" w:lineRule="auto"/>
        <w:rPr>
          <w:b/>
          <w:bCs/>
          <w:sz w:val="24"/>
        </w:rPr>
      </w:pPr>
      <w:r w:rsidRPr="00A94485">
        <w:rPr>
          <w:b/>
          <w:bCs/>
          <w:sz w:val="24"/>
        </w:rPr>
        <w:t xml:space="preserve">Results </w:t>
      </w:r>
      <w:r w:rsidR="002107CB">
        <w:rPr>
          <w:b/>
          <w:bCs/>
          <w:sz w:val="24"/>
        </w:rPr>
        <w:t>and</w:t>
      </w:r>
      <w:r w:rsidRPr="00A94485">
        <w:rPr>
          <w:b/>
          <w:bCs/>
          <w:sz w:val="24"/>
        </w:rPr>
        <w:t xml:space="preserve"> Discussion</w:t>
      </w:r>
    </w:p>
    <w:p w14:paraId="26EFFCD2" w14:textId="77777777" w:rsidR="000273B5" w:rsidRPr="00A94485" w:rsidRDefault="00A94485" w:rsidP="00A94485">
      <w:pPr>
        <w:pStyle w:val="BodyText"/>
        <w:tabs>
          <w:tab w:val="left" w:pos="720"/>
        </w:tabs>
        <w:spacing w:line="360" w:lineRule="auto"/>
        <w:rPr>
          <w:sz w:val="24"/>
        </w:rPr>
      </w:pPr>
      <w:r>
        <w:rPr>
          <w:sz w:val="24"/>
        </w:rPr>
        <w:tab/>
      </w:r>
      <w:r w:rsidR="000273B5" w:rsidRPr="00A94485">
        <w:rPr>
          <w:sz w:val="24"/>
        </w:rPr>
        <w:t>The paragraphs below describe the changes that occur in work participation rates, occupation structure, and specialization within the various occupational categories in the district blocks.</w:t>
      </w:r>
    </w:p>
    <w:p w14:paraId="5FC2BDAF" w14:textId="77777777" w:rsidR="000273B5" w:rsidRPr="00A94485" w:rsidRDefault="000273B5" w:rsidP="00A94485">
      <w:pPr>
        <w:pStyle w:val="BodyText"/>
        <w:tabs>
          <w:tab w:val="left" w:pos="720"/>
        </w:tabs>
        <w:spacing w:line="360" w:lineRule="auto"/>
        <w:rPr>
          <w:sz w:val="24"/>
        </w:rPr>
      </w:pPr>
      <w:r w:rsidRPr="00A94485">
        <w:rPr>
          <w:sz w:val="24"/>
        </w:rPr>
        <w:t>Work participation rate</w:t>
      </w:r>
    </w:p>
    <w:p w14:paraId="4CF3C1A8" w14:textId="77777777" w:rsidR="000273B5" w:rsidRPr="00A94485" w:rsidRDefault="000273B5" w:rsidP="00A94485">
      <w:pPr>
        <w:pStyle w:val="NormalWeb"/>
        <w:spacing w:before="0" w:beforeAutospacing="0" w:after="0" w:afterAutospacing="0" w:line="360" w:lineRule="auto"/>
        <w:ind w:firstLine="720"/>
        <w:jc w:val="both"/>
      </w:pPr>
      <w:r w:rsidRPr="00A94485">
        <w:t>According to the census done in 2011, there is a fairly low work participation rate within the district under study, especially when compared to the average participation rate of the state, which is 32.93%, and that of the nation, which is 39.80%. This shows that there are fewer people who are actively working in order to meet their basic requirements. One of the major characteristics in the above work participation rate is the great disparity in participation rates in relation to gender. Although females constitute nearly half of the total population, their work participation rate is only 22.13%, which is substantially lower than that of males at 42.07% (Table.1).</w:t>
      </w:r>
    </w:p>
    <w:p w14:paraId="3E593721" w14:textId="77777777" w:rsidR="000273B5" w:rsidRPr="00A94485" w:rsidRDefault="000273B5" w:rsidP="00A94485">
      <w:pPr>
        <w:pStyle w:val="NormalWeb"/>
        <w:spacing w:before="0" w:beforeAutospacing="0" w:after="0" w:afterAutospacing="0" w:line="360" w:lineRule="auto"/>
        <w:ind w:firstLine="720"/>
        <w:jc w:val="both"/>
      </w:pPr>
      <w:r w:rsidRPr="00A94485">
        <w:t>The occupational pattern of the Mathura district (2011) reflects the imbalanced distribution between workers and non-workers, and there exists an enormous difference between men and women in terms of occupation. In the entire district, 34.36% of the people were found to be workers, while the number of people belonging to the non-workers category was 65.64%. Among the two categories of workers, i.e., main and marginal, the first one comprised 23.12% of the total population, followed by marginal workers who contributed 11.24% (Fig. 2).</w:t>
      </w:r>
    </w:p>
    <w:p w14:paraId="7FA4B271" w14:textId="77777777" w:rsidR="000273B5" w:rsidRPr="00A94485" w:rsidRDefault="000273B5" w:rsidP="00A94485">
      <w:pPr>
        <w:pStyle w:val="NormalWeb"/>
        <w:spacing w:before="0" w:beforeAutospacing="0" w:after="0" w:afterAutospacing="0" w:line="360" w:lineRule="auto"/>
        <w:ind w:firstLine="720"/>
        <w:jc w:val="both"/>
      </w:pPr>
      <w:r w:rsidRPr="00A94485">
        <w:t xml:space="preserve">One interesting point that can be observed in the table is the extreme gap between male participation and female participation in the work sector. The former is high for all the blocks, i.e., around 45–47%, while the latter is lower in comparison to the former, being mostly below 25%. For example, the total number of female workers in </w:t>
      </w:r>
      <w:proofErr w:type="spellStart"/>
      <w:r w:rsidRPr="00A94485">
        <w:t>Chaumuha</w:t>
      </w:r>
      <w:proofErr w:type="spellEnd"/>
      <w:r w:rsidRPr="00A94485">
        <w:t xml:space="preserve"> was 32.29%, while it was 12.77% for Mathura block, due to the influence of cities in the region and lack of involvement of women in economic activities. Likewise, the percentage of </w:t>
      </w:r>
      <w:r w:rsidRPr="00A94485">
        <w:lastRenderedPageBreak/>
        <w:t>females falling in the non-worker category was very high, e.g., more than 80% in Raya, Govardhan, and Mathura (Fig. 3).</w:t>
      </w:r>
    </w:p>
    <w:p w14:paraId="6C5EA7DD" w14:textId="77777777" w:rsidR="000273B5" w:rsidRPr="00A94485" w:rsidRDefault="000273B5" w:rsidP="00A94485">
      <w:pPr>
        <w:pStyle w:val="NormalWeb"/>
        <w:spacing w:before="0" w:beforeAutospacing="0" w:after="0" w:afterAutospacing="0" w:line="360" w:lineRule="auto"/>
        <w:ind w:firstLine="720"/>
        <w:jc w:val="both"/>
      </w:pPr>
      <w:r w:rsidRPr="00A94485">
        <w:t xml:space="preserve">Spatial variations are also observable among blocks. The blocks of </w:t>
      </w:r>
      <w:proofErr w:type="spellStart"/>
      <w:r w:rsidRPr="00A94485">
        <w:t>Chaumuha</w:t>
      </w:r>
      <w:proofErr w:type="spellEnd"/>
      <w:r w:rsidRPr="00A94485">
        <w:t xml:space="preserve"> (40.56%) and </w:t>
      </w:r>
      <w:proofErr w:type="spellStart"/>
      <w:r w:rsidRPr="00A94485">
        <w:t>Nandgaon</w:t>
      </w:r>
      <w:proofErr w:type="spellEnd"/>
      <w:r w:rsidRPr="00A94485">
        <w:t xml:space="preserve"> (36.44%) have relatively more worker participation than Mathura (30.14%) and Farah (31.40%). The presence of marginal workers is relatively high in blocks such as Mat (13.70%) and Baldeo (13.02%), reflecting the use of seasonal labor due to possible agricultural activities.</w:t>
      </w:r>
    </w:p>
    <w:p w14:paraId="065AAB38" w14:textId="77777777" w:rsidR="000273B5" w:rsidRPr="00A94485" w:rsidRDefault="000273B5" w:rsidP="00A94485">
      <w:pPr>
        <w:pStyle w:val="NormalWeb"/>
        <w:spacing w:before="0" w:beforeAutospacing="0" w:after="0" w:afterAutospacing="0" w:line="360" w:lineRule="auto"/>
        <w:ind w:firstLine="720"/>
        <w:jc w:val="both"/>
      </w:pPr>
      <w:r w:rsidRPr="00A94485">
        <w:t>On the whole, the above data reveals low work participation, high dependency on male labor force, and relatively higher percentage of non-worker population, particularly females. The data suggests that some factors such as low literacy of females, socio-cultural barriers, and lack of employment options might be responsible for these occupational structures of the district.</w:t>
      </w:r>
    </w:p>
    <w:p w14:paraId="5F674667" w14:textId="77777777" w:rsidR="000273B5" w:rsidRPr="00A94485" w:rsidRDefault="000273B5" w:rsidP="00A94485">
      <w:pPr>
        <w:pStyle w:val="NormalWeb"/>
        <w:spacing w:before="0" w:beforeAutospacing="0" w:after="0" w:afterAutospacing="0" w:line="360" w:lineRule="auto"/>
        <w:jc w:val="both"/>
        <w:rPr>
          <w:b/>
          <w:bCs/>
        </w:rPr>
      </w:pPr>
      <w:r w:rsidRPr="00A94485">
        <w:rPr>
          <w:b/>
          <w:bCs/>
        </w:rPr>
        <w:t>Variations in Occupational Structure</w:t>
      </w:r>
    </w:p>
    <w:p w14:paraId="1804CD10" w14:textId="77777777" w:rsidR="000273B5" w:rsidRPr="00A94485" w:rsidRDefault="000273B5" w:rsidP="00A94485">
      <w:pPr>
        <w:pStyle w:val="NormalWeb"/>
        <w:spacing w:before="0" w:beforeAutospacing="0" w:after="0" w:afterAutospacing="0" w:line="360" w:lineRule="auto"/>
        <w:ind w:firstLine="720"/>
        <w:jc w:val="both"/>
      </w:pPr>
      <w:r w:rsidRPr="00A94485">
        <w:t>The occupational structure shows varying compos</w:t>
      </w:r>
      <w:r w:rsidR="0072562E">
        <w:t>ition across the study area (Table 2</w:t>
      </w:r>
      <w:r w:rsidRPr="00A94485">
        <w:t>).</w:t>
      </w:r>
    </w:p>
    <w:p w14:paraId="0B3BAB05" w14:textId="77777777" w:rsidR="000273B5" w:rsidRPr="00A94485" w:rsidRDefault="000273B5" w:rsidP="00A94485">
      <w:pPr>
        <w:pStyle w:val="NormalWeb"/>
        <w:spacing w:before="0" w:beforeAutospacing="0" w:after="0" w:afterAutospacing="0" w:line="360" w:lineRule="auto"/>
        <w:jc w:val="both"/>
        <w:rPr>
          <w:b/>
          <w:bCs/>
        </w:rPr>
      </w:pPr>
      <w:r w:rsidRPr="00A94485">
        <w:rPr>
          <w:b/>
          <w:bCs/>
        </w:rPr>
        <w:t>Cultivation</w:t>
      </w:r>
    </w:p>
    <w:p w14:paraId="0B1C87E1" w14:textId="77777777" w:rsidR="000273B5" w:rsidRPr="00A94485" w:rsidRDefault="000273B5" w:rsidP="00A94485">
      <w:pPr>
        <w:pStyle w:val="NormalWeb"/>
        <w:spacing w:before="0" w:beforeAutospacing="0" w:after="0" w:afterAutospacing="0" w:line="360" w:lineRule="auto"/>
        <w:ind w:firstLine="720"/>
        <w:jc w:val="both"/>
      </w:pPr>
      <w:r w:rsidRPr="00A94485">
        <w:t>The tables presented below indicate changes in the occupational structure in relation to cultivators within the Mathura district during the period 1991 to 2011, along with the Location Quotient (LQ).</w:t>
      </w:r>
    </w:p>
    <w:p w14:paraId="60958AE4" w14:textId="77777777" w:rsidR="000273B5" w:rsidRPr="00A94485" w:rsidRDefault="000273B5" w:rsidP="00A94485">
      <w:pPr>
        <w:pStyle w:val="NormalWeb"/>
        <w:spacing w:before="0" w:beforeAutospacing="0" w:after="0" w:afterAutospacing="0" w:line="360" w:lineRule="auto"/>
        <w:ind w:firstLine="720"/>
        <w:jc w:val="both"/>
      </w:pPr>
      <w:r w:rsidRPr="00A94485">
        <w:t xml:space="preserve">Another important trend identified is the consistent decrease in the proportion of farmers in almost all blocks from 1991 to 2011. For example, a notable decline can be seen in blocks such as </w:t>
      </w:r>
      <w:proofErr w:type="spellStart"/>
      <w:r w:rsidRPr="00A94485">
        <w:t>Nandgaon</w:t>
      </w:r>
      <w:proofErr w:type="spellEnd"/>
      <w:r w:rsidRPr="00A94485">
        <w:t xml:space="preserve">, which went from 64.36% in 1991 to 46.51% in 2011; Chhata, which saw a drop from 61.78% to 43.71%; and </w:t>
      </w:r>
      <w:proofErr w:type="spellStart"/>
      <w:r w:rsidRPr="00A94485">
        <w:t>Chaumuha</w:t>
      </w:r>
      <w:proofErr w:type="spellEnd"/>
      <w:r w:rsidRPr="00A94485">
        <w:t>, where the proportion fell from 66.68% to 44.12%. A similar trend can be seen in Raya and Mathura blocks, where the former dropped from 50.15% to 31.42%, and the latter declined from 51.20% to 26.61%. At the district level, there was a slight increase from 45.33% in 1991 to 49.00% in 2001</w:t>
      </w:r>
    </w:p>
    <w:p w14:paraId="63FE49F5" w14:textId="77777777" w:rsidR="000273B5" w:rsidRPr="00A94485" w:rsidRDefault="000273B5" w:rsidP="00A94485">
      <w:pPr>
        <w:pStyle w:val="NormalWeb"/>
        <w:spacing w:before="0" w:beforeAutospacing="0" w:after="0" w:afterAutospacing="0" w:line="360" w:lineRule="auto"/>
        <w:ind w:firstLine="720"/>
        <w:jc w:val="both"/>
      </w:pPr>
      <w:r w:rsidRPr="00A94485">
        <w:t>The Location Quotient (LQ) results further support this interpretation. For instance, most blocks had location quotients greater than one in 1991, meaning they had more cultivators than the district ave</w:t>
      </w:r>
      <w:r w:rsidR="001F7509">
        <w:t>rage (e.g. Govardhan,</w:t>
      </w:r>
      <w:r w:rsidR="00481844">
        <w:t>1.39, Baldeo</w:t>
      </w:r>
      <w:r w:rsidRPr="00A94485">
        <w:t xml:space="preserve"> 1.36</w:t>
      </w:r>
      <w:r w:rsidR="00481844">
        <w:t xml:space="preserve">, and </w:t>
      </w:r>
      <w:proofErr w:type="spellStart"/>
      <w:r w:rsidR="00481844">
        <w:t>Chaumuha</w:t>
      </w:r>
      <w:proofErr w:type="spellEnd"/>
      <w:r w:rsidRPr="00A94485">
        <w:t xml:space="preserve"> 1.33). By 2011, several blocks had loc</w:t>
      </w:r>
      <w:r w:rsidR="00481844">
        <w:t xml:space="preserve">ation quotients below one (Mat 0.80, Raya 0.80, Mathura </w:t>
      </w:r>
      <w:r w:rsidRPr="00A94485">
        <w:t xml:space="preserve">0.80, </w:t>
      </w:r>
      <w:r w:rsidR="00481844">
        <w:t>and Farah</w:t>
      </w:r>
      <w:r w:rsidRPr="00A94485">
        <w:t xml:space="preserve"> 0.89), implying less specialization in cultivation. The same case was observed for blocks with location quotients below one since cultivators continued decreasing in number. Nevertheless, some blocks had persistent agriculture specialization; e.g. Govardhan retained its high LQ of 1.39 in 1991 to 1.36 in 2011, indicating sustained agricultural core block (Fig</w:t>
      </w:r>
      <w:r w:rsidR="002107CB">
        <w:t>.</w:t>
      </w:r>
      <w:r w:rsidRPr="00A94485">
        <w:t xml:space="preserve"> 5). In the same period, blocks </w:t>
      </w:r>
      <w:proofErr w:type="spellStart"/>
      <w:r w:rsidRPr="00A94485">
        <w:t>Nandgaon</w:t>
      </w:r>
      <w:proofErr w:type="spellEnd"/>
      <w:r w:rsidRPr="00A94485">
        <w:t xml:space="preserve"> and </w:t>
      </w:r>
      <w:proofErr w:type="spellStart"/>
      <w:r w:rsidRPr="00A94485">
        <w:t>Chhata</w:t>
      </w:r>
      <w:proofErr w:type="spellEnd"/>
      <w:r w:rsidRPr="00A94485">
        <w:t xml:space="preserve"> retained their LQ above one.</w:t>
      </w:r>
    </w:p>
    <w:p w14:paraId="2D6822E2" w14:textId="77777777" w:rsidR="000273B5" w:rsidRPr="00A94485" w:rsidRDefault="000273B5" w:rsidP="002107CB">
      <w:pPr>
        <w:pStyle w:val="NormalWeb"/>
        <w:spacing w:before="0" w:beforeAutospacing="0" w:after="0" w:afterAutospacing="0" w:line="360" w:lineRule="auto"/>
        <w:ind w:firstLine="720"/>
        <w:jc w:val="both"/>
      </w:pPr>
      <w:r w:rsidRPr="00A94485">
        <w:lastRenderedPageBreak/>
        <w:t>One other interesting observation is that there is spatial variation in occupation change. Those blocks near urban centers experience quicker decreases in cultivators, hence lower LQs. In contrast, relatively rural blocks maintain a higher reliance on agriculture.</w:t>
      </w:r>
      <w:r w:rsidR="002107CB">
        <w:t xml:space="preserve"> </w:t>
      </w:r>
      <w:r w:rsidRPr="00A94485">
        <w:t>On the whole, the findings show how there has been a gradual evolution of the economy of the district, with decreased reliance on farming activities and greater diversification of livelihood options. With regard to the LQ data, it becomes quite evident that even though some blocks remain agriculturally specialized, most other areas of the district have started shifting towards non-agriculture occupations.</w:t>
      </w:r>
    </w:p>
    <w:p w14:paraId="0F0EFAA4" w14:textId="77777777" w:rsidR="000273B5" w:rsidRPr="00A94485" w:rsidRDefault="000273B5" w:rsidP="00A94485">
      <w:pPr>
        <w:pStyle w:val="NormalWeb"/>
        <w:spacing w:before="0" w:beforeAutospacing="0" w:after="0" w:afterAutospacing="0" w:line="360" w:lineRule="auto"/>
        <w:jc w:val="both"/>
        <w:rPr>
          <w:b/>
          <w:bCs/>
        </w:rPr>
      </w:pPr>
      <w:r w:rsidRPr="00A94485">
        <w:rPr>
          <w:b/>
          <w:bCs/>
        </w:rPr>
        <w:t xml:space="preserve">Agricultural </w:t>
      </w:r>
      <w:proofErr w:type="spellStart"/>
      <w:r w:rsidRPr="00A94485">
        <w:rPr>
          <w:b/>
          <w:bCs/>
        </w:rPr>
        <w:t>Labour</w:t>
      </w:r>
      <w:proofErr w:type="spellEnd"/>
      <w:r w:rsidRPr="00A94485">
        <w:rPr>
          <w:b/>
          <w:bCs/>
        </w:rPr>
        <w:t xml:space="preserve"> </w:t>
      </w:r>
    </w:p>
    <w:p w14:paraId="4CB22471" w14:textId="77777777" w:rsidR="000273B5" w:rsidRPr="00A94485" w:rsidRDefault="000273B5" w:rsidP="00A94485">
      <w:pPr>
        <w:pStyle w:val="NormalWeb"/>
        <w:spacing w:before="0" w:beforeAutospacing="0" w:after="0" w:afterAutospacing="0" w:line="360" w:lineRule="auto"/>
        <w:ind w:firstLine="720"/>
        <w:jc w:val="both"/>
      </w:pPr>
      <w:r w:rsidRPr="00A94485">
        <w:t>From an examination of the data, it becomes apparent that there has been substantial evolution of the employment profile of agricultural labor in the Mathura district during the period under consideration. In terms of percentage share, the data shows an overall rise in the share of agricultural labor from 18.95 percent in 1991 to 21.30 percent in 2001, followed by further growth to 26.99 percent in 2011. The rising trend is indicative of increasing landlessness and subdivisions of land, thereby leading to agricultural wage labor.</w:t>
      </w:r>
    </w:p>
    <w:p w14:paraId="692CEC19" w14:textId="77777777" w:rsidR="00A92975" w:rsidRPr="00A94485" w:rsidRDefault="00A92975" w:rsidP="00A94485">
      <w:pPr>
        <w:pStyle w:val="NormalWeb"/>
        <w:spacing w:before="0" w:beforeAutospacing="0" w:after="0" w:afterAutospacing="0" w:line="360" w:lineRule="auto"/>
        <w:ind w:firstLine="720"/>
        <w:jc w:val="both"/>
      </w:pPr>
      <w:r w:rsidRPr="00A94485">
        <w:t xml:space="preserve">Spatial variation exists at the block-level too. There are blocks like Mat, Raya, </w:t>
      </w:r>
      <w:proofErr w:type="spellStart"/>
      <w:r w:rsidRPr="00A94485">
        <w:t>Nohjhil</w:t>
      </w:r>
      <w:proofErr w:type="spellEnd"/>
      <w:r w:rsidRPr="00A94485">
        <w:t xml:space="preserve">, and Baldeo that demonstrate a steady rise in agricultural laborers in the past three decades. For example, there is an outstanding rise from 21.00% in 1991 to 39.06% in 2011 for Baldeo, which implies severe agricultural pressure on its residents. It can even cause marginalization of farmers living in Baldeo village. Likewise, Mat and </w:t>
      </w:r>
      <w:proofErr w:type="spellStart"/>
      <w:r w:rsidRPr="00A94485">
        <w:t>Nohjhil</w:t>
      </w:r>
      <w:proofErr w:type="spellEnd"/>
      <w:r w:rsidRPr="00A94485">
        <w:t xml:space="preserve"> are also rising above district average in terms of agricultural workers in 2011, which can be associated with dependency on farm-based income. At the same time, the percentage of agricultural laborers is declining in Mathura block, from 28.01% to 17.79%.</w:t>
      </w:r>
    </w:p>
    <w:p w14:paraId="7B6A6E3E" w14:textId="77777777" w:rsidR="00A92975" w:rsidRPr="00A94485" w:rsidRDefault="00A92975" w:rsidP="00A94485">
      <w:pPr>
        <w:pStyle w:val="NormalWeb"/>
        <w:spacing w:before="0" w:beforeAutospacing="0" w:after="0" w:afterAutospacing="0" w:line="360" w:lineRule="auto"/>
        <w:ind w:firstLine="720"/>
        <w:jc w:val="both"/>
      </w:pPr>
      <w:r w:rsidRPr="00A94485">
        <w:t xml:space="preserve">The further validation of the above interpretation is made possible through the Location Quotient (LQ) analysis where the distribution of agricultural </w:t>
      </w:r>
      <w:proofErr w:type="spellStart"/>
      <w:r w:rsidRPr="00A94485">
        <w:t>labourers</w:t>
      </w:r>
      <w:proofErr w:type="spellEnd"/>
      <w:r w:rsidRPr="00A94485">
        <w:t xml:space="preserve"> compared with the district average is examined (Fig. 6). The LQ analysis reveals that Baldeo (1.51 in 2011), Mat (1.19), and Raya (1.05) are examples of the blocks having LQ values more than 1 showing high degree of specialization for agricultural </w:t>
      </w:r>
      <w:proofErr w:type="spellStart"/>
      <w:r w:rsidRPr="00A94485">
        <w:t>labour</w:t>
      </w:r>
      <w:proofErr w:type="spellEnd"/>
      <w:r w:rsidRPr="00A94485">
        <w:t xml:space="preserve"> while other blocks such as </w:t>
      </w:r>
      <w:proofErr w:type="spellStart"/>
      <w:r w:rsidRPr="00A94485">
        <w:t>Nandgaon</w:t>
      </w:r>
      <w:proofErr w:type="spellEnd"/>
      <w:r w:rsidRPr="00A94485">
        <w:t xml:space="preserve"> (0.82), </w:t>
      </w:r>
      <w:proofErr w:type="spellStart"/>
      <w:r w:rsidRPr="00A94485">
        <w:t>Chaumuha</w:t>
      </w:r>
      <w:proofErr w:type="spellEnd"/>
      <w:r w:rsidRPr="00A94485">
        <w:t xml:space="preserve"> (0.78), and Mathura (0.72) have LQ values less than 1 representing their lesser specialization for agricultural </w:t>
      </w:r>
      <w:proofErr w:type="spellStart"/>
      <w:r w:rsidRPr="00A94485">
        <w:t>labour</w:t>
      </w:r>
      <w:proofErr w:type="spellEnd"/>
      <w:r w:rsidRPr="00A94485">
        <w:t>.</w:t>
      </w:r>
    </w:p>
    <w:p w14:paraId="3D1447B2" w14:textId="77777777" w:rsidR="00A92975" w:rsidRPr="00A94485" w:rsidRDefault="00A92975" w:rsidP="002107CB">
      <w:pPr>
        <w:pStyle w:val="NormalWeb"/>
        <w:spacing w:before="0" w:beforeAutospacing="0" w:after="0" w:afterAutospacing="0" w:line="360" w:lineRule="auto"/>
        <w:ind w:firstLine="720"/>
        <w:jc w:val="both"/>
      </w:pPr>
      <w:r w:rsidRPr="00A94485">
        <w:t>Further, Baldeo represents one such example whose LQ value shows</w:t>
      </w:r>
      <w:r w:rsidR="002107CB">
        <w:t xml:space="preserve"> consistent growth from 1.16 (</w:t>
      </w:r>
      <w:r w:rsidRPr="00A94485">
        <w:t xml:space="preserve">1991) to 1.51 (2011). It therefore stands out as a core of agriculture </w:t>
      </w:r>
      <w:proofErr w:type="spellStart"/>
      <w:r w:rsidRPr="00A94485">
        <w:t>labourer</w:t>
      </w:r>
      <w:proofErr w:type="spellEnd"/>
      <w:r w:rsidRPr="00A94485">
        <w:t xml:space="preserve"> concentration. The general trend in Mathura District appears to be gradual transformation from the economy dominated by cultivators to an economy based upon agricultural </w:t>
      </w:r>
      <w:proofErr w:type="spellStart"/>
      <w:r w:rsidRPr="00A94485">
        <w:t>labour</w:t>
      </w:r>
      <w:proofErr w:type="spellEnd"/>
      <w:r w:rsidRPr="00A94485">
        <w:t>.</w:t>
      </w:r>
    </w:p>
    <w:p w14:paraId="4E0F4537" w14:textId="77777777" w:rsidR="005534E6" w:rsidRPr="00A94485" w:rsidRDefault="005534E6" w:rsidP="00A94485">
      <w:pPr>
        <w:pStyle w:val="NormalWeb"/>
        <w:spacing w:before="0" w:beforeAutospacing="0" w:after="0" w:afterAutospacing="0" w:line="360" w:lineRule="auto"/>
        <w:jc w:val="both"/>
        <w:rPr>
          <w:b/>
          <w:bCs/>
        </w:rPr>
      </w:pPr>
      <w:r w:rsidRPr="00A94485">
        <w:rPr>
          <w:b/>
          <w:bCs/>
        </w:rPr>
        <w:t>Household Industries</w:t>
      </w:r>
    </w:p>
    <w:p w14:paraId="3ADF28BF" w14:textId="77777777" w:rsidR="005534E6" w:rsidRPr="00A94485" w:rsidRDefault="005534E6" w:rsidP="00A94485">
      <w:pPr>
        <w:pStyle w:val="NormalWeb"/>
        <w:spacing w:before="0" w:beforeAutospacing="0" w:after="0" w:afterAutospacing="0" w:line="360" w:lineRule="auto"/>
        <w:ind w:firstLine="720"/>
        <w:jc w:val="both"/>
      </w:pPr>
      <w:r w:rsidRPr="00A94485">
        <w:lastRenderedPageBreak/>
        <w:t>The above figures depict the changing composition of household industry workers in the Mathura district during the three censuses (1991, 2001, 2011). In general, it is clear that there has been an increase in the percentage of household industry workers in the Mathura district with a rise from 2.35% in 1991 to 5.23% in 2011, which suggests diversification in rural occupation outside agriculture. This indicates the development of household-based small scale economic activity like handicraft industries, food processing, etc. which helps to provide employment opportunities.</w:t>
      </w:r>
    </w:p>
    <w:p w14:paraId="1E2AF218" w14:textId="77777777" w:rsidR="005534E6" w:rsidRPr="00A94485" w:rsidRDefault="005534E6" w:rsidP="00A94485">
      <w:pPr>
        <w:pStyle w:val="NormalWeb"/>
        <w:spacing w:before="0" w:beforeAutospacing="0" w:after="0" w:afterAutospacing="0" w:line="360" w:lineRule="auto"/>
        <w:ind w:firstLine="720"/>
        <w:jc w:val="both"/>
      </w:pPr>
      <w:r w:rsidRPr="00A94485">
        <w:t xml:space="preserve">On the block-wise basis, the major upward trend can be observed in many blocks. The blocks that have shown maximum upward trends are Raya, Mat, and </w:t>
      </w:r>
      <w:proofErr w:type="spellStart"/>
      <w:r w:rsidRPr="00A94485">
        <w:t>Nohjhil</w:t>
      </w:r>
      <w:proofErr w:type="spellEnd"/>
      <w:r w:rsidRPr="00A94485">
        <w:t xml:space="preserve">. For example, Raya has risen significantly from 2.03% in 1991 to 8.59% in 2011 and has emerged as the highest contributing block for 2011, Mat block has grown from 1.75% in 1991 to 6.52% in 2011 and </w:t>
      </w:r>
      <w:proofErr w:type="spellStart"/>
      <w:r w:rsidRPr="00A94485">
        <w:t>Nohjhil</w:t>
      </w:r>
      <w:proofErr w:type="spellEnd"/>
      <w:r w:rsidRPr="00A94485">
        <w:t xml:space="preserve"> from 1.59% to 6.03%. It suggests that development in household industries has taken place in these blocks (Fig. 7). In contrast, blocks like Govardhan and Mathura show either irregular or less growth trends.</w:t>
      </w:r>
    </w:p>
    <w:p w14:paraId="709639DD" w14:textId="77777777" w:rsidR="005534E6" w:rsidRPr="00A94485" w:rsidRDefault="005534E6" w:rsidP="00A94485">
      <w:pPr>
        <w:pStyle w:val="NormalWeb"/>
        <w:spacing w:before="0" w:beforeAutospacing="0" w:after="0" w:afterAutospacing="0" w:line="360" w:lineRule="auto"/>
        <w:ind w:firstLine="720"/>
        <w:jc w:val="both"/>
      </w:pPr>
      <w:r w:rsidRPr="00A94485">
        <w:t xml:space="preserve">Location Quotient (LQ) analysis gives further insight into regional specialization. If the value of LQ is greater than one, it implies that the specialization level of that area exceeds the average district level. In the year 1991, only one block called Baldeo had specialization in household industries, with an LQ value of 1.04, whereas all other blocks had an LQ value less than one, which shows low levels of development of household industries in these blocks. In the years 2001 and 2011, there was a significant increase in the number of blocks whose LQ exceeded 1.0, including Raya (1.70), Mat (1.21), </w:t>
      </w:r>
      <w:proofErr w:type="spellStart"/>
      <w:r w:rsidRPr="00A94485">
        <w:t>Nohjhil</w:t>
      </w:r>
      <w:proofErr w:type="spellEnd"/>
      <w:r w:rsidRPr="00A94485">
        <w:t xml:space="preserve"> (1.17), and Baldeo (1.13).</w:t>
      </w:r>
    </w:p>
    <w:p w14:paraId="4E36C780" w14:textId="77777777" w:rsidR="005534E6" w:rsidRPr="00A94485" w:rsidRDefault="005534E6" w:rsidP="00A94485">
      <w:pPr>
        <w:pStyle w:val="NormalWeb"/>
        <w:spacing w:before="0" w:beforeAutospacing="0" w:after="0" w:afterAutospacing="0" w:line="360" w:lineRule="auto"/>
        <w:ind w:firstLine="720"/>
        <w:jc w:val="both"/>
      </w:pPr>
      <w:r w:rsidRPr="00A94485">
        <w:t xml:space="preserve">On the other hand, blocks like </w:t>
      </w:r>
      <w:proofErr w:type="spellStart"/>
      <w:r w:rsidRPr="00A94485">
        <w:t>Nandgaon</w:t>
      </w:r>
      <w:proofErr w:type="spellEnd"/>
      <w:r w:rsidRPr="00A94485">
        <w:t xml:space="preserve">, </w:t>
      </w:r>
      <w:proofErr w:type="spellStart"/>
      <w:r w:rsidRPr="00A94485">
        <w:t>Chaumuha</w:t>
      </w:r>
      <w:proofErr w:type="spellEnd"/>
      <w:r w:rsidRPr="00A94485">
        <w:t>, and Govardhan continued to show an LQ less than one, signifying their relatively weaker position in this industry. As can be seen, there is a trend of increased specialization in household industries in this district, moving from low to moderate levels. In general, the data reveals that household industries are becoming an important additional source of livelihood as the economy is gradually diversifying away from agriculture in the district of Mathura.</w:t>
      </w:r>
    </w:p>
    <w:p w14:paraId="269048DA" w14:textId="77777777" w:rsidR="005534E6" w:rsidRPr="00A94485" w:rsidRDefault="005534E6" w:rsidP="00A94485">
      <w:pPr>
        <w:pStyle w:val="NormalWeb"/>
        <w:spacing w:before="0" w:beforeAutospacing="0" w:after="0" w:afterAutospacing="0" w:line="360" w:lineRule="auto"/>
        <w:jc w:val="both"/>
        <w:rPr>
          <w:b/>
          <w:bCs/>
        </w:rPr>
      </w:pPr>
      <w:r w:rsidRPr="00A94485">
        <w:rPr>
          <w:b/>
          <w:bCs/>
        </w:rPr>
        <w:t>Other Workers</w:t>
      </w:r>
    </w:p>
    <w:p w14:paraId="08479463" w14:textId="77777777" w:rsidR="005534E6" w:rsidRPr="00A94485" w:rsidRDefault="005534E6" w:rsidP="00A94485">
      <w:pPr>
        <w:pStyle w:val="NormalWeb"/>
        <w:spacing w:before="0" w:beforeAutospacing="0" w:after="0" w:afterAutospacing="0" w:line="360" w:lineRule="auto"/>
        <w:ind w:firstLine="720"/>
        <w:jc w:val="both"/>
      </w:pPr>
      <w:r w:rsidRPr="00A94485">
        <w:t>As revealed by the above data, there has been a change in the composition of the other workers group in terms of various blocks of Mathura district from 1991 to 2011. Location Quotient has been computed to measure the level of specialization of other workers relative to that of the whole district.</w:t>
      </w:r>
    </w:p>
    <w:p w14:paraId="3D144E7D" w14:textId="77777777" w:rsidR="005534E6" w:rsidRPr="00A94485" w:rsidRDefault="005534E6" w:rsidP="00A94485">
      <w:pPr>
        <w:pStyle w:val="NormalWeb"/>
        <w:spacing w:before="0" w:beforeAutospacing="0" w:after="0" w:afterAutospacing="0" w:line="360" w:lineRule="auto"/>
        <w:ind w:firstLine="720"/>
        <w:jc w:val="both"/>
      </w:pPr>
      <w:r w:rsidRPr="00A94485">
        <w:t xml:space="preserve">The major trend seen from the above table is that the share of other workers has been consistently increasing over time. From 1991 to 2001, the share of other workers dropped in </w:t>
      </w:r>
      <w:r w:rsidRPr="00A94485">
        <w:lastRenderedPageBreak/>
        <w:t xml:space="preserve">Mathura district from 33.37 percent to 25.70 percent; however, the share once again rose to 31.20 percent in 2011. </w:t>
      </w:r>
    </w:p>
    <w:p w14:paraId="4F13F7E9" w14:textId="77777777" w:rsidR="005534E6" w:rsidRPr="00A94485" w:rsidRDefault="005534E6" w:rsidP="00A94485">
      <w:pPr>
        <w:pStyle w:val="NormalWeb"/>
        <w:spacing w:before="0" w:beforeAutospacing="0" w:after="0" w:afterAutospacing="0" w:line="360" w:lineRule="auto"/>
        <w:ind w:firstLine="720"/>
        <w:jc w:val="both"/>
      </w:pPr>
      <w:r w:rsidRPr="00A94485">
        <w:t>In the case of blocks, the highest development can be observed in Mathura block, which has recorded a sharp increase from 19.04% in 1991 to 51.40% in 2011. High LQ values (0.60</w:t>
      </w:r>
      <w:r w:rsidR="002107CB">
        <w:t>;</w:t>
      </w:r>
      <w:r w:rsidRPr="00A94485">
        <w:t xml:space="preserve"> 2.22 </w:t>
      </w:r>
      <w:r w:rsidR="002107CB">
        <w:t>and</w:t>
      </w:r>
      <w:r w:rsidRPr="00A94485">
        <w:t xml:space="preserve"> 1.80) for this block suggest growing specialization. Hence, it is the primary location of non-agriculture occupations because of factors such as urbanization, industry, and service sector development. In the same way, increasing trends are observed in Raya and Govardhan blocks with figures of 35.07% and LQ values above one after 2001 (Fig. 8), signifying specialization.</w:t>
      </w:r>
    </w:p>
    <w:p w14:paraId="4C1A9211" w14:textId="77777777" w:rsidR="005534E6" w:rsidRPr="00A94485" w:rsidRDefault="005534E6" w:rsidP="00A94485">
      <w:pPr>
        <w:pStyle w:val="NormalWeb"/>
        <w:spacing w:before="0" w:beforeAutospacing="0" w:after="0" w:afterAutospacing="0" w:line="360" w:lineRule="auto"/>
        <w:ind w:firstLine="720"/>
        <w:jc w:val="both"/>
      </w:pPr>
      <w:r w:rsidRPr="00A94485">
        <w:t xml:space="preserve">On the contrary, there are some blocks that exhibit moderate increase in shares but with LQ values below one in most periods, thus suggesting that even though the percentage of other workers is growing, specialization has not been achieved by these blocks yet. These blocks include </w:t>
      </w:r>
      <w:proofErr w:type="spellStart"/>
      <w:r w:rsidRPr="00A94485">
        <w:t>Nandgaon</w:t>
      </w:r>
      <w:proofErr w:type="spellEnd"/>
      <w:r w:rsidRPr="00A94485">
        <w:t xml:space="preserve">, </w:t>
      </w:r>
      <w:proofErr w:type="spellStart"/>
      <w:r w:rsidRPr="00A94485">
        <w:t>Chhata</w:t>
      </w:r>
      <w:proofErr w:type="spellEnd"/>
      <w:r w:rsidRPr="00A94485">
        <w:t xml:space="preserve">, </w:t>
      </w:r>
      <w:proofErr w:type="spellStart"/>
      <w:r w:rsidRPr="00A94485">
        <w:t>Chaumuha</w:t>
      </w:r>
      <w:proofErr w:type="spellEnd"/>
      <w:r w:rsidRPr="00A94485">
        <w:t xml:space="preserve">, Baldeo, and </w:t>
      </w:r>
      <w:proofErr w:type="spellStart"/>
      <w:r w:rsidRPr="00A94485">
        <w:t>Nohjhil</w:t>
      </w:r>
      <w:proofErr w:type="spellEnd"/>
      <w:r w:rsidRPr="00A94485">
        <w:t xml:space="preserve">. The case of </w:t>
      </w:r>
      <w:proofErr w:type="spellStart"/>
      <w:r w:rsidRPr="00A94485">
        <w:t>Nandgaon</w:t>
      </w:r>
      <w:proofErr w:type="spellEnd"/>
      <w:r w:rsidRPr="00A94485">
        <w:t>, for example, has recorded an increase from 14.48% in 1991 to 26.99% in 2011 with low LQ (0.37 - 0.81).</w:t>
      </w:r>
    </w:p>
    <w:p w14:paraId="326269A6" w14:textId="77777777" w:rsidR="005534E6" w:rsidRPr="00A94485" w:rsidRDefault="005534E6" w:rsidP="00A94485">
      <w:pPr>
        <w:pStyle w:val="NormalWeb"/>
        <w:spacing w:before="0" w:beforeAutospacing="0" w:after="0" w:afterAutospacing="0" w:line="360" w:lineRule="auto"/>
        <w:jc w:val="both"/>
      </w:pPr>
      <w:r w:rsidRPr="00A94485">
        <w:t>One of such cases is Mat block, whose percentage (35.59%) and LQ (1.14) was very high in 1991, indicating that there existed strong specialization at first, then there was a decline in 2001 followed by recovery in 2011. This implies structural instability or changes in occupational trends. The same is applicable to the case of Farah block,</w:t>
      </w:r>
    </w:p>
    <w:p w14:paraId="047BC61F" w14:textId="77777777" w:rsidR="005534E6" w:rsidRPr="00A94485" w:rsidRDefault="005534E6" w:rsidP="00A94485">
      <w:pPr>
        <w:pStyle w:val="NormalWeb"/>
        <w:spacing w:before="0" w:beforeAutospacing="0" w:after="0" w:afterAutospacing="0" w:line="360" w:lineRule="auto"/>
        <w:jc w:val="both"/>
      </w:pPr>
      <w:r w:rsidRPr="00A94485">
        <w:t>where there has been a consistent increase in percentage, but the values of LQ have been varying, implying inconsistency in specialization. Overall, the occupational structure is undergoing a process of gradual transformation in the study region, where non-agriculture occupations are becoming increasingly important; however, the process is uneven in space, where urban and semi-urban</w:t>
      </w:r>
    </w:p>
    <w:p w14:paraId="1B6C4B50" w14:textId="77777777" w:rsidR="005534E6" w:rsidRPr="00A94485" w:rsidRDefault="005534E6" w:rsidP="00A94485">
      <w:pPr>
        <w:pStyle w:val="NormalWeb"/>
        <w:spacing w:before="0" w:beforeAutospacing="0" w:after="0" w:afterAutospacing="0" w:line="360" w:lineRule="auto"/>
        <w:jc w:val="both"/>
        <w:rPr>
          <w:rStyle w:val="Strong"/>
        </w:rPr>
      </w:pPr>
      <w:r w:rsidRPr="00A94485">
        <w:rPr>
          <w:rStyle w:val="Strong"/>
        </w:rPr>
        <w:t>Conclusion and Recommendations:</w:t>
      </w:r>
    </w:p>
    <w:p w14:paraId="2491EA72" w14:textId="77777777" w:rsidR="005534E6" w:rsidRPr="00A94485" w:rsidRDefault="005534E6" w:rsidP="00A94485">
      <w:pPr>
        <w:pStyle w:val="NormalWeb"/>
        <w:spacing w:before="0" w:beforeAutospacing="0" w:after="0" w:afterAutospacing="0" w:line="360" w:lineRule="auto"/>
        <w:ind w:firstLine="720"/>
        <w:jc w:val="both"/>
        <w:rPr>
          <w:rStyle w:val="Strong"/>
          <w:b w:val="0"/>
          <w:bCs w:val="0"/>
        </w:rPr>
      </w:pPr>
      <w:r w:rsidRPr="00A94485">
        <w:rPr>
          <w:rStyle w:val="Strong"/>
          <w:b w:val="0"/>
          <w:bCs w:val="0"/>
        </w:rPr>
        <w:t xml:space="preserve">The analysis of occupational structure in different blocks of Mathura district for the period between 1991 and 2011 depicts an obvious trend of transition from an agriculturally-oriented economy to one having diversified occupation profile. Cultivators form a diminishing proportion of the population in almost all blocks (e.g., </w:t>
      </w:r>
      <w:proofErr w:type="spellStart"/>
      <w:r w:rsidRPr="00A94485">
        <w:rPr>
          <w:rStyle w:val="Strong"/>
          <w:b w:val="0"/>
          <w:bCs w:val="0"/>
        </w:rPr>
        <w:t>Nandgaon</w:t>
      </w:r>
      <w:proofErr w:type="spellEnd"/>
      <w:r w:rsidRPr="00A94485">
        <w:rPr>
          <w:rStyle w:val="Strong"/>
          <w:b w:val="0"/>
          <w:bCs w:val="0"/>
        </w:rPr>
        <w:t xml:space="preserve"> - 64.36% to 46.51%, Raya - 54.60% to 28.42%). This may be attributed to fragmented holdings, use of machinery, and unprofitability of conventional agriculture practices. On the other hand, agricultural </w:t>
      </w:r>
      <w:proofErr w:type="spellStart"/>
      <w:r w:rsidRPr="00A94485">
        <w:rPr>
          <w:rStyle w:val="Strong"/>
          <w:b w:val="0"/>
          <w:bCs w:val="0"/>
        </w:rPr>
        <w:t>labourers</w:t>
      </w:r>
      <w:proofErr w:type="spellEnd"/>
      <w:r w:rsidRPr="00A94485">
        <w:rPr>
          <w:rStyle w:val="Strong"/>
          <w:b w:val="0"/>
          <w:bCs w:val="0"/>
        </w:rPr>
        <w:t xml:space="preserve"> have shown an increase in numbers, in particular in blocks such as Baldeo and Mat, signifying their transition from being owners of land to earning wages through agricultural jobs. There has been some increment in the proportion of household industry workers, mainly in Raya and Mat, implying the creation of </w:t>
      </w:r>
      <w:proofErr w:type="gramStart"/>
      <w:r w:rsidRPr="00A94485">
        <w:rPr>
          <w:rStyle w:val="Strong"/>
          <w:b w:val="0"/>
          <w:bCs w:val="0"/>
        </w:rPr>
        <w:t>small scale</w:t>
      </w:r>
      <w:proofErr w:type="gramEnd"/>
      <w:r w:rsidRPr="00A94485">
        <w:rPr>
          <w:rStyle w:val="Strong"/>
          <w:b w:val="0"/>
          <w:bCs w:val="0"/>
        </w:rPr>
        <w:t xml:space="preserve"> rural industries. But the most notable increment has taken place in case of 'other workers' (Mathura </w:t>
      </w:r>
      <w:r w:rsidRPr="00A94485">
        <w:rPr>
          <w:rStyle w:val="Strong"/>
          <w:b w:val="0"/>
          <w:bCs w:val="0"/>
        </w:rPr>
        <w:lastRenderedPageBreak/>
        <w:t xml:space="preserve">block: 19.04% to 51.40%), owing to </w:t>
      </w:r>
      <w:proofErr w:type="spellStart"/>
      <w:r w:rsidRPr="00A94485">
        <w:rPr>
          <w:rStyle w:val="Strong"/>
          <w:b w:val="0"/>
          <w:bCs w:val="0"/>
        </w:rPr>
        <w:t>urbanisation</w:t>
      </w:r>
      <w:proofErr w:type="spellEnd"/>
      <w:r w:rsidRPr="00A94485">
        <w:rPr>
          <w:rStyle w:val="Strong"/>
          <w:b w:val="0"/>
          <w:bCs w:val="0"/>
        </w:rPr>
        <w:t xml:space="preserve"> and emergence of the services sector in the region. The same conclusion can be drawn from LQ calculations, with many blocks showing lower </w:t>
      </w:r>
      <w:proofErr w:type="spellStart"/>
      <w:r w:rsidRPr="00A94485">
        <w:rPr>
          <w:rStyle w:val="Strong"/>
          <w:b w:val="0"/>
          <w:bCs w:val="0"/>
        </w:rPr>
        <w:t>specialisation</w:t>
      </w:r>
      <w:proofErr w:type="spellEnd"/>
      <w:r w:rsidRPr="00A94485">
        <w:rPr>
          <w:rStyle w:val="Strong"/>
          <w:b w:val="0"/>
          <w:bCs w:val="0"/>
        </w:rPr>
        <w:t xml:space="preserve"> in cultivation and higher </w:t>
      </w:r>
      <w:proofErr w:type="spellStart"/>
      <w:r w:rsidRPr="00A94485">
        <w:rPr>
          <w:rStyle w:val="Strong"/>
          <w:b w:val="0"/>
          <w:bCs w:val="0"/>
        </w:rPr>
        <w:t>specialisation</w:t>
      </w:r>
      <w:proofErr w:type="spellEnd"/>
      <w:r w:rsidRPr="00A94485">
        <w:rPr>
          <w:rStyle w:val="Strong"/>
          <w:b w:val="0"/>
          <w:bCs w:val="0"/>
        </w:rPr>
        <w:t xml:space="preserve"> in non-farm occupations.</w:t>
      </w:r>
    </w:p>
    <w:p w14:paraId="0CDBDB9A" w14:textId="77777777" w:rsidR="00A94485" w:rsidRPr="00A94485" w:rsidRDefault="00A94485" w:rsidP="00A94485">
      <w:pPr>
        <w:tabs>
          <w:tab w:val="left" w:pos="720"/>
        </w:tabs>
        <w:spacing w:after="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ab/>
      </w:r>
      <w:r w:rsidR="005534E6" w:rsidRPr="00A94485">
        <w:rPr>
          <w:rFonts w:ascii="Times New Roman" w:eastAsia="Times New Roman" w:hAnsi="Times New Roman" w:cs="Times New Roman"/>
          <w:sz w:val="24"/>
          <w:szCs w:val="24"/>
          <w:lang w:bidi="hi-IN"/>
        </w:rPr>
        <w:t xml:space="preserve">The balanced and sustainable development calls for the strengthening of rural non-farming employment avenues through the promotion of </w:t>
      </w:r>
      <w:proofErr w:type="spellStart"/>
      <w:r w:rsidR="005534E6" w:rsidRPr="00A94485">
        <w:rPr>
          <w:rFonts w:ascii="Times New Roman" w:eastAsia="Times New Roman" w:hAnsi="Times New Roman" w:cs="Times New Roman"/>
          <w:sz w:val="24"/>
          <w:szCs w:val="24"/>
          <w:lang w:bidi="hi-IN"/>
        </w:rPr>
        <w:t>agro</w:t>
      </w:r>
      <w:proofErr w:type="spellEnd"/>
      <w:r w:rsidR="005534E6" w:rsidRPr="00A94485">
        <w:rPr>
          <w:rFonts w:ascii="Times New Roman" w:eastAsia="Times New Roman" w:hAnsi="Times New Roman" w:cs="Times New Roman"/>
          <w:sz w:val="24"/>
          <w:szCs w:val="24"/>
          <w:lang w:bidi="hi-IN"/>
        </w:rPr>
        <w:t xml:space="preserve">-based industries and small-scale industrialization in such blocks where there has been a significant increase in dependence on farm labor. There should be skill development and vocational training programs for the labor force to shift successfully to secondary and tertiary activities. On the other hand, there must be an improvement in agricultural output through modern methods of agriculture, irrigation, and financing. There should be no negative effect of diminishing number of cultivators on the rural economy. More emphasis must be given on those blocks with higher concentration of agricultural labor force (Baldeo </w:t>
      </w:r>
      <w:r w:rsidR="002107CB">
        <w:rPr>
          <w:rFonts w:ascii="Times New Roman" w:eastAsia="Times New Roman" w:hAnsi="Times New Roman" w:cs="Times New Roman"/>
          <w:sz w:val="24"/>
          <w:szCs w:val="24"/>
          <w:lang w:bidi="hi-IN"/>
        </w:rPr>
        <w:t>and</w:t>
      </w:r>
      <w:r w:rsidR="005534E6" w:rsidRPr="00A94485">
        <w:rPr>
          <w:rFonts w:ascii="Times New Roman" w:eastAsia="Times New Roman" w:hAnsi="Times New Roman" w:cs="Times New Roman"/>
          <w:sz w:val="24"/>
          <w:szCs w:val="24"/>
          <w:lang w:bidi="hi-IN"/>
        </w:rPr>
        <w:t xml:space="preserve"> Mat blocks) to avoid disguised unemployment and poverty. Also, efforts must be made for infrastructure development and urbanization to help 'other workers'.</w:t>
      </w:r>
    </w:p>
    <w:p w14:paraId="698461A8" w14:textId="77777777" w:rsidR="00E10F98" w:rsidRDefault="00E10F98" w:rsidP="00A948EE">
      <w:pPr>
        <w:tabs>
          <w:tab w:val="left" w:pos="4152"/>
        </w:tabs>
        <w:spacing w:after="0" w:line="360" w:lineRule="auto"/>
        <w:jc w:val="both"/>
        <w:rPr>
          <w:rFonts w:ascii="Times New Roman" w:hAnsi="Times New Roman" w:cs="Times New Roman"/>
          <w:b/>
          <w:bCs/>
          <w:sz w:val="24"/>
          <w:szCs w:val="24"/>
        </w:rPr>
      </w:pPr>
      <w:r w:rsidRPr="001A2560">
        <w:rPr>
          <w:rFonts w:ascii="Times New Roman" w:hAnsi="Times New Roman" w:cs="Times New Roman"/>
          <w:b/>
          <w:bCs/>
          <w:sz w:val="24"/>
          <w:szCs w:val="24"/>
        </w:rPr>
        <w:t xml:space="preserve">References </w:t>
      </w:r>
    </w:p>
    <w:p w14:paraId="16A36B83" w14:textId="77777777" w:rsidR="00A948EE" w:rsidRDefault="00A948EE" w:rsidP="00A948EE">
      <w:pPr>
        <w:pStyle w:val="NormalWeb"/>
        <w:spacing w:before="0" w:beforeAutospacing="0" w:after="0" w:afterAutospacing="0" w:line="360" w:lineRule="auto"/>
        <w:ind w:left="540" w:hanging="540"/>
        <w:jc w:val="both"/>
      </w:pPr>
      <w:r>
        <w:t xml:space="preserve">Census of India. (2011). </w:t>
      </w:r>
      <w:r>
        <w:rPr>
          <w:rStyle w:val="Emphasis"/>
        </w:rPr>
        <w:t>District Census Handbook: Mathura, Part XII-A</w:t>
      </w:r>
      <w:r>
        <w:t>. Directorate of Census Operations, Uttar Pradesh.</w:t>
      </w:r>
    </w:p>
    <w:p w14:paraId="16602F46" w14:textId="77777777" w:rsidR="00A948EE" w:rsidRDefault="00A948EE" w:rsidP="00A948EE">
      <w:pPr>
        <w:pStyle w:val="NormalWeb"/>
        <w:spacing w:before="0" w:beforeAutospacing="0" w:after="0" w:afterAutospacing="0" w:line="360" w:lineRule="auto"/>
        <w:ind w:left="540" w:hanging="540"/>
        <w:jc w:val="both"/>
      </w:pPr>
      <w:r>
        <w:t xml:space="preserve">Chandana, R. C. (2010). </w:t>
      </w:r>
      <w:r>
        <w:rPr>
          <w:rStyle w:val="Emphasis"/>
        </w:rPr>
        <w:t>Geography of Population: Concepts, Determinants and Patterns</w:t>
      </w:r>
      <w:r>
        <w:t xml:space="preserve"> (pp. 308–331). New Delhi: Kalyani Publishers.</w:t>
      </w:r>
    </w:p>
    <w:p w14:paraId="03024A21" w14:textId="77777777" w:rsidR="00A948EE" w:rsidRDefault="00A948EE" w:rsidP="00A948EE">
      <w:pPr>
        <w:pStyle w:val="NormalWeb"/>
        <w:spacing w:before="0" w:beforeAutospacing="0" w:after="0" w:afterAutospacing="0" w:line="360" w:lineRule="auto"/>
        <w:ind w:left="540" w:hanging="540"/>
        <w:jc w:val="both"/>
      </w:pPr>
      <w:r>
        <w:t xml:space="preserve">Chandna, R. C., &amp; Sidhu, M. S. (1980). </w:t>
      </w:r>
      <w:r>
        <w:rPr>
          <w:rStyle w:val="Emphasis"/>
        </w:rPr>
        <w:t>Introduction to Population Geography</w:t>
      </w:r>
      <w:r>
        <w:t>. New Delhi: Kalyani Publishers.</w:t>
      </w:r>
    </w:p>
    <w:p w14:paraId="09E28239" w14:textId="77777777" w:rsidR="00A948EE" w:rsidRDefault="00A948EE" w:rsidP="00A948EE">
      <w:pPr>
        <w:pStyle w:val="NormalWeb"/>
        <w:spacing w:before="0" w:beforeAutospacing="0" w:after="0" w:afterAutospacing="0" w:line="360" w:lineRule="auto"/>
        <w:ind w:left="540" w:hanging="540"/>
        <w:jc w:val="both"/>
      </w:pPr>
      <w:r>
        <w:t xml:space="preserve">Fernandez-Macias, E. (2012). Job polarization in Europe: Transformations in employment structure and job quality (1995–2007). </w:t>
      </w:r>
      <w:r>
        <w:rPr>
          <w:rStyle w:val="Emphasis"/>
        </w:rPr>
        <w:t>Work and Occupations, 39</w:t>
      </w:r>
      <w:r>
        <w:t>, 157–182.</w:t>
      </w:r>
    </w:p>
    <w:p w14:paraId="51AA7AF5" w14:textId="77777777" w:rsidR="00A948EE" w:rsidRDefault="00A948EE" w:rsidP="00A948EE">
      <w:pPr>
        <w:pStyle w:val="NormalWeb"/>
        <w:spacing w:before="0" w:beforeAutospacing="0" w:after="0" w:afterAutospacing="0" w:line="360" w:lineRule="auto"/>
        <w:ind w:left="540" w:hanging="540"/>
        <w:jc w:val="both"/>
      </w:pPr>
      <w:r>
        <w:t xml:space="preserve">Karthikesan, K., </w:t>
      </w:r>
      <w:proofErr w:type="spellStart"/>
      <w:r>
        <w:t>Emayavaramban</w:t>
      </w:r>
      <w:proofErr w:type="spellEnd"/>
      <w:r>
        <w:t xml:space="preserve">, V., Kanndasan, K., &amp; </w:t>
      </w:r>
      <w:proofErr w:type="spellStart"/>
      <w:r>
        <w:t>Vinoothakanna</w:t>
      </w:r>
      <w:proofErr w:type="spellEnd"/>
      <w:r>
        <w:t xml:space="preserve">, S. (2018). Geographical assessment of occupational structure in </w:t>
      </w:r>
      <w:proofErr w:type="spellStart"/>
      <w:r>
        <w:t>Nagapattinam</w:t>
      </w:r>
      <w:proofErr w:type="spellEnd"/>
      <w:r>
        <w:t xml:space="preserve"> district, Tamil Nadu. </w:t>
      </w:r>
      <w:r>
        <w:rPr>
          <w:rStyle w:val="Emphasis"/>
        </w:rPr>
        <w:t>Research Review International Journal of Multidisciplinary, 3</w:t>
      </w:r>
      <w:r>
        <w:t>(10), 565–571.</w:t>
      </w:r>
    </w:p>
    <w:p w14:paraId="143BE6F5" w14:textId="77777777" w:rsidR="00A948EE" w:rsidRDefault="00A948EE" w:rsidP="00A948EE">
      <w:pPr>
        <w:pStyle w:val="NormalWeb"/>
        <w:spacing w:before="0" w:beforeAutospacing="0" w:after="0" w:afterAutospacing="0" w:line="360" w:lineRule="auto"/>
        <w:ind w:left="540" w:hanging="540"/>
        <w:jc w:val="both"/>
      </w:pPr>
      <w:r>
        <w:t xml:space="preserve">Kaushik, A. K., &amp; Kaushik, K. (2012). A geographical study of gender disparities in literacy in Mathura district, Uttar Pradesh. </w:t>
      </w:r>
      <w:r>
        <w:rPr>
          <w:rStyle w:val="Emphasis"/>
        </w:rPr>
        <w:t>European Journal of Business and Social Sciences, 1</w:t>
      </w:r>
      <w:r>
        <w:t>(9), 95–107.</w:t>
      </w:r>
    </w:p>
    <w:p w14:paraId="59180704" w14:textId="77777777" w:rsidR="00A948EE" w:rsidRDefault="00A948EE" w:rsidP="00A948EE">
      <w:pPr>
        <w:pStyle w:val="NormalWeb"/>
        <w:spacing w:before="0" w:beforeAutospacing="0" w:after="0" w:afterAutospacing="0" w:line="360" w:lineRule="auto"/>
        <w:ind w:left="540" w:hanging="540"/>
        <w:jc w:val="both"/>
      </w:pPr>
      <w:r>
        <w:t xml:space="preserve">Kaushik, A. K., &amp; Kaushik, K. (2021). Occupational composition of rural workers in Mathura district, Uttar Pradesh. </w:t>
      </w:r>
      <w:r>
        <w:rPr>
          <w:rStyle w:val="Emphasis"/>
        </w:rPr>
        <w:t>NGJI, 67</w:t>
      </w:r>
      <w:r>
        <w:t>(3).</w:t>
      </w:r>
    </w:p>
    <w:p w14:paraId="09D1FF45" w14:textId="77777777" w:rsidR="00A948EE" w:rsidRDefault="00A948EE" w:rsidP="00A948EE">
      <w:pPr>
        <w:pStyle w:val="NormalWeb"/>
        <w:spacing w:before="0" w:beforeAutospacing="0" w:after="0" w:afterAutospacing="0" w:line="360" w:lineRule="auto"/>
        <w:ind w:left="540" w:hanging="540"/>
        <w:jc w:val="both"/>
      </w:pPr>
      <w:r>
        <w:t xml:space="preserve">Kaushik, K., &amp; Siddiqui, Z. (2015). Educational disparities among castes: A micro-level analysis of Mathura district, Uttar Pradesh. In F. A. Siddiqui (Ed.), </w:t>
      </w:r>
      <w:r>
        <w:rPr>
          <w:rStyle w:val="Emphasis"/>
        </w:rPr>
        <w:t>Population Dynamism and Resource Utilization</w:t>
      </w:r>
      <w:r>
        <w:t>. New Delhi: Academic Publication.</w:t>
      </w:r>
    </w:p>
    <w:p w14:paraId="583AB33C" w14:textId="77777777" w:rsidR="00A948EE" w:rsidRDefault="00A948EE" w:rsidP="00A948EE">
      <w:pPr>
        <w:pStyle w:val="NormalWeb"/>
        <w:spacing w:before="0" w:beforeAutospacing="0" w:after="0" w:afterAutospacing="0" w:line="360" w:lineRule="auto"/>
        <w:ind w:left="540" w:hanging="540"/>
        <w:jc w:val="both"/>
      </w:pPr>
      <w:r>
        <w:lastRenderedPageBreak/>
        <w:t xml:space="preserve">Khadke, P. A., Kharat, R. U., &amp; Kamble, K. R. (2019). Occupational transformation in Aurangabad city. </w:t>
      </w:r>
      <w:r>
        <w:rPr>
          <w:rStyle w:val="Emphasis"/>
        </w:rPr>
        <w:t>International Journal of Research in Engineering IT and Social Science, 9</w:t>
      </w:r>
      <w:r>
        <w:t>(3), 25–32.</w:t>
      </w:r>
    </w:p>
    <w:p w14:paraId="5EFAF556" w14:textId="77777777" w:rsidR="00A948EE" w:rsidRDefault="00A948EE" w:rsidP="00A948EE">
      <w:pPr>
        <w:pStyle w:val="NormalWeb"/>
        <w:spacing w:before="0" w:beforeAutospacing="0" w:after="0" w:afterAutospacing="0" w:line="360" w:lineRule="auto"/>
        <w:ind w:left="540" w:hanging="540"/>
        <w:jc w:val="both"/>
      </w:pPr>
      <w:r>
        <w:t xml:space="preserve">Krishnamurthy, J. (1978). Characteristics of the employment situation in India. </w:t>
      </w:r>
      <w:r>
        <w:rPr>
          <w:rStyle w:val="Emphasis"/>
        </w:rPr>
        <w:t>Demography India, 7</w:t>
      </w:r>
      <w:r>
        <w:t>(1–2), 147.</w:t>
      </w:r>
    </w:p>
    <w:p w14:paraId="5CA2DDB3" w14:textId="77777777" w:rsidR="00A948EE" w:rsidRDefault="00A948EE" w:rsidP="00A948EE">
      <w:pPr>
        <w:pStyle w:val="NormalWeb"/>
        <w:spacing w:before="0" w:beforeAutospacing="0" w:after="0" w:afterAutospacing="0" w:line="360" w:lineRule="auto"/>
        <w:ind w:left="540" w:hanging="540"/>
        <w:jc w:val="both"/>
      </w:pPr>
      <w:r>
        <w:t xml:space="preserve">Kumar, P., Kumar, N., &amp; Singh, J. (2016). Occupational changes in the rural population: A study of </w:t>
      </w:r>
      <w:proofErr w:type="spellStart"/>
      <w:r>
        <w:t>Jaunpur</w:t>
      </w:r>
      <w:proofErr w:type="spellEnd"/>
      <w:r>
        <w:t xml:space="preserve"> district, Uttar Pradesh. </w:t>
      </w:r>
      <w:r>
        <w:rPr>
          <w:rStyle w:val="Emphasis"/>
        </w:rPr>
        <w:t xml:space="preserve">Uttar Bharat </w:t>
      </w:r>
      <w:proofErr w:type="spellStart"/>
      <w:r>
        <w:rPr>
          <w:rStyle w:val="Emphasis"/>
        </w:rPr>
        <w:t>Bhoogol</w:t>
      </w:r>
      <w:proofErr w:type="spellEnd"/>
      <w:r>
        <w:rPr>
          <w:rStyle w:val="Emphasis"/>
        </w:rPr>
        <w:t xml:space="preserve"> </w:t>
      </w:r>
      <w:proofErr w:type="spellStart"/>
      <w:r>
        <w:rPr>
          <w:rStyle w:val="Emphasis"/>
        </w:rPr>
        <w:t>Patrika</w:t>
      </w:r>
      <w:proofErr w:type="spellEnd"/>
      <w:r>
        <w:rPr>
          <w:rStyle w:val="Emphasis"/>
        </w:rPr>
        <w:t>, 46</w:t>
      </w:r>
      <w:r>
        <w:t>(2), 17–25.</w:t>
      </w:r>
    </w:p>
    <w:p w14:paraId="6F2006B9" w14:textId="77777777" w:rsidR="00A948EE" w:rsidRDefault="00A948EE" w:rsidP="00A948EE">
      <w:pPr>
        <w:pStyle w:val="NormalWeb"/>
        <w:spacing w:before="0" w:beforeAutospacing="0" w:after="0" w:afterAutospacing="0" w:line="360" w:lineRule="auto"/>
        <w:ind w:left="540" w:hanging="540"/>
        <w:jc w:val="both"/>
      </w:pPr>
      <w:r>
        <w:t xml:space="preserve">Kumari, S., &amp; Kumar, A. (2024). Geographical analysis of changing occupational patterns in Katihar district. </w:t>
      </w:r>
      <w:r>
        <w:rPr>
          <w:rStyle w:val="Emphasis"/>
        </w:rPr>
        <w:t>International Journal of Creative Research Thoughts, 12</w:t>
      </w:r>
      <w:r>
        <w:t>(2), 28–36.</w:t>
      </w:r>
    </w:p>
    <w:p w14:paraId="3AAEDA39" w14:textId="77777777" w:rsidR="00A948EE" w:rsidRDefault="00A948EE" w:rsidP="00A948EE">
      <w:pPr>
        <w:pStyle w:val="NormalWeb"/>
        <w:spacing w:before="0" w:beforeAutospacing="0" w:after="0" w:afterAutospacing="0" w:line="360" w:lineRule="auto"/>
        <w:ind w:left="540" w:hanging="540"/>
        <w:jc w:val="both"/>
      </w:pPr>
      <w:r>
        <w:t xml:space="preserve">Maitra, P. (1969). Occupational change and industrialization in India (1901–1961). In M. K. Chaudhari (Ed.), </w:t>
      </w:r>
      <w:r>
        <w:rPr>
          <w:rStyle w:val="Emphasis"/>
        </w:rPr>
        <w:t>Trends of Socio-Economic Change in India</w:t>
      </w:r>
      <w:r>
        <w:t xml:space="preserve"> (pp. 414–427). Shimla: Indian Institute of Advanced Study.</w:t>
      </w:r>
    </w:p>
    <w:p w14:paraId="60F68FA7" w14:textId="77777777" w:rsidR="00A948EE" w:rsidRDefault="00A948EE" w:rsidP="00A948EE">
      <w:pPr>
        <w:pStyle w:val="NormalWeb"/>
        <w:spacing w:before="0" w:beforeAutospacing="0" w:after="0" w:afterAutospacing="0" w:line="360" w:lineRule="auto"/>
        <w:ind w:left="540" w:hanging="540"/>
        <w:jc w:val="both"/>
      </w:pPr>
      <w:r>
        <w:t xml:space="preserve">Patidar, H., &amp; Singh, M. B. (2010). Occupational structure among tribal communities in southeast Rajasthan. </w:t>
      </w:r>
      <w:r>
        <w:rPr>
          <w:rStyle w:val="Emphasis"/>
        </w:rPr>
        <w:t>National Geographical Journal of India, 56</w:t>
      </w:r>
      <w:r>
        <w:t>(1), 31–42.</w:t>
      </w:r>
    </w:p>
    <w:p w14:paraId="6DF1D66D" w14:textId="77777777" w:rsidR="00A948EE" w:rsidRDefault="00A948EE" w:rsidP="00A948EE">
      <w:pPr>
        <w:pStyle w:val="NormalWeb"/>
        <w:spacing w:before="0" w:beforeAutospacing="0" w:after="0" w:afterAutospacing="0" w:line="360" w:lineRule="auto"/>
        <w:ind w:left="540" w:hanging="540"/>
        <w:jc w:val="both"/>
      </w:pPr>
      <w:r>
        <w:t xml:space="preserve">Radhakrishna, M., &amp; Vijayalakshmi, V. (1974). </w:t>
      </w:r>
      <w:proofErr w:type="spellStart"/>
      <w:r>
        <w:t>Labour</w:t>
      </w:r>
      <w:proofErr w:type="spellEnd"/>
      <w:r>
        <w:t xml:space="preserve"> force demographic structure in Andhra Pradesh. </w:t>
      </w:r>
      <w:r>
        <w:rPr>
          <w:rStyle w:val="Emphasis"/>
        </w:rPr>
        <w:t>Manpower Journal, 10</w:t>
      </w:r>
      <w:r>
        <w:t>(2), 86–98.</w:t>
      </w:r>
    </w:p>
    <w:p w14:paraId="71BC0EDA" w14:textId="77777777" w:rsidR="00A948EE" w:rsidRDefault="00A948EE" w:rsidP="00A948EE">
      <w:pPr>
        <w:pStyle w:val="NormalWeb"/>
        <w:spacing w:before="0" w:beforeAutospacing="0" w:after="0" w:afterAutospacing="0" w:line="360" w:lineRule="auto"/>
        <w:ind w:left="540" w:hanging="540"/>
        <w:jc w:val="both"/>
      </w:pPr>
      <w:r>
        <w:t xml:space="preserve">Rai, G., &amp; Kumari, B. (2012). Occupational structure of </w:t>
      </w:r>
      <w:proofErr w:type="spellStart"/>
      <w:r>
        <w:t>Chiraigaon</w:t>
      </w:r>
      <w:proofErr w:type="spellEnd"/>
      <w:r>
        <w:t xml:space="preserve"> Development Block, Varanasi district. </w:t>
      </w:r>
      <w:r>
        <w:rPr>
          <w:rStyle w:val="Emphasis"/>
        </w:rPr>
        <w:t>National Geographical Journal of India, 58</w:t>
      </w:r>
      <w:r>
        <w:t>, 34–40.</w:t>
      </w:r>
    </w:p>
    <w:p w14:paraId="5692B9C1" w14:textId="77777777" w:rsidR="00A948EE" w:rsidRDefault="00A948EE" w:rsidP="00A948EE">
      <w:pPr>
        <w:pStyle w:val="NormalWeb"/>
        <w:spacing w:before="0" w:beforeAutospacing="0" w:after="0" w:afterAutospacing="0" w:line="360" w:lineRule="auto"/>
        <w:ind w:left="540" w:hanging="540"/>
        <w:jc w:val="both"/>
      </w:pPr>
      <w:r>
        <w:t xml:space="preserve">Reddy, A. A., &amp; Kumar, P. (2009). Occupational pattern of workers in rural Andhra Pradesh. </w:t>
      </w:r>
      <w:r>
        <w:rPr>
          <w:rStyle w:val="Emphasis"/>
        </w:rPr>
        <w:t>Journal of Indian School of Political Economy, 18</w:t>
      </w:r>
      <w:r>
        <w:t>(1–2), 77–91.</w:t>
      </w:r>
    </w:p>
    <w:p w14:paraId="55ED04FE" w14:textId="77777777" w:rsidR="00A948EE" w:rsidRDefault="00A948EE" w:rsidP="00A948EE">
      <w:pPr>
        <w:pStyle w:val="NormalWeb"/>
        <w:spacing w:before="0" w:beforeAutospacing="0" w:after="0" w:afterAutospacing="0" w:line="360" w:lineRule="auto"/>
        <w:ind w:left="540" w:hanging="540"/>
        <w:jc w:val="both"/>
      </w:pPr>
      <w:r>
        <w:t xml:space="preserve">Rina, &amp; </w:t>
      </w:r>
      <w:proofErr w:type="spellStart"/>
      <w:r>
        <w:t>Godara</w:t>
      </w:r>
      <w:proofErr w:type="spellEnd"/>
      <w:r>
        <w:t xml:space="preserve">, R. (2020). Study of occupational structure: A case analysis of Panchkula district. </w:t>
      </w:r>
      <w:proofErr w:type="spellStart"/>
      <w:r>
        <w:rPr>
          <w:rStyle w:val="Emphasis"/>
        </w:rPr>
        <w:t>Shodh</w:t>
      </w:r>
      <w:proofErr w:type="spellEnd"/>
      <w:r>
        <w:rPr>
          <w:rStyle w:val="Emphasis"/>
        </w:rPr>
        <w:t xml:space="preserve"> Sanchar Bulletin, 10</w:t>
      </w:r>
      <w:r>
        <w:t>(39), 123–130.</w:t>
      </w:r>
    </w:p>
    <w:p w14:paraId="00E562FD" w14:textId="77777777" w:rsidR="00A948EE" w:rsidRDefault="00A948EE" w:rsidP="00A948EE">
      <w:pPr>
        <w:pStyle w:val="NormalWeb"/>
        <w:spacing w:before="0" w:beforeAutospacing="0" w:after="0" w:afterAutospacing="0" w:line="360" w:lineRule="auto"/>
        <w:ind w:left="540" w:hanging="540"/>
        <w:jc w:val="both"/>
      </w:pPr>
      <w:r>
        <w:t xml:space="preserve">Sharma, S. (2016). </w:t>
      </w:r>
      <w:r>
        <w:rPr>
          <w:rStyle w:val="Emphasis"/>
        </w:rPr>
        <w:t>Employment, Wages and Inequality in India: An Occupations and Tasks Perspective</w:t>
      </w:r>
      <w:r>
        <w:t>.</w:t>
      </w:r>
    </w:p>
    <w:p w14:paraId="7B1327CC" w14:textId="77777777" w:rsidR="00A948EE" w:rsidRDefault="00A948EE" w:rsidP="00A948EE">
      <w:pPr>
        <w:pStyle w:val="NormalWeb"/>
        <w:spacing w:before="0" w:beforeAutospacing="0" w:after="0" w:afterAutospacing="0" w:line="360" w:lineRule="auto"/>
        <w:ind w:left="540" w:hanging="540"/>
        <w:jc w:val="both"/>
      </w:pPr>
      <w:r>
        <w:t xml:space="preserve">Singh, R. P. (2015). Spatial distribution pattern of occupational structure in Haryana. </w:t>
      </w:r>
      <w:proofErr w:type="spellStart"/>
      <w:r>
        <w:rPr>
          <w:rStyle w:val="Emphasis"/>
        </w:rPr>
        <w:t>Paripex</w:t>
      </w:r>
      <w:proofErr w:type="spellEnd"/>
      <w:r>
        <w:rPr>
          <w:rStyle w:val="Emphasis"/>
        </w:rPr>
        <w:t xml:space="preserve"> – Indian Journal of Research, 4</w:t>
      </w:r>
      <w:r>
        <w:t>(6), 418–420.</w:t>
      </w:r>
    </w:p>
    <w:p w14:paraId="28EABD8A" w14:textId="77777777" w:rsidR="00A948EE" w:rsidRDefault="00A948EE" w:rsidP="00A948EE">
      <w:pPr>
        <w:pStyle w:val="NormalWeb"/>
        <w:spacing w:before="0" w:beforeAutospacing="0" w:after="0" w:afterAutospacing="0" w:line="360" w:lineRule="auto"/>
        <w:ind w:left="540" w:hanging="540"/>
        <w:jc w:val="both"/>
      </w:pPr>
      <w:r>
        <w:t xml:space="preserve">Sinha, J. N. (1971). </w:t>
      </w:r>
      <w:proofErr w:type="spellStart"/>
      <w:r>
        <w:t>Labour</w:t>
      </w:r>
      <w:proofErr w:type="spellEnd"/>
      <w:r>
        <w:t xml:space="preserve"> force in India, Pakistan and Ceylon. In </w:t>
      </w:r>
      <w:r>
        <w:rPr>
          <w:rStyle w:val="Emphasis"/>
        </w:rPr>
        <w:t>Proceedings of the International Population Conference</w:t>
      </w:r>
      <w:r>
        <w:t xml:space="preserve"> (Vol. III, pp. 1526–1541). London: IUSSP.</w:t>
      </w:r>
    </w:p>
    <w:p w14:paraId="507622E2" w14:textId="77777777" w:rsidR="00A948EE" w:rsidRDefault="00A948EE" w:rsidP="00A948EE">
      <w:pPr>
        <w:pStyle w:val="NormalWeb"/>
        <w:spacing w:before="0" w:beforeAutospacing="0" w:after="0" w:afterAutospacing="0" w:line="360" w:lineRule="auto"/>
        <w:ind w:left="540" w:hanging="540"/>
        <w:jc w:val="both"/>
      </w:pPr>
      <w:r>
        <w:t xml:space="preserve">Verma, K., &amp; Rai, V. K. (2020). Occupational structure changes in Ballia district: A geographical perspective. </w:t>
      </w:r>
      <w:r>
        <w:rPr>
          <w:rStyle w:val="Emphasis"/>
        </w:rPr>
        <w:t>NGJI, 66</w:t>
      </w:r>
      <w:r>
        <w:t>(2), 136–149.</w:t>
      </w:r>
    </w:p>
    <w:p w14:paraId="5F252A71" w14:textId="77777777" w:rsidR="00A948EE" w:rsidRDefault="00A948EE" w:rsidP="00A948EE">
      <w:pPr>
        <w:pStyle w:val="NormalWeb"/>
        <w:spacing w:before="0" w:beforeAutospacing="0" w:after="0" w:afterAutospacing="0" w:line="360" w:lineRule="auto"/>
        <w:ind w:left="540" w:hanging="540"/>
        <w:jc w:val="both"/>
      </w:pPr>
      <w:r>
        <w:t xml:space="preserve">You, P. S. (1971). Growth trends of the </w:t>
      </w:r>
      <w:proofErr w:type="spellStart"/>
      <w:r>
        <w:t>labour</w:t>
      </w:r>
      <w:proofErr w:type="spellEnd"/>
      <w:r>
        <w:t xml:space="preserve"> force. In </w:t>
      </w:r>
      <w:r>
        <w:rPr>
          <w:rStyle w:val="Emphasis"/>
        </w:rPr>
        <w:t>Proceedings of the International Population Conference</w:t>
      </w:r>
      <w:r>
        <w:t xml:space="preserve"> (Vol. III, pp. 1481–1499). London: IUSSP.</w:t>
      </w:r>
    </w:p>
    <w:p w14:paraId="2FDA11EF" w14:textId="77777777" w:rsidR="000F5E60" w:rsidRDefault="000F5E60" w:rsidP="00A948EE">
      <w:pPr>
        <w:spacing w:after="60"/>
        <w:ind w:left="540" w:hanging="540"/>
        <w:jc w:val="both"/>
        <w:rPr>
          <w:rFonts w:ascii="Times New Roman" w:hAnsi="Times New Roman"/>
          <w:sz w:val="24"/>
          <w:szCs w:val="24"/>
          <w:lang w:bidi="hi-IN"/>
        </w:rPr>
      </w:pPr>
    </w:p>
    <w:p w14:paraId="5BEED258" w14:textId="77777777" w:rsidR="000F5E60" w:rsidRDefault="000F5E60" w:rsidP="00294EB1">
      <w:pPr>
        <w:spacing w:after="60"/>
        <w:ind w:left="360"/>
        <w:jc w:val="both"/>
        <w:rPr>
          <w:rFonts w:ascii="Times New Roman" w:hAnsi="Times New Roman"/>
          <w:sz w:val="24"/>
          <w:szCs w:val="24"/>
          <w:lang w:bidi="hi-IN"/>
        </w:rPr>
      </w:pPr>
    </w:p>
    <w:p w14:paraId="74084F9C" w14:textId="77777777" w:rsidR="000F5E60" w:rsidRDefault="000F5E60" w:rsidP="00294EB1">
      <w:pPr>
        <w:spacing w:after="60"/>
        <w:ind w:left="360"/>
        <w:jc w:val="both"/>
        <w:rPr>
          <w:rFonts w:ascii="Times New Roman" w:hAnsi="Times New Roman"/>
          <w:sz w:val="24"/>
          <w:szCs w:val="24"/>
          <w:lang w:bidi="hi-IN"/>
        </w:rPr>
      </w:pPr>
    </w:p>
    <w:p w14:paraId="7DE3051C" w14:textId="77777777" w:rsidR="000F5E60" w:rsidRDefault="000F5E60" w:rsidP="00294EB1">
      <w:pPr>
        <w:spacing w:after="60"/>
        <w:ind w:left="360"/>
        <w:jc w:val="both"/>
        <w:rPr>
          <w:rFonts w:ascii="Times New Roman" w:hAnsi="Times New Roman"/>
          <w:sz w:val="24"/>
          <w:szCs w:val="24"/>
          <w:lang w:bidi="hi-IN"/>
        </w:rPr>
      </w:pPr>
    </w:p>
    <w:p w14:paraId="094803AD" w14:textId="77777777" w:rsidR="000F5E60" w:rsidRDefault="000F5E60" w:rsidP="00294EB1">
      <w:pPr>
        <w:spacing w:after="60"/>
        <w:ind w:left="360"/>
        <w:jc w:val="both"/>
        <w:rPr>
          <w:rFonts w:ascii="Times New Roman" w:hAnsi="Times New Roman"/>
          <w:sz w:val="24"/>
          <w:szCs w:val="24"/>
          <w:lang w:bidi="hi-IN"/>
        </w:rPr>
      </w:pPr>
    </w:p>
    <w:p w14:paraId="2AC1CB1B" w14:textId="77777777" w:rsidR="00E10F98" w:rsidRDefault="00645644" w:rsidP="00E10F98">
      <w:pPr>
        <w:tabs>
          <w:tab w:val="left" w:pos="5973"/>
        </w:tabs>
        <w:rPr>
          <w:rFonts w:ascii="Times New Roman" w:hAnsi="Times New Roman" w:cs="Times New Roman"/>
          <w:sz w:val="24"/>
          <w:szCs w:val="24"/>
        </w:rPr>
      </w:pPr>
      <w:r>
        <w:rPr>
          <w:rFonts w:ascii="Times New Roman" w:hAnsi="Times New Roman" w:cs="Times New Roman"/>
          <w:noProof/>
          <w:sz w:val="24"/>
          <w:szCs w:val="24"/>
          <w:lang w:eastAsia="zh-TW"/>
        </w:rPr>
        <w:lastRenderedPageBreak/>
        <w:pict w14:anchorId="23EEFD72">
          <v:shapetype id="_x0000_t202" coordsize="21600,21600" o:spt="202" path="m,l,21600r21600,l21600,xe">
            <v:stroke joinstyle="miter"/>
            <v:path gradientshapeok="t" o:connecttype="rect"/>
          </v:shapetype>
          <v:shape id="_x0000_s1050" type="#_x0000_t202" style="position:absolute;margin-left:-22.55pt;margin-top:3.6pt;width:510.25pt;height:19.4pt;z-index:251701248;mso-width-relative:margin;mso-height-relative:margin" strokecolor="white [3212]">
            <v:textbox style="mso-next-textbox:#_x0000_s1050">
              <w:txbxContent>
                <w:p w14:paraId="718D3845" w14:textId="77777777"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1. </w:t>
                  </w:r>
                  <w:r w:rsidRPr="00296CAB">
                    <w:rPr>
                      <w:rFonts w:ascii="Times New Roman" w:hAnsi="Times New Roman" w:cs="Times New Roman"/>
                      <w:sz w:val="24"/>
                      <w:szCs w:val="24"/>
                    </w:rPr>
                    <w:t>Work Participation Rate in Mathura District, 2011</w:t>
                  </w:r>
                  <w:r>
                    <w:rPr>
                      <w:rFonts w:ascii="Times New Roman" w:hAnsi="Times New Roman" w:cs="Times New Roman"/>
                      <w:sz w:val="24"/>
                      <w:szCs w:val="24"/>
                    </w:rPr>
                    <w:t xml:space="preserve"> (In Percentage)</w:t>
                  </w:r>
                </w:p>
              </w:txbxContent>
            </v:textbox>
          </v:shape>
        </w:pict>
      </w:r>
    </w:p>
    <w:tbl>
      <w:tblPr>
        <w:tblW w:w="11435" w:type="dxa"/>
        <w:tblInd w:w="-1036" w:type="dxa"/>
        <w:tblLayout w:type="fixed"/>
        <w:tblLook w:val="04A0" w:firstRow="1" w:lastRow="0" w:firstColumn="1" w:lastColumn="0" w:noHBand="0" w:noVBand="1"/>
      </w:tblPr>
      <w:tblGrid>
        <w:gridCol w:w="455"/>
        <w:gridCol w:w="1133"/>
        <w:gridCol w:w="757"/>
        <w:gridCol w:w="900"/>
        <w:gridCol w:w="810"/>
        <w:gridCol w:w="810"/>
        <w:gridCol w:w="720"/>
        <w:gridCol w:w="900"/>
        <w:gridCol w:w="810"/>
        <w:gridCol w:w="720"/>
        <w:gridCol w:w="810"/>
        <w:gridCol w:w="900"/>
        <w:gridCol w:w="900"/>
        <w:gridCol w:w="810"/>
      </w:tblGrid>
      <w:tr w:rsidR="00E10F98" w:rsidRPr="006318D9" w14:paraId="2D351240" w14:textId="77777777" w:rsidTr="00E10F98">
        <w:trPr>
          <w:trHeight w:val="300"/>
        </w:trPr>
        <w:tc>
          <w:tcPr>
            <w:tcW w:w="455" w:type="dxa"/>
            <w:vMerge w:val="restart"/>
            <w:tcBorders>
              <w:top w:val="single" w:sz="4" w:space="0" w:color="auto"/>
              <w:left w:val="single" w:sz="4" w:space="0" w:color="auto"/>
              <w:right w:val="single" w:sz="4" w:space="0" w:color="auto"/>
            </w:tcBorders>
            <w:noWrap/>
            <w:vAlign w:val="center"/>
            <w:hideMark/>
          </w:tcPr>
          <w:p w14:paraId="67999AAE" w14:textId="77777777" w:rsidR="00E10F98" w:rsidRDefault="00E10F98" w:rsidP="00E10F98">
            <w:pPr>
              <w:spacing w:after="0" w:line="240" w:lineRule="auto"/>
              <w:jc w:val="center"/>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S.No</w:t>
            </w:r>
            <w:proofErr w:type="spellEnd"/>
            <w:r w:rsidRPr="006318D9">
              <w:rPr>
                <w:rFonts w:ascii="Times New Roman" w:eastAsia="Times New Roman" w:hAnsi="Times New Roman" w:cs="Times New Roman"/>
                <w:sz w:val="20"/>
                <w:szCs w:val="20"/>
                <w:lang w:bidi="hi-IN"/>
              </w:rPr>
              <w:t>.</w:t>
            </w:r>
          </w:p>
          <w:p w14:paraId="0ACFF72E" w14:textId="77777777" w:rsidR="00E10F98" w:rsidRPr="006318D9" w:rsidRDefault="00E10F98" w:rsidP="00E10F98">
            <w:pPr>
              <w:spacing w:after="0" w:line="240" w:lineRule="auto"/>
              <w:jc w:val="center"/>
              <w:rPr>
                <w:rFonts w:ascii="Times New Roman" w:eastAsia="Times New Roman" w:hAnsi="Times New Roman" w:cs="Times New Roman"/>
                <w:sz w:val="18"/>
                <w:szCs w:val="18"/>
                <w:lang w:bidi="hi-IN"/>
              </w:rPr>
            </w:pPr>
          </w:p>
        </w:tc>
        <w:tc>
          <w:tcPr>
            <w:tcW w:w="1133" w:type="dxa"/>
            <w:vMerge w:val="restart"/>
            <w:tcBorders>
              <w:top w:val="single" w:sz="4" w:space="0" w:color="auto"/>
              <w:left w:val="nil"/>
              <w:right w:val="single" w:sz="4" w:space="0" w:color="auto"/>
            </w:tcBorders>
            <w:noWrap/>
            <w:vAlign w:val="center"/>
            <w:hideMark/>
          </w:tcPr>
          <w:p w14:paraId="674A5DC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p w14:paraId="2AFB77E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Blocks</w:t>
            </w:r>
          </w:p>
        </w:tc>
        <w:tc>
          <w:tcPr>
            <w:tcW w:w="3277" w:type="dxa"/>
            <w:gridSpan w:val="4"/>
            <w:tcBorders>
              <w:top w:val="single" w:sz="4" w:space="0" w:color="auto"/>
              <w:left w:val="nil"/>
              <w:bottom w:val="single" w:sz="4" w:space="0" w:color="auto"/>
              <w:right w:val="single" w:sz="4" w:space="0" w:color="auto"/>
            </w:tcBorders>
            <w:vAlign w:val="center"/>
            <w:hideMark/>
          </w:tcPr>
          <w:p w14:paraId="0C32A026" w14:textId="77777777"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Person</w:t>
            </w:r>
          </w:p>
        </w:tc>
        <w:tc>
          <w:tcPr>
            <w:tcW w:w="3150" w:type="dxa"/>
            <w:gridSpan w:val="4"/>
            <w:tcBorders>
              <w:top w:val="single" w:sz="4" w:space="0" w:color="auto"/>
              <w:left w:val="nil"/>
              <w:bottom w:val="single" w:sz="4" w:space="0" w:color="auto"/>
              <w:right w:val="single" w:sz="4" w:space="0" w:color="auto"/>
            </w:tcBorders>
            <w:vAlign w:val="center"/>
            <w:hideMark/>
          </w:tcPr>
          <w:p w14:paraId="0D368822" w14:textId="77777777"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Male</w:t>
            </w:r>
          </w:p>
        </w:tc>
        <w:tc>
          <w:tcPr>
            <w:tcW w:w="3420" w:type="dxa"/>
            <w:gridSpan w:val="4"/>
            <w:tcBorders>
              <w:top w:val="single" w:sz="4" w:space="0" w:color="auto"/>
              <w:left w:val="nil"/>
              <w:bottom w:val="single" w:sz="4" w:space="0" w:color="auto"/>
              <w:right w:val="single" w:sz="4" w:space="0" w:color="auto"/>
            </w:tcBorders>
            <w:vAlign w:val="center"/>
            <w:hideMark/>
          </w:tcPr>
          <w:p w14:paraId="001127EB" w14:textId="77777777" w:rsidR="00E10F98" w:rsidRPr="006318D9"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6318D9">
              <w:rPr>
                <w:rFonts w:ascii="Times New Roman" w:eastAsia="Times New Roman" w:hAnsi="Times New Roman" w:cs="Times New Roman"/>
                <w:color w:val="000000"/>
                <w:sz w:val="20"/>
                <w:szCs w:val="20"/>
                <w:lang w:bidi="hi-IN"/>
              </w:rPr>
              <w:t>Female</w:t>
            </w:r>
          </w:p>
        </w:tc>
      </w:tr>
      <w:tr w:rsidR="00E10F98" w:rsidRPr="006318D9" w14:paraId="19539ED2" w14:textId="77777777" w:rsidTr="00E10F98">
        <w:trPr>
          <w:trHeight w:val="60"/>
        </w:trPr>
        <w:tc>
          <w:tcPr>
            <w:tcW w:w="455" w:type="dxa"/>
            <w:vMerge/>
            <w:tcBorders>
              <w:left w:val="single" w:sz="4" w:space="0" w:color="auto"/>
              <w:bottom w:val="single" w:sz="4" w:space="0" w:color="auto"/>
              <w:right w:val="single" w:sz="4" w:space="0" w:color="auto"/>
            </w:tcBorders>
            <w:noWrap/>
            <w:vAlign w:val="center"/>
            <w:hideMark/>
          </w:tcPr>
          <w:p w14:paraId="6809FDB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1133" w:type="dxa"/>
            <w:vMerge/>
            <w:tcBorders>
              <w:left w:val="nil"/>
              <w:bottom w:val="single" w:sz="4" w:space="0" w:color="auto"/>
              <w:right w:val="single" w:sz="4" w:space="0" w:color="auto"/>
            </w:tcBorders>
            <w:noWrap/>
            <w:vAlign w:val="center"/>
            <w:hideMark/>
          </w:tcPr>
          <w:p w14:paraId="62571C2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757" w:type="dxa"/>
            <w:tcBorders>
              <w:top w:val="nil"/>
              <w:left w:val="nil"/>
              <w:bottom w:val="single" w:sz="4" w:space="0" w:color="auto"/>
              <w:right w:val="single" w:sz="4" w:space="0" w:color="auto"/>
            </w:tcBorders>
            <w:vAlign w:val="center"/>
            <w:hideMark/>
          </w:tcPr>
          <w:p w14:paraId="42DF4F9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Main Worker</w:t>
            </w:r>
          </w:p>
        </w:tc>
        <w:tc>
          <w:tcPr>
            <w:tcW w:w="900" w:type="dxa"/>
            <w:tcBorders>
              <w:top w:val="nil"/>
              <w:left w:val="nil"/>
              <w:bottom w:val="single" w:sz="4" w:space="0" w:color="auto"/>
              <w:right w:val="single" w:sz="4" w:space="0" w:color="auto"/>
            </w:tcBorders>
            <w:vAlign w:val="center"/>
            <w:hideMark/>
          </w:tcPr>
          <w:p w14:paraId="0BFC5A4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Marginal Worker</w:t>
            </w:r>
          </w:p>
        </w:tc>
        <w:tc>
          <w:tcPr>
            <w:tcW w:w="810" w:type="dxa"/>
            <w:tcBorders>
              <w:top w:val="nil"/>
              <w:left w:val="nil"/>
              <w:bottom w:val="single" w:sz="4" w:space="0" w:color="auto"/>
              <w:right w:val="single" w:sz="4" w:space="0" w:color="auto"/>
            </w:tcBorders>
            <w:vAlign w:val="center"/>
            <w:hideMark/>
          </w:tcPr>
          <w:p w14:paraId="6B1F044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Total Workers</w:t>
            </w:r>
          </w:p>
        </w:tc>
        <w:tc>
          <w:tcPr>
            <w:tcW w:w="810" w:type="dxa"/>
            <w:tcBorders>
              <w:top w:val="nil"/>
              <w:left w:val="nil"/>
              <w:bottom w:val="single" w:sz="4" w:space="0" w:color="auto"/>
              <w:right w:val="single" w:sz="4" w:space="0" w:color="auto"/>
            </w:tcBorders>
            <w:vAlign w:val="center"/>
            <w:hideMark/>
          </w:tcPr>
          <w:p w14:paraId="1FF4902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t>Non Worker</w:t>
            </w:r>
            <w:proofErr w:type="gramEnd"/>
          </w:p>
        </w:tc>
        <w:tc>
          <w:tcPr>
            <w:tcW w:w="720" w:type="dxa"/>
            <w:tcBorders>
              <w:top w:val="nil"/>
              <w:left w:val="nil"/>
              <w:bottom w:val="single" w:sz="4" w:space="0" w:color="auto"/>
              <w:right w:val="single" w:sz="4" w:space="0" w:color="auto"/>
            </w:tcBorders>
            <w:vAlign w:val="center"/>
            <w:hideMark/>
          </w:tcPr>
          <w:p w14:paraId="044C13F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Main Worker</w:t>
            </w:r>
          </w:p>
        </w:tc>
        <w:tc>
          <w:tcPr>
            <w:tcW w:w="900" w:type="dxa"/>
            <w:tcBorders>
              <w:top w:val="nil"/>
              <w:left w:val="nil"/>
              <w:bottom w:val="single" w:sz="4" w:space="0" w:color="auto"/>
              <w:right w:val="single" w:sz="4" w:space="0" w:color="auto"/>
            </w:tcBorders>
            <w:vAlign w:val="center"/>
            <w:hideMark/>
          </w:tcPr>
          <w:p w14:paraId="75A5FF9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Marginal Worker</w:t>
            </w:r>
          </w:p>
        </w:tc>
        <w:tc>
          <w:tcPr>
            <w:tcW w:w="810" w:type="dxa"/>
            <w:tcBorders>
              <w:top w:val="nil"/>
              <w:left w:val="nil"/>
              <w:bottom w:val="single" w:sz="4" w:space="0" w:color="auto"/>
              <w:right w:val="single" w:sz="4" w:space="0" w:color="auto"/>
            </w:tcBorders>
            <w:vAlign w:val="center"/>
            <w:hideMark/>
          </w:tcPr>
          <w:p w14:paraId="7C4ADAB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Total Workers</w:t>
            </w:r>
          </w:p>
        </w:tc>
        <w:tc>
          <w:tcPr>
            <w:tcW w:w="720" w:type="dxa"/>
            <w:tcBorders>
              <w:top w:val="nil"/>
              <w:left w:val="nil"/>
              <w:bottom w:val="single" w:sz="4" w:space="0" w:color="auto"/>
              <w:right w:val="single" w:sz="4" w:space="0" w:color="auto"/>
            </w:tcBorders>
            <w:vAlign w:val="center"/>
            <w:hideMark/>
          </w:tcPr>
          <w:p w14:paraId="5EB53B0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t>Non Worker</w:t>
            </w:r>
            <w:proofErr w:type="gramEnd"/>
          </w:p>
        </w:tc>
        <w:tc>
          <w:tcPr>
            <w:tcW w:w="810" w:type="dxa"/>
            <w:tcBorders>
              <w:top w:val="nil"/>
              <w:left w:val="nil"/>
              <w:bottom w:val="single" w:sz="4" w:space="0" w:color="auto"/>
              <w:right w:val="single" w:sz="4" w:space="0" w:color="auto"/>
            </w:tcBorders>
            <w:vAlign w:val="center"/>
            <w:hideMark/>
          </w:tcPr>
          <w:p w14:paraId="69A65D5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Main Worker</w:t>
            </w:r>
          </w:p>
        </w:tc>
        <w:tc>
          <w:tcPr>
            <w:tcW w:w="900" w:type="dxa"/>
            <w:tcBorders>
              <w:top w:val="nil"/>
              <w:left w:val="nil"/>
              <w:bottom w:val="single" w:sz="4" w:space="0" w:color="auto"/>
              <w:right w:val="single" w:sz="4" w:space="0" w:color="auto"/>
            </w:tcBorders>
            <w:vAlign w:val="center"/>
            <w:hideMark/>
          </w:tcPr>
          <w:p w14:paraId="2E57149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Marginal Worker</w:t>
            </w:r>
          </w:p>
        </w:tc>
        <w:tc>
          <w:tcPr>
            <w:tcW w:w="900" w:type="dxa"/>
            <w:tcBorders>
              <w:top w:val="nil"/>
              <w:left w:val="nil"/>
              <w:bottom w:val="single" w:sz="4" w:space="0" w:color="auto"/>
              <w:right w:val="single" w:sz="4" w:space="0" w:color="auto"/>
            </w:tcBorders>
            <w:vAlign w:val="center"/>
            <w:hideMark/>
          </w:tcPr>
          <w:p w14:paraId="5DBCC93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Total Workers</w:t>
            </w:r>
          </w:p>
        </w:tc>
        <w:tc>
          <w:tcPr>
            <w:tcW w:w="810" w:type="dxa"/>
            <w:tcBorders>
              <w:top w:val="nil"/>
              <w:left w:val="nil"/>
              <w:bottom w:val="single" w:sz="4" w:space="0" w:color="auto"/>
              <w:right w:val="single" w:sz="4" w:space="0" w:color="auto"/>
            </w:tcBorders>
            <w:vAlign w:val="center"/>
            <w:hideMark/>
          </w:tcPr>
          <w:p w14:paraId="2E80AC0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roofErr w:type="gramStart"/>
            <w:r w:rsidRPr="006318D9">
              <w:rPr>
                <w:rFonts w:ascii="Times New Roman" w:eastAsia="Times New Roman" w:hAnsi="Times New Roman" w:cs="Times New Roman"/>
                <w:sz w:val="20"/>
                <w:szCs w:val="20"/>
                <w:lang w:bidi="hi-IN"/>
              </w:rPr>
              <w:t>Non Worker</w:t>
            </w:r>
            <w:proofErr w:type="gramEnd"/>
          </w:p>
        </w:tc>
      </w:tr>
      <w:tr w:rsidR="00E10F98" w:rsidRPr="006318D9" w14:paraId="05ACC7C7"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3800ACD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w:t>
            </w:r>
          </w:p>
        </w:tc>
        <w:tc>
          <w:tcPr>
            <w:tcW w:w="1133" w:type="dxa"/>
            <w:tcBorders>
              <w:top w:val="nil"/>
              <w:left w:val="nil"/>
              <w:bottom w:val="single" w:sz="4" w:space="0" w:color="auto"/>
              <w:right w:val="single" w:sz="4" w:space="0" w:color="auto"/>
            </w:tcBorders>
            <w:vAlign w:val="center"/>
            <w:hideMark/>
          </w:tcPr>
          <w:p w14:paraId="0CF28F31"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Nandgaon</w:t>
            </w:r>
            <w:proofErr w:type="spellEnd"/>
          </w:p>
        </w:tc>
        <w:tc>
          <w:tcPr>
            <w:tcW w:w="757" w:type="dxa"/>
            <w:tcBorders>
              <w:top w:val="nil"/>
              <w:left w:val="nil"/>
              <w:bottom w:val="single" w:sz="4" w:space="0" w:color="auto"/>
              <w:right w:val="single" w:sz="4" w:space="0" w:color="auto"/>
            </w:tcBorders>
            <w:vAlign w:val="center"/>
            <w:hideMark/>
          </w:tcPr>
          <w:p w14:paraId="506C064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25.61</w:t>
            </w:r>
          </w:p>
        </w:tc>
        <w:tc>
          <w:tcPr>
            <w:tcW w:w="900" w:type="dxa"/>
            <w:tcBorders>
              <w:top w:val="nil"/>
              <w:left w:val="nil"/>
              <w:bottom w:val="single" w:sz="4" w:space="0" w:color="auto"/>
              <w:right w:val="single" w:sz="4" w:space="0" w:color="auto"/>
            </w:tcBorders>
            <w:vAlign w:val="center"/>
            <w:hideMark/>
          </w:tcPr>
          <w:p w14:paraId="5B3A4DA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10.83</w:t>
            </w:r>
          </w:p>
        </w:tc>
        <w:tc>
          <w:tcPr>
            <w:tcW w:w="810" w:type="dxa"/>
            <w:tcBorders>
              <w:top w:val="nil"/>
              <w:left w:val="nil"/>
              <w:bottom w:val="single" w:sz="4" w:space="0" w:color="auto"/>
              <w:right w:val="single" w:sz="4" w:space="0" w:color="auto"/>
            </w:tcBorders>
            <w:noWrap/>
            <w:vAlign w:val="center"/>
            <w:hideMark/>
          </w:tcPr>
          <w:p w14:paraId="66C0DFE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36.44</w:t>
            </w:r>
          </w:p>
        </w:tc>
        <w:tc>
          <w:tcPr>
            <w:tcW w:w="810" w:type="dxa"/>
            <w:tcBorders>
              <w:top w:val="nil"/>
              <w:left w:val="nil"/>
              <w:bottom w:val="single" w:sz="4" w:space="0" w:color="auto"/>
              <w:right w:val="single" w:sz="4" w:space="0" w:color="auto"/>
            </w:tcBorders>
            <w:vAlign w:val="center"/>
            <w:hideMark/>
          </w:tcPr>
          <w:p w14:paraId="105B30B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63.57</w:t>
            </w:r>
          </w:p>
        </w:tc>
        <w:tc>
          <w:tcPr>
            <w:tcW w:w="720" w:type="dxa"/>
            <w:tcBorders>
              <w:top w:val="nil"/>
              <w:left w:val="nil"/>
              <w:bottom w:val="single" w:sz="4" w:space="0" w:color="auto"/>
              <w:right w:val="single" w:sz="4" w:space="0" w:color="auto"/>
            </w:tcBorders>
            <w:vAlign w:val="center"/>
            <w:hideMark/>
          </w:tcPr>
          <w:p w14:paraId="15677C2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37.23</w:t>
            </w:r>
          </w:p>
        </w:tc>
        <w:tc>
          <w:tcPr>
            <w:tcW w:w="900" w:type="dxa"/>
            <w:tcBorders>
              <w:top w:val="nil"/>
              <w:left w:val="nil"/>
              <w:bottom w:val="single" w:sz="4" w:space="0" w:color="auto"/>
              <w:right w:val="single" w:sz="4" w:space="0" w:color="auto"/>
            </w:tcBorders>
            <w:vAlign w:val="center"/>
            <w:hideMark/>
          </w:tcPr>
          <w:p w14:paraId="3E1277B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8.32</w:t>
            </w:r>
          </w:p>
        </w:tc>
        <w:tc>
          <w:tcPr>
            <w:tcW w:w="810" w:type="dxa"/>
            <w:tcBorders>
              <w:top w:val="nil"/>
              <w:left w:val="nil"/>
              <w:bottom w:val="single" w:sz="4" w:space="0" w:color="auto"/>
              <w:right w:val="single" w:sz="4" w:space="0" w:color="auto"/>
            </w:tcBorders>
            <w:noWrap/>
            <w:vAlign w:val="center"/>
            <w:hideMark/>
          </w:tcPr>
          <w:p w14:paraId="6587DDB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45.55</w:t>
            </w:r>
          </w:p>
        </w:tc>
        <w:tc>
          <w:tcPr>
            <w:tcW w:w="720" w:type="dxa"/>
            <w:tcBorders>
              <w:top w:val="nil"/>
              <w:left w:val="nil"/>
              <w:bottom w:val="single" w:sz="4" w:space="0" w:color="auto"/>
              <w:right w:val="single" w:sz="4" w:space="0" w:color="auto"/>
            </w:tcBorders>
            <w:vAlign w:val="center"/>
            <w:hideMark/>
          </w:tcPr>
          <w:p w14:paraId="2851390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54.44</w:t>
            </w:r>
          </w:p>
        </w:tc>
        <w:tc>
          <w:tcPr>
            <w:tcW w:w="810" w:type="dxa"/>
            <w:tcBorders>
              <w:top w:val="nil"/>
              <w:left w:val="nil"/>
              <w:bottom w:val="single" w:sz="4" w:space="0" w:color="auto"/>
              <w:right w:val="single" w:sz="4" w:space="0" w:color="auto"/>
            </w:tcBorders>
            <w:vAlign w:val="center"/>
            <w:hideMark/>
          </w:tcPr>
          <w:p w14:paraId="4F04A37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12.00</w:t>
            </w:r>
          </w:p>
        </w:tc>
        <w:tc>
          <w:tcPr>
            <w:tcW w:w="900" w:type="dxa"/>
            <w:tcBorders>
              <w:top w:val="nil"/>
              <w:left w:val="nil"/>
              <w:bottom w:val="single" w:sz="4" w:space="0" w:color="auto"/>
              <w:right w:val="single" w:sz="4" w:space="0" w:color="auto"/>
            </w:tcBorders>
            <w:vAlign w:val="center"/>
            <w:hideMark/>
          </w:tcPr>
          <w:p w14:paraId="7FFF1C3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13.75</w:t>
            </w:r>
          </w:p>
        </w:tc>
        <w:tc>
          <w:tcPr>
            <w:tcW w:w="900" w:type="dxa"/>
            <w:tcBorders>
              <w:top w:val="nil"/>
              <w:left w:val="nil"/>
              <w:bottom w:val="single" w:sz="4" w:space="0" w:color="auto"/>
              <w:right w:val="single" w:sz="4" w:space="0" w:color="auto"/>
            </w:tcBorders>
            <w:noWrap/>
            <w:vAlign w:val="center"/>
            <w:hideMark/>
          </w:tcPr>
          <w:p w14:paraId="78EA2E9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25.75</w:t>
            </w:r>
          </w:p>
        </w:tc>
        <w:tc>
          <w:tcPr>
            <w:tcW w:w="810" w:type="dxa"/>
            <w:tcBorders>
              <w:top w:val="nil"/>
              <w:left w:val="nil"/>
              <w:bottom w:val="single" w:sz="4" w:space="0" w:color="auto"/>
              <w:right w:val="single" w:sz="4" w:space="0" w:color="auto"/>
            </w:tcBorders>
            <w:vAlign w:val="center"/>
            <w:hideMark/>
          </w:tcPr>
          <w:p w14:paraId="4B0B258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74.25</w:t>
            </w:r>
          </w:p>
        </w:tc>
      </w:tr>
      <w:tr w:rsidR="00E10F98" w:rsidRPr="006318D9" w14:paraId="7E4DB977"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5078D53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w:t>
            </w:r>
          </w:p>
        </w:tc>
        <w:tc>
          <w:tcPr>
            <w:tcW w:w="1133" w:type="dxa"/>
            <w:tcBorders>
              <w:top w:val="nil"/>
              <w:left w:val="nil"/>
              <w:bottom w:val="single" w:sz="4" w:space="0" w:color="auto"/>
              <w:right w:val="single" w:sz="4" w:space="0" w:color="auto"/>
            </w:tcBorders>
            <w:vAlign w:val="center"/>
            <w:hideMark/>
          </w:tcPr>
          <w:p w14:paraId="46977F9C"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Chhata</w:t>
            </w:r>
          </w:p>
        </w:tc>
        <w:tc>
          <w:tcPr>
            <w:tcW w:w="757" w:type="dxa"/>
            <w:tcBorders>
              <w:top w:val="nil"/>
              <w:left w:val="nil"/>
              <w:bottom w:val="single" w:sz="4" w:space="0" w:color="auto"/>
              <w:right w:val="single" w:sz="4" w:space="0" w:color="auto"/>
            </w:tcBorders>
            <w:vAlign w:val="center"/>
            <w:hideMark/>
          </w:tcPr>
          <w:p w14:paraId="3D075019"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22.56</w:t>
            </w:r>
          </w:p>
        </w:tc>
        <w:tc>
          <w:tcPr>
            <w:tcW w:w="900" w:type="dxa"/>
            <w:tcBorders>
              <w:top w:val="nil"/>
              <w:left w:val="nil"/>
              <w:bottom w:val="single" w:sz="4" w:space="0" w:color="auto"/>
              <w:right w:val="single" w:sz="4" w:space="0" w:color="auto"/>
            </w:tcBorders>
            <w:vAlign w:val="center"/>
            <w:hideMark/>
          </w:tcPr>
          <w:p w14:paraId="5C98B369"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12.77</w:t>
            </w:r>
          </w:p>
        </w:tc>
        <w:tc>
          <w:tcPr>
            <w:tcW w:w="810" w:type="dxa"/>
            <w:tcBorders>
              <w:top w:val="nil"/>
              <w:left w:val="nil"/>
              <w:bottom w:val="single" w:sz="4" w:space="0" w:color="auto"/>
              <w:right w:val="single" w:sz="4" w:space="0" w:color="auto"/>
            </w:tcBorders>
            <w:noWrap/>
            <w:vAlign w:val="center"/>
            <w:hideMark/>
          </w:tcPr>
          <w:p w14:paraId="6927A54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35.33</w:t>
            </w:r>
          </w:p>
        </w:tc>
        <w:tc>
          <w:tcPr>
            <w:tcW w:w="810" w:type="dxa"/>
            <w:tcBorders>
              <w:top w:val="nil"/>
              <w:left w:val="nil"/>
              <w:bottom w:val="single" w:sz="4" w:space="0" w:color="auto"/>
              <w:right w:val="single" w:sz="4" w:space="0" w:color="auto"/>
            </w:tcBorders>
            <w:vAlign w:val="center"/>
            <w:hideMark/>
          </w:tcPr>
          <w:p w14:paraId="30FD52D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64.67</w:t>
            </w:r>
          </w:p>
        </w:tc>
        <w:tc>
          <w:tcPr>
            <w:tcW w:w="720" w:type="dxa"/>
            <w:tcBorders>
              <w:top w:val="nil"/>
              <w:left w:val="nil"/>
              <w:bottom w:val="single" w:sz="4" w:space="0" w:color="auto"/>
              <w:right w:val="single" w:sz="4" w:space="0" w:color="auto"/>
            </w:tcBorders>
            <w:vAlign w:val="center"/>
            <w:hideMark/>
          </w:tcPr>
          <w:p w14:paraId="0160C49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35.80</w:t>
            </w:r>
          </w:p>
        </w:tc>
        <w:tc>
          <w:tcPr>
            <w:tcW w:w="900" w:type="dxa"/>
            <w:tcBorders>
              <w:top w:val="nil"/>
              <w:left w:val="nil"/>
              <w:bottom w:val="single" w:sz="4" w:space="0" w:color="auto"/>
              <w:right w:val="single" w:sz="4" w:space="0" w:color="auto"/>
            </w:tcBorders>
            <w:vAlign w:val="center"/>
            <w:hideMark/>
          </w:tcPr>
          <w:p w14:paraId="7862F30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9.53</w:t>
            </w:r>
          </w:p>
        </w:tc>
        <w:tc>
          <w:tcPr>
            <w:tcW w:w="810" w:type="dxa"/>
            <w:tcBorders>
              <w:top w:val="nil"/>
              <w:left w:val="nil"/>
              <w:bottom w:val="single" w:sz="4" w:space="0" w:color="auto"/>
              <w:right w:val="single" w:sz="4" w:space="0" w:color="auto"/>
            </w:tcBorders>
            <w:noWrap/>
            <w:vAlign w:val="center"/>
            <w:hideMark/>
          </w:tcPr>
          <w:p w14:paraId="07123E6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45.33</w:t>
            </w:r>
          </w:p>
        </w:tc>
        <w:tc>
          <w:tcPr>
            <w:tcW w:w="720" w:type="dxa"/>
            <w:tcBorders>
              <w:top w:val="nil"/>
              <w:left w:val="nil"/>
              <w:bottom w:val="single" w:sz="4" w:space="0" w:color="auto"/>
              <w:right w:val="single" w:sz="4" w:space="0" w:color="auto"/>
            </w:tcBorders>
            <w:vAlign w:val="center"/>
            <w:hideMark/>
          </w:tcPr>
          <w:p w14:paraId="61F0687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54.66</w:t>
            </w:r>
          </w:p>
        </w:tc>
        <w:tc>
          <w:tcPr>
            <w:tcW w:w="810" w:type="dxa"/>
            <w:tcBorders>
              <w:top w:val="nil"/>
              <w:left w:val="nil"/>
              <w:bottom w:val="single" w:sz="4" w:space="0" w:color="auto"/>
              <w:right w:val="single" w:sz="4" w:space="0" w:color="auto"/>
            </w:tcBorders>
            <w:vAlign w:val="center"/>
            <w:hideMark/>
          </w:tcPr>
          <w:p w14:paraId="5EE41A1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7.09</w:t>
            </w:r>
          </w:p>
        </w:tc>
        <w:tc>
          <w:tcPr>
            <w:tcW w:w="900" w:type="dxa"/>
            <w:tcBorders>
              <w:top w:val="nil"/>
              <w:left w:val="nil"/>
              <w:bottom w:val="single" w:sz="4" w:space="0" w:color="auto"/>
              <w:right w:val="single" w:sz="4" w:space="0" w:color="auto"/>
            </w:tcBorders>
            <w:vAlign w:val="center"/>
            <w:hideMark/>
          </w:tcPr>
          <w:p w14:paraId="6FC97FB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16.54</w:t>
            </w:r>
          </w:p>
        </w:tc>
        <w:tc>
          <w:tcPr>
            <w:tcW w:w="900" w:type="dxa"/>
            <w:tcBorders>
              <w:top w:val="nil"/>
              <w:left w:val="nil"/>
              <w:bottom w:val="single" w:sz="4" w:space="0" w:color="auto"/>
              <w:right w:val="single" w:sz="4" w:space="0" w:color="auto"/>
            </w:tcBorders>
            <w:noWrap/>
            <w:vAlign w:val="center"/>
            <w:hideMark/>
          </w:tcPr>
          <w:p w14:paraId="203501B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23.63</w:t>
            </w:r>
          </w:p>
        </w:tc>
        <w:tc>
          <w:tcPr>
            <w:tcW w:w="810" w:type="dxa"/>
            <w:tcBorders>
              <w:top w:val="nil"/>
              <w:left w:val="nil"/>
              <w:bottom w:val="single" w:sz="4" w:space="0" w:color="auto"/>
              <w:right w:val="single" w:sz="4" w:space="0" w:color="auto"/>
            </w:tcBorders>
            <w:vAlign w:val="center"/>
            <w:hideMark/>
          </w:tcPr>
          <w:p w14:paraId="2C8ED35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76.37</w:t>
            </w:r>
          </w:p>
        </w:tc>
      </w:tr>
      <w:tr w:rsidR="00E10F98" w:rsidRPr="006318D9" w14:paraId="7B247FEB"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06D111C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w:t>
            </w:r>
          </w:p>
        </w:tc>
        <w:tc>
          <w:tcPr>
            <w:tcW w:w="1133" w:type="dxa"/>
            <w:tcBorders>
              <w:top w:val="nil"/>
              <w:left w:val="nil"/>
              <w:bottom w:val="single" w:sz="4" w:space="0" w:color="auto"/>
              <w:right w:val="single" w:sz="4" w:space="0" w:color="auto"/>
            </w:tcBorders>
            <w:vAlign w:val="center"/>
            <w:hideMark/>
          </w:tcPr>
          <w:p w14:paraId="1DA3C966"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Chaumuha</w:t>
            </w:r>
            <w:proofErr w:type="spellEnd"/>
          </w:p>
        </w:tc>
        <w:tc>
          <w:tcPr>
            <w:tcW w:w="757" w:type="dxa"/>
            <w:tcBorders>
              <w:top w:val="nil"/>
              <w:left w:val="nil"/>
              <w:bottom w:val="single" w:sz="4" w:space="0" w:color="auto"/>
              <w:right w:val="single" w:sz="4" w:space="0" w:color="auto"/>
            </w:tcBorders>
            <w:vAlign w:val="center"/>
            <w:hideMark/>
          </w:tcPr>
          <w:p w14:paraId="2F721A2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27.70</w:t>
            </w:r>
          </w:p>
        </w:tc>
        <w:tc>
          <w:tcPr>
            <w:tcW w:w="900" w:type="dxa"/>
            <w:tcBorders>
              <w:top w:val="nil"/>
              <w:left w:val="nil"/>
              <w:bottom w:val="single" w:sz="4" w:space="0" w:color="auto"/>
              <w:right w:val="single" w:sz="4" w:space="0" w:color="auto"/>
            </w:tcBorders>
            <w:vAlign w:val="center"/>
            <w:hideMark/>
          </w:tcPr>
          <w:p w14:paraId="4763458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12.86</w:t>
            </w:r>
          </w:p>
        </w:tc>
        <w:tc>
          <w:tcPr>
            <w:tcW w:w="810" w:type="dxa"/>
            <w:tcBorders>
              <w:top w:val="nil"/>
              <w:left w:val="nil"/>
              <w:bottom w:val="single" w:sz="4" w:space="0" w:color="auto"/>
              <w:right w:val="single" w:sz="4" w:space="0" w:color="auto"/>
            </w:tcBorders>
            <w:noWrap/>
            <w:vAlign w:val="center"/>
            <w:hideMark/>
          </w:tcPr>
          <w:p w14:paraId="466F3EA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40.56</w:t>
            </w:r>
          </w:p>
        </w:tc>
        <w:tc>
          <w:tcPr>
            <w:tcW w:w="810" w:type="dxa"/>
            <w:tcBorders>
              <w:top w:val="nil"/>
              <w:left w:val="nil"/>
              <w:bottom w:val="single" w:sz="4" w:space="0" w:color="auto"/>
              <w:right w:val="single" w:sz="4" w:space="0" w:color="auto"/>
            </w:tcBorders>
            <w:vAlign w:val="center"/>
            <w:hideMark/>
          </w:tcPr>
          <w:p w14:paraId="34C495F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59.45</w:t>
            </w:r>
          </w:p>
        </w:tc>
        <w:tc>
          <w:tcPr>
            <w:tcW w:w="720" w:type="dxa"/>
            <w:tcBorders>
              <w:top w:val="nil"/>
              <w:left w:val="nil"/>
              <w:bottom w:val="single" w:sz="4" w:space="0" w:color="auto"/>
              <w:right w:val="single" w:sz="4" w:space="0" w:color="auto"/>
            </w:tcBorders>
            <w:vAlign w:val="center"/>
            <w:hideMark/>
          </w:tcPr>
          <w:p w14:paraId="74BA0F2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38.86</w:t>
            </w:r>
          </w:p>
        </w:tc>
        <w:tc>
          <w:tcPr>
            <w:tcW w:w="900" w:type="dxa"/>
            <w:tcBorders>
              <w:top w:val="nil"/>
              <w:left w:val="nil"/>
              <w:bottom w:val="single" w:sz="4" w:space="0" w:color="auto"/>
              <w:right w:val="single" w:sz="4" w:space="0" w:color="auto"/>
            </w:tcBorders>
            <w:vAlign w:val="center"/>
            <w:hideMark/>
          </w:tcPr>
          <w:p w14:paraId="20E33C2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8.70</w:t>
            </w:r>
          </w:p>
        </w:tc>
        <w:tc>
          <w:tcPr>
            <w:tcW w:w="810" w:type="dxa"/>
            <w:tcBorders>
              <w:top w:val="nil"/>
              <w:left w:val="nil"/>
              <w:bottom w:val="single" w:sz="4" w:space="0" w:color="auto"/>
              <w:right w:val="single" w:sz="4" w:space="0" w:color="auto"/>
            </w:tcBorders>
            <w:noWrap/>
            <w:vAlign w:val="center"/>
            <w:hideMark/>
          </w:tcPr>
          <w:p w14:paraId="4886A16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47.56</w:t>
            </w:r>
          </w:p>
        </w:tc>
        <w:tc>
          <w:tcPr>
            <w:tcW w:w="720" w:type="dxa"/>
            <w:tcBorders>
              <w:top w:val="nil"/>
              <w:left w:val="nil"/>
              <w:bottom w:val="single" w:sz="4" w:space="0" w:color="auto"/>
              <w:right w:val="single" w:sz="4" w:space="0" w:color="auto"/>
            </w:tcBorders>
            <w:vAlign w:val="center"/>
            <w:hideMark/>
          </w:tcPr>
          <w:p w14:paraId="6FEB612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52.44</w:t>
            </w:r>
          </w:p>
        </w:tc>
        <w:tc>
          <w:tcPr>
            <w:tcW w:w="810" w:type="dxa"/>
            <w:tcBorders>
              <w:top w:val="nil"/>
              <w:left w:val="nil"/>
              <w:bottom w:val="single" w:sz="4" w:space="0" w:color="auto"/>
              <w:right w:val="single" w:sz="4" w:space="0" w:color="auto"/>
            </w:tcBorders>
            <w:vAlign w:val="center"/>
            <w:hideMark/>
          </w:tcPr>
          <w:p w14:paraId="33FA385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14.54</w:t>
            </w:r>
          </w:p>
        </w:tc>
        <w:tc>
          <w:tcPr>
            <w:tcW w:w="900" w:type="dxa"/>
            <w:tcBorders>
              <w:top w:val="nil"/>
              <w:left w:val="nil"/>
              <w:bottom w:val="single" w:sz="4" w:space="0" w:color="auto"/>
              <w:right w:val="single" w:sz="4" w:space="0" w:color="auto"/>
            </w:tcBorders>
            <w:vAlign w:val="center"/>
            <w:hideMark/>
          </w:tcPr>
          <w:p w14:paraId="214FECC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17.75</w:t>
            </w:r>
          </w:p>
        </w:tc>
        <w:tc>
          <w:tcPr>
            <w:tcW w:w="900" w:type="dxa"/>
            <w:tcBorders>
              <w:top w:val="nil"/>
              <w:left w:val="nil"/>
              <w:bottom w:val="single" w:sz="4" w:space="0" w:color="auto"/>
              <w:right w:val="single" w:sz="4" w:space="0" w:color="auto"/>
            </w:tcBorders>
            <w:noWrap/>
            <w:vAlign w:val="center"/>
            <w:hideMark/>
          </w:tcPr>
          <w:p w14:paraId="123B1DE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32.29</w:t>
            </w:r>
          </w:p>
        </w:tc>
        <w:tc>
          <w:tcPr>
            <w:tcW w:w="810" w:type="dxa"/>
            <w:tcBorders>
              <w:top w:val="nil"/>
              <w:left w:val="nil"/>
              <w:bottom w:val="single" w:sz="4" w:space="0" w:color="auto"/>
              <w:right w:val="single" w:sz="4" w:space="0" w:color="auto"/>
            </w:tcBorders>
            <w:vAlign w:val="center"/>
            <w:hideMark/>
          </w:tcPr>
          <w:p w14:paraId="00F6123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67.71</w:t>
            </w:r>
          </w:p>
        </w:tc>
      </w:tr>
      <w:tr w:rsidR="00E10F98" w:rsidRPr="006318D9" w14:paraId="09A7751F"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424C5B5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w:t>
            </w:r>
          </w:p>
        </w:tc>
        <w:tc>
          <w:tcPr>
            <w:tcW w:w="1133" w:type="dxa"/>
            <w:tcBorders>
              <w:top w:val="nil"/>
              <w:left w:val="nil"/>
              <w:bottom w:val="single" w:sz="4" w:space="0" w:color="auto"/>
              <w:right w:val="single" w:sz="4" w:space="0" w:color="auto"/>
            </w:tcBorders>
            <w:vAlign w:val="center"/>
            <w:hideMark/>
          </w:tcPr>
          <w:p w14:paraId="06585566"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proofErr w:type="spellStart"/>
            <w:r w:rsidRPr="006318D9">
              <w:rPr>
                <w:rFonts w:ascii="Times New Roman" w:eastAsia="Times New Roman" w:hAnsi="Times New Roman" w:cs="Times New Roman"/>
                <w:sz w:val="20"/>
                <w:szCs w:val="20"/>
                <w:lang w:bidi="hi-IN"/>
              </w:rPr>
              <w:t>Nohjhil</w:t>
            </w:r>
            <w:proofErr w:type="spellEnd"/>
          </w:p>
        </w:tc>
        <w:tc>
          <w:tcPr>
            <w:tcW w:w="757" w:type="dxa"/>
            <w:tcBorders>
              <w:top w:val="nil"/>
              <w:left w:val="nil"/>
              <w:bottom w:val="single" w:sz="4" w:space="0" w:color="auto"/>
              <w:right w:val="single" w:sz="4" w:space="0" w:color="auto"/>
            </w:tcBorders>
            <w:vAlign w:val="center"/>
            <w:hideMark/>
          </w:tcPr>
          <w:p w14:paraId="05D0E02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22.35</w:t>
            </w:r>
          </w:p>
        </w:tc>
        <w:tc>
          <w:tcPr>
            <w:tcW w:w="900" w:type="dxa"/>
            <w:tcBorders>
              <w:top w:val="nil"/>
              <w:left w:val="nil"/>
              <w:bottom w:val="single" w:sz="4" w:space="0" w:color="auto"/>
              <w:right w:val="single" w:sz="4" w:space="0" w:color="auto"/>
            </w:tcBorders>
            <w:vAlign w:val="center"/>
            <w:hideMark/>
          </w:tcPr>
          <w:p w14:paraId="3934178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12.12</w:t>
            </w:r>
          </w:p>
        </w:tc>
        <w:tc>
          <w:tcPr>
            <w:tcW w:w="810" w:type="dxa"/>
            <w:tcBorders>
              <w:top w:val="nil"/>
              <w:left w:val="nil"/>
              <w:bottom w:val="single" w:sz="4" w:space="0" w:color="auto"/>
              <w:right w:val="single" w:sz="4" w:space="0" w:color="auto"/>
            </w:tcBorders>
            <w:noWrap/>
            <w:vAlign w:val="center"/>
            <w:hideMark/>
          </w:tcPr>
          <w:p w14:paraId="1E785ED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34.47</w:t>
            </w:r>
          </w:p>
        </w:tc>
        <w:tc>
          <w:tcPr>
            <w:tcW w:w="810" w:type="dxa"/>
            <w:tcBorders>
              <w:top w:val="nil"/>
              <w:left w:val="nil"/>
              <w:bottom w:val="single" w:sz="4" w:space="0" w:color="auto"/>
              <w:right w:val="single" w:sz="4" w:space="0" w:color="auto"/>
            </w:tcBorders>
            <w:vAlign w:val="center"/>
            <w:hideMark/>
          </w:tcPr>
          <w:p w14:paraId="0ADAC65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65.53</w:t>
            </w:r>
          </w:p>
        </w:tc>
        <w:tc>
          <w:tcPr>
            <w:tcW w:w="720" w:type="dxa"/>
            <w:tcBorders>
              <w:top w:val="nil"/>
              <w:left w:val="nil"/>
              <w:bottom w:val="single" w:sz="4" w:space="0" w:color="auto"/>
              <w:right w:val="single" w:sz="4" w:space="0" w:color="auto"/>
            </w:tcBorders>
            <w:vAlign w:val="center"/>
            <w:hideMark/>
          </w:tcPr>
          <w:p w14:paraId="05F854A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34.20</w:t>
            </w:r>
          </w:p>
        </w:tc>
        <w:tc>
          <w:tcPr>
            <w:tcW w:w="900" w:type="dxa"/>
            <w:tcBorders>
              <w:top w:val="nil"/>
              <w:left w:val="nil"/>
              <w:bottom w:val="single" w:sz="4" w:space="0" w:color="auto"/>
              <w:right w:val="single" w:sz="4" w:space="0" w:color="auto"/>
            </w:tcBorders>
            <w:vAlign w:val="center"/>
            <w:hideMark/>
          </w:tcPr>
          <w:p w14:paraId="22D411A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11.60</w:t>
            </w:r>
          </w:p>
        </w:tc>
        <w:tc>
          <w:tcPr>
            <w:tcW w:w="810" w:type="dxa"/>
            <w:tcBorders>
              <w:top w:val="nil"/>
              <w:left w:val="nil"/>
              <w:bottom w:val="single" w:sz="4" w:space="0" w:color="auto"/>
              <w:right w:val="single" w:sz="4" w:space="0" w:color="auto"/>
            </w:tcBorders>
            <w:noWrap/>
            <w:vAlign w:val="center"/>
            <w:hideMark/>
          </w:tcPr>
          <w:p w14:paraId="3CB56FE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45.80</w:t>
            </w:r>
          </w:p>
        </w:tc>
        <w:tc>
          <w:tcPr>
            <w:tcW w:w="720" w:type="dxa"/>
            <w:tcBorders>
              <w:top w:val="nil"/>
              <w:left w:val="nil"/>
              <w:bottom w:val="single" w:sz="4" w:space="0" w:color="auto"/>
              <w:right w:val="single" w:sz="4" w:space="0" w:color="auto"/>
            </w:tcBorders>
            <w:vAlign w:val="center"/>
            <w:hideMark/>
          </w:tcPr>
          <w:p w14:paraId="1793F5E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54.20</w:t>
            </w:r>
          </w:p>
        </w:tc>
        <w:tc>
          <w:tcPr>
            <w:tcW w:w="810" w:type="dxa"/>
            <w:tcBorders>
              <w:top w:val="nil"/>
              <w:left w:val="nil"/>
              <w:bottom w:val="single" w:sz="4" w:space="0" w:color="auto"/>
              <w:right w:val="single" w:sz="4" w:space="0" w:color="auto"/>
            </w:tcBorders>
            <w:vAlign w:val="center"/>
            <w:hideMark/>
          </w:tcPr>
          <w:p w14:paraId="224C41E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8.71</w:t>
            </w:r>
          </w:p>
        </w:tc>
        <w:tc>
          <w:tcPr>
            <w:tcW w:w="900" w:type="dxa"/>
            <w:tcBorders>
              <w:top w:val="nil"/>
              <w:left w:val="nil"/>
              <w:bottom w:val="single" w:sz="4" w:space="0" w:color="auto"/>
              <w:right w:val="single" w:sz="4" w:space="0" w:color="auto"/>
            </w:tcBorders>
            <w:vAlign w:val="center"/>
            <w:hideMark/>
          </w:tcPr>
          <w:p w14:paraId="628834B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12.72</w:t>
            </w:r>
          </w:p>
        </w:tc>
        <w:tc>
          <w:tcPr>
            <w:tcW w:w="900" w:type="dxa"/>
            <w:tcBorders>
              <w:top w:val="nil"/>
              <w:left w:val="nil"/>
              <w:bottom w:val="single" w:sz="4" w:space="0" w:color="auto"/>
              <w:right w:val="single" w:sz="4" w:space="0" w:color="auto"/>
            </w:tcBorders>
            <w:noWrap/>
            <w:vAlign w:val="center"/>
            <w:hideMark/>
          </w:tcPr>
          <w:p w14:paraId="1E5B6AD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21.43</w:t>
            </w:r>
          </w:p>
        </w:tc>
        <w:tc>
          <w:tcPr>
            <w:tcW w:w="810" w:type="dxa"/>
            <w:tcBorders>
              <w:top w:val="nil"/>
              <w:left w:val="nil"/>
              <w:bottom w:val="single" w:sz="4" w:space="0" w:color="auto"/>
              <w:right w:val="single" w:sz="4" w:space="0" w:color="auto"/>
            </w:tcBorders>
            <w:vAlign w:val="center"/>
            <w:hideMark/>
          </w:tcPr>
          <w:p w14:paraId="341E4E1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78.57</w:t>
            </w:r>
          </w:p>
        </w:tc>
      </w:tr>
      <w:tr w:rsidR="00E10F98" w:rsidRPr="006318D9" w14:paraId="1411BDBA"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7844DDC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w:t>
            </w:r>
          </w:p>
        </w:tc>
        <w:tc>
          <w:tcPr>
            <w:tcW w:w="1133" w:type="dxa"/>
            <w:tcBorders>
              <w:top w:val="nil"/>
              <w:left w:val="nil"/>
              <w:bottom w:val="single" w:sz="4" w:space="0" w:color="auto"/>
              <w:right w:val="single" w:sz="4" w:space="0" w:color="auto"/>
            </w:tcBorders>
            <w:vAlign w:val="center"/>
            <w:hideMark/>
          </w:tcPr>
          <w:p w14:paraId="04FD325A"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Mat</w:t>
            </w:r>
          </w:p>
        </w:tc>
        <w:tc>
          <w:tcPr>
            <w:tcW w:w="757" w:type="dxa"/>
            <w:tcBorders>
              <w:top w:val="nil"/>
              <w:left w:val="nil"/>
              <w:bottom w:val="single" w:sz="4" w:space="0" w:color="auto"/>
              <w:right w:val="single" w:sz="4" w:space="0" w:color="auto"/>
            </w:tcBorders>
            <w:vAlign w:val="center"/>
            <w:hideMark/>
          </w:tcPr>
          <w:p w14:paraId="0081615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22.36</w:t>
            </w:r>
          </w:p>
        </w:tc>
        <w:tc>
          <w:tcPr>
            <w:tcW w:w="900" w:type="dxa"/>
            <w:tcBorders>
              <w:top w:val="nil"/>
              <w:left w:val="nil"/>
              <w:bottom w:val="single" w:sz="4" w:space="0" w:color="auto"/>
              <w:right w:val="single" w:sz="4" w:space="0" w:color="auto"/>
            </w:tcBorders>
            <w:vAlign w:val="center"/>
            <w:hideMark/>
          </w:tcPr>
          <w:p w14:paraId="7E810F3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13.70</w:t>
            </w:r>
          </w:p>
        </w:tc>
        <w:tc>
          <w:tcPr>
            <w:tcW w:w="810" w:type="dxa"/>
            <w:tcBorders>
              <w:top w:val="nil"/>
              <w:left w:val="nil"/>
              <w:bottom w:val="single" w:sz="4" w:space="0" w:color="auto"/>
              <w:right w:val="single" w:sz="4" w:space="0" w:color="auto"/>
            </w:tcBorders>
            <w:noWrap/>
            <w:vAlign w:val="center"/>
            <w:hideMark/>
          </w:tcPr>
          <w:p w14:paraId="38328AE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36.06</w:t>
            </w:r>
          </w:p>
        </w:tc>
        <w:tc>
          <w:tcPr>
            <w:tcW w:w="810" w:type="dxa"/>
            <w:tcBorders>
              <w:top w:val="nil"/>
              <w:left w:val="nil"/>
              <w:bottom w:val="single" w:sz="4" w:space="0" w:color="auto"/>
              <w:right w:val="single" w:sz="4" w:space="0" w:color="auto"/>
            </w:tcBorders>
            <w:vAlign w:val="center"/>
            <w:hideMark/>
          </w:tcPr>
          <w:p w14:paraId="06087D8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63.95</w:t>
            </w:r>
          </w:p>
        </w:tc>
        <w:tc>
          <w:tcPr>
            <w:tcW w:w="720" w:type="dxa"/>
            <w:tcBorders>
              <w:top w:val="nil"/>
              <w:left w:val="nil"/>
              <w:bottom w:val="single" w:sz="4" w:space="0" w:color="auto"/>
              <w:right w:val="single" w:sz="4" w:space="0" w:color="auto"/>
            </w:tcBorders>
            <w:vAlign w:val="center"/>
            <w:hideMark/>
          </w:tcPr>
          <w:p w14:paraId="0EC4F00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34.47</w:t>
            </w:r>
          </w:p>
        </w:tc>
        <w:tc>
          <w:tcPr>
            <w:tcW w:w="900" w:type="dxa"/>
            <w:tcBorders>
              <w:top w:val="nil"/>
              <w:left w:val="nil"/>
              <w:bottom w:val="single" w:sz="4" w:space="0" w:color="auto"/>
              <w:right w:val="single" w:sz="4" w:space="0" w:color="auto"/>
            </w:tcBorders>
            <w:vAlign w:val="center"/>
            <w:hideMark/>
          </w:tcPr>
          <w:p w14:paraId="3437F3D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13.16</w:t>
            </w:r>
          </w:p>
        </w:tc>
        <w:tc>
          <w:tcPr>
            <w:tcW w:w="810" w:type="dxa"/>
            <w:tcBorders>
              <w:top w:val="nil"/>
              <w:left w:val="nil"/>
              <w:bottom w:val="single" w:sz="4" w:space="0" w:color="auto"/>
              <w:right w:val="single" w:sz="4" w:space="0" w:color="auto"/>
            </w:tcBorders>
            <w:noWrap/>
            <w:vAlign w:val="center"/>
            <w:hideMark/>
          </w:tcPr>
          <w:p w14:paraId="619134C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47.63</w:t>
            </w:r>
          </w:p>
        </w:tc>
        <w:tc>
          <w:tcPr>
            <w:tcW w:w="720" w:type="dxa"/>
            <w:tcBorders>
              <w:top w:val="nil"/>
              <w:left w:val="nil"/>
              <w:bottom w:val="single" w:sz="4" w:space="0" w:color="auto"/>
              <w:right w:val="single" w:sz="4" w:space="0" w:color="auto"/>
            </w:tcBorders>
            <w:vAlign w:val="center"/>
            <w:hideMark/>
          </w:tcPr>
          <w:p w14:paraId="1AA365D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52.37</w:t>
            </w:r>
          </w:p>
        </w:tc>
        <w:tc>
          <w:tcPr>
            <w:tcW w:w="810" w:type="dxa"/>
            <w:tcBorders>
              <w:top w:val="nil"/>
              <w:left w:val="nil"/>
              <w:bottom w:val="single" w:sz="4" w:space="0" w:color="auto"/>
              <w:right w:val="single" w:sz="4" w:space="0" w:color="auto"/>
            </w:tcBorders>
            <w:vAlign w:val="center"/>
            <w:hideMark/>
          </w:tcPr>
          <w:p w14:paraId="0986493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8.38</w:t>
            </w:r>
          </w:p>
        </w:tc>
        <w:tc>
          <w:tcPr>
            <w:tcW w:w="900" w:type="dxa"/>
            <w:tcBorders>
              <w:top w:val="nil"/>
              <w:left w:val="nil"/>
              <w:bottom w:val="single" w:sz="4" w:space="0" w:color="auto"/>
              <w:right w:val="single" w:sz="4" w:space="0" w:color="auto"/>
            </w:tcBorders>
            <w:vAlign w:val="center"/>
            <w:hideMark/>
          </w:tcPr>
          <w:p w14:paraId="7FB281B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14.32</w:t>
            </w:r>
          </w:p>
        </w:tc>
        <w:tc>
          <w:tcPr>
            <w:tcW w:w="900" w:type="dxa"/>
            <w:tcBorders>
              <w:top w:val="nil"/>
              <w:left w:val="nil"/>
              <w:bottom w:val="single" w:sz="4" w:space="0" w:color="auto"/>
              <w:right w:val="single" w:sz="4" w:space="0" w:color="auto"/>
            </w:tcBorders>
            <w:noWrap/>
            <w:vAlign w:val="center"/>
            <w:hideMark/>
          </w:tcPr>
          <w:p w14:paraId="7E281E8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22.70</w:t>
            </w:r>
          </w:p>
        </w:tc>
        <w:tc>
          <w:tcPr>
            <w:tcW w:w="810" w:type="dxa"/>
            <w:tcBorders>
              <w:top w:val="nil"/>
              <w:left w:val="nil"/>
              <w:bottom w:val="single" w:sz="4" w:space="0" w:color="auto"/>
              <w:right w:val="single" w:sz="4" w:space="0" w:color="auto"/>
            </w:tcBorders>
            <w:vAlign w:val="center"/>
            <w:hideMark/>
          </w:tcPr>
          <w:p w14:paraId="642900D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77.30</w:t>
            </w:r>
          </w:p>
        </w:tc>
      </w:tr>
      <w:tr w:rsidR="00E10F98" w:rsidRPr="006318D9" w14:paraId="7E5F50CC"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07A853F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w:t>
            </w:r>
          </w:p>
        </w:tc>
        <w:tc>
          <w:tcPr>
            <w:tcW w:w="1133" w:type="dxa"/>
            <w:tcBorders>
              <w:top w:val="nil"/>
              <w:left w:val="nil"/>
              <w:bottom w:val="single" w:sz="4" w:space="0" w:color="auto"/>
              <w:right w:val="single" w:sz="4" w:space="0" w:color="auto"/>
            </w:tcBorders>
            <w:vAlign w:val="center"/>
            <w:hideMark/>
          </w:tcPr>
          <w:p w14:paraId="5FA960C6"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Raya</w:t>
            </w:r>
          </w:p>
        </w:tc>
        <w:tc>
          <w:tcPr>
            <w:tcW w:w="757" w:type="dxa"/>
            <w:tcBorders>
              <w:top w:val="nil"/>
              <w:left w:val="nil"/>
              <w:bottom w:val="single" w:sz="4" w:space="0" w:color="auto"/>
              <w:right w:val="single" w:sz="4" w:space="0" w:color="auto"/>
            </w:tcBorders>
            <w:vAlign w:val="center"/>
            <w:hideMark/>
          </w:tcPr>
          <w:p w14:paraId="7FF2816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22.48</w:t>
            </w:r>
          </w:p>
        </w:tc>
        <w:tc>
          <w:tcPr>
            <w:tcW w:w="900" w:type="dxa"/>
            <w:tcBorders>
              <w:top w:val="nil"/>
              <w:left w:val="nil"/>
              <w:bottom w:val="single" w:sz="4" w:space="0" w:color="auto"/>
              <w:right w:val="single" w:sz="4" w:space="0" w:color="auto"/>
            </w:tcBorders>
            <w:vAlign w:val="center"/>
            <w:hideMark/>
          </w:tcPr>
          <w:p w14:paraId="155BB88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11.15</w:t>
            </w:r>
          </w:p>
        </w:tc>
        <w:tc>
          <w:tcPr>
            <w:tcW w:w="810" w:type="dxa"/>
            <w:tcBorders>
              <w:top w:val="nil"/>
              <w:left w:val="nil"/>
              <w:bottom w:val="single" w:sz="4" w:space="0" w:color="auto"/>
              <w:right w:val="single" w:sz="4" w:space="0" w:color="auto"/>
            </w:tcBorders>
            <w:noWrap/>
            <w:vAlign w:val="center"/>
            <w:hideMark/>
          </w:tcPr>
          <w:p w14:paraId="7AC2874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33.63</w:t>
            </w:r>
          </w:p>
        </w:tc>
        <w:tc>
          <w:tcPr>
            <w:tcW w:w="810" w:type="dxa"/>
            <w:tcBorders>
              <w:top w:val="nil"/>
              <w:left w:val="nil"/>
              <w:bottom w:val="single" w:sz="4" w:space="0" w:color="auto"/>
              <w:right w:val="single" w:sz="4" w:space="0" w:color="auto"/>
            </w:tcBorders>
            <w:vAlign w:val="center"/>
            <w:hideMark/>
          </w:tcPr>
          <w:p w14:paraId="13CC9B2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66.36</w:t>
            </w:r>
          </w:p>
        </w:tc>
        <w:tc>
          <w:tcPr>
            <w:tcW w:w="720" w:type="dxa"/>
            <w:tcBorders>
              <w:top w:val="nil"/>
              <w:left w:val="nil"/>
              <w:bottom w:val="single" w:sz="4" w:space="0" w:color="auto"/>
              <w:right w:val="single" w:sz="4" w:space="0" w:color="auto"/>
            </w:tcBorders>
            <w:vAlign w:val="center"/>
            <w:hideMark/>
          </w:tcPr>
          <w:p w14:paraId="2B6880B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35.66</w:t>
            </w:r>
          </w:p>
        </w:tc>
        <w:tc>
          <w:tcPr>
            <w:tcW w:w="900" w:type="dxa"/>
            <w:tcBorders>
              <w:top w:val="nil"/>
              <w:left w:val="nil"/>
              <w:bottom w:val="single" w:sz="4" w:space="0" w:color="auto"/>
              <w:right w:val="single" w:sz="4" w:space="0" w:color="auto"/>
            </w:tcBorders>
            <w:vAlign w:val="center"/>
            <w:hideMark/>
          </w:tcPr>
          <w:p w14:paraId="631F58C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10.54</w:t>
            </w:r>
          </w:p>
        </w:tc>
        <w:tc>
          <w:tcPr>
            <w:tcW w:w="810" w:type="dxa"/>
            <w:tcBorders>
              <w:top w:val="nil"/>
              <w:left w:val="nil"/>
              <w:bottom w:val="single" w:sz="4" w:space="0" w:color="auto"/>
              <w:right w:val="single" w:sz="4" w:space="0" w:color="auto"/>
            </w:tcBorders>
            <w:noWrap/>
            <w:vAlign w:val="center"/>
            <w:hideMark/>
          </w:tcPr>
          <w:p w14:paraId="449EACA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46.20</w:t>
            </w:r>
          </w:p>
        </w:tc>
        <w:tc>
          <w:tcPr>
            <w:tcW w:w="720" w:type="dxa"/>
            <w:tcBorders>
              <w:top w:val="nil"/>
              <w:left w:val="nil"/>
              <w:bottom w:val="single" w:sz="4" w:space="0" w:color="auto"/>
              <w:right w:val="single" w:sz="4" w:space="0" w:color="auto"/>
            </w:tcBorders>
            <w:vAlign w:val="center"/>
            <w:hideMark/>
          </w:tcPr>
          <w:p w14:paraId="1651758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53.79</w:t>
            </w:r>
          </w:p>
        </w:tc>
        <w:tc>
          <w:tcPr>
            <w:tcW w:w="810" w:type="dxa"/>
            <w:tcBorders>
              <w:top w:val="nil"/>
              <w:left w:val="nil"/>
              <w:bottom w:val="single" w:sz="4" w:space="0" w:color="auto"/>
              <w:right w:val="single" w:sz="4" w:space="0" w:color="auto"/>
            </w:tcBorders>
            <w:vAlign w:val="center"/>
            <w:hideMark/>
          </w:tcPr>
          <w:p w14:paraId="4E15A79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7.23</w:t>
            </w:r>
          </w:p>
        </w:tc>
        <w:tc>
          <w:tcPr>
            <w:tcW w:w="900" w:type="dxa"/>
            <w:tcBorders>
              <w:top w:val="nil"/>
              <w:left w:val="nil"/>
              <w:bottom w:val="single" w:sz="4" w:space="0" w:color="auto"/>
              <w:right w:val="single" w:sz="4" w:space="0" w:color="auto"/>
            </w:tcBorders>
            <w:vAlign w:val="center"/>
            <w:hideMark/>
          </w:tcPr>
          <w:p w14:paraId="2FCBEC0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11.86</w:t>
            </w:r>
          </w:p>
        </w:tc>
        <w:tc>
          <w:tcPr>
            <w:tcW w:w="900" w:type="dxa"/>
            <w:tcBorders>
              <w:top w:val="nil"/>
              <w:left w:val="nil"/>
              <w:bottom w:val="single" w:sz="4" w:space="0" w:color="auto"/>
              <w:right w:val="single" w:sz="4" w:space="0" w:color="auto"/>
            </w:tcBorders>
            <w:noWrap/>
            <w:vAlign w:val="center"/>
            <w:hideMark/>
          </w:tcPr>
          <w:p w14:paraId="3D2AB90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19.09</w:t>
            </w:r>
          </w:p>
        </w:tc>
        <w:tc>
          <w:tcPr>
            <w:tcW w:w="810" w:type="dxa"/>
            <w:tcBorders>
              <w:top w:val="nil"/>
              <w:left w:val="nil"/>
              <w:bottom w:val="single" w:sz="4" w:space="0" w:color="auto"/>
              <w:right w:val="single" w:sz="4" w:space="0" w:color="auto"/>
            </w:tcBorders>
            <w:vAlign w:val="center"/>
            <w:hideMark/>
          </w:tcPr>
          <w:p w14:paraId="2B08743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80.91</w:t>
            </w:r>
          </w:p>
        </w:tc>
      </w:tr>
      <w:tr w:rsidR="00E10F98" w:rsidRPr="006318D9" w14:paraId="11B33F73"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29AB94C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w:t>
            </w:r>
          </w:p>
        </w:tc>
        <w:tc>
          <w:tcPr>
            <w:tcW w:w="1133" w:type="dxa"/>
            <w:tcBorders>
              <w:top w:val="nil"/>
              <w:left w:val="nil"/>
              <w:bottom w:val="single" w:sz="4" w:space="0" w:color="auto"/>
              <w:right w:val="single" w:sz="4" w:space="0" w:color="auto"/>
            </w:tcBorders>
            <w:vAlign w:val="center"/>
            <w:hideMark/>
          </w:tcPr>
          <w:p w14:paraId="3676604B"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Govardhan</w:t>
            </w:r>
          </w:p>
        </w:tc>
        <w:tc>
          <w:tcPr>
            <w:tcW w:w="757" w:type="dxa"/>
            <w:tcBorders>
              <w:top w:val="nil"/>
              <w:left w:val="nil"/>
              <w:bottom w:val="single" w:sz="4" w:space="0" w:color="auto"/>
              <w:right w:val="single" w:sz="4" w:space="0" w:color="auto"/>
            </w:tcBorders>
            <w:vAlign w:val="center"/>
            <w:hideMark/>
          </w:tcPr>
          <w:p w14:paraId="7658EF3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21.94</w:t>
            </w:r>
          </w:p>
        </w:tc>
        <w:tc>
          <w:tcPr>
            <w:tcW w:w="900" w:type="dxa"/>
            <w:tcBorders>
              <w:top w:val="nil"/>
              <w:left w:val="nil"/>
              <w:bottom w:val="single" w:sz="4" w:space="0" w:color="auto"/>
              <w:right w:val="single" w:sz="4" w:space="0" w:color="auto"/>
            </w:tcBorders>
            <w:vAlign w:val="center"/>
            <w:hideMark/>
          </w:tcPr>
          <w:p w14:paraId="4CDE063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10.75</w:t>
            </w:r>
          </w:p>
        </w:tc>
        <w:tc>
          <w:tcPr>
            <w:tcW w:w="810" w:type="dxa"/>
            <w:tcBorders>
              <w:top w:val="nil"/>
              <w:left w:val="nil"/>
              <w:bottom w:val="single" w:sz="4" w:space="0" w:color="auto"/>
              <w:right w:val="single" w:sz="4" w:space="0" w:color="auto"/>
            </w:tcBorders>
            <w:noWrap/>
            <w:vAlign w:val="center"/>
            <w:hideMark/>
          </w:tcPr>
          <w:p w14:paraId="7CA25CB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32.69</w:t>
            </w:r>
          </w:p>
        </w:tc>
        <w:tc>
          <w:tcPr>
            <w:tcW w:w="810" w:type="dxa"/>
            <w:tcBorders>
              <w:top w:val="nil"/>
              <w:left w:val="nil"/>
              <w:bottom w:val="single" w:sz="4" w:space="0" w:color="auto"/>
              <w:right w:val="single" w:sz="4" w:space="0" w:color="auto"/>
            </w:tcBorders>
            <w:vAlign w:val="center"/>
            <w:hideMark/>
          </w:tcPr>
          <w:p w14:paraId="7BCB399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67.32</w:t>
            </w:r>
          </w:p>
        </w:tc>
        <w:tc>
          <w:tcPr>
            <w:tcW w:w="720" w:type="dxa"/>
            <w:tcBorders>
              <w:top w:val="nil"/>
              <w:left w:val="nil"/>
              <w:bottom w:val="single" w:sz="4" w:space="0" w:color="auto"/>
              <w:right w:val="single" w:sz="4" w:space="0" w:color="auto"/>
            </w:tcBorders>
            <w:vAlign w:val="center"/>
            <w:hideMark/>
          </w:tcPr>
          <w:p w14:paraId="3E6DF5C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35.29</w:t>
            </w:r>
          </w:p>
        </w:tc>
        <w:tc>
          <w:tcPr>
            <w:tcW w:w="900" w:type="dxa"/>
            <w:tcBorders>
              <w:top w:val="nil"/>
              <w:left w:val="nil"/>
              <w:bottom w:val="single" w:sz="4" w:space="0" w:color="auto"/>
              <w:right w:val="single" w:sz="4" w:space="0" w:color="auto"/>
            </w:tcBorders>
            <w:vAlign w:val="center"/>
            <w:hideMark/>
          </w:tcPr>
          <w:p w14:paraId="1B7BBB7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10.07</w:t>
            </w:r>
          </w:p>
        </w:tc>
        <w:tc>
          <w:tcPr>
            <w:tcW w:w="810" w:type="dxa"/>
            <w:tcBorders>
              <w:top w:val="nil"/>
              <w:left w:val="nil"/>
              <w:bottom w:val="single" w:sz="4" w:space="0" w:color="auto"/>
              <w:right w:val="single" w:sz="4" w:space="0" w:color="auto"/>
            </w:tcBorders>
            <w:noWrap/>
            <w:vAlign w:val="center"/>
            <w:hideMark/>
          </w:tcPr>
          <w:p w14:paraId="74D3F06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45.36</w:t>
            </w:r>
          </w:p>
        </w:tc>
        <w:tc>
          <w:tcPr>
            <w:tcW w:w="720" w:type="dxa"/>
            <w:tcBorders>
              <w:top w:val="nil"/>
              <w:left w:val="nil"/>
              <w:bottom w:val="single" w:sz="4" w:space="0" w:color="auto"/>
              <w:right w:val="single" w:sz="4" w:space="0" w:color="auto"/>
            </w:tcBorders>
            <w:vAlign w:val="center"/>
            <w:hideMark/>
          </w:tcPr>
          <w:p w14:paraId="01BAFC1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54.65</w:t>
            </w:r>
          </w:p>
        </w:tc>
        <w:tc>
          <w:tcPr>
            <w:tcW w:w="810" w:type="dxa"/>
            <w:tcBorders>
              <w:top w:val="nil"/>
              <w:left w:val="nil"/>
              <w:bottom w:val="single" w:sz="4" w:space="0" w:color="auto"/>
              <w:right w:val="single" w:sz="4" w:space="0" w:color="auto"/>
            </w:tcBorders>
            <w:vAlign w:val="center"/>
            <w:hideMark/>
          </w:tcPr>
          <w:p w14:paraId="7D6588E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6.50</w:t>
            </w:r>
          </w:p>
        </w:tc>
        <w:tc>
          <w:tcPr>
            <w:tcW w:w="900" w:type="dxa"/>
            <w:tcBorders>
              <w:top w:val="nil"/>
              <w:left w:val="nil"/>
              <w:bottom w:val="single" w:sz="4" w:space="0" w:color="auto"/>
              <w:right w:val="single" w:sz="4" w:space="0" w:color="auto"/>
            </w:tcBorders>
            <w:vAlign w:val="center"/>
            <w:hideMark/>
          </w:tcPr>
          <w:p w14:paraId="3B4290A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11.53</w:t>
            </w:r>
          </w:p>
        </w:tc>
        <w:tc>
          <w:tcPr>
            <w:tcW w:w="900" w:type="dxa"/>
            <w:tcBorders>
              <w:top w:val="nil"/>
              <w:left w:val="nil"/>
              <w:bottom w:val="single" w:sz="4" w:space="0" w:color="auto"/>
              <w:right w:val="single" w:sz="4" w:space="0" w:color="auto"/>
            </w:tcBorders>
            <w:noWrap/>
            <w:vAlign w:val="center"/>
            <w:hideMark/>
          </w:tcPr>
          <w:p w14:paraId="03B4ACE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18.03</w:t>
            </w:r>
          </w:p>
        </w:tc>
        <w:tc>
          <w:tcPr>
            <w:tcW w:w="810" w:type="dxa"/>
            <w:tcBorders>
              <w:top w:val="nil"/>
              <w:left w:val="nil"/>
              <w:bottom w:val="single" w:sz="4" w:space="0" w:color="auto"/>
              <w:right w:val="single" w:sz="4" w:space="0" w:color="auto"/>
            </w:tcBorders>
            <w:vAlign w:val="center"/>
            <w:hideMark/>
          </w:tcPr>
          <w:p w14:paraId="4559663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81.96</w:t>
            </w:r>
          </w:p>
        </w:tc>
      </w:tr>
      <w:tr w:rsidR="00E10F98" w:rsidRPr="006318D9" w14:paraId="61EB006D"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2495CEB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w:t>
            </w:r>
          </w:p>
        </w:tc>
        <w:tc>
          <w:tcPr>
            <w:tcW w:w="1133" w:type="dxa"/>
            <w:tcBorders>
              <w:top w:val="nil"/>
              <w:left w:val="nil"/>
              <w:bottom w:val="single" w:sz="4" w:space="0" w:color="auto"/>
              <w:right w:val="single" w:sz="4" w:space="0" w:color="auto"/>
            </w:tcBorders>
            <w:vAlign w:val="center"/>
            <w:hideMark/>
          </w:tcPr>
          <w:p w14:paraId="2228BF5E"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Mathura</w:t>
            </w:r>
          </w:p>
        </w:tc>
        <w:tc>
          <w:tcPr>
            <w:tcW w:w="757" w:type="dxa"/>
            <w:tcBorders>
              <w:top w:val="nil"/>
              <w:left w:val="nil"/>
              <w:bottom w:val="single" w:sz="4" w:space="0" w:color="auto"/>
              <w:right w:val="single" w:sz="4" w:space="0" w:color="auto"/>
            </w:tcBorders>
            <w:vAlign w:val="center"/>
            <w:hideMark/>
          </w:tcPr>
          <w:p w14:paraId="10422E0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22.53</w:t>
            </w:r>
          </w:p>
        </w:tc>
        <w:tc>
          <w:tcPr>
            <w:tcW w:w="900" w:type="dxa"/>
            <w:tcBorders>
              <w:top w:val="nil"/>
              <w:left w:val="nil"/>
              <w:bottom w:val="single" w:sz="4" w:space="0" w:color="auto"/>
              <w:right w:val="single" w:sz="4" w:space="0" w:color="auto"/>
            </w:tcBorders>
            <w:vAlign w:val="center"/>
            <w:hideMark/>
          </w:tcPr>
          <w:p w14:paraId="55ED655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7.61</w:t>
            </w:r>
          </w:p>
        </w:tc>
        <w:tc>
          <w:tcPr>
            <w:tcW w:w="810" w:type="dxa"/>
            <w:tcBorders>
              <w:top w:val="nil"/>
              <w:left w:val="nil"/>
              <w:bottom w:val="single" w:sz="4" w:space="0" w:color="auto"/>
              <w:right w:val="single" w:sz="4" w:space="0" w:color="auto"/>
            </w:tcBorders>
            <w:noWrap/>
            <w:vAlign w:val="center"/>
            <w:hideMark/>
          </w:tcPr>
          <w:p w14:paraId="0F55926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30.14</w:t>
            </w:r>
          </w:p>
        </w:tc>
        <w:tc>
          <w:tcPr>
            <w:tcW w:w="810" w:type="dxa"/>
            <w:tcBorders>
              <w:top w:val="nil"/>
              <w:left w:val="nil"/>
              <w:bottom w:val="single" w:sz="4" w:space="0" w:color="auto"/>
              <w:right w:val="single" w:sz="4" w:space="0" w:color="auto"/>
            </w:tcBorders>
            <w:vAlign w:val="center"/>
            <w:hideMark/>
          </w:tcPr>
          <w:p w14:paraId="60DF0E9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69.86</w:t>
            </w:r>
          </w:p>
        </w:tc>
        <w:tc>
          <w:tcPr>
            <w:tcW w:w="720" w:type="dxa"/>
            <w:tcBorders>
              <w:top w:val="nil"/>
              <w:left w:val="nil"/>
              <w:bottom w:val="single" w:sz="4" w:space="0" w:color="auto"/>
              <w:right w:val="single" w:sz="4" w:space="0" w:color="auto"/>
            </w:tcBorders>
            <w:vAlign w:val="center"/>
            <w:hideMark/>
          </w:tcPr>
          <w:p w14:paraId="683F195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37.05</w:t>
            </w:r>
          </w:p>
        </w:tc>
        <w:tc>
          <w:tcPr>
            <w:tcW w:w="900" w:type="dxa"/>
            <w:tcBorders>
              <w:top w:val="nil"/>
              <w:left w:val="nil"/>
              <w:bottom w:val="single" w:sz="4" w:space="0" w:color="auto"/>
              <w:right w:val="single" w:sz="4" w:space="0" w:color="auto"/>
            </w:tcBorders>
            <w:vAlign w:val="center"/>
            <w:hideMark/>
          </w:tcPr>
          <w:p w14:paraId="57BBBC5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8.08</w:t>
            </w:r>
          </w:p>
        </w:tc>
        <w:tc>
          <w:tcPr>
            <w:tcW w:w="810" w:type="dxa"/>
            <w:tcBorders>
              <w:top w:val="nil"/>
              <w:left w:val="nil"/>
              <w:bottom w:val="single" w:sz="4" w:space="0" w:color="auto"/>
              <w:right w:val="single" w:sz="4" w:space="0" w:color="auto"/>
            </w:tcBorders>
            <w:noWrap/>
            <w:vAlign w:val="center"/>
            <w:hideMark/>
          </w:tcPr>
          <w:p w14:paraId="5835A6C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45.13</w:t>
            </w:r>
          </w:p>
        </w:tc>
        <w:tc>
          <w:tcPr>
            <w:tcW w:w="720" w:type="dxa"/>
            <w:tcBorders>
              <w:top w:val="nil"/>
              <w:left w:val="nil"/>
              <w:bottom w:val="single" w:sz="4" w:space="0" w:color="auto"/>
              <w:right w:val="single" w:sz="4" w:space="0" w:color="auto"/>
            </w:tcBorders>
            <w:vAlign w:val="center"/>
            <w:hideMark/>
          </w:tcPr>
          <w:p w14:paraId="1D4D0C1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54.87</w:t>
            </w:r>
          </w:p>
        </w:tc>
        <w:tc>
          <w:tcPr>
            <w:tcW w:w="810" w:type="dxa"/>
            <w:tcBorders>
              <w:top w:val="nil"/>
              <w:left w:val="nil"/>
              <w:bottom w:val="single" w:sz="4" w:space="0" w:color="auto"/>
              <w:right w:val="single" w:sz="4" w:space="0" w:color="auto"/>
            </w:tcBorders>
            <w:vAlign w:val="center"/>
            <w:hideMark/>
          </w:tcPr>
          <w:p w14:paraId="2FD4E33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5.70</w:t>
            </w:r>
          </w:p>
        </w:tc>
        <w:tc>
          <w:tcPr>
            <w:tcW w:w="900" w:type="dxa"/>
            <w:tcBorders>
              <w:top w:val="nil"/>
              <w:left w:val="nil"/>
              <w:bottom w:val="single" w:sz="4" w:space="0" w:color="auto"/>
              <w:right w:val="single" w:sz="4" w:space="0" w:color="auto"/>
            </w:tcBorders>
            <w:vAlign w:val="center"/>
            <w:hideMark/>
          </w:tcPr>
          <w:p w14:paraId="151D4BD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7.07</w:t>
            </w:r>
          </w:p>
        </w:tc>
        <w:tc>
          <w:tcPr>
            <w:tcW w:w="900" w:type="dxa"/>
            <w:tcBorders>
              <w:top w:val="nil"/>
              <w:left w:val="nil"/>
              <w:bottom w:val="single" w:sz="4" w:space="0" w:color="auto"/>
              <w:right w:val="single" w:sz="4" w:space="0" w:color="auto"/>
            </w:tcBorders>
            <w:noWrap/>
            <w:vAlign w:val="center"/>
            <w:hideMark/>
          </w:tcPr>
          <w:p w14:paraId="1FF3139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12.77</w:t>
            </w:r>
          </w:p>
        </w:tc>
        <w:tc>
          <w:tcPr>
            <w:tcW w:w="810" w:type="dxa"/>
            <w:tcBorders>
              <w:top w:val="nil"/>
              <w:left w:val="nil"/>
              <w:bottom w:val="single" w:sz="4" w:space="0" w:color="auto"/>
              <w:right w:val="single" w:sz="4" w:space="0" w:color="auto"/>
            </w:tcBorders>
            <w:vAlign w:val="center"/>
            <w:hideMark/>
          </w:tcPr>
          <w:p w14:paraId="4B42EF8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87.23</w:t>
            </w:r>
          </w:p>
        </w:tc>
      </w:tr>
      <w:tr w:rsidR="00E10F98" w:rsidRPr="006318D9" w14:paraId="2DACCA54"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0F7C4A4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w:t>
            </w:r>
          </w:p>
        </w:tc>
        <w:tc>
          <w:tcPr>
            <w:tcW w:w="1133" w:type="dxa"/>
            <w:tcBorders>
              <w:top w:val="nil"/>
              <w:left w:val="nil"/>
              <w:bottom w:val="single" w:sz="4" w:space="0" w:color="auto"/>
              <w:right w:val="single" w:sz="4" w:space="0" w:color="auto"/>
            </w:tcBorders>
            <w:vAlign w:val="center"/>
            <w:hideMark/>
          </w:tcPr>
          <w:p w14:paraId="2E39BF10"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Farah</w:t>
            </w:r>
          </w:p>
        </w:tc>
        <w:tc>
          <w:tcPr>
            <w:tcW w:w="757" w:type="dxa"/>
            <w:tcBorders>
              <w:top w:val="nil"/>
              <w:left w:val="nil"/>
              <w:bottom w:val="single" w:sz="4" w:space="0" w:color="auto"/>
              <w:right w:val="single" w:sz="4" w:space="0" w:color="auto"/>
            </w:tcBorders>
            <w:vAlign w:val="center"/>
            <w:hideMark/>
          </w:tcPr>
          <w:p w14:paraId="786390A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21.90</w:t>
            </w:r>
          </w:p>
        </w:tc>
        <w:tc>
          <w:tcPr>
            <w:tcW w:w="900" w:type="dxa"/>
            <w:tcBorders>
              <w:top w:val="nil"/>
              <w:left w:val="nil"/>
              <w:bottom w:val="single" w:sz="4" w:space="0" w:color="auto"/>
              <w:right w:val="single" w:sz="4" w:space="0" w:color="auto"/>
            </w:tcBorders>
            <w:vAlign w:val="center"/>
            <w:hideMark/>
          </w:tcPr>
          <w:p w14:paraId="1EB1D16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9.50</w:t>
            </w:r>
          </w:p>
        </w:tc>
        <w:tc>
          <w:tcPr>
            <w:tcW w:w="810" w:type="dxa"/>
            <w:tcBorders>
              <w:top w:val="nil"/>
              <w:left w:val="nil"/>
              <w:bottom w:val="single" w:sz="4" w:space="0" w:color="auto"/>
              <w:right w:val="single" w:sz="4" w:space="0" w:color="auto"/>
            </w:tcBorders>
            <w:noWrap/>
            <w:vAlign w:val="center"/>
            <w:hideMark/>
          </w:tcPr>
          <w:p w14:paraId="26BA476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31.40</w:t>
            </w:r>
          </w:p>
        </w:tc>
        <w:tc>
          <w:tcPr>
            <w:tcW w:w="810" w:type="dxa"/>
            <w:tcBorders>
              <w:top w:val="nil"/>
              <w:left w:val="nil"/>
              <w:bottom w:val="single" w:sz="4" w:space="0" w:color="auto"/>
              <w:right w:val="single" w:sz="4" w:space="0" w:color="auto"/>
            </w:tcBorders>
            <w:vAlign w:val="center"/>
            <w:hideMark/>
          </w:tcPr>
          <w:p w14:paraId="53516FF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68.60</w:t>
            </w:r>
          </w:p>
        </w:tc>
        <w:tc>
          <w:tcPr>
            <w:tcW w:w="720" w:type="dxa"/>
            <w:tcBorders>
              <w:top w:val="nil"/>
              <w:left w:val="nil"/>
              <w:bottom w:val="single" w:sz="4" w:space="0" w:color="auto"/>
              <w:right w:val="single" w:sz="4" w:space="0" w:color="auto"/>
            </w:tcBorders>
            <w:vAlign w:val="center"/>
            <w:hideMark/>
          </w:tcPr>
          <w:p w14:paraId="7640354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35.90</w:t>
            </w:r>
          </w:p>
        </w:tc>
        <w:tc>
          <w:tcPr>
            <w:tcW w:w="900" w:type="dxa"/>
            <w:tcBorders>
              <w:top w:val="nil"/>
              <w:left w:val="nil"/>
              <w:bottom w:val="single" w:sz="4" w:space="0" w:color="auto"/>
              <w:right w:val="single" w:sz="4" w:space="0" w:color="auto"/>
            </w:tcBorders>
            <w:vAlign w:val="center"/>
            <w:hideMark/>
          </w:tcPr>
          <w:p w14:paraId="18481479"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9.22</w:t>
            </w:r>
          </w:p>
        </w:tc>
        <w:tc>
          <w:tcPr>
            <w:tcW w:w="810" w:type="dxa"/>
            <w:tcBorders>
              <w:top w:val="nil"/>
              <w:left w:val="nil"/>
              <w:bottom w:val="single" w:sz="4" w:space="0" w:color="auto"/>
              <w:right w:val="single" w:sz="4" w:space="0" w:color="auto"/>
            </w:tcBorders>
            <w:noWrap/>
            <w:vAlign w:val="center"/>
            <w:hideMark/>
          </w:tcPr>
          <w:p w14:paraId="2046243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45.12</w:t>
            </w:r>
          </w:p>
        </w:tc>
        <w:tc>
          <w:tcPr>
            <w:tcW w:w="720" w:type="dxa"/>
            <w:tcBorders>
              <w:top w:val="nil"/>
              <w:left w:val="nil"/>
              <w:bottom w:val="single" w:sz="4" w:space="0" w:color="auto"/>
              <w:right w:val="single" w:sz="4" w:space="0" w:color="auto"/>
            </w:tcBorders>
            <w:vAlign w:val="center"/>
            <w:hideMark/>
          </w:tcPr>
          <w:p w14:paraId="3DE8766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54.88</w:t>
            </w:r>
          </w:p>
        </w:tc>
        <w:tc>
          <w:tcPr>
            <w:tcW w:w="810" w:type="dxa"/>
            <w:tcBorders>
              <w:top w:val="nil"/>
              <w:left w:val="nil"/>
              <w:bottom w:val="single" w:sz="4" w:space="0" w:color="auto"/>
              <w:right w:val="single" w:sz="4" w:space="0" w:color="auto"/>
            </w:tcBorders>
            <w:vAlign w:val="center"/>
            <w:hideMark/>
          </w:tcPr>
          <w:p w14:paraId="1A120849"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5.89</w:t>
            </w:r>
          </w:p>
        </w:tc>
        <w:tc>
          <w:tcPr>
            <w:tcW w:w="900" w:type="dxa"/>
            <w:tcBorders>
              <w:top w:val="nil"/>
              <w:left w:val="nil"/>
              <w:bottom w:val="single" w:sz="4" w:space="0" w:color="auto"/>
              <w:right w:val="single" w:sz="4" w:space="0" w:color="auto"/>
            </w:tcBorders>
            <w:vAlign w:val="center"/>
            <w:hideMark/>
          </w:tcPr>
          <w:p w14:paraId="40D48FF7"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9.82</w:t>
            </w:r>
          </w:p>
        </w:tc>
        <w:tc>
          <w:tcPr>
            <w:tcW w:w="900" w:type="dxa"/>
            <w:tcBorders>
              <w:top w:val="nil"/>
              <w:left w:val="nil"/>
              <w:bottom w:val="single" w:sz="4" w:space="0" w:color="auto"/>
              <w:right w:val="single" w:sz="4" w:space="0" w:color="auto"/>
            </w:tcBorders>
            <w:noWrap/>
            <w:vAlign w:val="center"/>
            <w:hideMark/>
          </w:tcPr>
          <w:p w14:paraId="35A3E07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15.71</w:t>
            </w:r>
          </w:p>
        </w:tc>
        <w:tc>
          <w:tcPr>
            <w:tcW w:w="810" w:type="dxa"/>
            <w:tcBorders>
              <w:top w:val="nil"/>
              <w:left w:val="nil"/>
              <w:bottom w:val="single" w:sz="4" w:space="0" w:color="auto"/>
              <w:right w:val="single" w:sz="4" w:space="0" w:color="auto"/>
            </w:tcBorders>
            <w:vAlign w:val="center"/>
            <w:hideMark/>
          </w:tcPr>
          <w:p w14:paraId="6AE6A74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84.29</w:t>
            </w:r>
          </w:p>
        </w:tc>
      </w:tr>
      <w:tr w:rsidR="00E10F98" w:rsidRPr="006318D9" w14:paraId="7258151A" w14:textId="77777777" w:rsidTr="00E10F98">
        <w:trPr>
          <w:trHeight w:val="60"/>
        </w:trPr>
        <w:tc>
          <w:tcPr>
            <w:tcW w:w="455" w:type="dxa"/>
            <w:tcBorders>
              <w:top w:val="nil"/>
              <w:left w:val="single" w:sz="4" w:space="0" w:color="auto"/>
              <w:bottom w:val="single" w:sz="4" w:space="0" w:color="auto"/>
              <w:right w:val="single" w:sz="4" w:space="0" w:color="auto"/>
            </w:tcBorders>
            <w:vAlign w:val="center"/>
            <w:hideMark/>
          </w:tcPr>
          <w:p w14:paraId="58DAC98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w:t>
            </w:r>
          </w:p>
        </w:tc>
        <w:tc>
          <w:tcPr>
            <w:tcW w:w="1133" w:type="dxa"/>
            <w:tcBorders>
              <w:top w:val="nil"/>
              <w:left w:val="nil"/>
              <w:bottom w:val="single" w:sz="4" w:space="0" w:color="auto"/>
              <w:right w:val="single" w:sz="4" w:space="0" w:color="auto"/>
            </w:tcBorders>
            <w:vAlign w:val="center"/>
            <w:hideMark/>
          </w:tcPr>
          <w:p w14:paraId="5C718DFD"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Baldeo</w:t>
            </w:r>
          </w:p>
        </w:tc>
        <w:tc>
          <w:tcPr>
            <w:tcW w:w="757" w:type="dxa"/>
            <w:tcBorders>
              <w:top w:val="nil"/>
              <w:left w:val="nil"/>
              <w:bottom w:val="single" w:sz="4" w:space="0" w:color="auto"/>
              <w:right w:val="single" w:sz="4" w:space="0" w:color="auto"/>
            </w:tcBorders>
            <w:vAlign w:val="center"/>
            <w:hideMark/>
          </w:tcPr>
          <w:p w14:paraId="0B61163A"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23.83</w:t>
            </w:r>
          </w:p>
        </w:tc>
        <w:tc>
          <w:tcPr>
            <w:tcW w:w="900" w:type="dxa"/>
            <w:tcBorders>
              <w:top w:val="nil"/>
              <w:left w:val="nil"/>
              <w:bottom w:val="single" w:sz="4" w:space="0" w:color="auto"/>
              <w:right w:val="single" w:sz="4" w:space="0" w:color="auto"/>
            </w:tcBorders>
            <w:vAlign w:val="center"/>
            <w:hideMark/>
          </w:tcPr>
          <w:p w14:paraId="269E777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13.02</w:t>
            </w:r>
          </w:p>
        </w:tc>
        <w:tc>
          <w:tcPr>
            <w:tcW w:w="810" w:type="dxa"/>
            <w:tcBorders>
              <w:top w:val="nil"/>
              <w:left w:val="nil"/>
              <w:bottom w:val="single" w:sz="4" w:space="0" w:color="auto"/>
              <w:right w:val="single" w:sz="4" w:space="0" w:color="auto"/>
            </w:tcBorders>
            <w:noWrap/>
            <w:vAlign w:val="center"/>
            <w:hideMark/>
          </w:tcPr>
          <w:p w14:paraId="2859627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36.85</w:t>
            </w:r>
          </w:p>
        </w:tc>
        <w:tc>
          <w:tcPr>
            <w:tcW w:w="810" w:type="dxa"/>
            <w:tcBorders>
              <w:top w:val="nil"/>
              <w:left w:val="nil"/>
              <w:bottom w:val="single" w:sz="4" w:space="0" w:color="auto"/>
              <w:right w:val="single" w:sz="4" w:space="0" w:color="auto"/>
            </w:tcBorders>
            <w:vAlign w:val="center"/>
            <w:hideMark/>
          </w:tcPr>
          <w:p w14:paraId="0822B04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63.16</w:t>
            </w:r>
          </w:p>
        </w:tc>
        <w:tc>
          <w:tcPr>
            <w:tcW w:w="720" w:type="dxa"/>
            <w:tcBorders>
              <w:top w:val="nil"/>
              <w:left w:val="nil"/>
              <w:bottom w:val="single" w:sz="4" w:space="0" w:color="auto"/>
              <w:right w:val="single" w:sz="4" w:space="0" w:color="auto"/>
            </w:tcBorders>
            <w:vAlign w:val="center"/>
            <w:hideMark/>
          </w:tcPr>
          <w:p w14:paraId="35D1F0E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35.62</w:t>
            </w:r>
          </w:p>
        </w:tc>
        <w:tc>
          <w:tcPr>
            <w:tcW w:w="900" w:type="dxa"/>
            <w:tcBorders>
              <w:top w:val="nil"/>
              <w:left w:val="nil"/>
              <w:bottom w:val="single" w:sz="4" w:space="0" w:color="auto"/>
              <w:right w:val="single" w:sz="4" w:space="0" w:color="auto"/>
            </w:tcBorders>
            <w:vAlign w:val="center"/>
            <w:hideMark/>
          </w:tcPr>
          <w:p w14:paraId="5213CEF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11.44</w:t>
            </w:r>
          </w:p>
        </w:tc>
        <w:tc>
          <w:tcPr>
            <w:tcW w:w="810" w:type="dxa"/>
            <w:tcBorders>
              <w:top w:val="nil"/>
              <w:left w:val="nil"/>
              <w:bottom w:val="single" w:sz="4" w:space="0" w:color="auto"/>
              <w:right w:val="single" w:sz="4" w:space="0" w:color="auto"/>
            </w:tcBorders>
            <w:noWrap/>
            <w:vAlign w:val="center"/>
            <w:hideMark/>
          </w:tcPr>
          <w:p w14:paraId="5CF6EB82"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47.06</w:t>
            </w:r>
          </w:p>
        </w:tc>
        <w:tc>
          <w:tcPr>
            <w:tcW w:w="720" w:type="dxa"/>
            <w:tcBorders>
              <w:top w:val="nil"/>
              <w:left w:val="nil"/>
              <w:bottom w:val="single" w:sz="4" w:space="0" w:color="auto"/>
              <w:right w:val="single" w:sz="4" w:space="0" w:color="auto"/>
            </w:tcBorders>
            <w:vAlign w:val="center"/>
            <w:hideMark/>
          </w:tcPr>
          <w:p w14:paraId="07B5D30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52.93</w:t>
            </w:r>
          </w:p>
        </w:tc>
        <w:tc>
          <w:tcPr>
            <w:tcW w:w="810" w:type="dxa"/>
            <w:tcBorders>
              <w:top w:val="nil"/>
              <w:left w:val="nil"/>
              <w:bottom w:val="single" w:sz="4" w:space="0" w:color="auto"/>
              <w:right w:val="single" w:sz="4" w:space="0" w:color="auto"/>
            </w:tcBorders>
            <w:vAlign w:val="center"/>
            <w:hideMark/>
          </w:tcPr>
          <w:p w14:paraId="656CEC6F"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10.00</w:t>
            </w:r>
          </w:p>
        </w:tc>
        <w:tc>
          <w:tcPr>
            <w:tcW w:w="900" w:type="dxa"/>
            <w:tcBorders>
              <w:top w:val="nil"/>
              <w:left w:val="nil"/>
              <w:bottom w:val="single" w:sz="4" w:space="0" w:color="auto"/>
              <w:right w:val="single" w:sz="4" w:space="0" w:color="auto"/>
            </w:tcBorders>
            <w:vAlign w:val="center"/>
            <w:hideMark/>
          </w:tcPr>
          <w:p w14:paraId="1EB7501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14.87</w:t>
            </w:r>
          </w:p>
        </w:tc>
        <w:tc>
          <w:tcPr>
            <w:tcW w:w="900" w:type="dxa"/>
            <w:tcBorders>
              <w:top w:val="nil"/>
              <w:left w:val="nil"/>
              <w:bottom w:val="single" w:sz="4" w:space="0" w:color="auto"/>
              <w:right w:val="single" w:sz="4" w:space="0" w:color="auto"/>
            </w:tcBorders>
            <w:noWrap/>
            <w:vAlign w:val="center"/>
            <w:hideMark/>
          </w:tcPr>
          <w:p w14:paraId="79876BA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24.87</w:t>
            </w:r>
          </w:p>
        </w:tc>
        <w:tc>
          <w:tcPr>
            <w:tcW w:w="810" w:type="dxa"/>
            <w:tcBorders>
              <w:top w:val="nil"/>
              <w:left w:val="nil"/>
              <w:bottom w:val="single" w:sz="4" w:space="0" w:color="auto"/>
              <w:right w:val="single" w:sz="4" w:space="0" w:color="auto"/>
            </w:tcBorders>
            <w:vAlign w:val="center"/>
            <w:hideMark/>
          </w:tcPr>
          <w:p w14:paraId="5B3A9AF8"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75.14</w:t>
            </w:r>
          </w:p>
        </w:tc>
      </w:tr>
      <w:tr w:rsidR="00E10F98" w:rsidRPr="006318D9" w14:paraId="49B27F3C" w14:textId="77777777" w:rsidTr="00E10F98">
        <w:trPr>
          <w:trHeight w:val="60"/>
        </w:trPr>
        <w:tc>
          <w:tcPr>
            <w:tcW w:w="455" w:type="dxa"/>
            <w:tcBorders>
              <w:top w:val="nil"/>
              <w:left w:val="single" w:sz="4" w:space="0" w:color="auto"/>
              <w:bottom w:val="single" w:sz="4" w:space="0" w:color="auto"/>
              <w:right w:val="single" w:sz="4" w:space="0" w:color="auto"/>
            </w:tcBorders>
            <w:noWrap/>
            <w:vAlign w:val="center"/>
            <w:hideMark/>
          </w:tcPr>
          <w:p w14:paraId="382E6DB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p>
        </w:tc>
        <w:tc>
          <w:tcPr>
            <w:tcW w:w="1133" w:type="dxa"/>
            <w:tcBorders>
              <w:top w:val="nil"/>
              <w:left w:val="nil"/>
              <w:bottom w:val="single" w:sz="4" w:space="0" w:color="auto"/>
              <w:right w:val="single" w:sz="4" w:space="0" w:color="auto"/>
            </w:tcBorders>
            <w:vAlign w:val="center"/>
            <w:hideMark/>
          </w:tcPr>
          <w:p w14:paraId="68332B31" w14:textId="77777777" w:rsidR="00E10F98" w:rsidRPr="006318D9" w:rsidRDefault="00E10F98" w:rsidP="00E10F98">
            <w:pPr>
              <w:spacing w:after="0" w:line="240" w:lineRule="auto"/>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District</w:t>
            </w:r>
          </w:p>
        </w:tc>
        <w:tc>
          <w:tcPr>
            <w:tcW w:w="757" w:type="dxa"/>
            <w:tcBorders>
              <w:top w:val="nil"/>
              <w:left w:val="nil"/>
              <w:bottom w:val="single" w:sz="4" w:space="0" w:color="auto"/>
              <w:right w:val="single" w:sz="4" w:space="0" w:color="auto"/>
            </w:tcBorders>
            <w:vAlign w:val="center"/>
            <w:hideMark/>
          </w:tcPr>
          <w:p w14:paraId="0E0CD55D"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23.12</w:t>
            </w:r>
          </w:p>
        </w:tc>
        <w:tc>
          <w:tcPr>
            <w:tcW w:w="900" w:type="dxa"/>
            <w:tcBorders>
              <w:top w:val="nil"/>
              <w:left w:val="nil"/>
              <w:bottom w:val="single" w:sz="4" w:space="0" w:color="auto"/>
              <w:right w:val="single" w:sz="4" w:space="0" w:color="auto"/>
            </w:tcBorders>
            <w:vAlign w:val="center"/>
            <w:hideMark/>
          </w:tcPr>
          <w:p w14:paraId="1D620D1B"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11.24</w:t>
            </w:r>
          </w:p>
        </w:tc>
        <w:tc>
          <w:tcPr>
            <w:tcW w:w="810" w:type="dxa"/>
            <w:tcBorders>
              <w:top w:val="nil"/>
              <w:left w:val="nil"/>
              <w:bottom w:val="single" w:sz="4" w:space="0" w:color="auto"/>
              <w:right w:val="single" w:sz="4" w:space="0" w:color="auto"/>
            </w:tcBorders>
            <w:noWrap/>
            <w:vAlign w:val="center"/>
            <w:hideMark/>
          </w:tcPr>
          <w:p w14:paraId="559D80C0"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34.36</w:t>
            </w:r>
          </w:p>
        </w:tc>
        <w:tc>
          <w:tcPr>
            <w:tcW w:w="810" w:type="dxa"/>
            <w:tcBorders>
              <w:top w:val="nil"/>
              <w:left w:val="nil"/>
              <w:bottom w:val="single" w:sz="4" w:space="0" w:color="auto"/>
              <w:right w:val="single" w:sz="4" w:space="0" w:color="auto"/>
            </w:tcBorders>
            <w:vAlign w:val="center"/>
            <w:hideMark/>
          </w:tcPr>
          <w:p w14:paraId="16612B9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65.64</w:t>
            </w:r>
          </w:p>
        </w:tc>
        <w:tc>
          <w:tcPr>
            <w:tcW w:w="720" w:type="dxa"/>
            <w:tcBorders>
              <w:top w:val="nil"/>
              <w:left w:val="nil"/>
              <w:bottom w:val="single" w:sz="4" w:space="0" w:color="auto"/>
              <w:right w:val="single" w:sz="4" w:space="0" w:color="auto"/>
            </w:tcBorders>
            <w:vAlign w:val="center"/>
            <w:hideMark/>
          </w:tcPr>
          <w:p w14:paraId="28D1A0D6"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35.95</w:t>
            </w:r>
          </w:p>
        </w:tc>
        <w:tc>
          <w:tcPr>
            <w:tcW w:w="900" w:type="dxa"/>
            <w:tcBorders>
              <w:top w:val="nil"/>
              <w:left w:val="nil"/>
              <w:bottom w:val="single" w:sz="4" w:space="0" w:color="auto"/>
              <w:right w:val="single" w:sz="4" w:space="0" w:color="auto"/>
            </w:tcBorders>
            <w:vAlign w:val="center"/>
            <w:hideMark/>
          </w:tcPr>
          <w:p w14:paraId="0D1403F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10.05</w:t>
            </w:r>
          </w:p>
        </w:tc>
        <w:tc>
          <w:tcPr>
            <w:tcW w:w="810" w:type="dxa"/>
            <w:tcBorders>
              <w:top w:val="nil"/>
              <w:left w:val="nil"/>
              <w:bottom w:val="single" w:sz="4" w:space="0" w:color="auto"/>
              <w:right w:val="single" w:sz="4" w:space="0" w:color="auto"/>
            </w:tcBorders>
            <w:noWrap/>
            <w:vAlign w:val="center"/>
            <w:hideMark/>
          </w:tcPr>
          <w:p w14:paraId="53E7F1FE"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46.00</w:t>
            </w:r>
          </w:p>
        </w:tc>
        <w:tc>
          <w:tcPr>
            <w:tcW w:w="720" w:type="dxa"/>
            <w:tcBorders>
              <w:top w:val="nil"/>
              <w:left w:val="nil"/>
              <w:bottom w:val="single" w:sz="4" w:space="0" w:color="auto"/>
              <w:right w:val="single" w:sz="4" w:space="0" w:color="auto"/>
            </w:tcBorders>
            <w:vAlign w:val="center"/>
            <w:hideMark/>
          </w:tcPr>
          <w:p w14:paraId="043B7505"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53.99</w:t>
            </w:r>
          </w:p>
        </w:tc>
        <w:tc>
          <w:tcPr>
            <w:tcW w:w="810" w:type="dxa"/>
            <w:tcBorders>
              <w:top w:val="nil"/>
              <w:left w:val="nil"/>
              <w:bottom w:val="single" w:sz="4" w:space="0" w:color="auto"/>
              <w:right w:val="single" w:sz="4" w:space="0" w:color="auto"/>
            </w:tcBorders>
            <w:vAlign w:val="center"/>
            <w:hideMark/>
          </w:tcPr>
          <w:p w14:paraId="7804E8D3"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8.22</w:t>
            </w:r>
          </w:p>
        </w:tc>
        <w:tc>
          <w:tcPr>
            <w:tcW w:w="900" w:type="dxa"/>
            <w:tcBorders>
              <w:top w:val="nil"/>
              <w:left w:val="nil"/>
              <w:bottom w:val="single" w:sz="4" w:space="0" w:color="auto"/>
              <w:right w:val="single" w:sz="4" w:space="0" w:color="auto"/>
            </w:tcBorders>
            <w:vAlign w:val="center"/>
            <w:hideMark/>
          </w:tcPr>
          <w:p w14:paraId="6F64E6B4"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12.63</w:t>
            </w:r>
          </w:p>
        </w:tc>
        <w:tc>
          <w:tcPr>
            <w:tcW w:w="900" w:type="dxa"/>
            <w:tcBorders>
              <w:top w:val="nil"/>
              <w:left w:val="nil"/>
              <w:bottom w:val="single" w:sz="4" w:space="0" w:color="auto"/>
              <w:right w:val="single" w:sz="4" w:space="0" w:color="auto"/>
            </w:tcBorders>
            <w:noWrap/>
            <w:vAlign w:val="center"/>
            <w:hideMark/>
          </w:tcPr>
          <w:p w14:paraId="0CF37191"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20.85</w:t>
            </w:r>
          </w:p>
        </w:tc>
        <w:tc>
          <w:tcPr>
            <w:tcW w:w="810" w:type="dxa"/>
            <w:tcBorders>
              <w:top w:val="nil"/>
              <w:left w:val="nil"/>
              <w:bottom w:val="single" w:sz="4" w:space="0" w:color="auto"/>
              <w:right w:val="single" w:sz="4" w:space="0" w:color="auto"/>
            </w:tcBorders>
            <w:vAlign w:val="center"/>
            <w:hideMark/>
          </w:tcPr>
          <w:p w14:paraId="725889FC" w14:textId="77777777" w:rsidR="00E10F98" w:rsidRPr="006318D9" w:rsidRDefault="00E10F98" w:rsidP="00E10F98">
            <w:pPr>
              <w:spacing w:after="0" w:line="240" w:lineRule="auto"/>
              <w:jc w:val="center"/>
              <w:rPr>
                <w:rFonts w:ascii="Times New Roman" w:eastAsia="Times New Roman" w:hAnsi="Times New Roman" w:cs="Times New Roman"/>
                <w:sz w:val="20"/>
                <w:szCs w:val="20"/>
                <w:lang w:bidi="hi-IN"/>
              </w:rPr>
            </w:pPr>
            <w:r w:rsidRPr="006318D9">
              <w:rPr>
                <w:rFonts w:ascii="Times New Roman" w:eastAsia="Times New Roman" w:hAnsi="Times New Roman" w:cs="Times New Roman"/>
                <w:sz w:val="20"/>
                <w:szCs w:val="20"/>
                <w:lang w:bidi="hi-IN"/>
              </w:rPr>
              <w:t>79.15</w:t>
            </w:r>
          </w:p>
        </w:tc>
      </w:tr>
    </w:tbl>
    <w:p w14:paraId="5FC7EFD8" w14:textId="77777777" w:rsidR="00A948EE" w:rsidRDefault="00A948EE" w:rsidP="00E10F98">
      <w:pPr>
        <w:tabs>
          <w:tab w:val="left" w:pos="5973"/>
        </w:tabs>
        <w:rPr>
          <w:rFonts w:ascii="Times New Roman" w:hAnsi="Times New Roman" w:cs="Times New Roman"/>
          <w:sz w:val="24"/>
          <w:szCs w:val="24"/>
        </w:rPr>
      </w:pPr>
    </w:p>
    <w:p w14:paraId="14492383" w14:textId="77777777" w:rsidR="00E10F98" w:rsidRDefault="00645644" w:rsidP="00E10F98">
      <w:pPr>
        <w:tabs>
          <w:tab w:val="left" w:pos="5973"/>
        </w:tabs>
        <w:rPr>
          <w:rFonts w:ascii="Times New Roman" w:hAnsi="Times New Roman" w:cs="Times New Roman"/>
          <w:sz w:val="24"/>
          <w:szCs w:val="24"/>
        </w:rPr>
      </w:pPr>
      <w:r>
        <w:rPr>
          <w:rFonts w:ascii="Times New Roman" w:hAnsi="Times New Roman" w:cs="Times New Roman"/>
          <w:noProof/>
          <w:sz w:val="24"/>
          <w:szCs w:val="24"/>
          <w:lang w:bidi="hi-IN"/>
        </w:rPr>
        <w:pict w14:anchorId="227DB3C4">
          <v:shape id="_x0000_s1051" type="#_x0000_t202" style="position:absolute;margin-left:-.65pt;margin-top:4pt;width:482pt;height:19.4pt;z-index:251702272;mso-width-relative:margin;mso-height-relative:margin" strokecolor="white [3212]">
            <v:textbox style="mso-next-textbox:#_x0000_s1051">
              <w:txbxContent>
                <w:p w14:paraId="17C0E957" w14:textId="77777777"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2. </w:t>
                  </w:r>
                  <w:proofErr w:type="spellStart"/>
                  <w:r>
                    <w:rPr>
                      <w:rFonts w:ascii="Times New Roman" w:hAnsi="Times New Roman" w:cs="Times New Roman"/>
                      <w:sz w:val="24"/>
                      <w:szCs w:val="24"/>
                    </w:rPr>
                    <w:t>Ocupational</w:t>
                  </w:r>
                  <w:proofErr w:type="spellEnd"/>
                  <w:r>
                    <w:rPr>
                      <w:rFonts w:ascii="Times New Roman" w:hAnsi="Times New Roman" w:cs="Times New Roman"/>
                      <w:sz w:val="24"/>
                      <w:szCs w:val="24"/>
                    </w:rPr>
                    <w:t xml:space="preserve"> Structure of Population</w:t>
                  </w:r>
                  <w:r w:rsidRPr="00296CAB">
                    <w:rPr>
                      <w:rFonts w:ascii="Times New Roman" w:hAnsi="Times New Roman" w:cs="Times New Roman"/>
                      <w:sz w:val="24"/>
                      <w:szCs w:val="24"/>
                    </w:rPr>
                    <w:t xml:space="preserve"> in Mathura District, 2011</w:t>
                  </w:r>
                  <w:r>
                    <w:rPr>
                      <w:rFonts w:ascii="Times New Roman" w:hAnsi="Times New Roman" w:cs="Times New Roman"/>
                      <w:sz w:val="24"/>
                      <w:szCs w:val="24"/>
                    </w:rPr>
                    <w:t xml:space="preserve"> (In Percentage)</w:t>
                  </w:r>
                </w:p>
              </w:txbxContent>
            </v:textbox>
          </v:shape>
        </w:pict>
      </w:r>
    </w:p>
    <w:tbl>
      <w:tblPr>
        <w:tblW w:w="9870" w:type="dxa"/>
        <w:tblInd w:w="95" w:type="dxa"/>
        <w:tblLayout w:type="fixed"/>
        <w:tblLook w:val="04A0" w:firstRow="1" w:lastRow="0" w:firstColumn="1" w:lastColumn="0" w:noHBand="0" w:noVBand="1"/>
      </w:tblPr>
      <w:tblGrid>
        <w:gridCol w:w="553"/>
        <w:gridCol w:w="1127"/>
        <w:gridCol w:w="666"/>
        <w:gridCol w:w="666"/>
        <w:gridCol w:w="738"/>
        <w:gridCol w:w="666"/>
        <w:gridCol w:w="684"/>
        <w:gridCol w:w="720"/>
        <w:gridCol w:w="630"/>
        <w:gridCol w:w="630"/>
        <w:gridCol w:w="630"/>
        <w:gridCol w:w="720"/>
        <w:gridCol w:w="720"/>
        <w:gridCol w:w="720"/>
      </w:tblGrid>
      <w:tr w:rsidR="00E10F98" w:rsidRPr="00B03175" w14:paraId="14CB1A37" w14:textId="77777777" w:rsidTr="00E10F98">
        <w:trPr>
          <w:trHeight w:val="300"/>
        </w:trPr>
        <w:tc>
          <w:tcPr>
            <w:tcW w:w="553" w:type="dxa"/>
            <w:vMerge w:val="restart"/>
            <w:tcBorders>
              <w:top w:val="single" w:sz="4" w:space="0" w:color="auto"/>
              <w:left w:val="single" w:sz="4" w:space="0" w:color="auto"/>
              <w:right w:val="single" w:sz="4" w:space="0" w:color="auto"/>
            </w:tcBorders>
            <w:noWrap/>
            <w:vAlign w:val="bottom"/>
            <w:hideMark/>
          </w:tcPr>
          <w:p w14:paraId="54E41D99"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roofErr w:type="spellStart"/>
            <w:proofErr w:type="gramStart"/>
            <w:r w:rsidRPr="006318D9">
              <w:rPr>
                <w:rFonts w:ascii="Times New Roman" w:eastAsia="Times New Roman" w:hAnsi="Times New Roman" w:cs="Times New Roman"/>
                <w:sz w:val="20"/>
                <w:szCs w:val="20"/>
                <w:lang w:bidi="hi-IN"/>
              </w:rPr>
              <w:t>S.No</w:t>
            </w:r>
            <w:proofErr w:type="spellEnd"/>
            <w:proofErr w:type="gramEnd"/>
          </w:p>
        </w:tc>
        <w:tc>
          <w:tcPr>
            <w:tcW w:w="1127" w:type="dxa"/>
            <w:vMerge w:val="restart"/>
            <w:tcBorders>
              <w:top w:val="single" w:sz="4" w:space="0" w:color="auto"/>
              <w:left w:val="nil"/>
              <w:right w:val="single" w:sz="4" w:space="0" w:color="auto"/>
            </w:tcBorders>
            <w:noWrap/>
            <w:vAlign w:val="bottom"/>
            <w:hideMark/>
          </w:tcPr>
          <w:p w14:paraId="4E505B96"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
          <w:p w14:paraId="7BD65DA2"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Block</w:t>
            </w:r>
          </w:p>
        </w:tc>
        <w:tc>
          <w:tcPr>
            <w:tcW w:w="2070" w:type="dxa"/>
            <w:gridSpan w:val="3"/>
            <w:tcBorders>
              <w:top w:val="single" w:sz="4" w:space="0" w:color="auto"/>
              <w:left w:val="nil"/>
              <w:bottom w:val="single" w:sz="4" w:space="0" w:color="auto"/>
              <w:right w:val="single" w:sz="4" w:space="0" w:color="000000"/>
            </w:tcBorders>
            <w:vAlign w:val="bottom"/>
            <w:hideMark/>
          </w:tcPr>
          <w:p w14:paraId="69D30F6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 Cultivators</w:t>
            </w:r>
          </w:p>
        </w:tc>
        <w:tc>
          <w:tcPr>
            <w:tcW w:w="2070" w:type="dxa"/>
            <w:gridSpan w:val="3"/>
            <w:tcBorders>
              <w:top w:val="single" w:sz="4" w:space="0" w:color="auto"/>
              <w:left w:val="nil"/>
              <w:bottom w:val="single" w:sz="4" w:space="0" w:color="auto"/>
              <w:right w:val="single" w:sz="4" w:space="0" w:color="000000"/>
            </w:tcBorders>
            <w:vAlign w:val="bottom"/>
            <w:hideMark/>
          </w:tcPr>
          <w:p w14:paraId="6101DC1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Agriculture </w:t>
            </w:r>
            <w:proofErr w:type="spellStart"/>
            <w:r w:rsidRPr="00B03175">
              <w:rPr>
                <w:rFonts w:ascii="Times New Roman" w:eastAsia="Times New Roman" w:hAnsi="Times New Roman" w:cs="Times New Roman"/>
                <w:color w:val="000000"/>
                <w:sz w:val="20"/>
                <w:szCs w:val="20"/>
                <w:lang w:bidi="hi-IN"/>
              </w:rPr>
              <w:t>Labourers</w:t>
            </w:r>
            <w:proofErr w:type="spellEnd"/>
          </w:p>
        </w:tc>
        <w:tc>
          <w:tcPr>
            <w:tcW w:w="1890" w:type="dxa"/>
            <w:gridSpan w:val="3"/>
            <w:tcBorders>
              <w:top w:val="single" w:sz="4" w:space="0" w:color="auto"/>
              <w:left w:val="nil"/>
              <w:bottom w:val="single" w:sz="4" w:space="0" w:color="auto"/>
              <w:right w:val="single" w:sz="4" w:space="0" w:color="000000"/>
            </w:tcBorders>
            <w:vAlign w:val="bottom"/>
            <w:hideMark/>
          </w:tcPr>
          <w:p w14:paraId="1F648498"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xml:space="preserve">Household Industrial Workers </w:t>
            </w:r>
          </w:p>
        </w:tc>
        <w:tc>
          <w:tcPr>
            <w:tcW w:w="2160" w:type="dxa"/>
            <w:gridSpan w:val="3"/>
            <w:tcBorders>
              <w:top w:val="single" w:sz="4" w:space="0" w:color="auto"/>
              <w:left w:val="nil"/>
              <w:bottom w:val="single" w:sz="4" w:space="0" w:color="auto"/>
              <w:right w:val="single" w:sz="4" w:space="0" w:color="000000"/>
            </w:tcBorders>
            <w:vAlign w:val="bottom"/>
            <w:hideMark/>
          </w:tcPr>
          <w:p w14:paraId="6E3F7DD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Other Workers</w:t>
            </w:r>
          </w:p>
        </w:tc>
      </w:tr>
      <w:tr w:rsidR="00E10F98" w:rsidRPr="00B03175" w14:paraId="16D3A6DD" w14:textId="77777777" w:rsidTr="00E10F98">
        <w:trPr>
          <w:trHeight w:val="60"/>
        </w:trPr>
        <w:tc>
          <w:tcPr>
            <w:tcW w:w="553" w:type="dxa"/>
            <w:vMerge/>
            <w:tcBorders>
              <w:left w:val="single" w:sz="4" w:space="0" w:color="auto"/>
              <w:bottom w:val="single" w:sz="4" w:space="0" w:color="auto"/>
              <w:right w:val="single" w:sz="4" w:space="0" w:color="auto"/>
            </w:tcBorders>
            <w:noWrap/>
            <w:vAlign w:val="bottom"/>
            <w:hideMark/>
          </w:tcPr>
          <w:p w14:paraId="4EB96E8C"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
        </w:tc>
        <w:tc>
          <w:tcPr>
            <w:tcW w:w="1127" w:type="dxa"/>
            <w:vMerge/>
            <w:tcBorders>
              <w:left w:val="nil"/>
              <w:bottom w:val="single" w:sz="4" w:space="0" w:color="auto"/>
              <w:right w:val="single" w:sz="4" w:space="0" w:color="auto"/>
            </w:tcBorders>
            <w:noWrap/>
            <w:vAlign w:val="bottom"/>
            <w:hideMark/>
          </w:tcPr>
          <w:p w14:paraId="3AD2BE09"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
        </w:tc>
        <w:tc>
          <w:tcPr>
            <w:tcW w:w="666" w:type="dxa"/>
            <w:tcBorders>
              <w:top w:val="nil"/>
              <w:left w:val="nil"/>
              <w:bottom w:val="single" w:sz="4" w:space="0" w:color="auto"/>
              <w:right w:val="single" w:sz="4" w:space="0" w:color="auto"/>
            </w:tcBorders>
            <w:noWrap/>
            <w:vAlign w:val="center"/>
            <w:hideMark/>
          </w:tcPr>
          <w:p w14:paraId="41D13C8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66" w:type="dxa"/>
            <w:tcBorders>
              <w:top w:val="nil"/>
              <w:left w:val="nil"/>
              <w:bottom w:val="single" w:sz="4" w:space="0" w:color="auto"/>
              <w:right w:val="single" w:sz="4" w:space="0" w:color="auto"/>
            </w:tcBorders>
            <w:noWrap/>
            <w:vAlign w:val="center"/>
            <w:hideMark/>
          </w:tcPr>
          <w:p w14:paraId="130CF2E6"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38" w:type="dxa"/>
            <w:tcBorders>
              <w:top w:val="nil"/>
              <w:left w:val="nil"/>
              <w:bottom w:val="single" w:sz="4" w:space="0" w:color="auto"/>
              <w:right w:val="single" w:sz="4" w:space="0" w:color="auto"/>
            </w:tcBorders>
            <w:noWrap/>
            <w:vAlign w:val="center"/>
            <w:hideMark/>
          </w:tcPr>
          <w:p w14:paraId="72CF16D3"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666" w:type="dxa"/>
            <w:tcBorders>
              <w:top w:val="nil"/>
              <w:left w:val="nil"/>
              <w:bottom w:val="single" w:sz="4" w:space="0" w:color="auto"/>
              <w:right w:val="single" w:sz="4" w:space="0" w:color="auto"/>
            </w:tcBorders>
            <w:noWrap/>
            <w:vAlign w:val="center"/>
            <w:hideMark/>
          </w:tcPr>
          <w:p w14:paraId="0DABA27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84" w:type="dxa"/>
            <w:tcBorders>
              <w:top w:val="nil"/>
              <w:left w:val="nil"/>
              <w:bottom w:val="single" w:sz="4" w:space="0" w:color="auto"/>
              <w:right w:val="single" w:sz="4" w:space="0" w:color="auto"/>
            </w:tcBorders>
            <w:noWrap/>
            <w:vAlign w:val="center"/>
            <w:hideMark/>
          </w:tcPr>
          <w:p w14:paraId="0C84E5AF"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noWrap/>
            <w:vAlign w:val="center"/>
            <w:hideMark/>
          </w:tcPr>
          <w:p w14:paraId="616C295D"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630" w:type="dxa"/>
            <w:tcBorders>
              <w:top w:val="nil"/>
              <w:left w:val="nil"/>
              <w:bottom w:val="single" w:sz="4" w:space="0" w:color="auto"/>
              <w:right w:val="single" w:sz="4" w:space="0" w:color="auto"/>
            </w:tcBorders>
            <w:noWrap/>
            <w:vAlign w:val="center"/>
            <w:hideMark/>
          </w:tcPr>
          <w:p w14:paraId="0D7BB6D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noWrap/>
            <w:vAlign w:val="center"/>
            <w:hideMark/>
          </w:tcPr>
          <w:p w14:paraId="5E233392"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630" w:type="dxa"/>
            <w:tcBorders>
              <w:top w:val="nil"/>
              <w:left w:val="nil"/>
              <w:bottom w:val="single" w:sz="4" w:space="0" w:color="auto"/>
              <w:right w:val="single" w:sz="4" w:space="0" w:color="auto"/>
            </w:tcBorders>
            <w:noWrap/>
            <w:vAlign w:val="center"/>
            <w:hideMark/>
          </w:tcPr>
          <w:p w14:paraId="077E487A"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noWrap/>
            <w:vAlign w:val="center"/>
            <w:hideMark/>
          </w:tcPr>
          <w:p w14:paraId="12AF1B08"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1991</w:t>
            </w:r>
          </w:p>
        </w:tc>
        <w:tc>
          <w:tcPr>
            <w:tcW w:w="720" w:type="dxa"/>
            <w:tcBorders>
              <w:top w:val="nil"/>
              <w:left w:val="nil"/>
              <w:bottom w:val="single" w:sz="4" w:space="0" w:color="auto"/>
              <w:right w:val="single" w:sz="4" w:space="0" w:color="auto"/>
            </w:tcBorders>
            <w:noWrap/>
            <w:vAlign w:val="center"/>
            <w:hideMark/>
          </w:tcPr>
          <w:p w14:paraId="62ACC9E9"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noWrap/>
            <w:vAlign w:val="center"/>
            <w:hideMark/>
          </w:tcPr>
          <w:p w14:paraId="19CADED7" w14:textId="77777777" w:rsidR="00E10F98" w:rsidRPr="00B03175" w:rsidRDefault="00E10F98" w:rsidP="00E10F98">
            <w:pPr>
              <w:spacing w:after="0" w:line="240" w:lineRule="auto"/>
              <w:jc w:val="center"/>
              <w:rPr>
                <w:rFonts w:ascii="Times New Roman" w:eastAsia="Times New Roman" w:hAnsi="Times New Roman" w:cs="Times New Roman"/>
                <w:sz w:val="20"/>
                <w:szCs w:val="20"/>
                <w:lang w:bidi="hi-IN"/>
              </w:rPr>
            </w:pPr>
            <w:r w:rsidRPr="00B03175">
              <w:rPr>
                <w:rFonts w:ascii="Times New Roman" w:eastAsia="Times New Roman" w:hAnsi="Times New Roman" w:cs="Times New Roman"/>
                <w:sz w:val="20"/>
                <w:szCs w:val="20"/>
                <w:lang w:bidi="hi-IN"/>
              </w:rPr>
              <w:t>2011</w:t>
            </w:r>
          </w:p>
        </w:tc>
      </w:tr>
      <w:tr w:rsidR="00E10F98" w:rsidRPr="00B03175" w14:paraId="20CE2CFF"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50B52E12"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w:t>
            </w:r>
          </w:p>
        </w:tc>
        <w:tc>
          <w:tcPr>
            <w:tcW w:w="1127" w:type="dxa"/>
            <w:tcBorders>
              <w:top w:val="nil"/>
              <w:left w:val="nil"/>
              <w:bottom w:val="single" w:sz="4" w:space="0" w:color="auto"/>
              <w:right w:val="single" w:sz="4" w:space="0" w:color="auto"/>
            </w:tcBorders>
            <w:noWrap/>
            <w:vAlign w:val="bottom"/>
            <w:hideMark/>
          </w:tcPr>
          <w:p w14:paraId="51B554CF"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Nandgaon</w:t>
            </w:r>
            <w:proofErr w:type="spellEnd"/>
          </w:p>
        </w:tc>
        <w:tc>
          <w:tcPr>
            <w:tcW w:w="666" w:type="dxa"/>
            <w:tcBorders>
              <w:top w:val="nil"/>
              <w:left w:val="nil"/>
              <w:bottom w:val="single" w:sz="4" w:space="0" w:color="auto"/>
              <w:right w:val="single" w:sz="4" w:space="0" w:color="auto"/>
            </w:tcBorders>
            <w:noWrap/>
            <w:vAlign w:val="center"/>
            <w:hideMark/>
          </w:tcPr>
          <w:p w14:paraId="34837519"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64.36</w:t>
            </w:r>
          </w:p>
        </w:tc>
        <w:tc>
          <w:tcPr>
            <w:tcW w:w="666" w:type="dxa"/>
            <w:tcBorders>
              <w:top w:val="nil"/>
              <w:left w:val="nil"/>
              <w:bottom w:val="single" w:sz="4" w:space="0" w:color="auto"/>
              <w:right w:val="single" w:sz="4" w:space="0" w:color="auto"/>
            </w:tcBorders>
            <w:noWrap/>
            <w:vAlign w:val="center"/>
            <w:hideMark/>
          </w:tcPr>
          <w:p w14:paraId="3230092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56.20</w:t>
            </w:r>
          </w:p>
        </w:tc>
        <w:tc>
          <w:tcPr>
            <w:tcW w:w="738" w:type="dxa"/>
            <w:tcBorders>
              <w:top w:val="nil"/>
              <w:left w:val="nil"/>
              <w:bottom w:val="single" w:sz="4" w:space="0" w:color="auto"/>
              <w:right w:val="single" w:sz="4" w:space="0" w:color="auto"/>
            </w:tcBorders>
            <w:noWrap/>
            <w:vAlign w:val="center"/>
            <w:hideMark/>
          </w:tcPr>
          <w:p w14:paraId="77DB615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46.51</w:t>
            </w:r>
          </w:p>
        </w:tc>
        <w:tc>
          <w:tcPr>
            <w:tcW w:w="666" w:type="dxa"/>
            <w:tcBorders>
              <w:top w:val="nil"/>
              <w:left w:val="nil"/>
              <w:bottom w:val="single" w:sz="4" w:space="0" w:color="auto"/>
              <w:right w:val="single" w:sz="4" w:space="0" w:color="auto"/>
            </w:tcBorders>
            <w:noWrap/>
            <w:vAlign w:val="center"/>
            <w:hideMark/>
          </w:tcPr>
          <w:p w14:paraId="36337BA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20.01</w:t>
            </w:r>
          </w:p>
        </w:tc>
        <w:tc>
          <w:tcPr>
            <w:tcW w:w="684" w:type="dxa"/>
            <w:tcBorders>
              <w:top w:val="nil"/>
              <w:left w:val="nil"/>
              <w:bottom w:val="single" w:sz="4" w:space="0" w:color="auto"/>
              <w:right w:val="single" w:sz="4" w:space="0" w:color="auto"/>
            </w:tcBorders>
            <w:noWrap/>
            <w:vAlign w:val="center"/>
            <w:hideMark/>
          </w:tcPr>
          <w:p w14:paraId="701BEFD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20.40</w:t>
            </w:r>
          </w:p>
        </w:tc>
        <w:tc>
          <w:tcPr>
            <w:tcW w:w="720" w:type="dxa"/>
            <w:tcBorders>
              <w:top w:val="nil"/>
              <w:left w:val="nil"/>
              <w:bottom w:val="single" w:sz="4" w:space="0" w:color="auto"/>
              <w:right w:val="single" w:sz="4" w:space="0" w:color="auto"/>
            </w:tcBorders>
            <w:noWrap/>
            <w:vAlign w:val="center"/>
            <w:hideMark/>
          </w:tcPr>
          <w:p w14:paraId="7ACDD99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23.52</w:t>
            </w:r>
          </w:p>
        </w:tc>
        <w:tc>
          <w:tcPr>
            <w:tcW w:w="630" w:type="dxa"/>
            <w:tcBorders>
              <w:top w:val="nil"/>
              <w:left w:val="nil"/>
              <w:bottom w:val="single" w:sz="4" w:space="0" w:color="auto"/>
              <w:right w:val="single" w:sz="4" w:space="0" w:color="auto"/>
            </w:tcBorders>
            <w:noWrap/>
            <w:vAlign w:val="center"/>
            <w:hideMark/>
          </w:tcPr>
          <w:p w14:paraId="4621235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1.15</w:t>
            </w:r>
          </w:p>
        </w:tc>
        <w:tc>
          <w:tcPr>
            <w:tcW w:w="630" w:type="dxa"/>
            <w:tcBorders>
              <w:top w:val="nil"/>
              <w:left w:val="nil"/>
              <w:bottom w:val="single" w:sz="4" w:space="0" w:color="auto"/>
              <w:right w:val="single" w:sz="4" w:space="0" w:color="auto"/>
            </w:tcBorders>
            <w:noWrap/>
            <w:vAlign w:val="center"/>
            <w:hideMark/>
          </w:tcPr>
          <w:p w14:paraId="00557DF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2.70</w:t>
            </w:r>
          </w:p>
        </w:tc>
        <w:tc>
          <w:tcPr>
            <w:tcW w:w="630" w:type="dxa"/>
            <w:tcBorders>
              <w:top w:val="nil"/>
              <w:left w:val="nil"/>
              <w:bottom w:val="single" w:sz="4" w:space="0" w:color="auto"/>
              <w:right w:val="single" w:sz="4" w:space="0" w:color="auto"/>
            </w:tcBorders>
            <w:noWrap/>
            <w:vAlign w:val="center"/>
            <w:hideMark/>
          </w:tcPr>
          <w:p w14:paraId="6ACE8A3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2.98</w:t>
            </w:r>
          </w:p>
        </w:tc>
        <w:tc>
          <w:tcPr>
            <w:tcW w:w="720" w:type="dxa"/>
            <w:tcBorders>
              <w:top w:val="nil"/>
              <w:left w:val="nil"/>
              <w:bottom w:val="single" w:sz="4" w:space="0" w:color="auto"/>
              <w:right w:val="single" w:sz="4" w:space="0" w:color="auto"/>
            </w:tcBorders>
            <w:noWrap/>
            <w:vAlign w:val="center"/>
            <w:hideMark/>
          </w:tcPr>
          <w:p w14:paraId="1099CBE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14.48</w:t>
            </w:r>
          </w:p>
        </w:tc>
        <w:tc>
          <w:tcPr>
            <w:tcW w:w="720" w:type="dxa"/>
            <w:tcBorders>
              <w:top w:val="nil"/>
              <w:left w:val="nil"/>
              <w:bottom w:val="single" w:sz="4" w:space="0" w:color="auto"/>
              <w:right w:val="single" w:sz="4" w:space="0" w:color="auto"/>
            </w:tcBorders>
            <w:noWrap/>
            <w:vAlign w:val="center"/>
            <w:hideMark/>
          </w:tcPr>
          <w:p w14:paraId="7731513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20.80</w:t>
            </w:r>
          </w:p>
        </w:tc>
        <w:tc>
          <w:tcPr>
            <w:tcW w:w="720" w:type="dxa"/>
            <w:tcBorders>
              <w:top w:val="nil"/>
              <w:left w:val="nil"/>
              <w:bottom w:val="single" w:sz="4" w:space="0" w:color="auto"/>
              <w:right w:val="single" w:sz="4" w:space="0" w:color="auto"/>
            </w:tcBorders>
            <w:noWrap/>
            <w:vAlign w:val="center"/>
            <w:hideMark/>
          </w:tcPr>
          <w:p w14:paraId="3A065A9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26.99</w:t>
            </w:r>
          </w:p>
        </w:tc>
      </w:tr>
      <w:tr w:rsidR="00E10F98" w:rsidRPr="00B03175" w14:paraId="0824D297"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20A0F9D2"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w:t>
            </w:r>
          </w:p>
        </w:tc>
        <w:tc>
          <w:tcPr>
            <w:tcW w:w="1127" w:type="dxa"/>
            <w:tcBorders>
              <w:top w:val="nil"/>
              <w:left w:val="nil"/>
              <w:bottom w:val="single" w:sz="4" w:space="0" w:color="auto"/>
              <w:right w:val="single" w:sz="4" w:space="0" w:color="auto"/>
            </w:tcBorders>
            <w:noWrap/>
            <w:vAlign w:val="bottom"/>
            <w:hideMark/>
          </w:tcPr>
          <w:p w14:paraId="5A9CB631"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Chhata</w:t>
            </w:r>
          </w:p>
        </w:tc>
        <w:tc>
          <w:tcPr>
            <w:tcW w:w="666" w:type="dxa"/>
            <w:tcBorders>
              <w:top w:val="nil"/>
              <w:left w:val="nil"/>
              <w:bottom w:val="single" w:sz="4" w:space="0" w:color="auto"/>
              <w:right w:val="single" w:sz="4" w:space="0" w:color="auto"/>
            </w:tcBorders>
            <w:noWrap/>
            <w:vAlign w:val="center"/>
            <w:hideMark/>
          </w:tcPr>
          <w:p w14:paraId="49066BE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61.78</w:t>
            </w:r>
          </w:p>
        </w:tc>
        <w:tc>
          <w:tcPr>
            <w:tcW w:w="666" w:type="dxa"/>
            <w:tcBorders>
              <w:top w:val="nil"/>
              <w:left w:val="nil"/>
              <w:bottom w:val="single" w:sz="4" w:space="0" w:color="auto"/>
              <w:right w:val="single" w:sz="4" w:space="0" w:color="auto"/>
            </w:tcBorders>
            <w:noWrap/>
            <w:vAlign w:val="center"/>
            <w:hideMark/>
          </w:tcPr>
          <w:p w14:paraId="1665C77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55.80</w:t>
            </w:r>
          </w:p>
        </w:tc>
        <w:tc>
          <w:tcPr>
            <w:tcW w:w="738" w:type="dxa"/>
            <w:tcBorders>
              <w:top w:val="nil"/>
              <w:left w:val="nil"/>
              <w:bottom w:val="single" w:sz="4" w:space="0" w:color="auto"/>
              <w:right w:val="single" w:sz="4" w:space="0" w:color="auto"/>
            </w:tcBorders>
            <w:noWrap/>
            <w:vAlign w:val="center"/>
            <w:hideMark/>
          </w:tcPr>
          <w:p w14:paraId="59A3196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43.71</w:t>
            </w:r>
          </w:p>
        </w:tc>
        <w:tc>
          <w:tcPr>
            <w:tcW w:w="666" w:type="dxa"/>
            <w:tcBorders>
              <w:top w:val="nil"/>
              <w:left w:val="nil"/>
              <w:bottom w:val="single" w:sz="4" w:space="0" w:color="auto"/>
              <w:right w:val="single" w:sz="4" w:space="0" w:color="auto"/>
            </w:tcBorders>
            <w:noWrap/>
            <w:vAlign w:val="center"/>
            <w:hideMark/>
          </w:tcPr>
          <w:p w14:paraId="6113063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23.20</w:t>
            </w:r>
          </w:p>
        </w:tc>
        <w:tc>
          <w:tcPr>
            <w:tcW w:w="684" w:type="dxa"/>
            <w:tcBorders>
              <w:top w:val="nil"/>
              <w:left w:val="nil"/>
              <w:bottom w:val="single" w:sz="4" w:space="0" w:color="auto"/>
              <w:right w:val="single" w:sz="4" w:space="0" w:color="auto"/>
            </w:tcBorders>
            <w:noWrap/>
            <w:vAlign w:val="center"/>
            <w:hideMark/>
          </w:tcPr>
          <w:p w14:paraId="31E379B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17.40</w:t>
            </w:r>
          </w:p>
        </w:tc>
        <w:tc>
          <w:tcPr>
            <w:tcW w:w="720" w:type="dxa"/>
            <w:tcBorders>
              <w:top w:val="nil"/>
              <w:left w:val="nil"/>
              <w:bottom w:val="single" w:sz="4" w:space="0" w:color="auto"/>
              <w:right w:val="single" w:sz="4" w:space="0" w:color="auto"/>
            </w:tcBorders>
            <w:noWrap/>
            <w:vAlign w:val="center"/>
            <w:hideMark/>
          </w:tcPr>
          <w:p w14:paraId="7EC0A78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23.39</w:t>
            </w:r>
          </w:p>
        </w:tc>
        <w:tc>
          <w:tcPr>
            <w:tcW w:w="630" w:type="dxa"/>
            <w:tcBorders>
              <w:top w:val="nil"/>
              <w:left w:val="nil"/>
              <w:bottom w:val="single" w:sz="4" w:space="0" w:color="auto"/>
              <w:right w:val="single" w:sz="4" w:space="0" w:color="auto"/>
            </w:tcBorders>
            <w:noWrap/>
            <w:vAlign w:val="center"/>
            <w:hideMark/>
          </w:tcPr>
          <w:p w14:paraId="3FE9097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1.37</w:t>
            </w:r>
          </w:p>
        </w:tc>
        <w:tc>
          <w:tcPr>
            <w:tcW w:w="630" w:type="dxa"/>
            <w:tcBorders>
              <w:top w:val="nil"/>
              <w:left w:val="nil"/>
              <w:bottom w:val="single" w:sz="4" w:space="0" w:color="auto"/>
              <w:right w:val="single" w:sz="4" w:space="0" w:color="auto"/>
            </w:tcBorders>
            <w:noWrap/>
            <w:vAlign w:val="center"/>
            <w:hideMark/>
          </w:tcPr>
          <w:p w14:paraId="6A1DFA0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3.00</w:t>
            </w:r>
          </w:p>
        </w:tc>
        <w:tc>
          <w:tcPr>
            <w:tcW w:w="630" w:type="dxa"/>
            <w:tcBorders>
              <w:top w:val="nil"/>
              <w:left w:val="nil"/>
              <w:bottom w:val="single" w:sz="4" w:space="0" w:color="auto"/>
              <w:right w:val="single" w:sz="4" w:space="0" w:color="auto"/>
            </w:tcBorders>
            <w:noWrap/>
            <w:vAlign w:val="center"/>
            <w:hideMark/>
          </w:tcPr>
          <w:p w14:paraId="1B0D641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4.73</w:t>
            </w:r>
          </w:p>
        </w:tc>
        <w:tc>
          <w:tcPr>
            <w:tcW w:w="720" w:type="dxa"/>
            <w:tcBorders>
              <w:top w:val="nil"/>
              <w:left w:val="nil"/>
              <w:bottom w:val="single" w:sz="4" w:space="0" w:color="auto"/>
              <w:right w:val="single" w:sz="4" w:space="0" w:color="auto"/>
            </w:tcBorders>
            <w:noWrap/>
            <w:vAlign w:val="center"/>
            <w:hideMark/>
          </w:tcPr>
          <w:p w14:paraId="6BC58AC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13.65</w:t>
            </w:r>
          </w:p>
        </w:tc>
        <w:tc>
          <w:tcPr>
            <w:tcW w:w="720" w:type="dxa"/>
            <w:tcBorders>
              <w:top w:val="nil"/>
              <w:left w:val="nil"/>
              <w:bottom w:val="single" w:sz="4" w:space="0" w:color="auto"/>
              <w:right w:val="single" w:sz="4" w:space="0" w:color="auto"/>
            </w:tcBorders>
            <w:noWrap/>
            <w:vAlign w:val="center"/>
            <w:hideMark/>
          </w:tcPr>
          <w:p w14:paraId="146954D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23.80</w:t>
            </w:r>
          </w:p>
        </w:tc>
        <w:tc>
          <w:tcPr>
            <w:tcW w:w="720" w:type="dxa"/>
            <w:tcBorders>
              <w:top w:val="nil"/>
              <w:left w:val="nil"/>
              <w:bottom w:val="single" w:sz="4" w:space="0" w:color="auto"/>
              <w:right w:val="single" w:sz="4" w:space="0" w:color="auto"/>
            </w:tcBorders>
            <w:noWrap/>
            <w:vAlign w:val="center"/>
            <w:hideMark/>
          </w:tcPr>
          <w:p w14:paraId="27E7F16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28.17</w:t>
            </w:r>
          </w:p>
        </w:tc>
      </w:tr>
      <w:tr w:rsidR="00E10F98" w:rsidRPr="00B03175" w14:paraId="2DCD141B"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7AF99FD"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w:t>
            </w:r>
          </w:p>
        </w:tc>
        <w:tc>
          <w:tcPr>
            <w:tcW w:w="1127" w:type="dxa"/>
            <w:tcBorders>
              <w:top w:val="nil"/>
              <w:left w:val="nil"/>
              <w:bottom w:val="single" w:sz="4" w:space="0" w:color="auto"/>
              <w:right w:val="single" w:sz="4" w:space="0" w:color="auto"/>
            </w:tcBorders>
            <w:noWrap/>
            <w:vAlign w:val="bottom"/>
            <w:hideMark/>
          </w:tcPr>
          <w:p w14:paraId="76B33C0C"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Chaumuha</w:t>
            </w:r>
            <w:proofErr w:type="spellEnd"/>
          </w:p>
        </w:tc>
        <w:tc>
          <w:tcPr>
            <w:tcW w:w="666" w:type="dxa"/>
            <w:tcBorders>
              <w:top w:val="nil"/>
              <w:left w:val="nil"/>
              <w:bottom w:val="single" w:sz="4" w:space="0" w:color="auto"/>
              <w:right w:val="single" w:sz="4" w:space="0" w:color="auto"/>
            </w:tcBorders>
            <w:noWrap/>
            <w:vAlign w:val="center"/>
            <w:hideMark/>
          </w:tcPr>
          <w:p w14:paraId="5513A0F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66.68</w:t>
            </w:r>
          </w:p>
        </w:tc>
        <w:tc>
          <w:tcPr>
            <w:tcW w:w="666" w:type="dxa"/>
            <w:tcBorders>
              <w:top w:val="nil"/>
              <w:left w:val="nil"/>
              <w:bottom w:val="single" w:sz="4" w:space="0" w:color="auto"/>
              <w:right w:val="single" w:sz="4" w:space="0" w:color="auto"/>
            </w:tcBorders>
            <w:noWrap/>
            <w:vAlign w:val="center"/>
            <w:hideMark/>
          </w:tcPr>
          <w:p w14:paraId="6D128F9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59.00</w:t>
            </w:r>
          </w:p>
        </w:tc>
        <w:tc>
          <w:tcPr>
            <w:tcW w:w="738" w:type="dxa"/>
            <w:tcBorders>
              <w:top w:val="nil"/>
              <w:left w:val="nil"/>
              <w:bottom w:val="single" w:sz="4" w:space="0" w:color="auto"/>
              <w:right w:val="single" w:sz="4" w:space="0" w:color="auto"/>
            </w:tcBorders>
            <w:noWrap/>
            <w:vAlign w:val="center"/>
            <w:hideMark/>
          </w:tcPr>
          <w:p w14:paraId="7C1AD98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44.12</w:t>
            </w:r>
          </w:p>
        </w:tc>
        <w:tc>
          <w:tcPr>
            <w:tcW w:w="666" w:type="dxa"/>
            <w:tcBorders>
              <w:top w:val="nil"/>
              <w:left w:val="nil"/>
              <w:bottom w:val="single" w:sz="4" w:space="0" w:color="auto"/>
              <w:right w:val="single" w:sz="4" w:space="0" w:color="auto"/>
            </w:tcBorders>
            <w:noWrap/>
            <w:vAlign w:val="center"/>
            <w:hideMark/>
          </w:tcPr>
          <w:p w14:paraId="2D19372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19.09</w:t>
            </w:r>
          </w:p>
        </w:tc>
        <w:tc>
          <w:tcPr>
            <w:tcW w:w="684" w:type="dxa"/>
            <w:tcBorders>
              <w:top w:val="nil"/>
              <w:left w:val="nil"/>
              <w:bottom w:val="single" w:sz="4" w:space="0" w:color="auto"/>
              <w:right w:val="single" w:sz="4" w:space="0" w:color="auto"/>
            </w:tcBorders>
            <w:noWrap/>
            <w:vAlign w:val="center"/>
            <w:hideMark/>
          </w:tcPr>
          <w:p w14:paraId="3B66159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20.40</w:t>
            </w:r>
          </w:p>
        </w:tc>
        <w:tc>
          <w:tcPr>
            <w:tcW w:w="720" w:type="dxa"/>
            <w:tcBorders>
              <w:top w:val="nil"/>
              <w:left w:val="nil"/>
              <w:bottom w:val="single" w:sz="4" w:space="0" w:color="auto"/>
              <w:right w:val="single" w:sz="4" w:space="0" w:color="auto"/>
            </w:tcBorders>
            <w:noWrap/>
            <w:vAlign w:val="center"/>
            <w:hideMark/>
          </w:tcPr>
          <w:p w14:paraId="5657C2D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24.91</w:t>
            </w:r>
          </w:p>
        </w:tc>
        <w:tc>
          <w:tcPr>
            <w:tcW w:w="630" w:type="dxa"/>
            <w:tcBorders>
              <w:top w:val="nil"/>
              <w:left w:val="nil"/>
              <w:bottom w:val="single" w:sz="4" w:space="0" w:color="auto"/>
              <w:right w:val="single" w:sz="4" w:space="0" w:color="auto"/>
            </w:tcBorders>
            <w:noWrap/>
            <w:vAlign w:val="center"/>
            <w:hideMark/>
          </w:tcPr>
          <w:p w14:paraId="7FDB4CC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1.31</w:t>
            </w:r>
          </w:p>
        </w:tc>
        <w:tc>
          <w:tcPr>
            <w:tcW w:w="630" w:type="dxa"/>
            <w:tcBorders>
              <w:top w:val="nil"/>
              <w:left w:val="nil"/>
              <w:bottom w:val="single" w:sz="4" w:space="0" w:color="auto"/>
              <w:right w:val="single" w:sz="4" w:space="0" w:color="auto"/>
            </w:tcBorders>
            <w:noWrap/>
            <w:vAlign w:val="center"/>
            <w:hideMark/>
          </w:tcPr>
          <w:p w14:paraId="1B1E87B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3.10</w:t>
            </w:r>
          </w:p>
        </w:tc>
        <w:tc>
          <w:tcPr>
            <w:tcW w:w="630" w:type="dxa"/>
            <w:tcBorders>
              <w:top w:val="nil"/>
              <w:left w:val="nil"/>
              <w:bottom w:val="single" w:sz="4" w:space="0" w:color="auto"/>
              <w:right w:val="single" w:sz="4" w:space="0" w:color="auto"/>
            </w:tcBorders>
            <w:noWrap/>
            <w:vAlign w:val="center"/>
            <w:hideMark/>
          </w:tcPr>
          <w:p w14:paraId="7D48CA7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4.99</w:t>
            </w:r>
          </w:p>
        </w:tc>
        <w:tc>
          <w:tcPr>
            <w:tcW w:w="720" w:type="dxa"/>
            <w:tcBorders>
              <w:top w:val="nil"/>
              <w:left w:val="nil"/>
              <w:bottom w:val="single" w:sz="4" w:space="0" w:color="auto"/>
              <w:right w:val="single" w:sz="4" w:space="0" w:color="auto"/>
            </w:tcBorders>
            <w:noWrap/>
            <w:vAlign w:val="center"/>
            <w:hideMark/>
          </w:tcPr>
          <w:p w14:paraId="6C8B713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12.92</w:t>
            </w:r>
          </w:p>
        </w:tc>
        <w:tc>
          <w:tcPr>
            <w:tcW w:w="720" w:type="dxa"/>
            <w:tcBorders>
              <w:top w:val="nil"/>
              <w:left w:val="nil"/>
              <w:bottom w:val="single" w:sz="4" w:space="0" w:color="auto"/>
              <w:right w:val="single" w:sz="4" w:space="0" w:color="auto"/>
            </w:tcBorders>
            <w:noWrap/>
            <w:vAlign w:val="center"/>
            <w:hideMark/>
          </w:tcPr>
          <w:p w14:paraId="3C84653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17.50</w:t>
            </w:r>
          </w:p>
        </w:tc>
        <w:tc>
          <w:tcPr>
            <w:tcW w:w="720" w:type="dxa"/>
            <w:tcBorders>
              <w:top w:val="nil"/>
              <w:left w:val="nil"/>
              <w:bottom w:val="single" w:sz="4" w:space="0" w:color="auto"/>
              <w:right w:val="single" w:sz="4" w:space="0" w:color="auto"/>
            </w:tcBorders>
            <w:noWrap/>
            <w:vAlign w:val="center"/>
            <w:hideMark/>
          </w:tcPr>
          <w:p w14:paraId="3E2BB50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25.98</w:t>
            </w:r>
          </w:p>
        </w:tc>
      </w:tr>
      <w:tr w:rsidR="00E10F98" w:rsidRPr="00B03175" w14:paraId="4D93B647"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2F89109F"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w:t>
            </w:r>
          </w:p>
        </w:tc>
        <w:tc>
          <w:tcPr>
            <w:tcW w:w="1127" w:type="dxa"/>
            <w:tcBorders>
              <w:top w:val="nil"/>
              <w:left w:val="nil"/>
              <w:bottom w:val="single" w:sz="4" w:space="0" w:color="auto"/>
              <w:right w:val="single" w:sz="4" w:space="0" w:color="auto"/>
            </w:tcBorders>
            <w:noWrap/>
            <w:vAlign w:val="bottom"/>
            <w:hideMark/>
          </w:tcPr>
          <w:p w14:paraId="384F822C"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B03175">
              <w:rPr>
                <w:rFonts w:ascii="Times New Roman" w:eastAsia="Times New Roman" w:hAnsi="Times New Roman" w:cs="Times New Roman"/>
                <w:color w:val="000000"/>
                <w:sz w:val="20"/>
                <w:szCs w:val="20"/>
                <w:lang w:bidi="hi-IN"/>
              </w:rPr>
              <w:t>Nohjhil</w:t>
            </w:r>
            <w:proofErr w:type="spellEnd"/>
          </w:p>
        </w:tc>
        <w:tc>
          <w:tcPr>
            <w:tcW w:w="666" w:type="dxa"/>
            <w:tcBorders>
              <w:top w:val="nil"/>
              <w:left w:val="nil"/>
              <w:bottom w:val="single" w:sz="4" w:space="0" w:color="auto"/>
              <w:right w:val="single" w:sz="4" w:space="0" w:color="auto"/>
            </w:tcBorders>
            <w:noWrap/>
            <w:vAlign w:val="center"/>
            <w:hideMark/>
          </w:tcPr>
          <w:p w14:paraId="5D41A6B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62.01</w:t>
            </w:r>
          </w:p>
        </w:tc>
        <w:tc>
          <w:tcPr>
            <w:tcW w:w="666" w:type="dxa"/>
            <w:tcBorders>
              <w:top w:val="nil"/>
              <w:left w:val="nil"/>
              <w:bottom w:val="single" w:sz="4" w:space="0" w:color="auto"/>
              <w:right w:val="single" w:sz="4" w:space="0" w:color="auto"/>
            </w:tcBorders>
            <w:noWrap/>
            <w:vAlign w:val="center"/>
            <w:hideMark/>
          </w:tcPr>
          <w:p w14:paraId="3AA6181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51.70</w:t>
            </w:r>
          </w:p>
        </w:tc>
        <w:tc>
          <w:tcPr>
            <w:tcW w:w="738" w:type="dxa"/>
            <w:tcBorders>
              <w:top w:val="nil"/>
              <w:left w:val="nil"/>
              <w:bottom w:val="single" w:sz="4" w:space="0" w:color="auto"/>
              <w:right w:val="single" w:sz="4" w:space="0" w:color="auto"/>
            </w:tcBorders>
            <w:noWrap/>
            <w:vAlign w:val="center"/>
            <w:hideMark/>
          </w:tcPr>
          <w:p w14:paraId="10F81BF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39.50</w:t>
            </w:r>
          </w:p>
        </w:tc>
        <w:tc>
          <w:tcPr>
            <w:tcW w:w="666" w:type="dxa"/>
            <w:tcBorders>
              <w:top w:val="nil"/>
              <w:left w:val="nil"/>
              <w:bottom w:val="single" w:sz="4" w:space="0" w:color="auto"/>
              <w:right w:val="single" w:sz="4" w:space="0" w:color="auto"/>
            </w:tcBorders>
            <w:noWrap/>
            <w:vAlign w:val="center"/>
            <w:hideMark/>
          </w:tcPr>
          <w:p w14:paraId="195620F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17.25</w:t>
            </w:r>
          </w:p>
        </w:tc>
        <w:tc>
          <w:tcPr>
            <w:tcW w:w="684" w:type="dxa"/>
            <w:tcBorders>
              <w:top w:val="nil"/>
              <w:left w:val="nil"/>
              <w:bottom w:val="single" w:sz="4" w:space="0" w:color="auto"/>
              <w:right w:val="single" w:sz="4" w:space="0" w:color="auto"/>
            </w:tcBorders>
            <w:noWrap/>
            <w:vAlign w:val="center"/>
            <w:hideMark/>
          </w:tcPr>
          <w:p w14:paraId="183A45D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22.00</w:t>
            </w:r>
          </w:p>
        </w:tc>
        <w:tc>
          <w:tcPr>
            <w:tcW w:w="720" w:type="dxa"/>
            <w:tcBorders>
              <w:top w:val="nil"/>
              <w:left w:val="nil"/>
              <w:bottom w:val="single" w:sz="4" w:space="0" w:color="auto"/>
              <w:right w:val="single" w:sz="4" w:space="0" w:color="auto"/>
            </w:tcBorders>
            <w:noWrap/>
            <w:vAlign w:val="center"/>
            <w:hideMark/>
          </w:tcPr>
          <w:p w14:paraId="0E9735B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28.00</w:t>
            </w:r>
          </w:p>
        </w:tc>
        <w:tc>
          <w:tcPr>
            <w:tcW w:w="630" w:type="dxa"/>
            <w:tcBorders>
              <w:top w:val="nil"/>
              <w:left w:val="nil"/>
              <w:bottom w:val="single" w:sz="4" w:space="0" w:color="auto"/>
              <w:right w:val="single" w:sz="4" w:space="0" w:color="auto"/>
            </w:tcBorders>
            <w:noWrap/>
            <w:vAlign w:val="center"/>
            <w:hideMark/>
          </w:tcPr>
          <w:p w14:paraId="59F43559"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1.59</w:t>
            </w:r>
          </w:p>
        </w:tc>
        <w:tc>
          <w:tcPr>
            <w:tcW w:w="630" w:type="dxa"/>
            <w:tcBorders>
              <w:top w:val="nil"/>
              <w:left w:val="nil"/>
              <w:bottom w:val="single" w:sz="4" w:space="0" w:color="auto"/>
              <w:right w:val="single" w:sz="4" w:space="0" w:color="auto"/>
            </w:tcBorders>
            <w:noWrap/>
            <w:vAlign w:val="center"/>
            <w:hideMark/>
          </w:tcPr>
          <w:p w14:paraId="08AF73F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3.00</w:t>
            </w:r>
          </w:p>
        </w:tc>
        <w:tc>
          <w:tcPr>
            <w:tcW w:w="630" w:type="dxa"/>
            <w:tcBorders>
              <w:top w:val="nil"/>
              <w:left w:val="nil"/>
              <w:bottom w:val="single" w:sz="4" w:space="0" w:color="auto"/>
              <w:right w:val="single" w:sz="4" w:space="0" w:color="auto"/>
            </w:tcBorders>
            <w:noWrap/>
            <w:vAlign w:val="center"/>
            <w:hideMark/>
          </w:tcPr>
          <w:p w14:paraId="4DFFD1D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6.03</w:t>
            </w:r>
          </w:p>
        </w:tc>
        <w:tc>
          <w:tcPr>
            <w:tcW w:w="720" w:type="dxa"/>
            <w:tcBorders>
              <w:top w:val="nil"/>
              <w:left w:val="nil"/>
              <w:bottom w:val="single" w:sz="4" w:space="0" w:color="auto"/>
              <w:right w:val="single" w:sz="4" w:space="0" w:color="auto"/>
            </w:tcBorders>
            <w:noWrap/>
            <w:vAlign w:val="center"/>
            <w:hideMark/>
          </w:tcPr>
          <w:p w14:paraId="6A23325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19.15</w:t>
            </w:r>
          </w:p>
        </w:tc>
        <w:tc>
          <w:tcPr>
            <w:tcW w:w="720" w:type="dxa"/>
            <w:tcBorders>
              <w:top w:val="nil"/>
              <w:left w:val="nil"/>
              <w:bottom w:val="single" w:sz="4" w:space="0" w:color="auto"/>
              <w:right w:val="single" w:sz="4" w:space="0" w:color="auto"/>
            </w:tcBorders>
            <w:noWrap/>
            <w:vAlign w:val="center"/>
            <w:hideMark/>
          </w:tcPr>
          <w:p w14:paraId="635068F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23.30</w:t>
            </w:r>
          </w:p>
        </w:tc>
        <w:tc>
          <w:tcPr>
            <w:tcW w:w="720" w:type="dxa"/>
            <w:tcBorders>
              <w:top w:val="nil"/>
              <w:left w:val="nil"/>
              <w:bottom w:val="single" w:sz="4" w:space="0" w:color="auto"/>
              <w:right w:val="single" w:sz="4" w:space="0" w:color="auto"/>
            </w:tcBorders>
            <w:noWrap/>
            <w:vAlign w:val="center"/>
            <w:hideMark/>
          </w:tcPr>
          <w:p w14:paraId="1ED7884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26.47</w:t>
            </w:r>
          </w:p>
        </w:tc>
      </w:tr>
      <w:tr w:rsidR="00E10F98" w:rsidRPr="00B03175" w14:paraId="147CBE84"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36C49B42"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w:t>
            </w:r>
          </w:p>
        </w:tc>
        <w:tc>
          <w:tcPr>
            <w:tcW w:w="1127" w:type="dxa"/>
            <w:tcBorders>
              <w:top w:val="nil"/>
              <w:left w:val="nil"/>
              <w:bottom w:val="single" w:sz="4" w:space="0" w:color="auto"/>
              <w:right w:val="single" w:sz="4" w:space="0" w:color="auto"/>
            </w:tcBorders>
            <w:noWrap/>
            <w:vAlign w:val="bottom"/>
            <w:hideMark/>
          </w:tcPr>
          <w:p w14:paraId="2F85082C"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Mat</w:t>
            </w:r>
          </w:p>
        </w:tc>
        <w:tc>
          <w:tcPr>
            <w:tcW w:w="666" w:type="dxa"/>
            <w:tcBorders>
              <w:top w:val="nil"/>
              <w:left w:val="nil"/>
              <w:bottom w:val="single" w:sz="4" w:space="0" w:color="auto"/>
              <w:right w:val="single" w:sz="4" w:space="0" w:color="auto"/>
            </w:tcBorders>
            <w:noWrap/>
            <w:vAlign w:val="center"/>
            <w:hideMark/>
          </w:tcPr>
          <w:p w14:paraId="1D97479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45.52</w:t>
            </w:r>
          </w:p>
        </w:tc>
        <w:tc>
          <w:tcPr>
            <w:tcW w:w="666" w:type="dxa"/>
            <w:tcBorders>
              <w:top w:val="nil"/>
              <w:left w:val="nil"/>
              <w:bottom w:val="single" w:sz="4" w:space="0" w:color="auto"/>
              <w:right w:val="single" w:sz="4" w:space="0" w:color="auto"/>
            </w:tcBorders>
            <w:noWrap/>
            <w:vAlign w:val="center"/>
            <w:hideMark/>
          </w:tcPr>
          <w:p w14:paraId="4FA344C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47.60</w:t>
            </w:r>
          </w:p>
        </w:tc>
        <w:tc>
          <w:tcPr>
            <w:tcW w:w="738" w:type="dxa"/>
            <w:tcBorders>
              <w:top w:val="nil"/>
              <w:left w:val="nil"/>
              <w:bottom w:val="single" w:sz="4" w:space="0" w:color="auto"/>
              <w:right w:val="single" w:sz="4" w:space="0" w:color="auto"/>
            </w:tcBorders>
            <w:noWrap/>
            <w:vAlign w:val="center"/>
            <w:hideMark/>
          </w:tcPr>
          <w:p w14:paraId="4591571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30.76</w:t>
            </w:r>
          </w:p>
        </w:tc>
        <w:tc>
          <w:tcPr>
            <w:tcW w:w="666" w:type="dxa"/>
            <w:tcBorders>
              <w:top w:val="nil"/>
              <w:left w:val="nil"/>
              <w:bottom w:val="single" w:sz="4" w:space="0" w:color="auto"/>
              <w:right w:val="single" w:sz="4" w:space="0" w:color="auto"/>
            </w:tcBorders>
            <w:noWrap/>
            <w:vAlign w:val="center"/>
            <w:hideMark/>
          </w:tcPr>
          <w:p w14:paraId="73C7B37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17.14</w:t>
            </w:r>
          </w:p>
        </w:tc>
        <w:tc>
          <w:tcPr>
            <w:tcW w:w="684" w:type="dxa"/>
            <w:tcBorders>
              <w:top w:val="nil"/>
              <w:left w:val="nil"/>
              <w:bottom w:val="single" w:sz="4" w:space="0" w:color="auto"/>
              <w:right w:val="single" w:sz="4" w:space="0" w:color="auto"/>
            </w:tcBorders>
            <w:noWrap/>
            <w:vAlign w:val="center"/>
            <w:hideMark/>
          </w:tcPr>
          <w:p w14:paraId="4F3C1A4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25.60</w:t>
            </w:r>
          </w:p>
        </w:tc>
        <w:tc>
          <w:tcPr>
            <w:tcW w:w="720" w:type="dxa"/>
            <w:tcBorders>
              <w:top w:val="nil"/>
              <w:left w:val="nil"/>
              <w:bottom w:val="single" w:sz="4" w:space="0" w:color="auto"/>
              <w:right w:val="single" w:sz="4" w:space="0" w:color="auto"/>
            </w:tcBorders>
            <w:noWrap/>
            <w:vAlign w:val="center"/>
            <w:hideMark/>
          </w:tcPr>
          <w:p w14:paraId="4FC98F1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33.91</w:t>
            </w:r>
          </w:p>
        </w:tc>
        <w:tc>
          <w:tcPr>
            <w:tcW w:w="630" w:type="dxa"/>
            <w:tcBorders>
              <w:top w:val="nil"/>
              <w:left w:val="nil"/>
              <w:bottom w:val="single" w:sz="4" w:space="0" w:color="auto"/>
              <w:right w:val="single" w:sz="4" w:space="0" w:color="auto"/>
            </w:tcBorders>
            <w:noWrap/>
            <w:vAlign w:val="center"/>
            <w:hideMark/>
          </w:tcPr>
          <w:p w14:paraId="0282D85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noWrap/>
            <w:vAlign w:val="center"/>
            <w:hideMark/>
          </w:tcPr>
          <w:p w14:paraId="70B1846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5.10</w:t>
            </w:r>
          </w:p>
        </w:tc>
        <w:tc>
          <w:tcPr>
            <w:tcW w:w="630" w:type="dxa"/>
            <w:tcBorders>
              <w:top w:val="nil"/>
              <w:left w:val="nil"/>
              <w:bottom w:val="single" w:sz="4" w:space="0" w:color="auto"/>
              <w:right w:val="single" w:sz="4" w:space="0" w:color="auto"/>
            </w:tcBorders>
            <w:noWrap/>
            <w:vAlign w:val="center"/>
            <w:hideMark/>
          </w:tcPr>
          <w:p w14:paraId="6531294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6.52</w:t>
            </w:r>
          </w:p>
        </w:tc>
        <w:tc>
          <w:tcPr>
            <w:tcW w:w="720" w:type="dxa"/>
            <w:tcBorders>
              <w:top w:val="nil"/>
              <w:left w:val="nil"/>
              <w:bottom w:val="single" w:sz="4" w:space="0" w:color="auto"/>
              <w:right w:val="single" w:sz="4" w:space="0" w:color="auto"/>
            </w:tcBorders>
            <w:noWrap/>
            <w:vAlign w:val="center"/>
            <w:hideMark/>
          </w:tcPr>
          <w:p w14:paraId="2A08784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35.59</w:t>
            </w:r>
          </w:p>
        </w:tc>
        <w:tc>
          <w:tcPr>
            <w:tcW w:w="720" w:type="dxa"/>
            <w:tcBorders>
              <w:top w:val="nil"/>
              <w:left w:val="nil"/>
              <w:bottom w:val="single" w:sz="4" w:space="0" w:color="auto"/>
              <w:right w:val="single" w:sz="4" w:space="0" w:color="auto"/>
            </w:tcBorders>
            <w:noWrap/>
            <w:vAlign w:val="center"/>
            <w:hideMark/>
          </w:tcPr>
          <w:p w14:paraId="21FA470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21.70</w:t>
            </w:r>
          </w:p>
        </w:tc>
        <w:tc>
          <w:tcPr>
            <w:tcW w:w="720" w:type="dxa"/>
            <w:tcBorders>
              <w:top w:val="nil"/>
              <w:left w:val="nil"/>
              <w:bottom w:val="single" w:sz="4" w:space="0" w:color="auto"/>
              <w:right w:val="single" w:sz="4" w:space="0" w:color="auto"/>
            </w:tcBorders>
            <w:noWrap/>
            <w:vAlign w:val="center"/>
            <w:hideMark/>
          </w:tcPr>
          <w:p w14:paraId="1984BE1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28.81</w:t>
            </w:r>
          </w:p>
        </w:tc>
      </w:tr>
      <w:tr w:rsidR="00E10F98" w:rsidRPr="00B03175" w14:paraId="464B7092"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10A578BE"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w:t>
            </w:r>
          </w:p>
        </w:tc>
        <w:tc>
          <w:tcPr>
            <w:tcW w:w="1127" w:type="dxa"/>
            <w:tcBorders>
              <w:top w:val="nil"/>
              <w:left w:val="nil"/>
              <w:bottom w:val="single" w:sz="4" w:space="0" w:color="auto"/>
              <w:right w:val="single" w:sz="4" w:space="0" w:color="auto"/>
            </w:tcBorders>
            <w:noWrap/>
            <w:vAlign w:val="bottom"/>
            <w:hideMark/>
          </w:tcPr>
          <w:p w14:paraId="3715B9A3"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Raya</w:t>
            </w:r>
          </w:p>
        </w:tc>
        <w:tc>
          <w:tcPr>
            <w:tcW w:w="666" w:type="dxa"/>
            <w:tcBorders>
              <w:top w:val="nil"/>
              <w:left w:val="nil"/>
              <w:bottom w:val="single" w:sz="4" w:space="0" w:color="auto"/>
              <w:right w:val="single" w:sz="4" w:space="0" w:color="auto"/>
            </w:tcBorders>
            <w:noWrap/>
            <w:vAlign w:val="center"/>
            <w:hideMark/>
          </w:tcPr>
          <w:p w14:paraId="577F66E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54.60</w:t>
            </w:r>
          </w:p>
        </w:tc>
        <w:tc>
          <w:tcPr>
            <w:tcW w:w="666" w:type="dxa"/>
            <w:tcBorders>
              <w:top w:val="nil"/>
              <w:left w:val="nil"/>
              <w:bottom w:val="single" w:sz="4" w:space="0" w:color="auto"/>
              <w:right w:val="single" w:sz="4" w:space="0" w:color="auto"/>
            </w:tcBorders>
            <w:noWrap/>
            <w:vAlign w:val="center"/>
            <w:hideMark/>
          </w:tcPr>
          <w:p w14:paraId="4D9C5B3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41.90</w:t>
            </w:r>
          </w:p>
        </w:tc>
        <w:tc>
          <w:tcPr>
            <w:tcW w:w="738" w:type="dxa"/>
            <w:tcBorders>
              <w:top w:val="nil"/>
              <w:left w:val="nil"/>
              <w:bottom w:val="single" w:sz="4" w:space="0" w:color="auto"/>
              <w:right w:val="single" w:sz="4" w:space="0" w:color="auto"/>
            </w:tcBorders>
            <w:noWrap/>
            <w:vAlign w:val="center"/>
            <w:hideMark/>
          </w:tcPr>
          <w:p w14:paraId="0264A4B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28.42</w:t>
            </w:r>
          </w:p>
        </w:tc>
        <w:tc>
          <w:tcPr>
            <w:tcW w:w="666" w:type="dxa"/>
            <w:tcBorders>
              <w:top w:val="nil"/>
              <w:left w:val="nil"/>
              <w:bottom w:val="single" w:sz="4" w:space="0" w:color="auto"/>
              <w:right w:val="single" w:sz="4" w:space="0" w:color="auto"/>
            </w:tcBorders>
            <w:noWrap/>
            <w:vAlign w:val="center"/>
            <w:hideMark/>
          </w:tcPr>
          <w:p w14:paraId="6A0F3EB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19.20</w:t>
            </w:r>
          </w:p>
        </w:tc>
        <w:tc>
          <w:tcPr>
            <w:tcW w:w="684" w:type="dxa"/>
            <w:tcBorders>
              <w:top w:val="nil"/>
              <w:left w:val="nil"/>
              <w:bottom w:val="single" w:sz="4" w:space="0" w:color="auto"/>
              <w:right w:val="single" w:sz="4" w:space="0" w:color="auto"/>
            </w:tcBorders>
            <w:noWrap/>
            <w:vAlign w:val="center"/>
            <w:hideMark/>
          </w:tcPr>
          <w:p w14:paraId="65E4FA1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23.10</w:t>
            </w:r>
          </w:p>
        </w:tc>
        <w:tc>
          <w:tcPr>
            <w:tcW w:w="720" w:type="dxa"/>
            <w:tcBorders>
              <w:top w:val="nil"/>
              <w:left w:val="nil"/>
              <w:bottom w:val="single" w:sz="4" w:space="0" w:color="auto"/>
              <w:right w:val="single" w:sz="4" w:space="0" w:color="auto"/>
            </w:tcBorders>
            <w:noWrap/>
            <w:vAlign w:val="center"/>
            <w:hideMark/>
          </w:tcPr>
          <w:p w14:paraId="1C5A795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27.92</w:t>
            </w:r>
          </w:p>
        </w:tc>
        <w:tc>
          <w:tcPr>
            <w:tcW w:w="630" w:type="dxa"/>
            <w:tcBorders>
              <w:top w:val="nil"/>
              <w:left w:val="nil"/>
              <w:bottom w:val="single" w:sz="4" w:space="0" w:color="auto"/>
              <w:right w:val="single" w:sz="4" w:space="0" w:color="auto"/>
            </w:tcBorders>
            <w:noWrap/>
            <w:vAlign w:val="center"/>
            <w:hideMark/>
          </w:tcPr>
          <w:p w14:paraId="55EE525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2.03</w:t>
            </w:r>
          </w:p>
        </w:tc>
        <w:tc>
          <w:tcPr>
            <w:tcW w:w="630" w:type="dxa"/>
            <w:tcBorders>
              <w:top w:val="nil"/>
              <w:left w:val="nil"/>
              <w:bottom w:val="single" w:sz="4" w:space="0" w:color="auto"/>
              <w:right w:val="single" w:sz="4" w:space="0" w:color="auto"/>
            </w:tcBorders>
            <w:noWrap/>
            <w:vAlign w:val="center"/>
            <w:hideMark/>
          </w:tcPr>
          <w:p w14:paraId="32DA2CA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5.50</w:t>
            </w:r>
          </w:p>
        </w:tc>
        <w:tc>
          <w:tcPr>
            <w:tcW w:w="630" w:type="dxa"/>
            <w:tcBorders>
              <w:top w:val="nil"/>
              <w:left w:val="nil"/>
              <w:bottom w:val="single" w:sz="4" w:space="0" w:color="auto"/>
              <w:right w:val="single" w:sz="4" w:space="0" w:color="auto"/>
            </w:tcBorders>
            <w:noWrap/>
            <w:vAlign w:val="center"/>
            <w:hideMark/>
          </w:tcPr>
          <w:p w14:paraId="76F0A47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8.59</w:t>
            </w:r>
          </w:p>
        </w:tc>
        <w:tc>
          <w:tcPr>
            <w:tcW w:w="720" w:type="dxa"/>
            <w:tcBorders>
              <w:top w:val="nil"/>
              <w:left w:val="nil"/>
              <w:bottom w:val="single" w:sz="4" w:space="0" w:color="auto"/>
              <w:right w:val="single" w:sz="4" w:space="0" w:color="auto"/>
            </w:tcBorders>
            <w:noWrap/>
            <w:vAlign w:val="center"/>
            <w:hideMark/>
          </w:tcPr>
          <w:p w14:paraId="08E33FB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24.17</w:t>
            </w:r>
          </w:p>
        </w:tc>
        <w:tc>
          <w:tcPr>
            <w:tcW w:w="720" w:type="dxa"/>
            <w:tcBorders>
              <w:top w:val="nil"/>
              <w:left w:val="nil"/>
              <w:bottom w:val="single" w:sz="4" w:space="0" w:color="auto"/>
              <w:right w:val="single" w:sz="4" w:space="0" w:color="auto"/>
            </w:tcBorders>
            <w:noWrap/>
            <w:vAlign w:val="center"/>
            <w:hideMark/>
          </w:tcPr>
          <w:p w14:paraId="1110A73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29.50</w:t>
            </w:r>
          </w:p>
        </w:tc>
        <w:tc>
          <w:tcPr>
            <w:tcW w:w="720" w:type="dxa"/>
            <w:tcBorders>
              <w:top w:val="nil"/>
              <w:left w:val="nil"/>
              <w:bottom w:val="single" w:sz="4" w:space="0" w:color="auto"/>
              <w:right w:val="single" w:sz="4" w:space="0" w:color="auto"/>
            </w:tcBorders>
            <w:noWrap/>
            <w:vAlign w:val="center"/>
            <w:hideMark/>
          </w:tcPr>
          <w:p w14:paraId="46EB273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35.07</w:t>
            </w:r>
          </w:p>
        </w:tc>
      </w:tr>
      <w:tr w:rsidR="00E10F98" w:rsidRPr="00B03175" w14:paraId="2F037B7D"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572A6ED9"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7</w:t>
            </w:r>
          </w:p>
        </w:tc>
        <w:tc>
          <w:tcPr>
            <w:tcW w:w="1127" w:type="dxa"/>
            <w:tcBorders>
              <w:top w:val="nil"/>
              <w:left w:val="nil"/>
              <w:bottom w:val="single" w:sz="4" w:space="0" w:color="auto"/>
              <w:right w:val="single" w:sz="4" w:space="0" w:color="auto"/>
            </w:tcBorders>
            <w:noWrap/>
            <w:vAlign w:val="bottom"/>
            <w:hideMark/>
          </w:tcPr>
          <w:p w14:paraId="11EB648F"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Baldeo</w:t>
            </w:r>
          </w:p>
        </w:tc>
        <w:tc>
          <w:tcPr>
            <w:tcW w:w="666" w:type="dxa"/>
            <w:tcBorders>
              <w:top w:val="nil"/>
              <w:left w:val="nil"/>
              <w:bottom w:val="single" w:sz="4" w:space="0" w:color="auto"/>
              <w:right w:val="single" w:sz="4" w:space="0" w:color="auto"/>
            </w:tcBorders>
            <w:noWrap/>
            <w:vAlign w:val="center"/>
            <w:hideMark/>
          </w:tcPr>
          <w:p w14:paraId="0E7D80B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59.59</w:t>
            </w:r>
          </w:p>
        </w:tc>
        <w:tc>
          <w:tcPr>
            <w:tcW w:w="666" w:type="dxa"/>
            <w:tcBorders>
              <w:top w:val="nil"/>
              <w:left w:val="nil"/>
              <w:bottom w:val="single" w:sz="4" w:space="0" w:color="auto"/>
              <w:right w:val="single" w:sz="4" w:space="0" w:color="auto"/>
            </w:tcBorders>
            <w:noWrap/>
            <w:vAlign w:val="center"/>
            <w:hideMark/>
          </w:tcPr>
          <w:p w14:paraId="7FC0B4B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49.30</w:t>
            </w:r>
          </w:p>
        </w:tc>
        <w:tc>
          <w:tcPr>
            <w:tcW w:w="738" w:type="dxa"/>
            <w:tcBorders>
              <w:top w:val="nil"/>
              <w:left w:val="nil"/>
              <w:bottom w:val="single" w:sz="4" w:space="0" w:color="auto"/>
              <w:right w:val="single" w:sz="4" w:space="0" w:color="auto"/>
            </w:tcBorders>
            <w:noWrap/>
            <w:vAlign w:val="center"/>
            <w:hideMark/>
          </w:tcPr>
          <w:p w14:paraId="1EE2ADF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33.61</w:t>
            </w:r>
          </w:p>
        </w:tc>
        <w:tc>
          <w:tcPr>
            <w:tcW w:w="666" w:type="dxa"/>
            <w:tcBorders>
              <w:top w:val="nil"/>
              <w:left w:val="nil"/>
              <w:bottom w:val="single" w:sz="4" w:space="0" w:color="auto"/>
              <w:right w:val="single" w:sz="4" w:space="0" w:color="auto"/>
            </w:tcBorders>
            <w:noWrap/>
            <w:vAlign w:val="center"/>
            <w:hideMark/>
          </w:tcPr>
          <w:p w14:paraId="7937FD58"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21.00</w:t>
            </w:r>
          </w:p>
        </w:tc>
        <w:tc>
          <w:tcPr>
            <w:tcW w:w="684" w:type="dxa"/>
            <w:tcBorders>
              <w:top w:val="nil"/>
              <w:left w:val="nil"/>
              <w:bottom w:val="single" w:sz="4" w:space="0" w:color="auto"/>
              <w:right w:val="single" w:sz="4" w:space="0" w:color="auto"/>
            </w:tcBorders>
            <w:noWrap/>
            <w:vAlign w:val="center"/>
            <w:hideMark/>
          </w:tcPr>
          <w:p w14:paraId="73FF106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26.10</w:t>
            </w:r>
          </w:p>
        </w:tc>
        <w:tc>
          <w:tcPr>
            <w:tcW w:w="720" w:type="dxa"/>
            <w:tcBorders>
              <w:top w:val="nil"/>
              <w:left w:val="nil"/>
              <w:bottom w:val="single" w:sz="4" w:space="0" w:color="auto"/>
              <w:right w:val="single" w:sz="4" w:space="0" w:color="auto"/>
            </w:tcBorders>
            <w:noWrap/>
            <w:vAlign w:val="center"/>
            <w:hideMark/>
          </w:tcPr>
          <w:p w14:paraId="1B252DF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39.06</w:t>
            </w:r>
          </w:p>
        </w:tc>
        <w:tc>
          <w:tcPr>
            <w:tcW w:w="630" w:type="dxa"/>
            <w:tcBorders>
              <w:top w:val="nil"/>
              <w:left w:val="nil"/>
              <w:bottom w:val="single" w:sz="4" w:space="0" w:color="auto"/>
              <w:right w:val="single" w:sz="4" w:space="0" w:color="auto"/>
            </w:tcBorders>
            <w:noWrap/>
            <w:vAlign w:val="center"/>
            <w:hideMark/>
          </w:tcPr>
          <w:p w14:paraId="7C60270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2.41</w:t>
            </w:r>
          </w:p>
        </w:tc>
        <w:tc>
          <w:tcPr>
            <w:tcW w:w="630" w:type="dxa"/>
            <w:tcBorders>
              <w:top w:val="nil"/>
              <w:left w:val="nil"/>
              <w:bottom w:val="single" w:sz="4" w:space="0" w:color="auto"/>
              <w:right w:val="single" w:sz="4" w:space="0" w:color="auto"/>
            </w:tcBorders>
            <w:noWrap/>
            <w:vAlign w:val="center"/>
            <w:hideMark/>
          </w:tcPr>
          <w:p w14:paraId="0FC6256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4.20</w:t>
            </w:r>
          </w:p>
        </w:tc>
        <w:tc>
          <w:tcPr>
            <w:tcW w:w="630" w:type="dxa"/>
            <w:tcBorders>
              <w:top w:val="nil"/>
              <w:left w:val="nil"/>
              <w:bottom w:val="single" w:sz="4" w:space="0" w:color="auto"/>
              <w:right w:val="single" w:sz="4" w:space="0" w:color="auto"/>
            </w:tcBorders>
            <w:noWrap/>
            <w:vAlign w:val="center"/>
            <w:hideMark/>
          </w:tcPr>
          <w:p w14:paraId="3F952BE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5.53</w:t>
            </w:r>
          </w:p>
        </w:tc>
        <w:tc>
          <w:tcPr>
            <w:tcW w:w="720" w:type="dxa"/>
            <w:tcBorders>
              <w:top w:val="nil"/>
              <w:left w:val="nil"/>
              <w:bottom w:val="single" w:sz="4" w:space="0" w:color="auto"/>
              <w:right w:val="single" w:sz="4" w:space="0" w:color="auto"/>
            </w:tcBorders>
            <w:noWrap/>
            <w:vAlign w:val="center"/>
            <w:hideMark/>
          </w:tcPr>
          <w:p w14:paraId="58C1BD5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17.00</w:t>
            </w:r>
          </w:p>
        </w:tc>
        <w:tc>
          <w:tcPr>
            <w:tcW w:w="720" w:type="dxa"/>
            <w:tcBorders>
              <w:top w:val="nil"/>
              <w:left w:val="nil"/>
              <w:bottom w:val="single" w:sz="4" w:space="0" w:color="auto"/>
              <w:right w:val="single" w:sz="4" w:space="0" w:color="auto"/>
            </w:tcBorders>
            <w:noWrap/>
            <w:vAlign w:val="center"/>
            <w:hideMark/>
          </w:tcPr>
          <w:p w14:paraId="1B8A9C7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20.50</w:t>
            </w:r>
          </w:p>
        </w:tc>
        <w:tc>
          <w:tcPr>
            <w:tcW w:w="720" w:type="dxa"/>
            <w:tcBorders>
              <w:top w:val="nil"/>
              <w:left w:val="nil"/>
              <w:bottom w:val="single" w:sz="4" w:space="0" w:color="auto"/>
              <w:right w:val="single" w:sz="4" w:space="0" w:color="auto"/>
            </w:tcBorders>
            <w:noWrap/>
            <w:vAlign w:val="center"/>
            <w:hideMark/>
          </w:tcPr>
          <w:p w14:paraId="2FA02DA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21.80</w:t>
            </w:r>
          </w:p>
        </w:tc>
      </w:tr>
      <w:tr w:rsidR="00E10F98" w:rsidRPr="00B03175" w14:paraId="548AB4F3"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33A549DF"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8</w:t>
            </w:r>
          </w:p>
        </w:tc>
        <w:tc>
          <w:tcPr>
            <w:tcW w:w="1127" w:type="dxa"/>
            <w:tcBorders>
              <w:top w:val="nil"/>
              <w:left w:val="nil"/>
              <w:bottom w:val="single" w:sz="4" w:space="0" w:color="auto"/>
              <w:right w:val="single" w:sz="4" w:space="0" w:color="auto"/>
            </w:tcBorders>
            <w:noWrap/>
            <w:vAlign w:val="bottom"/>
            <w:hideMark/>
          </w:tcPr>
          <w:p w14:paraId="670FB338"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Govardhan</w:t>
            </w:r>
          </w:p>
        </w:tc>
        <w:tc>
          <w:tcPr>
            <w:tcW w:w="666" w:type="dxa"/>
            <w:tcBorders>
              <w:top w:val="nil"/>
              <w:left w:val="nil"/>
              <w:bottom w:val="single" w:sz="4" w:space="0" w:color="auto"/>
              <w:right w:val="single" w:sz="4" w:space="0" w:color="auto"/>
            </w:tcBorders>
            <w:noWrap/>
            <w:vAlign w:val="center"/>
            <w:hideMark/>
          </w:tcPr>
          <w:p w14:paraId="605B68E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60.08</w:t>
            </w:r>
          </w:p>
        </w:tc>
        <w:tc>
          <w:tcPr>
            <w:tcW w:w="666" w:type="dxa"/>
            <w:tcBorders>
              <w:top w:val="nil"/>
              <w:left w:val="nil"/>
              <w:bottom w:val="single" w:sz="4" w:space="0" w:color="auto"/>
              <w:right w:val="single" w:sz="4" w:space="0" w:color="auto"/>
            </w:tcBorders>
            <w:noWrap/>
            <w:vAlign w:val="center"/>
            <w:hideMark/>
          </w:tcPr>
          <w:p w14:paraId="2DD5100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51.60</w:t>
            </w:r>
          </w:p>
        </w:tc>
        <w:tc>
          <w:tcPr>
            <w:tcW w:w="738" w:type="dxa"/>
            <w:tcBorders>
              <w:top w:val="nil"/>
              <w:left w:val="nil"/>
              <w:bottom w:val="single" w:sz="4" w:space="0" w:color="auto"/>
              <w:right w:val="single" w:sz="4" w:space="0" w:color="auto"/>
            </w:tcBorders>
            <w:noWrap/>
            <w:vAlign w:val="center"/>
            <w:hideMark/>
          </w:tcPr>
          <w:p w14:paraId="61D5DF9F"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43.36</w:t>
            </w:r>
          </w:p>
        </w:tc>
        <w:tc>
          <w:tcPr>
            <w:tcW w:w="666" w:type="dxa"/>
            <w:tcBorders>
              <w:top w:val="nil"/>
              <w:left w:val="nil"/>
              <w:bottom w:val="single" w:sz="4" w:space="0" w:color="auto"/>
              <w:right w:val="single" w:sz="4" w:space="0" w:color="auto"/>
            </w:tcBorders>
            <w:noWrap/>
            <w:vAlign w:val="center"/>
            <w:hideMark/>
          </w:tcPr>
          <w:p w14:paraId="64F0BE3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23.29</w:t>
            </w:r>
          </w:p>
        </w:tc>
        <w:tc>
          <w:tcPr>
            <w:tcW w:w="684" w:type="dxa"/>
            <w:tcBorders>
              <w:top w:val="nil"/>
              <w:left w:val="nil"/>
              <w:bottom w:val="single" w:sz="4" w:space="0" w:color="auto"/>
              <w:right w:val="single" w:sz="4" w:space="0" w:color="auto"/>
            </w:tcBorders>
            <w:noWrap/>
            <w:vAlign w:val="center"/>
            <w:hideMark/>
          </w:tcPr>
          <w:p w14:paraId="02BEFE1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23.10</w:t>
            </w:r>
          </w:p>
        </w:tc>
        <w:tc>
          <w:tcPr>
            <w:tcW w:w="720" w:type="dxa"/>
            <w:tcBorders>
              <w:top w:val="nil"/>
              <w:left w:val="nil"/>
              <w:bottom w:val="single" w:sz="4" w:space="0" w:color="auto"/>
              <w:right w:val="single" w:sz="4" w:space="0" w:color="auto"/>
            </w:tcBorders>
            <w:noWrap/>
            <w:vAlign w:val="center"/>
            <w:hideMark/>
          </w:tcPr>
          <w:p w14:paraId="74262FE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23.69</w:t>
            </w:r>
          </w:p>
        </w:tc>
        <w:tc>
          <w:tcPr>
            <w:tcW w:w="630" w:type="dxa"/>
            <w:tcBorders>
              <w:top w:val="nil"/>
              <w:left w:val="nil"/>
              <w:bottom w:val="single" w:sz="4" w:space="0" w:color="auto"/>
              <w:right w:val="single" w:sz="4" w:space="0" w:color="auto"/>
            </w:tcBorders>
            <w:noWrap/>
            <w:vAlign w:val="center"/>
            <w:hideMark/>
          </w:tcPr>
          <w:p w14:paraId="7808038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noWrap/>
            <w:vAlign w:val="center"/>
            <w:hideMark/>
          </w:tcPr>
          <w:p w14:paraId="667BA6A8"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3.80</w:t>
            </w:r>
          </w:p>
        </w:tc>
        <w:tc>
          <w:tcPr>
            <w:tcW w:w="630" w:type="dxa"/>
            <w:tcBorders>
              <w:top w:val="nil"/>
              <w:left w:val="nil"/>
              <w:bottom w:val="single" w:sz="4" w:space="0" w:color="auto"/>
              <w:right w:val="single" w:sz="4" w:space="0" w:color="auto"/>
            </w:tcBorders>
            <w:noWrap/>
            <w:vAlign w:val="center"/>
            <w:hideMark/>
          </w:tcPr>
          <w:p w14:paraId="30B574C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3.63</w:t>
            </w:r>
          </w:p>
        </w:tc>
        <w:tc>
          <w:tcPr>
            <w:tcW w:w="720" w:type="dxa"/>
            <w:tcBorders>
              <w:top w:val="nil"/>
              <w:left w:val="nil"/>
              <w:bottom w:val="single" w:sz="4" w:space="0" w:color="auto"/>
              <w:right w:val="single" w:sz="4" w:space="0" w:color="auto"/>
            </w:tcBorders>
            <w:noWrap/>
            <w:vAlign w:val="center"/>
            <w:hideMark/>
          </w:tcPr>
          <w:p w14:paraId="3C4E499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14.88</w:t>
            </w:r>
          </w:p>
        </w:tc>
        <w:tc>
          <w:tcPr>
            <w:tcW w:w="720" w:type="dxa"/>
            <w:tcBorders>
              <w:top w:val="nil"/>
              <w:left w:val="nil"/>
              <w:bottom w:val="single" w:sz="4" w:space="0" w:color="auto"/>
              <w:right w:val="single" w:sz="4" w:space="0" w:color="auto"/>
            </w:tcBorders>
            <w:noWrap/>
            <w:vAlign w:val="center"/>
            <w:hideMark/>
          </w:tcPr>
          <w:p w14:paraId="226A0863"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21.50</w:t>
            </w:r>
          </w:p>
        </w:tc>
        <w:tc>
          <w:tcPr>
            <w:tcW w:w="720" w:type="dxa"/>
            <w:tcBorders>
              <w:top w:val="nil"/>
              <w:left w:val="nil"/>
              <w:bottom w:val="single" w:sz="4" w:space="0" w:color="auto"/>
              <w:right w:val="single" w:sz="4" w:space="0" w:color="auto"/>
            </w:tcBorders>
            <w:noWrap/>
            <w:vAlign w:val="center"/>
            <w:hideMark/>
          </w:tcPr>
          <w:p w14:paraId="58D0925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29.32</w:t>
            </w:r>
          </w:p>
        </w:tc>
      </w:tr>
      <w:tr w:rsidR="00E10F98" w:rsidRPr="00B03175" w14:paraId="77122DBC"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84CA198"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9</w:t>
            </w:r>
          </w:p>
        </w:tc>
        <w:tc>
          <w:tcPr>
            <w:tcW w:w="1127" w:type="dxa"/>
            <w:tcBorders>
              <w:top w:val="nil"/>
              <w:left w:val="nil"/>
              <w:bottom w:val="single" w:sz="4" w:space="0" w:color="auto"/>
              <w:right w:val="single" w:sz="4" w:space="0" w:color="auto"/>
            </w:tcBorders>
            <w:noWrap/>
            <w:vAlign w:val="bottom"/>
            <w:hideMark/>
          </w:tcPr>
          <w:p w14:paraId="5EE043D2"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Mathura</w:t>
            </w:r>
          </w:p>
        </w:tc>
        <w:tc>
          <w:tcPr>
            <w:tcW w:w="666" w:type="dxa"/>
            <w:tcBorders>
              <w:top w:val="nil"/>
              <w:left w:val="nil"/>
              <w:bottom w:val="single" w:sz="4" w:space="0" w:color="auto"/>
              <w:right w:val="single" w:sz="4" w:space="0" w:color="auto"/>
            </w:tcBorders>
            <w:noWrap/>
            <w:vAlign w:val="center"/>
            <w:hideMark/>
          </w:tcPr>
          <w:p w14:paraId="5C96B5F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51.20</w:t>
            </w:r>
          </w:p>
        </w:tc>
        <w:tc>
          <w:tcPr>
            <w:tcW w:w="666" w:type="dxa"/>
            <w:tcBorders>
              <w:top w:val="nil"/>
              <w:left w:val="nil"/>
              <w:bottom w:val="single" w:sz="4" w:space="0" w:color="auto"/>
              <w:right w:val="single" w:sz="4" w:space="0" w:color="auto"/>
            </w:tcBorders>
            <w:noWrap/>
            <w:vAlign w:val="center"/>
            <w:hideMark/>
          </w:tcPr>
          <w:p w14:paraId="1CCEB28C"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35.60</w:t>
            </w:r>
          </w:p>
        </w:tc>
        <w:tc>
          <w:tcPr>
            <w:tcW w:w="738" w:type="dxa"/>
            <w:tcBorders>
              <w:top w:val="nil"/>
              <w:left w:val="nil"/>
              <w:bottom w:val="single" w:sz="4" w:space="0" w:color="auto"/>
              <w:right w:val="single" w:sz="4" w:space="0" w:color="auto"/>
            </w:tcBorders>
            <w:noWrap/>
            <w:vAlign w:val="center"/>
            <w:hideMark/>
          </w:tcPr>
          <w:p w14:paraId="40A47016"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26.61</w:t>
            </w:r>
          </w:p>
        </w:tc>
        <w:tc>
          <w:tcPr>
            <w:tcW w:w="666" w:type="dxa"/>
            <w:tcBorders>
              <w:top w:val="nil"/>
              <w:left w:val="nil"/>
              <w:bottom w:val="single" w:sz="4" w:space="0" w:color="auto"/>
              <w:right w:val="single" w:sz="4" w:space="0" w:color="auto"/>
            </w:tcBorders>
            <w:noWrap/>
            <w:vAlign w:val="center"/>
            <w:hideMark/>
          </w:tcPr>
          <w:p w14:paraId="7F6CE3E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28.01</w:t>
            </w:r>
          </w:p>
        </w:tc>
        <w:tc>
          <w:tcPr>
            <w:tcW w:w="684" w:type="dxa"/>
            <w:tcBorders>
              <w:top w:val="nil"/>
              <w:left w:val="nil"/>
              <w:bottom w:val="single" w:sz="4" w:space="0" w:color="auto"/>
              <w:right w:val="single" w:sz="4" w:space="0" w:color="auto"/>
            </w:tcBorders>
            <w:noWrap/>
            <w:vAlign w:val="center"/>
            <w:hideMark/>
          </w:tcPr>
          <w:p w14:paraId="0F7085B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14.10</w:t>
            </w:r>
          </w:p>
        </w:tc>
        <w:tc>
          <w:tcPr>
            <w:tcW w:w="720" w:type="dxa"/>
            <w:tcBorders>
              <w:top w:val="nil"/>
              <w:left w:val="nil"/>
              <w:bottom w:val="single" w:sz="4" w:space="0" w:color="auto"/>
              <w:right w:val="single" w:sz="4" w:space="0" w:color="auto"/>
            </w:tcBorders>
            <w:noWrap/>
            <w:vAlign w:val="center"/>
            <w:hideMark/>
          </w:tcPr>
          <w:p w14:paraId="6AC775B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17.79</w:t>
            </w:r>
          </w:p>
        </w:tc>
        <w:tc>
          <w:tcPr>
            <w:tcW w:w="630" w:type="dxa"/>
            <w:tcBorders>
              <w:top w:val="nil"/>
              <w:left w:val="nil"/>
              <w:bottom w:val="single" w:sz="4" w:space="0" w:color="auto"/>
              <w:right w:val="single" w:sz="4" w:space="0" w:color="auto"/>
            </w:tcBorders>
            <w:noWrap/>
            <w:vAlign w:val="center"/>
            <w:hideMark/>
          </w:tcPr>
          <w:p w14:paraId="00FB76A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1.75</w:t>
            </w:r>
          </w:p>
        </w:tc>
        <w:tc>
          <w:tcPr>
            <w:tcW w:w="630" w:type="dxa"/>
            <w:tcBorders>
              <w:top w:val="nil"/>
              <w:left w:val="nil"/>
              <w:bottom w:val="single" w:sz="4" w:space="0" w:color="auto"/>
              <w:right w:val="single" w:sz="4" w:space="0" w:color="auto"/>
            </w:tcBorders>
            <w:noWrap/>
            <w:vAlign w:val="center"/>
            <w:hideMark/>
          </w:tcPr>
          <w:p w14:paraId="4A0291E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5.01</w:t>
            </w:r>
          </w:p>
        </w:tc>
        <w:tc>
          <w:tcPr>
            <w:tcW w:w="630" w:type="dxa"/>
            <w:tcBorders>
              <w:top w:val="nil"/>
              <w:left w:val="nil"/>
              <w:bottom w:val="single" w:sz="4" w:space="0" w:color="auto"/>
              <w:right w:val="single" w:sz="4" w:space="0" w:color="auto"/>
            </w:tcBorders>
            <w:noWrap/>
            <w:vAlign w:val="center"/>
            <w:hideMark/>
          </w:tcPr>
          <w:p w14:paraId="5FA3D9C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4.20</w:t>
            </w:r>
          </w:p>
        </w:tc>
        <w:tc>
          <w:tcPr>
            <w:tcW w:w="720" w:type="dxa"/>
            <w:tcBorders>
              <w:top w:val="nil"/>
              <w:left w:val="nil"/>
              <w:bottom w:val="single" w:sz="4" w:space="0" w:color="auto"/>
              <w:right w:val="single" w:sz="4" w:space="0" w:color="auto"/>
            </w:tcBorders>
            <w:noWrap/>
            <w:vAlign w:val="center"/>
            <w:hideMark/>
          </w:tcPr>
          <w:p w14:paraId="2BE5A51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19.04</w:t>
            </w:r>
          </w:p>
        </w:tc>
        <w:tc>
          <w:tcPr>
            <w:tcW w:w="720" w:type="dxa"/>
            <w:tcBorders>
              <w:top w:val="nil"/>
              <w:left w:val="nil"/>
              <w:bottom w:val="single" w:sz="4" w:space="0" w:color="auto"/>
              <w:right w:val="single" w:sz="4" w:space="0" w:color="auto"/>
            </w:tcBorders>
            <w:noWrap/>
            <w:vAlign w:val="center"/>
            <w:hideMark/>
          </w:tcPr>
          <w:p w14:paraId="23FA62D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45.31</w:t>
            </w:r>
          </w:p>
        </w:tc>
        <w:tc>
          <w:tcPr>
            <w:tcW w:w="720" w:type="dxa"/>
            <w:tcBorders>
              <w:top w:val="nil"/>
              <w:left w:val="nil"/>
              <w:bottom w:val="single" w:sz="4" w:space="0" w:color="auto"/>
              <w:right w:val="single" w:sz="4" w:space="0" w:color="auto"/>
            </w:tcBorders>
            <w:noWrap/>
            <w:vAlign w:val="center"/>
            <w:hideMark/>
          </w:tcPr>
          <w:p w14:paraId="57AF31B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51.40</w:t>
            </w:r>
          </w:p>
        </w:tc>
      </w:tr>
      <w:tr w:rsidR="00E10F98" w:rsidRPr="00B03175" w14:paraId="099D0193"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F718EB8" w14:textId="77777777" w:rsidR="00E10F98" w:rsidRPr="00B03175" w:rsidRDefault="00E10F98" w:rsidP="00E10F98">
            <w:pPr>
              <w:spacing w:after="0" w:line="240" w:lineRule="auto"/>
              <w:jc w:val="right"/>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10</w:t>
            </w:r>
          </w:p>
        </w:tc>
        <w:tc>
          <w:tcPr>
            <w:tcW w:w="1127" w:type="dxa"/>
            <w:tcBorders>
              <w:top w:val="nil"/>
              <w:left w:val="nil"/>
              <w:bottom w:val="single" w:sz="4" w:space="0" w:color="auto"/>
              <w:right w:val="single" w:sz="4" w:space="0" w:color="auto"/>
            </w:tcBorders>
            <w:noWrap/>
            <w:vAlign w:val="bottom"/>
            <w:hideMark/>
          </w:tcPr>
          <w:p w14:paraId="127CE16B"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Farah</w:t>
            </w:r>
          </w:p>
        </w:tc>
        <w:tc>
          <w:tcPr>
            <w:tcW w:w="666" w:type="dxa"/>
            <w:tcBorders>
              <w:top w:val="nil"/>
              <w:left w:val="nil"/>
              <w:bottom w:val="single" w:sz="4" w:space="0" w:color="auto"/>
              <w:right w:val="single" w:sz="4" w:space="0" w:color="auto"/>
            </w:tcBorders>
            <w:noWrap/>
            <w:vAlign w:val="center"/>
            <w:hideMark/>
          </w:tcPr>
          <w:p w14:paraId="5BE07EAA"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48.93</w:t>
            </w:r>
          </w:p>
        </w:tc>
        <w:tc>
          <w:tcPr>
            <w:tcW w:w="666" w:type="dxa"/>
            <w:tcBorders>
              <w:top w:val="nil"/>
              <w:left w:val="nil"/>
              <w:bottom w:val="single" w:sz="4" w:space="0" w:color="auto"/>
              <w:right w:val="single" w:sz="4" w:space="0" w:color="auto"/>
            </w:tcBorders>
            <w:noWrap/>
            <w:vAlign w:val="center"/>
            <w:hideMark/>
          </w:tcPr>
          <w:p w14:paraId="4E6833D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44.70</w:t>
            </w:r>
          </w:p>
        </w:tc>
        <w:tc>
          <w:tcPr>
            <w:tcW w:w="738" w:type="dxa"/>
            <w:tcBorders>
              <w:top w:val="nil"/>
              <w:left w:val="nil"/>
              <w:bottom w:val="single" w:sz="4" w:space="0" w:color="auto"/>
              <w:right w:val="single" w:sz="4" w:space="0" w:color="auto"/>
            </w:tcBorders>
            <w:noWrap/>
            <w:vAlign w:val="center"/>
            <w:hideMark/>
          </w:tcPr>
          <w:p w14:paraId="0E98E6F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34.64</w:t>
            </w:r>
          </w:p>
        </w:tc>
        <w:tc>
          <w:tcPr>
            <w:tcW w:w="666" w:type="dxa"/>
            <w:tcBorders>
              <w:top w:val="nil"/>
              <w:left w:val="nil"/>
              <w:bottom w:val="single" w:sz="4" w:space="0" w:color="auto"/>
              <w:right w:val="single" w:sz="4" w:space="0" w:color="auto"/>
            </w:tcBorders>
            <w:noWrap/>
            <w:vAlign w:val="center"/>
            <w:hideMark/>
          </w:tcPr>
          <w:p w14:paraId="1AE260B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26.48</w:t>
            </w:r>
          </w:p>
        </w:tc>
        <w:tc>
          <w:tcPr>
            <w:tcW w:w="684" w:type="dxa"/>
            <w:tcBorders>
              <w:top w:val="nil"/>
              <w:left w:val="nil"/>
              <w:bottom w:val="single" w:sz="4" w:space="0" w:color="auto"/>
              <w:right w:val="single" w:sz="4" w:space="0" w:color="auto"/>
            </w:tcBorders>
            <w:noWrap/>
            <w:vAlign w:val="center"/>
            <w:hideMark/>
          </w:tcPr>
          <w:p w14:paraId="79A5EA8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19.00</w:t>
            </w:r>
          </w:p>
        </w:tc>
        <w:tc>
          <w:tcPr>
            <w:tcW w:w="720" w:type="dxa"/>
            <w:tcBorders>
              <w:top w:val="nil"/>
              <w:left w:val="nil"/>
              <w:bottom w:val="single" w:sz="4" w:space="0" w:color="auto"/>
              <w:right w:val="single" w:sz="4" w:space="0" w:color="auto"/>
            </w:tcBorders>
            <w:noWrap/>
            <w:vAlign w:val="center"/>
            <w:hideMark/>
          </w:tcPr>
          <w:p w14:paraId="6D2436C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28.80</w:t>
            </w:r>
          </w:p>
        </w:tc>
        <w:tc>
          <w:tcPr>
            <w:tcW w:w="630" w:type="dxa"/>
            <w:tcBorders>
              <w:top w:val="nil"/>
              <w:left w:val="nil"/>
              <w:bottom w:val="single" w:sz="4" w:space="0" w:color="auto"/>
              <w:right w:val="single" w:sz="4" w:space="0" w:color="auto"/>
            </w:tcBorders>
            <w:noWrap/>
            <w:vAlign w:val="center"/>
            <w:hideMark/>
          </w:tcPr>
          <w:p w14:paraId="21557CF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2.13</w:t>
            </w:r>
          </w:p>
        </w:tc>
        <w:tc>
          <w:tcPr>
            <w:tcW w:w="630" w:type="dxa"/>
            <w:tcBorders>
              <w:top w:val="nil"/>
              <w:left w:val="nil"/>
              <w:bottom w:val="single" w:sz="4" w:space="0" w:color="auto"/>
              <w:right w:val="single" w:sz="4" w:space="0" w:color="auto"/>
            </w:tcBorders>
            <w:noWrap/>
            <w:vAlign w:val="center"/>
            <w:hideMark/>
          </w:tcPr>
          <w:p w14:paraId="67A86E3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5.30</w:t>
            </w:r>
          </w:p>
        </w:tc>
        <w:tc>
          <w:tcPr>
            <w:tcW w:w="630" w:type="dxa"/>
            <w:tcBorders>
              <w:top w:val="nil"/>
              <w:left w:val="nil"/>
              <w:bottom w:val="single" w:sz="4" w:space="0" w:color="auto"/>
              <w:right w:val="single" w:sz="4" w:space="0" w:color="auto"/>
            </w:tcBorders>
            <w:noWrap/>
            <w:vAlign w:val="center"/>
            <w:hideMark/>
          </w:tcPr>
          <w:p w14:paraId="439832C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4.69</w:t>
            </w:r>
          </w:p>
        </w:tc>
        <w:tc>
          <w:tcPr>
            <w:tcW w:w="720" w:type="dxa"/>
            <w:tcBorders>
              <w:top w:val="nil"/>
              <w:left w:val="nil"/>
              <w:bottom w:val="single" w:sz="4" w:space="0" w:color="auto"/>
              <w:right w:val="single" w:sz="4" w:space="0" w:color="auto"/>
            </w:tcBorders>
            <w:noWrap/>
            <w:vAlign w:val="center"/>
            <w:hideMark/>
          </w:tcPr>
          <w:p w14:paraId="40E1DCFB"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22.47</w:t>
            </w:r>
          </w:p>
        </w:tc>
        <w:tc>
          <w:tcPr>
            <w:tcW w:w="720" w:type="dxa"/>
            <w:tcBorders>
              <w:top w:val="nil"/>
              <w:left w:val="nil"/>
              <w:bottom w:val="single" w:sz="4" w:space="0" w:color="auto"/>
              <w:right w:val="single" w:sz="4" w:space="0" w:color="auto"/>
            </w:tcBorders>
            <w:noWrap/>
            <w:vAlign w:val="center"/>
            <w:hideMark/>
          </w:tcPr>
          <w:p w14:paraId="33E76259"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31.00</w:t>
            </w:r>
          </w:p>
        </w:tc>
        <w:tc>
          <w:tcPr>
            <w:tcW w:w="720" w:type="dxa"/>
            <w:tcBorders>
              <w:top w:val="nil"/>
              <w:left w:val="nil"/>
              <w:bottom w:val="single" w:sz="4" w:space="0" w:color="auto"/>
              <w:right w:val="single" w:sz="4" w:space="0" w:color="auto"/>
            </w:tcBorders>
            <w:noWrap/>
            <w:vAlign w:val="center"/>
            <w:hideMark/>
          </w:tcPr>
          <w:p w14:paraId="4EB4D004"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31.87</w:t>
            </w:r>
          </w:p>
        </w:tc>
      </w:tr>
      <w:tr w:rsidR="00E10F98" w:rsidRPr="00B03175" w14:paraId="48034E9B"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75208E4"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 </w:t>
            </w:r>
          </w:p>
        </w:tc>
        <w:tc>
          <w:tcPr>
            <w:tcW w:w="1127" w:type="dxa"/>
            <w:tcBorders>
              <w:top w:val="nil"/>
              <w:left w:val="nil"/>
              <w:bottom w:val="single" w:sz="4" w:space="0" w:color="auto"/>
              <w:right w:val="single" w:sz="4" w:space="0" w:color="auto"/>
            </w:tcBorders>
            <w:noWrap/>
            <w:vAlign w:val="bottom"/>
            <w:hideMark/>
          </w:tcPr>
          <w:p w14:paraId="512BFE46" w14:textId="77777777" w:rsidR="00E10F98" w:rsidRPr="00B03175" w:rsidRDefault="00E10F98" w:rsidP="00E10F98">
            <w:pPr>
              <w:spacing w:after="0" w:line="240" w:lineRule="auto"/>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District</w:t>
            </w:r>
          </w:p>
        </w:tc>
        <w:tc>
          <w:tcPr>
            <w:tcW w:w="666" w:type="dxa"/>
            <w:tcBorders>
              <w:top w:val="nil"/>
              <w:left w:val="nil"/>
              <w:bottom w:val="single" w:sz="4" w:space="0" w:color="auto"/>
              <w:right w:val="single" w:sz="4" w:space="0" w:color="auto"/>
            </w:tcBorders>
            <w:noWrap/>
            <w:vAlign w:val="center"/>
            <w:hideMark/>
          </w:tcPr>
          <w:p w14:paraId="1FC6AF6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45.33</w:t>
            </w:r>
          </w:p>
        </w:tc>
        <w:tc>
          <w:tcPr>
            <w:tcW w:w="666" w:type="dxa"/>
            <w:tcBorders>
              <w:top w:val="nil"/>
              <w:left w:val="nil"/>
              <w:bottom w:val="single" w:sz="4" w:space="0" w:color="auto"/>
              <w:right w:val="single" w:sz="4" w:space="0" w:color="auto"/>
            </w:tcBorders>
            <w:noWrap/>
            <w:vAlign w:val="center"/>
            <w:hideMark/>
          </w:tcPr>
          <w:p w14:paraId="2443D27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49.00</w:t>
            </w:r>
          </w:p>
        </w:tc>
        <w:tc>
          <w:tcPr>
            <w:tcW w:w="738" w:type="dxa"/>
            <w:tcBorders>
              <w:top w:val="nil"/>
              <w:left w:val="nil"/>
              <w:bottom w:val="single" w:sz="4" w:space="0" w:color="auto"/>
              <w:right w:val="single" w:sz="4" w:space="0" w:color="auto"/>
            </w:tcBorders>
            <w:noWrap/>
            <w:vAlign w:val="center"/>
            <w:hideMark/>
          </w:tcPr>
          <w:p w14:paraId="58ED1297"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36.58</w:t>
            </w:r>
          </w:p>
        </w:tc>
        <w:tc>
          <w:tcPr>
            <w:tcW w:w="666" w:type="dxa"/>
            <w:tcBorders>
              <w:top w:val="nil"/>
              <w:left w:val="nil"/>
              <w:bottom w:val="single" w:sz="4" w:space="0" w:color="auto"/>
              <w:right w:val="single" w:sz="4" w:space="0" w:color="auto"/>
            </w:tcBorders>
            <w:noWrap/>
            <w:vAlign w:val="center"/>
            <w:hideMark/>
          </w:tcPr>
          <w:p w14:paraId="19EF070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18.95</w:t>
            </w:r>
          </w:p>
        </w:tc>
        <w:tc>
          <w:tcPr>
            <w:tcW w:w="684" w:type="dxa"/>
            <w:tcBorders>
              <w:top w:val="nil"/>
              <w:left w:val="nil"/>
              <w:bottom w:val="single" w:sz="4" w:space="0" w:color="auto"/>
              <w:right w:val="single" w:sz="4" w:space="0" w:color="auto"/>
            </w:tcBorders>
            <w:noWrap/>
            <w:vAlign w:val="center"/>
            <w:hideMark/>
          </w:tcPr>
          <w:p w14:paraId="01ED0E5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21.30</w:t>
            </w:r>
          </w:p>
        </w:tc>
        <w:tc>
          <w:tcPr>
            <w:tcW w:w="720" w:type="dxa"/>
            <w:tcBorders>
              <w:top w:val="nil"/>
              <w:left w:val="nil"/>
              <w:bottom w:val="single" w:sz="4" w:space="0" w:color="auto"/>
              <w:right w:val="single" w:sz="4" w:space="0" w:color="auto"/>
            </w:tcBorders>
            <w:noWrap/>
            <w:vAlign w:val="center"/>
            <w:hideMark/>
          </w:tcPr>
          <w:p w14:paraId="7E4B793D"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26.99</w:t>
            </w:r>
          </w:p>
        </w:tc>
        <w:tc>
          <w:tcPr>
            <w:tcW w:w="630" w:type="dxa"/>
            <w:tcBorders>
              <w:top w:val="nil"/>
              <w:left w:val="nil"/>
              <w:bottom w:val="single" w:sz="4" w:space="0" w:color="auto"/>
              <w:right w:val="single" w:sz="4" w:space="0" w:color="auto"/>
            </w:tcBorders>
            <w:noWrap/>
            <w:vAlign w:val="center"/>
            <w:hideMark/>
          </w:tcPr>
          <w:p w14:paraId="3077195E"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2.35</w:t>
            </w:r>
          </w:p>
        </w:tc>
        <w:tc>
          <w:tcPr>
            <w:tcW w:w="630" w:type="dxa"/>
            <w:tcBorders>
              <w:top w:val="nil"/>
              <w:left w:val="nil"/>
              <w:bottom w:val="single" w:sz="4" w:space="0" w:color="auto"/>
              <w:right w:val="single" w:sz="4" w:space="0" w:color="auto"/>
            </w:tcBorders>
            <w:noWrap/>
            <w:vAlign w:val="center"/>
            <w:hideMark/>
          </w:tcPr>
          <w:p w14:paraId="6414ED75"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4.10</w:t>
            </w:r>
          </w:p>
        </w:tc>
        <w:tc>
          <w:tcPr>
            <w:tcW w:w="630" w:type="dxa"/>
            <w:tcBorders>
              <w:top w:val="nil"/>
              <w:left w:val="nil"/>
              <w:bottom w:val="single" w:sz="4" w:space="0" w:color="auto"/>
              <w:right w:val="single" w:sz="4" w:space="0" w:color="auto"/>
            </w:tcBorders>
            <w:noWrap/>
            <w:vAlign w:val="center"/>
            <w:hideMark/>
          </w:tcPr>
          <w:p w14:paraId="11E69832"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5.23</w:t>
            </w:r>
          </w:p>
        </w:tc>
        <w:tc>
          <w:tcPr>
            <w:tcW w:w="720" w:type="dxa"/>
            <w:tcBorders>
              <w:top w:val="nil"/>
              <w:left w:val="nil"/>
              <w:bottom w:val="single" w:sz="4" w:space="0" w:color="auto"/>
              <w:right w:val="single" w:sz="4" w:space="0" w:color="auto"/>
            </w:tcBorders>
            <w:noWrap/>
            <w:vAlign w:val="center"/>
            <w:hideMark/>
          </w:tcPr>
          <w:p w14:paraId="56695ED9"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33.37</w:t>
            </w:r>
          </w:p>
        </w:tc>
        <w:tc>
          <w:tcPr>
            <w:tcW w:w="720" w:type="dxa"/>
            <w:tcBorders>
              <w:top w:val="nil"/>
              <w:left w:val="nil"/>
              <w:bottom w:val="single" w:sz="4" w:space="0" w:color="auto"/>
              <w:right w:val="single" w:sz="4" w:space="0" w:color="auto"/>
            </w:tcBorders>
            <w:noWrap/>
            <w:vAlign w:val="center"/>
            <w:hideMark/>
          </w:tcPr>
          <w:p w14:paraId="23689CE0"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25.70</w:t>
            </w:r>
          </w:p>
        </w:tc>
        <w:tc>
          <w:tcPr>
            <w:tcW w:w="720" w:type="dxa"/>
            <w:tcBorders>
              <w:top w:val="nil"/>
              <w:left w:val="nil"/>
              <w:bottom w:val="single" w:sz="4" w:space="0" w:color="auto"/>
              <w:right w:val="single" w:sz="4" w:space="0" w:color="auto"/>
            </w:tcBorders>
            <w:noWrap/>
            <w:vAlign w:val="center"/>
            <w:hideMark/>
          </w:tcPr>
          <w:p w14:paraId="7F570261" w14:textId="77777777" w:rsidR="00E10F98" w:rsidRPr="00B03175"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B03175">
              <w:rPr>
                <w:rFonts w:ascii="Times New Roman" w:eastAsia="Times New Roman" w:hAnsi="Times New Roman" w:cs="Times New Roman"/>
                <w:color w:val="000000"/>
                <w:sz w:val="20"/>
                <w:szCs w:val="20"/>
                <w:lang w:bidi="hi-IN"/>
              </w:rPr>
              <w:t>31.20</w:t>
            </w:r>
          </w:p>
        </w:tc>
      </w:tr>
    </w:tbl>
    <w:p w14:paraId="41EB6474" w14:textId="77777777" w:rsidR="00E10F98" w:rsidRDefault="00E10F98" w:rsidP="00E10F98">
      <w:pPr>
        <w:rPr>
          <w:rFonts w:ascii="Times New Roman" w:hAnsi="Times New Roman" w:cs="Times New Roman"/>
          <w:sz w:val="24"/>
          <w:szCs w:val="24"/>
        </w:rPr>
      </w:pPr>
    </w:p>
    <w:p w14:paraId="7E798F4D" w14:textId="77777777" w:rsidR="00E10F98" w:rsidRDefault="00645644" w:rsidP="00E10F98">
      <w:pPr>
        <w:rPr>
          <w:rFonts w:ascii="Times New Roman" w:hAnsi="Times New Roman" w:cs="Times New Roman"/>
          <w:sz w:val="24"/>
          <w:szCs w:val="24"/>
        </w:rPr>
      </w:pPr>
      <w:r>
        <w:rPr>
          <w:rFonts w:ascii="Times New Roman" w:hAnsi="Times New Roman" w:cs="Times New Roman"/>
          <w:noProof/>
          <w:sz w:val="24"/>
          <w:szCs w:val="24"/>
          <w:lang w:bidi="hi-IN"/>
        </w:rPr>
        <w:pict w14:anchorId="4B662644">
          <v:shape id="_x0000_s1052" type="#_x0000_t202" style="position:absolute;margin-left:5.7pt;margin-top:5.6pt;width:482pt;height:19.4pt;z-index:251703296;mso-width-relative:margin;mso-height-relative:margin" strokecolor="white [3212]">
            <v:textbox style="mso-next-textbox:#_x0000_s1052">
              <w:txbxContent>
                <w:p w14:paraId="2ED9B277" w14:textId="77777777" w:rsidR="00A40E6F" w:rsidRPr="00296CAB" w:rsidRDefault="00A40E6F" w:rsidP="00E10F98">
                  <w:pPr>
                    <w:jc w:val="center"/>
                    <w:rPr>
                      <w:rFonts w:ascii="Times New Roman" w:hAnsi="Times New Roman" w:cs="Times New Roman"/>
                      <w:sz w:val="24"/>
                      <w:szCs w:val="24"/>
                    </w:rPr>
                  </w:pPr>
                  <w:r>
                    <w:rPr>
                      <w:rFonts w:ascii="Times New Roman" w:hAnsi="Times New Roman" w:cs="Times New Roman"/>
                      <w:sz w:val="24"/>
                      <w:szCs w:val="24"/>
                    </w:rPr>
                    <w:t xml:space="preserve">Table 3. Location Quotient of Main </w:t>
                  </w:r>
                  <w:proofErr w:type="spellStart"/>
                  <w:r>
                    <w:rPr>
                      <w:rFonts w:ascii="Times New Roman" w:hAnsi="Times New Roman" w:cs="Times New Roman"/>
                      <w:sz w:val="24"/>
                      <w:szCs w:val="24"/>
                    </w:rPr>
                    <w:t>Ocupational</w:t>
                  </w:r>
                  <w:proofErr w:type="spellEnd"/>
                  <w:r w:rsidRPr="00296CAB">
                    <w:rPr>
                      <w:rFonts w:ascii="Times New Roman" w:hAnsi="Times New Roman" w:cs="Times New Roman"/>
                      <w:sz w:val="24"/>
                      <w:szCs w:val="24"/>
                    </w:rPr>
                    <w:t xml:space="preserve"> in Mathura</w:t>
                  </w:r>
                  <w:r>
                    <w:rPr>
                      <w:rFonts w:ascii="Times New Roman" w:hAnsi="Times New Roman" w:cs="Times New Roman"/>
                      <w:sz w:val="24"/>
                      <w:szCs w:val="24"/>
                    </w:rPr>
                    <w:t xml:space="preserve"> District</w:t>
                  </w:r>
                </w:p>
              </w:txbxContent>
            </v:textbox>
          </v:shape>
        </w:pict>
      </w:r>
    </w:p>
    <w:tbl>
      <w:tblPr>
        <w:tblW w:w="10093" w:type="dxa"/>
        <w:tblInd w:w="95" w:type="dxa"/>
        <w:tblLayout w:type="fixed"/>
        <w:tblLook w:val="04A0" w:firstRow="1" w:lastRow="0" w:firstColumn="1" w:lastColumn="0" w:noHBand="0" w:noVBand="1"/>
      </w:tblPr>
      <w:tblGrid>
        <w:gridCol w:w="553"/>
        <w:gridCol w:w="1105"/>
        <w:gridCol w:w="695"/>
        <w:gridCol w:w="630"/>
        <w:gridCol w:w="720"/>
        <w:gridCol w:w="630"/>
        <w:gridCol w:w="630"/>
        <w:gridCol w:w="810"/>
        <w:gridCol w:w="720"/>
        <w:gridCol w:w="720"/>
        <w:gridCol w:w="810"/>
        <w:gridCol w:w="720"/>
        <w:gridCol w:w="630"/>
        <w:gridCol w:w="720"/>
      </w:tblGrid>
      <w:tr w:rsidR="00E10F98" w:rsidRPr="00DB3A2A" w14:paraId="72C6234F" w14:textId="77777777" w:rsidTr="00E10F98">
        <w:trPr>
          <w:trHeight w:val="300"/>
        </w:trPr>
        <w:tc>
          <w:tcPr>
            <w:tcW w:w="553" w:type="dxa"/>
            <w:vMerge w:val="restart"/>
            <w:tcBorders>
              <w:top w:val="single" w:sz="4" w:space="0" w:color="auto"/>
              <w:left w:val="single" w:sz="4" w:space="0" w:color="auto"/>
              <w:right w:val="single" w:sz="4" w:space="0" w:color="auto"/>
            </w:tcBorders>
            <w:noWrap/>
            <w:vAlign w:val="bottom"/>
            <w:hideMark/>
          </w:tcPr>
          <w:p w14:paraId="187B8306"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r w:rsidRPr="00B03175">
              <w:rPr>
                <w:rFonts w:ascii="Times New Roman" w:eastAsia="Times New Roman" w:hAnsi="Times New Roman" w:cs="Times New Roman"/>
                <w:color w:val="000000"/>
                <w:sz w:val="20"/>
                <w:szCs w:val="20"/>
                <w:lang w:bidi="hi-IN"/>
              </w:rPr>
              <w:t> </w:t>
            </w:r>
            <w:proofErr w:type="spellStart"/>
            <w:proofErr w:type="gramStart"/>
            <w:r w:rsidRPr="006318D9">
              <w:rPr>
                <w:rFonts w:ascii="Times New Roman" w:eastAsia="Times New Roman" w:hAnsi="Times New Roman" w:cs="Times New Roman"/>
                <w:sz w:val="20"/>
                <w:szCs w:val="20"/>
                <w:lang w:bidi="hi-IN"/>
              </w:rPr>
              <w:t>S.No</w:t>
            </w:r>
            <w:proofErr w:type="spellEnd"/>
            <w:proofErr w:type="gramEnd"/>
          </w:p>
          <w:p w14:paraId="555E2F02"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p>
        </w:tc>
        <w:tc>
          <w:tcPr>
            <w:tcW w:w="1105" w:type="dxa"/>
            <w:vMerge w:val="restart"/>
            <w:tcBorders>
              <w:top w:val="single" w:sz="4" w:space="0" w:color="auto"/>
              <w:left w:val="nil"/>
              <w:right w:val="single" w:sz="4" w:space="0" w:color="auto"/>
            </w:tcBorders>
            <w:noWrap/>
            <w:vAlign w:val="bottom"/>
            <w:hideMark/>
          </w:tcPr>
          <w:p w14:paraId="193E318D"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w:t>
            </w:r>
          </w:p>
          <w:p w14:paraId="01FFAF31"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Block</w:t>
            </w:r>
          </w:p>
        </w:tc>
        <w:tc>
          <w:tcPr>
            <w:tcW w:w="2045" w:type="dxa"/>
            <w:gridSpan w:val="3"/>
            <w:tcBorders>
              <w:top w:val="single" w:sz="4" w:space="0" w:color="auto"/>
              <w:left w:val="nil"/>
              <w:bottom w:val="single" w:sz="4" w:space="0" w:color="auto"/>
              <w:right w:val="single" w:sz="4" w:space="0" w:color="000000"/>
            </w:tcBorders>
            <w:vAlign w:val="bottom"/>
            <w:hideMark/>
          </w:tcPr>
          <w:p w14:paraId="48F08A6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 Cultivators</w:t>
            </w:r>
          </w:p>
        </w:tc>
        <w:tc>
          <w:tcPr>
            <w:tcW w:w="2070" w:type="dxa"/>
            <w:gridSpan w:val="3"/>
            <w:tcBorders>
              <w:top w:val="single" w:sz="4" w:space="0" w:color="auto"/>
              <w:left w:val="nil"/>
              <w:bottom w:val="single" w:sz="4" w:space="0" w:color="auto"/>
              <w:right w:val="single" w:sz="4" w:space="0" w:color="000000"/>
            </w:tcBorders>
            <w:vAlign w:val="bottom"/>
            <w:hideMark/>
          </w:tcPr>
          <w:p w14:paraId="4EFB1DB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Agriculture </w:t>
            </w:r>
            <w:proofErr w:type="spellStart"/>
            <w:r w:rsidRPr="00DB3A2A">
              <w:rPr>
                <w:rFonts w:ascii="Times New Roman" w:eastAsia="Times New Roman" w:hAnsi="Times New Roman" w:cs="Times New Roman"/>
                <w:color w:val="000000"/>
                <w:sz w:val="20"/>
                <w:szCs w:val="20"/>
                <w:lang w:bidi="hi-IN"/>
              </w:rPr>
              <w:t>Labourers</w:t>
            </w:r>
            <w:proofErr w:type="spellEnd"/>
          </w:p>
        </w:tc>
        <w:tc>
          <w:tcPr>
            <w:tcW w:w="2250" w:type="dxa"/>
            <w:gridSpan w:val="3"/>
            <w:tcBorders>
              <w:top w:val="single" w:sz="4" w:space="0" w:color="auto"/>
              <w:left w:val="nil"/>
              <w:bottom w:val="single" w:sz="4" w:space="0" w:color="auto"/>
              <w:right w:val="single" w:sz="4" w:space="0" w:color="000000"/>
            </w:tcBorders>
            <w:vAlign w:val="bottom"/>
            <w:hideMark/>
          </w:tcPr>
          <w:p w14:paraId="12B0B79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 xml:space="preserve">Household Industrial Workers </w:t>
            </w:r>
          </w:p>
        </w:tc>
        <w:tc>
          <w:tcPr>
            <w:tcW w:w="2070" w:type="dxa"/>
            <w:gridSpan w:val="3"/>
            <w:tcBorders>
              <w:top w:val="single" w:sz="4" w:space="0" w:color="auto"/>
              <w:left w:val="nil"/>
              <w:bottom w:val="single" w:sz="4" w:space="0" w:color="auto"/>
              <w:right w:val="single" w:sz="4" w:space="0" w:color="000000"/>
            </w:tcBorders>
            <w:vAlign w:val="bottom"/>
            <w:hideMark/>
          </w:tcPr>
          <w:p w14:paraId="20803D8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Other Workers</w:t>
            </w:r>
          </w:p>
        </w:tc>
      </w:tr>
      <w:tr w:rsidR="00E10F98" w:rsidRPr="00DB3A2A" w14:paraId="7E004CA6" w14:textId="77777777" w:rsidTr="00E10F98">
        <w:trPr>
          <w:trHeight w:val="60"/>
        </w:trPr>
        <w:tc>
          <w:tcPr>
            <w:tcW w:w="553" w:type="dxa"/>
            <w:vMerge/>
            <w:tcBorders>
              <w:left w:val="single" w:sz="4" w:space="0" w:color="auto"/>
              <w:bottom w:val="single" w:sz="4" w:space="0" w:color="auto"/>
              <w:right w:val="single" w:sz="4" w:space="0" w:color="auto"/>
            </w:tcBorders>
            <w:noWrap/>
            <w:vAlign w:val="bottom"/>
            <w:hideMark/>
          </w:tcPr>
          <w:p w14:paraId="36458CC7"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
        </w:tc>
        <w:tc>
          <w:tcPr>
            <w:tcW w:w="1105" w:type="dxa"/>
            <w:vMerge/>
            <w:tcBorders>
              <w:left w:val="nil"/>
              <w:bottom w:val="single" w:sz="4" w:space="0" w:color="auto"/>
              <w:right w:val="single" w:sz="4" w:space="0" w:color="auto"/>
            </w:tcBorders>
            <w:noWrap/>
            <w:vAlign w:val="bottom"/>
            <w:hideMark/>
          </w:tcPr>
          <w:p w14:paraId="25368A88"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
        </w:tc>
        <w:tc>
          <w:tcPr>
            <w:tcW w:w="695" w:type="dxa"/>
            <w:tcBorders>
              <w:top w:val="nil"/>
              <w:left w:val="nil"/>
              <w:bottom w:val="single" w:sz="4" w:space="0" w:color="auto"/>
              <w:right w:val="single" w:sz="4" w:space="0" w:color="auto"/>
            </w:tcBorders>
            <w:noWrap/>
            <w:vAlign w:val="center"/>
            <w:hideMark/>
          </w:tcPr>
          <w:p w14:paraId="386D4DE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noWrap/>
            <w:vAlign w:val="center"/>
            <w:hideMark/>
          </w:tcPr>
          <w:p w14:paraId="5451C612"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noWrap/>
            <w:vAlign w:val="center"/>
            <w:hideMark/>
          </w:tcPr>
          <w:p w14:paraId="60287AC0"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630" w:type="dxa"/>
            <w:tcBorders>
              <w:top w:val="nil"/>
              <w:left w:val="nil"/>
              <w:bottom w:val="single" w:sz="4" w:space="0" w:color="auto"/>
              <w:right w:val="single" w:sz="4" w:space="0" w:color="auto"/>
            </w:tcBorders>
            <w:noWrap/>
            <w:vAlign w:val="center"/>
            <w:hideMark/>
          </w:tcPr>
          <w:p w14:paraId="0BFA0C4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noWrap/>
            <w:vAlign w:val="center"/>
            <w:hideMark/>
          </w:tcPr>
          <w:p w14:paraId="12B5517E"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810" w:type="dxa"/>
            <w:tcBorders>
              <w:top w:val="nil"/>
              <w:left w:val="nil"/>
              <w:bottom w:val="single" w:sz="4" w:space="0" w:color="auto"/>
              <w:right w:val="single" w:sz="4" w:space="0" w:color="auto"/>
            </w:tcBorders>
            <w:noWrap/>
            <w:vAlign w:val="center"/>
            <w:hideMark/>
          </w:tcPr>
          <w:p w14:paraId="5103F882"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noWrap/>
            <w:vAlign w:val="center"/>
            <w:hideMark/>
          </w:tcPr>
          <w:p w14:paraId="206173B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720" w:type="dxa"/>
            <w:tcBorders>
              <w:top w:val="nil"/>
              <w:left w:val="nil"/>
              <w:bottom w:val="single" w:sz="4" w:space="0" w:color="auto"/>
              <w:right w:val="single" w:sz="4" w:space="0" w:color="auto"/>
            </w:tcBorders>
            <w:noWrap/>
            <w:vAlign w:val="center"/>
            <w:hideMark/>
          </w:tcPr>
          <w:p w14:paraId="55A1CB56"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810" w:type="dxa"/>
            <w:tcBorders>
              <w:top w:val="nil"/>
              <w:left w:val="nil"/>
              <w:bottom w:val="single" w:sz="4" w:space="0" w:color="auto"/>
              <w:right w:val="single" w:sz="4" w:space="0" w:color="auto"/>
            </w:tcBorders>
            <w:noWrap/>
            <w:vAlign w:val="center"/>
            <w:hideMark/>
          </w:tcPr>
          <w:p w14:paraId="3B028C7E"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c>
          <w:tcPr>
            <w:tcW w:w="720" w:type="dxa"/>
            <w:tcBorders>
              <w:top w:val="nil"/>
              <w:left w:val="nil"/>
              <w:bottom w:val="single" w:sz="4" w:space="0" w:color="auto"/>
              <w:right w:val="single" w:sz="4" w:space="0" w:color="auto"/>
            </w:tcBorders>
            <w:noWrap/>
            <w:vAlign w:val="center"/>
            <w:hideMark/>
          </w:tcPr>
          <w:p w14:paraId="6BD486F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1991</w:t>
            </w:r>
          </w:p>
        </w:tc>
        <w:tc>
          <w:tcPr>
            <w:tcW w:w="630" w:type="dxa"/>
            <w:tcBorders>
              <w:top w:val="nil"/>
              <w:left w:val="nil"/>
              <w:bottom w:val="single" w:sz="4" w:space="0" w:color="auto"/>
              <w:right w:val="single" w:sz="4" w:space="0" w:color="auto"/>
            </w:tcBorders>
            <w:noWrap/>
            <w:vAlign w:val="center"/>
            <w:hideMark/>
          </w:tcPr>
          <w:p w14:paraId="534B106B"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2001</w:t>
            </w:r>
          </w:p>
        </w:tc>
        <w:tc>
          <w:tcPr>
            <w:tcW w:w="720" w:type="dxa"/>
            <w:tcBorders>
              <w:top w:val="nil"/>
              <w:left w:val="nil"/>
              <w:bottom w:val="single" w:sz="4" w:space="0" w:color="auto"/>
              <w:right w:val="single" w:sz="4" w:space="0" w:color="auto"/>
            </w:tcBorders>
            <w:noWrap/>
            <w:vAlign w:val="center"/>
            <w:hideMark/>
          </w:tcPr>
          <w:p w14:paraId="01C1AC6C" w14:textId="77777777" w:rsidR="00E10F98" w:rsidRPr="00DB3A2A" w:rsidRDefault="00E10F98" w:rsidP="00E10F98">
            <w:pPr>
              <w:spacing w:after="0" w:line="240" w:lineRule="auto"/>
              <w:jc w:val="center"/>
              <w:rPr>
                <w:rFonts w:ascii="Times New Roman" w:eastAsia="Times New Roman" w:hAnsi="Times New Roman" w:cs="Times New Roman"/>
                <w:sz w:val="20"/>
                <w:szCs w:val="20"/>
                <w:lang w:bidi="hi-IN"/>
              </w:rPr>
            </w:pPr>
            <w:r w:rsidRPr="00DB3A2A">
              <w:rPr>
                <w:rFonts w:ascii="Times New Roman" w:eastAsia="Times New Roman" w:hAnsi="Times New Roman" w:cs="Times New Roman"/>
                <w:sz w:val="20"/>
                <w:szCs w:val="20"/>
                <w:lang w:bidi="hi-IN"/>
              </w:rPr>
              <w:t>2011</w:t>
            </w:r>
          </w:p>
        </w:tc>
      </w:tr>
      <w:tr w:rsidR="00E10F98" w:rsidRPr="00DB3A2A" w14:paraId="07B07259"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C897CF5"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w:t>
            </w:r>
          </w:p>
        </w:tc>
        <w:tc>
          <w:tcPr>
            <w:tcW w:w="1105" w:type="dxa"/>
            <w:tcBorders>
              <w:top w:val="nil"/>
              <w:left w:val="nil"/>
              <w:bottom w:val="single" w:sz="4" w:space="0" w:color="auto"/>
              <w:right w:val="single" w:sz="4" w:space="0" w:color="auto"/>
            </w:tcBorders>
            <w:noWrap/>
            <w:vAlign w:val="bottom"/>
            <w:hideMark/>
          </w:tcPr>
          <w:p w14:paraId="718BAF1F"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Nandgaon</w:t>
            </w:r>
            <w:proofErr w:type="spellEnd"/>
          </w:p>
        </w:tc>
        <w:tc>
          <w:tcPr>
            <w:tcW w:w="695" w:type="dxa"/>
            <w:tcBorders>
              <w:top w:val="nil"/>
              <w:left w:val="nil"/>
              <w:bottom w:val="single" w:sz="4" w:space="0" w:color="auto"/>
              <w:right w:val="single" w:sz="4" w:space="0" w:color="auto"/>
            </w:tcBorders>
            <w:noWrap/>
            <w:vAlign w:val="center"/>
            <w:hideMark/>
          </w:tcPr>
          <w:p w14:paraId="16CA3CA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1.00</w:t>
            </w:r>
          </w:p>
        </w:tc>
        <w:tc>
          <w:tcPr>
            <w:tcW w:w="630" w:type="dxa"/>
            <w:tcBorders>
              <w:top w:val="nil"/>
              <w:left w:val="nil"/>
              <w:bottom w:val="single" w:sz="4" w:space="0" w:color="auto"/>
              <w:right w:val="single" w:sz="4" w:space="0" w:color="auto"/>
            </w:tcBorders>
            <w:noWrap/>
            <w:vAlign w:val="center"/>
            <w:hideMark/>
          </w:tcPr>
          <w:p w14:paraId="6785F7B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720" w:type="dxa"/>
            <w:tcBorders>
              <w:top w:val="nil"/>
              <w:left w:val="nil"/>
              <w:bottom w:val="single" w:sz="4" w:space="0" w:color="auto"/>
              <w:right w:val="single" w:sz="4" w:space="0" w:color="auto"/>
            </w:tcBorders>
            <w:noWrap/>
            <w:vAlign w:val="center"/>
            <w:hideMark/>
          </w:tcPr>
          <w:p w14:paraId="197DC70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1.20</w:t>
            </w:r>
          </w:p>
        </w:tc>
        <w:tc>
          <w:tcPr>
            <w:tcW w:w="630" w:type="dxa"/>
            <w:tcBorders>
              <w:top w:val="nil"/>
              <w:left w:val="nil"/>
              <w:bottom w:val="single" w:sz="4" w:space="0" w:color="auto"/>
              <w:right w:val="single" w:sz="4" w:space="0" w:color="auto"/>
            </w:tcBorders>
            <w:noWrap/>
            <w:vAlign w:val="center"/>
            <w:hideMark/>
          </w:tcPr>
          <w:p w14:paraId="094A432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noWrap/>
            <w:vAlign w:val="center"/>
            <w:hideMark/>
          </w:tcPr>
          <w:p w14:paraId="00FFB5B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0.98</w:t>
            </w:r>
          </w:p>
        </w:tc>
        <w:tc>
          <w:tcPr>
            <w:tcW w:w="810" w:type="dxa"/>
            <w:tcBorders>
              <w:top w:val="nil"/>
              <w:left w:val="nil"/>
              <w:bottom w:val="single" w:sz="4" w:space="0" w:color="auto"/>
              <w:right w:val="single" w:sz="4" w:space="0" w:color="auto"/>
            </w:tcBorders>
            <w:noWrap/>
            <w:vAlign w:val="center"/>
            <w:hideMark/>
          </w:tcPr>
          <w:p w14:paraId="6CEB194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1236876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0.40</w:t>
            </w:r>
          </w:p>
        </w:tc>
        <w:tc>
          <w:tcPr>
            <w:tcW w:w="720" w:type="dxa"/>
            <w:tcBorders>
              <w:top w:val="nil"/>
              <w:left w:val="nil"/>
              <w:bottom w:val="single" w:sz="4" w:space="0" w:color="auto"/>
              <w:right w:val="single" w:sz="4" w:space="0" w:color="auto"/>
            </w:tcBorders>
            <w:noWrap/>
            <w:vAlign w:val="center"/>
            <w:hideMark/>
          </w:tcPr>
          <w:p w14:paraId="50F6278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0.67</w:t>
            </w:r>
          </w:p>
        </w:tc>
        <w:tc>
          <w:tcPr>
            <w:tcW w:w="810" w:type="dxa"/>
            <w:tcBorders>
              <w:top w:val="nil"/>
              <w:left w:val="nil"/>
              <w:bottom w:val="single" w:sz="4" w:space="0" w:color="auto"/>
              <w:right w:val="single" w:sz="4" w:space="0" w:color="auto"/>
            </w:tcBorders>
            <w:noWrap/>
            <w:vAlign w:val="center"/>
            <w:hideMark/>
          </w:tcPr>
          <w:p w14:paraId="0E584CF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0.55</w:t>
            </w:r>
          </w:p>
        </w:tc>
        <w:tc>
          <w:tcPr>
            <w:tcW w:w="720" w:type="dxa"/>
            <w:tcBorders>
              <w:top w:val="nil"/>
              <w:left w:val="nil"/>
              <w:bottom w:val="single" w:sz="4" w:space="0" w:color="auto"/>
              <w:right w:val="single" w:sz="4" w:space="0" w:color="auto"/>
            </w:tcBorders>
            <w:noWrap/>
            <w:vAlign w:val="center"/>
            <w:hideMark/>
          </w:tcPr>
          <w:p w14:paraId="6C8CE25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0.37</w:t>
            </w:r>
          </w:p>
        </w:tc>
        <w:tc>
          <w:tcPr>
            <w:tcW w:w="630" w:type="dxa"/>
            <w:tcBorders>
              <w:top w:val="nil"/>
              <w:left w:val="nil"/>
              <w:bottom w:val="single" w:sz="4" w:space="0" w:color="auto"/>
              <w:right w:val="single" w:sz="4" w:space="0" w:color="auto"/>
            </w:tcBorders>
            <w:noWrap/>
            <w:vAlign w:val="center"/>
            <w:hideMark/>
          </w:tcPr>
          <w:p w14:paraId="73D4ECB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4A891326"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r>
      <w:tr w:rsidR="00E10F98" w:rsidRPr="00DB3A2A" w14:paraId="46854DD0"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171F7622"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2</w:t>
            </w:r>
          </w:p>
        </w:tc>
        <w:tc>
          <w:tcPr>
            <w:tcW w:w="1105" w:type="dxa"/>
            <w:tcBorders>
              <w:top w:val="nil"/>
              <w:left w:val="nil"/>
              <w:bottom w:val="single" w:sz="4" w:space="0" w:color="auto"/>
              <w:right w:val="single" w:sz="4" w:space="0" w:color="auto"/>
            </w:tcBorders>
            <w:noWrap/>
            <w:vAlign w:val="bottom"/>
            <w:hideMark/>
          </w:tcPr>
          <w:p w14:paraId="2D03B9DD"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Chhata</w:t>
            </w:r>
          </w:p>
        </w:tc>
        <w:tc>
          <w:tcPr>
            <w:tcW w:w="695" w:type="dxa"/>
            <w:tcBorders>
              <w:top w:val="nil"/>
              <w:left w:val="nil"/>
              <w:bottom w:val="single" w:sz="4" w:space="0" w:color="auto"/>
              <w:right w:val="single" w:sz="4" w:space="0" w:color="auto"/>
            </w:tcBorders>
            <w:noWrap/>
            <w:vAlign w:val="center"/>
            <w:hideMark/>
          </w:tcPr>
          <w:p w14:paraId="02FE200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1.01</w:t>
            </w:r>
          </w:p>
        </w:tc>
        <w:tc>
          <w:tcPr>
            <w:tcW w:w="630" w:type="dxa"/>
            <w:tcBorders>
              <w:top w:val="nil"/>
              <w:left w:val="nil"/>
              <w:bottom w:val="single" w:sz="4" w:space="0" w:color="auto"/>
              <w:right w:val="single" w:sz="4" w:space="0" w:color="auto"/>
            </w:tcBorders>
            <w:noWrap/>
            <w:vAlign w:val="center"/>
            <w:hideMark/>
          </w:tcPr>
          <w:p w14:paraId="6A1EECE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1.14</w:t>
            </w:r>
          </w:p>
        </w:tc>
        <w:tc>
          <w:tcPr>
            <w:tcW w:w="720" w:type="dxa"/>
            <w:tcBorders>
              <w:top w:val="nil"/>
              <w:left w:val="nil"/>
              <w:bottom w:val="single" w:sz="4" w:space="0" w:color="auto"/>
              <w:right w:val="single" w:sz="4" w:space="0" w:color="auto"/>
            </w:tcBorders>
            <w:noWrap/>
            <w:vAlign w:val="center"/>
            <w:hideMark/>
          </w:tcPr>
          <w:p w14:paraId="3F74382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630" w:type="dxa"/>
            <w:tcBorders>
              <w:top w:val="nil"/>
              <w:left w:val="nil"/>
              <w:bottom w:val="single" w:sz="4" w:space="0" w:color="auto"/>
              <w:right w:val="single" w:sz="4" w:space="0" w:color="auto"/>
            </w:tcBorders>
            <w:noWrap/>
            <w:vAlign w:val="center"/>
            <w:hideMark/>
          </w:tcPr>
          <w:p w14:paraId="689A60B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1.10</w:t>
            </w:r>
          </w:p>
        </w:tc>
        <w:tc>
          <w:tcPr>
            <w:tcW w:w="630" w:type="dxa"/>
            <w:tcBorders>
              <w:top w:val="nil"/>
              <w:left w:val="nil"/>
              <w:bottom w:val="single" w:sz="4" w:space="0" w:color="auto"/>
              <w:right w:val="single" w:sz="4" w:space="0" w:color="auto"/>
            </w:tcBorders>
            <w:noWrap/>
            <w:vAlign w:val="center"/>
            <w:hideMark/>
          </w:tcPr>
          <w:p w14:paraId="057E448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810" w:type="dxa"/>
            <w:tcBorders>
              <w:top w:val="nil"/>
              <w:left w:val="nil"/>
              <w:bottom w:val="single" w:sz="4" w:space="0" w:color="auto"/>
              <w:right w:val="single" w:sz="4" w:space="0" w:color="auto"/>
            </w:tcBorders>
            <w:noWrap/>
            <w:vAlign w:val="center"/>
            <w:hideMark/>
          </w:tcPr>
          <w:p w14:paraId="58187B6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c>
          <w:tcPr>
            <w:tcW w:w="720" w:type="dxa"/>
            <w:tcBorders>
              <w:top w:val="nil"/>
              <w:left w:val="nil"/>
              <w:bottom w:val="single" w:sz="4" w:space="0" w:color="auto"/>
              <w:right w:val="single" w:sz="4" w:space="0" w:color="auto"/>
            </w:tcBorders>
            <w:noWrap/>
            <w:vAlign w:val="center"/>
            <w:hideMark/>
          </w:tcPr>
          <w:p w14:paraId="3E44439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0.51</w:t>
            </w:r>
          </w:p>
        </w:tc>
        <w:tc>
          <w:tcPr>
            <w:tcW w:w="720" w:type="dxa"/>
            <w:tcBorders>
              <w:top w:val="nil"/>
              <w:left w:val="nil"/>
              <w:bottom w:val="single" w:sz="4" w:space="0" w:color="auto"/>
              <w:right w:val="single" w:sz="4" w:space="0" w:color="auto"/>
            </w:tcBorders>
            <w:noWrap/>
            <w:vAlign w:val="center"/>
            <w:hideMark/>
          </w:tcPr>
          <w:p w14:paraId="5BE1D1C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0.74</w:t>
            </w:r>
          </w:p>
        </w:tc>
        <w:tc>
          <w:tcPr>
            <w:tcW w:w="810" w:type="dxa"/>
            <w:tcBorders>
              <w:top w:val="nil"/>
              <w:left w:val="nil"/>
              <w:bottom w:val="single" w:sz="4" w:space="0" w:color="auto"/>
              <w:right w:val="single" w:sz="4" w:space="0" w:color="auto"/>
            </w:tcBorders>
            <w:noWrap/>
            <w:vAlign w:val="center"/>
            <w:hideMark/>
          </w:tcPr>
          <w:p w14:paraId="01394B36"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720" w:type="dxa"/>
            <w:tcBorders>
              <w:top w:val="nil"/>
              <w:left w:val="nil"/>
              <w:bottom w:val="single" w:sz="4" w:space="0" w:color="auto"/>
              <w:right w:val="single" w:sz="4" w:space="0" w:color="auto"/>
            </w:tcBorders>
            <w:noWrap/>
            <w:vAlign w:val="center"/>
            <w:hideMark/>
          </w:tcPr>
          <w:p w14:paraId="0E07058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0.36</w:t>
            </w:r>
          </w:p>
        </w:tc>
        <w:tc>
          <w:tcPr>
            <w:tcW w:w="630" w:type="dxa"/>
            <w:tcBorders>
              <w:top w:val="nil"/>
              <w:left w:val="nil"/>
              <w:bottom w:val="single" w:sz="4" w:space="0" w:color="auto"/>
              <w:right w:val="single" w:sz="4" w:space="0" w:color="auto"/>
            </w:tcBorders>
            <w:noWrap/>
            <w:vAlign w:val="center"/>
            <w:hideMark/>
          </w:tcPr>
          <w:p w14:paraId="3E6BB44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0.93</w:t>
            </w:r>
          </w:p>
        </w:tc>
        <w:tc>
          <w:tcPr>
            <w:tcW w:w="720" w:type="dxa"/>
            <w:tcBorders>
              <w:top w:val="nil"/>
              <w:left w:val="nil"/>
              <w:bottom w:val="single" w:sz="4" w:space="0" w:color="auto"/>
              <w:right w:val="single" w:sz="4" w:space="0" w:color="auto"/>
            </w:tcBorders>
            <w:noWrap/>
            <w:vAlign w:val="center"/>
            <w:hideMark/>
          </w:tcPr>
          <w:p w14:paraId="44F001E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0.88</w:t>
            </w:r>
          </w:p>
        </w:tc>
      </w:tr>
      <w:tr w:rsidR="00E10F98" w:rsidRPr="00DB3A2A" w14:paraId="0C060A5C"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306F111"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3</w:t>
            </w:r>
          </w:p>
        </w:tc>
        <w:tc>
          <w:tcPr>
            <w:tcW w:w="1105" w:type="dxa"/>
            <w:tcBorders>
              <w:top w:val="nil"/>
              <w:left w:val="nil"/>
              <w:bottom w:val="single" w:sz="4" w:space="0" w:color="auto"/>
              <w:right w:val="single" w:sz="4" w:space="0" w:color="auto"/>
            </w:tcBorders>
            <w:noWrap/>
            <w:vAlign w:val="bottom"/>
            <w:hideMark/>
          </w:tcPr>
          <w:p w14:paraId="3C5ADE1C"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Chaumuha</w:t>
            </w:r>
            <w:proofErr w:type="spellEnd"/>
          </w:p>
        </w:tc>
        <w:tc>
          <w:tcPr>
            <w:tcW w:w="695" w:type="dxa"/>
            <w:tcBorders>
              <w:top w:val="nil"/>
              <w:left w:val="nil"/>
              <w:bottom w:val="single" w:sz="4" w:space="0" w:color="auto"/>
              <w:right w:val="single" w:sz="4" w:space="0" w:color="auto"/>
            </w:tcBorders>
            <w:noWrap/>
            <w:vAlign w:val="center"/>
            <w:hideMark/>
          </w:tcPr>
          <w:p w14:paraId="0507B63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1.11</w:t>
            </w:r>
          </w:p>
        </w:tc>
        <w:tc>
          <w:tcPr>
            <w:tcW w:w="630" w:type="dxa"/>
            <w:tcBorders>
              <w:top w:val="nil"/>
              <w:left w:val="nil"/>
              <w:bottom w:val="single" w:sz="4" w:space="0" w:color="auto"/>
              <w:right w:val="single" w:sz="4" w:space="0" w:color="auto"/>
            </w:tcBorders>
            <w:noWrap/>
            <w:vAlign w:val="center"/>
            <w:hideMark/>
          </w:tcPr>
          <w:p w14:paraId="13E5FE8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noWrap/>
            <w:vAlign w:val="center"/>
            <w:hideMark/>
          </w:tcPr>
          <w:p w14:paraId="79622A66"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1.03</w:t>
            </w:r>
          </w:p>
        </w:tc>
        <w:tc>
          <w:tcPr>
            <w:tcW w:w="630" w:type="dxa"/>
            <w:tcBorders>
              <w:top w:val="nil"/>
              <w:left w:val="nil"/>
              <w:bottom w:val="single" w:sz="4" w:space="0" w:color="auto"/>
              <w:right w:val="single" w:sz="4" w:space="0" w:color="auto"/>
            </w:tcBorders>
            <w:noWrap/>
            <w:vAlign w:val="center"/>
            <w:hideMark/>
          </w:tcPr>
          <w:p w14:paraId="4601957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0.92</w:t>
            </w:r>
          </w:p>
        </w:tc>
        <w:tc>
          <w:tcPr>
            <w:tcW w:w="630" w:type="dxa"/>
            <w:tcBorders>
              <w:top w:val="nil"/>
              <w:left w:val="nil"/>
              <w:bottom w:val="single" w:sz="4" w:space="0" w:color="auto"/>
              <w:right w:val="single" w:sz="4" w:space="0" w:color="auto"/>
            </w:tcBorders>
            <w:noWrap/>
            <w:vAlign w:val="center"/>
            <w:hideMark/>
          </w:tcPr>
          <w:p w14:paraId="45CF232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0.83</w:t>
            </w:r>
          </w:p>
        </w:tc>
        <w:tc>
          <w:tcPr>
            <w:tcW w:w="810" w:type="dxa"/>
            <w:tcBorders>
              <w:top w:val="nil"/>
              <w:left w:val="nil"/>
              <w:bottom w:val="single" w:sz="4" w:space="0" w:color="auto"/>
              <w:right w:val="single" w:sz="4" w:space="0" w:color="auto"/>
            </w:tcBorders>
            <w:noWrap/>
            <w:vAlign w:val="center"/>
            <w:hideMark/>
          </w:tcPr>
          <w:p w14:paraId="3683BEB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0.78</w:t>
            </w:r>
          </w:p>
        </w:tc>
        <w:tc>
          <w:tcPr>
            <w:tcW w:w="720" w:type="dxa"/>
            <w:tcBorders>
              <w:top w:val="nil"/>
              <w:left w:val="nil"/>
              <w:bottom w:val="single" w:sz="4" w:space="0" w:color="auto"/>
              <w:right w:val="single" w:sz="4" w:space="0" w:color="auto"/>
            </w:tcBorders>
            <w:noWrap/>
            <w:vAlign w:val="center"/>
            <w:hideMark/>
          </w:tcPr>
          <w:p w14:paraId="7737895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0.50</w:t>
            </w:r>
          </w:p>
        </w:tc>
        <w:tc>
          <w:tcPr>
            <w:tcW w:w="720" w:type="dxa"/>
            <w:tcBorders>
              <w:top w:val="nil"/>
              <w:left w:val="nil"/>
              <w:bottom w:val="single" w:sz="4" w:space="0" w:color="auto"/>
              <w:right w:val="single" w:sz="4" w:space="0" w:color="auto"/>
            </w:tcBorders>
            <w:noWrap/>
            <w:vAlign w:val="center"/>
            <w:hideMark/>
          </w:tcPr>
          <w:p w14:paraId="289D47F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0.66</w:t>
            </w:r>
          </w:p>
        </w:tc>
        <w:tc>
          <w:tcPr>
            <w:tcW w:w="810" w:type="dxa"/>
            <w:tcBorders>
              <w:top w:val="nil"/>
              <w:left w:val="nil"/>
              <w:bottom w:val="single" w:sz="4" w:space="0" w:color="auto"/>
              <w:right w:val="single" w:sz="4" w:space="0" w:color="auto"/>
            </w:tcBorders>
            <w:noWrap/>
            <w:vAlign w:val="center"/>
            <w:hideMark/>
          </w:tcPr>
          <w:p w14:paraId="34DEBBC1"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5FD5999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0.35</w:t>
            </w:r>
          </w:p>
        </w:tc>
        <w:tc>
          <w:tcPr>
            <w:tcW w:w="630" w:type="dxa"/>
            <w:tcBorders>
              <w:top w:val="nil"/>
              <w:left w:val="nil"/>
              <w:bottom w:val="single" w:sz="4" w:space="0" w:color="auto"/>
              <w:right w:val="single" w:sz="4" w:space="0" w:color="auto"/>
            </w:tcBorders>
            <w:noWrap/>
            <w:vAlign w:val="center"/>
            <w:hideMark/>
          </w:tcPr>
          <w:p w14:paraId="2072958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0.59</w:t>
            </w:r>
          </w:p>
        </w:tc>
        <w:tc>
          <w:tcPr>
            <w:tcW w:w="720" w:type="dxa"/>
            <w:tcBorders>
              <w:top w:val="nil"/>
              <w:left w:val="nil"/>
              <w:bottom w:val="single" w:sz="4" w:space="0" w:color="auto"/>
              <w:right w:val="single" w:sz="4" w:space="0" w:color="auto"/>
            </w:tcBorders>
            <w:noWrap/>
            <w:vAlign w:val="center"/>
            <w:hideMark/>
          </w:tcPr>
          <w:p w14:paraId="66DECA5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0.70</w:t>
            </w:r>
          </w:p>
        </w:tc>
      </w:tr>
      <w:tr w:rsidR="00E10F98" w:rsidRPr="00DB3A2A" w14:paraId="09FDBCEB"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5EC82437"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4</w:t>
            </w:r>
          </w:p>
        </w:tc>
        <w:tc>
          <w:tcPr>
            <w:tcW w:w="1105" w:type="dxa"/>
            <w:tcBorders>
              <w:top w:val="nil"/>
              <w:left w:val="nil"/>
              <w:bottom w:val="single" w:sz="4" w:space="0" w:color="auto"/>
              <w:right w:val="single" w:sz="4" w:space="0" w:color="auto"/>
            </w:tcBorders>
            <w:noWrap/>
            <w:vAlign w:val="bottom"/>
            <w:hideMark/>
          </w:tcPr>
          <w:p w14:paraId="3F22460B"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proofErr w:type="spellStart"/>
            <w:r w:rsidRPr="00DB3A2A">
              <w:rPr>
                <w:rFonts w:ascii="Times New Roman" w:eastAsia="Times New Roman" w:hAnsi="Times New Roman" w:cs="Times New Roman"/>
                <w:color w:val="000000"/>
                <w:sz w:val="20"/>
                <w:szCs w:val="20"/>
                <w:lang w:bidi="hi-IN"/>
              </w:rPr>
              <w:t>Nohjhil</w:t>
            </w:r>
            <w:proofErr w:type="spellEnd"/>
          </w:p>
        </w:tc>
        <w:tc>
          <w:tcPr>
            <w:tcW w:w="695" w:type="dxa"/>
            <w:tcBorders>
              <w:top w:val="nil"/>
              <w:left w:val="nil"/>
              <w:bottom w:val="single" w:sz="4" w:space="0" w:color="auto"/>
              <w:right w:val="single" w:sz="4" w:space="0" w:color="auto"/>
            </w:tcBorders>
            <w:noWrap/>
            <w:vAlign w:val="center"/>
            <w:hideMark/>
          </w:tcPr>
          <w:p w14:paraId="20E5FBB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1.12</w:t>
            </w:r>
          </w:p>
        </w:tc>
        <w:tc>
          <w:tcPr>
            <w:tcW w:w="630" w:type="dxa"/>
            <w:tcBorders>
              <w:top w:val="nil"/>
              <w:left w:val="nil"/>
              <w:bottom w:val="single" w:sz="4" w:space="0" w:color="auto"/>
              <w:right w:val="single" w:sz="4" w:space="0" w:color="auto"/>
            </w:tcBorders>
            <w:noWrap/>
            <w:vAlign w:val="center"/>
            <w:hideMark/>
          </w:tcPr>
          <w:p w14:paraId="31F5C47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720" w:type="dxa"/>
            <w:tcBorders>
              <w:top w:val="nil"/>
              <w:left w:val="nil"/>
              <w:bottom w:val="single" w:sz="4" w:space="0" w:color="auto"/>
              <w:right w:val="single" w:sz="4" w:space="0" w:color="auto"/>
            </w:tcBorders>
            <w:noWrap/>
            <w:vAlign w:val="center"/>
            <w:hideMark/>
          </w:tcPr>
          <w:p w14:paraId="3C7FCDA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1.08</w:t>
            </w:r>
          </w:p>
        </w:tc>
        <w:tc>
          <w:tcPr>
            <w:tcW w:w="630" w:type="dxa"/>
            <w:tcBorders>
              <w:top w:val="nil"/>
              <w:left w:val="nil"/>
              <w:bottom w:val="single" w:sz="4" w:space="0" w:color="auto"/>
              <w:right w:val="single" w:sz="4" w:space="0" w:color="auto"/>
            </w:tcBorders>
            <w:noWrap/>
            <w:vAlign w:val="center"/>
            <w:hideMark/>
          </w:tcPr>
          <w:p w14:paraId="0E02064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noWrap/>
            <w:vAlign w:val="center"/>
            <w:hideMark/>
          </w:tcPr>
          <w:p w14:paraId="7EB837A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810" w:type="dxa"/>
            <w:tcBorders>
              <w:top w:val="nil"/>
              <w:left w:val="nil"/>
              <w:bottom w:val="single" w:sz="4" w:space="0" w:color="auto"/>
              <w:right w:val="single" w:sz="4" w:space="0" w:color="auto"/>
            </w:tcBorders>
            <w:noWrap/>
            <w:vAlign w:val="center"/>
            <w:hideMark/>
          </w:tcPr>
          <w:p w14:paraId="7C3CA5C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1.03</w:t>
            </w:r>
          </w:p>
        </w:tc>
        <w:tc>
          <w:tcPr>
            <w:tcW w:w="720" w:type="dxa"/>
            <w:tcBorders>
              <w:top w:val="nil"/>
              <w:left w:val="nil"/>
              <w:bottom w:val="single" w:sz="4" w:space="0" w:color="auto"/>
              <w:right w:val="single" w:sz="4" w:space="0" w:color="auto"/>
            </w:tcBorders>
            <w:noWrap/>
            <w:vAlign w:val="center"/>
            <w:hideMark/>
          </w:tcPr>
          <w:p w14:paraId="3DB1FEC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0.65</w:t>
            </w:r>
          </w:p>
        </w:tc>
        <w:tc>
          <w:tcPr>
            <w:tcW w:w="720" w:type="dxa"/>
            <w:tcBorders>
              <w:top w:val="nil"/>
              <w:left w:val="nil"/>
              <w:bottom w:val="single" w:sz="4" w:space="0" w:color="auto"/>
              <w:right w:val="single" w:sz="4" w:space="0" w:color="auto"/>
            </w:tcBorders>
            <w:noWrap/>
            <w:vAlign w:val="center"/>
            <w:hideMark/>
          </w:tcPr>
          <w:p w14:paraId="708890A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0.63</w:t>
            </w:r>
          </w:p>
        </w:tc>
        <w:tc>
          <w:tcPr>
            <w:tcW w:w="810" w:type="dxa"/>
            <w:tcBorders>
              <w:top w:val="nil"/>
              <w:left w:val="nil"/>
              <w:bottom w:val="single" w:sz="4" w:space="0" w:color="auto"/>
              <w:right w:val="single" w:sz="4" w:space="0" w:color="auto"/>
            </w:tcBorders>
            <w:noWrap/>
            <w:vAlign w:val="center"/>
            <w:hideMark/>
          </w:tcPr>
          <w:p w14:paraId="4223425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720" w:type="dxa"/>
            <w:tcBorders>
              <w:top w:val="nil"/>
              <w:left w:val="nil"/>
              <w:bottom w:val="single" w:sz="4" w:space="0" w:color="auto"/>
              <w:right w:val="single" w:sz="4" w:space="0" w:color="auto"/>
            </w:tcBorders>
            <w:noWrap/>
            <w:vAlign w:val="center"/>
            <w:hideMark/>
          </w:tcPr>
          <w:p w14:paraId="5DB6045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0.56</w:t>
            </w:r>
          </w:p>
        </w:tc>
        <w:tc>
          <w:tcPr>
            <w:tcW w:w="630" w:type="dxa"/>
            <w:tcBorders>
              <w:top w:val="nil"/>
              <w:left w:val="nil"/>
              <w:bottom w:val="single" w:sz="4" w:space="0" w:color="auto"/>
              <w:right w:val="single" w:sz="4" w:space="0" w:color="auto"/>
            </w:tcBorders>
            <w:noWrap/>
            <w:vAlign w:val="center"/>
            <w:hideMark/>
          </w:tcPr>
          <w:p w14:paraId="2AD2331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0.78</w:t>
            </w:r>
          </w:p>
        </w:tc>
        <w:tc>
          <w:tcPr>
            <w:tcW w:w="720" w:type="dxa"/>
            <w:tcBorders>
              <w:top w:val="nil"/>
              <w:left w:val="nil"/>
              <w:bottom w:val="single" w:sz="4" w:space="0" w:color="auto"/>
              <w:right w:val="single" w:sz="4" w:space="0" w:color="auto"/>
            </w:tcBorders>
            <w:noWrap/>
            <w:vAlign w:val="center"/>
            <w:hideMark/>
          </w:tcPr>
          <w:p w14:paraId="5CFDA70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r>
      <w:tr w:rsidR="00E10F98" w:rsidRPr="00DB3A2A" w14:paraId="1F292E71"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6454322"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5</w:t>
            </w:r>
          </w:p>
        </w:tc>
        <w:tc>
          <w:tcPr>
            <w:tcW w:w="1105" w:type="dxa"/>
            <w:tcBorders>
              <w:top w:val="nil"/>
              <w:left w:val="nil"/>
              <w:bottom w:val="single" w:sz="4" w:space="0" w:color="auto"/>
              <w:right w:val="single" w:sz="4" w:space="0" w:color="auto"/>
            </w:tcBorders>
            <w:noWrap/>
            <w:vAlign w:val="bottom"/>
            <w:hideMark/>
          </w:tcPr>
          <w:p w14:paraId="0A2D5F4C"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Mat</w:t>
            </w:r>
          </w:p>
        </w:tc>
        <w:tc>
          <w:tcPr>
            <w:tcW w:w="695" w:type="dxa"/>
            <w:tcBorders>
              <w:top w:val="nil"/>
              <w:left w:val="nil"/>
              <w:bottom w:val="single" w:sz="4" w:space="0" w:color="auto"/>
              <w:right w:val="single" w:sz="4" w:space="0" w:color="auto"/>
            </w:tcBorders>
            <w:noWrap/>
            <w:vAlign w:val="center"/>
            <w:hideMark/>
          </w:tcPr>
          <w:p w14:paraId="09ADA85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0.90</w:t>
            </w:r>
          </w:p>
        </w:tc>
        <w:tc>
          <w:tcPr>
            <w:tcW w:w="630" w:type="dxa"/>
            <w:tcBorders>
              <w:top w:val="nil"/>
              <w:left w:val="nil"/>
              <w:bottom w:val="single" w:sz="4" w:space="0" w:color="auto"/>
              <w:right w:val="single" w:sz="4" w:space="0" w:color="auto"/>
            </w:tcBorders>
            <w:noWrap/>
            <w:vAlign w:val="center"/>
            <w:hideMark/>
          </w:tcPr>
          <w:p w14:paraId="661F371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0.91</w:t>
            </w:r>
          </w:p>
        </w:tc>
        <w:tc>
          <w:tcPr>
            <w:tcW w:w="720" w:type="dxa"/>
            <w:tcBorders>
              <w:top w:val="nil"/>
              <w:left w:val="nil"/>
              <w:bottom w:val="single" w:sz="4" w:space="0" w:color="auto"/>
              <w:right w:val="single" w:sz="4" w:space="0" w:color="auto"/>
            </w:tcBorders>
            <w:noWrap/>
            <w:vAlign w:val="center"/>
            <w:hideMark/>
          </w:tcPr>
          <w:p w14:paraId="56915D5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noWrap/>
            <w:vAlign w:val="center"/>
            <w:hideMark/>
          </w:tcPr>
          <w:p w14:paraId="21B7F48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0.98</w:t>
            </w:r>
          </w:p>
        </w:tc>
        <w:tc>
          <w:tcPr>
            <w:tcW w:w="630" w:type="dxa"/>
            <w:tcBorders>
              <w:top w:val="nil"/>
              <w:left w:val="nil"/>
              <w:bottom w:val="single" w:sz="4" w:space="0" w:color="auto"/>
              <w:right w:val="single" w:sz="4" w:space="0" w:color="auto"/>
            </w:tcBorders>
            <w:noWrap/>
            <w:vAlign w:val="center"/>
            <w:hideMark/>
          </w:tcPr>
          <w:p w14:paraId="292DCCC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810" w:type="dxa"/>
            <w:tcBorders>
              <w:top w:val="nil"/>
              <w:left w:val="nil"/>
              <w:bottom w:val="single" w:sz="4" w:space="0" w:color="auto"/>
              <w:right w:val="single" w:sz="4" w:space="0" w:color="auto"/>
            </w:tcBorders>
            <w:noWrap/>
            <w:vAlign w:val="center"/>
            <w:hideMark/>
          </w:tcPr>
          <w:p w14:paraId="5D156B9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1.19</w:t>
            </w:r>
          </w:p>
        </w:tc>
        <w:tc>
          <w:tcPr>
            <w:tcW w:w="720" w:type="dxa"/>
            <w:tcBorders>
              <w:top w:val="nil"/>
              <w:left w:val="nil"/>
              <w:bottom w:val="single" w:sz="4" w:space="0" w:color="auto"/>
              <w:right w:val="single" w:sz="4" w:space="0" w:color="auto"/>
            </w:tcBorders>
            <w:noWrap/>
            <w:vAlign w:val="center"/>
            <w:hideMark/>
          </w:tcPr>
          <w:p w14:paraId="19CD91B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0.79</w:t>
            </w:r>
          </w:p>
        </w:tc>
        <w:tc>
          <w:tcPr>
            <w:tcW w:w="720" w:type="dxa"/>
            <w:tcBorders>
              <w:top w:val="nil"/>
              <w:left w:val="nil"/>
              <w:bottom w:val="single" w:sz="4" w:space="0" w:color="auto"/>
              <w:right w:val="single" w:sz="4" w:space="0" w:color="auto"/>
            </w:tcBorders>
            <w:noWrap/>
            <w:vAlign w:val="center"/>
            <w:hideMark/>
          </w:tcPr>
          <w:p w14:paraId="7E5CF29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810" w:type="dxa"/>
            <w:tcBorders>
              <w:top w:val="nil"/>
              <w:left w:val="nil"/>
              <w:bottom w:val="single" w:sz="4" w:space="0" w:color="auto"/>
              <w:right w:val="single" w:sz="4" w:space="0" w:color="auto"/>
            </w:tcBorders>
            <w:noWrap/>
            <w:vAlign w:val="center"/>
            <w:hideMark/>
          </w:tcPr>
          <w:p w14:paraId="4ED3C9D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1.21</w:t>
            </w:r>
          </w:p>
        </w:tc>
        <w:tc>
          <w:tcPr>
            <w:tcW w:w="720" w:type="dxa"/>
            <w:tcBorders>
              <w:top w:val="nil"/>
              <w:left w:val="nil"/>
              <w:bottom w:val="single" w:sz="4" w:space="0" w:color="auto"/>
              <w:right w:val="single" w:sz="4" w:space="0" w:color="auto"/>
            </w:tcBorders>
            <w:noWrap/>
            <w:vAlign w:val="center"/>
            <w:hideMark/>
          </w:tcPr>
          <w:p w14:paraId="2DF363D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1.14</w:t>
            </w:r>
          </w:p>
        </w:tc>
        <w:tc>
          <w:tcPr>
            <w:tcW w:w="630" w:type="dxa"/>
            <w:tcBorders>
              <w:top w:val="nil"/>
              <w:left w:val="nil"/>
              <w:bottom w:val="single" w:sz="4" w:space="0" w:color="auto"/>
              <w:right w:val="single" w:sz="4" w:space="0" w:color="auto"/>
            </w:tcBorders>
            <w:noWrap/>
            <w:vAlign w:val="center"/>
            <w:hideMark/>
          </w:tcPr>
          <w:p w14:paraId="6D494EE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0.79</w:t>
            </w:r>
          </w:p>
        </w:tc>
        <w:tc>
          <w:tcPr>
            <w:tcW w:w="720" w:type="dxa"/>
            <w:tcBorders>
              <w:top w:val="nil"/>
              <w:left w:val="nil"/>
              <w:bottom w:val="single" w:sz="4" w:space="0" w:color="auto"/>
              <w:right w:val="single" w:sz="4" w:space="0" w:color="auto"/>
            </w:tcBorders>
            <w:noWrap/>
            <w:vAlign w:val="center"/>
            <w:hideMark/>
          </w:tcPr>
          <w:p w14:paraId="30649EB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0.88</w:t>
            </w:r>
          </w:p>
        </w:tc>
      </w:tr>
      <w:tr w:rsidR="00E10F98" w:rsidRPr="00DB3A2A" w14:paraId="65C79F25"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9E770BB"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6</w:t>
            </w:r>
          </w:p>
        </w:tc>
        <w:tc>
          <w:tcPr>
            <w:tcW w:w="1105" w:type="dxa"/>
            <w:tcBorders>
              <w:top w:val="nil"/>
              <w:left w:val="nil"/>
              <w:bottom w:val="single" w:sz="4" w:space="0" w:color="auto"/>
              <w:right w:val="single" w:sz="4" w:space="0" w:color="auto"/>
            </w:tcBorders>
            <w:noWrap/>
            <w:vAlign w:val="bottom"/>
            <w:hideMark/>
          </w:tcPr>
          <w:p w14:paraId="0EDC7AF2"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Raya</w:t>
            </w:r>
          </w:p>
        </w:tc>
        <w:tc>
          <w:tcPr>
            <w:tcW w:w="695" w:type="dxa"/>
            <w:tcBorders>
              <w:top w:val="nil"/>
              <w:left w:val="nil"/>
              <w:bottom w:val="single" w:sz="4" w:space="0" w:color="auto"/>
              <w:right w:val="single" w:sz="4" w:space="0" w:color="auto"/>
            </w:tcBorders>
            <w:noWrap/>
            <w:vAlign w:val="center"/>
            <w:hideMark/>
          </w:tcPr>
          <w:p w14:paraId="3B65548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0.95</w:t>
            </w:r>
          </w:p>
        </w:tc>
        <w:tc>
          <w:tcPr>
            <w:tcW w:w="630" w:type="dxa"/>
            <w:tcBorders>
              <w:top w:val="nil"/>
              <w:left w:val="nil"/>
              <w:bottom w:val="single" w:sz="4" w:space="0" w:color="auto"/>
              <w:right w:val="single" w:sz="4" w:space="0" w:color="auto"/>
            </w:tcBorders>
            <w:noWrap/>
            <w:vAlign w:val="center"/>
            <w:hideMark/>
          </w:tcPr>
          <w:p w14:paraId="39699FB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720" w:type="dxa"/>
            <w:tcBorders>
              <w:top w:val="nil"/>
              <w:left w:val="nil"/>
              <w:bottom w:val="single" w:sz="4" w:space="0" w:color="auto"/>
              <w:right w:val="single" w:sz="4" w:space="0" w:color="auto"/>
            </w:tcBorders>
            <w:noWrap/>
            <w:vAlign w:val="center"/>
            <w:hideMark/>
          </w:tcPr>
          <w:p w14:paraId="2421A21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noWrap/>
            <w:vAlign w:val="center"/>
            <w:hideMark/>
          </w:tcPr>
          <w:p w14:paraId="395478C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0.97</w:t>
            </w:r>
          </w:p>
        </w:tc>
        <w:tc>
          <w:tcPr>
            <w:tcW w:w="630" w:type="dxa"/>
            <w:tcBorders>
              <w:top w:val="nil"/>
              <w:left w:val="nil"/>
              <w:bottom w:val="single" w:sz="4" w:space="0" w:color="auto"/>
              <w:right w:val="single" w:sz="4" w:space="0" w:color="auto"/>
            </w:tcBorders>
            <w:noWrap/>
            <w:vAlign w:val="center"/>
            <w:hideMark/>
          </w:tcPr>
          <w:p w14:paraId="78A9CF51"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1.02</w:t>
            </w:r>
          </w:p>
        </w:tc>
        <w:tc>
          <w:tcPr>
            <w:tcW w:w="810" w:type="dxa"/>
            <w:tcBorders>
              <w:top w:val="nil"/>
              <w:left w:val="nil"/>
              <w:bottom w:val="single" w:sz="4" w:space="0" w:color="auto"/>
              <w:right w:val="single" w:sz="4" w:space="0" w:color="auto"/>
            </w:tcBorders>
            <w:noWrap/>
            <w:vAlign w:val="center"/>
            <w:hideMark/>
          </w:tcPr>
          <w:p w14:paraId="258347A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1.05</w:t>
            </w:r>
          </w:p>
        </w:tc>
        <w:tc>
          <w:tcPr>
            <w:tcW w:w="720" w:type="dxa"/>
            <w:tcBorders>
              <w:top w:val="nil"/>
              <w:left w:val="nil"/>
              <w:bottom w:val="single" w:sz="4" w:space="0" w:color="auto"/>
              <w:right w:val="single" w:sz="4" w:space="0" w:color="auto"/>
            </w:tcBorders>
            <w:noWrap/>
            <w:vAlign w:val="center"/>
            <w:hideMark/>
          </w:tcPr>
          <w:p w14:paraId="38604A1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c>
          <w:tcPr>
            <w:tcW w:w="720" w:type="dxa"/>
            <w:tcBorders>
              <w:top w:val="nil"/>
              <w:left w:val="nil"/>
              <w:bottom w:val="single" w:sz="4" w:space="0" w:color="auto"/>
              <w:right w:val="single" w:sz="4" w:space="0" w:color="auto"/>
            </w:tcBorders>
            <w:noWrap/>
            <w:vAlign w:val="center"/>
            <w:hideMark/>
          </w:tcPr>
          <w:p w14:paraId="6107940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1.27</w:t>
            </w:r>
          </w:p>
        </w:tc>
        <w:tc>
          <w:tcPr>
            <w:tcW w:w="810" w:type="dxa"/>
            <w:tcBorders>
              <w:top w:val="nil"/>
              <w:left w:val="nil"/>
              <w:bottom w:val="single" w:sz="4" w:space="0" w:color="auto"/>
              <w:right w:val="single" w:sz="4" w:space="0" w:color="auto"/>
            </w:tcBorders>
            <w:noWrap/>
            <w:vAlign w:val="center"/>
            <w:hideMark/>
          </w:tcPr>
          <w:p w14:paraId="7AC6761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1.70</w:t>
            </w:r>
          </w:p>
        </w:tc>
        <w:tc>
          <w:tcPr>
            <w:tcW w:w="720" w:type="dxa"/>
            <w:tcBorders>
              <w:top w:val="nil"/>
              <w:left w:val="nil"/>
              <w:bottom w:val="single" w:sz="4" w:space="0" w:color="auto"/>
              <w:right w:val="single" w:sz="4" w:space="0" w:color="auto"/>
            </w:tcBorders>
            <w:noWrap/>
            <w:vAlign w:val="center"/>
            <w:hideMark/>
          </w:tcPr>
          <w:p w14:paraId="2AACDD8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0.69</w:t>
            </w:r>
          </w:p>
        </w:tc>
        <w:tc>
          <w:tcPr>
            <w:tcW w:w="630" w:type="dxa"/>
            <w:tcBorders>
              <w:top w:val="nil"/>
              <w:left w:val="nil"/>
              <w:bottom w:val="single" w:sz="4" w:space="0" w:color="auto"/>
              <w:right w:val="single" w:sz="4" w:space="0" w:color="auto"/>
            </w:tcBorders>
            <w:noWrap/>
            <w:vAlign w:val="center"/>
            <w:hideMark/>
          </w:tcPr>
          <w:p w14:paraId="44BBF62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1.08</w:t>
            </w:r>
          </w:p>
        </w:tc>
        <w:tc>
          <w:tcPr>
            <w:tcW w:w="720" w:type="dxa"/>
            <w:tcBorders>
              <w:top w:val="nil"/>
              <w:left w:val="nil"/>
              <w:bottom w:val="single" w:sz="4" w:space="0" w:color="auto"/>
              <w:right w:val="single" w:sz="4" w:space="0" w:color="auto"/>
            </w:tcBorders>
            <w:noWrap/>
            <w:vAlign w:val="center"/>
            <w:hideMark/>
          </w:tcPr>
          <w:p w14:paraId="79DE71F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1.15</w:t>
            </w:r>
          </w:p>
        </w:tc>
      </w:tr>
      <w:tr w:rsidR="00E10F98" w:rsidRPr="00DB3A2A" w14:paraId="2A5E987D"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36313D1D"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7</w:t>
            </w:r>
          </w:p>
        </w:tc>
        <w:tc>
          <w:tcPr>
            <w:tcW w:w="1105" w:type="dxa"/>
            <w:tcBorders>
              <w:top w:val="nil"/>
              <w:left w:val="nil"/>
              <w:bottom w:val="single" w:sz="4" w:space="0" w:color="auto"/>
              <w:right w:val="single" w:sz="4" w:space="0" w:color="auto"/>
            </w:tcBorders>
            <w:noWrap/>
            <w:vAlign w:val="bottom"/>
            <w:hideMark/>
          </w:tcPr>
          <w:p w14:paraId="1A023FE1"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Baldeo</w:t>
            </w:r>
          </w:p>
        </w:tc>
        <w:tc>
          <w:tcPr>
            <w:tcW w:w="695" w:type="dxa"/>
            <w:tcBorders>
              <w:top w:val="nil"/>
              <w:left w:val="nil"/>
              <w:bottom w:val="single" w:sz="4" w:space="0" w:color="auto"/>
              <w:right w:val="single" w:sz="4" w:space="0" w:color="auto"/>
            </w:tcBorders>
            <w:noWrap/>
            <w:vAlign w:val="center"/>
            <w:hideMark/>
          </w:tcPr>
          <w:p w14:paraId="6359530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630" w:type="dxa"/>
            <w:tcBorders>
              <w:top w:val="nil"/>
              <w:left w:val="nil"/>
              <w:bottom w:val="single" w:sz="4" w:space="0" w:color="auto"/>
              <w:right w:val="single" w:sz="4" w:space="0" w:color="auto"/>
            </w:tcBorders>
            <w:noWrap/>
            <w:vAlign w:val="center"/>
            <w:hideMark/>
          </w:tcPr>
          <w:p w14:paraId="74D25D5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noWrap/>
            <w:vAlign w:val="center"/>
            <w:hideMark/>
          </w:tcPr>
          <w:p w14:paraId="45550A0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0.97</w:t>
            </w:r>
          </w:p>
        </w:tc>
        <w:tc>
          <w:tcPr>
            <w:tcW w:w="630" w:type="dxa"/>
            <w:tcBorders>
              <w:top w:val="nil"/>
              <w:left w:val="nil"/>
              <w:bottom w:val="single" w:sz="4" w:space="0" w:color="auto"/>
              <w:right w:val="single" w:sz="4" w:space="0" w:color="auto"/>
            </w:tcBorders>
            <w:noWrap/>
            <w:vAlign w:val="center"/>
            <w:hideMark/>
          </w:tcPr>
          <w:p w14:paraId="6A6FC7B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1.16</w:t>
            </w:r>
          </w:p>
        </w:tc>
        <w:tc>
          <w:tcPr>
            <w:tcW w:w="630" w:type="dxa"/>
            <w:tcBorders>
              <w:top w:val="nil"/>
              <w:left w:val="nil"/>
              <w:bottom w:val="single" w:sz="4" w:space="0" w:color="auto"/>
              <w:right w:val="single" w:sz="4" w:space="0" w:color="auto"/>
            </w:tcBorders>
            <w:noWrap/>
            <w:vAlign w:val="center"/>
            <w:hideMark/>
          </w:tcPr>
          <w:p w14:paraId="5D4E0216"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1.27</w:t>
            </w:r>
          </w:p>
        </w:tc>
        <w:tc>
          <w:tcPr>
            <w:tcW w:w="810" w:type="dxa"/>
            <w:tcBorders>
              <w:top w:val="nil"/>
              <w:left w:val="nil"/>
              <w:bottom w:val="single" w:sz="4" w:space="0" w:color="auto"/>
              <w:right w:val="single" w:sz="4" w:space="0" w:color="auto"/>
            </w:tcBorders>
            <w:noWrap/>
            <w:vAlign w:val="center"/>
            <w:hideMark/>
          </w:tcPr>
          <w:p w14:paraId="14B2E5D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1.51</w:t>
            </w:r>
          </w:p>
        </w:tc>
        <w:tc>
          <w:tcPr>
            <w:tcW w:w="720" w:type="dxa"/>
            <w:tcBorders>
              <w:top w:val="nil"/>
              <w:left w:val="nil"/>
              <w:bottom w:val="single" w:sz="4" w:space="0" w:color="auto"/>
              <w:right w:val="single" w:sz="4" w:space="0" w:color="auto"/>
            </w:tcBorders>
            <w:noWrap/>
            <w:vAlign w:val="center"/>
            <w:hideMark/>
          </w:tcPr>
          <w:p w14:paraId="2E27B5B5"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1.04</w:t>
            </w:r>
          </w:p>
        </w:tc>
        <w:tc>
          <w:tcPr>
            <w:tcW w:w="720" w:type="dxa"/>
            <w:tcBorders>
              <w:top w:val="nil"/>
              <w:left w:val="nil"/>
              <w:bottom w:val="single" w:sz="4" w:space="0" w:color="auto"/>
              <w:right w:val="single" w:sz="4" w:space="0" w:color="auto"/>
            </w:tcBorders>
            <w:noWrap/>
            <w:vAlign w:val="center"/>
            <w:hideMark/>
          </w:tcPr>
          <w:p w14:paraId="4472A35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1.06</w:t>
            </w:r>
          </w:p>
        </w:tc>
        <w:tc>
          <w:tcPr>
            <w:tcW w:w="810" w:type="dxa"/>
            <w:tcBorders>
              <w:top w:val="nil"/>
              <w:left w:val="nil"/>
              <w:bottom w:val="single" w:sz="4" w:space="0" w:color="auto"/>
              <w:right w:val="single" w:sz="4" w:space="0" w:color="auto"/>
            </w:tcBorders>
            <w:noWrap/>
            <w:vAlign w:val="center"/>
            <w:hideMark/>
          </w:tcPr>
          <w:p w14:paraId="7CF212F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1.13</w:t>
            </w:r>
          </w:p>
        </w:tc>
        <w:tc>
          <w:tcPr>
            <w:tcW w:w="720" w:type="dxa"/>
            <w:tcBorders>
              <w:top w:val="nil"/>
              <w:left w:val="nil"/>
              <w:bottom w:val="single" w:sz="4" w:space="0" w:color="auto"/>
              <w:right w:val="single" w:sz="4" w:space="0" w:color="auto"/>
            </w:tcBorders>
            <w:noWrap/>
            <w:vAlign w:val="center"/>
            <w:hideMark/>
          </w:tcPr>
          <w:p w14:paraId="6DCF0C1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0.53</w:t>
            </w:r>
          </w:p>
        </w:tc>
        <w:tc>
          <w:tcPr>
            <w:tcW w:w="630" w:type="dxa"/>
            <w:tcBorders>
              <w:top w:val="nil"/>
              <w:left w:val="nil"/>
              <w:bottom w:val="single" w:sz="4" w:space="0" w:color="auto"/>
              <w:right w:val="single" w:sz="4" w:space="0" w:color="auto"/>
            </w:tcBorders>
            <w:noWrap/>
            <w:vAlign w:val="center"/>
            <w:hideMark/>
          </w:tcPr>
          <w:p w14:paraId="3B1081C9"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034FE05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0.73</w:t>
            </w:r>
          </w:p>
        </w:tc>
      </w:tr>
      <w:tr w:rsidR="00E10F98" w:rsidRPr="00DB3A2A" w14:paraId="71BDC589"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0A0CCB4F"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8</w:t>
            </w:r>
          </w:p>
        </w:tc>
        <w:tc>
          <w:tcPr>
            <w:tcW w:w="1105" w:type="dxa"/>
            <w:tcBorders>
              <w:top w:val="nil"/>
              <w:left w:val="nil"/>
              <w:bottom w:val="single" w:sz="4" w:space="0" w:color="auto"/>
              <w:right w:val="single" w:sz="4" w:space="0" w:color="auto"/>
            </w:tcBorders>
            <w:noWrap/>
            <w:vAlign w:val="bottom"/>
            <w:hideMark/>
          </w:tcPr>
          <w:p w14:paraId="27E03C4A"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Govardhan</w:t>
            </w:r>
          </w:p>
        </w:tc>
        <w:tc>
          <w:tcPr>
            <w:tcW w:w="695" w:type="dxa"/>
            <w:tcBorders>
              <w:top w:val="nil"/>
              <w:left w:val="nil"/>
              <w:bottom w:val="single" w:sz="4" w:space="0" w:color="auto"/>
              <w:right w:val="single" w:sz="4" w:space="0" w:color="auto"/>
            </w:tcBorders>
            <w:noWrap/>
            <w:vAlign w:val="center"/>
            <w:hideMark/>
          </w:tcPr>
          <w:p w14:paraId="6075AB4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1.16</w:t>
            </w:r>
          </w:p>
        </w:tc>
        <w:tc>
          <w:tcPr>
            <w:tcW w:w="630" w:type="dxa"/>
            <w:tcBorders>
              <w:top w:val="nil"/>
              <w:left w:val="nil"/>
              <w:bottom w:val="single" w:sz="4" w:space="0" w:color="auto"/>
              <w:right w:val="single" w:sz="4" w:space="0" w:color="auto"/>
            </w:tcBorders>
            <w:noWrap/>
            <w:vAlign w:val="center"/>
            <w:hideMark/>
          </w:tcPr>
          <w:p w14:paraId="1D38150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1.38</w:t>
            </w:r>
          </w:p>
        </w:tc>
        <w:tc>
          <w:tcPr>
            <w:tcW w:w="720" w:type="dxa"/>
            <w:tcBorders>
              <w:top w:val="nil"/>
              <w:left w:val="nil"/>
              <w:bottom w:val="single" w:sz="4" w:space="0" w:color="auto"/>
              <w:right w:val="single" w:sz="4" w:space="0" w:color="auto"/>
            </w:tcBorders>
            <w:noWrap/>
            <w:vAlign w:val="center"/>
            <w:hideMark/>
          </w:tcPr>
          <w:p w14:paraId="0B8AEE9B"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1.36</w:t>
            </w:r>
          </w:p>
        </w:tc>
        <w:tc>
          <w:tcPr>
            <w:tcW w:w="630" w:type="dxa"/>
            <w:tcBorders>
              <w:top w:val="nil"/>
              <w:left w:val="nil"/>
              <w:bottom w:val="single" w:sz="4" w:space="0" w:color="auto"/>
              <w:right w:val="single" w:sz="4" w:space="0" w:color="auto"/>
            </w:tcBorders>
            <w:noWrap/>
            <w:vAlign w:val="center"/>
            <w:hideMark/>
          </w:tcPr>
          <w:p w14:paraId="6BF073F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1.30</w:t>
            </w:r>
          </w:p>
        </w:tc>
        <w:tc>
          <w:tcPr>
            <w:tcW w:w="630" w:type="dxa"/>
            <w:tcBorders>
              <w:top w:val="nil"/>
              <w:left w:val="nil"/>
              <w:bottom w:val="single" w:sz="4" w:space="0" w:color="auto"/>
              <w:right w:val="single" w:sz="4" w:space="0" w:color="auto"/>
            </w:tcBorders>
            <w:noWrap/>
            <w:vAlign w:val="center"/>
            <w:hideMark/>
          </w:tcPr>
          <w:p w14:paraId="029DCBC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1.42</w:t>
            </w:r>
          </w:p>
        </w:tc>
        <w:tc>
          <w:tcPr>
            <w:tcW w:w="810" w:type="dxa"/>
            <w:tcBorders>
              <w:top w:val="nil"/>
              <w:left w:val="nil"/>
              <w:bottom w:val="single" w:sz="4" w:space="0" w:color="auto"/>
              <w:right w:val="single" w:sz="4" w:space="0" w:color="auto"/>
            </w:tcBorders>
            <w:noWrap/>
            <w:vAlign w:val="center"/>
            <w:hideMark/>
          </w:tcPr>
          <w:p w14:paraId="7A9EA33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720" w:type="dxa"/>
            <w:tcBorders>
              <w:top w:val="nil"/>
              <w:left w:val="nil"/>
              <w:bottom w:val="single" w:sz="4" w:space="0" w:color="auto"/>
              <w:right w:val="single" w:sz="4" w:space="0" w:color="auto"/>
            </w:tcBorders>
            <w:noWrap/>
            <w:vAlign w:val="center"/>
            <w:hideMark/>
          </w:tcPr>
          <w:p w14:paraId="32E8A211"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0.77</w:t>
            </w:r>
          </w:p>
        </w:tc>
        <w:tc>
          <w:tcPr>
            <w:tcW w:w="720" w:type="dxa"/>
            <w:tcBorders>
              <w:top w:val="nil"/>
              <w:left w:val="nil"/>
              <w:bottom w:val="single" w:sz="4" w:space="0" w:color="auto"/>
              <w:right w:val="single" w:sz="4" w:space="0" w:color="auto"/>
            </w:tcBorders>
            <w:noWrap/>
            <w:vAlign w:val="center"/>
            <w:hideMark/>
          </w:tcPr>
          <w:p w14:paraId="219E475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1.22</w:t>
            </w:r>
          </w:p>
        </w:tc>
        <w:tc>
          <w:tcPr>
            <w:tcW w:w="810" w:type="dxa"/>
            <w:tcBorders>
              <w:top w:val="nil"/>
              <w:left w:val="nil"/>
              <w:bottom w:val="single" w:sz="4" w:space="0" w:color="auto"/>
              <w:right w:val="single" w:sz="4" w:space="0" w:color="auto"/>
            </w:tcBorders>
            <w:noWrap/>
            <w:vAlign w:val="center"/>
            <w:hideMark/>
          </w:tcPr>
          <w:p w14:paraId="50245E7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720" w:type="dxa"/>
            <w:tcBorders>
              <w:top w:val="nil"/>
              <w:left w:val="nil"/>
              <w:bottom w:val="single" w:sz="4" w:space="0" w:color="auto"/>
              <w:right w:val="single" w:sz="4" w:space="0" w:color="auto"/>
            </w:tcBorders>
            <w:noWrap/>
            <w:vAlign w:val="center"/>
            <w:hideMark/>
          </w:tcPr>
          <w:p w14:paraId="1E484D4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0.47</w:t>
            </w:r>
          </w:p>
        </w:tc>
        <w:tc>
          <w:tcPr>
            <w:tcW w:w="630" w:type="dxa"/>
            <w:tcBorders>
              <w:top w:val="nil"/>
              <w:left w:val="nil"/>
              <w:bottom w:val="single" w:sz="4" w:space="0" w:color="auto"/>
              <w:right w:val="single" w:sz="4" w:space="0" w:color="auto"/>
            </w:tcBorders>
            <w:noWrap/>
            <w:vAlign w:val="center"/>
            <w:hideMark/>
          </w:tcPr>
          <w:p w14:paraId="56CA4F8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1.09</w:t>
            </w:r>
          </w:p>
        </w:tc>
        <w:tc>
          <w:tcPr>
            <w:tcW w:w="720" w:type="dxa"/>
            <w:tcBorders>
              <w:top w:val="nil"/>
              <w:left w:val="nil"/>
              <w:bottom w:val="single" w:sz="4" w:space="0" w:color="auto"/>
              <w:right w:val="single" w:sz="4" w:space="0" w:color="auto"/>
            </w:tcBorders>
            <w:noWrap/>
            <w:vAlign w:val="center"/>
            <w:hideMark/>
          </w:tcPr>
          <w:p w14:paraId="2A5AA02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1.07</w:t>
            </w:r>
          </w:p>
        </w:tc>
      </w:tr>
      <w:tr w:rsidR="00E10F98" w:rsidRPr="00DB3A2A" w14:paraId="4FB8056B"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185017C7"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9</w:t>
            </w:r>
          </w:p>
        </w:tc>
        <w:tc>
          <w:tcPr>
            <w:tcW w:w="1105" w:type="dxa"/>
            <w:tcBorders>
              <w:top w:val="nil"/>
              <w:left w:val="nil"/>
              <w:bottom w:val="single" w:sz="4" w:space="0" w:color="auto"/>
              <w:right w:val="single" w:sz="4" w:space="0" w:color="auto"/>
            </w:tcBorders>
            <w:noWrap/>
            <w:vAlign w:val="bottom"/>
            <w:hideMark/>
          </w:tcPr>
          <w:p w14:paraId="53ACDC46"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Mathura</w:t>
            </w:r>
          </w:p>
        </w:tc>
        <w:tc>
          <w:tcPr>
            <w:tcW w:w="695" w:type="dxa"/>
            <w:tcBorders>
              <w:top w:val="nil"/>
              <w:left w:val="nil"/>
              <w:bottom w:val="single" w:sz="4" w:space="0" w:color="auto"/>
              <w:right w:val="single" w:sz="4" w:space="0" w:color="auto"/>
            </w:tcBorders>
            <w:noWrap/>
            <w:vAlign w:val="center"/>
            <w:hideMark/>
          </w:tcPr>
          <w:p w14:paraId="298B3F0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630" w:type="dxa"/>
            <w:tcBorders>
              <w:top w:val="nil"/>
              <w:left w:val="nil"/>
              <w:bottom w:val="single" w:sz="4" w:space="0" w:color="auto"/>
              <w:right w:val="single" w:sz="4" w:space="0" w:color="auto"/>
            </w:tcBorders>
            <w:noWrap/>
            <w:vAlign w:val="center"/>
            <w:hideMark/>
          </w:tcPr>
          <w:p w14:paraId="5DFCA71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0.91</w:t>
            </w:r>
          </w:p>
        </w:tc>
        <w:tc>
          <w:tcPr>
            <w:tcW w:w="720" w:type="dxa"/>
            <w:tcBorders>
              <w:top w:val="nil"/>
              <w:left w:val="nil"/>
              <w:bottom w:val="single" w:sz="4" w:space="0" w:color="auto"/>
              <w:right w:val="single" w:sz="4" w:space="0" w:color="auto"/>
            </w:tcBorders>
            <w:noWrap/>
            <w:vAlign w:val="center"/>
            <w:hideMark/>
          </w:tcPr>
          <w:p w14:paraId="40A3BB4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0.80</w:t>
            </w:r>
          </w:p>
        </w:tc>
        <w:tc>
          <w:tcPr>
            <w:tcW w:w="630" w:type="dxa"/>
            <w:tcBorders>
              <w:top w:val="nil"/>
              <w:left w:val="nil"/>
              <w:bottom w:val="single" w:sz="4" w:space="0" w:color="auto"/>
              <w:right w:val="single" w:sz="4" w:space="0" w:color="auto"/>
            </w:tcBorders>
            <w:noWrap/>
            <w:vAlign w:val="center"/>
            <w:hideMark/>
          </w:tcPr>
          <w:p w14:paraId="6454986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1.56</w:t>
            </w:r>
          </w:p>
        </w:tc>
        <w:tc>
          <w:tcPr>
            <w:tcW w:w="630" w:type="dxa"/>
            <w:tcBorders>
              <w:top w:val="nil"/>
              <w:left w:val="nil"/>
              <w:bottom w:val="single" w:sz="4" w:space="0" w:color="auto"/>
              <w:right w:val="single" w:sz="4" w:space="0" w:color="auto"/>
            </w:tcBorders>
            <w:noWrap/>
            <w:vAlign w:val="center"/>
            <w:hideMark/>
          </w:tcPr>
          <w:p w14:paraId="1C670900"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0.84</w:t>
            </w:r>
          </w:p>
        </w:tc>
        <w:tc>
          <w:tcPr>
            <w:tcW w:w="810" w:type="dxa"/>
            <w:tcBorders>
              <w:top w:val="nil"/>
              <w:left w:val="nil"/>
              <w:bottom w:val="single" w:sz="4" w:space="0" w:color="auto"/>
              <w:right w:val="single" w:sz="4" w:space="0" w:color="auto"/>
            </w:tcBorders>
            <w:noWrap/>
            <w:vAlign w:val="center"/>
            <w:hideMark/>
          </w:tcPr>
          <w:p w14:paraId="37D1023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0.72</w:t>
            </w:r>
          </w:p>
        </w:tc>
        <w:tc>
          <w:tcPr>
            <w:tcW w:w="720" w:type="dxa"/>
            <w:tcBorders>
              <w:top w:val="nil"/>
              <w:left w:val="nil"/>
              <w:bottom w:val="single" w:sz="4" w:space="0" w:color="auto"/>
              <w:right w:val="single" w:sz="4" w:space="0" w:color="auto"/>
            </w:tcBorders>
            <w:noWrap/>
            <w:vAlign w:val="center"/>
            <w:hideMark/>
          </w:tcPr>
          <w:p w14:paraId="684EE12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0.77</w:t>
            </w:r>
          </w:p>
        </w:tc>
        <w:tc>
          <w:tcPr>
            <w:tcW w:w="720" w:type="dxa"/>
            <w:tcBorders>
              <w:top w:val="nil"/>
              <w:left w:val="nil"/>
              <w:bottom w:val="single" w:sz="4" w:space="0" w:color="auto"/>
              <w:right w:val="single" w:sz="4" w:space="0" w:color="auto"/>
            </w:tcBorders>
            <w:noWrap/>
            <w:vAlign w:val="center"/>
            <w:hideMark/>
          </w:tcPr>
          <w:p w14:paraId="35217C73"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1.54</w:t>
            </w:r>
          </w:p>
        </w:tc>
        <w:tc>
          <w:tcPr>
            <w:tcW w:w="810" w:type="dxa"/>
            <w:tcBorders>
              <w:top w:val="nil"/>
              <w:left w:val="nil"/>
              <w:bottom w:val="single" w:sz="4" w:space="0" w:color="auto"/>
              <w:right w:val="single" w:sz="4" w:space="0" w:color="auto"/>
            </w:tcBorders>
            <w:noWrap/>
            <w:vAlign w:val="center"/>
            <w:hideMark/>
          </w:tcPr>
          <w:p w14:paraId="60B02057"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720" w:type="dxa"/>
            <w:tcBorders>
              <w:top w:val="nil"/>
              <w:left w:val="nil"/>
              <w:bottom w:val="single" w:sz="4" w:space="0" w:color="auto"/>
              <w:right w:val="single" w:sz="4" w:space="0" w:color="auto"/>
            </w:tcBorders>
            <w:noWrap/>
            <w:vAlign w:val="center"/>
            <w:hideMark/>
          </w:tcPr>
          <w:p w14:paraId="5FD59E44"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0.60</w:t>
            </w:r>
          </w:p>
        </w:tc>
        <w:tc>
          <w:tcPr>
            <w:tcW w:w="630" w:type="dxa"/>
            <w:tcBorders>
              <w:top w:val="nil"/>
              <w:left w:val="nil"/>
              <w:bottom w:val="single" w:sz="4" w:space="0" w:color="auto"/>
              <w:right w:val="single" w:sz="4" w:space="0" w:color="auto"/>
            </w:tcBorders>
            <w:noWrap/>
            <w:vAlign w:val="center"/>
            <w:hideMark/>
          </w:tcPr>
          <w:p w14:paraId="21258FC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2.22</w:t>
            </w:r>
          </w:p>
        </w:tc>
        <w:tc>
          <w:tcPr>
            <w:tcW w:w="720" w:type="dxa"/>
            <w:tcBorders>
              <w:top w:val="nil"/>
              <w:left w:val="nil"/>
              <w:bottom w:val="single" w:sz="4" w:space="0" w:color="auto"/>
              <w:right w:val="single" w:sz="4" w:space="0" w:color="auto"/>
            </w:tcBorders>
            <w:noWrap/>
            <w:vAlign w:val="center"/>
            <w:hideMark/>
          </w:tcPr>
          <w:p w14:paraId="390A003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1.80</w:t>
            </w:r>
          </w:p>
        </w:tc>
      </w:tr>
      <w:tr w:rsidR="00E10F98" w:rsidRPr="00DB3A2A" w14:paraId="6143E0E7" w14:textId="77777777" w:rsidTr="00E10F98">
        <w:trPr>
          <w:trHeight w:val="60"/>
        </w:trPr>
        <w:tc>
          <w:tcPr>
            <w:tcW w:w="553" w:type="dxa"/>
            <w:tcBorders>
              <w:top w:val="nil"/>
              <w:left w:val="single" w:sz="4" w:space="0" w:color="auto"/>
              <w:bottom w:val="single" w:sz="4" w:space="0" w:color="auto"/>
              <w:right w:val="single" w:sz="4" w:space="0" w:color="auto"/>
            </w:tcBorders>
            <w:noWrap/>
            <w:vAlign w:val="bottom"/>
            <w:hideMark/>
          </w:tcPr>
          <w:p w14:paraId="61B4AADE" w14:textId="77777777" w:rsidR="00E10F98" w:rsidRPr="00DB3A2A" w:rsidRDefault="00E10F98" w:rsidP="00E10F98">
            <w:pPr>
              <w:spacing w:after="0" w:line="240" w:lineRule="auto"/>
              <w:jc w:val="right"/>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w:t>
            </w:r>
          </w:p>
        </w:tc>
        <w:tc>
          <w:tcPr>
            <w:tcW w:w="1105" w:type="dxa"/>
            <w:tcBorders>
              <w:top w:val="nil"/>
              <w:left w:val="nil"/>
              <w:bottom w:val="single" w:sz="4" w:space="0" w:color="auto"/>
              <w:right w:val="single" w:sz="4" w:space="0" w:color="auto"/>
            </w:tcBorders>
            <w:noWrap/>
            <w:vAlign w:val="bottom"/>
            <w:hideMark/>
          </w:tcPr>
          <w:p w14:paraId="6B0BEE0C" w14:textId="77777777" w:rsidR="00E10F98" w:rsidRPr="00DB3A2A" w:rsidRDefault="00E10F98" w:rsidP="00E10F98">
            <w:pPr>
              <w:spacing w:after="0" w:line="240" w:lineRule="auto"/>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Farah</w:t>
            </w:r>
          </w:p>
        </w:tc>
        <w:tc>
          <w:tcPr>
            <w:tcW w:w="695" w:type="dxa"/>
            <w:tcBorders>
              <w:top w:val="nil"/>
              <w:left w:val="nil"/>
              <w:bottom w:val="single" w:sz="4" w:space="0" w:color="auto"/>
              <w:right w:val="single" w:sz="4" w:space="0" w:color="auto"/>
            </w:tcBorders>
            <w:noWrap/>
            <w:vAlign w:val="center"/>
            <w:hideMark/>
          </w:tcPr>
          <w:p w14:paraId="43B835A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0.94</w:t>
            </w:r>
          </w:p>
        </w:tc>
        <w:tc>
          <w:tcPr>
            <w:tcW w:w="630" w:type="dxa"/>
            <w:tcBorders>
              <w:top w:val="nil"/>
              <w:left w:val="nil"/>
              <w:bottom w:val="single" w:sz="4" w:space="0" w:color="auto"/>
              <w:right w:val="single" w:sz="4" w:space="0" w:color="auto"/>
            </w:tcBorders>
            <w:noWrap/>
            <w:vAlign w:val="center"/>
            <w:hideMark/>
          </w:tcPr>
          <w:p w14:paraId="0CEFF64F"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0.82</w:t>
            </w:r>
          </w:p>
        </w:tc>
        <w:tc>
          <w:tcPr>
            <w:tcW w:w="720" w:type="dxa"/>
            <w:tcBorders>
              <w:top w:val="nil"/>
              <w:left w:val="nil"/>
              <w:bottom w:val="single" w:sz="4" w:space="0" w:color="auto"/>
              <w:right w:val="single" w:sz="4" w:space="0" w:color="auto"/>
            </w:tcBorders>
            <w:noWrap/>
            <w:vAlign w:val="center"/>
            <w:hideMark/>
          </w:tcPr>
          <w:p w14:paraId="6CC8DA9C"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0.89</w:t>
            </w:r>
          </w:p>
        </w:tc>
        <w:tc>
          <w:tcPr>
            <w:tcW w:w="630" w:type="dxa"/>
            <w:tcBorders>
              <w:top w:val="nil"/>
              <w:left w:val="nil"/>
              <w:bottom w:val="single" w:sz="4" w:space="0" w:color="auto"/>
              <w:right w:val="single" w:sz="4" w:space="0" w:color="auto"/>
            </w:tcBorders>
            <w:noWrap/>
            <w:vAlign w:val="center"/>
            <w:hideMark/>
          </w:tcPr>
          <w:p w14:paraId="70778F6D"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1.47</w:t>
            </w:r>
          </w:p>
        </w:tc>
        <w:tc>
          <w:tcPr>
            <w:tcW w:w="630" w:type="dxa"/>
            <w:tcBorders>
              <w:top w:val="nil"/>
              <w:left w:val="nil"/>
              <w:bottom w:val="single" w:sz="4" w:space="0" w:color="auto"/>
              <w:right w:val="single" w:sz="4" w:space="0" w:color="auto"/>
            </w:tcBorders>
            <w:noWrap/>
            <w:vAlign w:val="center"/>
            <w:hideMark/>
          </w:tcPr>
          <w:p w14:paraId="35C6331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0.81</w:t>
            </w:r>
          </w:p>
        </w:tc>
        <w:tc>
          <w:tcPr>
            <w:tcW w:w="810" w:type="dxa"/>
            <w:tcBorders>
              <w:top w:val="nil"/>
              <w:left w:val="nil"/>
              <w:bottom w:val="single" w:sz="4" w:space="0" w:color="auto"/>
              <w:right w:val="single" w:sz="4" w:space="0" w:color="auto"/>
            </w:tcBorders>
            <w:noWrap/>
            <w:vAlign w:val="center"/>
            <w:hideMark/>
          </w:tcPr>
          <w:p w14:paraId="0FA217B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0.99</w:t>
            </w:r>
          </w:p>
        </w:tc>
        <w:tc>
          <w:tcPr>
            <w:tcW w:w="720" w:type="dxa"/>
            <w:tcBorders>
              <w:top w:val="nil"/>
              <w:left w:val="nil"/>
              <w:bottom w:val="single" w:sz="4" w:space="0" w:color="auto"/>
              <w:right w:val="single" w:sz="4" w:space="0" w:color="auto"/>
            </w:tcBorders>
            <w:noWrap/>
            <w:vAlign w:val="center"/>
            <w:hideMark/>
          </w:tcPr>
          <w:p w14:paraId="5874FA68"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0.93</w:t>
            </w:r>
          </w:p>
        </w:tc>
        <w:tc>
          <w:tcPr>
            <w:tcW w:w="720" w:type="dxa"/>
            <w:tcBorders>
              <w:top w:val="nil"/>
              <w:left w:val="nil"/>
              <w:bottom w:val="single" w:sz="4" w:space="0" w:color="auto"/>
              <w:right w:val="single" w:sz="4" w:space="0" w:color="auto"/>
            </w:tcBorders>
            <w:noWrap/>
            <w:vAlign w:val="center"/>
            <w:hideMark/>
          </w:tcPr>
          <w:p w14:paraId="1AB75EB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1.17</w:t>
            </w:r>
          </w:p>
        </w:tc>
        <w:tc>
          <w:tcPr>
            <w:tcW w:w="810" w:type="dxa"/>
            <w:tcBorders>
              <w:top w:val="nil"/>
              <w:left w:val="nil"/>
              <w:bottom w:val="single" w:sz="4" w:space="0" w:color="auto"/>
              <w:right w:val="single" w:sz="4" w:space="0" w:color="auto"/>
            </w:tcBorders>
            <w:noWrap/>
            <w:vAlign w:val="center"/>
            <w:hideMark/>
          </w:tcPr>
          <w:p w14:paraId="07B8904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0.85</w:t>
            </w:r>
          </w:p>
        </w:tc>
        <w:tc>
          <w:tcPr>
            <w:tcW w:w="720" w:type="dxa"/>
            <w:tcBorders>
              <w:top w:val="nil"/>
              <w:left w:val="nil"/>
              <w:bottom w:val="single" w:sz="4" w:space="0" w:color="auto"/>
              <w:right w:val="single" w:sz="4" w:space="0" w:color="auto"/>
            </w:tcBorders>
            <w:noWrap/>
            <w:vAlign w:val="center"/>
            <w:hideMark/>
          </w:tcPr>
          <w:p w14:paraId="4E82F34A"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0.70</w:t>
            </w:r>
          </w:p>
        </w:tc>
        <w:tc>
          <w:tcPr>
            <w:tcW w:w="630" w:type="dxa"/>
            <w:tcBorders>
              <w:top w:val="nil"/>
              <w:left w:val="nil"/>
              <w:bottom w:val="single" w:sz="4" w:space="0" w:color="auto"/>
              <w:right w:val="single" w:sz="4" w:space="0" w:color="auto"/>
            </w:tcBorders>
            <w:noWrap/>
            <w:vAlign w:val="center"/>
            <w:hideMark/>
          </w:tcPr>
          <w:p w14:paraId="10BC4A62"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1.09</w:t>
            </w:r>
          </w:p>
        </w:tc>
        <w:tc>
          <w:tcPr>
            <w:tcW w:w="720" w:type="dxa"/>
            <w:tcBorders>
              <w:top w:val="nil"/>
              <w:left w:val="nil"/>
              <w:bottom w:val="single" w:sz="4" w:space="0" w:color="auto"/>
              <w:right w:val="single" w:sz="4" w:space="0" w:color="auto"/>
            </w:tcBorders>
            <w:noWrap/>
            <w:vAlign w:val="center"/>
            <w:hideMark/>
          </w:tcPr>
          <w:p w14:paraId="227E45AE" w14:textId="77777777" w:rsidR="00E10F98" w:rsidRPr="00DB3A2A" w:rsidRDefault="00E10F98" w:rsidP="00E10F98">
            <w:pPr>
              <w:spacing w:after="0" w:line="240" w:lineRule="auto"/>
              <w:jc w:val="center"/>
              <w:rPr>
                <w:rFonts w:ascii="Times New Roman" w:eastAsia="Times New Roman" w:hAnsi="Times New Roman" w:cs="Times New Roman"/>
                <w:color w:val="000000"/>
                <w:sz w:val="20"/>
                <w:szCs w:val="20"/>
                <w:lang w:bidi="hi-IN"/>
              </w:rPr>
            </w:pPr>
            <w:r w:rsidRPr="00DB3A2A">
              <w:rPr>
                <w:rFonts w:ascii="Times New Roman" w:eastAsia="Times New Roman" w:hAnsi="Times New Roman" w:cs="Times New Roman"/>
                <w:color w:val="000000"/>
                <w:sz w:val="20"/>
                <w:szCs w:val="20"/>
                <w:lang w:bidi="hi-IN"/>
              </w:rPr>
              <w:t>0.95</w:t>
            </w:r>
          </w:p>
        </w:tc>
      </w:tr>
    </w:tbl>
    <w:p w14:paraId="0417DCB5"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27AB69D"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58BC7AFA" w14:textId="77777777" w:rsidR="00E10F98" w:rsidRDefault="00E10F98" w:rsidP="00E10F98">
      <w:pPr>
        <w:tabs>
          <w:tab w:val="left" w:pos="1402"/>
        </w:tabs>
      </w:pPr>
      <w:r>
        <w:rPr>
          <w:b/>
          <w:noProof/>
          <w:lang w:bidi="hi-IN"/>
        </w:rPr>
        <w:lastRenderedPageBreak/>
        <w:drawing>
          <wp:anchor distT="0" distB="0" distL="114300" distR="114300" simplePos="0" relativeHeight="251705344" behindDoc="1" locked="0" layoutInCell="1" allowOverlap="1" wp14:anchorId="28D6E428" wp14:editId="56FBAA1F">
            <wp:simplePos x="0" y="0"/>
            <wp:positionH relativeFrom="column">
              <wp:posOffset>-380365</wp:posOffset>
            </wp:positionH>
            <wp:positionV relativeFrom="paragraph">
              <wp:posOffset>220980</wp:posOffset>
            </wp:positionV>
            <wp:extent cx="4046855" cy="3210560"/>
            <wp:effectExtent l="57150" t="38100" r="29845" b="27940"/>
            <wp:wrapTight wrapText="bothSides">
              <wp:wrapPolygon edited="0">
                <wp:start x="-305" y="-256"/>
                <wp:lineTo x="-305" y="21788"/>
                <wp:lineTo x="21759" y="21788"/>
                <wp:lineTo x="21759" y="-256"/>
                <wp:lineTo x="-305" y="-256"/>
              </wp:wrapPolygon>
            </wp:wrapTight>
            <wp:docPr id="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046855" cy="3210560"/>
                    </a:xfrm>
                    <a:prstGeom prst="rect">
                      <a:avLst/>
                    </a:prstGeom>
                    <a:noFill/>
                    <a:ln w="38100" cmpd="dbl">
                      <a:solidFill>
                        <a:srgbClr val="000000"/>
                      </a:solidFill>
                      <a:miter lim="800000"/>
                      <a:headEnd/>
                      <a:tailEnd/>
                    </a:ln>
                  </pic:spPr>
                </pic:pic>
              </a:graphicData>
            </a:graphic>
          </wp:anchor>
        </w:drawing>
      </w:r>
      <w:r w:rsidR="0074696E">
        <w:rPr>
          <w:b/>
        </w:rPr>
        <w:t xml:space="preserve">     </w:t>
      </w:r>
      <w:r w:rsidRPr="00356EDC">
        <w:rPr>
          <w:b/>
        </w:rPr>
        <w:t>LOCATION OF MATRURA DISTRICT WITH</w:t>
      </w:r>
      <w:r>
        <w:rPr>
          <w:b/>
        </w:rPr>
        <w:t xml:space="preserve"> </w:t>
      </w:r>
      <w:r w:rsidRPr="00356EDC">
        <w:rPr>
          <w:b/>
        </w:rPr>
        <w:t>IN INDIA</w:t>
      </w:r>
    </w:p>
    <w:p w14:paraId="51C6AFC5" w14:textId="77777777" w:rsidR="00E10F98" w:rsidRPr="00ED3EAD" w:rsidRDefault="00E10F98" w:rsidP="00E10F98">
      <w:pPr>
        <w:rPr>
          <w:rFonts w:ascii="Times New Roman" w:hAnsi="Times New Roman" w:cs="Times New Roman"/>
          <w:sz w:val="24"/>
          <w:szCs w:val="24"/>
        </w:rPr>
      </w:pPr>
    </w:p>
    <w:p w14:paraId="4E52086F"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3C1A6B6F"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5C984462"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5884533E"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677A6416"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5D5E95C7"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10A4E1D1"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077BF55"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CF3E065"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2F4453B"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1010A74D" w14:textId="77777777" w:rsidR="00E10F98" w:rsidRDefault="00645644"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w14:anchorId="0FBA4E11">
          <v:shape id="_x0000_s1057" type="#_x0000_t202" style="position:absolute;left:0;text-align:left;margin-left:-208.7pt;margin-top:17.35pt;width:51.95pt;height:21.1pt;z-index:251708416;mso-width-relative:margin;mso-height-relative:margin" strokecolor="white [3212]">
            <v:textbox style="mso-next-textbox:#_x0000_s1057">
              <w:txbxContent>
                <w:p w14:paraId="5243BC2F" w14:textId="77777777" w:rsidR="00A40E6F" w:rsidRPr="0074696E" w:rsidRDefault="00A40E6F" w:rsidP="0074696E">
                  <w:pPr>
                    <w:jc w:val="center"/>
                    <w:rPr>
                      <w:sz w:val="18"/>
                      <w:szCs w:val="18"/>
                    </w:rPr>
                  </w:pPr>
                  <w:r w:rsidRPr="0074696E">
                    <w:rPr>
                      <w:sz w:val="18"/>
                      <w:szCs w:val="18"/>
                    </w:rPr>
                    <w:t>Fig.1</w:t>
                  </w:r>
                </w:p>
              </w:txbxContent>
            </v:textbox>
          </v:shape>
        </w:pict>
      </w:r>
    </w:p>
    <w:p w14:paraId="69EEF7A8" w14:textId="77777777" w:rsidR="0074696E" w:rsidRDefault="0074696E" w:rsidP="00E10F98">
      <w:pPr>
        <w:tabs>
          <w:tab w:val="left" w:pos="4152"/>
        </w:tabs>
        <w:spacing w:after="0" w:line="360" w:lineRule="auto"/>
        <w:jc w:val="both"/>
        <w:rPr>
          <w:rFonts w:ascii="Times New Roman" w:hAnsi="Times New Roman" w:cs="Times New Roman"/>
          <w:sz w:val="24"/>
          <w:szCs w:val="24"/>
        </w:rPr>
      </w:pPr>
    </w:p>
    <w:p w14:paraId="0F9FDB33" w14:textId="77777777" w:rsidR="00E10F98" w:rsidRPr="0074696E" w:rsidRDefault="00E10F98" w:rsidP="00E10F98">
      <w:pPr>
        <w:tabs>
          <w:tab w:val="left" w:pos="4152"/>
        </w:tabs>
        <w:spacing w:after="0" w:line="360" w:lineRule="auto"/>
        <w:jc w:val="both"/>
        <w:rPr>
          <w:rFonts w:ascii="Times New Roman" w:hAnsi="Times New Roman" w:cs="Times New Roman"/>
          <w:sz w:val="4"/>
          <w:szCs w:val="4"/>
        </w:rPr>
      </w:pPr>
    </w:p>
    <w:p w14:paraId="02A8EDFA" w14:textId="77777777" w:rsidR="00E10F98" w:rsidRDefault="00645644"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w14:anchorId="79519DBE">
          <v:shape id="_x0000_s1054" type="#_x0000_t202" style="position:absolute;left:0;text-align:left;margin-left:91.3pt;margin-top:127.1pt;width:45.85pt;height:20.65pt;z-index:251707392;mso-width-relative:margin;mso-height-relative:margin" strokecolor="white [3212]">
            <v:textbox style="mso-next-textbox:#_x0000_s1054">
              <w:txbxContent>
                <w:p w14:paraId="44E2B429" w14:textId="77777777" w:rsidR="00A40E6F" w:rsidRPr="0074696E" w:rsidRDefault="00A40E6F" w:rsidP="0074696E">
                  <w:pPr>
                    <w:jc w:val="center"/>
                    <w:rPr>
                      <w:sz w:val="18"/>
                      <w:szCs w:val="18"/>
                    </w:rPr>
                  </w:pPr>
                  <w:r w:rsidRPr="0074696E">
                    <w:rPr>
                      <w:sz w:val="18"/>
                      <w:szCs w:val="18"/>
                    </w:rPr>
                    <w:t>Fig. 2</w:t>
                  </w:r>
                </w:p>
              </w:txbxContent>
            </v:textbox>
          </v:shape>
        </w:pict>
      </w:r>
      <w:r w:rsidR="0074696E" w:rsidRPr="0074696E">
        <w:rPr>
          <w:rFonts w:ascii="Times New Roman" w:hAnsi="Times New Roman" w:cs="Times New Roman"/>
          <w:noProof/>
          <w:sz w:val="24"/>
          <w:szCs w:val="24"/>
          <w:lang w:bidi="hi-IN"/>
        </w:rPr>
        <w:drawing>
          <wp:inline distT="0" distB="0" distL="0" distR="0" wp14:anchorId="4B1D6B5F" wp14:editId="105BEFC9">
            <wp:extent cx="2852945" cy="1602353"/>
            <wp:effectExtent l="0" t="0" r="0" b="0"/>
            <wp:docPr id="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BE3702" w14:textId="77777777" w:rsidR="00E10F98" w:rsidRPr="00CA2F1F" w:rsidRDefault="00E10F98" w:rsidP="00E10F98">
      <w:pPr>
        <w:tabs>
          <w:tab w:val="left" w:pos="4152"/>
        </w:tabs>
        <w:spacing w:after="0" w:line="360" w:lineRule="auto"/>
        <w:jc w:val="both"/>
        <w:rPr>
          <w:rFonts w:ascii="Times New Roman" w:hAnsi="Times New Roman" w:cs="Times New Roman"/>
          <w:sz w:val="20"/>
          <w:szCs w:val="20"/>
        </w:rPr>
      </w:pPr>
    </w:p>
    <w:p w14:paraId="0D51217F" w14:textId="77777777" w:rsidR="00E10F98" w:rsidRDefault="00645644"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w14:anchorId="028C3582">
          <v:shape id="_x0000_s1053" type="#_x0000_t202" style="position:absolute;left:0;text-align:left;margin-left:91.3pt;margin-top:122.6pt;width:40.8pt;height:20.1pt;z-index:251706368;mso-width-relative:margin;mso-height-relative:margin" strokecolor="white [3212]">
            <v:textbox style="mso-next-textbox:#_x0000_s1053">
              <w:txbxContent>
                <w:p w14:paraId="018FF007" w14:textId="77777777" w:rsidR="00A40E6F" w:rsidRPr="0074696E" w:rsidRDefault="00A40E6F" w:rsidP="0074696E">
                  <w:pPr>
                    <w:jc w:val="center"/>
                    <w:rPr>
                      <w:sz w:val="18"/>
                      <w:szCs w:val="18"/>
                    </w:rPr>
                  </w:pPr>
                  <w:r w:rsidRPr="0074696E">
                    <w:rPr>
                      <w:sz w:val="18"/>
                      <w:szCs w:val="18"/>
                    </w:rPr>
                    <w:t>Fig. 3</w:t>
                  </w:r>
                </w:p>
              </w:txbxContent>
            </v:textbox>
          </v:shape>
        </w:pict>
      </w:r>
      <w:r w:rsidR="0074696E" w:rsidRPr="0074696E">
        <w:rPr>
          <w:rFonts w:ascii="Times New Roman" w:hAnsi="Times New Roman" w:cs="Times New Roman"/>
          <w:noProof/>
          <w:sz w:val="24"/>
          <w:szCs w:val="24"/>
          <w:lang w:bidi="hi-IN"/>
        </w:rPr>
        <w:drawing>
          <wp:inline distT="0" distB="0" distL="0" distR="0" wp14:anchorId="57ED5CAB" wp14:editId="4808FEEA">
            <wp:extent cx="2850460" cy="1534298"/>
            <wp:effectExtent l="19050" t="0" r="26090" b="8752"/>
            <wp:docPr id="2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7EC07A" w14:textId="77777777" w:rsidR="00E10F98" w:rsidRDefault="00E10F98" w:rsidP="00E10F98">
      <w:pPr>
        <w:tabs>
          <w:tab w:val="left" w:pos="4152"/>
        </w:tabs>
        <w:spacing w:after="0" w:line="360" w:lineRule="auto"/>
        <w:jc w:val="both"/>
        <w:rPr>
          <w:rFonts w:ascii="Times New Roman" w:hAnsi="Times New Roman" w:cs="Times New Roman"/>
          <w:sz w:val="24"/>
          <w:szCs w:val="24"/>
        </w:rPr>
      </w:pPr>
    </w:p>
    <w:p w14:paraId="25AB0321" w14:textId="77777777" w:rsidR="00BD6266" w:rsidRDefault="00645644"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bidi="hi-IN"/>
        </w:rPr>
        <w:pict w14:anchorId="1C282BFB">
          <v:shape id="_x0000_s1059" type="#_x0000_t202" style="position:absolute;left:0;text-align:left;margin-left:-145.65pt;margin-top:137.4pt;width:40.15pt;height:20.1pt;z-index:251710464;mso-width-relative:margin;mso-height-relative:margin" strokecolor="white [3212]">
            <v:textbox style="mso-next-textbox:#_x0000_s1059">
              <w:txbxContent>
                <w:p w14:paraId="0791C390" w14:textId="77777777" w:rsidR="00A40E6F" w:rsidRPr="0074696E" w:rsidRDefault="00A40E6F" w:rsidP="0074696E">
                  <w:pPr>
                    <w:jc w:val="center"/>
                    <w:rPr>
                      <w:sz w:val="18"/>
                      <w:szCs w:val="18"/>
                    </w:rPr>
                  </w:pPr>
                  <w:r w:rsidRPr="0074696E">
                    <w:rPr>
                      <w:sz w:val="18"/>
                      <w:szCs w:val="18"/>
                    </w:rPr>
                    <w:t xml:space="preserve">Fig. </w:t>
                  </w:r>
                  <w:r>
                    <w:rPr>
                      <w:sz w:val="18"/>
                      <w:szCs w:val="18"/>
                    </w:rPr>
                    <w:t>4</w:t>
                  </w:r>
                </w:p>
              </w:txbxContent>
            </v:textbox>
          </v:shape>
        </w:pict>
      </w:r>
      <w:r w:rsidR="0074696E" w:rsidRPr="0074696E">
        <w:rPr>
          <w:rFonts w:ascii="Times New Roman" w:hAnsi="Times New Roman" w:cs="Times New Roman"/>
          <w:noProof/>
          <w:sz w:val="24"/>
          <w:szCs w:val="24"/>
          <w:lang w:bidi="hi-IN"/>
        </w:rPr>
        <w:drawing>
          <wp:anchor distT="0" distB="0" distL="114300" distR="114300" simplePos="0" relativeHeight="251709440" behindDoc="0" locked="0" layoutInCell="1" allowOverlap="1" wp14:anchorId="4C2BEEE9" wp14:editId="4C79395C">
            <wp:simplePos x="0" y="0"/>
            <wp:positionH relativeFrom="column">
              <wp:align>left</wp:align>
            </wp:positionH>
            <wp:positionV relativeFrom="paragraph">
              <wp:align>top</wp:align>
            </wp:positionV>
            <wp:extent cx="2850460" cy="1692357"/>
            <wp:effectExtent l="19050" t="0" r="26090" b="3093"/>
            <wp:wrapSquare wrapText="bothSides"/>
            <wp:docPr id="2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CA3D7BD" w14:textId="77777777" w:rsidR="00BD6266" w:rsidRPr="00BD6266" w:rsidRDefault="00BD6266" w:rsidP="00BD6266">
      <w:pPr>
        <w:rPr>
          <w:rFonts w:ascii="Times New Roman" w:hAnsi="Times New Roman" w:cs="Times New Roman"/>
          <w:sz w:val="24"/>
          <w:szCs w:val="24"/>
        </w:rPr>
      </w:pPr>
    </w:p>
    <w:p w14:paraId="249843D4" w14:textId="77777777" w:rsidR="00BD6266" w:rsidRPr="00BD6266" w:rsidRDefault="00BD6266" w:rsidP="00BD6266">
      <w:pPr>
        <w:rPr>
          <w:rFonts w:ascii="Times New Roman" w:hAnsi="Times New Roman" w:cs="Times New Roman"/>
          <w:sz w:val="24"/>
          <w:szCs w:val="24"/>
        </w:rPr>
      </w:pPr>
    </w:p>
    <w:p w14:paraId="006EF183" w14:textId="77777777" w:rsidR="00BD6266" w:rsidRPr="00BD6266" w:rsidRDefault="00BD6266" w:rsidP="00BD6266">
      <w:pPr>
        <w:rPr>
          <w:rFonts w:ascii="Times New Roman" w:hAnsi="Times New Roman" w:cs="Times New Roman"/>
          <w:sz w:val="24"/>
          <w:szCs w:val="24"/>
        </w:rPr>
      </w:pPr>
    </w:p>
    <w:p w14:paraId="3B33EBBB" w14:textId="77777777" w:rsidR="00BD6266" w:rsidRDefault="00BD6266" w:rsidP="00E10F98">
      <w:pPr>
        <w:tabs>
          <w:tab w:val="left" w:pos="4152"/>
        </w:tabs>
        <w:spacing w:after="0" w:line="360" w:lineRule="auto"/>
        <w:jc w:val="both"/>
        <w:rPr>
          <w:rFonts w:ascii="Times New Roman" w:hAnsi="Times New Roman" w:cs="Times New Roman"/>
          <w:sz w:val="24"/>
          <w:szCs w:val="24"/>
        </w:rPr>
      </w:pPr>
    </w:p>
    <w:p w14:paraId="51E7472A" w14:textId="77777777" w:rsidR="00BD6266" w:rsidRDefault="00BD6266" w:rsidP="00E10F98">
      <w:pPr>
        <w:tabs>
          <w:tab w:val="left" w:pos="4152"/>
        </w:tabs>
        <w:spacing w:after="0" w:line="360" w:lineRule="auto"/>
        <w:jc w:val="both"/>
        <w:rPr>
          <w:rFonts w:ascii="Times New Roman" w:hAnsi="Times New Roman" w:cs="Times New Roman"/>
          <w:sz w:val="24"/>
          <w:szCs w:val="24"/>
        </w:rPr>
      </w:pPr>
    </w:p>
    <w:p w14:paraId="30A20095" w14:textId="77777777" w:rsidR="00E10F98" w:rsidRDefault="00645644" w:rsidP="00E10F98">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lastRenderedPageBreak/>
        <w:pict w14:anchorId="619A5AA8">
          <v:shape id="_x0000_s1026" type="#_x0000_t202" style="position:absolute;left:0;text-align:left;margin-left:59.1pt;margin-top:24.15pt;width:344.25pt;height:21.45pt;z-index:251662336;mso-width-relative:margin;mso-height-relative:margin">
            <v:textbox style="mso-next-textbox:#_x0000_s1026">
              <w:txbxContent>
                <w:p w14:paraId="189C0C9B" w14:textId="77777777" w:rsidR="00A40E6F" w:rsidRPr="00CA2F1F" w:rsidRDefault="00A40E6F" w:rsidP="001642C7">
                  <w:pPr>
                    <w:spacing w:after="0" w:line="240" w:lineRule="auto"/>
                    <w:jc w:val="center"/>
                    <w:rPr>
                      <w:rFonts w:ascii="Times New Roman" w:hAnsi="Times New Roman" w:cs="Times New Roman"/>
                      <w:sz w:val="20"/>
                      <w:szCs w:val="20"/>
                    </w:rPr>
                  </w:pPr>
                  <w:r w:rsidRPr="00CA2F1F">
                    <w:rPr>
                      <w:rFonts w:ascii="Times New Roman" w:hAnsi="Times New Roman" w:cs="Times New Roman"/>
                      <w:sz w:val="20"/>
                      <w:szCs w:val="20"/>
                    </w:rPr>
                    <w:t>Mathura District</w:t>
                  </w:r>
                  <w:r>
                    <w:rPr>
                      <w:rFonts w:ascii="Times New Roman" w:hAnsi="Times New Roman" w:cs="Times New Roman"/>
                      <w:sz w:val="20"/>
                      <w:szCs w:val="20"/>
                    </w:rPr>
                    <w:t xml:space="preserve">: - </w:t>
                  </w:r>
                  <w:r w:rsidRPr="00CA2F1F">
                    <w:rPr>
                      <w:rFonts w:ascii="Times New Roman" w:hAnsi="Times New Roman" w:cs="Times New Roman"/>
                      <w:sz w:val="20"/>
                      <w:szCs w:val="20"/>
                    </w:rPr>
                    <w:t>Location Quotient of Cultivators</w:t>
                  </w:r>
                </w:p>
              </w:txbxContent>
            </v:textbox>
          </v:shape>
        </w:pict>
      </w:r>
      <w:r w:rsidR="0074696E">
        <w:rPr>
          <w:rFonts w:ascii="Times New Roman" w:hAnsi="Times New Roman" w:cs="Times New Roman"/>
          <w:sz w:val="24"/>
          <w:szCs w:val="24"/>
        </w:rPr>
        <w:br w:type="textWrapping" w:clear="all"/>
      </w:r>
    </w:p>
    <w:p w14:paraId="51FD244D" w14:textId="77777777" w:rsidR="005B3277" w:rsidRPr="005B3277" w:rsidRDefault="00645644" w:rsidP="001642C7">
      <w:pPr>
        <w:tabs>
          <w:tab w:val="left" w:pos="4152"/>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w14:anchorId="7994CFDF">
          <v:shape id="_x0000_s1031" type="#_x0000_t202" style="position:absolute;left:0;text-align:left;margin-left:208.2pt;margin-top:-11.3pt;width:40.15pt;height:20.1pt;z-index:251676672;mso-width-relative:margin;mso-height-relative:margin" strokecolor="white [3212]">
            <v:textbox style="mso-next-textbox:#_x0000_s1031">
              <w:txbxContent>
                <w:p w14:paraId="486E2E31" w14:textId="77777777" w:rsidR="00A40E6F" w:rsidRPr="0074696E" w:rsidRDefault="00A40E6F" w:rsidP="00D6404B">
                  <w:pPr>
                    <w:jc w:val="center"/>
                    <w:rPr>
                      <w:sz w:val="18"/>
                      <w:szCs w:val="18"/>
                    </w:rPr>
                  </w:pPr>
                  <w:r w:rsidRPr="0074696E">
                    <w:rPr>
                      <w:sz w:val="18"/>
                      <w:szCs w:val="18"/>
                    </w:rPr>
                    <w:t>Fig. 5</w:t>
                  </w:r>
                </w:p>
              </w:txbxContent>
            </v:textbox>
          </v:shape>
        </w:pict>
      </w:r>
      <w:r w:rsidR="001642C7">
        <w:rPr>
          <w:rFonts w:ascii="Times New Roman" w:hAnsi="Times New Roman" w:cs="Times New Roman"/>
          <w:noProof/>
          <w:sz w:val="24"/>
          <w:szCs w:val="24"/>
          <w:lang w:bidi="hi-IN"/>
        </w:rPr>
        <w:drawing>
          <wp:anchor distT="0" distB="0" distL="114300" distR="114300" simplePos="0" relativeHeight="251699200" behindDoc="1" locked="0" layoutInCell="1" allowOverlap="1" wp14:anchorId="5CF78CFB" wp14:editId="1FE85379">
            <wp:simplePos x="0" y="0"/>
            <wp:positionH relativeFrom="column">
              <wp:posOffset>3900805</wp:posOffset>
            </wp:positionH>
            <wp:positionV relativeFrom="paragraph">
              <wp:posOffset>89535</wp:posOffset>
            </wp:positionV>
            <wp:extent cx="1884045" cy="2374900"/>
            <wp:effectExtent l="19050" t="19050" r="20955" b="25400"/>
            <wp:wrapTight wrapText="bothSides">
              <wp:wrapPolygon edited="0">
                <wp:start x="-218" y="-173"/>
                <wp:lineTo x="-218" y="21831"/>
                <wp:lineTo x="21840" y="21831"/>
                <wp:lineTo x="21840" y="-173"/>
                <wp:lineTo x="-218" y="-173"/>
              </wp:wrapPolygon>
            </wp:wrapTight>
            <wp:docPr id="18" name="Picture 3" descr="C:\Users\pc\Desktop\2011 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2011 cu.jpg"/>
                    <pic:cNvPicPr>
                      <a:picLocks noChangeAspect="1" noChangeArrowheads="1"/>
                    </pic:cNvPicPr>
                  </pic:nvPicPr>
                  <pic:blipFill>
                    <a:blip r:embed="rId13"/>
                    <a:srcRect/>
                    <a:stretch>
                      <a:fillRect/>
                    </a:stretch>
                  </pic:blipFill>
                  <pic:spPr bwMode="auto">
                    <a:xfrm>
                      <a:off x="0" y="0"/>
                      <a:ext cx="1884045" cy="2374900"/>
                    </a:xfrm>
                    <a:prstGeom prst="rect">
                      <a:avLst/>
                    </a:prstGeom>
                    <a:noFill/>
                    <a:ln w="9525">
                      <a:solidFill>
                        <a:schemeClr val="tx1"/>
                      </a:solidFill>
                      <a:prstDash val="solid"/>
                      <a:miter lim="800000"/>
                      <a:headEnd/>
                      <a:tailEnd/>
                    </a:ln>
                  </pic:spPr>
                </pic:pic>
              </a:graphicData>
            </a:graphic>
          </wp:anchor>
        </w:drawing>
      </w:r>
      <w:r w:rsidR="001642C7">
        <w:rPr>
          <w:rFonts w:ascii="Times New Roman" w:hAnsi="Times New Roman" w:cs="Times New Roman"/>
          <w:noProof/>
          <w:sz w:val="24"/>
          <w:szCs w:val="24"/>
          <w:lang w:bidi="hi-IN"/>
        </w:rPr>
        <w:drawing>
          <wp:anchor distT="0" distB="0" distL="114300" distR="114300" simplePos="0" relativeHeight="251698176" behindDoc="1" locked="0" layoutInCell="1" allowOverlap="1" wp14:anchorId="2ED71E14" wp14:editId="0DA9A5EF">
            <wp:simplePos x="0" y="0"/>
            <wp:positionH relativeFrom="column">
              <wp:posOffset>2014220</wp:posOffset>
            </wp:positionH>
            <wp:positionV relativeFrom="paragraph">
              <wp:posOffset>86995</wp:posOffset>
            </wp:positionV>
            <wp:extent cx="1781175" cy="2374900"/>
            <wp:effectExtent l="19050" t="19050" r="28575" b="25400"/>
            <wp:wrapTight wrapText="bothSides">
              <wp:wrapPolygon edited="0">
                <wp:start x="-231" y="-173"/>
                <wp:lineTo x="-231" y="21831"/>
                <wp:lineTo x="21947" y="21831"/>
                <wp:lineTo x="21947" y="-173"/>
                <wp:lineTo x="-231" y="-173"/>
              </wp:wrapPolygon>
            </wp:wrapTight>
            <wp:docPr id="17" name="Picture 2" descr="C:\Users\pc\Desktop\2001 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2001 cu.jpg"/>
                    <pic:cNvPicPr>
                      <a:picLocks noChangeAspect="1" noChangeArrowheads="1"/>
                    </pic:cNvPicPr>
                  </pic:nvPicPr>
                  <pic:blipFill>
                    <a:blip r:embed="rId14"/>
                    <a:srcRect/>
                    <a:stretch>
                      <a:fillRect/>
                    </a:stretch>
                  </pic:blipFill>
                  <pic:spPr bwMode="auto">
                    <a:xfrm>
                      <a:off x="0" y="0"/>
                      <a:ext cx="1781175" cy="2374900"/>
                    </a:xfrm>
                    <a:prstGeom prst="rect">
                      <a:avLst/>
                    </a:prstGeom>
                    <a:noFill/>
                    <a:ln w="9525">
                      <a:solidFill>
                        <a:schemeClr val="tx1"/>
                      </a:solidFill>
                      <a:miter lim="800000"/>
                      <a:headEnd/>
                      <a:tailEnd/>
                    </a:ln>
                  </pic:spPr>
                </pic:pic>
              </a:graphicData>
            </a:graphic>
          </wp:anchor>
        </w:drawing>
      </w:r>
      <w:r w:rsidR="001642C7">
        <w:rPr>
          <w:rFonts w:ascii="Times New Roman" w:hAnsi="Times New Roman" w:cs="Times New Roman"/>
          <w:noProof/>
          <w:sz w:val="24"/>
          <w:szCs w:val="24"/>
          <w:lang w:bidi="hi-IN"/>
        </w:rPr>
        <w:drawing>
          <wp:anchor distT="0" distB="0" distL="114300" distR="114300" simplePos="0" relativeHeight="251697152" behindDoc="1" locked="0" layoutInCell="1" allowOverlap="1" wp14:anchorId="404F6BEF" wp14:editId="41EC8CCF">
            <wp:simplePos x="0" y="0"/>
            <wp:positionH relativeFrom="column">
              <wp:posOffset>106045</wp:posOffset>
            </wp:positionH>
            <wp:positionV relativeFrom="paragraph">
              <wp:posOffset>89535</wp:posOffset>
            </wp:positionV>
            <wp:extent cx="1781175" cy="2374900"/>
            <wp:effectExtent l="19050" t="19050" r="28575" b="25400"/>
            <wp:wrapTight wrapText="bothSides">
              <wp:wrapPolygon edited="0">
                <wp:start x="-231" y="-173"/>
                <wp:lineTo x="-231" y="21831"/>
                <wp:lineTo x="21947" y="21831"/>
                <wp:lineTo x="21947" y="-173"/>
                <wp:lineTo x="-231" y="-173"/>
              </wp:wrapPolygon>
            </wp:wrapTight>
            <wp:docPr id="16" name="Picture 1" descr="C:\Users\pc\Desktop\1991 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1991 cu.png"/>
                    <pic:cNvPicPr>
                      <a:picLocks noChangeAspect="1" noChangeArrowheads="1"/>
                    </pic:cNvPicPr>
                  </pic:nvPicPr>
                  <pic:blipFill>
                    <a:blip r:embed="rId15"/>
                    <a:srcRect/>
                    <a:stretch>
                      <a:fillRect/>
                    </a:stretch>
                  </pic:blipFill>
                  <pic:spPr bwMode="auto">
                    <a:xfrm>
                      <a:off x="0" y="0"/>
                      <a:ext cx="1781175" cy="2374900"/>
                    </a:xfrm>
                    <a:prstGeom prst="rect">
                      <a:avLst/>
                    </a:prstGeom>
                    <a:noFill/>
                    <a:ln w="9525">
                      <a:solidFill>
                        <a:schemeClr val="tx1"/>
                      </a:solidFill>
                      <a:miter lim="800000"/>
                      <a:headEnd/>
                      <a:tailEnd/>
                    </a:ln>
                  </pic:spPr>
                </pic:pic>
              </a:graphicData>
            </a:graphic>
          </wp:anchor>
        </w:drawing>
      </w:r>
      <w:r>
        <w:rPr>
          <w:rFonts w:ascii="Times New Roman" w:hAnsi="Times New Roman" w:cs="Times New Roman"/>
          <w:noProof/>
          <w:sz w:val="24"/>
          <w:szCs w:val="24"/>
          <w:lang w:bidi="hi-IN"/>
        </w:rPr>
        <w:pict w14:anchorId="2AE2CB00">
          <v:shape id="_x0000_s1027" type="#_x0000_t202" style="position:absolute;left:0;text-align:left;margin-left:67pt;margin-top:15.15pt;width:344.25pt;height:20.05pt;z-index:251666432;mso-position-horizontal-relative:text;mso-position-vertical-relative:text;mso-width-relative:margin;mso-height-relative:margin">
            <v:textbox style="mso-next-textbox:#_x0000_s1027">
              <w:txbxContent>
                <w:p w14:paraId="77D4E049" w14:textId="77777777"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 xml:space="preserve">Mathura District: - Location Quotient of Agricultural </w:t>
                  </w:r>
                  <w:proofErr w:type="spellStart"/>
                  <w:r w:rsidRPr="001642C7">
                    <w:rPr>
                      <w:rFonts w:ascii="Times New Roman" w:hAnsi="Times New Roman" w:cs="Times New Roman"/>
                      <w:sz w:val="20"/>
                      <w:szCs w:val="20"/>
                    </w:rPr>
                    <w:t>Labourers</w:t>
                  </w:r>
                  <w:proofErr w:type="spellEnd"/>
                </w:p>
              </w:txbxContent>
            </v:textbox>
          </v:shape>
        </w:pict>
      </w:r>
    </w:p>
    <w:p w14:paraId="77668572" w14:textId="77777777" w:rsidR="001642C7" w:rsidRDefault="001642C7" w:rsidP="005B3277">
      <w:pPr>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65408" behindDoc="1" locked="0" layoutInCell="1" allowOverlap="1" wp14:anchorId="599284C2" wp14:editId="64FBE46F">
            <wp:simplePos x="0" y="0"/>
            <wp:positionH relativeFrom="column">
              <wp:posOffset>4002405</wp:posOffset>
            </wp:positionH>
            <wp:positionV relativeFrom="paragraph">
              <wp:posOffset>213360</wp:posOffset>
            </wp:positionV>
            <wp:extent cx="1851660" cy="2372360"/>
            <wp:effectExtent l="19050" t="19050" r="15240" b="27940"/>
            <wp:wrapTight wrapText="bothSides">
              <wp:wrapPolygon edited="0">
                <wp:start x="-222" y="-173"/>
                <wp:lineTo x="-222" y="21854"/>
                <wp:lineTo x="21778" y="21854"/>
                <wp:lineTo x="21778" y="-173"/>
                <wp:lineTo x="-222" y="-173"/>
              </wp:wrapPolygon>
            </wp:wrapTight>
            <wp:docPr id="6" name="Picture 6" descr="C:\Users\pc\Desktop\201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2011 ag lab.jpg"/>
                    <pic:cNvPicPr>
                      <a:picLocks noChangeAspect="1" noChangeArrowheads="1"/>
                    </pic:cNvPicPr>
                  </pic:nvPicPr>
                  <pic:blipFill>
                    <a:blip r:embed="rId16"/>
                    <a:srcRect/>
                    <a:stretch>
                      <a:fillRect/>
                    </a:stretch>
                  </pic:blipFill>
                  <pic:spPr bwMode="auto">
                    <a:xfrm>
                      <a:off x="0" y="0"/>
                      <a:ext cx="1851660" cy="237236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63360" behindDoc="1" locked="0" layoutInCell="1" allowOverlap="1" wp14:anchorId="2E776DFC" wp14:editId="36C33975">
            <wp:simplePos x="0" y="0"/>
            <wp:positionH relativeFrom="column">
              <wp:posOffset>-5080</wp:posOffset>
            </wp:positionH>
            <wp:positionV relativeFrom="paragraph">
              <wp:posOffset>210820</wp:posOffset>
            </wp:positionV>
            <wp:extent cx="1845945" cy="2374900"/>
            <wp:effectExtent l="19050" t="19050" r="20955" b="25400"/>
            <wp:wrapTight wrapText="bothSides">
              <wp:wrapPolygon edited="0">
                <wp:start x="-223" y="-173"/>
                <wp:lineTo x="-223" y="21831"/>
                <wp:lineTo x="21845" y="21831"/>
                <wp:lineTo x="21845" y="-173"/>
                <wp:lineTo x="-223" y="-173"/>
              </wp:wrapPolygon>
            </wp:wrapTight>
            <wp:docPr id="4" name="Picture 4" descr="C:\Users\pc\Desktop\199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1991 ag lab.jpg"/>
                    <pic:cNvPicPr>
                      <a:picLocks noChangeAspect="1" noChangeArrowheads="1"/>
                    </pic:cNvPicPr>
                  </pic:nvPicPr>
                  <pic:blipFill>
                    <a:blip r:embed="rId17"/>
                    <a:srcRect/>
                    <a:stretch>
                      <a:fillRect/>
                    </a:stretch>
                  </pic:blipFill>
                  <pic:spPr bwMode="auto">
                    <a:xfrm>
                      <a:off x="0" y="0"/>
                      <a:ext cx="1845945" cy="237490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64384" behindDoc="1" locked="0" layoutInCell="1" allowOverlap="1" wp14:anchorId="7A802055" wp14:editId="20654D20">
            <wp:simplePos x="0" y="0"/>
            <wp:positionH relativeFrom="column">
              <wp:posOffset>1993900</wp:posOffset>
            </wp:positionH>
            <wp:positionV relativeFrom="paragraph">
              <wp:posOffset>210820</wp:posOffset>
            </wp:positionV>
            <wp:extent cx="1925320" cy="2377440"/>
            <wp:effectExtent l="19050" t="19050" r="17780" b="22860"/>
            <wp:wrapTight wrapText="bothSides">
              <wp:wrapPolygon edited="0">
                <wp:start x="-214" y="-173"/>
                <wp:lineTo x="-214" y="21808"/>
                <wp:lineTo x="21799" y="21808"/>
                <wp:lineTo x="21799" y="-173"/>
                <wp:lineTo x="-214" y="-173"/>
              </wp:wrapPolygon>
            </wp:wrapTight>
            <wp:docPr id="5" name="Picture 5" descr="C:\Users\pc\Desktop\2001 ag 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2001 ag lab.jpg"/>
                    <pic:cNvPicPr>
                      <a:picLocks noChangeAspect="1" noChangeArrowheads="1"/>
                    </pic:cNvPicPr>
                  </pic:nvPicPr>
                  <pic:blipFill>
                    <a:blip r:embed="rId18"/>
                    <a:srcRect/>
                    <a:stretch>
                      <a:fillRect/>
                    </a:stretch>
                  </pic:blipFill>
                  <pic:spPr bwMode="auto">
                    <a:xfrm>
                      <a:off x="0" y="0"/>
                      <a:ext cx="1925320" cy="2377440"/>
                    </a:xfrm>
                    <a:prstGeom prst="rect">
                      <a:avLst/>
                    </a:prstGeom>
                    <a:noFill/>
                    <a:ln w="9525">
                      <a:solidFill>
                        <a:schemeClr val="tx1"/>
                      </a:solidFill>
                      <a:prstDash val="solid"/>
                      <a:miter lim="800000"/>
                      <a:headEnd/>
                      <a:tailEnd/>
                    </a:ln>
                  </pic:spPr>
                </pic:pic>
              </a:graphicData>
            </a:graphic>
          </wp:anchor>
        </w:drawing>
      </w:r>
    </w:p>
    <w:p w14:paraId="331A60B3" w14:textId="77777777" w:rsidR="001642C7" w:rsidRDefault="001642C7" w:rsidP="005B3277">
      <w:pPr>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67456" behindDoc="1" locked="0" layoutInCell="1" allowOverlap="1" wp14:anchorId="694C7BFF" wp14:editId="363DC865">
            <wp:simplePos x="0" y="0"/>
            <wp:positionH relativeFrom="column">
              <wp:posOffset>44450</wp:posOffset>
            </wp:positionH>
            <wp:positionV relativeFrom="paragraph">
              <wp:posOffset>466725</wp:posOffset>
            </wp:positionV>
            <wp:extent cx="1842770" cy="2369820"/>
            <wp:effectExtent l="19050" t="19050" r="24130" b="11430"/>
            <wp:wrapTight wrapText="bothSides">
              <wp:wrapPolygon edited="0">
                <wp:start x="-223" y="-174"/>
                <wp:lineTo x="-223" y="21704"/>
                <wp:lineTo x="21883" y="21704"/>
                <wp:lineTo x="21883" y="-174"/>
                <wp:lineTo x="-223" y="-174"/>
              </wp:wrapPolygon>
            </wp:wrapTight>
            <wp:docPr id="8" name="Picture 8" descr="C:\Users\pc\Desktop\199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Desktop\1991 hhi.jpg"/>
                    <pic:cNvPicPr>
                      <a:picLocks noChangeAspect="1" noChangeArrowheads="1"/>
                    </pic:cNvPicPr>
                  </pic:nvPicPr>
                  <pic:blipFill>
                    <a:blip r:embed="rId19"/>
                    <a:srcRect/>
                    <a:stretch>
                      <a:fillRect/>
                    </a:stretch>
                  </pic:blipFill>
                  <pic:spPr bwMode="auto">
                    <a:xfrm>
                      <a:off x="0" y="0"/>
                      <a:ext cx="1842770" cy="236982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69504" behindDoc="1" locked="0" layoutInCell="1" allowOverlap="1" wp14:anchorId="7B3D8D99" wp14:editId="036E2EA8">
            <wp:simplePos x="0" y="0"/>
            <wp:positionH relativeFrom="column">
              <wp:posOffset>3978910</wp:posOffset>
            </wp:positionH>
            <wp:positionV relativeFrom="paragraph">
              <wp:posOffset>464185</wp:posOffset>
            </wp:positionV>
            <wp:extent cx="1770380" cy="2369820"/>
            <wp:effectExtent l="38100" t="19050" r="20320" b="11430"/>
            <wp:wrapTight wrapText="bothSides">
              <wp:wrapPolygon edited="0">
                <wp:start x="-465" y="-174"/>
                <wp:lineTo x="-465" y="21704"/>
                <wp:lineTo x="21848" y="21704"/>
                <wp:lineTo x="21848" y="-174"/>
                <wp:lineTo x="-465" y="-174"/>
              </wp:wrapPolygon>
            </wp:wrapTight>
            <wp:docPr id="10" name="Picture 10" descr="C:\Users\pc\Desktop\201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esktop\2011 hhi.jpg"/>
                    <pic:cNvPicPr>
                      <a:picLocks noChangeAspect="1" noChangeArrowheads="1"/>
                    </pic:cNvPicPr>
                  </pic:nvPicPr>
                  <pic:blipFill>
                    <a:blip r:embed="rId20"/>
                    <a:srcRect/>
                    <a:stretch>
                      <a:fillRect/>
                    </a:stretch>
                  </pic:blipFill>
                  <pic:spPr bwMode="auto">
                    <a:xfrm>
                      <a:off x="0" y="0"/>
                      <a:ext cx="1770380" cy="236982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68480" behindDoc="1" locked="0" layoutInCell="1" allowOverlap="1" wp14:anchorId="3500911D" wp14:editId="71CBD435">
            <wp:simplePos x="0" y="0"/>
            <wp:positionH relativeFrom="column">
              <wp:posOffset>1997710</wp:posOffset>
            </wp:positionH>
            <wp:positionV relativeFrom="paragraph">
              <wp:posOffset>464185</wp:posOffset>
            </wp:positionV>
            <wp:extent cx="1868170" cy="2369820"/>
            <wp:effectExtent l="38100" t="19050" r="17780" b="11430"/>
            <wp:wrapTight wrapText="bothSides">
              <wp:wrapPolygon edited="0">
                <wp:start x="-441" y="-174"/>
                <wp:lineTo x="-441" y="21704"/>
                <wp:lineTo x="21806" y="21704"/>
                <wp:lineTo x="21806" y="-174"/>
                <wp:lineTo x="-441" y="-174"/>
              </wp:wrapPolygon>
            </wp:wrapTight>
            <wp:docPr id="9" name="Picture 9" descr="C:\Users\pc\Desktop\2001 h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Desktop\2001 hhi.jpg"/>
                    <pic:cNvPicPr>
                      <a:picLocks noChangeAspect="1" noChangeArrowheads="1"/>
                    </pic:cNvPicPr>
                  </pic:nvPicPr>
                  <pic:blipFill>
                    <a:blip r:embed="rId21"/>
                    <a:srcRect/>
                    <a:stretch>
                      <a:fillRect/>
                    </a:stretch>
                  </pic:blipFill>
                  <pic:spPr bwMode="auto">
                    <a:xfrm>
                      <a:off x="0" y="0"/>
                      <a:ext cx="1868170" cy="2369820"/>
                    </a:xfrm>
                    <a:prstGeom prst="rect">
                      <a:avLst/>
                    </a:prstGeom>
                    <a:noFill/>
                    <a:ln w="9525">
                      <a:solidFill>
                        <a:schemeClr val="tx1"/>
                      </a:solidFill>
                      <a:prstDash val="solid"/>
                      <a:miter lim="800000"/>
                      <a:headEnd/>
                      <a:tailEnd/>
                    </a:ln>
                  </pic:spPr>
                </pic:pic>
              </a:graphicData>
            </a:graphic>
          </wp:anchor>
        </w:drawing>
      </w:r>
      <w:r w:rsidR="00645644">
        <w:rPr>
          <w:rFonts w:ascii="Times New Roman" w:hAnsi="Times New Roman" w:cs="Times New Roman"/>
          <w:noProof/>
          <w:sz w:val="24"/>
          <w:szCs w:val="24"/>
          <w:lang w:bidi="hi-IN"/>
        </w:rPr>
        <w:pict w14:anchorId="3398EAD1">
          <v:shape id="_x0000_s1028" type="#_x0000_t202" style="position:absolute;margin-left:87.45pt;margin-top:15.9pt;width:344.25pt;height:18pt;z-index:251670528;mso-position-horizontal-relative:text;mso-position-vertical-relative:text;mso-width-relative:margin;mso-height-relative:margin">
            <v:textbox style="mso-next-textbox:#_x0000_s1028">
              <w:txbxContent>
                <w:p w14:paraId="5C0508BC" w14:textId="77777777"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Mathura District: -</w:t>
                  </w:r>
                  <w:r>
                    <w:rPr>
                      <w:rFonts w:ascii="Times New Roman" w:hAnsi="Times New Roman" w:cs="Times New Roman"/>
                      <w:sz w:val="20"/>
                      <w:szCs w:val="20"/>
                    </w:rPr>
                    <w:t xml:space="preserve"> </w:t>
                  </w:r>
                  <w:r w:rsidRPr="001642C7">
                    <w:rPr>
                      <w:rFonts w:ascii="Times New Roman" w:hAnsi="Times New Roman" w:cs="Times New Roman"/>
                      <w:sz w:val="20"/>
                      <w:szCs w:val="20"/>
                    </w:rPr>
                    <w:t>Location Quotient of Household Industry Workers</w:t>
                  </w:r>
                </w:p>
              </w:txbxContent>
            </v:textbox>
          </v:shape>
        </w:pict>
      </w:r>
      <w:r w:rsidR="00645644">
        <w:rPr>
          <w:rFonts w:ascii="Times New Roman" w:hAnsi="Times New Roman" w:cs="Times New Roman"/>
          <w:noProof/>
          <w:sz w:val="24"/>
          <w:szCs w:val="24"/>
          <w:lang w:bidi="hi-IN"/>
        </w:rPr>
        <w:pict w14:anchorId="0C752D9E">
          <v:shape id="_x0000_s1032" type="#_x0000_t202" style="position:absolute;margin-left:212.9pt;margin-top:-12.3pt;width:40.15pt;height:20.1pt;z-index:251677696;mso-position-horizontal-relative:text;mso-position-vertical-relative:text;mso-width-relative:margin;mso-height-relative:margin" strokecolor="white [3212]">
            <v:textbox style="mso-next-textbox:#_x0000_s1032">
              <w:txbxContent>
                <w:p w14:paraId="7FDAD952" w14:textId="77777777" w:rsidR="00A40E6F" w:rsidRPr="001642C7" w:rsidRDefault="00A40E6F" w:rsidP="00D6404B">
                  <w:pPr>
                    <w:jc w:val="center"/>
                    <w:rPr>
                      <w:sz w:val="18"/>
                      <w:szCs w:val="18"/>
                    </w:rPr>
                  </w:pPr>
                  <w:r w:rsidRPr="001642C7">
                    <w:rPr>
                      <w:sz w:val="18"/>
                      <w:szCs w:val="18"/>
                    </w:rPr>
                    <w:t>Fig. 6</w:t>
                  </w:r>
                </w:p>
              </w:txbxContent>
            </v:textbox>
          </v:shape>
        </w:pict>
      </w:r>
    </w:p>
    <w:p w14:paraId="15FC774A" w14:textId="77777777" w:rsidR="005B3277" w:rsidRPr="005B3277" w:rsidRDefault="00645644" w:rsidP="005B3277">
      <w:pPr>
        <w:rPr>
          <w:rFonts w:ascii="Times New Roman" w:hAnsi="Times New Roman" w:cs="Times New Roman"/>
          <w:sz w:val="24"/>
          <w:szCs w:val="24"/>
        </w:rPr>
      </w:pPr>
      <w:r>
        <w:rPr>
          <w:rFonts w:ascii="Times New Roman" w:hAnsi="Times New Roman" w:cs="Times New Roman"/>
          <w:sz w:val="24"/>
          <w:szCs w:val="24"/>
        </w:rPr>
        <w:pict w14:anchorId="0663CA23">
          <v:shape id="_x0000_s1033" type="#_x0000_t202" style="position:absolute;margin-left:218.45pt;margin-top:-5.95pt;width:40.15pt;height:20.1pt;z-index:251679744;mso-width-relative:margin;mso-height-relative:margin" strokecolor="white [3212]">
            <v:textbox style="mso-next-textbox:#_x0000_s1033">
              <w:txbxContent>
                <w:p w14:paraId="110DDEEB" w14:textId="77777777" w:rsidR="00A40E6F" w:rsidRPr="001642C7" w:rsidRDefault="00A40E6F" w:rsidP="00D6404B">
                  <w:pPr>
                    <w:jc w:val="center"/>
                    <w:rPr>
                      <w:sz w:val="18"/>
                      <w:szCs w:val="18"/>
                    </w:rPr>
                  </w:pPr>
                  <w:r w:rsidRPr="001642C7">
                    <w:rPr>
                      <w:sz w:val="18"/>
                      <w:szCs w:val="18"/>
                    </w:rPr>
                    <w:t>Fig. 7</w:t>
                  </w:r>
                </w:p>
              </w:txbxContent>
            </v:textbox>
          </v:shape>
        </w:pict>
      </w:r>
    </w:p>
    <w:p w14:paraId="11791792" w14:textId="77777777" w:rsidR="005B3277" w:rsidRPr="005B3277" w:rsidRDefault="005B3277" w:rsidP="005B3277">
      <w:pPr>
        <w:rPr>
          <w:rFonts w:ascii="Times New Roman" w:hAnsi="Times New Roman" w:cs="Times New Roman"/>
          <w:sz w:val="24"/>
          <w:szCs w:val="24"/>
        </w:rPr>
      </w:pPr>
    </w:p>
    <w:p w14:paraId="6D89ECAA" w14:textId="77777777" w:rsidR="005B3277" w:rsidRPr="005B3277" w:rsidRDefault="001642C7" w:rsidP="005B3277">
      <w:pPr>
        <w:rPr>
          <w:rFonts w:ascii="Times New Roman" w:hAnsi="Times New Roman" w:cs="Times New Roman"/>
          <w:sz w:val="24"/>
          <w:szCs w:val="24"/>
        </w:rPr>
      </w:pPr>
      <w:r>
        <w:rPr>
          <w:rFonts w:ascii="Times New Roman" w:hAnsi="Times New Roman" w:cs="Times New Roman"/>
          <w:noProof/>
          <w:sz w:val="24"/>
          <w:szCs w:val="24"/>
          <w:lang w:bidi="hi-IN"/>
        </w:rPr>
        <w:drawing>
          <wp:anchor distT="0" distB="0" distL="114300" distR="114300" simplePos="0" relativeHeight="251672576" behindDoc="1" locked="0" layoutInCell="1" allowOverlap="1" wp14:anchorId="3D4E5BFC" wp14:editId="022BA007">
            <wp:simplePos x="0" y="0"/>
            <wp:positionH relativeFrom="column">
              <wp:posOffset>2170430</wp:posOffset>
            </wp:positionH>
            <wp:positionV relativeFrom="paragraph">
              <wp:posOffset>476885</wp:posOffset>
            </wp:positionV>
            <wp:extent cx="1783080" cy="2369820"/>
            <wp:effectExtent l="19050" t="19050" r="26670" b="11430"/>
            <wp:wrapTight wrapText="bothSides">
              <wp:wrapPolygon edited="0">
                <wp:start x="-231" y="-174"/>
                <wp:lineTo x="-231" y="21704"/>
                <wp:lineTo x="21923" y="21704"/>
                <wp:lineTo x="21923" y="-174"/>
                <wp:lineTo x="-231" y="-174"/>
              </wp:wrapPolygon>
            </wp:wrapTight>
            <wp:docPr id="12" name="Picture 12" descr="C:\Users\pc\Desktop\200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Desktop\2001 OW.jpg"/>
                    <pic:cNvPicPr>
                      <a:picLocks noChangeAspect="1" noChangeArrowheads="1"/>
                    </pic:cNvPicPr>
                  </pic:nvPicPr>
                  <pic:blipFill>
                    <a:blip r:embed="rId22"/>
                    <a:srcRect/>
                    <a:stretch>
                      <a:fillRect/>
                    </a:stretch>
                  </pic:blipFill>
                  <pic:spPr bwMode="auto">
                    <a:xfrm>
                      <a:off x="0" y="0"/>
                      <a:ext cx="1783080" cy="2369820"/>
                    </a:xfrm>
                    <a:prstGeom prst="rect">
                      <a:avLst/>
                    </a:prstGeom>
                    <a:noFill/>
                    <a:ln w="9525">
                      <a:solidFill>
                        <a:schemeClr val="tx1"/>
                      </a:solidFill>
                      <a:prstDash val="solid"/>
                      <a:miter lim="800000"/>
                      <a:headEnd/>
                      <a:tailEnd/>
                    </a:ln>
                  </pic:spPr>
                </pic:pic>
              </a:graphicData>
            </a:graphic>
          </wp:anchor>
        </w:drawing>
      </w:r>
      <w:r>
        <w:rPr>
          <w:rFonts w:ascii="Times New Roman" w:hAnsi="Times New Roman" w:cs="Times New Roman"/>
          <w:noProof/>
          <w:sz w:val="24"/>
          <w:szCs w:val="24"/>
          <w:lang w:bidi="hi-IN"/>
        </w:rPr>
        <w:drawing>
          <wp:anchor distT="0" distB="0" distL="114300" distR="114300" simplePos="0" relativeHeight="251671552" behindDoc="1" locked="0" layoutInCell="1" allowOverlap="1" wp14:anchorId="5EA6D8F9" wp14:editId="41DEBDA6">
            <wp:simplePos x="0" y="0"/>
            <wp:positionH relativeFrom="column">
              <wp:posOffset>102870</wp:posOffset>
            </wp:positionH>
            <wp:positionV relativeFrom="paragraph">
              <wp:posOffset>492760</wp:posOffset>
            </wp:positionV>
            <wp:extent cx="1882140" cy="2372360"/>
            <wp:effectExtent l="19050" t="19050" r="22860" b="27940"/>
            <wp:wrapTight wrapText="bothSides">
              <wp:wrapPolygon edited="0">
                <wp:start x="-219" y="-173"/>
                <wp:lineTo x="-219" y="21854"/>
                <wp:lineTo x="21862" y="21854"/>
                <wp:lineTo x="21862" y="-173"/>
                <wp:lineTo x="-219" y="-173"/>
              </wp:wrapPolygon>
            </wp:wrapTight>
            <wp:docPr id="11" name="Picture 11" descr="C:\Users\pc\Desktop\199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Desktop\1991 OW.jpg"/>
                    <pic:cNvPicPr>
                      <a:picLocks noChangeAspect="1" noChangeArrowheads="1"/>
                    </pic:cNvPicPr>
                  </pic:nvPicPr>
                  <pic:blipFill>
                    <a:blip r:embed="rId23"/>
                    <a:srcRect/>
                    <a:stretch>
                      <a:fillRect/>
                    </a:stretch>
                  </pic:blipFill>
                  <pic:spPr bwMode="auto">
                    <a:xfrm>
                      <a:off x="0" y="0"/>
                      <a:ext cx="1882140" cy="2372360"/>
                    </a:xfrm>
                    <a:prstGeom prst="rect">
                      <a:avLst/>
                    </a:prstGeom>
                    <a:noFill/>
                    <a:ln w="9525">
                      <a:solidFill>
                        <a:schemeClr val="tx1"/>
                      </a:solidFill>
                      <a:prstDash val="solid"/>
                      <a:miter lim="800000"/>
                      <a:headEnd/>
                      <a:tailEnd/>
                    </a:ln>
                  </pic:spPr>
                </pic:pic>
              </a:graphicData>
            </a:graphic>
          </wp:anchor>
        </w:drawing>
      </w:r>
      <w:r w:rsidR="00645644">
        <w:rPr>
          <w:rFonts w:ascii="Times New Roman" w:hAnsi="Times New Roman" w:cs="Times New Roman"/>
          <w:noProof/>
          <w:sz w:val="24"/>
          <w:szCs w:val="24"/>
          <w:lang w:bidi="hi-IN"/>
        </w:rPr>
        <w:pict w14:anchorId="191E5715">
          <v:shape id="_x0000_s1029" type="#_x0000_t202" style="position:absolute;margin-left:67.5pt;margin-top:14.3pt;width:344.25pt;height:18.9pt;z-index:251674624;mso-position-horizontal-relative:text;mso-position-vertical-relative:text;mso-width-relative:margin;mso-height-relative:margin">
            <v:textbox style="mso-next-textbox:#_x0000_s1029">
              <w:txbxContent>
                <w:p w14:paraId="598558BD" w14:textId="77777777" w:rsidR="00A40E6F" w:rsidRPr="001642C7" w:rsidRDefault="00A40E6F" w:rsidP="001642C7">
                  <w:pPr>
                    <w:spacing w:after="0"/>
                    <w:jc w:val="center"/>
                    <w:rPr>
                      <w:rFonts w:ascii="Times New Roman" w:hAnsi="Times New Roman" w:cs="Times New Roman"/>
                      <w:sz w:val="20"/>
                      <w:szCs w:val="20"/>
                    </w:rPr>
                  </w:pPr>
                  <w:r w:rsidRPr="001642C7">
                    <w:rPr>
                      <w:rFonts w:ascii="Times New Roman" w:hAnsi="Times New Roman" w:cs="Times New Roman"/>
                      <w:sz w:val="20"/>
                      <w:szCs w:val="20"/>
                    </w:rPr>
                    <w:t>Mathura District</w:t>
                  </w:r>
                  <w:r>
                    <w:rPr>
                      <w:rFonts w:ascii="Times New Roman" w:hAnsi="Times New Roman" w:cs="Times New Roman"/>
                      <w:sz w:val="20"/>
                      <w:szCs w:val="20"/>
                    </w:rPr>
                    <w:t>:</w:t>
                  </w:r>
                  <w:r w:rsidRPr="001642C7">
                    <w:rPr>
                      <w:rFonts w:ascii="Times New Roman" w:hAnsi="Times New Roman" w:cs="Times New Roman"/>
                      <w:sz w:val="20"/>
                      <w:szCs w:val="20"/>
                    </w:rPr>
                    <w:t xml:space="preserve"> -Location Quotient of Household Other Workers</w:t>
                  </w:r>
                </w:p>
              </w:txbxContent>
            </v:textbox>
          </v:shape>
        </w:pict>
      </w:r>
    </w:p>
    <w:p w14:paraId="5F49318A" w14:textId="77777777" w:rsidR="00E55112" w:rsidRPr="0006319B" w:rsidRDefault="00645644" w:rsidP="001642C7">
      <w:pPr>
        <w:rPr>
          <w:rFonts w:ascii="Times New Roman" w:hAnsi="Times New Roman" w:cs="Times New Roman"/>
          <w:sz w:val="24"/>
          <w:szCs w:val="24"/>
        </w:rPr>
      </w:pPr>
      <w:r>
        <w:rPr>
          <w:rFonts w:ascii="Times New Roman" w:hAnsi="Times New Roman" w:cs="Times New Roman"/>
          <w:sz w:val="24"/>
          <w:szCs w:val="24"/>
        </w:rPr>
        <w:pict w14:anchorId="3BFF88EF">
          <v:shape id="_x0000_s1034" type="#_x0000_t202" style="position:absolute;margin-left:217.55pt;margin-top:-3.1pt;width:40.15pt;height:20.1pt;z-index:251681792;mso-width-relative:margin;mso-height-relative:margin" strokecolor="white [3212]">
            <v:textbox style="mso-next-textbox:#_x0000_s1034">
              <w:txbxContent>
                <w:p w14:paraId="7A0D6B3F" w14:textId="77777777" w:rsidR="00A40E6F" w:rsidRPr="001642C7" w:rsidRDefault="00A40E6F" w:rsidP="00D6404B">
                  <w:pPr>
                    <w:jc w:val="center"/>
                    <w:rPr>
                      <w:sz w:val="18"/>
                      <w:szCs w:val="18"/>
                    </w:rPr>
                  </w:pPr>
                  <w:r w:rsidRPr="001642C7">
                    <w:rPr>
                      <w:sz w:val="18"/>
                      <w:szCs w:val="18"/>
                    </w:rPr>
                    <w:t>Fig. 8</w:t>
                  </w:r>
                </w:p>
              </w:txbxContent>
            </v:textbox>
          </v:shape>
        </w:pict>
      </w:r>
      <w:r w:rsidR="001642C7">
        <w:rPr>
          <w:rFonts w:ascii="Times New Roman" w:hAnsi="Times New Roman" w:cs="Times New Roman"/>
          <w:noProof/>
          <w:sz w:val="24"/>
          <w:szCs w:val="24"/>
          <w:lang w:bidi="hi-IN"/>
        </w:rPr>
        <w:drawing>
          <wp:anchor distT="0" distB="0" distL="114300" distR="114300" simplePos="0" relativeHeight="251673600" behindDoc="1" locked="0" layoutInCell="1" allowOverlap="1" wp14:anchorId="55351D87" wp14:editId="71BAA2AD">
            <wp:simplePos x="0" y="0"/>
            <wp:positionH relativeFrom="column">
              <wp:posOffset>75565</wp:posOffset>
            </wp:positionH>
            <wp:positionV relativeFrom="paragraph">
              <wp:posOffset>183515</wp:posOffset>
            </wp:positionV>
            <wp:extent cx="1882140" cy="2369820"/>
            <wp:effectExtent l="19050" t="19050" r="22860" b="11430"/>
            <wp:wrapTight wrapText="bothSides">
              <wp:wrapPolygon edited="0">
                <wp:start x="-219" y="-174"/>
                <wp:lineTo x="-219" y="21704"/>
                <wp:lineTo x="21862" y="21704"/>
                <wp:lineTo x="21862" y="-174"/>
                <wp:lineTo x="-219" y="-174"/>
              </wp:wrapPolygon>
            </wp:wrapTight>
            <wp:docPr id="13" name="Picture 13" descr="C:\Users\pc\Desktop\2011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Desktop\2011 OW.jpg"/>
                    <pic:cNvPicPr>
                      <a:picLocks noChangeAspect="1" noChangeArrowheads="1"/>
                    </pic:cNvPicPr>
                  </pic:nvPicPr>
                  <pic:blipFill>
                    <a:blip r:embed="rId24"/>
                    <a:srcRect/>
                    <a:stretch>
                      <a:fillRect/>
                    </a:stretch>
                  </pic:blipFill>
                  <pic:spPr bwMode="auto">
                    <a:xfrm>
                      <a:off x="0" y="0"/>
                      <a:ext cx="1882140" cy="2369820"/>
                    </a:xfrm>
                    <a:prstGeom prst="rect">
                      <a:avLst/>
                    </a:prstGeom>
                    <a:noFill/>
                    <a:ln w="9525">
                      <a:solidFill>
                        <a:schemeClr val="tx1"/>
                      </a:solidFill>
                      <a:prstDash val="solid"/>
                      <a:miter lim="800000"/>
                      <a:headEnd/>
                      <a:tailEnd/>
                    </a:ln>
                  </pic:spPr>
                </pic:pic>
              </a:graphicData>
            </a:graphic>
          </wp:anchor>
        </w:drawing>
      </w:r>
    </w:p>
    <w:sectPr w:rsidR="00E55112" w:rsidRPr="0006319B" w:rsidSect="00294EB1">
      <w:headerReference w:type="even" r:id="rId25"/>
      <w:headerReference w:type="default" r:id="rId26"/>
      <w:footerReference w:type="even" r:id="rId27"/>
      <w:footerReference w:type="default" r:id="rId28"/>
      <w:headerReference w:type="first" r:id="rId29"/>
      <w:footerReference w:type="first" r:id="rId30"/>
      <w:pgSz w:w="11909" w:h="16834" w:code="9"/>
      <w:pgMar w:top="904" w:right="1440" w:bottom="864"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D398" w14:textId="77777777" w:rsidR="00645644" w:rsidRDefault="00645644" w:rsidP="006318D9">
      <w:pPr>
        <w:spacing w:after="0" w:line="240" w:lineRule="auto"/>
      </w:pPr>
      <w:r>
        <w:separator/>
      </w:r>
    </w:p>
  </w:endnote>
  <w:endnote w:type="continuationSeparator" w:id="0">
    <w:p w14:paraId="69F5DE04" w14:textId="77777777" w:rsidR="00645644" w:rsidRDefault="00645644" w:rsidP="0063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4EA3" w14:textId="77777777" w:rsidR="00EE168E" w:rsidRDefault="00EE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F2AA" w14:textId="77777777" w:rsidR="00EE168E" w:rsidRDefault="00EE1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2C53" w14:textId="77777777" w:rsidR="00EE168E" w:rsidRDefault="00EE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F0DA3" w14:textId="77777777" w:rsidR="00645644" w:rsidRDefault="00645644" w:rsidP="006318D9">
      <w:pPr>
        <w:spacing w:after="0" w:line="240" w:lineRule="auto"/>
      </w:pPr>
      <w:r>
        <w:separator/>
      </w:r>
    </w:p>
  </w:footnote>
  <w:footnote w:type="continuationSeparator" w:id="0">
    <w:p w14:paraId="287E3BA1" w14:textId="77777777" w:rsidR="00645644" w:rsidRDefault="00645644" w:rsidP="00631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9360" w14:textId="6477305D" w:rsidR="00EE168E" w:rsidRDefault="00EE168E">
    <w:pPr>
      <w:pStyle w:val="Header"/>
    </w:pPr>
    <w:r>
      <w:rPr>
        <w:noProof/>
      </w:rPr>
      <w:pict w14:anchorId="658CC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6501" o:sp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EEE5F" w14:textId="70D862A8" w:rsidR="00EE168E" w:rsidRDefault="00EE168E">
    <w:pPr>
      <w:pStyle w:val="Header"/>
    </w:pPr>
    <w:r>
      <w:rPr>
        <w:noProof/>
      </w:rPr>
      <w:pict w14:anchorId="2A8CA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6502" o:sp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5C6B" w14:textId="79EE6740" w:rsidR="00EE168E" w:rsidRDefault="00EE168E">
    <w:pPr>
      <w:pStyle w:val="Header"/>
    </w:pPr>
    <w:r>
      <w:rPr>
        <w:noProof/>
      </w:rPr>
      <w:pict w14:anchorId="38504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6500"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294E"/>
    <w:multiLevelType w:val="multilevel"/>
    <w:tmpl w:val="B034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376FBC"/>
    <w:multiLevelType w:val="hybridMultilevel"/>
    <w:tmpl w:val="9FA6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7F7597"/>
    <w:multiLevelType w:val="hybridMultilevel"/>
    <w:tmpl w:val="F1C6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0F57"/>
    <w:rsid w:val="00012545"/>
    <w:rsid w:val="000273B5"/>
    <w:rsid w:val="0006319B"/>
    <w:rsid w:val="000631B4"/>
    <w:rsid w:val="000E6F1A"/>
    <w:rsid w:val="000F5E60"/>
    <w:rsid w:val="001143A6"/>
    <w:rsid w:val="00163385"/>
    <w:rsid w:val="001642C7"/>
    <w:rsid w:val="001835CF"/>
    <w:rsid w:val="001A2560"/>
    <w:rsid w:val="001B0193"/>
    <w:rsid w:val="001D1AD1"/>
    <w:rsid w:val="001F7509"/>
    <w:rsid w:val="002055B5"/>
    <w:rsid w:val="00206739"/>
    <w:rsid w:val="002107CB"/>
    <w:rsid w:val="002118B3"/>
    <w:rsid w:val="00282599"/>
    <w:rsid w:val="00294CC8"/>
    <w:rsid w:val="00294EB1"/>
    <w:rsid w:val="00296CAB"/>
    <w:rsid w:val="002F0523"/>
    <w:rsid w:val="003331F2"/>
    <w:rsid w:val="004501FF"/>
    <w:rsid w:val="00452D04"/>
    <w:rsid w:val="00481628"/>
    <w:rsid w:val="00481844"/>
    <w:rsid w:val="00481DA6"/>
    <w:rsid w:val="004826DC"/>
    <w:rsid w:val="00486AF8"/>
    <w:rsid w:val="005002C8"/>
    <w:rsid w:val="00502BBC"/>
    <w:rsid w:val="005534E6"/>
    <w:rsid w:val="0055557A"/>
    <w:rsid w:val="005724A3"/>
    <w:rsid w:val="005B3277"/>
    <w:rsid w:val="006251A5"/>
    <w:rsid w:val="006300E6"/>
    <w:rsid w:val="006318D9"/>
    <w:rsid w:val="00645644"/>
    <w:rsid w:val="00664BD4"/>
    <w:rsid w:val="00680E4F"/>
    <w:rsid w:val="006C3E19"/>
    <w:rsid w:val="006E1D75"/>
    <w:rsid w:val="0072562E"/>
    <w:rsid w:val="0074696E"/>
    <w:rsid w:val="00760D1E"/>
    <w:rsid w:val="00761FE1"/>
    <w:rsid w:val="0077421E"/>
    <w:rsid w:val="007F33C2"/>
    <w:rsid w:val="008A134A"/>
    <w:rsid w:val="008E623A"/>
    <w:rsid w:val="00920B86"/>
    <w:rsid w:val="00996C96"/>
    <w:rsid w:val="009C3058"/>
    <w:rsid w:val="009C36EA"/>
    <w:rsid w:val="00A25411"/>
    <w:rsid w:val="00A31E60"/>
    <w:rsid w:val="00A40E6F"/>
    <w:rsid w:val="00A92975"/>
    <w:rsid w:val="00A94485"/>
    <w:rsid w:val="00A948EE"/>
    <w:rsid w:val="00A96415"/>
    <w:rsid w:val="00A96D2D"/>
    <w:rsid w:val="00AB3373"/>
    <w:rsid w:val="00AF28E9"/>
    <w:rsid w:val="00B03175"/>
    <w:rsid w:val="00B33930"/>
    <w:rsid w:val="00B80755"/>
    <w:rsid w:val="00BD6266"/>
    <w:rsid w:val="00BF05E3"/>
    <w:rsid w:val="00C36A5E"/>
    <w:rsid w:val="00C37921"/>
    <w:rsid w:val="00C74891"/>
    <w:rsid w:val="00CA0F57"/>
    <w:rsid w:val="00CA1534"/>
    <w:rsid w:val="00CA2F1F"/>
    <w:rsid w:val="00CC7E0C"/>
    <w:rsid w:val="00CD5217"/>
    <w:rsid w:val="00D17B2D"/>
    <w:rsid w:val="00D6404B"/>
    <w:rsid w:val="00DA0902"/>
    <w:rsid w:val="00DB3A2A"/>
    <w:rsid w:val="00DB7B95"/>
    <w:rsid w:val="00E07588"/>
    <w:rsid w:val="00E10F98"/>
    <w:rsid w:val="00E261B6"/>
    <w:rsid w:val="00E55112"/>
    <w:rsid w:val="00E57ADC"/>
    <w:rsid w:val="00E74EEA"/>
    <w:rsid w:val="00ED3EAD"/>
    <w:rsid w:val="00EE168E"/>
    <w:rsid w:val="00EE4C1A"/>
    <w:rsid w:val="00F2255E"/>
    <w:rsid w:val="00FC2E5D"/>
    <w:rsid w:val="00FE56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36657A"/>
  <w15:docId w15:val="{FC103393-7720-4F01-9F10-CFBDEE5C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6EA"/>
  </w:style>
  <w:style w:type="paragraph" w:styleId="Heading2">
    <w:name w:val="heading 2"/>
    <w:basedOn w:val="Normal"/>
    <w:link w:val="Heading2Char"/>
    <w:uiPriority w:val="9"/>
    <w:qFormat/>
    <w:rsid w:val="000631B4"/>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19"/>
    <w:rPr>
      <w:rFonts w:ascii="Tahoma" w:hAnsi="Tahoma" w:cs="Tahoma"/>
      <w:sz w:val="16"/>
      <w:szCs w:val="16"/>
    </w:rPr>
  </w:style>
  <w:style w:type="paragraph" w:styleId="Header">
    <w:name w:val="header"/>
    <w:basedOn w:val="Normal"/>
    <w:link w:val="HeaderChar"/>
    <w:uiPriority w:val="99"/>
    <w:unhideWhenUsed/>
    <w:rsid w:val="0063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D9"/>
  </w:style>
  <w:style w:type="paragraph" w:styleId="Footer">
    <w:name w:val="footer"/>
    <w:basedOn w:val="Normal"/>
    <w:link w:val="FooterChar"/>
    <w:uiPriority w:val="99"/>
    <w:unhideWhenUsed/>
    <w:rsid w:val="0063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D9"/>
  </w:style>
  <w:style w:type="paragraph" w:styleId="NormalWeb">
    <w:name w:val="Normal (Web)"/>
    <w:basedOn w:val="Normal"/>
    <w:uiPriority w:val="99"/>
    <w:unhideWhenUsed/>
    <w:rsid w:val="00E10F9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whitespace-normal">
    <w:name w:val="whitespace-normal"/>
    <w:basedOn w:val="DefaultParagraphFont"/>
    <w:rsid w:val="00E10F98"/>
  </w:style>
  <w:style w:type="paragraph" w:styleId="BodyText">
    <w:name w:val="Body Text"/>
    <w:basedOn w:val="Normal"/>
    <w:link w:val="BodyTextChar"/>
    <w:semiHidden/>
    <w:rsid w:val="00E10F98"/>
    <w:pPr>
      <w:spacing w:after="0" w:line="48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semiHidden/>
    <w:rsid w:val="00E10F98"/>
    <w:rPr>
      <w:rFonts w:ascii="Times New Roman" w:eastAsia="Times New Roman" w:hAnsi="Times New Roman" w:cs="Times New Roman"/>
      <w:sz w:val="26"/>
      <w:szCs w:val="24"/>
    </w:rPr>
  </w:style>
  <w:style w:type="character" w:styleId="Strong">
    <w:name w:val="Strong"/>
    <w:basedOn w:val="DefaultParagraphFont"/>
    <w:uiPriority w:val="22"/>
    <w:qFormat/>
    <w:rsid w:val="00E10F98"/>
    <w:rPr>
      <w:b/>
      <w:bCs/>
    </w:rPr>
  </w:style>
  <w:style w:type="character" w:customStyle="1" w:styleId="Heading2Char">
    <w:name w:val="Heading 2 Char"/>
    <w:basedOn w:val="DefaultParagraphFont"/>
    <w:link w:val="Heading2"/>
    <w:uiPriority w:val="9"/>
    <w:rsid w:val="000631B4"/>
    <w:rPr>
      <w:rFonts w:ascii="Times New Roman" w:eastAsia="Times New Roman" w:hAnsi="Times New Roman" w:cs="Times New Roman"/>
      <w:b/>
      <w:bCs/>
      <w:sz w:val="36"/>
      <w:szCs w:val="36"/>
      <w:lang w:bidi="hi-IN"/>
    </w:rPr>
  </w:style>
  <w:style w:type="paragraph" w:styleId="ListParagraph">
    <w:name w:val="List Paragraph"/>
    <w:basedOn w:val="Normal"/>
    <w:uiPriority w:val="34"/>
    <w:qFormat/>
    <w:rsid w:val="00CD5217"/>
    <w:pPr>
      <w:ind w:left="720"/>
      <w:contextualSpacing/>
    </w:pPr>
  </w:style>
  <w:style w:type="character" w:styleId="Emphasis">
    <w:name w:val="Emphasis"/>
    <w:basedOn w:val="DefaultParagraphFont"/>
    <w:uiPriority w:val="20"/>
    <w:qFormat/>
    <w:rsid w:val="00A948EE"/>
    <w:rPr>
      <w:i/>
      <w:iCs/>
    </w:rPr>
  </w:style>
  <w:style w:type="character" w:styleId="Hyperlink">
    <w:name w:val="Hyperlink"/>
    <w:basedOn w:val="DefaultParagraphFont"/>
    <w:uiPriority w:val="99"/>
    <w:unhideWhenUsed/>
    <w:rsid w:val="00920B86"/>
    <w:rPr>
      <w:color w:val="0000FF" w:themeColor="hyperlink"/>
      <w:u w:val="single"/>
    </w:rPr>
  </w:style>
  <w:style w:type="character" w:styleId="UnresolvedMention">
    <w:name w:val="Unresolved Mention"/>
    <w:basedOn w:val="DefaultParagraphFont"/>
    <w:uiPriority w:val="99"/>
    <w:semiHidden/>
    <w:unhideWhenUsed/>
    <w:rsid w:val="00920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06124">
      <w:bodyDiv w:val="1"/>
      <w:marLeft w:val="0"/>
      <w:marRight w:val="0"/>
      <w:marTop w:val="0"/>
      <w:marBottom w:val="0"/>
      <w:divBdr>
        <w:top w:val="none" w:sz="0" w:space="0" w:color="auto"/>
        <w:left w:val="none" w:sz="0" w:space="0" w:color="auto"/>
        <w:bottom w:val="none" w:sz="0" w:space="0" w:color="auto"/>
        <w:right w:val="none" w:sz="0" w:space="0" w:color="auto"/>
      </w:divBdr>
    </w:div>
    <w:div w:id="685323843">
      <w:bodyDiv w:val="1"/>
      <w:marLeft w:val="0"/>
      <w:marRight w:val="0"/>
      <w:marTop w:val="0"/>
      <w:marBottom w:val="0"/>
      <w:divBdr>
        <w:top w:val="none" w:sz="0" w:space="0" w:color="auto"/>
        <w:left w:val="none" w:sz="0" w:space="0" w:color="auto"/>
        <w:bottom w:val="none" w:sz="0" w:space="0" w:color="auto"/>
        <w:right w:val="none" w:sz="0" w:space="0" w:color="auto"/>
      </w:divBdr>
    </w:div>
    <w:div w:id="707265454">
      <w:bodyDiv w:val="1"/>
      <w:marLeft w:val="0"/>
      <w:marRight w:val="0"/>
      <w:marTop w:val="0"/>
      <w:marBottom w:val="0"/>
      <w:divBdr>
        <w:top w:val="none" w:sz="0" w:space="0" w:color="auto"/>
        <w:left w:val="none" w:sz="0" w:space="0" w:color="auto"/>
        <w:bottom w:val="none" w:sz="0" w:space="0" w:color="auto"/>
        <w:right w:val="none" w:sz="0" w:space="0" w:color="auto"/>
      </w:divBdr>
    </w:div>
    <w:div w:id="1115708220">
      <w:bodyDiv w:val="1"/>
      <w:marLeft w:val="0"/>
      <w:marRight w:val="0"/>
      <w:marTop w:val="0"/>
      <w:marBottom w:val="0"/>
      <w:divBdr>
        <w:top w:val="none" w:sz="0" w:space="0" w:color="auto"/>
        <w:left w:val="none" w:sz="0" w:space="0" w:color="auto"/>
        <w:bottom w:val="none" w:sz="0" w:space="0" w:color="auto"/>
        <w:right w:val="none" w:sz="0" w:space="0" w:color="auto"/>
      </w:divBdr>
    </w:div>
    <w:div w:id="1231379569">
      <w:bodyDiv w:val="1"/>
      <w:marLeft w:val="0"/>
      <w:marRight w:val="0"/>
      <w:marTop w:val="0"/>
      <w:marBottom w:val="0"/>
      <w:divBdr>
        <w:top w:val="none" w:sz="0" w:space="0" w:color="auto"/>
        <w:left w:val="none" w:sz="0" w:space="0" w:color="auto"/>
        <w:bottom w:val="none" w:sz="0" w:space="0" w:color="auto"/>
        <w:right w:val="none" w:sz="0" w:space="0" w:color="auto"/>
      </w:divBdr>
    </w:div>
    <w:div w:id="1737118755">
      <w:bodyDiv w:val="1"/>
      <w:marLeft w:val="0"/>
      <w:marRight w:val="0"/>
      <w:marTop w:val="0"/>
      <w:marBottom w:val="0"/>
      <w:divBdr>
        <w:top w:val="none" w:sz="0" w:space="0" w:color="auto"/>
        <w:left w:val="none" w:sz="0" w:space="0" w:color="auto"/>
        <w:bottom w:val="none" w:sz="0" w:space="0" w:color="auto"/>
        <w:right w:val="none" w:sz="0" w:space="0" w:color="auto"/>
      </w:divBdr>
    </w:div>
    <w:div w:id="17578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esktop\workers%20cens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200"/>
            </a:pPr>
            <a:r>
              <a:rPr lang="en-US" sz="900">
                <a:latin typeface="Times New Roman" pitchFamily="18" charset="0"/>
                <a:cs typeface="Times New Roman" pitchFamily="18" charset="0"/>
              </a:rPr>
              <a:t> Classification of Total Workers in Mathura District, 2011</a:t>
            </a:r>
          </a:p>
        </c:rich>
      </c:tx>
      <c:layout>
        <c:manualLayout>
          <c:xMode val="edge"/>
          <c:yMode val="edge"/>
          <c:x val="0.15680568675526557"/>
          <c:y val="6.5834432238089918E-3"/>
        </c:manualLayout>
      </c:layout>
      <c:overlay val="0"/>
    </c:title>
    <c:autoTitleDeleted val="0"/>
    <c:plotArea>
      <c:layout>
        <c:manualLayout>
          <c:layoutTarget val="inner"/>
          <c:xMode val="edge"/>
          <c:yMode val="edge"/>
          <c:x val="0.12332274193859359"/>
          <c:y val="0.11192789603788925"/>
          <c:w val="0.85562988420737296"/>
          <c:h val="0.51713636133860508"/>
        </c:manualLayout>
      </c:layout>
      <c:barChart>
        <c:barDir val="col"/>
        <c:grouping val="clustered"/>
        <c:varyColors val="0"/>
        <c:ser>
          <c:idx val="0"/>
          <c:order val="0"/>
          <c:tx>
            <c:strRef>
              <c:f>Sheet2!$U$33</c:f>
              <c:strCache>
                <c:ptCount val="1"/>
                <c:pt idx="0">
                  <c:v>Main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Sheet2!$U$34:$U$44</c:f>
              <c:numCache>
                <c:formatCode>0.00</c:formatCode>
                <c:ptCount val="11"/>
                <c:pt idx="0">
                  <c:v>25.61000000000001</c:v>
                </c:pt>
                <c:pt idx="1">
                  <c:v>22.56</c:v>
                </c:pt>
                <c:pt idx="2">
                  <c:v>27.7</c:v>
                </c:pt>
                <c:pt idx="3">
                  <c:v>22.35</c:v>
                </c:pt>
                <c:pt idx="4">
                  <c:v>22.36</c:v>
                </c:pt>
                <c:pt idx="5">
                  <c:v>22.47999999999999</c:v>
                </c:pt>
                <c:pt idx="6">
                  <c:v>21.939999999999991</c:v>
                </c:pt>
                <c:pt idx="7">
                  <c:v>22.53</c:v>
                </c:pt>
                <c:pt idx="8">
                  <c:v>21.9</c:v>
                </c:pt>
                <c:pt idx="9">
                  <c:v>23.830000000000005</c:v>
                </c:pt>
                <c:pt idx="10">
                  <c:v>23.12</c:v>
                </c:pt>
              </c:numCache>
            </c:numRef>
          </c:val>
          <c:extLst>
            <c:ext xmlns:c16="http://schemas.microsoft.com/office/drawing/2014/chart" uri="{C3380CC4-5D6E-409C-BE32-E72D297353CC}">
              <c16:uniqueId val="{00000000-4A7C-4149-AF90-06DEE3765F3D}"/>
            </c:ext>
          </c:extLst>
        </c:ser>
        <c:ser>
          <c:idx val="1"/>
          <c:order val="1"/>
          <c:tx>
            <c:strRef>
              <c:f>Sheet2!$V$33</c:f>
              <c:strCache>
                <c:ptCount val="1"/>
                <c:pt idx="0">
                  <c:v>Marginal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Sheet2!$V$34:$V$44</c:f>
              <c:numCache>
                <c:formatCode>0.00</c:formatCode>
                <c:ptCount val="11"/>
                <c:pt idx="0">
                  <c:v>10.83</c:v>
                </c:pt>
                <c:pt idx="1">
                  <c:v>12.77</c:v>
                </c:pt>
                <c:pt idx="2">
                  <c:v>12.860000000000005</c:v>
                </c:pt>
                <c:pt idx="3">
                  <c:v>12.12</c:v>
                </c:pt>
                <c:pt idx="4">
                  <c:v>13.7</c:v>
                </c:pt>
                <c:pt idx="5">
                  <c:v>11.15</c:v>
                </c:pt>
                <c:pt idx="6">
                  <c:v>10.75</c:v>
                </c:pt>
                <c:pt idx="7">
                  <c:v>7.6099999999999985</c:v>
                </c:pt>
                <c:pt idx="8">
                  <c:v>9.5</c:v>
                </c:pt>
                <c:pt idx="9">
                  <c:v>13.02</c:v>
                </c:pt>
                <c:pt idx="10">
                  <c:v>11.239999999999998</c:v>
                </c:pt>
              </c:numCache>
            </c:numRef>
          </c:val>
          <c:extLst>
            <c:ext xmlns:c16="http://schemas.microsoft.com/office/drawing/2014/chart" uri="{C3380CC4-5D6E-409C-BE32-E72D297353CC}">
              <c16:uniqueId val="{00000001-4A7C-4149-AF90-06DEE3765F3D}"/>
            </c:ext>
          </c:extLst>
        </c:ser>
        <c:ser>
          <c:idx val="2"/>
          <c:order val="2"/>
          <c:tx>
            <c:strRef>
              <c:f>Sheet2!$W$33</c:f>
              <c:strCache>
                <c:ptCount val="1"/>
                <c:pt idx="0">
                  <c:v>Non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Sheet2!$W$34:$W$44</c:f>
              <c:numCache>
                <c:formatCode>0.00</c:formatCode>
                <c:ptCount val="11"/>
                <c:pt idx="0">
                  <c:v>63.57</c:v>
                </c:pt>
                <c:pt idx="1">
                  <c:v>64.669999999999987</c:v>
                </c:pt>
                <c:pt idx="2">
                  <c:v>59.449999999999996</c:v>
                </c:pt>
                <c:pt idx="3">
                  <c:v>65.53</c:v>
                </c:pt>
                <c:pt idx="4">
                  <c:v>63.949999999999996</c:v>
                </c:pt>
                <c:pt idx="5">
                  <c:v>66.36</c:v>
                </c:pt>
                <c:pt idx="6">
                  <c:v>67.319999999999993</c:v>
                </c:pt>
                <c:pt idx="7">
                  <c:v>69.86</c:v>
                </c:pt>
                <c:pt idx="8">
                  <c:v>68.599999999999994</c:v>
                </c:pt>
                <c:pt idx="9">
                  <c:v>63.160000000000011</c:v>
                </c:pt>
                <c:pt idx="10">
                  <c:v>65.64</c:v>
                </c:pt>
              </c:numCache>
            </c:numRef>
          </c:val>
          <c:extLst>
            <c:ext xmlns:c16="http://schemas.microsoft.com/office/drawing/2014/chart" uri="{C3380CC4-5D6E-409C-BE32-E72D297353CC}">
              <c16:uniqueId val="{00000002-4A7C-4149-AF90-06DEE3765F3D}"/>
            </c:ext>
          </c:extLst>
        </c:ser>
        <c:dLbls>
          <c:showLegendKey val="0"/>
          <c:showVal val="0"/>
          <c:showCatName val="0"/>
          <c:showSerName val="0"/>
          <c:showPercent val="0"/>
          <c:showBubbleSize val="0"/>
        </c:dLbls>
        <c:gapWidth val="150"/>
        <c:axId val="86685568"/>
        <c:axId val="87130880"/>
      </c:barChart>
      <c:catAx>
        <c:axId val="86685568"/>
        <c:scaling>
          <c:orientation val="minMax"/>
        </c:scaling>
        <c:delete val="0"/>
        <c:axPos val="b"/>
        <c:title>
          <c:tx>
            <c:rich>
              <a:bodyPr/>
              <a:lstStyle/>
              <a:p>
                <a:pPr>
                  <a:defRPr sz="800"/>
                </a:pPr>
                <a:r>
                  <a:rPr lang="en-US" sz="800"/>
                  <a:t>Blocks</a:t>
                </a:r>
              </a:p>
            </c:rich>
          </c:tx>
          <c:layout>
            <c:manualLayout>
              <c:xMode val="edge"/>
              <c:yMode val="edge"/>
              <c:x val="0.38173431313958089"/>
              <c:y val="0.82984835426401182"/>
            </c:manualLayout>
          </c:layout>
          <c:overlay val="0"/>
        </c:title>
        <c:numFmt formatCode="General" sourceLinked="0"/>
        <c:majorTickMark val="none"/>
        <c:minorTickMark val="none"/>
        <c:tickLblPos val="nextTo"/>
        <c:txPr>
          <a:bodyPr/>
          <a:lstStyle/>
          <a:p>
            <a:pPr>
              <a:defRPr sz="800"/>
            </a:pPr>
            <a:endParaRPr lang="en-US"/>
          </a:p>
        </c:txPr>
        <c:crossAx val="87130880"/>
        <c:crossesAt val="10"/>
        <c:auto val="1"/>
        <c:lblAlgn val="ctr"/>
        <c:lblOffset val="0"/>
        <c:noMultiLvlLbl val="0"/>
      </c:catAx>
      <c:valAx>
        <c:axId val="87130880"/>
        <c:scaling>
          <c:orientation val="minMax"/>
        </c:scaling>
        <c:delete val="0"/>
        <c:axPos val="l"/>
        <c:title>
          <c:tx>
            <c:rich>
              <a:bodyPr rot="-5400000" vert="horz"/>
              <a:lstStyle/>
              <a:p>
                <a:pPr>
                  <a:defRPr sz="800"/>
                </a:pPr>
                <a:r>
                  <a:rPr lang="en-US" sz="800"/>
                  <a:t>Percentage</a:t>
                </a:r>
              </a:p>
            </c:rich>
          </c:tx>
          <c:layout>
            <c:manualLayout>
              <c:xMode val="edge"/>
              <c:yMode val="edge"/>
              <c:x val="0"/>
              <c:y val="0.23042675365540571"/>
            </c:manualLayout>
          </c:layout>
          <c:overlay val="0"/>
        </c:title>
        <c:numFmt formatCode="0" sourceLinked="0"/>
        <c:majorTickMark val="none"/>
        <c:minorTickMark val="none"/>
        <c:tickLblPos val="nextTo"/>
        <c:txPr>
          <a:bodyPr/>
          <a:lstStyle/>
          <a:p>
            <a:pPr>
              <a:defRPr sz="800"/>
            </a:pPr>
            <a:endParaRPr lang="en-US"/>
          </a:p>
        </c:txPr>
        <c:crossAx val="86685568"/>
        <c:crosses val="autoZero"/>
        <c:crossBetween val="between"/>
        <c:majorUnit val="10"/>
      </c:valAx>
    </c:plotArea>
    <c:legend>
      <c:legendPos val="b"/>
      <c:layout>
        <c:manualLayout>
          <c:xMode val="edge"/>
          <c:yMode val="edge"/>
          <c:x val="0.14705240013808898"/>
          <c:y val="0.91628271517741211"/>
          <c:w val="0.68584514435695554"/>
          <c:h val="8.3717191601050067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00"/>
            </a:pPr>
            <a:r>
              <a:rPr lang="en-US" sz="900" b="1" i="0" baseline="0"/>
              <a:t>Classification of Male Workers in Mathura District, 2011</a:t>
            </a:r>
            <a:endParaRPr lang="en-US" sz="900"/>
          </a:p>
        </c:rich>
      </c:tx>
      <c:layout>
        <c:manualLayout>
          <c:xMode val="edge"/>
          <c:yMode val="edge"/>
          <c:x val="0.15672222222222268"/>
          <c:y val="4.6296296296296441E-3"/>
        </c:manualLayout>
      </c:layout>
      <c:overlay val="1"/>
    </c:title>
    <c:autoTitleDeleted val="0"/>
    <c:plotArea>
      <c:layout>
        <c:manualLayout>
          <c:layoutTarget val="inner"/>
          <c:xMode val="edge"/>
          <c:yMode val="edge"/>
          <c:x val="0.12624414041114088"/>
          <c:y val="0.14636824401375731"/>
          <c:w val="0.85624337600466083"/>
          <c:h val="0.47008344834686788"/>
        </c:manualLayout>
      </c:layout>
      <c:barChart>
        <c:barDir val="col"/>
        <c:grouping val="clustered"/>
        <c:varyColors val="0"/>
        <c:ser>
          <c:idx val="0"/>
          <c:order val="0"/>
          <c:tx>
            <c:strRef>
              <c:f>Sheet2!$Z$33</c:f>
              <c:strCache>
                <c:ptCount val="1"/>
                <c:pt idx="0">
                  <c:v>Main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Sheet2!$Z$34:$Z$44</c:f>
              <c:numCache>
                <c:formatCode>0.00</c:formatCode>
                <c:ptCount val="11"/>
                <c:pt idx="0">
                  <c:v>37.230000000000011</c:v>
                </c:pt>
                <c:pt idx="1">
                  <c:v>35.800000000000004</c:v>
                </c:pt>
                <c:pt idx="2">
                  <c:v>38.86</c:v>
                </c:pt>
                <c:pt idx="3">
                  <c:v>34.200000000000003</c:v>
                </c:pt>
                <c:pt idx="4">
                  <c:v>34.47</c:v>
                </c:pt>
                <c:pt idx="5">
                  <c:v>35.660000000000011</c:v>
                </c:pt>
                <c:pt idx="6">
                  <c:v>35.290000000000013</c:v>
                </c:pt>
                <c:pt idx="7">
                  <c:v>37.050000000000004</c:v>
                </c:pt>
                <c:pt idx="8">
                  <c:v>35.9</c:v>
                </c:pt>
                <c:pt idx="9">
                  <c:v>35.620000000000012</c:v>
                </c:pt>
                <c:pt idx="10">
                  <c:v>35.949999999999996</c:v>
                </c:pt>
              </c:numCache>
            </c:numRef>
          </c:val>
          <c:extLst>
            <c:ext xmlns:c16="http://schemas.microsoft.com/office/drawing/2014/chart" uri="{C3380CC4-5D6E-409C-BE32-E72D297353CC}">
              <c16:uniqueId val="{00000000-7D68-4CD6-8619-F2E202156EDC}"/>
            </c:ext>
          </c:extLst>
        </c:ser>
        <c:ser>
          <c:idx val="1"/>
          <c:order val="1"/>
          <c:tx>
            <c:strRef>
              <c:f>Sheet2!$AA$33</c:f>
              <c:strCache>
                <c:ptCount val="1"/>
                <c:pt idx="0">
                  <c:v>Marginal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Sheet2!$AA$34:$AA$44</c:f>
              <c:numCache>
                <c:formatCode>0.00</c:formatCode>
                <c:ptCount val="11"/>
                <c:pt idx="0">
                  <c:v>8.32</c:v>
                </c:pt>
                <c:pt idx="1">
                  <c:v>9.5300000000000011</c:v>
                </c:pt>
                <c:pt idx="2">
                  <c:v>8.7000000000000011</c:v>
                </c:pt>
                <c:pt idx="3">
                  <c:v>11.6</c:v>
                </c:pt>
                <c:pt idx="4">
                  <c:v>13.16</c:v>
                </c:pt>
                <c:pt idx="5">
                  <c:v>10.54</c:v>
                </c:pt>
                <c:pt idx="6">
                  <c:v>10.07</c:v>
                </c:pt>
                <c:pt idx="7">
                  <c:v>8.08</c:v>
                </c:pt>
                <c:pt idx="8">
                  <c:v>9.2200000000000006</c:v>
                </c:pt>
                <c:pt idx="9">
                  <c:v>11.44</c:v>
                </c:pt>
                <c:pt idx="10">
                  <c:v>10.050000000000002</c:v>
                </c:pt>
              </c:numCache>
            </c:numRef>
          </c:val>
          <c:extLst>
            <c:ext xmlns:c16="http://schemas.microsoft.com/office/drawing/2014/chart" uri="{C3380CC4-5D6E-409C-BE32-E72D297353CC}">
              <c16:uniqueId val="{00000001-7D68-4CD6-8619-F2E202156EDC}"/>
            </c:ext>
          </c:extLst>
        </c:ser>
        <c:ser>
          <c:idx val="2"/>
          <c:order val="2"/>
          <c:tx>
            <c:strRef>
              <c:f>Sheet2!$AB$33</c:f>
              <c:strCache>
                <c:ptCount val="1"/>
                <c:pt idx="0">
                  <c:v>Non Worker</c:v>
                </c:pt>
              </c:strCache>
            </c:strRef>
          </c:tx>
          <c:invertIfNegative val="0"/>
          <c:cat>
            <c:strRef>
              <c:f>Sheet2!$Y$34:$Y$44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Sheet2!$AB$34:$AB$44</c:f>
              <c:numCache>
                <c:formatCode>0.00</c:formatCode>
                <c:ptCount val="11"/>
                <c:pt idx="0">
                  <c:v>54.44</c:v>
                </c:pt>
                <c:pt idx="1">
                  <c:v>54.660000000000011</c:v>
                </c:pt>
                <c:pt idx="2">
                  <c:v>52.44</c:v>
                </c:pt>
                <c:pt idx="3">
                  <c:v>54.2</c:v>
                </c:pt>
                <c:pt idx="4">
                  <c:v>52.37</c:v>
                </c:pt>
                <c:pt idx="5">
                  <c:v>53.790000000000013</c:v>
                </c:pt>
                <c:pt idx="6">
                  <c:v>54.65</c:v>
                </c:pt>
                <c:pt idx="7">
                  <c:v>54.87</c:v>
                </c:pt>
                <c:pt idx="8">
                  <c:v>54.879999999999995</c:v>
                </c:pt>
                <c:pt idx="9">
                  <c:v>52.93</c:v>
                </c:pt>
                <c:pt idx="10">
                  <c:v>53.99</c:v>
                </c:pt>
              </c:numCache>
            </c:numRef>
          </c:val>
          <c:extLst>
            <c:ext xmlns:c16="http://schemas.microsoft.com/office/drawing/2014/chart" uri="{C3380CC4-5D6E-409C-BE32-E72D297353CC}">
              <c16:uniqueId val="{00000002-7D68-4CD6-8619-F2E202156EDC}"/>
            </c:ext>
          </c:extLst>
        </c:ser>
        <c:dLbls>
          <c:showLegendKey val="0"/>
          <c:showVal val="0"/>
          <c:showCatName val="0"/>
          <c:showSerName val="0"/>
          <c:showPercent val="0"/>
          <c:showBubbleSize val="0"/>
        </c:dLbls>
        <c:gapWidth val="150"/>
        <c:axId val="99732864"/>
        <c:axId val="105663104"/>
      </c:barChart>
      <c:catAx>
        <c:axId val="99732864"/>
        <c:scaling>
          <c:orientation val="minMax"/>
        </c:scaling>
        <c:delete val="0"/>
        <c:axPos val="b"/>
        <c:title>
          <c:tx>
            <c:rich>
              <a:bodyPr/>
              <a:lstStyle/>
              <a:p>
                <a:pPr>
                  <a:defRPr sz="800"/>
                </a:pPr>
                <a:r>
                  <a:rPr lang="en-US" sz="800"/>
                  <a:t>Blocks</a:t>
                </a:r>
              </a:p>
            </c:rich>
          </c:tx>
          <c:layout>
            <c:manualLayout>
              <c:xMode val="edge"/>
              <c:yMode val="edge"/>
              <c:x val="0.36330139583377857"/>
              <c:y val="0.80937728479436288"/>
            </c:manualLayout>
          </c:layout>
          <c:overlay val="0"/>
        </c:title>
        <c:numFmt formatCode="General" sourceLinked="0"/>
        <c:majorTickMark val="out"/>
        <c:minorTickMark val="none"/>
        <c:tickLblPos val="nextTo"/>
        <c:txPr>
          <a:bodyPr/>
          <a:lstStyle/>
          <a:p>
            <a:pPr>
              <a:defRPr sz="800"/>
            </a:pPr>
            <a:endParaRPr lang="en-US"/>
          </a:p>
        </c:txPr>
        <c:crossAx val="105663104"/>
        <c:crosses val="autoZero"/>
        <c:auto val="1"/>
        <c:lblAlgn val="ctr"/>
        <c:lblOffset val="0"/>
        <c:noMultiLvlLbl val="0"/>
      </c:catAx>
      <c:valAx>
        <c:axId val="105663104"/>
        <c:scaling>
          <c:orientation val="minMax"/>
        </c:scaling>
        <c:delete val="0"/>
        <c:axPos val="l"/>
        <c:title>
          <c:tx>
            <c:rich>
              <a:bodyPr rot="-5400000" vert="horz"/>
              <a:lstStyle/>
              <a:p>
                <a:pPr>
                  <a:defRPr sz="800"/>
                </a:pPr>
                <a:r>
                  <a:rPr lang="en-US" sz="800"/>
                  <a:t>Percentage</a:t>
                </a:r>
              </a:p>
            </c:rich>
          </c:tx>
          <c:overlay val="0"/>
        </c:title>
        <c:numFmt formatCode="0" sourceLinked="0"/>
        <c:majorTickMark val="out"/>
        <c:minorTickMark val="none"/>
        <c:tickLblPos val="nextTo"/>
        <c:txPr>
          <a:bodyPr/>
          <a:lstStyle/>
          <a:p>
            <a:pPr>
              <a:defRPr sz="800"/>
            </a:pPr>
            <a:endParaRPr lang="en-US"/>
          </a:p>
        </c:txPr>
        <c:crossAx val="99732864"/>
        <c:crosses val="autoZero"/>
        <c:crossBetween val="between"/>
      </c:valAx>
    </c:plotArea>
    <c:legend>
      <c:legendPos val="b"/>
      <c:layout>
        <c:manualLayout>
          <c:xMode val="edge"/>
          <c:yMode val="edge"/>
          <c:x val="0.15152187226596675"/>
          <c:y val="0.91628280839894949"/>
          <c:w val="0.68584514435695543"/>
          <c:h val="8.3717191601050026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00"/>
            </a:pPr>
            <a:r>
              <a:rPr lang="en-US" sz="900" b="1" i="0" baseline="0"/>
              <a:t>Classification of Female Workers in Mathura District, 2011</a:t>
            </a:r>
            <a:endParaRPr lang="en-US" sz="900"/>
          </a:p>
        </c:rich>
      </c:tx>
      <c:layout>
        <c:manualLayout>
          <c:xMode val="edge"/>
          <c:yMode val="edge"/>
          <c:x val="0.16837849305509317"/>
          <c:y val="6.2209646982690431E-3"/>
        </c:manualLayout>
      </c:layout>
      <c:overlay val="0"/>
    </c:title>
    <c:autoTitleDeleted val="0"/>
    <c:plotArea>
      <c:layout>
        <c:manualLayout>
          <c:layoutTarget val="inner"/>
          <c:xMode val="edge"/>
          <c:yMode val="edge"/>
          <c:x val="0.14440848186890134"/>
          <c:y val="0.13388713460098678"/>
          <c:w val="0.83612614097407534"/>
          <c:h val="0.51598048686016051"/>
        </c:manualLayout>
      </c:layout>
      <c:barChart>
        <c:barDir val="col"/>
        <c:grouping val="clustered"/>
        <c:varyColors val="0"/>
        <c:ser>
          <c:idx val="0"/>
          <c:order val="0"/>
          <c:tx>
            <c:strRef>
              <c:f>Sheet2!$AE$33</c:f>
              <c:strCache>
                <c:ptCount val="1"/>
                <c:pt idx="0">
                  <c:v>Main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Sheet2!$AE$34:$AE$44</c:f>
              <c:numCache>
                <c:formatCode>0.00</c:formatCode>
                <c:ptCount val="11"/>
                <c:pt idx="0">
                  <c:v>12</c:v>
                </c:pt>
                <c:pt idx="1">
                  <c:v>7.09</c:v>
                </c:pt>
                <c:pt idx="2">
                  <c:v>14.54</c:v>
                </c:pt>
                <c:pt idx="3">
                  <c:v>8.7100000000000009</c:v>
                </c:pt>
                <c:pt idx="4">
                  <c:v>8.3800000000000008</c:v>
                </c:pt>
                <c:pt idx="5">
                  <c:v>7.23</c:v>
                </c:pt>
                <c:pt idx="6">
                  <c:v>6.5</c:v>
                </c:pt>
                <c:pt idx="7">
                  <c:v>5.7</c:v>
                </c:pt>
                <c:pt idx="8">
                  <c:v>5.89</c:v>
                </c:pt>
                <c:pt idx="9">
                  <c:v>10</c:v>
                </c:pt>
                <c:pt idx="10">
                  <c:v>8.2200000000000006</c:v>
                </c:pt>
              </c:numCache>
            </c:numRef>
          </c:val>
          <c:extLst>
            <c:ext xmlns:c16="http://schemas.microsoft.com/office/drawing/2014/chart" uri="{C3380CC4-5D6E-409C-BE32-E72D297353CC}">
              <c16:uniqueId val="{00000000-4224-45F5-A770-91B32E398040}"/>
            </c:ext>
          </c:extLst>
        </c:ser>
        <c:ser>
          <c:idx val="1"/>
          <c:order val="1"/>
          <c:tx>
            <c:strRef>
              <c:f>Sheet2!$AF$33</c:f>
              <c:strCache>
                <c:ptCount val="1"/>
                <c:pt idx="0">
                  <c:v>Marginal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Sheet2!$AF$34:$AF$44</c:f>
              <c:numCache>
                <c:formatCode>0.00</c:formatCode>
                <c:ptCount val="11"/>
                <c:pt idx="0">
                  <c:v>13.75</c:v>
                </c:pt>
                <c:pt idx="1">
                  <c:v>16.54</c:v>
                </c:pt>
                <c:pt idx="2">
                  <c:v>17.75</c:v>
                </c:pt>
                <c:pt idx="3">
                  <c:v>12.719999999999999</c:v>
                </c:pt>
                <c:pt idx="4">
                  <c:v>14.32</c:v>
                </c:pt>
                <c:pt idx="5">
                  <c:v>11.860000000000005</c:v>
                </c:pt>
                <c:pt idx="6">
                  <c:v>11.53</c:v>
                </c:pt>
                <c:pt idx="7">
                  <c:v>7.07</c:v>
                </c:pt>
                <c:pt idx="8">
                  <c:v>9.82</c:v>
                </c:pt>
                <c:pt idx="9">
                  <c:v>14.870000000000005</c:v>
                </c:pt>
                <c:pt idx="10">
                  <c:v>12.629999999999999</c:v>
                </c:pt>
              </c:numCache>
            </c:numRef>
          </c:val>
          <c:extLst>
            <c:ext xmlns:c16="http://schemas.microsoft.com/office/drawing/2014/chart" uri="{C3380CC4-5D6E-409C-BE32-E72D297353CC}">
              <c16:uniqueId val="{00000001-4224-45F5-A770-91B32E398040}"/>
            </c:ext>
          </c:extLst>
        </c:ser>
        <c:ser>
          <c:idx val="2"/>
          <c:order val="2"/>
          <c:tx>
            <c:strRef>
              <c:f>Sheet2!$AG$33</c:f>
              <c:strCache>
                <c:ptCount val="1"/>
                <c:pt idx="0">
                  <c:v>Non Worker</c:v>
                </c:pt>
              </c:strCache>
            </c:strRef>
          </c:tx>
          <c:invertIfNegative val="0"/>
          <c:cat>
            <c:strRef>
              <c:f>Sheet2!$AD$34:$AD$44</c:f>
              <c:strCache>
                <c:ptCount val="11"/>
                <c:pt idx="0">
                  <c:v>Nandgaon</c:v>
                </c:pt>
                <c:pt idx="1">
                  <c:v>Chhata</c:v>
                </c:pt>
                <c:pt idx="2">
                  <c:v>Chaumuha</c:v>
                </c:pt>
                <c:pt idx="3">
                  <c:v>Nohjhil</c:v>
                </c:pt>
                <c:pt idx="4">
                  <c:v>Mat</c:v>
                </c:pt>
                <c:pt idx="5">
                  <c:v>Raya</c:v>
                </c:pt>
                <c:pt idx="6">
                  <c:v>Govardhan</c:v>
                </c:pt>
                <c:pt idx="7">
                  <c:v>Mathura</c:v>
                </c:pt>
                <c:pt idx="8">
                  <c:v>Farah</c:v>
                </c:pt>
                <c:pt idx="9">
                  <c:v>Baldeo</c:v>
                </c:pt>
                <c:pt idx="10">
                  <c:v>District</c:v>
                </c:pt>
              </c:strCache>
            </c:strRef>
          </c:cat>
          <c:val>
            <c:numRef>
              <c:f>Sheet2!$AG$34:$AG$44</c:f>
              <c:numCache>
                <c:formatCode>0.00</c:formatCode>
                <c:ptCount val="11"/>
                <c:pt idx="0">
                  <c:v>74.25</c:v>
                </c:pt>
                <c:pt idx="1">
                  <c:v>76.36999999999999</c:v>
                </c:pt>
                <c:pt idx="2">
                  <c:v>67.709999999999994</c:v>
                </c:pt>
                <c:pt idx="3">
                  <c:v>78.569999999999993</c:v>
                </c:pt>
                <c:pt idx="4">
                  <c:v>77.3</c:v>
                </c:pt>
                <c:pt idx="5">
                  <c:v>80.910000000000025</c:v>
                </c:pt>
                <c:pt idx="6">
                  <c:v>81.960000000000022</c:v>
                </c:pt>
                <c:pt idx="7">
                  <c:v>87.23</c:v>
                </c:pt>
                <c:pt idx="8">
                  <c:v>84.29</c:v>
                </c:pt>
                <c:pt idx="9">
                  <c:v>75.14</c:v>
                </c:pt>
                <c:pt idx="10">
                  <c:v>79.149999999999991</c:v>
                </c:pt>
              </c:numCache>
            </c:numRef>
          </c:val>
          <c:extLst>
            <c:ext xmlns:c16="http://schemas.microsoft.com/office/drawing/2014/chart" uri="{C3380CC4-5D6E-409C-BE32-E72D297353CC}">
              <c16:uniqueId val="{00000002-4224-45F5-A770-91B32E398040}"/>
            </c:ext>
          </c:extLst>
        </c:ser>
        <c:dLbls>
          <c:showLegendKey val="0"/>
          <c:showVal val="0"/>
          <c:showCatName val="0"/>
          <c:showSerName val="0"/>
          <c:showPercent val="0"/>
          <c:showBubbleSize val="0"/>
        </c:dLbls>
        <c:gapWidth val="150"/>
        <c:axId val="129383040"/>
        <c:axId val="129406464"/>
      </c:barChart>
      <c:catAx>
        <c:axId val="129383040"/>
        <c:scaling>
          <c:orientation val="minMax"/>
        </c:scaling>
        <c:delete val="0"/>
        <c:axPos val="b"/>
        <c:title>
          <c:tx>
            <c:rich>
              <a:bodyPr/>
              <a:lstStyle/>
              <a:p>
                <a:pPr>
                  <a:defRPr sz="800"/>
                </a:pPr>
                <a:r>
                  <a:rPr lang="en-US" sz="800"/>
                  <a:t>Blocks</a:t>
                </a:r>
              </a:p>
            </c:rich>
          </c:tx>
          <c:layout>
            <c:manualLayout>
              <c:xMode val="edge"/>
              <c:yMode val="edge"/>
              <c:x val="0.38281814898325012"/>
              <c:y val="0.82799351451440506"/>
            </c:manualLayout>
          </c:layout>
          <c:overlay val="0"/>
        </c:title>
        <c:numFmt formatCode="General" sourceLinked="0"/>
        <c:majorTickMark val="out"/>
        <c:minorTickMark val="none"/>
        <c:tickLblPos val="nextTo"/>
        <c:txPr>
          <a:bodyPr/>
          <a:lstStyle/>
          <a:p>
            <a:pPr>
              <a:defRPr sz="800"/>
            </a:pPr>
            <a:endParaRPr lang="en-US"/>
          </a:p>
        </c:txPr>
        <c:crossAx val="129406464"/>
        <c:crosses val="autoZero"/>
        <c:auto val="1"/>
        <c:lblAlgn val="ctr"/>
        <c:lblOffset val="0"/>
        <c:noMultiLvlLbl val="0"/>
      </c:catAx>
      <c:valAx>
        <c:axId val="129406464"/>
        <c:scaling>
          <c:orientation val="minMax"/>
          <c:max val="90"/>
        </c:scaling>
        <c:delete val="0"/>
        <c:axPos val="l"/>
        <c:title>
          <c:tx>
            <c:rich>
              <a:bodyPr rot="-5400000" vert="horz"/>
              <a:lstStyle/>
              <a:p>
                <a:pPr>
                  <a:defRPr sz="800"/>
                </a:pPr>
                <a:r>
                  <a:rPr lang="en-US" sz="800"/>
                  <a:t>Percentage</a:t>
                </a:r>
              </a:p>
            </c:rich>
          </c:tx>
          <c:layout>
            <c:manualLayout>
              <c:xMode val="edge"/>
              <c:yMode val="edge"/>
              <c:x val="3.8797501867287578E-3"/>
              <c:y val="0.24281955659684457"/>
            </c:manualLayout>
          </c:layout>
          <c:overlay val="0"/>
        </c:title>
        <c:numFmt formatCode="General" sourceLinked="0"/>
        <c:majorTickMark val="out"/>
        <c:minorTickMark val="none"/>
        <c:tickLblPos val="nextTo"/>
        <c:txPr>
          <a:bodyPr/>
          <a:lstStyle/>
          <a:p>
            <a:pPr>
              <a:defRPr sz="800"/>
            </a:pPr>
            <a:endParaRPr lang="en-US"/>
          </a:p>
        </c:txPr>
        <c:crossAx val="129383040"/>
        <c:crosses val="autoZero"/>
        <c:crossBetween val="between"/>
        <c:majorUnit val="10"/>
      </c:valAx>
    </c:plotArea>
    <c:legend>
      <c:legendPos val="b"/>
      <c:layout>
        <c:manualLayout>
          <c:xMode val="edge"/>
          <c:yMode val="edge"/>
          <c:x val="0.1768906547256848"/>
          <c:y val="0.91031749461260558"/>
          <c:w val="0.68584514435695543"/>
          <c:h val="8.3717191601050026E-2"/>
        </c:manualLayout>
      </c:layout>
      <c:overlay val="0"/>
      <c:txPr>
        <a:bodyPr/>
        <a:lstStyle/>
        <a:p>
          <a:pPr>
            <a:defRPr sz="7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4C85C-D8D4-4398-8B5A-80EFC5D9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50</cp:revision>
  <dcterms:created xsi:type="dcterms:W3CDTF">2026-05-07T14:18:00Z</dcterms:created>
  <dcterms:modified xsi:type="dcterms:W3CDTF">2026-05-13T11:55:00Z</dcterms:modified>
</cp:coreProperties>
</file>