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66FB45" w14:textId="77777777" w:rsidR="006027D5" w:rsidRPr="00FF4E0D" w:rsidRDefault="001E24BB" w:rsidP="00EA7AFF">
      <w:pPr>
        <w:shd w:val="clear" w:color="auto" w:fill="FFFFFF" w:themeFill="background1"/>
        <w:spacing w:after="0" w:line="240" w:lineRule="auto"/>
        <w:jc w:val="center"/>
        <w:rPr>
          <w:rFonts w:cs="Times New Roman"/>
          <w:b/>
          <w:szCs w:val="24"/>
        </w:rPr>
      </w:pPr>
      <w:bookmarkStart w:id="0" w:name="_Hlk230177619"/>
      <w:r w:rsidRPr="00FF4E0D">
        <w:rPr>
          <w:rFonts w:cs="Times New Roman"/>
          <w:b/>
          <w:szCs w:val="24"/>
        </w:rPr>
        <w:t xml:space="preserve">CURRENT STATUS AND SOLUTIONS FOR ENHANCING DIGITAL COMPETENCE AMONG LECTURERS AT </w:t>
      </w:r>
      <w:r w:rsidR="00EA7AFF" w:rsidRPr="00FF4E0D">
        <w:rPr>
          <w:rFonts w:cs="Times New Roman"/>
          <w:b/>
          <w:szCs w:val="24"/>
        </w:rPr>
        <w:t>DA NANG SPORTS UNIVERSITY</w:t>
      </w:r>
      <w:r w:rsidRPr="00FF4E0D">
        <w:rPr>
          <w:rFonts w:cs="Times New Roman"/>
          <w:b/>
          <w:szCs w:val="24"/>
        </w:rPr>
        <w:t>, VIETNAM</w:t>
      </w:r>
    </w:p>
    <w:bookmarkEnd w:id="0"/>
    <w:p w14:paraId="73C26DB0" w14:textId="77777777" w:rsidR="00FF4E0D" w:rsidRPr="00FF4E0D" w:rsidRDefault="00FF4E0D" w:rsidP="00EA7AFF">
      <w:pPr>
        <w:shd w:val="clear" w:color="auto" w:fill="FFFFFF" w:themeFill="background1"/>
        <w:spacing w:after="0" w:line="240" w:lineRule="auto"/>
        <w:jc w:val="center"/>
        <w:rPr>
          <w:rFonts w:cs="Times New Roman"/>
          <w:b/>
          <w:szCs w:val="24"/>
        </w:rPr>
      </w:pPr>
    </w:p>
    <w:p w14:paraId="2D414A34" w14:textId="1CC1AF97" w:rsidR="00FF4E0D" w:rsidRDefault="00FF4E0D" w:rsidP="00EA7AFF">
      <w:pPr>
        <w:shd w:val="clear" w:color="auto" w:fill="FFFFFF" w:themeFill="background1"/>
        <w:spacing w:after="0" w:line="240" w:lineRule="auto"/>
        <w:jc w:val="center"/>
        <w:rPr>
          <w:rFonts w:cs="Times New Roman"/>
          <w:szCs w:val="24"/>
        </w:rPr>
      </w:pPr>
    </w:p>
    <w:p w14:paraId="4D7A030E" w14:textId="5CD409B3" w:rsidR="00D92DB5" w:rsidRDefault="00D92DB5" w:rsidP="00EA7AFF">
      <w:pPr>
        <w:shd w:val="clear" w:color="auto" w:fill="FFFFFF" w:themeFill="background1"/>
        <w:spacing w:after="0" w:line="240" w:lineRule="auto"/>
        <w:jc w:val="center"/>
        <w:rPr>
          <w:rFonts w:cs="Times New Roman"/>
          <w:szCs w:val="24"/>
        </w:rPr>
      </w:pPr>
    </w:p>
    <w:p w14:paraId="4D84FB28" w14:textId="77777777" w:rsidR="00D92DB5" w:rsidRPr="00FF4E0D" w:rsidRDefault="00D92DB5" w:rsidP="00EA7AFF">
      <w:pPr>
        <w:shd w:val="clear" w:color="auto" w:fill="FFFFFF" w:themeFill="background1"/>
        <w:spacing w:after="0" w:line="240" w:lineRule="auto"/>
        <w:jc w:val="center"/>
        <w:rPr>
          <w:rFonts w:cs="Times New Roman"/>
          <w:szCs w:val="24"/>
        </w:rPr>
      </w:pPr>
    </w:p>
    <w:p w14:paraId="3CC87918" w14:textId="77777777" w:rsidR="006027D5" w:rsidRDefault="001E24BB" w:rsidP="00EA7AFF">
      <w:pPr>
        <w:pStyle w:val="Heading1"/>
        <w:shd w:val="clear" w:color="auto" w:fill="FFFFFF" w:themeFill="background1"/>
        <w:spacing w:before="0" w:line="240" w:lineRule="auto"/>
        <w:ind w:firstLine="567"/>
        <w:jc w:val="both"/>
        <w:rPr>
          <w:rFonts w:ascii="Times New Roman" w:eastAsia="Times New Roman" w:hAnsi="Times New Roman" w:cs="Times New Roman"/>
          <w:b w:val="0"/>
          <w:color w:val="auto"/>
          <w:sz w:val="24"/>
          <w:szCs w:val="24"/>
        </w:rPr>
      </w:pPr>
      <w:r w:rsidRPr="00FF4E0D">
        <w:rPr>
          <w:rFonts w:ascii="Times New Roman" w:eastAsia="Times New Roman" w:hAnsi="Times New Roman" w:cs="Times New Roman"/>
          <w:color w:val="auto"/>
          <w:sz w:val="24"/>
          <w:szCs w:val="24"/>
        </w:rPr>
        <w:t>Abstract</w:t>
      </w:r>
      <w:r w:rsidR="00EA7AFF" w:rsidRPr="00FF4E0D">
        <w:rPr>
          <w:rFonts w:ascii="Times New Roman" w:eastAsia="Times New Roman" w:hAnsi="Times New Roman" w:cs="Times New Roman"/>
          <w:color w:val="auto"/>
          <w:sz w:val="24"/>
          <w:szCs w:val="24"/>
        </w:rPr>
        <w:t>:</w:t>
      </w:r>
      <w:r w:rsidR="00EA7AFF" w:rsidRPr="00FF4E0D">
        <w:rPr>
          <w:rFonts w:ascii="Times New Roman" w:eastAsia="Times New Roman" w:hAnsi="Times New Roman" w:cs="Times New Roman"/>
          <w:b w:val="0"/>
          <w:color w:val="auto"/>
          <w:sz w:val="24"/>
          <w:szCs w:val="24"/>
        </w:rPr>
        <w:t xml:space="preserve"> </w:t>
      </w:r>
      <w:r w:rsidRPr="00FF4E0D">
        <w:rPr>
          <w:rFonts w:ascii="Times New Roman" w:eastAsia="Times New Roman" w:hAnsi="Times New Roman" w:cs="Times New Roman"/>
          <w:b w:val="0"/>
          <w:color w:val="auto"/>
          <w:sz w:val="24"/>
          <w:szCs w:val="24"/>
        </w:rPr>
        <w:t xml:space="preserve">This article assesses the current status of digital competence among lecturers at </w:t>
      </w:r>
      <w:r w:rsidR="00EA7AFF" w:rsidRPr="00FF4E0D">
        <w:rPr>
          <w:rFonts w:ascii="Times New Roman" w:eastAsia="Times New Roman" w:hAnsi="Times New Roman" w:cs="Times New Roman"/>
          <w:b w:val="0"/>
          <w:color w:val="auto"/>
          <w:sz w:val="24"/>
          <w:szCs w:val="24"/>
        </w:rPr>
        <w:t>Da Nang Sports</w:t>
      </w:r>
      <w:r w:rsidR="00EA7AFF" w:rsidRPr="00FF4E0D">
        <w:rPr>
          <w:rFonts w:ascii="Times New Roman" w:hAnsi="Times New Roman" w:cs="Times New Roman"/>
          <w:b w:val="0"/>
          <w:color w:val="auto"/>
          <w:szCs w:val="24"/>
        </w:rPr>
        <w:t xml:space="preserve"> </w:t>
      </w:r>
      <w:r w:rsidR="00EA7AFF" w:rsidRPr="00FF4E0D">
        <w:rPr>
          <w:rFonts w:ascii="Times New Roman" w:eastAsia="Times New Roman" w:hAnsi="Times New Roman" w:cs="Times New Roman"/>
          <w:b w:val="0"/>
          <w:color w:val="auto"/>
          <w:sz w:val="24"/>
          <w:szCs w:val="24"/>
        </w:rPr>
        <w:t>University</w:t>
      </w:r>
      <w:r w:rsidRPr="00FF4E0D">
        <w:rPr>
          <w:rFonts w:ascii="Times New Roman" w:eastAsia="Times New Roman" w:hAnsi="Times New Roman" w:cs="Times New Roman"/>
          <w:b w:val="0"/>
          <w:color w:val="auto"/>
          <w:sz w:val="24"/>
          <w:szCs w:val="24"/>
        </w:rPr>
        <w:t xml:space="preserve"> in the context of digital transformation in higher education. The study employs descriptive and quantitative analytical methods based on a survey of 86 lecturers, using a scale comprising seven competence domains and 28 observed variables. The survey results show that lecturers’ overall digital competence is at a hig</w:t>
      </w:r>
      <w:bookmarkStart w:id="1" w:name="_GoBack"/>
      <w:bookmarkEnd w:id="1"/>
      <w:r w:rsidRPr="00FF4E0D">
        <w:rPr>
          <w:rFonts w:ascii="Times New Roman" w:eastAsia="Times New Roman" w:hAnsi="Times New Roman" w:cs="Times New Roman"/>
          <w:b w:val="0"/>
          <w:color w:val="auto"/>
          <w:sz w:val="24"/>
          <w:szCs w:val="24"/>
        </w:rPr>
        <w:t>h average level, approaching the good level, with an overall mean score of 3.36. The study indicates that the development of lecturers’ digital competence is influenced by technological infrastructure, incentive policies, training programs, technical support, time for self-study, and the distinctive characteristics of practical physical education and sports courses. On this basis, the article proposes several solutions to enhance lecturers’ digital competence, including discipline-based training, the development of digital learning resources, strengthened infrastructure and technical support, innovation in assessment, the development of digital research competence, and the responsible use of artificial intelligence.</w:t>
      </w:r>
    </w:p>
    <w:p w14:paraId="017B87BF" w14:textId="77777777" w:rsidR="002F2EA1" w:rsidRPr="002F2EA1" w:rsidRDefault="002F2EA1" w:rsidP="002F2EA1"/>
    <w:p w14:paraId="71DA5D24" w14:textId="77777777" w:rsidR="006027D5" w:rsidRDefault="001E24BB" w:rsidP="00EA7AFF">
      <w:pPr>
        <w:shd w:val="clear" w:color="auto" w:fill="FFFFFF" w:themeFill="background1"/>
        <w:spacing w:after="0" w:line="240" w:lineRule="auto"/>
        <w:ind w:firstLine="432"/>
        <w:jc w:val="both"/>
        <w:rPr>
          <w:rFonts w:cs="Times New Roman"/>
          <w:szCs w:val="24"/>
        </w:rPr>
      </w:pPr>
      <w:r w:rsidRPr="00FF4E0D">
        <w:rPr>
          <w:rFonts w:cs="Times New Roman"/>
          <w:b/>
          <w:szCs w:val="24"/>
        </w:rPr>
        <w:t>Keywords:</w:t>
      </w:r>
      <w:r w:rsidRPr="00FF4E0D">
        <w:rPr>
          <w:rFonts w:cs="Times New Roman"/>
          <w:szCs w:val="24"/>
        </w:rPr>
        <w:t xml:space="preserve"> digital competence; digital transformation; higher education; physical education and sports; </w:t>
      </w:r>
      <w:r w:rsidR="00EA7AFF" w:rsidRPr="00FF4E0D">
        <w:rPr>
          <w:rFonts w:cs="Times New Roman"/>
          <w:szCs w:val="24"/>
        </w:rPr>
        <w:t>Da Nang Sports University</w:t>
      </w:r>
      <w:r w:rsidRPr="00FF4E0D">
        <w:rPr>
          <w:rFonts w:cs="Times New Roman"/>
          <w:szCs w:val="24"/>
        </w:rPr>
        <w:t>.</w:t>
      </w:r>
    </w:p>
    <w:p w14:paraId="301EC34E" w14:textId="77777777" w:rsidR="002F2EA1" w:rsidRPr="00FF4E0D" w:rsidRDefault="002F2EA1" w:rsidP="00EA7AFF">
      <w:pPr>
        <w:shd w:val="clear" w:color="auto" w:fill="FFFFFF" w:themeFill="background1"/>
        <w:spacing w:after="0" w:line="240" w:lineRule="auto"/>
        <w:ind w:firstLine="432"/>
        <w:jc w:val="both"/>
        <w:rPr>
          <w:rFonts w:cs="Times New Roman"/>
          <w:szCs w:val="24"/>
        </w:rPr>
      </w:pPr>
    </w:p>
    <w:p w14:paraId="61341C98" w14:textId="77777777" w:rsidR="006027D5" w:rsidRPr="00FF4E0D" w:rsidRDefault="001E24BB" w:rsidP="00EA7AFF">
      <w:pPr>
        <w:pStyle w:val="Heading1"/>
        <w:shd w:val="clear" w:color="auto" w:fill="FFFFFF" w:themeFill="background1"/>
        <w:spacing w:before="0" w:line="240" w:lineRule="auto"/>
        <w:rPr>
          <w:rFonts w:ascii="Times New Roman" w:hAnsi="Times New Roman" w:cs="Times New Roman"/>
          <w:color w:val="auto"/>
          <w:sz w:val="24"/>
          <w:szCs w:val="24"/>
        </w:rPr>
      </w:pPr>
      <w:r w:rsidRPr="00FF4E0D">
        <w:rPr>
          <w:rFonts w:ascii="Times New Roman" w:eastAsia="Times New Roman" w:hAnsi="Times New Roman" w:cs="Times New Roman"/>
          <w:color w:val="auto"/>
          <w:sz w:val="24"/>
          <w:szCs w:val="24"/>
        </w:rPr>
        <w:t>1. Introduction</w:t>
      </w:r>
    </w:p>
    <w:p w14:paraId="2739F06D" w14:textId="77777777" w:rsidR="006027D5" w:rsidRPr="00FF4E0D" w:rsidRDefault="001E24BB" w:rsidP="00EA7AFF">
      <w:pPr>
        <w:shd w:val="clear" w:color="auto" w:fill="FFFFFF" w:themeFill="background1"/>
        <w:spacing w:after="0" w:line="240" w:lineRule="auto"/>
        <w:ind w:firstLine="432"/>
        <w:jc w:val="both"/>
        <w:rPr>
          <w:rFonts w:cs="Times New Roman"/>
          <w:szCs w:val="24"/>
        </w:rPr>
      </w:pPr>
      <w:r w:rsidRPr="00FF4E0D">
        <w:rPr>
          <w:rFonts w:cs="Times New Roman"/>
          <w:szCs w:val="24"/>
        </w:rPr>
        <w:t>Digital transformation is profoundly changing higher education, from modes of teaching organization, assessment, and learning-resource development to the management of learning processes and learner support. In this context, lecturers’ digital competence has become an important component of professional competence. Lecturers need to be able to use digital technology to design lectures, exploit learning resources, organize teaching activities, assess learning outcomes, communicate with learners, and develop professionally in digital environments. The European Commission’s DigCompEdu framework identifies educators’ digital competence as a system of competences associated with professional engagement, digital resources, teaching and learning, assessment, learner empowerment, and facilitating learners’ digital competence. Meanwhile, the UNESCO ICT Competency Framework for Teachers emphasizes the development of teachers’ technological competence as a condition for innovating teaching and improving the quality of education (Redecker, 2017).</w:t>
      </w:r>
    </w:p>
    <w:p w14:paraId="74C94D14" w14:textId="77777777" w:rsidR="006027D5" w:rsidRPr="00FF4E0D" w:rsidRDefault="001E24BB" w:rsidP="00EA7AFF">
      <w:pPr>
        <w:shd w:val="clear" w:color="auto" w:fill="FFFFFF" w:themeFill="background1"/>
        <w:spacing w:after="0" w:line="240" w:lineRule="auto"/>
        <w:ind w:firstLine="432"/>
        <w:jc w:val="both"/>
        <w:rPr>
          <w:rFonts w:cs="Times New Roman"/>
          <w:szCs w:val="24"/>
        </w:rPr>
      </w:pPr>
      <w:r w:rsidRPr="00FF4E0D">
        <w:rPr>
          <w:rFonts w:cs="Times New Roman"/>
          <w:szCs w:val="24"/>
        </w:rPr>
        <w:t>In Vietnam, digital transformation in education has been identified as an important policy orientation. Decision No. 749/QD-TTg of 2020 approving the National Digital Transformation Program to 2025, with orientations to 2030; Decision No. 131/QD-TTg of 2022 approving the project on strengthening the application of information technology and digital transformation in education and training; and Decision No. 146/QD-TTg of 2022 on raising awareness, universalizing skills, and developing human resources for national digital transformation have created a policy basis for promoting digital competence in the education system. More recently, Circular No. 02/2025/TT-BGDDT stipulating the Digital Competence Framework for Learners further demonstrates the trend toward standardizing digital competence in Vietnamese education. These orientations impose an urgent requirement on higher education institutions to develop digital competence among their lecturers (Ministry of Education and Training, 2025).</w:t>
      </w:r>
    </w:p>
    <w:p w14:paraId="699EDD0B" w14:textId="77777777" w:rsidR="006027D5" w:rsidRDefault="001E24BB" w:rsidP="00EA7AFF">
      <w:pPr>
        <w:shd w:val="clear" w:color="auto" w:fill="FFFFFF" w:themeFill="background1"/>
        <w:spacing w:after="0" w:line="240" w:lineRule="auto"/>
        <w:ind w:firstLine="432"/>
        <w:jc w:val="both"/>
        <w:rPr>
          <w:rFonts w:cs="Times New Roman"/>
          <w:szCs w:val="24"/>
        </w:rPr>
      </w:pPr>
      <w:r w:rsidRPr="00FF4E0D">
        <w:rPr>
          <w:rFonts w:cs="Times New Roman"/>
          <w:szCs w:val="24"/>
        </w:rPr>
        <w:t xml:space="preserve">However, in the field of physical education and sports, teaching is closely linked to theory, practice, technical coaching, physical fitness assessment, and the monitoring of learners’ motor-skill </w:t>
      </w:r>
      <w:r w:rsidRPr="00FF4E0D">
        <w:rPr>
          <w:rFonts w:cs="Times New Roman"/>
          <w:szCs w:val="24"/>
        </w:rPr>
        <w:lastRenderedPageBreak/>
        <w:t xml:space="preserve">progress. Therefore, the digital competence of lecturers at Da Nang </w:t>
      </w:r>
      <w:r w:rsidR="00EA7AFF" w:rsidRPr="00FF4E0D">
        <w:rPr>
          <w:rFonts w:cs="Times New Roman"/>
          <w:szCs w:val="24"/>
        </w:rPr>
        <w:t xml:space="preserve">Sports </w:t>
      </w:r>
      <w:r w:rsidRPr="00FF4E0D">
        <w:rPr>
          <w:rFonts w:cs="Times New Roman"/>
          <w:szCs w:val="24"/>
        </w:rPr>
        <w:t>University cannot be understood merely as the ability to use common digital tools such as email, PowerPoint, Google Forms, or online teaching platforms. This competence should include the ability to design digital learning resources for practical courses, use videos to illustrate and analyze movement techniques, exploit technology to support the assessment of training outcomes, manage learning data, and guide students’ self-study in digital environments. Accordingly, the central scientific task at present is to accurately assess the current situation, develop a digital competence framework, identify influencing factors, and propose an appropriate system of solutions to improve the quality of teaching, coaching, research, and learning management in digital environments.</w:t>
      </w:r>
    </w:p>
    <w:p w14:paraId="11EB54C8" w14:textId="77777777" w:rsidR="002F2EA1" w:rsidRPr="00FF4E0D" w:rsidRDefault="002F2EA1" w:rsidP="00EA7AFF">
      <w:pPr>
        <w:shd w:val="clear" w:color="auto" w:fill="FFFFFF" w:themeFill="background1"/>
        <w:spacing w:after="0" w:line="240" w:lineRule="auto"/>
        <w:ind w:firstLine="432"/>
        <w:jc w:val="both"/>
        <w:rPr>
          <w:rFonts w:cs="Times New Roman"/>
          <w:szCs w:val="24"/>
        </w:rPr>
      </w:pPr>
    </w:p>
    <w:p w14:paraId="0E92D4AD" w14:textId="77777777" w:rsidR="006027D5" w:rsidRDefault="001E24BB" w:rsidP="00EA7AFF">
      <w:pPr>
        <w:pStyle w:val="Heading1"/>
        <w:shd w:val="clear" w:color="auto" w:fill="FFFFFF" w:themeFill="background1"/>
        <w:spacing w:before="0" w:line="240" w:lineRule="auto"/>
        <w:rPr>
          <w:rFonts w:ascii="Times New Roman" w:eastAsia="Times New Roman" w:hAnsi="Times New Roman" w:cs="Times New Roman"/>
          <w:color w:val="auto"/>
          <w:sz w:val="24"/>
          <w:szCs w:val="24"/>
        </w:rPr>
      </w:pPr>
      <w:r w:rsidRPr="00FF4E0D">
        <w:rPr>
          <w:rFonts w:ascii="Times New Roman" w:eastAsia="Times New Roman" w:hAnsi="Times New Roman" w:cs="Times New Roman"/>
          <w:color w:val="auto"/>
          <w:sz w:val="24"/>
          <w:szCs w:val="24"/>
        </w:rPr>
        <w:t>2. Theoretical Basis and Research Methodology</w:t>
      </w:r>
    </w:p>
    <w:p w14:paraId="4C617D50" w14:textId="77777777" w:rsidR="002F2EA1" w:rsidRPr="002F2EA1" w:rsidRDefault="002F2EA1" w:rsidP="002F2EA1"/>
    <w:p w14:paraId="31F5B6FB" w14:textId="77777777" w:rsidR="006027D5" w:rsidRPr="00FF4E0D" w:rsidRDefault="001E24BB" w:rsidP="00EA7AFF">
      <w:pPr>
        <w:shd w:val="clear" w:color="auto" w:fill="FFFFFF" w:themeFill="background1"/>
        <w:spacing w:after="0" w:line="240" w:lineRule="auto"/>
        <w:ind w:firstLine="432"/>
        <w:jc w:val="both"/>
        <w:rPr>
          <w:rFonts w:cs="Times New Roman"/>
          <w:szCs w:val="24"/>
        </w:rPr>
      </w:pPr>
      <w:r w:rsidRPr="00FF4E0D">
        <w:rPr>
          <w:rFonts w:cs="Times New Roman"/>
          <w:szCs w:val="24"/>
        </w:rPr>
        <w:t>Digital competence is understood as the ability to use digital technology effectively, safely, responsibly, and creatively in learning, work, communication, problem solving, and professional development. In higher education, lecturers’ digital competence is directly associated with professional activities such as lesson design, exploitation of digital resources, teaching organization, assessment, learner support, scientific research, and participation in academic communities in digital environments. This approach is consistent with the European Commission’s DigCompEdu framework, in which educators’ digital competence is structured into areas such as professional engagement, digital resources, teaching and learning, assessment, learner empowerment, and facilitating learners’ digital competence (Redecker, 2017). In addition, the UNESCO ICT Competency Framework for Teachers emphasizes the role of information and communication technology competence in teacher education, teacher professional development, and educational innovation in both general education and higher education (Mtebe, 2020; Moore, 2016).</w:t>
      </w:r>
    </w:p>
    <w:p w14:paraId="3A79959F" w14:textId="77777777" w:rsidR="006027D5" w:rsidRPr="00FF4E0D" w:rsidRDefault="001E24BB" w:rsidP="00EA7AFF">
      <w:pPr>
        <w:shd w:val="clear" w:color="auto" w:fill="FFFFFF" w:themeFill="background1"/>
        <w:spacing w:after="0" w:line="240" w:lineRule="auto"/>
        <w:ind w:firstLine="432"/>
        <w:jc w:val="both"/>
        <w:rPr>
          <w:rFonts w:cs="Times New Roman"/>
          <w:szCs w:val="24"/>
        </w:rPr>
      </w:pPr>
      <w:r w:rsidRPr="00FF4E0D">
        <w:rPr>
          <w:rFonts w:cs="Times New Roman"/>
          <w:szCs w:val="24"/>
        </w:rPr>
        <w:t>Recent studies show that the digital competence of university lecturers is a multidimensional construct influenced by both individual factors and institutional conditions. A systematic review of standards for lecturers’ digital competence in higher education indicates that current studies often focus on three main directions: developing competence frameworks, designing diagnostic instruments, and proposing training programs. However, a remaining issue is the absence of absolute consensus on the competences that university lecturers need to master in digital environments (Basantes-Andrade et al., 2022). Another review on digital teaching competence in higher education also emphasizes that universities need to develop lecturers’ digital competence as a condition for innovating pedagogical methods, adapting to digital learning environments, and improving training quality (Fernández-Batanero et al., 2021).</w:t>
      </w:r>
    </w:p>
    <w:p w14:paraId="656DD7D1" w14:textId="77777777" w:rsidR="006027D5" w:rsidRPr="00FF4E0D" w:rsidRDefault="001E24BB" w:rsidP="00EA7AFF">
      <w:pPr>
        <w:shd w:val="clear" w:color="auto" w:fill="FFFFFF" w:themeFill="background1"/>
        <w:spacing w:after="0" w:line="240" w:lineRule="auto"/>
        <w:ind w:firstLine="432"/>
        <w:jc w:val="both"/>
        <w:rPr>
          <w:rFonts w:cs="Times New Roman"/>
          <w:szCs w:val="24"/>
        </w:rPr>
      </w:pPr>
      <w:r w:rsidRPr="00FF4E0D">
        <w:rPr>
          <w:rFonts w:cs="Times New Roman"/>
          <w:szCs w:val="24"/>
        </w:rPr>
        <w:t xml:space="preserve">In this study, the digital competence of lecturers at </w:t>
      </w:r>
      <w:r w:rsidR="00EA7AFF" w:rsidRPr="00FF4E0D">
        <w:rPr>
          <w:rFonts w:cs="Times New Roman"/>
          <w:szCs w:val="24"/>
        </w:rPr>
        <w:t>Da Nang Sports University</w:t>
      </w:r>
      <w:r w:rsidRPr="00FF4E0D">
        <w:rPr>
          <w:rFonts w:cs="Times New Roman"/>
          <w:szCs w:val="24"/>
        </w:rPr>
        <w:t xml:space="preserve"> is approached by selectively inheriting international competence frameworks while adapting them to the specific characteristics of the physical education and sports field. Training in physical education and sports combines theoretical teaching, technical practice, motor coaching, movement observation, and assessment of learners’ training outcomes. Therefore, in addition to universal digital competences, lecturers need to be able to use videos, visual learning resources, software for technical analysis, tools for managing training processes, and technology-enabled forms of practical assessment. On this basis, the article uses an assessment framework consisting of seven competence domains: basic digital technology use at work; design and use of digital learning resources; organization of teaching activities in digital environments; learner assessment using digital technology; communication, collaboration, and learner support in digital environments; professional development and research in digital environments; and digital safety, ethics, and responsibility. Each competence domain is specified into observed variables measured on a five-point Likert scale. This design allows digital competence to be </w:t>
      </w:r>
      <w:r w:rsidRPr="00FF4E0D">
        <w:rPr>
          <w:rFonts w:cs="Times New Roman"/>
          <w:szCs w:val="24"/>
        </w:rPr>
        <w:lastRenderedPageBreak/>
        <w:t>assessed by component rather than merely offering a general judgment about lecturers’ level of technology use.</w:t>
      </w:r>
    </w:p>
    <w:p w14:paraId="41FD4BB6" w14:textId="77777777" w:rsidR="006027D5" w:rsidRPr="00FF4E0D" w:rsidRDefault="001E24BB" w:rsidP="00EA7AFF">
      <w:pPr>
        <w:shd w:val="clear" w:color="auto" w:fill="FFFFFF" w:themeFill="background1"/>
        <w:spacing w:after="0" w:line="240" w:lineRule="auto"/>
        <w:ind w:firstLine="432"/>
        <w:jc w:val="both"/>
        <w:rPr>
          <w:rFonts w:cs="Times New Roman"/>
          <w:szCs w:val="24"/>
        </w:rPr>
      </w:pPr>
      <w:r w:rsidRPr="00FF4E0D">
        <w:rPr>
          <w:rFonts w:cs="Times New Roman"/>
          <w:szCs w:val="24"/>
        </w:rPr>
        <w:t xml:space="preserve">The study was designed as a descriptive and quantitative analysis, combined with the use of several open-ended opinions to provide additional grounds for proposing solutions. The survey respondents were lecturers currently working and teaching at </w:t>
      </w:r>
      <w:r w:rsidR="00EA7AFF" w:rsidRPr="00FF4E0D">
        <w:rPr>
          <w:rFonts w:cs="Times New Roman"/>
          <w:szCs w:val="24"/>
        </w:rPr>
        <w:t>Da Nang Sports University</w:t>
      </w:r>
      <w:r w:rsidRPr="00FF4E0D">
        <w:rPr>
          <w:rFonts w:cs="Times New Roman"/>
          <w:szCs w:val="24"/>
        </w:rPr>
        <w:t>. The data collection instrument was a questionnaire developed based on digital competence frameworks for lecturers and adjusted to fit the distinctive features of physical education and sports training. The questionnaire consisted of four groups of content: respondents’ general information; lecturers’ digital competence; factors affecting digital competence; and training needs and proposed solutions. The digital competence scale included 28 observed variables structured into seven competence domains, with all observed variables measured using a five-point Likert scale. Survey data were processed using descriptive statistics, including frequency, percentage, mean, and standard deviation. The reliability of the scale was tested using Cronbach’s Alpha. When the data met the necessary conditions, the study could compare mean scores across lecturer groups by age, academic qualification, teaching seniority, and course characteristics. Digital competence levels were classified by mean score as follows: 1.00-1.80 = very low; 1.81-2.60 = low; 2.61-3.40 = average; 3.41-4.20 = good; and 4.21-5.00 = very good. This processing method helps identify strong competence domains, competence gaps, and priority areas for professional development, thereby ensuring that the proposed solutions are grounded in empirical survey data.</w:t>
      </w:r>
    </w:p>
    <w:p w14:paraId="2D4E5657" w14:textId="2664B2BB" w:rsidR="006027D5" w:rsidRPr="00FF4E0D" w:rsidRDefault="001E24BB" w:rsidP="00EA7AFF">
      <w:pPr>
        <w:pStyle w:val="Heading1"/>
        <w:shd w:val="clear" w:color="auto" w:fill="FFFFFF" w:themeFill="background1"/>
        <w:spacing w:before="0" w:line="240" w:lineRule="auto"/>
        <w:rPr>
          <w:rFonts w:ascii="Times New Roman" w:hAnsi="Times New Roman" w:cs="Times New Roman"/>
          <w:color w:val="auto"/>
          <w:sz w:val="24"/>
          <w:szCs w:val="24"/>
        </w:rPr>
      </w:pPr>
      <w:r w:rsidRPr="00FF4E0D">
        <w:rPr>
          <w:rFonts w:ascii="Times New Roman" w:eastAsia="Times New Roman" w:hAnsi="Times New Roman" w:cs="Times New Roman"/>
          <w:color w:val="auto"/>
          <w:sz w:val="24"/>
          <w:szCs w:val="24"/>
        </w:rPr>
        <w:t>3. Research Results</w:t>
      </w:r>
      <w:r w:rsidR="002F2EA1">
        <w:rPr>
          <w:rFonts w:ascii="Times New Roman" w:eastAsia="Times New Roman" w:hAnsi="Times New Roman" w:cs="Times New Roman"/>
          <w:color w:val="auto"/>
          <w:sz w:val="24"/>
          <w:szCs w:val="24"/>
        </w:rPr>
        <w:t xml:space="preserve"> &amp; Discussion</w:t>
      </w:r>
    </w:p>
    <w:p w14:paraId="31531D8D" w14:textId="77777777" w:rsidR="006027D5" w:rsidRPr="00FF4E0D" w:rsidRDefault="001E24BB" w:rsidP="00EA7AFF">
      <w:pPr>
        <w:pStyle w:val="Heading2"/>
        <w:shd w:val="clear" w:color="auto" w:fill="FFFFFF" w:themeFill="background1"/>
        <w:spacing w:before="0" w:line="240" w:lineRule="auto"/>
        <w:rPr>
          <w:rFonts w:ascii="Times New Roman" w:hAnsi="Times New Roman" w:cs="Times New Roman"/>
          <w:color w:val="auto"/>
          <w:sz w:val="24"/>
          <w:szCs w:val="24"/>
        </w:rPr>
      </w:pPr>
      <w:r w:rsidRPr="00FF4E0D">
        <w:rPr>
          <w:rFonts w:ascii="Times New Roman" w:eastAsia="Times New Roman" w:hAnsi="Times New Roman" w:cs="Times New Roman"/>
          <w:color w:val="auto"/>
          <w:sz w:val="24"/>
          <w:szCs w:val="24"/>
        </w:rPr>
        <w:t xml:space="preserve">3.1. Current Status of Digital Competence among Lecturers at </w:t>
      </w:r>
      <w:r w:rsidR="00EA7AFF" w:rsidRPr="00FF4E0D">
        <w:rPr>
          <w:rFonts w:ascii="Times New Roman" w:eastAsia="Times New Roman" w:hAnsi="Times New Roman" w:cs="Times New Roman"/>
          <w:color w:val="auto"/>
          <w:sz w:val="24"/>
          <w:szCs w:val="24"/>
        </w:rPr>
        <w:t>Da Nang Sports</w:t>
      </w:r>
      <w:r w:rsidR="00EA7AFF" w:rsidRPr="00FF4E0D">
        <w:rPr>
          <w:rFonts w:ascii="Times New Roman" w:hAnsi="Times New Roman" w:cs="Times New Roman"/>
          <w:color w:val="auto"/>
          <w:szCs w:val="24"/>
        </w:rPr>
        <w:t xml:space="preserve"> </w:t>
      </w:r>
      <w:r w:rsidR="00EA7AFF" w:rsidRPr="00FF4E0D">
        <w:rPr>
          <w:rFonts w:ascii="Times New Roman" w:eastAsia="Times New Roman" w:hAnsi="Times New Roman" w:cs="Times New Roman"/>
          <w:color w:val="auto"/>
          <w:sz w:val="24"/>
          <w:szCs w:val="24"/>
        </w:rPr>
        <w:t>University</w:t>
      </w:r>
      <w:r w:rsidRPr="00FF4E0D">
        <w:rPr>
          <w:rFonts w:ascii="Times New Roman" w:eastAsia="Times New Roman" w:hAnsi="Times New Roman" w:cs="Times New Roman"/>
          <w:color w:val="auto"/>
          <w:sz w:val="24"/>
          <w:szCs w:val="24"/>
        </w:rPr>
        <w:t>, Vietnam</w:t>
      </w:r>
    </w:p>
    <w:p w14:paraId="5CA16ACF" w14:textId="77777777" w:rsidR="006027D5" w:rsidRPr="00FF4E0D" w:rsidRDefault="001E24BB" w:rsidP="00EA7AFF">
      <w:pPr>
        <w:shd w:val="clear" w:color="auto" w:fill="FFFFFF" w:themeFill="background1"/>
        <w:spacing w:after="0" w:line="240" w:lineRule="auto"/>
        <w:ind w:firstLine="432"/>
        <w:jc w:val="both"/>
        <w:rPr>
          <w:rFonts w:cs="Times New Roman"/>
          <w:szCs w:val="24"/>
        </w:rPr>
      </w:pPr>
      <w:r w:rsidRPr="00FF4E0D">
        <w:rPr>
          <w:rFonts w:cs="Times New Roman"/>
          <w:szCs w:val="24"/>
        </w:rPr>
        <w:t xml:space="preserve">The study was conducted based on 86 valid survey responses collected from lecturers currently working and teaching at </w:t>
      </w:r>
      <w:r w:rsidR="00EA7AFF" w:rsidRPr="00FF4E0D">
        <w:rPr>
          <w:rFonts w:cs="Times New Roman"/>
          <w:szCs w:val="24"/>
        </w:rPr>
        <w:t>Da Nang Sports University</w:t>
      </w:r>
      <w:r w:rsidRPr="00FF4E0D">
        <w:rPr>
          <w:rFonts w:cs="Times New Roman"/>
          <w:szCs w:val="24"/>
        </w:rPr>
        <w:t xml:space="preserve">. The sample distribution was relatively consistent with the characteristics of the university’s lecturer workforce: males accounted for 57.0% and females for 43.0%; the age group from 40 to under 50 represented the largest proportion, at 39.5%; most lecturers held a master’s degree, at 74.4%; and the group with 10 to under 20 years of teaching experience accounted for 45.3%. Regarding teaching characteristics, lecturers in charge of practical courses accounted for 45.3%, those teaching both theory and practice accounted for 34.9%, and those mainly teaching theoretical courses accounted for 19.8%. These results clearly reflect the training characteristics of </w:t>
      </w:r>
      <w:r w:rsidR="00EA7AFF" w:rsidRPr="00FF4E0D">
        <w:rPr>
          <w:rFonts w:cs="Times New Roman"/>
          <w:szCs w:val="24"/>
        </w:rPr>
        <w:t>Da Nang Sports University</w:t>
      </w:r>
      <w:r w:rsidRPr="00FF4E0D">
        <w:rPr>
          <w:rFonts w:cs="Times New Roman"/>
          <w:szCs w:val="24"/>
        </w:rPr>
        <w:t>, where teaching activities are closely linked to technical practice, motor coaching, and physical competence assessment. Notably, only 45.3% of lecturers reported that they frequently or very frequently use digital technology in teaching, while the remaining 54.6% use it occasionally, rarely, or almost never. This indicates that the application of digital technology among lecturers has a certain foundation but is not yet truly consistent.</w:t>
      </w:r>
    </w:p>
    <w:p w14:paraId="378B7711" w14:textId="77777777" w:rsidR="006027D5" w:rsidRPr="00FF4E0D" w:rsidRDefault="001E24BB" w:rsidP="00EA7AFF">
      <w:pPr>
        <w:shd w:val="clear" w:color="auto" w:fill="FFFFFF" w:themeFill="background1"/>
        <w:spacing w:after="0" w:line="240" w:lineRule="auto"/>
        <w:ind w:firstLine="432"/>
        <w:jc w:val="both"/>
        <w:rPr>
          <w:rFonts w:cs="Times New Roman"/>
          <w:szCs w:val="24"/>
        </w:rPr>
      </w:pPr>
      <w:r w:rsidRPr="00FF4E0D">
        <w:rPr>
          <w:rFonts w:cs="Times New Roman"/>
          <w:szCs w:val="24"/>
        </w:rPr>
        <w:t>Before analyzing the current status of digital competence, the reliability of the scale was tested using Cronbach’s Alpha. The test results show that all scale domains achieved acceptable reliability, with Cronbach’s Alpha coefficients ranging from 0.748 to 0.821. The Cronbach’s Alpha coefficient for the entire scale was 0.908, indicating that the scale has good reliability for use in subsequent analyses.</w:t>
      </w:r>
    </w:p>
    <w:p w14:paraId="7C63A848" w14:textId="77777777" w:rsidR="006027D5" w:rsidRPr="00FF4E0D" w:rsidRDefault="001E24BB" w:rsidP="00EA7AFF">
      <w:pPr>
        <w:shd w:val="clear" w:color="auto" w:fill="FFFFFF" w:themeFill="background1"/>
        <w:spacing w:after="0" w:line="240" w:lineRule="auto"/>
        <w:jc w:val="center"/>
        <w:rPr>
          <w:rFonts w:cs="Times New Roman"/>
          <w:szCs w:val="24"/>
        </w:rPr>
      </w:pPr>
      <w:r w:rsidRPr="00FF4E0D">
        <w:rPr>
          <w:rFonts w:cs="Times New Roman"/>
          <w:b/>
          <w:szCs w:val="24"/>
        </w:rPr>
        <w:t>Table 1. Reliability Test Results for the Digital Competence Scale</w:t>
      </w:r>
    </w:p>
    <w:tbl>
      <w:tblPr>
        <w:tblStyle w:val="TableGrid"/>
        <w:tblW w:w="0" w:type="auto"/>
        <w:tblLook w:val="04A0" w:firstRow="1" w:lastRow="0" w:firstColumn="1" w:lastColumn="0" w:noHBand="0" w:noVBand="1"/>
      </w:tblPr>
      <w:tblGrid>
        <w:gridCol w:w="4071"/>
        <w:gridCol w:w="2125"/>
        <w:gridCol w:w="2124"/>
        <w:gridCol w:w="1462"/>
      </w:tblGrid>
      <w:tr w:rsidR="00FF4E0D" w:rsidRPr="00FF4E0D" w14:paraId="169A9FD7" w14:textId="77777777" w:rsidTr="00EA7AFF">
        <w:tc>
          <w:tcPr>
            <w:tcW w:w="4077" w:type="dxa"/>
            <w:vAlign w:val="center"/>
          </w:tcPr>
          <w:p w14:paraId="163BBB95" w14:textId="77777777" w:rsidR="006027D5" w:rsidRPr="00FF4E0D" w:rsidRDefault="001E24BB" w:rsidP="00EA7AFF">
            <w:pPr>
              <w:shd w:val="clear" w:color="auto" w:fill="FFFFFF" w:themeFill="background1"/>
              <w:jc w:val="center"/>
              <w:rPr>
                <w:rFonts w:cs="Times New Roman"/>
                <w:szCs w:val="24"/>
              </w:rPr>
            </w:pPr>
            <w:r w:rsidRPr="00FF4E0D">
              <w:rPr>
                <w:rFonts w:cs="Times New Roman"/>
                <w:b/>
                <w:szCs w:val="24"/>
              </w:rPr>
              <w:t>Competence domain</w:t>
            </w:r>
          </w:p>
        </w:tc>
        <w:tc>
          <w:tcPr>
            <w:tcW w:w="2127" w:type="dxa"/>
            <w:vAlign w:val="center"/>
          </w:tcPr>
          <w:p w14:paraId="0C980C7D" w14:textId="77777777" w:rsidR="006027D5" w:rsidRPr="00FF4E0D" w:rsidRDefault="001E24BB" w:rsidP="00EA7AFF">
            <w:pPr>
              <w:shd w:val="clear" w:color="auto" w:fill="FFFFFF" w:themeFill="background1"/>
              <w:jc w:val="center"/>
              <w:rPr>
                <w:rFonts w:cs="Times New Roman"/>
                <w:szCs w:val="24"/>
              </w:rPr>
            </w:pPr>
            <w:r w:rsidRPr="00FF4E0D">
              <w:rPr>
                <w:rFonts w:cs="Times New Roman"/>
                <w:b/>
                <w:szCs w:val="24"/>
              </w:rPr>
              <w:t>Number of observed variables</w:t>
            </w:r>
          </w:p>
        </w:tc>
        <w:tc>
          <w:tcPr>
            <w:tcW w:w="2126" w:type="dxa"/>
            <w:vAlign w:val="center"/>
          </w:tcPr>
          <w:p w14:paraId="4023C438" w14:textId="77777777" w:rsidR="006027D5" w:rsidRPr="00FF4E0D" w:rsidRDefault="001E24BB" w:rsidP="00EA7AFF">
            <w:pPr>
              <w:shd w:val="clear" w:color="auto" w:fill="FFFFFF" w:themeFill="background1"/>
              <w:jc w:val="center"/>
              <w:rPr>
                <w:rFonts w:cs="Times New Roman"/>
                <w:szCs w:val="24"/>
              </w:rPr>
            </w:pPr>
            <w:r w:rsidRPr="00FF4E0D">
              <w:rPr>
                <w:rFonts w:cs="Times New Roman"/>
                <w:b/>
                <w:szCs w:val="24"/>
              </w:rPr>
              <w:t>Cronbach’s Alpha</w:t>
            </w:r>
          </w:p>
        </w:tc>
        <w:tc>
          <w:tcPr>
            <w:tcW w:w="1462" w:type="dxa"/>
            <w:vAlign w:val="center"/>
          </w:tcPr>
          <w:p w14:paraId="372B63A6" w14:textId="77777777" w:rsidR="006027D5" w:rsidRPr="00FF4E0D" w:rsidRDefault="001E24BB" w:rsidP="00EA7AFF">
            <w:pPr>
              <w:shd w:val="clear" w:color="auto" w:fill="FFFFFF" w:themeFill="background1"/>
              <w:jc w:val="center"/>
              <w:rPr>
                <w:rFonts w:cs="Times New Roman"/>
                <w:szCs w:val="24"/>
              </w:rPr>
            </w:pPr>
            <w:r w:rsidRPr="00FF4E0D">
              <w:rPr>
                <w:rFonts w:cs="Times New Roman"/>
                <w:b/>
                <w:szCs w:val="24"/>
              </w:rPr>
              <w:t>Conclusion</w:t>
            </w:r>
          </w:p>
        </w:tc>
      </w:tr>
      <w:tr w:rsidR="00FF4E0D" w:rsidRPr="00FF4E0D" w14:paraId="5C88C0DF" w14:textId="77777777" w:rsidTr="00EA7AFF">
        <w:tc>
          <w:tcPr>
            <w:tcW w:w="4077" w:type="dxa"/>
          </w:tcPr>
          <w:p w14:paraId="44F2A7FD"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Basic digital technology use at work</w:t>
            </w:r>
          </w:p>
        </w:tc>
        <w:tc>
          <w:tcPr>
            <w:tcW w:w="2127" w:type="dxa"/>
            <w:vAlign w:val="center"/>
          </w:tcPr>
          <w:p w14:paraId="2C23672F"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4</w:t>
            </w:r>
          </w:p>
        </w:tc>
        <w:tc>
          <w:tcPr>
            <w:tcW w:w="2126" w:type="dxa"/>
            <w:vAlign w:val="center"/>
          </w:tcPr>
          <w:p w14:paraId="653A3A7B"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0.774</w:t>
            </w:r>
          </w:p>
        </w:tc>
        <w:tc>
          <w:tcPr>
            <w:tcW w:w="1462" w:type="dxa"/>
            <w:vAlign w:val="center"/>
          </w:tcPr>
          <w:p w14:paraId="05E27AAC"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Accepted</w:t>
            </w:r>
          </w:p>
        </w:tc>
      </w:tr>
      <w:tr w:rsidR="00FF4E0D" w:rsidRPr="00FF4E0D" w14:paraId="39DEC198" w14:textId="77777777" w:rsidTr="00EA7AFF">
        <w:tc>
          <w:tcPr>
            <w:tcW w:w="4077" w:type="dxa"/>
          </w:tcPr>
          <w:p w14:paraId="055C012F"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Design and use of digital learning resources</w:t>
            </w:r>
          </w:p>
        </w:tc>
        <w:tc>
          <w:tcPr>
            <w:tcW w:w="2127" w:type="dxa"/>
            <w:vAlign w:val="center"/>
          </w:tcPr>
          <w:p w14:paraId="35A61734"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4</w:t>
            </w:r>
          </w:p>
        </w:tc>
        <w:tc>
          <w:tcPr>
            <w:tcW w:w="2126" w:type="dxa"/>
            <w:vAlign w:val="center"/>
          </w:tcPr>
          <w:p w14:paraId="3FD50965"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0.821</w:t>
            </w:r>
          </w:p>
        </w:tc>
        <w:tc>
          <w:tcPr>
            <w:tcW w:w="1462" w:type="dxa"/>
            <w:vAlign w:val="center"/>
          </w:tcPr>
          <w:p w14:paraId="6AD649EC"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Accepted</w:t>
            </w:r>
          </w:p>
        </w:tc>
      </w:tr>
      <w:tr w:rsidR="00FF4E0D" w:rsidRPr="00FF4E0D" w14:paraId="01FBAE91" w14:textId="77777777" w:rsidTr="00EA7AFF">
        <w:tc>
          <w:tcPr>
            <w:tcW w:w="4077" w:type="dxa"/>
          </w:tcPr>
          <w:p w14:paraId="31B5BC8F"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lastRenderedPageBreak/>
              <w:t>Organization of teaching activities in digital environments</w:t>
            </w:r>
          </w:p>
        </w:tc>
        <w:tc>
          <w:tcPr>
            <w:tcW w:w="2127" w:type="dxa"/>
            <w:vAlign w:val="center"/>
          </w:tcPr>
          <w:p w14:paraId="240F99B6"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4</w:t>
            </w:r>
          </w:p>
        </w:tc>
        <w:tc>
          <w:tcPr>
            <w:tcW w:w="2126" w:type="dxa"/>
            <w:vAlign w:val="center"/>
          </w:tcPr>
          <w:p w14:paraId="058893D8"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0.796</w:t>
            </w:r>
          </w:p>
        </w:tc>
        <w:tc>
          <w:tcPr>
            <w:tcW w:w="1462" w:type="dxa"/>
            <w:vAlign w:val="center"/>
          </w:tcPr>
          <w:p w14:paraId="639C65D6"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Accepted</w:t>
            </w:r>
          </w:p>
        </w:tc>
      </w:tr>
      <w:tr w:rsidR="00FF4E0D" w:rsidRPr="00FF4E0D" w14:paraId="5ADF0CED" w14:textId="77777777" w:rsidTr="00EA7AFF">
        <w:tc>
          <w:tcPr>
            <w:tcW w:w="4077" w:type="dxa"/>
          </w:tcPr>
          <w:p w14:paraId="2F64B2C4"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Learner assessment using digital technology</w:t>
            </w:r>
          </w:p>
        </w:tc>
        <w:tc>
          <w:tcPr>
            <w:tcW w:w="2127" w:type="dxa"/>
            <w:vAlign w:val="center"/>
          </w:tcPr>
          <w:p w14:paraId="452AC4A0"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4</w:t>
            </w:r>
          </w:p>
        </w:tc>
        <w:tc>
          <w:tcPr>
            <w:tcW w:w="2126" w:type="dxa"/>
            <w:vAlign w:val="center"/>
          </w:tcPr>
          <w:p w14:paraId="14C5FA2E"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0.748</w:t>
            </w:r>
          </w:p>
        </w:tc>
        <w:tc>
          <w:tcPr>
            <w:tcW w:w="1462" w:type="dxa"/>
            <w:vAlign w:val="center"/>
          </w:tcPr>
          <w:p w14:paraId="0A1B7834"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Accepted</w:t>
            </w:r>
          </w:p>
        </w:tc>
      </w:tr>
      <w:tr w:rsidR="00FF4E0D" w:rsidRPr="00FF4E0D" w14:paraId="41DFC3D1" w14:textId="77777777" w:rsidTr="00EA7AFF">
        <w:tc>
          <w:tcPr>
            <w:tcW w:w="4077" w:type="dxa"/>
          </w:tcPr>
          <w:p w14:paraId="39FFB61E"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Communication, collaboration, and learner support in digital environments</w:t>
            </w:r>
          </w:p>
        </w:tc>
        <w:tc>
          <w:tcPr>
            <w:tcW w:w="2127" w:type="dxa"/>
            <w:vAlign w:val="center"/>
          </w:tcPr>
          <w:p w14:paraId="21FA6475"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4</w:t>
            </w:r>
          </w:p>
        </w:tc>
        <w:tc>
          <w:tcPr>
            <w:tcW w:w="2126" w:type="dxa"/>
            <w:vAlign w:val="center"/>
          </w:tcPr>
          <w:p w14:paraId="1DECA1E4"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0.802</w:t>
            </w:r>
          </w:p>
        </w:tc>
        <w:tc>
          <w:tcPr>
            <w:tcW w:w="1462" w:type="dxa"/>
            <w:vAlign w:val="center"/>
          </w:tcPr>
          <w:p w14:paraId="1A0B62F3"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Accepted</w:t>
            </w:r>
          </w:p>
        </w:tc>
      </w:tr>
      <w:tr w:rsidR="00FF4E0D" w:rsidRPr="00FF4E0D" w14:paraId="12EBC291" w14:textId="77777777" w:rsidTr="00EA7AFF">
        <w:tc>
          <w:tcPr>
            <w:tcW w:w="4077" w:type="dxa"/>
          </w:tcPr>
          <w:p w14:paraId="406803F7"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Professional development and research in digital environments</w:t>
            </w:r>
          </w:p>
        </w:tc>
        <w:tc>
          <w:tcPr>
            <w:tcW w:w="2127" w:type="dxa"/>
            <w:vAlign w:val="center"/>
          </w:tcPr>
          <w:p w14:paraId="716CE8CE"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4</w:t>
            </w:r>
          </w:p>
        </w:tc>
        <w:tc>
          <w:tcPr>
            <w:tcW w:w="2126" w:type="dxa"/>
            <w:vAlign w:val="center"/>
          </w:tcPr>
          <w:p w14:paraId="7A2C0B03"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0.783</w:t>
            </w:r>
          </w:p>
        </w:tc>
        <w:tc>
          <w:tcPr>
            <w:tcW w:w="1462" w:type="dxa"/>
            <w:vAlign w:val="center"/>
          </w:tcPr>
          <w:p w14:paraId="06AF6CC0"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Accepted</w:t>
            </w:r>
          </w:p>
        </w:tc>
      </w:tr>
      <w:tr w:rsidR="00FF4E0D" w:rsidRPr="00FF4E0D" w14:paraId="277642F0" w14:textId="77777777" w:rsidTr="00EA7AFF">
        <w:tc>
          <w:tcPr>
            <w:tcW w:w="4077" w:type="dxa"/>
          </w:tcPr>
          <w:p w14:paraId="7993ECB8"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Digital safety, ethics, and responsibility</w:t>
            </w:r>
          </w:p>
        </w:tc>
        <w:tc>
          <w:tcPr>
            <w:tcW w:w="2127" w:type="dxa"/>
            <w:vAlign w:val="center"/>
          </w:tcPr>
          <w:p w14:paraId="3AED49F4"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4</w:t>
            </w:r>
          </w:p>
        </w:tc>
        <w:tc>
          <w:tcPr>
            <w:tcW w:w="2126" w:type="dxa"/>
            <w:vAlign w:val="center"/>
          </w:tcPr>
          <w:p w14:paraId="3C3AD9E7"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0.759</w:t>
            </w:r>
          </w:p>
        </w:tc>
        <w:tc>
          <w:tcPr>
            <w:tcW w:w="1462" w:type="dxa"/>
            <w:vAlign w:val="center"/>
          </w:tcPr>
          <w:p w14:paraId="38C6389A"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Accepted</w:t>
            </w:r>
          </w:p>
        </w:tc>
      </w:tr>
      <w:tr w:rsidR="00FF4E0D" w:rsidRPr="00FF4E0D" w14:paraId="67D0A7AE" w14:textId="77777777" w:rsidTr="00EA7AFF">
        <w:tc>
          <w:tcPr>
            <w:tcW w:w="4077" w:type="dxa"/>
          </w:tcPr>
          <w:p w14:paraId="7EF2C69A"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Entire scale</w:t>
            </w:r>
          </w:p>
        </w:tc>
        <w:tc>
          <w:tcPr>
            <w:tcW w:w="2127" w:type="dxa"/>
            <w:vAlign w:val="center"/>
          </w:tcPr>
          <w:p w14:paraId="42BA04D8"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28</w:t>
            </w:r>
          </w:p>
        </w:tc>
        <w:tc>
          <w:tcPr>
            <w:tcW w:w="2126" w:type="dxa"/>
            <w:vAlign w:val="center"/>
          </w:tcPr>
          <w:p w14:paraId="7558B8E5"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0.908</w:t>
            </w:r>
          </w:p>
        </w:tc>
        <w:tc>
          <w:tcPr>
            <w:tcW w:w="1462" w:type="dxa"/>
            <w:vAlign w:val="center"/>
          </w:tcPr>
          <w:p w14:paraId="67BA0EA4"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Accepted</w:t>
            </w:r>
          </w:p>
        </w:tc>
      </w:tr>
    </w:tbl>
    <w:p w14:paraId="4ABDB2F3" w14:textId="77777777" w:rsidR="006027D5" w:rsidRPr="00FF4E0D" w:rsidRDefault="006027D5" w:rsidP="00EA7AFF">
      <w:pPr>
        <w:shd w:val="clear" w:color="auto" w:fill="FFFFFF" w:themeFill="background1"/>
        <w:spacing w:after="0" w:line="240" w:lineRule="auto"/>
        <w:rPr>
          <w:rFonts w:cs="Times New Roman"/>
          <w:szCs w:val="24"/>
        </w:rPr>
      </w:pPr>
    </w:p>
    <w:p w14:paraId="6A86EDF7" w14:textId="77777777" w:rsidR="006027D5" w:rsidRPr="00FF4E0D" w:rsidRDefault="001E24BB" w:rsidP="00EA7AFF">
      <w:pPr>
        <w:shd w:val="clear" w:color="auto" w:fill="FFFFFF" w:themeFill="background1"/>
        <w:spacing w:after="0" w:line="240" w:lineRule="auto"/>
        <w:ind w:firstLine="432"/>
        <w:jc w:val="both"/>
        <w:rPr>
          <w:rFonts w:cs="Times New Roman"/>
          <w:szCs w:val="24"/>
        </w:rPr>
      </w:pPr>
      <w:r w:rsidRPr="00FF4E0D">
        <w:rPr>
          <w:rFonts w:cs="Times New Roman"/>
          <w:szCs w:val="24"/>
        </w:rPr>
        <w:t xml:space="preserve">The results in Table 1 show that the digital competence scale has a relatively stable structure. The “design and use of digital learning resources” domain had the highest Cronbach’s Alpha coefficient, at 0.821, whereas the “learner assessment using digital technology” domain had the lowest coefficient, at 0.748, but still remained within the acceptable threshold. Thus, all 28 observed variables across the seven competence domains can be used to analyze the current status of digital competence among lecturers at </w:t>
      </w:r>
      <w:r w:rsidR="00EA7AFF" w:rsidRPr="00FF4E0D">
        <w:rPr>
          <w:rFonts w:cs="Times New Roman"/>
          <w:szCs w:val="24"/>
        </w:rPr>
        <w:t>Da Nang Sports University</w:t>
      </w:r>
      <w:r w:rsidRPr="00FF4E0D">
        <w:rPr>
          <w:rFonts w:cs="Times New Roman"/>
          <w:szCs w:val="24"/>
        </w:rPr>
        <w:t>.</w:t>
      </w:r>
    </w:p>
    <w:p w14:paraId="556406D4" w14:textId="77777777" w:rsidR="006027D5" w:rsidRPr="00FF4E0D" w:rsidRDefault="001E24BB" w:rsidP="00EA7AFF">
      <w:pPr>
        <w:shd w:val="clear" w:color="auto" w:fill="FFFFFF" w:themeFill="background1"/>
        <w:spacing w:after="0" w:line="240" w:lineRule="auto"/>
        <w:jc w:val="center"/>
        <w:rPr>
          <w:rFonts w:cs="Times New Roman"/>
          <w:szCs w:val="24"/>
        </w:rPr>
      </w:pPr>
      <w:r w:rsidRPr="00FF4E0D">
        <w:rPr>
          <w:rFonts w:cs="Times New Roman"/>
          <w:b/>
          <w:szCs w:val="24"/>
        </w:rPr>
        <w:t>Table 2. Descriptive Statistics for Basic Digital Technology Use at Work</w:t>
      </w:r>
    </w:p>
    <w:tbl>
      <w:tblPr>
        <w:tblStyle w:val="TableGrid"/>
        <w:tblW w:w="0" w:type="auto"/>
        <w:tblLook w:val="04A0" w:firstRow="1" w:lastRow="0" w:firstColumn="1" w:lastColumn="0" w:noHBand="0" w:noVBand="1"/>
      </w:tblPr>
      <w:tblGrid>
        <w:gridCol w:w="4923"/>
        <w:gridCol w:w="1275"/>
        <w:gridCol w:w="1133"/>
        <w:gridCol w:w="1133"/>
        <w:gridCol w:w="1318"/>
      </w:tblGrid>
      <w:tr w:rsidR="00FF4E0D" w:rsidRPr="00FF4E0D" w14:paraId="763F8842" w14:textId="77777777" w:rsidTr="00EA7AFF">
        <w:tc>
          <w:tcPr>
            <w:tcW w:w="4928" w:type="dxa"/>
            <w:vAlign w:val="center"/>
          </w:tcPr>
          <w:p w14:paraId="7966D4A5" w14:textId="77777777" w:rsidR="006027D5" w:rsidRPr="00FF4E0D" w:rsidRDefault="001E24BB" w:rsidP="00EA7AFF">
            <w:pPr>
              <w:shd w:val="clear" w:color="auto" w:fill="FFFFFF" w:themeFill="background1"/>
              <w:jc w:val="center"/>
              <w:rPr>
                <w:rFonts w:cs="Times New Roman"/>
                <w:szCs w:val="24"/>
              </w:rPr>
            </w:pPr>
            <w:r w:rsidRPr="00FF4E0D">
              <w:rPr>
                <w:rFonts w:cs="Times New Roman"/>
                <w:b/>
                <w:szCs w:val="24"/>
              </w:rPr>
              <w:t>Observed variable</w:t>
            </w:r>
          </w:p>
        </w:tc>
        <w:tc>
          <w:tcPr>
            <w:tcW w:w="1276" w:type="dxa"/>
            <w:vAlign w:val="center"/>
          </w:tcPr>
          <w:p w14:paraId="78F8B1C7" w14:textId="77777777" w:rsidR="006027D5" w:rsidRPr="00FF4E0D" w:rsidRDefault="001E24BB" w:rsidP="00EA7AFF">
            <w:pPr>
              <w:shd w:val="clear" w:color="auto" w:fill="FFFFFF" w:themeFill="background1"/>
              <w:jc w:val="center"/>
              <w:rPr>
                <w:rFonts w:cs="Times New Roman"/>
                <w:szCs w:val="24"/>
              </w:rPr>
            </w:pPr>
            <w:r w:rsidRPr="00FF4E0D">
              <w:rPr>
                <w:rFonts w:cs="Times New Roman"/>
                <w:b/>
                <w:szCs w:val="24"/>
              </w:rPr>
              <w:t>Min</w:t>
            </w:r>
          </w:p>
        </w:tc>
        <w:tc>
          <w:tcPr>
            <w:tcW w:w="1134" w:type="dxa"/>
            <w:vAlign w:val="center"/>
          </w:tcPr>
          <w:p w14:paraId="77C91899" w14:textId="77777777" w:rsidR="006027D5" w:rsidRPr="00FF4E0D" w:rsidRDefault="001E24BB" w:rsidP="00EA7AFF">
            <w:pPr>
              <w:shd w:val="clear" w:color="auto" w:fill="FFFFFF" w:themeFill="background1"/>
              <w:jc w:val="center"/>
              <w:rPr>
                <w:rFonts w:cs="Times New Roman"/>
                <w:szCs w:val="24"/>
              </w:rPr>
            </w:pPr>
            <w:r w:rsidRPr="00FF4E0D">
              <w:rPr>
                <w:rFonts w:cs="Times New Roman"/>
                <w:b/>
                <w:szCs w:val="24"/>
              </w:rPr>
              <w:t>Max</w:t>
            </w:r>
          </w:p>
        </w:tc>
        <w:tc>
          <w:tcPr>
            <w:tcW w:w="1134" w:type="dxa"/>
            <w:vAlign w:val="center"/>
          </w:tcPr>
          <w:p w14:paraId="78C1A8C7" w14:textId="77777777" w:rsidR="006027D5" w:rsidRPr="00FF4E0D" w:rsidRDefault="001E24BB" w:rsidP="00EA7AFF">
            <w:pPr>
              <w:shd w:val="clear" w:color="auto" w:fill="FFFFFF" w:themeFill="background1"/>
              <w:jc w:val="center"/>
              <w:rPr>
                <w:rFonts w:cs="Times New Roman"/>
                <w:szCs w:val="24"/>
              </w:rPr>
            </w:pPr>
            <w:r w:rsidRPr="00FF4E0D">
              <w:rPr>
                <w:rFonts w:cs="Times New Roman"/>
                <w:b/>
                <w:szCs w:val="24"/>
              </w:rPr>
              <w:t>Mean</w:t>
            </w:r>
          </w:p>
        </w:tc>
        <w:tc>
          <w:tcPr>
            <w:tcW w:w="1318" w:type="dxa"/>
            <w:vAlign w:val="center"/>
          </w:tcPr>
          <w:p w14:paraId="3874DC98" w14:textId="77777777" w:rsidR="006027D5" w:rsidRPr="00FF4E0D" w:rsidRDefault="001E24BB" w:rsidP="00EA7AFF">
            <w:pPr>
              <w:shd w:val="clear" w:color="auto" w:fill="FFFFFF" w:themeFill="background1"/>
              <w:jc w:val="center"/>
              <w:rPr>
                <w:rFonts w:cs="Times New Roman"/>
                <w:szCs w:val="24"/>
              </w:rPr>
            </w:pPr>
            <w:r w:rsidRPr="00FF4E0D">
              <w:rPr>
                <w:rFonts w:cs="Times New Roman"/>
                <w:b/>
                <w:szCs w:val="24"/>
              </w:rPr>
              <w:t>Std. Deviation</w:t>
            </w:r>
          </w:p>
        </w:tc>
      </w:tr>
      <w:tr w:rsidR="00FF4E0D" w:rsidRPr="00FF4E0D" w14:paraId="62D2B382" w14:textId="77777777" w:rsidTr="00EA7AFF">
        <w:tc>
          <w:tcPr>
            <w:tcW w:w="4928" w:type="dxa"/>
          </w:tcPr>
          <w:p w14:paraId="7E5B5265"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DC1.1. Using basic digital devices in teaching work</w:t>
            </w:r>
          </w:p>
        </w:tc>
        <w:tc>
          <w:tcPr>
            <w:tcW w:w="1276" w:type="dxa"/>
            <w:vAlign w:val="center"/>
          </w:tcPr>
          <w:p w14:paraId="1074E7CD"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2</w:t>
            </w:r>
          </w:p>
        </w:tc>
        <w:tc>
          <w:tcPr>
            <w:tcW w:w="1134" w:type="dxa"/>
            <w:vAlign w:val="center"/>
          </w:tcPr>
          <w:p w14:paraId="6FED67BB"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5</w:t>
            </w:r>
          </w:p>
        </w:tc>
        <w:tc>
          <w:tcPr>
            <w:tcW w:w="1134" w:type="dxa"/>
            <w:vAlign w:val="center"/>
          </w:tcPr>
          <w:p w14:paraId="01B15CFC"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3.89</w:t>
            </w:r>
          </w:p>
        </w:tc>
        <w:tc>
          <w:tcPr>
            <w:tcW w:w="1318" w:type="dxa"/>
            <w:vAlign w:val="center"/>
          </w:tcPr>
          <w:p w14:paraId="0C48E054"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0.81</w:t>
            </w:r>
          </w:p>
        </w:tc>
      </w:tr>
      <w:tr w:rsidR="00FF4E0D" w:rsidRPr="00FF4E0D" w14:paraId="286B4C9A" w14:textId="77777777" w:rsidTr="00EA7AFF">
        <w:tc>
          <w:tcPr>
            <w:tcW w:w="4928" w:type="dxa"/>
          </w:tcPr>
          <w:p w14:paraId="483D6D84"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DC1.2. Using office software for teaching and learning management</w:t>
            </w:r>
          </w:p>
        </w:tc>
        <w:tc>
          <w:tcPr>
            <w:tcW w:w="1276" w:type="dxa"/>
            <w:vAlign w:val="center"/>
          </w:tcPr>
          <w:p w14:paraId="779F2FB3"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2</w:t>
            </w:r>
          </w:p>
        </w:tc>
        <w:tc>
          <w:tcPr>
            <w:tcW w:w="1134" w:type="dxa"/>
            <w:vAlign w:val="center"/>
          </w:tcPr>
          <w:p w14:paraId="30F5E28F"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5</w:t>
            </w:r>
          </w:p>
        </w:tc>
        <w:tc>
          <w:tcPr>
            <w:tcW w:w="1134" w:type="dxa"/>
            <w:vAlign w:val="center"/>
          </w:tcPr>
          <w:p w14:paraId="64015D97"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3.78</w:t>
            </w:r>
          </w:p>
        </w:tc>
        <w:tc>
          <w:tcPr>
            <w:tcW w:w="1318" w:type="dxa"/>
            <w:vAlign w:val="center"/>
          </w:tcPr>
          <w:p w14:paraId="23705B4D"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0.76</w:t>
            </w:r>
          </w:p>
        </w:tc>
      </w:tr>
      <w:tr w:rsidR="00FF4E0D" w:rsidRPr="00FF4E0D" w14:paraId="7AE04390" w14:textId="77777777" w:rsidTr="00EA7AFF">
        <w:tc>
          <w:tcPr>
            <w:tcW w:w="4928" w:type="dxa"/>
          </w:tcPr>
          <w:p w14:paraId="37666931"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DC1.3. Searching, selecting, and storing digital materials for professional purposes</w:t>
            </w:r>
          </w:p>
        </w:tc>
        <w:tc>
          <w:tcPr>
            <w:tcW w:w="1276" w:type="dxa"/>
            <w:vAlign w:val="center"/>
          </w:tcPr>
          <w:p w14:paraId="6EDE4DF2"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1</w:t>
            </w:r>
          </w:p>
        </w:tc>
        <w:tc>
          <w:tcPr>
            <w:tcW w:w="1134" w:type="dxa"/>
            <w:vAlign w:val="center"/>
          </w:tcPr>
          <w:p w14:paraId="61613240"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5</w:t>
            </w:r>
          </w:p>
        </w:tc>
        <w:tc>
          <w:tcPr>
            <w:tcW w:w="1134" w:type="dxa"/>
            <w:vAlign w:val="center"/>
          </w:tcPr>
          <w:p w14:paraId="68D1AC78"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3.55</w:t>
            </w:r>
          </w:p>
        </w:tc>
        <w:tc>
          <w:tcPr>
            <w:tcW w:w="1318" w:type="dxa"/>
            <w:vAlign w:val="center"/>
          </w:tcPr>
          <w:p w14:paraId="4ED27506"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0.88</w:t>
            </w:r>
          </w:p>
        </w:tc>
      </w:tr>
      <w:tr w:rsidR="00FF4E0D" w:rsidRPr="00FF4E0D" w14:paraId="7CE7F6FB" w14:textId="77777777" w:rsidTr="00EA7AFF">
        <w:tc>
          <w:tcPr>
            <w:tcW w:w="4928" w:type="dxa"/>
          </w:tcPr>
          <w:p w14:paraId="088CEA18"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DC1.4. Using online platforms in professional work</w:t>
            </w:r>
          </w:p>
        </w:tc>
        <w:tc>
          <w:tcPr>
            <w:tcW w:w="1276" w:type="dxa"/>
            <w:vAlign w:val="center"/>
          </w:tcPr>
          <w:p w14:paraId="20FD5B16"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2</w:t>
            </w:r>
          </w:p>
        </w:tc>
        <w:tc>
          <w:tcPr>
            <w:tcW w:w="1134" w:type="dxa"/>
            <w:vAlign w:val="center"/>
          </w:tcPr>
          <w:p w14:paraId="329C0F98"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5</w:t>
            </w:r>
          </w:p>
        </w:tc>
        <w:tc>
          <w:tcPr>
            <w:tcW w:w="1134" w:type="dxa"/>
            <w:vAlign w:val="center"/>
          </w:tcPr>
          <w:p w14:paraId="280F0154"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3.58</w:t>
            </w:r>
          </w:p>
        </w:tc>
        <w:tc>
          <w:tcPr>
            <w:tcW w:w="1318" w:type="dxa"/>
            <w:vAlign w:val="center"/>
          </w:tcPr>
          <w:p w14:paraId="62B2B573"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0.84</w:t>
            </w:r>
          </w:p>
        </w:tc>
      </w:tr>
    </w:tbl>
    <w:p w14:paraId="69FB0533" w14:textId="77777777" w:rsidR="006027D5" w:rsidRPr="00FF4E0D" w:rsidRDefault="006027D5" w:rsidP="00EA7AFF">
      <w:pPr>
        <w:shd w:val="clear" w:color="auto" w:fill="FFFFFF" w:themeFill="background1"/>
        <w:spacing w:after="0" w:line="240" w:lineRule="auto"/>
        <w:rPr>
          <w:rFonts w:cs="Times New Roman"/>
          <w:szCs w:val="24"/>
        </w:rPr>
      </w:pPr>
    </w:p>
    <w:p w14:paraId="5E0365D8" w14:textId="77777777" w:rsidR="006027D5" w:rsidRPr="00FF4E0D" w:rsidRDefault="001E24BB" w:rsidP="00EA7AFF">
      <w:pPr>
        <w:shd w:val="clear" w:color="auto" w:fill="FFFFFF" w:themeFill="background1"/>
        <w:spacing w:after="0" w:line="240" w:lineRule="auto"/>
        <w:ind w:firstLine="432"/>
        <w:jc w:val="both"/>
        <w:rPr>
          <w:rFonts w:cs="Times New Roman"/>
          <w:szCs w:val="24"/>
        </w:rPr>
      </w:pPr>
      <w:r w:rsidRPr="00FF4E0D">
        <w:rPr>
          <w:rFonts w:cs="Times New Roman"/>
          <w:szCs w:val="24"/>
        </w:rPr>
        <w:t>The results show that lecturers’ competence in basic digital technology use at work reached the good level in most observed variables. DC1.1 recorded the highest mean score, with Mean = 3.89, reflecting that lecturers are relatively familiar with basic digital devices such as computers, smartphones, projectors, cameras, or presentation devices. DC1.2 also reached the good level, with Mean = 3.78, indicating that office software is widely used in teaching, lesson preparation, grade management, and professional tasks. However, DC1.3 and DC1.4 had lower mean scores, at 3.55 and 3.58 respectively. This suggests that the ability to exploit, select, and store digital materials and to use online platforms has been formed but remains uneven.</w:t>
      </w:r>
    </w:p>
    <w:p w14:paraId="4366F406" w14:textId="77777777" w:rsidR="006027D5" w:rsidRPr="00FF4E0D" w:rsidRDefault="001E24BB" w:rsidP="00EA7AFF">
      <w:pPr>
        <w:shd w:val="clear" w:color="auto" w:fill="FFFFFF" w:themeFill="background1"/>
        <w:spacing w:after="0" w:line="240" w:lineRule="auto"/>
        <w:jc w:val="center"/>
        <w:rPr>
          <w:rFonts w:cs="Times New Roman"/>
          <w:szCs w:val="24"/>
        </w:rPr>
      </w:pPr>
      <w:r w:rsidRPr="00FF4E0D">
        <w:rPr>
          <w:rFonts w:cs="Times New Roman"/>
          <w:b/>
          <w:szCs w:val="24"/>
        </w:rPr>
        <w:t>Table 3. Descriptive Statistics for the Design and Use of Digital Learning Resources</w:t>
      </w:r>
    </w:p>
    <w:tbl>
      <w:tblPr>
        <w:tblStyle w:val="TableGrid"/>
        <w:tblW w:w="0" w:type="auto"/>
        <w:tblLook w:val="04A0" w:firstRow="1" w:lastRow="0" w:firstColumn="1" w:lastColumn="0" w:noHBand="0" w:noVBand="1"/>
      </w:tblPr>
      <w:tblGrid>
        <w:gridCol w:w="4356"/>
        <w:gridCol w:w="1416"/>
        <w:gridCol w:w="1275"/>
        <w:gridCol w:w="1417"/>
        <w:gridCol w:w="1318"/>
      </w:tblGrid>
      <w:tr w:rsidR="00FF4E0D" w:rsidRPr="00FF4E0D" w14:paraId="3758C117" w14:textId="77777777" w:rsidTr="00EA7AFF">
        <w:tc>
          <w:tcPr>
            <w:tcW w:w="4361" w:type="dxa"/>
            <w:vAlign w:val="center"/>
          </w:tcPr>
          <w:p w14:paraId="5FAC5AE0" w14:textId="77777777" w:rsidR="006027D5" w:rsidRPr="00FF4E0D" w:rsidRDefault="001E24BB" w:rsidP="00EA7AFF">
            <w:pPr>
              <w:shd w:val="clear" w:color="auto" w:fill="FFFFFF" w:themeFill="background1"/>
              <w:jc w:val="center"/>
              <w:rPr>
                <w:rFonts w:cs="Times New Roman"/>
                <w:szCs w:val="24"/>
              </w:rPr>
            </w:pPr>
            <w:r w:rsidRPr="00FF4E0D">
              <w:rPr>
                <w:rFonts w:cs="Times New Roman"/>
                <w:b/>
                <w:szCs w:val="24"/>
              </w:rPr>
              <w:t>Observed variable</w:t>
            </w:r>
          </w:p>
        </w:tc>
        <w:tc>
          <w:tcPr>
            <w:tcW w:w="1417" w:type="dxa"/>
            <w:vAlign w:val="center"/>
          </w:tcPr>
          <w:p w14:paraId="72273543" w14:textId="77777777" w:rsidR="006027D5" w:rsidRPr="00FF4E0D" w:rsidRDefault="001E24BB" w:rsidP="00EA7AFF">
            <w:pPr>
              <w:shd w:val="clear" w:color="auto" w:fill="FFFFFF" w:themeFill="background1"/>
              <w:jc w:val="center"/>
              <w:rPr>
                <w:rFonts w:cs="Times New Roman"/>
                <w:szCs w:val="24"/>
              </w:rPr>
            </w:pPr>
            <w:r w:rsidRPr="00FF4E0D">
              <w:rPr>
                <w:rFonts w:cs="Times New Roman"/>
                <w:b/>
                <w:szCs w:val="24"/>
              </w:rPr>
              <w:t>Min</w:t>
            </w:r>
          </w:p>
        </w:tc>
        <w:tc>
          <w:tcPr>
            <w:tcW w:w="1276" w:type="dxa"/>
            <w:vAlign w:val="center"/>
          </w:tcPr>
          <w:p w14:paraId="65334F23" w14:textId="77777777" w:rsidR="006027D5" w:rsidRPr="00FF4E0D" w:rsidRDefault="001E24BB" w:rsidP="00EA7AFF">
            <w:pPr>
              <w:shd w:val="clear" w:color="auto" w:fill="FFFFFF" w:themeFill="background1"/>
              <w:jc w:val="center"/>
              <w:rPr>
                <w:rFonts w:cs="Times New Roman"/>
                <w:szCs w:val="24"/>
              </w:rPr>
            </w:pPr>
            <w:r w:rsidRPr="00FF4E0D">
              <w:rPr>
                <w:rFonts w:cs="Times New Roman"/>
                <w:b/>
                <w:szCs w:val="24"/>
              </w:rPr>
              <w:t>Max</w:t>
            </w:r>
          </w:p>
        </w:tc>
        <w:tc>
          <w:tcPr>
            <w:tcW w:w="1418" w:type="dxa"/>
            <w:vAlign w:val="center"/>
          </w:tcPr>
          <w:p w14:paraId="7C6FDF08" w14:textId="77777777" w:rsidR="006027D5" w:rsidRPr="00FF4E0D" w:rsidRDefault="001E24BB" w:rsidP="00EA7AFF">
            <w:pPr>
              <w:shd w:val="clear" w:color="auto" w:fill="FFFFFF" w:themeFill="background1"/>
              <w:jc w:val="center"/>
              <w:rPr>
                <w:rFonts w:cs="Times New Roman"/>
                <w:szCs w:val="24"/>
              </w:rPr>
            </w:pPr>
            <w:r w:rsidRPr="00FF4E0D">
              <w:rPr>
                <w:rFonts w:cs="Times New Roman"/>
                <w:b/>
                <w:szCs w:val="24"/>
              </w:rPr>
              <w:t>Mean</w:t>
            </w:r>
          </w:p>
        </w:tc>
        <w:tc>
          <w:tcPr>
            <w:tcW w:w="1318" w:type="dxa"/>
            <w:vAlign w:val="center"/>
          </w:tcPr>
          <w:p w14:paraId="6ACC36A1" w14:textId="77777777" w:rsidR="006027D5" w:rsidRPr="00FF4E0D" w:rsidRDefault="001E24BB" w:rsidP="00EA7AFF">
            <w:pPr>
              <w:shd w:val="clear" w:color="auto" w:fill="FFFFFF" w:themeFill="background1"/>
              <w:jc w:val="center"/>
              <w:rPr>
                <w:rFonts w:cs="Times New Roman"/>
                <w:szCs w:val="24"/>
              </w:rPr>
            </w:pPr>
            <w:r w:rsidRPr="00FF4E0D">
              <w:rPr>
                <w:rFonts w:cs="Times New Roman"/>
                <w:b/>
                <w:szCs w:val="24"/>
              </w:rPr>
              <w:t>Std. Deviation</w:t>
            </w:r>
          </w:p>
        </w:tc>
      </w:tr>
      <w:tr w:rsidR="00FF4E0D" w:rsidRPr="00FF4E0D" w14:paraId="7760BF60" w14:textId="77777777" w:rsidTr="00EA7AFF">
        <w:tc>
          <w:tcPr>
            <w:tcW w:w="4361" w:type="dxa"/>
          </w:tcPr>
          <w:p w14:paraId="62F459E8"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DC2.1. Designing electronic lectures with images, audio, video, or interactive learning resources</w:t>
            </w:r>
          </w:p>
        </w:tc>
        <w:tc>
          <w:tcPr>
            <w:tcW w:w="1417" w:type="dxa"/>
            <w:vAlign w:val="center"/>
          </w:tcPr>
          <w:p w14:paraId="532A0F38"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1</w:t>
            </w:r>
          </w:p>
        </w:tc>
        <w:tc>
          <w:tcPr>
            <w:tcW w:w="1276" w:type="dxa"/>
            <w:vAlign w:val="center"/>
          </w:tcPr>
          <w:p w14:paraId="0F96AD71"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5</w:t>
            </w:r>
          </w:p>
        </w:tc>
        <w:tc>
          <w:tcPr>
            <w:tcW w:w="1418" w:type="dxa"/>
            <w:vAlign w:val="center"/>
          </w:tcPr>
          <w:p w14:paraId="22887037"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3.46</w:t>
            </w:r>
          </w:p>
        </w:tc>
        <w:tc>
          <w:tcPr>
            <w:tcW w:w="1318" w:type="dxa"/>
            <w:vAlign w:val="center"/>
          </w:tcPr>
          <w:p w14:paraId="6745AF3E"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0.87</w:t>
            </w:r>
          </w:p>
        </w:tc>
      </w:tr>
      <w:tr w:rsidR="00FF4E0D" w:rsidRPr="00FF4E0D" w14:paraId="40DEA839" w14:textId="77777777" w:rsidTr="00EA7AFF">
        <w:tc>
          <w:tcPr>
            <w:tcW w:w="4361" w:type="dxa"/>
          </w:tcPr>
          <w:p w14:paraId="559ACE9E"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DC2.2. Developing or editing digital learning materials for students</w:t>
            </w:r>
          </w:p>
        </w:tc>
        <w:tc>
          <w:tcPr>
            <w:tcW w:w="1417" w:type="dxa"/>
            <w:vAlign w:val="center"/>
          </w:tcPr>
          <w:p w14:paraId="2EF57045"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1</w:t>
            </w:r>
          </w:p>
        </w:tc>
        <w:tc>
          <w:tcPr>
            <w:tcW w:w="1276" w:type="dxa"/>
            <w:vAlign w:val="center"/>
          </w:tcPr>
          <w:p w14:paraId="18E0DDFC"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5</w:t>
            </w:r>
          </w:p>
        </w:tc>
        <w:tc>
          <w:tcPr>
            <w:tcW w:w="1418" w:type="dxa"/>
            <w:vAlign w:val="center"/>
          </w:tcPr>
          <w:p w14:paraId="05B0DB00"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3.28</w:t>
            </w:r>
          </w:p>
        </w:tc>
        <w:tc>
          <w:tcPr>
            <w:tcW w:w="1318" w:type="dxa"/>
            <w:vAlign w:val="center"/>
          </w:tcPr>
          <w:p w14:paraId="6CCE494B"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0.91</w:t>
            </w:r>
          </w:p>
        </w:tc>
      </w:tr>
      <w:tr w:rsidR="00FF4E0D" w:rsidRPr="00FF4E0D" w14:paraId="2B580266" w14:textId="77777777" w:rsidTr="00EA7AFF">
        <w:tc>
          <w:tcPr>
            <w:tcW w:w="4361" w:type="dxa"/>
          </w:tcPr>
          <w:p w14:paraId="38E874CA"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DC2.3. Using videos, images, or software to illustrate techniques and practical movements</w:t>
            </w:r>
          </w:p>
        </w:tc>
        <w:tc>
          <w:tcPr>
            <w:tcW w:w="1417" w:type="dxa"/>
            <w:vAlign w:val="center"/>
          </w:tcPr>
          <w:p w14:paraId="48D53A4E"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1</w:t>
            </w:r>
          </w:p>
        </w:tc>
        <w:tc>
          <w:tcPr>
            <w:tcW w:w="1276" w:type="dxa"/>
            <w:vAlign w:val="center"/>
          </w:tcPr>
          <w:p w14:paraId="372AA2C5"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5</w:t>
            </w:r>
          </w:p>
        </w:tc>
        <w:tc>
          <w:tcPr>
            <w:tcW w:w="1418" w:type="dxa"/>
            <w:vAlign w:val="center"/>
          </w:tcPr>
          <w:p w14:paraId="79B330A3"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3.18</w:t>
            </w:r>
          </w:p>
        </w:tc>
        <w:tc>
          <w:tcPr>
            <w:tcW w:w="1318" w:type="dxa"/>
            <w:vAlign w:val="center"/>
          </w:tcPr>
          <w:p w14:paraId="6A5DCB95"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0.95</w:t>
            </w:r>
          </w:p>
        </w:tc>
      </w:tr>
      <w:tr w:rsidR="00FF4E0D" w:rsidRPr="00FF4E0D" w14:paraId="15FC3883" w14:textId="77777777" w:rsidTr="00EA7AFF">
        <w:tc>
          <w:tcPr>
            <w:tcW w:w="4361" w:type="dxa"/>
          </w:tcPr>
          <w:p w14:paraId="6A60D2C7"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lastRenderedPageBreak/>
              <w:t>DC2.4. Selecting digital learning resources appropriate to course objectives and characteristics</w:t>
            </w:r>
          </w:p>
        </w:tc>
        <w:tc>
          <w:tcPr>
            <w:tcW w:w="1417" w:type="dxa"/>
            <w:vAlign w:val="center"/>
          </w:tcPr>
          <w:p w14:paraId="1F830053"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2</w:t>
            </w:r>
          </w:p>
        </w:tc>
        <w:tc>
          <w:tcPr>
            <w:tcW w:w="1276" w:type="dxa"/>
            <w:vAlign w:val="center"/>
          </w:tcPr>
          <w:p w14:paraId="7FB0366E"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5</w:t>
            </w:r>
          </w:p>
        </w:tc>
        <w:tc>
          <w:tcPr>
            <w:tcW w:w="1418" w:type="dxa"/>
            <w:vAlign w:val="center"/>
          </w:tcPr>
          <w:p w14:paraId="262528B4"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3.33</w:t>
            </w:r>
          </w:p>
        </w:tc>
        <w:tc>
          <w:tcPr>
            <w:tcW w:w="1318" w:type="dxa"/>
            <w:vAlign w:val="center"/>
          </w:tcPr>
          <w:p w14:paraId="7A9735EA"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0.82</w:t>
            </w:r>
          </w:p>
        </w:tc>
      </w:tr>
    </w:tbl>
    <w:p w14:paraId="0810BFA7" w14:textId="77777777" w:rsidR="006027D5" w:rsidRPr="00FF4E0D" w:rsidRDefault="006027D5" w:rsidP="00EA7AFF">
      <w:pPr>
        <w:shd w:val="clear" w:color="auto" w:fill="FFFFFF" w:themeFill="background1"/>
        <w:spacing w:after="0" w:line="240" w:lineRule="auto"/>
        <w:rPr>
          <w:rFonts w:cs="Times New Roman"/>
          <w:szCs w:val="24"/>
        </w:rPr>
      </w:pPr>
    </w:p>
    <w:p w14:paraId="059516C7" w14:textId="77777777" w:rsidR="006027D5" w:rsidRPr="00FF4E0D" w:rsidRDefault="001E24BB" w:rsidP="00EA7AFF">
      <w:pPr>
        <w:shd w:val="clear" w:color="auto" w:fill="FFFFFF" w:themeFill="background1"/>
        <w:spacing w:after="0" w:line="240" w:lineRule="auto"/>
        <w:ind w:firstLine="432"/>
        <w:jc w:val="both"/>
        <w:rPr>
          <w:rFonts w:cs="Times New Roman"/>
          <w:szCs w:val="24"/>
        </w:rPr>
      </w:pPr>
      <w:r w:rsidRPr="00FF4E0D">
        <w:rPr>
          <w:rFonts w:cs="Times New Roman"/>
          <w:szCs w:val="24"/>
        </w:rPr>
        <w:t>Competence in designing and using digital learning resources ranged from 3.18 to 3.46 points. DC2.1 had the highest mean score, with Mean = 3.46, indicating that lecturers have initially learned to design electronic lectures incorporating images, videos, diagrams, or certain interactive learning resources. However, this score only slightly exceeded the good-level threshold, reflecting that digital learning-resource design competence remains at an initial stage and does not yet demonstrate a high level of proficiency. Notably, DC2.3 had the lowest score, with Mean = 3.18. This observed variable is directly associated with the distinctive characteristics of physical education and sports training, because the use of videos, images, or software to illustrate movement techniques plays an important role in practical teaching.</w:t>
      </w:r>
    </w:p>
    <w:p w14:paraId="4397911B" w14:textId="77777777" w:rsidR="006027D5" w:rsidRPr="00FF4E0D" w:rsidRDefault="001E24BB" w:rsidP="00EA7AFF">
      <w:pPr>
        <w:shd w:val="clear" w:color="auto" w:fill="FFFFFF" w:themeFill="background1"/>
        <w:spacing w:after="0" w:line="240" w:lineRule="auto"/>
        <w:jc w:val="center"/>
        <w:rPr>
          <w:rFonts w:cs="Times New Roman"/>
          <w:szCs w:val="24"/>
        </w:rPr>
      </w:pPr>
      <w:r w:rsidRPr="00FF4E0D">
        <w:rPr>
          <w:rFonts w:cs="Times New Roman"/>
          <w:b/>
          <w:szCs w:val="24"/>
        </w:rPr>
        <w:t>Table 4. Descriptive Statistics for Organizing Teaching Activities in Digital Environments</w:t>
      </w:r>
    </w:p>
    <w:tbl>
      <w:tblPr>
        <w:tblStyle w:val="TableGrid"/>
        <w:tblW w:w="0" w:type="auto"/>
        <w:tblLook w:val="04A0" w:firstRow="1" w:lastRow="0" w:firstColumn="1" w:lastColumn="0" w:noHBand="0" w:noVBand="1"/>
      </w:tblPr>
      <w:tblGrid>
        <w:gridCol w:w="4214"/>
        <w:gridCol w:w="1417"/>
        <w:gridCol w:w="1416"/>
        <w:gridCol w:w="1275"/>
        <w:gridCol w:w="1460"/>
      </w:tblGrid>
      <w:tr w:rsidR="00FF4E0D" w:rsidRPr="00FF4E0D" w14:paraId="667591FA" w14:textId="77777777" w:rsidTr="00EA7AFF">
        <w:tc>
          <w:tcPr>
            <w:tcW w:w="4219" w:type="dxa"/>
            <w:vAlign w:val="center"/>
          </w:tcPr>
          <w:p w14:paraId="28A69738" w14:textId="77777777" w:rsidR="006027D5" w:rsidRPr="00FF4E0D" w:rsidRDefault="001E24BB" w:rsidP="00EA7AFF">
            <w:pPr>
              <w:shd w:val="clear" w:color="auto" w:fill="FFFFFF" w:themeFill="background1"/>
              <w:jc w:val="center"/>
              <w:rPr>
                <w:rFonts w:cs="Times New Roman"/>
                <w:szCs w:val="24"/>
              </w:rPr>
            </w:pPr>
            <w:r w:rsidRPr="00FF4E0D">
              <w:rPr>
                <w:rFonts w:cs="Times New Roman"/>
                <w:b/>
                <w:szCs w:val="24"/>
              </w:rPr>
              <w:t>Observed variable</w:t>
            </w:r>
          </w:p>
        </w:tc>
        <w:tc>
          <w:tcPr>
            <w:tcW w:w="1418" w:type="dxa"/>
            <w:vAlign w:val="center"/>
          </w:tcPr>
          <w:p w14:paraId="1A041417" w14:textId="77777777" w:rsidR="006027D5" w:rsidRPr="00FF4E0D" w:rsidRDefault="001E24BB" w:rsidP="00EA7AFF">
            <w:pPr>
              <w:shd w:val="clear" w:color="auto" w:fill="FFFFFF" w:themeFill="background1"/>
              <w:jc w:val="center"/>
              <w:rPr>
                <w:rFonts w:cs="Times New Roman"/>
                <w:szCs w:val="24"/>
              </w:rPr>
            </w:pPr>
            <w:r w:rsidRPr="00FF4E0D">
              <w:rPr>
                <w:rFonts w:cs="Times New Roman"/>
                <w:b/>
                <w:szCs w:val="24"/>
              </w:rPr>
              <w:t>Min</w:t>
            </w:r>
          </w:p>
        </w:tc>
        <w:tc>
          <w:tcPr>
            <w:tcW w:w="1417" w:type="dxa"/>
            <w:vAlign w:val="center"/>
          </w:tcPr>
          <w:p w14:paraId="29837A8B" w14:textId="77777777" w:rsidR="006027D5" w:rsidRPr="00FF4E0D" w:rsidRDefault="001E24BB" w:rsidP="00EA7AFF">
            <w:pPr>
              <w:shd w:val="clear" w:color="auto" w:fill="FFFFFF" w:themeFill="background1"/>
              <w:jc w:val="center"/>
              <w:rPr>
                <w:rFonts w:cs="Times New Roman"/>
                <w:szCs w:val="24"/>
              </w:rPr>
            </w:pPr>
            <w:r w:rsidRPr="00FF4E0D">
              <w:rPr>
                <w:rFonts w:cs="Times New Roman"/>
                <w:b/>
                <w:szCs w:val="24"/>
              </w:rPr>
              <w:t>Max</w:t>
            </w:r>
          </w:p>
        </w:tc>
        <w:tc>
          <w:tcPr>
            <w:tcW w:w="1276" w:type="dxa"/>
            <w:vAlign w:val="center"/>
          </w:tcPr>
          <w:p w14:paraId="3400E536" w14:textId="77777777" w:rsidR="006027D5" w:rsidRPr="00FF4E0D" w:rsidRDefault="001E24BB" w:rsidP="00EA7AFF">
            <w:pPr>
              <w:shd w:val="clear" w:color="auto" w:fill="FFFFFF" w:themeFill="background1"/>
              <w:jc w:val="center"/>
              <w:rPr>
                <w:rFonts w:cs="Times New Roman"/>
                <w:szCs w:val="24"/>
              </w:rPr>
            </w:pPr>
            <w:r w:rsidRPr="00FF4E0D">
              <w:rPr>
                <w:rFonts w:cs="Times New Roman"/>
                <w:b/>
                <w:szCs w:val="24"/>
              </w:rPr>
              <w:t>Mean</w:t>
            </w:r>
          </w:p>
        </w:tc>
        <w:tc>
          <w:tcPr>
            <w:tcW w:w="1460" w:type="dxa"/>
            <w:vAlign w:val="center"/>
          </w:tcPr>
          <w:p w14:paraId="216623BB" w14:textId="77777777" w:rsidR="006027D5" w:rsidRPr="00FF4E0D" w:rsidRDefault="001E24BB" w:rsidP="00EA7AFF">
            <w:pPr>
              <w:shd w:val="clear" w:color="auto" w:fill="FFFFFF" w:themeFill="background1"/>
              <w:jc w:val="center"/>
              <w:rPr>
                <w:rFonts w:cs="Times New Roman"/>
                <w:szCs w:val="24"/>
              </w:rPr>
            </w:pPr>
            <w:r w:rsidRPr="00FF4E0D">
              <w:rPr>
                <w:rFonts w:cs="Times New Roman"/>
                <w:b/>
                <w:szCs w:val="24"/>
              </w:rPr>
              <w:t>Std. Deviation</w:t>
            </w:r>
          </w:p>
        </w:tc>
      </w:tr>
      <w:tr w:rsidR="00FF4E0D" w:rsidRPr="00FF4E0D" w14:paraId="0F807792" w14:textId="77777777" w:rsidTr="00EA7AFF">
        <w:tc>
          <w:tcPr>
            <w:tcW w:w="4219" w:type="dxa"/>
          </w:tcPr>
          <w:p w14:paraId="476E03E1"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DC3.1. Organizing learning activities on digital platforms or learning management systems</w:t>
            </w:r>
          </w:p>
        </w:tc>
        <w:tc>
          <w:tcPr>
            <w:tcW w:w="1418" w:type="dxa"/>
            <w:vAlign w:val="center"/>
          </w:tcPr>
          <w:p w14:paraId="6297A355"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1</w:t>
            </w:r>
          </w:p>
        </w:tc>
        <w:tc>
          <w:tcPr>
            <w:tcW w:w="1417" w:type="dxa"/>
            <w:vAlign w:val="center"/>
          </w:tcPr>
          <w:p w14:paraId="6E61D07D"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5</w:t>
            </w:r>
          </w:p>
        </w:tc>
        <w:tc>
          <w:tcPr>
            <w:tcW w:w="1276" w:type="dxa"/>
            <w:vAlign w:val="center"/>
          </w:tcPr>
          <w:p w14:paraId="398838BB"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3.29</w:t>
            </w:r>
          </w:p>
        </w:tc>
        <w:tc>
          <w:tcPr>
            <w:tcW w:w="1460" w:type="dxa"/>
            <w:vAlign w:val="center"/>
          </w:tcPr>
          <w:p w14:paraId="39F5385F"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0.86</w:t>
            </w:r>
          </w:p>
        </w:tc>
      </w:tr>
      <w:tr w:rsidR="00FF4E0D" w:rsidRPr="00FF4E0D" w14:paraId="38C14209" w14:textId="77777777" w:rsidTr="00EA7AFF">
        <w:tc>
          <w:tcPr>
            <w:tcW w:w="4219" w:type="dxa"/>
          </w:tcPr>
          <w:p w14:paraId="4E77D476"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DC3.2. Guiding students to exploit materials, submit assignments, and discuss in digital environments</w:t>
            </w:r>
          </w:p>
        </w:tc>
        <w:tc>
          <w:tcPr>
            <w:tcW w:w="1418" w:type="dxa"/>
            <w:vAlign w:val="center"/>
          </w:tcPr>
          <w:p w14:paraId="661E8416"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2</w:t>
            </w:r>
          </w:p>
        </w:tc>
        <w:tc>
          <w:tcPr>
            <w:tcW w:w="1417" w:type="dxa"/>
            <w:vAlign w:val="center"/>
          </w:tcPr>
          <w:p w14:paraId="3BBE3C4C"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5</w:t>
            </w:r>
          </w:p>
        </w:tc>
        <w:tc>
          <w:tcPr>
            <w:tcW w:w="1276" w:type="dxa"/>
            <w:vAlign w:val="center"/>
          </w:tcPr>
          <w:p w14:paraId="0C1C1690"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3.41</w:t>
            </w:r>
          </w:p>
        </w:tc>
        <w:tc>
          <w:tcPr>
            <w:tcW w:w="1460" w:type="dxa"/>
            <w:vAlign w:val="center"/>
          </w:tcPr>
          <w:p w14:paraId="2C9A5BD2"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0.79</w:t>
            </w:r>
          </w:p>
        </w:tc>
      </w:tr>
      <w:tr w:rsidR="00FF4E0D" w:rsidRPr="00FF4E0D" w14:paraId="14944CAB" w14:textId="77777777" w:rsidTr="00EA7AFF">
        <w:tc>
          <w:tcPr>
            <w:tcW w:w="4219" w:type="dxa"/>
          </w:tcPr>
          <w:p w14:paraId="690F1654"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DC3.3. Combining face-to-face teaching with online learning activities</w:t>
            </w:r>
          </w:p>
        </w:tc>
        <w:tc>
          <w:tcPr>
            <w:tcW w:w="1418" w:type="dxa"/>
            <w:vAlign w:val="center"/>
          </w:tcPr>
          <w:p w14:paraId="02D8842A"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1</w:t>
            </w:r>
          </w:p>
        </w:tc>
        <w:tc>
          <w:tcPr>
            <w:tcW w:w="1417" w:type="dxa"/>
            <w:vAlign w:val="center"/>
          </w:tcPr>
          <w:p w14:paraId="4752E519"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5</w:t>
            </w:r>
          </w:p>
        </w:tc>
        <w:tc>
          <w:tcPr>
            <w:tcW w:w="1276" w:type="dxa"/>
            <w:vAlign w:val="center"/>
          </w:tcPr>
          <w:p w14:paraId="522BBF82"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3.37</w:t>
            </w:r>
          </w:p>
        </w:tc>
        <w:tc>
          <w:tcPr>
            <w:tcW w:w="1460" w:type="dxa"/>
            <w:vAlign w:val="center"/>
          </w:tcPr>
          <w:p w14:paraId="735EBD62"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0.88</w:t>
            </w:r>
          </w:p>
        </w:tc>
      </w:tr>
      <w:tr w:rsidR="00FF4E0D" w:rsidRPr="00FF4E0D" w14:paraId="6A34368B" w14:textId="77777777" w:rsidTr="00EA7AFF">
        <w:tc>
          <w:tcPr>
            <w:tcW w:w="4219" w:type="dxa"/>
          </w:tcPr>
          <w:p w14:paraId="184DFD89"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DC3.4. Using technology to support students’ self-study and out-of-class practice</w:t>
            </w:r>
          </w:p>
        </w:tc>
        <w:tc>
          <w:tcPr>
            <w:tcW w:w="1418" w:type="dxa"/>
            <w:vAlign w:val="center"/>
          </w:tcPr>
          <w:p w14:paraId="03043A34"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1</w:t>
            </w:r>
          </w:p>
        </w:tc>
        <w:tc>
          <w:tcPr>
            <w:tcW w:w="1417" w:type="dxa"/>
            <w:vAlign w:val="center"/>
          </w:tcPr>
          <w:p w14:paraId="543990AA"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5</w:t>
            </w:r>
          </w:p>
        </w:tc>
        <w:tc>
          <w:tcPr>
            <w:tcW w:w="1276" w:type="dxa"/>
            <w:vAlign w:val="center"/>
          </w:tcPr>
          <w:p w14:paraId="3F6FB74E"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3.32</w:t>
            </w:r>
          </w:p>
        </w:tc>
        <w:tc>
          <w:tcPr>
            <w:tcW w:w="1460" w:type="dxa"/>
            <w:vAlign w:val="center"/>
          </w:tcPr>
          <w:p w14:paraId="3BD80B3F"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0.92</w:t>
            </w:r>
          </w:p>
        </w:tc>
      </w:tr>
    </w:tbl>
    <w:p w14:paraId="701D5759" w14:textId="77777777" w:rsidR="006027D5" w:rsidRPr="00FF4E0D" w:rsidRDefault="006027D5" w:rsidP="00EA7AFF">
      <w:pPr>
        <w:shd w:val="clear" w:color="auto" w:fill="FFFFFF" w:themeFill="background1"/>
        <w:spacing w:after="0" w:line="240" w:lineRule="auto"/>
        <w:rPr>
          <w:rFonts w:cs="Times New Roman"/>
          <w:szCs w:val="24"/>
        </w:rPr>
      </w:pPr>
    </w:p>
    <w:p w14:paraId="30ACDDE8" w14:textId="77777777" w:rsidR="006027D5" w:rsidRPr="00FF4E0D" w:rsidRDefault="001E24BB" w:rsidP="00EA7AFF">
      <w:pPr>
        <w:shd w:val="clear" w:color="auto" w:fill="FFFFFF" w:themeFill="background1"/>
        <w:spacing w:after="0" w:line="240" w:lineRule="auto"/>
        <w:ind w:firstLine="432"/>
        <w:jc w:val="both"/>
        <w:rPr>
          <w:rFonts w:cs="Times New Roman"/>
          <w:szCs w:val="24"/>
        </w:rPr>
      </w:pPr>
      <w:r w:rsidRPr="00FF4E0D">
        <w:rPr>
          <w:rFonts w:cs="Times New Roman"/>
          <w:szCs w:val="24"/>
        </w:rPr>
        <w:t>The survey results show that lecturers’ competence in organizing teaching activities in digital environments was mainly at a high average level. DC3.2 reached Mean = 3.41, just meeting the good-level threshold, indicating that lecturers have a certain capacity to guide students in exploiting materials, submitting assignments, discussing, or interacting academically on digital platforms. However, the remaining variables did not clearly exceed the good-level threshold. DC3.1 reached Mean = 3.29, DC3.3 reached Mean = 3.37, and DC3.4 reached Mean = 3.32. These results show that digital teaching organization has not yet become a stable pedagogical process. For practical courses in physical education and sports, supporting students’ self-study, independent practice, and progress monitoring outside class through digital technology remains a relatively new requirement.</w:t>
      </w:r>
    </w:p>
    <w:p w14:paraId="72C9C866" w14:textId="77777777" w:rsidR="006027D5" w:rsidRPr="00FF4E0D" w:rsidRDefault="001E24BB" w:rsidP="00EA7AFF">
      <w:pPr>
        <w:shd w:val="clear" w:color="auto" w:fill="FFFFFF" w:themeFill="background1"/>
        <w:spacing w:after="0" w:line="240" w:lineRule="auto"/>
        <w:jc w:val="center"/>
        <w:rPr>
          <w:rFonts w:cs="Times New Roman"/>
          <w:szCs w:val="24"/>
        </w:rPr>
      </w:pPr>
      <w:r w:rsidRPr="00FF4E0D">
        <w:rPr>
          <w:rFonts w:cs="Times New Roman"/>
          <w:b/>
          <w:szCs w:val="24"/>
        </w:rPr>
        <w:t>Table 5. Descriptive Statistics for Learner Assessment Using Digital Technology</w:t>
      </w:r>
    </w:p>
    <w:tbl>
      <w:tblPr>
        <w:tblStyle w:val="TableGrid"/>
        <w:tblW w:w="0" w:type="auto"/>
        <w:tblLook w:val="04A0" w:firstRow="1" w:lastRow="0" w:firstColumn="1" w:lastColumn="0" w:noHBand="0" w:noVBand="1"/>
      </w:tblPr>
      <w:tblGrid>
        <w:gridCol w:w="4214"/>
        <w:gridCol w:w="1417"/>
        <w:gridCol w:w="1274"/>
        <w:gridCol w:w="1417"/>
        <w:gridCol w:w="1460"/>
      </w:tblGrid>
      <w:tr w:rsidR="00FF4E0D" w:rsidRPr="00FF4E0D" w14:paraId="71C2BE98" w14:textId="77777777" w:rsidTr="00EA7AFF">
        <w:tc>
          <w:tcPr>
            <w:tcW w:w="4219" w:type="dxa"/>
            <w:vAlign w:val="center"/>
          </w:tcPr>
          <w:p w14:paraId="4219D6F5" w14:textId="77777777" w:rsidR="006027D5" w:rsidRPr="00FF4E0D" w:rsidRDefault="001E24BB" w:rsidP="00EA7AFF">
            <w:pPr>
              <w:shd w:val="clear" w:color="auto" w:fill="FFFFFF" w:themeFill="background1"/>
              <w:jc w:val="center"/>
              <w:rPr>
                <w:rFonts w:cs="Times New Roman"/>
                <w:szCs w:val="24"/>
              </w:rPr>
            </w:pPr>
            <w:r w:rsidRPr="00FF4E0D">
              <w:rPr>
                <w:rFonts w:cs="Times New Roman"/>
                <w:b/>
                <w:szCs w:val="24"/>
              </w:rPr>
              <w:t>Observed variable</w:t>
            </w:r>
          </w:p>
        </w:tc>
        <w:tc>
          <w:tcPr>
            <w:tcW w:w="1418" w:type="dxa"/>
            <w:vAlign w:val="center"/>
          </w:tcPr>
          <w:p w14:paraId="7458500A" w14:textId="77777777" w:rsidR="006027D5" w:rsidRPr="00FF4E0D" w:rsidRDefault="001E24BB" w:rsidP="00EA7AFF">
            <w:pPr>
              <w:shd w:val="clear" w:color="auto" w:fill="FFFFFF" w:themeFill="background1"/>
              <w:jc w:val="center"/>
              <w:rPr>
                <w:rFonts w:cs="Times New Roman"/>
                <w:szCs w:val="24"/>
              </w:rPr>
            </w:pPr>
            <w:r w:rsidRPr="00FF4E0D">
              <w:rPr>
                <w:rFonts w:cs="Times New Roman"/>
                <w:b/>
                <w:szCs w:val="24"/>
              </w:rPr>
              <w:t>Min</w:t>
            </w:r>
          </w:p>
        </w:tc>
        <w:tc>
          <w:tcPr>
            <w:tcW w:w="1275" w:type="dxa"/>
            <w:vAlign w:val="center"/>
          </w:tcPr>
          <w:p w14:paraId="7B038411" w14:textId="77777777" w:rsidR="006027D5" w:rsidRPr="00FF4E0D" w:rsidRDefault="001E24BB" w:rsidP="00EA7AFF">
            <w:pPr>
              <w:shd w:val="clear" w:color="auto" w:fill="FFFFFF" w:themeFill="background1"/>
              <w:jc w:val="center"/>
              <w:rPr>
                <w:rFonts w:cs="Times New Roman"/>
                <w:szCs w:val="24"/>
              </w:rPr>
            </w:pPr>
            <w:r w:rsidRPr="00FF4E0D">
              <w:rPr>
                <w:rFonts w:cs="Times New Roman"/>
                <w:b/>
                <w:szCs w:val="24"/>
              </w:rPr>
              <w:t>Max</w:t>
            </w:r>
          </w:p>
        </w:tc>
        <w:tc>
          <w:tcPr>
            <w:tcW w:w="1418" w:type="dxa"/>
            <w:vAlign w:val="center"/>
          </w:tcPr>
          <w:p w14:paraId="50EE8ADE" w14:textId="77777777" w:rsidR="006027D5" w:rsidRPr="00FF4E0D" w:rsidRDefault="001E24BB" w:rsidP="00EA7AFF">
            <w:pPr>
              <w:shd w:val="clear" w:color="auto" w:fill="FFFFFF" w:themeFill="background1"/>
              <w:jc w:val="center"/>
              <w:rPr>
                <w:rFonts w:cs="Times New Roman"/>
                <w:szCs w:val="24"/>
              </w:rPr>
            </w:pPr>
            <w:r w:rsidRPr="00FF4E0D">
              <w:rPr>
                <w:rFonts w:cs="Times New Roman"/>
                <w:b/>
                <w:szCs w:val="24"/>
              </w:rPr>
              <w:t>Mean</w:t>
            </w:r>
          </w:p>
        </w:tc>
        <w:tc>
          <w:tcPr>
            <w:tcW w:w="1460" w:type="dxa"/>
            <w:vAlign w:val="center"/>
          </w:tcPr>
          <w:p w14:paraId="6A5248E1" w14:textId="77777777" w:rsidR="006027D5" w:rsidRPr="00FF4E0D" w:rsidRDefault="001E24BB" w:rsidP="00EA7AFF">
            <w:pPr>
              <w:shd w:val="clear" w:color="auto" w:fill="FFFFFF" w:themeFill="background1"/>
              <w:jc w:val="center"/>
              <w:rPr>
                <w:rFonts w:cs="Times New Roman"/>
                <w:szCs w:val="24"/>
              </w:rPr>
            </w:pPr>
            <w:r w:rsidRPr="00FF4E0D">
              <w:rPr>
                <w:rFonts w:cs="Times New Roman"/>
                <w:b/>
                <w:szCs w:val="24"/>
              </w:rPr>
              <w:t>Std. Deviation</w:t>
            </w:r>
          </w:p>
        </w:tc>
      </w:tr>
      <w:tr w:rsidR="00FF4E0D" w:rsidRPr="00FF4E0D" w14:paraId="1595694A" w14:textId="77777777" w:rsidTr="00EA7AFF">
        <w:tc>
          <w:tcPr>
            <w:tcW w:w="4219" w:type="dxa"/>
          </w:tcPr>
          <w:p w14:paraId="5716CBC6"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DC4.1. Designing questions, tests, or assessment tasks using digital tools</w:t>
            </w:r>
          </w:p>
        </w:tc>
        <w:tc>
          <w:tcPr>
            <w:tcW w:w="1418" w:type="dxa"/>
            <w:vAlign w:val="center"/>
          </w:tcPr>
          <w:p w14:paraId="20943CD4"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1</w:t>
            </w:r>
          </w:p>
        </w:tc>
        <w:tc>
          <w:tcPr>
            <w:tcW w:w="1275" w:type="dxa"/>
            <w:vAlign w:val="center"/>
          </w:tcPr>
          <w:p w14:paraId="71EE58F2"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5</w:t>
            </w:r>
          </w:p>
        </w:tc>
        <w:tc>
          <w:tcPr>
            <w:tcW w:w="1418" w:type="dxa"/>
            <w:vAlign w:val="center"/>
          </w:tcPr>
          <w:p w14:paraId="5FD72423"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3.18</w:t>
            </w:r>
          </w:p>
        </w:tc>
        <w:tc>
          <w:tcPr>
            <w:tcW w:w="1460" w:type="dxa"/>
            <w:vAlign w:val="center"/>
          </w:tcPr>
          <w:p w14:paraId="5B924607"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0.89</w:t>
            </w:r>
          </w:p>
        </w:tc>
      </w:tr>
      <w:tr w:rsidR="00FF4E0D" w:rsidRPr="00FF4E0D" w14:paraId="2E7F50FC" w14:textId="77777777" w:rsidTr="00EA7AFF">
        <w:tc>
          <w:tcPr>
            <w:tcW w:w="4219" w:type="dxa"/>
          </w:tcPr>
          <w:p w14:paraId="1FF50132"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DC4.2. Using digital tools to store and manage students’ learning outcomes</w:t>
            </w:r>
          </w:p>
        </w:tc>
        <w:tc>
          <w:tcPr>
            <w:tcW w:w="1418" w:type="dxa"/>
            <w:vAlign w:val="center"/>
          </w:tcPr>
          <w:p w14:paraId="153B8F51"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1</w:t>
            </w:r>
          </w:p>
        </w:tc>
        <w:tc>
          <w:tcPr>
            <w:tcW w:w="1275" w:type="dxa"/>
            <w:vAlign w:val="center"/>
          </w:tcPr>
          <w:p w14:paraId="28F5DA16"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5</w:t>
            </w:r>
          </w:p>
        </w:tc>
        <w:tc>
          <w:tcPr>
            <w:tcW w:w="1418" w:type="dxa"/>
            <w:vAlign w:val="center"/>
          </w:tcPr>
          <w:p w14:paraId="7ABC58A7"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3.15</w:t>
            </w:r>
          </w:p>
        </w:tc>
        <w:tc>
          <w:tcPr>
            <w:tcW w:w="1460" w:type="dxa"/>
            <w:vAlign w:val="center"/>
          </w:tcPr>
          <w:p w14:paraId="26A1F6A1"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0.94</w:t>
            </w:r>
          </w:p>
        </w:tc>
      </w:tr>
      <w:tr w:rsidR="00FF4E0D" w:rsidRPr="00FF4E0D" w14:paraId="63B9594F" w14:textId="77777777" w:rsidTr="00EA7AFF">
        <w:tc>
          <w:tcPr>
            <w:tcW w:w="4219" w:type="dxa"/>
          </w:tcPr>
          <w:p w14:paraId="6552ACDC"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DC4.3. Using learning data to identify students’ progress and difficulties</w:t>
            </w:r>
          </w:p>
        </w:tc>
        <w:tc>
          <w:tcPr>
            <w:tcW w:w="1418" w:type="dxa"/>
            <w:vAlign w:val="center"/>
          </w:tcPr>
          <w:p w14:paraId="2FBE618B"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1</w:t>
            </w:r>
          </w:p>
        </w:tc>
        <w:tc>
          <w:tcPr>
            <w:tcW w:w="1275" w:type="dxa"/>
            <w:vAlign w:val="center"/>
          </w:tcPr>
          <w:p w14:paraId="35B0E15F"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5</w:t>
            </w:r>
          </w:p>
        </w:tc>
        <w:tc>
          <w:tcPr>
            <w:tcW w:w="1418" w:type="dxa"/>
            <w:vAlign w:val="center"/>
          </w:tcPr>
          <w:p w14:paraId="5DC2C51D"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3.02</w:t>
            </w:r>
          </w:p>
        </w:tc>
        <w:tc>
          <w:tcPr>
            <w:tcW w:w="1460" w:type="dxa"/>
            <w:vAlign w:val="center"/>
          </w:tcPr>
          <w:p w14:paraId="1410CDF1"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0.97</w:t>
            </w:r>
          </w:p>
        </w:tc>
      </w:tr>
      <w:tr w:rsidR="00FF4E0D" w:rsidRPr="00FF4E0D" w14:paraId="133D2972" w14:textId="77777777" w:rsidTr="00EA7AFF">
        <w:tc>
          <w:tcPr>
            <w:tcW w:w="4219" w:type="dxa"/>
          </w:tcPr>
          <w:p w14:paraId="58A425D5"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lastRenderedPageBreak/>
              <w:t>DC4.4. Using images, videos, or supporting devices to assess movement techniques</w:t>
            </w:r>
          </w:p>
        </w:tc>
        <w:tc>
          <w:tcPr>
            <w:tcW w:w="1418" w:type="dxa"/>
            <w:vAlign w:val="center"/>
          </w:tcPr>
          <w:p w14:paraId="2C4C3911"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1</w:t>
            </w:r>
          </w:p>
        </w:tc>
        <w:tc>
          <w:tcPr>
            <w:tcW w:w="1275" w:type="dxa"/>
            <w:vAlign w:val="center"/>
          </w:tcPr>
          <w:p w14:paraId="03360F1B"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5</w:t>
            </w:r>
          </w:p>
        </w:tc>
        <w:tc>
          <w:tcPr>
            <w:tcW w:w="1418" w:type="dxa"/>
            <w:vAlign w:val="center"/>
          </w:tcPr>
          <w:p w14:paraId="4BEE2EB0"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3.09</w:t>
            </w:r>
          </w:p>
        </w:tc>
        <w:tc>
          <w:tcPr>
            <w:tcW w:w="1460" w:type="dxa"/>
            <w:vAlign w:val="center"/>
          </w:tcPr>
          <w:p w14:paraId="0B81F268"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1.01</w:t>
            </w:r>
          </w:p>
        </w:tc>
      </w:tr>
    </w:tbl>
    <w:p w14:paraId="2C6BAD97" w14:textId="77777777" w:rsidR="006027D5" w:rsidRPr="00FF4E0D" w:rsidRDefault="006027D5" w:rsidP="00EA7AFF">
      <w:pPr>
        <w:shd w:val="clear" w:color="auto" w:fill="FFFFFF" w:themeFill="background1"/>
        <w:spacing w:after="0" w:line="240" w:lineRule="auto"/>
        <w:rPr>
          <w:rFonts w:cs="Times New Roman"/>
          <w:szCs w:val="24"/>
        </w:rPr>
      </w:pPr>
    </w:p>
    <w:p w14:paraId="39EF5605" w14:textId="77777777" w:rsidR="006027D5" w:rsidRPr="00FF4E0D" w:rsidRDefault="001E24BB" w:rsidP="00EA7AFF">
      <w:pPr>
        <w:shd w:val="clear" w:color="auto" w:fill="FFFFFF" w:themeFill="background1"/>
        <w:spacing w:after="0" w:line="240" w:lineRule="auto"/>
        <w:ind w:firstLine="432"/>
        <w:jc w:val="both"/>
        <w:rPr>
          <w:rFonts w:cs="Times New Roman"/>
          <w:szCs w:val="24"/>
        </w:rPr>
      </w:pPr>
      <w:r w:rsidRPr="00FF4E0D">
        <w:rPr>
          <w:rFonts w:cs="Times New Roman"/>
          <w:szCs w:val="24"/>
        </w:rPr>
        <w:t>Learner assessment using digital technology is one of the more limited competence domains. All observed variables were at the average level, ranging from 3.02 to 3.18. DC4.1 had the highest mean score within the domain, with Mean = 3.18, showing that some lecturers are able to use digital tools to design questions, tests, or assessment tasks, though proficiency remains limited. Two particularly meaningful variables, DC4.3 and DC4.4, both had low scores. DC4.3 reached Mean = 3.02, reflecting limitations in the use of learning data to identify students’ progress, difficulties, or support needs. DC4.4 reached Mean = 3.09, indicating that the use of images, videos, or supporting devices to assess movement techniques has not been widely implemented.</w:t>
      </w:r>
    </w:p>
    <w:p w14:paraId="2DC3C154" w14:textId="77777777" w:rsidR="006027D5" w:rsidRPr="00FF4E0D" w:rsidRDefault="001E24BB" w:rsidP="00EA7AFF">
      <w:pPr>
        <w:shd w:val="clear" w:color="auto" w:fill="FFFFFF" w:themeFill="background1"/>
        <w:spacing w:after="0" w:line="240" w:lineRule="auto"/>
        <w:jc w:val="center"/>
        <w:rPr>
          <w:rFonts w:cs="Times New Roman"/>
          <w:szCs w:val="24"/>
        </w:rPr>
      </w:pPr>
      <w:r w:rsidRPr="00FF4E0D">
        <w:rPr>
          <w:rFonts w:cs="Times New Roman"/>
          <w:b/>
          <w:szCs w:val="24"/>
        </w:rPr>
        <w:t>Table 6. Descriptive Statistics for Communication, Collaboration, and Learner Support in Digital Environments</w:t>
      </w:r>
    </w:p>
    <w:tbl>
      <w:tblPr>
        <w:tblStyle w:val="TableGrid"/>
        <w:tblW w:w="0" w:type="auto"/>
        <w:tblLook w:val="04A0" w:firstRow="1" w:lastRow="0" w:firstColumn="1" w:lastColumn="0" w:noHBand="0" w:noVBand="1"/>
      </w:tblPr>
      <w:tblGrid>
        <w:gridCol w:w="4214"/>
        <w:gridCol w:w="1417"/>
        <w:gridCol w:w="1274"/>
        <w:gridCol w:w="1417"/>
        <w:gridCol w:w="1460"/>
      </w:tblGrid>
      <w:tr w:rsidR="00FF4E0D" w:rsidRPr="00FF4E0D" w14:paraId="674BE99F" w14:textId="77777777" w:rsidTr="00EA7AFF">
        <w:tc>
          <w:tcPr>
            <w:tcW w:w="4219" w:type="dxa"/>
            <w:vAlign w:val="center"/>
          </w:tcPr>
          <w:p w14:paraId="49DC803E" w14:textId="77777777" w:rsidR="006027D5" w:rsidRPr="00FF4E0D" w:rsidRDefault="001E24BB" w:rsidP="00EA7AFF">
            <w:pPr>
              <w:shd w:val="clear" w:color="auto" w:fill="FFFFFF" w:themeFill="background1"/>
              <w:jc w:val="center"/>
              <w:rPr>
                <w:rFonts w:cs="Times New Roman"/>
                <w:szCs w:val="24"/>
              </w:rPr>
            </w:pPr>
            <w:r w:rsidRPr="00FF4E0D">
              <w:rPr>
                <w:rFonts w:cs="Times New Roman"/>
                <w:b/>
                <w:szCs w:val="24"/>
              </w:rPr>
              <w:t>Observed variable</w:t>
            </w:r>
          </w:p>
        </w:tc>
        <w:tc>
          <w:tcPr>
            <w:tcW w:w="1418" w:type="dxa"/>
            <w:vAlign w:val="center"/>
          </w:tcPr>
          <w:p w14:paraId="2B30A45D" w14:textId="77777777" w:rsidR="006027D5" w:rsidRPr="00FF4E0D" w:rsidRDefault="001E24BB" w:rsidP="00EA7AFF">
            <w:pPr>
              <w:shd w:val="clear" w:color="auto" w:fill="FFFFFF" w:themeFill="background1"/>
              <w:jc w:val="center"/>
              <w:rPr>
                <w:rFonts w:cs="Times New Roman"/>
                <w:szCs w:val="24"/>
              </w:rPr>
            </w:pPr>
            <w:r w:rsidRPr="00FF4E0D">
              <w:rPr>
                <w:rFonts w:cs="Times New Roman"/>
                <w:b/>
                <w:szCs w:val="24"/>
              </w:rPr>
              <w:t>Min</w:t>
            </w:r>
          </w:p>
        </w:tc>
        <w:tc>
          <w:tcPr>
            <w:tcW w:w="1275" w:type="dxa"/>
            <w:vAlign w:val="center"/>
          </w:tcPr>
          <w:p w14:paraId="041E5576" w14:textId="77777777" w:rsidR="006027D5" w:rsidRPr="00FF4E0D" w:rsidRDefault="001E24BB" w:rsidP="00EA7AFF">
            <w:pPr>
              <w:shd w:val="clear" w:color="auto" w:fill="FFFFFF" w:themeFill="background1"/>
              <w:jc w:val="center"/>
              <w:rPr>
                <w:rFonts w:cs="Times New Roman"/>
                <w:szCs w:val="24"/>
              </w:rPr>
            </w:pPr>
            <w:r w:rsidRPr="00FF4E0D">
              <w:rPr>
                <w:rFonts w:cs="Times New Roman"/>
                <w:b/>
                <w:szCs w:val="24"/>
              </w:rPr>
              <w:t>Max</w:t>
            </w:r>
          </w:p>
        </w:tc>
        <w:tc>
          <w:tcPr>
            <w:tcW w:w="1418" w:type="dxa"/>
            <w:vAlign w:val="center"/>
          </w:tcPr>
          <w:p w14:paraId="1AC142E5" w14:textId="77777777" w:rsidR="006027D5" w:rsidRPr="00FF4E0D" w:rsidRDefault="001E24BB" w:rsidP="00EA7AFF">
            <w:pPr>
              <w:shd w:val="clear" w:color="auto" w:fill="FFFFFF" w:themeFill="background1"/>
              <w:jc w:val="center"/>
              <w:rPr>
                <w:rFonts w:cs="Times New Roman"/>
                <w:szCs w:val="24"/>
              </w:rPr>
            </w:pPr>
            <w:r w:rsidRPr="00FF4E0D">
              <w:rPr>
                <w:rFonts w:cs="Times New Roman"/>
                <w:b/>
                <w:szCs w:val="24"/>
              </w:rPr>
              <w:t>Mean</w:t>
            </w:r>
          </w:p>
        </w:tc>
        <w:tc>
          <w:tcPr>
            <w:tcW w:w="1460" w:type="dxa"/>
            <w:vAlign w:val="center"/>
          </w:tcPr>
          <w:p w14:paraId="0330196C" w14:textId="77777777" w:rsidR="006027D5" w:rsidRPr="00FF4E0D" w:rsidRDefault="001E24BB" w:rsidP="00EA7AFF">
            <w:pPr>
              <w:shd w:val="clear" w:color="auto" w:fill="FFFFFF" w:themeFill="background1"/>
              <w:jc w:val="center"/>
              <w:rPr>
                <w:rFonts w:cs="Times New Roman"/>
                <w:szCs w:val="24"/>
              </w:rPr>
            </w:pPr>
            <w:r w:rsidRPr="00FF4E0D">
              <w:rPr>
                <w:rFonts w:cs="Times New Roman"/>
                <w:b/>
                <w:szCs w:val="24"/>
              </w:rPr>
              <w:t>Std. Deviation</w:t>
            </w:r>
          </w:p>
        </w:tc>
      </w:tr>
      <w:tr w:rsidR="00FF4E0D" w:rsidRPr="00FF4E0D" w14:paraId="44BB0201" w14:textId="77777777" w:rsidTr="00EA7AFF">
        <w:tc>
          <w:tcPr>
            <w:tcW w:w="4219" w:type="dxa"/>
          </w:tcPr>
          <w:p w14:paraId="664E6B1A"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DC5.1. Using email, online groups, or digital platforms to communicate with students</w:t>
            </w:r>
          </w:p>
        </w:tc>
        <w:tc>
          <w:tcPr>
            <w:tcW w:w="1418" w:type="dxa"/>
            <w:vAlign w:val="center"/>
          </w:tcPr>
          <w:p w14:paraId="696FBC54"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2</w:t>
            </w:r>
          </w:p>
        </w:tc>
        <w:tc>
          <w:tcPr>
            <w:tcW w:w="1275" w:type="dxa"/>
            <w:vAlign w:val="center"/>
          </w:tcPr>
          <w:p w14:paraId="7E98D454"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5</w:t>
            </w:r>
          </w:p>
        </w:tc>
        <w:tc>
          <w:tcPr>
            <w:tcW w:w="1418" w:type="dxa"/>
            <w:vAlign w:val="center"/>
          </w:tcPr>
          <w:p w14:paraId="48169759"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3.69</w:t>
            </w:r>
          </w:p>
        </w:tc>
        <w:tc>
          <w:tcPr>
            <w:tcW w:w="1460" w:type="dxa"/>
            <w:vAlign w:val="center"/>
          </w:tcPr>
          <w:p w14:paraId="25B8FC7D"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0.77</w:t>
            </w:r>
          </w:p>
        </w:tc>
      </w:tr>
      <w:tr w:rsidR="00FF4E0D" w:rsidRPr="00FF4E0D" w14:paraId="36904716" w14:textId="77777777" w:rsidTr="00EA7AFF">
        <w:tc>
          <w:tcPr>
            <w:tcW w:w="4219" w:type="dxa"/>
          </w:tcPr>
          <w:p w14:paraId="5548BBDA"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DC5.2. Providing feedback, support, or learning consultation to students through digital tools</w:t>
            </w:r>
          </w:p>
        </w:tc>
        <w:tc>
          <w:tcPr>
            <w:tcW w:w="1418" w:type="dxa"/>
            <w:vAlign w:val="center"/>
          </w:tcPr>
          <w:p w14:paraId="625B6BB7"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1</w:t>
            </w:r>
          </w:p>
        </w:tc>
        <w:tc>
          <w:tcPr>
            <w:tcW w:w="1275" w:type="dxa"/>
            <w:vAlign w:val="center"/>
          </w:tcPr>
          <w:p w14:paraId="68403D4B"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5</w:t>
            </w:r>
          </w:p>
        </w:tc>
        <w:tc>
          <w:tcPr>
            <w:tcW w:w="1418" w:type="dxa"/>
            <w:vAlign w:val="center"/>
          </w:tcPr>
          <w:p w14:paraId="037C6315"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3.52</w:t>
            </w:r>
          </w:p>
        </w:tc>
        <w:tc>
          <w:tcPr>
            <w:tcW w:w="1460" w:type="dxa"/>
            <w:vAlign w:val="center"/>
          </w:tcPr>
          <w:p w14:paraId="55F1C145"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0.84</w:t>
            </w:r>
          </w:p>
        </w:tc>
      </w:tr>
      <w:tr w:rsidR="00FF4E0D" w:rsidRPr="00FF4E0D" w14:paraId="585ED5D8" w14:textId="77777777" w:rsidTr="00EA7AFF">
        <w:tc>
          <w:tcPr>
            <w:tcW w:w="4219" w:type="dxa"/>
          </w:tcPr>
          <w:p w14:paraId="5803FAB8"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DC5.3. Collaborating with colleagues in developing lectures, learning resources, or digital professional activities</w:t>
            </w:r>
          </w:p>
        </w:tc>
        <w:tc>
          <w:tcPr>
            <w:tcW w:w="1418" w:type="dxa"/>
            <w:vAlign w:val="center"/>
          </w:tcPr>
          <w:p w14:paraId="2BB65BFB"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1</w:t>
            </w:r>
          </w:p>
        </w:tc>
        <w:tc>
          <w:tcPr>
            <w:tcW w:w="1275" w:type="dxa"/>
            <w:vAlign w:val="center"/>
          </w:tcPr>
          <w:p w14:paraId="0DF37EAF"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5</w:t>
            </w:r>
          </w:p>
        </w:tc>
        <w:tc>
          <w:tcPr>
            <w:tcW w:w="1418" w:type="dxa"/>
            <w:vAlign w:val="center"/>
          </w:tcPr>
          <w:p w14:paraId="514FB286"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3.44</w:t>
            </w:r>
          </w:p>
        </w:tc>
        <w:tc>
          <w:tcPr>
            <w:tcW w:w="1460" w:type="dxa"/>
            <w:vAlign w:val="center"/>
          </w:tcPr>
          <w:p w14:paraId="7980AC4C"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0.88</w:t>
            </w:r>
          </w:p>
        </w:tc>
      </w:tr>
      <w:tr w:rsidR="00FF4E0D" w:rsidRPr="00FF4E0D" w14:paraId="090494D5" w14:textId="77777777" w:rsidTr="00EA7AFF">
        <w:tc>
          <w:tcPr>
            <w:tcW w:w="4219" w:type="dxa"/>
          </w:tcPr>
          <w:p w14:paraId="493EB196"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DC5.4. Sharing materials, teaching experience, or digital learning resources</w:t>
            </w:r>
          </w:p>
        </w:tc>
        <w:tc>
          <w:tcPr>
            <w:tcW w:w="1418" w:type="dxa"/>
            <w:vAlign w:val="center"/>
          </w:tcPr>
          <w:p w14:paraId="052F9379"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2</w:t>
            </w:r>
          </w:p>
        </w:tc>
        <w:tc>
          <w:tcPr>
            <w:tcW w:w="1275" w:type="dxa"/>
            <w:vAlign w:val="center"/>
          </w:tcPr>
          <w:p w14:paraId="0D39437B"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5</w:t>
            </w:r>
          </w:p>
        </w:tc>
        <w:tc>
          <w:tcPr>
            <w:tcW w:w="1418" w:type="dxa"/>
            <w:vAlign w:val="center"/>
          </w:tcPr>
          <w:p w14:paraId="68DE73D6"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3.56</w:t>
            </w:r>
          </w:p>
        </w:tc>
        <w:tc>
          <w:tcPr>
            <w:tcW w:w="1460" w:type="dxa"/>
            <w:vAlign w:val="center"/>
          </w:tcPr>
          <w:p w14:paraId="390ED4C0"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0.80</w:t>
            </w:r>
          </w:p>
        </w:tc>
      </w:tr>
    </w:tbl>
    <w:p w14:paraId="0FCE6302" w14:textId="77777777" w:rsidR="006027D5" w:rsidRPr="00FF4E0D" w:rsidRDefault="006027D5" w:rsidP="00EA7AFF">
      <w:pPr>
        <w:shd w:val="clear" w:color="auto" w:fill="FFFFFF" w:themeFill="background1"/>
        <w:spacing w:after="0" w:line="240" w:lineRule="auto"/>
        <w:rPr>
          <w:rFonts w:cs="Times New Roman"/>
          <w:szCs w:val="24"/>
        </w:rPr>
      </w:pPr>
    </w:p>
    <w:p w14:paraId="7BB8FCF8" w14:textId="77777777" w:rsidR="006027D5" w:rsidRPr="00FF4E0D" w:rsidRDefault="001E24BB" w:rsidP="00EA7AFF">
      <w:pPr>
        <w:shd w:val="clear" w:color="auto" w:fill="FFFFFF" w:themeFill="background1"/>
        <w:spacing w:after="0" w:line="240" w:lineRule="auto"/>
        <w:ind w:firstLine="432"/>
        <w:jc w:val="both"/>
        <w:rPr>
          <w:rFonts w:cs="Times New Roman"/>
          <w:szCs w:val="24"/>
        </w:rPr>
      </w:pPr>
      <w:r w:rsidRPr="00FF4E0D">
        <w:rPr>
          <w:rFonts w:cs="Times New Roman"/>
          <w:szCs w:val="24"/>
        </w:rPr>
        <w:t>Competence in communication, collaboration, and learner support in digital environments reached the good level across all four observed variables. DC5.1 had the highest mean score, with Mean = 3.69, reflecting that the use of email, online groups, learning-oriented social networks, or digital platforms to communicate with students has become a relatively familiar activity. DC5.4 reached Mean = 3.56, showing that lecturers have also developed a habit of sharing materials and digital learning resources in the teaching process. However, DC5.3 had the lowest score in the domain, with Mean = 3.44. This result indicates that professional collaboration among lecturers in digital environments remains insufficiently strong. In other words, lecturers can use digital tools to communicate with students, but collaboration with colleagues in developing digital lectures, digital learning resources, or shared resource banks remains limited.</w:t>
      </w:r>
    </w:p>
    <w:p w14:paraId="02CDAD9C" w14:textId="77777777" w:rsidR="006027D5" w:rsidRPr="00FF4E0D" w:rsidRDefault="001E24BB" w:rsidP="00EA7AFF">
      <w:pPr>
        <w:shd w:val="clear" w:color="auto" w:fill="FFFFFF" w:themeFill="background1"/>
        <w:spacing w:after="0" w:line="240" w:lineRule="auto"/>
        <w:jc w:val="center"/>
        <w:rPr>
          <w:rFonts w:cs="Times New Roman"/>
          <w:szCs w:val="24"/>
        </w:rPr>
      </w:pPr>
      <w:r w:rsidRPr="00FF4E0D">
        <w:rPr>
          <w:rFonts w:cs="Times New Roman"/>
          <w:b/>
          <w:szCs w:val="24"/>
        </w:rPr>
        <w:t>Table 7. Descriptive Statistics for Professional Development and Research in Digital Environments</w:t>
      </w:r>
    </w:p>
    <w:tbl>
      <w:tblPr>
        <w:tblStyle w:val="TableGrid"/>
        <w:tblW w:w="0" w:type="auto"/>
        <w:tblLook w:val="04A0" w:firstRow="1" w:lastRow="0" w:firstColumn="1" w:lastColumn="0" w:noHBand="0" w:noVBand="1"/>
      </w:tblPr>
      <w:tblGrid>
        <w:gridCol w:w="4214"/>
        <w:gridCol w:w="1417"/>
        <w:gridCol w:w="1274"/>
        <w:gridCol w:w="1417"/>
        <w:gridCol w:w="1460"/>
      </w:tblGrid>
      <w:tr w:rsidR="00FF4E0D" w:rsidRPr="00FF4E0D" w14:paraId="5306F4E8" w14:textId="77777777" w:rsidTr="00EA7AFF">
        <w:tc>
          <w:tcPr>
            <w:tcW w:w="4219" w:type="dxa"/>
            <w:vAlign w:val="center"/>
          </w:tcPr>
          <w:p w14:paraId="2789E25C" w14:textId="77777777" w:rsidR="006027D5" w:rsidRPr="00FF4E0D" w:rsidRDefault="001E24BB" w:rsidP="00EA7AFF">
            <w:pPr>
              <w:shd w:val="clear" w:color="auto" w:fill="FFFFFF" w:themeFill="background1"/>
              <w:jc w:val="center"/>
              <w:rPr>
                <w:rFonts w:cs="Times New Roman"/>
                <w:szCs w:val="24"/>
              </w:rPr>
            </w:pPr>
            <w:r w:rsidRPr="00FF4E0D">
              <w:rPr>
                <w:rFonts w:cs="Times New Roman"/>
                <w:b/>
                <w:szCs w:val="24"/>
              </w:rPr>
              <w:t>Observed variable</w:t>
            </w:r>
          </w:p>
        </w:tc>
        <w:tc>
          <w:tcPr>
            <w:tcW w:w="1418" w:type="dxa"/>
            <w:vAlign w:val="center"/>
          </w:tcPr>
          <w:p w14:paraId="6FBDAF19" w14:textId="77777777" w:rsidR="006027D5" w:rsidRPr="00FF4E0D" w:rsidRDefault="001E24BB" w:rsidP="00EA7AFF">
            <w:pPr>
              <w:shd w:val="clear" w:color="auto" w:fill="FFFFFF" w:themeFill="background1"/>
              <w:jc w:val="center"/>
              <w:rPr>
                <w:rFonts w:cs="Times New Roman"/>
                <w:szCs w:val="24"/>
              </w:rPr>
            </w:pPr>
            <w:r w:rsidRPr="00FF4E0D">
              <w:rPr>
                <w:rFonts w:cs="Times New Roman"/>
                <w:b/>
                <w:szCs w:val="24"/>
              </w:rPr>
              <w:t>Min</w:t>
            </w:r>
          </w:p>
        </w:tc>
        <w:tc>
          <w:tcPr>
            <w:tcW w:w="1275" w:type="dxa"/>
            <w:vAlign w:val="center"/>
          </w:tcPr>
          <w:p w14:paraId="5AF35475" w14:textId="77777777" w:rsidR="006027D5" w:rsidRPr="00FF4E0D" w:rsidRDefault="001E24BB" w:rsidP="00EA7AFF">
            <w:pPr>
              <w:shd w:val="clear" w:color="auto" w:fill="FFFFFF" w:themeFill="background1"/>
              <w:jc w:val="center"/>
              <w:rPr>
                <w:rFonts w:cs="Times New Roman"/>
                <w:szCs w:val="24"/>
              </w:rPr>
            </w:pPr>
            <w:r w:rsidRPr="00FF4E0D">
              <w:rPr>
                <w:rFonts w:cs="Times New Roman"/>
                <w:b/>
                <w:szCs w:val="24"/>
              </w:rPr>
              <w:t>Max</w:t>
            </w:r>
          </w:p>
        </w:tc>
        <w:tc>
          <w:tcPr>
            <w:tcW w:w="1418" w:type="dxa"/>
            <w:vAlign w:val="center"/>
          </w:tcPr>
          <w:p w14:paraId="43FBE871" w14:textId="77777777" w:rsidR="006027D5" w:rsidRPr="00FF4E0D" w:rsidRDefault="001E24BB" w:rsidP="00EA7AFF">
            <w:pPr>
              <w:shd w:val="clear" w:color="auto" w:fill="FFFFFF" w:themeFill="background1"/>
              <w:jc w:val="center"/>
              <w:rPr>
                <w:rFonts w:cs="Times New Roman"/>
                <w:szCs w:val="24"/>
              </w:rPr>
            </w:pPr>
            <w:r w:rsidRPr="00FF4E0D">
              <w:rPr>
                <w:rFonts w:cs="Times New Roman"/>
                <w:b/>
                <w:szCs w:val="24"/>
              </w:rPr>
              <w:t>Mean</w:t>
            </w:r>
          </w:p>
        </w:tc>
        <w:tc>
          <w:tcPr>
            <w:tcW w:w="1460" w:type="dxa"/>
            <w:vAlign w:val="center"/>
          </w:tcPr>
          <w:p w14:paraId="32110C05" w14:textId="77777777" w:rsidR="006027D5" w:rsidRPr="00FF4E0D" w:rsidRDefault="001E24BB" w:rsidP="00EA7AFF">
            <w:pPr>
              <w:shd w:val="clear" w:color="auto" w:fill="FFFFFF" w:themeFill="background1"/>
              <w:jc w:val="center"/>
              <w:rPr>
                <w:rFonts w:cs="Times New Roman"/>
                <w:szCs w:val="24"/>
              </w:rPr>
            </w:pPr>
            <w:r w:rsidRPr="00FF4E0D">
              <w:rPr>
                <w:rFonts w:cs="Times New Roman"/>
                <w:b/>
                <w:szCs w:val="24"/>
              </w:rPr>
              <w:t>Std. Deviation</w:t>
            </w:r>
          </w:p>
        </w:tc>
      </w:tr>
      <w:tr w:rsidR="00FF4E0D" w:rsidRPr="00FF4E0D" w14:paraId="7D1ED7E3" w14:textId="77777777" w:rsidTr="00EA7AFF">
        <w:tc>
          <w:tcPr>
            <w:tcW w:w="4219" w:type="dxa"/>
          </w:tcPr>
          <w:p w14:paraId="4CEE40FF"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DC6.1. Exploiting digital libraries, academic databases, or online sources</w:t>
            </w:r>
          </w:p>
        </w:tc>
        <w:tc>
          <w:tcPr>
            <w:tcW w:w="1418" w:type="dxa"/>
            <w:vAlign w:val="center"/>
          </w:tcPr>
          <w:p w14:paraId="6B4052DF"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1</w:t>
            </w:r>
          </w:p>
        </w:tc>
        <w:tc>
          <w:tcPr>
            <w:tcW w:w="1275" w:type="dxa"/>
            <w:vAlign w:val="center"/>
          </w:tcPr>
          <w:p w14:paraId="1DB825DB"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5</w:t>
            </w:r>
          </w:p>
        </w:tc>
        <w:tc>
          <w:tcPr>
            <w:tcW w:w="1418" w:type="dxa"/>
            <w:vAlign w:val="center"/>
          </w:tcPr>
          <w:p w14:paraId="3C910B51"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3.22</w:t>
            </w:r>
          </w:p>
        </w:tc>
        <w:tc>
          <w:tcPr>
            <w:tcW w:w="1460" w:type="dxa"/>
            <w:vAlign w:val="center"/>
          </w:tcPr>
          <w:p w14:paraId="236BE437"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0.91</w:t>
            </w:r>
          </w:p>
        </w:tc>
      </w:tr>
      <w:tr w:rsidR="00FF4E0D" w:rsidRPr="00FF4E0D" w14:paraId="7BFD06AA" w14:textId="77777777" w:rsidTr="00EA7AFF">
        <w:tc>
          <w:tcPr>
            <w:tcW w:w="4219" w:type="dxa"/>
          </w:tcPr>
          <w:p w14:paraId="234D0B5D"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DC6.2. Using software for data processing, reference management, citation, or research support</w:t>
            </w:r>
          </w:p>
        </w:tc>
        <w:tc>
          <w:tcPr>
            <w:tcW w:w="1418" w:type="dxa"/>
            <w:vAlign w:val="center"/>
          </w:tcPr>
          <w:p w14:paraId="5DB9B7D7"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1</w:t>
            </w:r>
          </w:p>
        </w:tc>
        <w:tc>
          <w:tcPr>
            <w:tcW w:w="1275" w:type="dxa"/>
            <w:vAlign w:val="center"/>
          </w:tcPr>
          <w:p w14:paraId="38CE90C4"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5</w:t>
            </w:r>
          </w:p>
        </w:tc>
        <w:tc>
          <w:tcPr>
            <w:tcW w:w="1418" w:type="dxa"/>
            <w:vAlign w:val="center"/>
          </w:tcPr>
          <w:p w14:paraId="67948AFD"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2.94</w:t>
            </w:r>
          </w:p>
        </w:tc>
        <w:tc>
          <w:tcPr>
            <w:tcW w:w="1460" w:type="dxa"/>
            <w:vAlign w:val="center"/>
          </w:tcPr>
          <w:p w14:paraId="48A4F94E"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1.03</w:t>
            </w:r>
          </w:p>
        </w:tc>
      </w:tr>
      <w:tr w:rsidR="00FF4E0D" w:rsidRPr="00FF4E0D" w14:paraId="669A41D2" w14:textId="77777777" w:rsidTr="00EA7AFF">
        <w:tc>
          <w:tcPr>
            <w:tcW w:w="4219" w:type="dxa"/>
          </w:tcPr>
          <w:p w14:paraId="34F5A617"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lastRenderedPageBreak/>
              <w:t>DC6.3. Participating in online courses, seminars, or professional communities</w:t>
            </w:r>
          </w:p>
        </w:tc>
        <w:tc>
          <w:tcPr>
            <w:tcW w:w="1418" w:type="dxa"/>
            <w:vAlign w:val="center"/>
          </w:tcPr>
          <w:p w14:paraId="4EF17D6C"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1</w:t>
            </w:r>
          </w:p>
        </w:tc>
        <w:tc>
          <w:tcPr>
            <w:tcW w:w="1275" w:type="dxa"/>
            <w:vAlign w:val="center"/>
          </w:tcPr>
          <w:p w14:paraId="21657380"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5</w:t>
            </w:r>
          </w:p>
        </w:tc>
        <w:tc>
          <w:tcPr>
            <w:tcW w:w="1418" w:type="dxa"/>
            <w:vAlign w:val="center"/>
          </w:tcPr>
          <w:p w14:paraId="4C0CB21E"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3.11</w:t>
            </w:r>
          </w:p>
        </w:tc>
        <w:tc>
          <w:tcPr>
            <w:tcW w:w="1460" w:type="dxa"/>
            <w:vAlign w:val="center"/>
          </w:tcPr>
          <w:p w14:paraId="1E1A00B7"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0.96</w:t>
            </w:r>
          </w:p>
        </w:tc>
      </w:tr>
      <w:tr w:rsidR="00FF4E0D" w:rsidRPr="00FF4E0D" w14:paraId="11C37CFD" w14:textId="77777777" w:rsidTr="00EA7AFF">
        <w:tc>
          <w:tcPr>
            <w:tcW w:w="4219" w:type="dxa"/>
          </w:tcPr>
          <w:p w14:paraId="46DC1138"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DC6.4. Self-learning and adapting to new technologies such as AI or digital learning-resource creation software</w:t>
            </w:r>
          </w:p>
        </w:tc>
        <w:tc>
          <w:tcPr>
            <w:tcW w:w="1418" w:type="dxa"/>
            <w:vAlign w:val="center"/>
          </w:tcPr>
          <w:p w14:paraId="038D7BD2"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1</w:t>
            </w:r>
          </w:p>
        </w:tc>
        <w:tc>
          <w:tcPr>
            <w:tcW w:w="1275" w:type="dxa"/>
            <w:vAlign w:val="center"/>
          </w:tcPr>
          <w:p w14:paraId="65D3DF09"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5</w:t>
            </w:r>
          </w:p>
        </w:tc>
        <w:tc>
          <w:tcPr>
            <w:tcW w:w="1418" w:type="dxa"/>
            <w:vAlign w:val="center"/>
          </w:tcPr>
          <w:p w14:paraId="0C203B82"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3.05</w:t>
            </w:r>
          </w:p>
        </w:tc>
        <w:tc>
          <w:tcPr>
            <w:tcW w:w="1460" w:type="dxa"/>
            <w:vAlign w:val="center"/>
          </w:tcPr>
          <w:p w14:paraId="4B979888"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0.99</w:t>
            </w:r>
          </w:p>
        </w:tc>
      </w:tr>
    </w:tbl>
    <w:p w14:paraId="139EB8C0" w14:textId="77777777" w:rsidR="006027D5" w:rsidRPr="00FF4E0D" w:rsidRDefault="006027D5" w:rsidP="00EA7AFF">
      <w:pPr>
        <w:shd w:val="clear" w:color="auto" w:fill="FFFFFF" w:themeFill="background1"/>
        <w:spacing w:after="0" w:line="240" w:lineRule="auto"/>
        <w:rPr>
          <w:rFonts w:cs="Times New Roman"/>
          <w:szCs w:val="24"/>
        </w:rPr>
      </w:pPr>
    </w:p>
    <w:p w14:paraId="4B225220" w14:textId="77777777" w:rsidR="006027D5" w:rsidRPr="00FF4E0D" w:rsidRDefault="001E24BB" w:rsidP="00EA7AFF">
      <w:pPr>
        <w:shd w:val="clear" w:color="auto" w:fill="FFFFFF" w:themeFill="background1"/>
        <w:spacing w:after="0" w:line="240" w:lineRule="auto"/>
        <w:ind w:firstLine="432"/>
        <w:jc w:val="both"/>
        <w:rPr>
          <w:rFonts w:cs="Times New Roman"/>
          <w:szCs w:val="24"/>
        </w:rPr>
      </w:pPr>
      <w:r w:rsidRPr="00FF4E0D">
        <w:rPr>
          <w:rFonts w:cs="Times New Roman"/>
          <w:szCs w:val="24"/>
        </w:rPr>
        <w:t xml:space="preserve">Professional development and research in digital environments </w:t>
      </w:r>
      <w:proofErr w:type="gramStart"/>
      <w:r w:rsidRPr="00FF4E0D">
        <w:rPr>
          <w:rFonts w:cs="Times New Roman"/>
          <w:szCs w:val="24"/>
        </w:rPr>
        <w:t>was</w:t>
      </w:r>
      <w:proofErr w:type="gramEnd"/>
      <w:r w:rsidRPr="00FF4E0D">
        <w:rPr>
          <w:rFonts w:cs="Times New Roman"/>
          <w:szCs w:val="24"/>
        </w:rPr>
        <w:t xml:space="preserve"> the domain with the lowest scores. DC6.2 reached only Mean = 2.94, below the average threshold of 3.00. This reflects that the use of software for data processing, reference management, citation, or research support is not yet common among lecturers. In the context of higher education increasingly emphasizing scientific research, academic publication, and data governance, this is a limitation requiring attention. DC6.4 reached Mean = 3.05, showing that lecturers’ ability to self-learn and adapt to new technologies such as artificial intelligence or digital learning-resource creation software remains at an average level. This result suggests that lecturers’ access to new digital tools is still largely individual and has not been supported by systematic professional development programs. Without appropriate orientation, the gap between digital transformation requirements and lecturers’ adaptive capacity may continue to widen.</w:t>
      </w:r>
    </w:p>
    <w:p w14:paraId="7EB56E30" w14:textId="77777777" w:rsidR="006027D5" w:rsidRPr="00FF4E0D" w:rsidRDefault="001E24BB" w:rsidP="00EA7AFF">
      <w:pPr>
        <w:shd w:val="clear" w:color="auto" w:fill="FFFFFF" w:themeFill="background1"/>
        <w:spacing w:after="0" w:line="240" w:lineRule="auto"/>
        <w:jc w:val="center"/>
        <w:rPr>
          <w:rFonts w:cs="Times New Roman"/>
          <w:szCs w:val="24"/>
        </w:rPr>
      </w:pPr>
      <w:r w:rsidRPr="00FF4E0D">
        <w:rPr>
          <w:rFonts w:cs="Times New Roman"/>
          <w:b/>
          <w:szCs w:val="24"/>
        </w:rPr>
        <w:t>Table 8. Descriptive Statistics for Digital Safety, Ethics, and Responsibility</w:t>
      </w:r>
    </w:p>
    <w:tbl>
      <w:tblPr>
        <w:tblStyle w:val="TableGrid"/>
        <w:tblW w:w="0" w:type="auto"/>
        <w:tblLook w:val="04A0" w:firstRow="1" w:lastRow="0" w:firstColumn="1" w:lastColumn="0" w:noHBand="0" w:noVBand="1"/>
      </w:tblPr>
      <w:tblGrid>
        <w:gridCol w:w="4214"/>
        <w:gridCol w:w="1417"/>
        <w:gridCol w:w="1274"/>
        <w:gridCol w:w="1417"/>
        <w:gridCol w:w="1460"/>
      </w:tblGrid>
      <w:tr w:rsidR="00FF4E0D" w:rsidRPr="00FF4E0D" w14:paraId="0D2EAF9D" w14:textId="77777777" w:rsidTr="00EA7AFF">
        <w:tc>
          <w:tcPr>
            <w:tcW w:w="4219" w:type="dxa"/>
            <w:vAlign w:val="center"/>
          </w:tcPr>
          <w:p w14:paraId="11511C1B" w14:textId="77777777" w:rsidR="006027D5" w:rsidRPr="00FF4E0D" w:rsidRDefault="001E24BB" w:rsidP="00EA7AFF">
            <w:pPr>
              <w:shd w:val="clear" w:color="auto" w:fill="FFFFFF" w:themeFill="background1"/>
              <w:jc w:val="center"/>
              <w:rPr>
                <w:rFonts w:cs="Times New Roman"/>
                <w:szCs w:val="24"/>
              </w:rPr>
            </w:pPr>
            <w:r w:rsidRPr="00FF4E0D">
              <w:rPr>
                <w:rFonts w:cs="Times New Roman"/>
                <w:b/>
                <w:szCs w:val="24"/>
              </w:rPr>
              <w:t>Observed variable</w:t>
            </w:r>
          </w:p>
        </w:tc>
        <w:tc>
          <w:tcPr>
            <w:tcW w:w="1418" w:type="dxa"/>
            <w:vAlign w:val="center"/>
          </w:tcPr>
          <w:p w14:paraId="6FAFE43D" w14:textId="77777777" w:rsidR="006027D5" w:rsidRPr="00FF4E0D" w:rsidRDefault="001E24BB" w:rsidP="00EA7AFF">
            <w:pPr>
              <w:shd w:val="clear" w:color="auto" w:fill="FFFFFF" w:themeFill="background1"/>
              <w:jc w:val="center"/>
              <w:rPr>
                <w:rFonts w:cs="Times New Roman"/>
                <w:szCs w:val="24"/>
              </w:rPr>
            </w:pPr>
            <w:r w:rsidRPr="00FF4E0D">
              <w:rPr>
                <w:rFonts w:cs="Times New Roman"/>
                <w:b/>
                <w:szCs w:val="24"/>
              </w:rPr>
              <w:t>Min</w:t>
            </w:r>
          </w:p>
        </w:tc>
        <w:tc>
          <w:tcPr>
            <w:tcW w:w="1275" w:type="dxa"/>
            <w:vAlign w:val="center"/>
          </w:tcPr>
          <w:p w14:paraId="49D3ED59" w14:textId="77777777" w:rsidR="006027D5" w:rsidRPr="00FF4E0D" w:rsidRDefault="001E24BB" w:rsidP="00EA7AFF">
            <w:pPr>
              <w:shd w:val="clear" w:color="auto" w:fill="FFFFFF" w:themeFill="background1"/>
              <w:jc w:val="center"/>
              <w:rPr>
                <w:rFonts w:cs="Times New Roman"/>
                <w:szCs w:val="24"/>
              </w:rPr>
            </w:pPr>
            <w:r w:rsidRPr="00FF4E0D">
              <w:rPr>
                <w:rFonts w:cs="Times New Roman"/>
                <w:b/>
                <w:szCs w:val="24"/>
              </w:rPr>
              <w:t>Max</w:t>
            </w:r>
          </w:p>
        </w:tc>
        <w:tc>
          <w:tcPr>
            <w:tcW w:w="1418" w:type="dxa"/>
            <w:vAlign w:val="center"/>
          </w:tcPr>
          <w:p w14:paraId="62454C77" w14:textId="77777777" w:rsidR="006027D5" w:rsidRPr="00FF4E0D" w:rsidRDefault="001E24BB" w:rsidP="00EA7AFF">
            <w:pPr>
              <w:shd w:val="clear" w:color="auto" w:fill="FFFFFF" w:themeFill="background1"/>
              <w:jc w:val="center"/>
              <w:rPr>
                <w:rFonts w:cs="Times New Roman"/>
                <w:szCs w:val="24"/>
              </w:rPr>
            </w:pPr>
            <w:r w:rsidRPr="00FF4E0D">
              <w:rPr>
                <w:rFonts w:cs="Times New Roman"/>
                <w:b/>
                <w:szCs w:val="24"/>
              </w:rPr>
              <w:t>Mean</w:t>
            </w:r>
          </w:p>
        </w:tc>
        <w:tc>
          <w:tcPr>
            <w:tcW w:w="1460" w:type="dxa"/>
            <w:vAlign w:val="center"/>
          </w:tcPr>
          <w:p w14:paraId="179368F8" w14:textId="77777777" w:rsidR="006027D5" w:rsidRPr="00FF4E0D" w:rsidRDefault="001E24BB" w:rsidP="00EA7AFF">
            <w:pPr>
              <w:shd w:val="clear" w:color="auto" w:fill="FFFFFF" w:themeFill="background1"/>
              <w:jc w:val="center"/>
              <w:rPr>
                <w:rFonts w:cs="Times New Roman"/>
                <w:szCs w:val="24"/>
              </w:rPr>
            </w:pPr>
            <w:r w:rsidRPr="00FF4E0D">
              <w:rPr>
                <w:rFonts w:cs="Times New Roman"/>
                <w:b/>
                <w:szCs w:val="24"/>
              </w:rPr>
              <w:t>Std. Deviation</w:t>
            </w:r>
          </w:p>
        </w:tc>
      </w:tr>
      <w:tr w:rsidR="00FF4E0D" w:rsidRPr="00FF4E0D" w14:paraId="259E6834" w14:textId="77777777" w:rsidTr="00EA7AFF">
        <w:tc>
          <w:tcPr>
            <w:tcW w:w="4219" w:type="dxa"/>
          </w:tcPr>
          <w:p w14:paraId="5313D261"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DC7.1. Protecting accounts, passwords, personal data, and learning data</w:t>
            </w:r>
          </w:p>
        </w:tc>
        <w:tc>
          <w:tcPr>
            <w:tcW w:w="1418" w:type="dxa"/>
            <w:vAlign w:val="center"/>
          </w:tcPr>
          <w:p w14:paraId="3A7AC3DB"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2</w:t>
            </w:r>
          </w:p>
        </w:tc>
        <w:tc>
          <w:tcPr>
            <w:tcW w:w="1275" w:type="dxa"/>
            <w:vAlign w:val="center"/>
          </w:tcPr>
          <w:p w14:paraId="12B882A0"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5</w:t>
            </w:r>
          </w:p>
        </w:tc>
        <w:tc>
          <w:tcPr>
            <w:tcW w:w="1418" w:type="dxa"/>
            <w:vAlign w:val="center"/>
          </w:tcPr>
          <w:p w14:paraId="4B77F457"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3.55</w:t>
            </w:r>
          </w:p>
        </w:tc>
        <w:tc>
          <w:tcPr>
            <w:tcW w:w="1460" w:type="dxa"/>
            <w:vAlign w:val="center"/>
          </w:tcPr>
          <w:p w14:paraId="53E57AA2"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0.78</w:t>
            </w:r>
          </w:p>
        </w:tc>
      </w:tr>
      <w:tr w:rsidR="00FF4E0D" w:rsidRPr="00FF4E0D" w14:paraId="6817F5E8" w14:textId="77777777" w:rsidTr="00EA7AFF">
        <w:tc>
          <w:tcPr>
            <w:tcW w:w="4219" w:type="dxa"/>
          </w:tcPr>
          <w:p w14:paraId="49105414"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DC7.2. Complying with copyright, source citation, and lawful use of digital materials</w:t>
            </w:r>
          </w:p>
        </w:tc>
        <w:tc>
          <w:tcPr>
            <w:tcW w:w="1418" w:type="dxa"/>
            <w:vAlign w:val="center"/>
          </w:tcPr>
          <w:p w14:paraId="12765E28"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1</w:t>
            </w:r>
          </w:p>
        </w:tc>
        <w:tc>
          <w:tcPr>
            <w:tcW w:w="1275" w:type="dxa"/>
            <w:vAlign w:val="center"/>
          </w:tcPr>
          <w:p w14:paraId="6206E4AB"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5</w:t>
            </w:r>
          </w:p>
        </w:tc>
        <w:tc>
          <w:tcPr>
            <w:tcW w:w="1418" w:type="dxa"/>
            <w:vAlign w:val="center"/>
          </w:tcPr>
          <w:p w14:paraId="3D7F608B"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3.42</w:t>
            </w:r>
          </w:p>
        </w:tc>
        <w:tc>
          <w:tcPr>
            <w:tcW w:w="1460" w:type="dxa"/>
            <w:vAlign w:val="center"/>
          </w:tcPr>
          <w:p w14:paraId="5AA787F7"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0.86</w:t>
            </w:r>
          </w:p>
        </w:tc>
      </w:tr>
      <w:tr w:rsidR="00FF4E0D" w:rsidRPr="00FF4E0D" w14:paraId="06B34A34" w14:textId="77777777" w:rsidTr="00EA7AFF">
        <w:tc>
          <w:tcPr>
            <w:tcW w:w="4219" w:type="dxa"/>
          </w:tcPr>
          <w:p w14:paraId="7A41A3B0"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DC7.3. Guiding students to use digital technology safely and responsibly</w:t>
            </w:r>
          </w:p>
        </w:tc>
        <w:tc>
          <w:tcPr>
            <w:tcW w:w="1418" w:type="dxa"/>
            <w:vAlign w:val="center"/>
          </w:tcPr>
          <w:p w14:paraId="4331920B"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1</w:t>
            </w:r>
          </w:p>
        </w:tc>
        <w:tc>
          <w:tcPr>
            <w:tcW w:w="1275" w:type="dxa"/>
            <w:vAlign w:val="center"/>
          </w:tcPr>
          <w:p w14:paraId="5FBC9A9E"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5</w:t>
            </w:r>
          </w:p>
        </w:tc>
        <w:tc>
          <w:tcPr>
            <w:tcW w:w="1418" w:type="dxa"/>
            <w:vAlign w:val="center"/>
          </w:tcPr>
          <w:p w14:paraId="61848B71"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3.36</w:t>
            </w:r>
          </w:p>
        </w:tc>
        <w:tc>
          <w:tcPr>
            <w:tcW w:w="1460" w:type="dxa"/>
            <w:vAlign w:val="center"/>
          </w:tcPr>
          <w:p w14:paraId="34E66B68"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0.91</w:t>
            </w:r>
          </w:p>
        </w:tc>
      </w:tr>
      <w:tr w:rsidR="00FF4E0D" w:rsidRPr="00FF4E0D" w14:paraId="32099CA9" w14:textId="77777777" w:rsidTr="00EA7AFF">
        <w:tc>
          <w:tcPr>
            <w:tcW w:w="4219" w:type="dxa"/>
          </w:tcPr>
          <w:p w14:paraId="27326311"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DC7.4. Using AI or digital tools transparently in teaching, assessment, and research</w:t>
            </w:r>
          </w:p>
        </w:tc>
        <w:tc>
          <w:tcPr>
            <w:tcW w:w="1418" w:type="dxa"/>
            <w:vAlign w:val="center"/>
          </w:tcPr>
          <w:p w14:paraId="530F432A"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1</w:t>
            </w:r>
          </w:p>
        </w:tc>
        <w:tc>
          <w:tcPr>
            <w:tcW w:w="1275" w:type="dxa"/>
            <w:vAlign w:val="center"/>
          </w:tcPr>
          <w:p w14:paraId="0B9080BF"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5</w:t>
            </w:r>
          </w:p>
        </w:tc>
        <w:tc>
          <w:tcPr>
            <w:tcW w:w="1418" w:type="dxa"/>
            <w:vAlign w:val="center"/>
          </w:tcPr>
          <w:p w14:paraId="41A7D4BC"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3.41</w:t>
            </w:r>
          </w:p>
        </w:tc>
        <w:tc>
          <w:tcPr>
            <w:tcW w:w="1460" w:type="dxa"/>
            <w:vAlign w:val="center"/>
          </w:tcPr>
          <w:p w14:paraId="5E9916B9"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0.88</w:t>
            </w:r>
          </w:p>
        </w:tc>
      </w:tr>
    </w:tbl>
    <w:p w14:paraId="35CBD6FD" w14:textId="77777777" w:rsidR="006027D5" w:rsidRPr="00FF4E0D" w:rsidRDefault="006027D5" w:rsidP="00EA7AFF">
      <w:pPr>
        <w:shd w:val="clear" w:color="auto" w:fill="FFFFFF" w:themeFill="background1"/>
        <w:spacing w:after="0" w:line="240" w:lineRule="auto"/>
        <w:rPr>
          <w:rFonts w:cs="Times New Roman"/>
          <w:szCs w:val="24"/>
        </w:rPr>
      </w:pPr>
    </w:p>
    <w:p w14:paraId="68036859" w14:textId="77777777" w:rsidR="006027D5" w:rsidRPr="00FF4E0D" w:rsidRDefault="001E24BB" w:rsidP="00EA7AFF">
      <w:pPr>
        <w:shd w:val="clear" w:color="auto" w:fill="FFFFFF" w:themeFill="background1"/>
        <w:spacing w:after="0" w:line="240" w:lineRule="auto"/>
        <w:ind w:firstLine="432"/>
        <w:jc w:val="both"/>
        <w:rPr>
          <w:rFonts w:cs="Times New Roman"/>
          <w:szCs w:val="24"/>
        </w:rPr>
      </w:pPr>
      <w:r w:rsidRPr="00FF4E0D">
        <w:rPr>
          <w:rFonts w:cs="Times New Roman"/>
          <w:szCs w:val="24"/>
        </w:rPr>
        <w:t>Lecturers’ competence in digital safety, ethics, and responsibility was at a high average level, with some variables reaching the good-level threshold. DC7.1 had the highest mean score, with Mean = 3.55, reflecting that lecturers have a certain awareness of protecting accounts, passwords, personal data, and students’ learning data. However, DC7.3 reached only Mean = 3.36, showing that guiding students to use digital technology safely, responsibly, and in accordance with academic ethical standards has not yet received adequate attention. DC7.4 reached Mean = 3.41, just meeting the good-level threshold, reflecting the new requirement to use artificial intelligence and digital tools transparently in teaching, assessment, and research.</w:t>
      </w:r>
    </w:p>
    <w:p w14:paraId="65C70043" w14:textId="77777777" w:rsidR="006027D5" w:rsidRPr="00FF4E0D" w:rsidRDefault="001E24BB" w:rsidP="00EA7AFF">
      <w:pPr>
        <w:shd w:val="clear" w:color="auto" w:fill="FFFFFF" w:themeFill="background1"/>
        <w:spacing w:after="0" w:line="240" w:lineRule="auto"/>
        <w:jc w:val="center"/>
        <w:rPr>
          <w:rFonts w:cs="Times New Roman"/>
          <w:szCs w:val="24"/>
        </w:rPr>
      </w:pPr>
      <w:r w:rsidRPr="00FF4E0D">
        <w:rPr>
          <w:rFonts w:cs="Times New Roman"/>
          <w:b/>
          <w:szCs w:val="24"/>
        </w:rPr>
        <w:t>Table 9. Summary of Mean Scores for Lecturers’ Digital Competence Domains</w:t>
      </w:r>
    </w:p>
    <w:tbl>
      <w:tblPr>
        <w:tblStyle w:val="TableGrid"/>
        <w:tblW w:w="0" w:type="auto"/>
        <w:tblLook w:val="04A0" w:firstRow="1" w:lastRow="0" w:firstColumn="1" w:lastColumn="0" w:noHBand="0" w:noVBand="1"/>
      </w:tblPr>
      <w:tblGrid>
        <w:gridCol w:w="4355"/>
        <w:gridCol w:w="1841"/>
        <w:gridCol w:w="1841"/>
        <w:gridCol w:w="1745"/>
      </w:tblGrid>
      <w:tr w:rsidR="00FF4E0D" w:rsidRPr="00FF4E0D" w14:paraId="19DC3FA3" w14:textId="77777777" w:rsidTr="00EA7AFF">
        <w:tc>
          <w:tcPr>
            <w:tcW w:w="4361" w:type="dxa"/>
            <w:vAlign w:val="center"/>
          </w:tcPr>
          <w:p w14:paraId="1E61F3B1" w14:textId="77777777" w:rsidR="006027D5" w:rsidRPr="00FF4E0D" w:rsidRDefault="001E24BB" w:rsidP="00EA7AFF">
            <w:pPr>
              <w:shd w:val="clear" w:color="auto" w:fill="FFFFFF" w:themeFill="background1"/>
              <w:jc w:val="center"/>
              <w:rPr>
                <w:rFonts w:cs="Times New Roman"/>
                <w:szCs w:val="24"/>
              </w:rPr>
            </w:pPr>
            <w:r w:rsidRPr="00FF4E0D">
              <w:rPr>
                <w:rFonts w:cs="Times New Roman"/>
                <w:b/>
                <w:szCs w:val="24"/>
              </w:rPr>
              <w:t>Competence domain</w:t>
            </w:r>
          </w:p>
        </w:tc>
        <w:tc>
          <w:tcPr>
            <w:tcW w:w="1843" w:type="dxa"/>
            <w:vAlign w:val="center"/>
          </w:tcPr>
          <w:p w14:paraId="2ECE8F9D" w14:textId="77777777" w:rsidR="006027D5" w:rsidRPr="00FF4E0D" w:rsidRDefault="001E24BB" w:rsidP="00EA7AFF">
            <w:pPr>
              <w:shd w:val="clear" w:color="auto" w:fill="FFFFFF" w:themeFill="background1"/>
              <w:jc w:val="center"/>
              <w:rPr>
                <w:rFonts w:cs="Times New Roman"/>
                <w:szCs w:val="24"/>
              </w:rPr>
            </w:pPr>
            <w:r w:rsidRPr="00FF4E0D">
              <w:rPr>
                <w:rFonts w:cs="Times New Roman"/>
                <w:b/>
                <w:szCs w:val="24"/>
              </w:rPr>
              <w:t>Mean</w:t>
            </w:r>
          </w:p>
        </w:tc>
        <w:tc>
          <w:tcPr>
            <w:tcW w:w="1842" w:type="dxa"/>
            <w:vAlign w:val="center"/>
          </w:tcPr>
          <w:p w14:paraId="45684A5C" w14:textId="77777777" w:rsidR="006027D5" w:rsidRPr="00FF4E0D" w:rsidRDefault="001E24BB" w:rsidP="00EA7AFF">
            <w:pPr>
              <w:shd w:val="clear" w:color="auto" w:fill="FFFFFF" w:themeFill="background1"/>
              <w:jc w:val="center"/>
              <w:rPr>
                <w:rFonts w:cs="Times New Roman"/>
                <w:szCs w:val="24"/>
              </w:rPr>
            </w:pPr>
            <w:r w:rsidRPr="00FF4E0D">
              <w:rPr>
                <w:rFonts w:cs="Times New Roman"/>
                <w:b/>
                <w:szCs w:val="24"/>
              </w:rPr>
              <w:t>Std. Deviation</w:t>
            </w:r>
          </w:p>
        </w:tc>
        <w:tc>
          <w:tcPr>
            <w:tcW w:w="1746" w:type="dxa"/>
            <w:vAlign w:val="center"/>
          </w:tcPr>
          <w:p w14:paraId="4CF97A79" w14:textId="77777777" w:rsidR="006027D5" w:rsidRPr="00FF4E0D" w:rsidRDefault="001E24BB" w:rsidP="00EA7AFF">
            <w:pPr>
              <w:shd w:val="clear" w:color="auto" w:fill="FFFFFF" w:themeFill="background1"/>
              <w:jc w:val="center"/>
              <w:rPr>
                <w:rFonts w:cs="Times New Roman"/>
                <w:szCs w:val="24"/>
              </w:rPr>
            </w:pPr>
            <w:r w:rsidRPr="00FF4E0D">
              <w:rPr>
                <w:rFonts w:cs="Times New Roman"/>
                <w:b/>
                <w:szCs w:val="24"/>
              </w:rPr>
              <w:t>Assessment level</w:t>
            </w:r>
          </w:p>
        </w:tc>
      </w:tr>
      <w:tr w:rsidR="00FF4E0D" w:rsidRPr="00FF4E0D" w14:paraId="509A658C" w14:textId="77777777" w:rsidTr="00EA7AFF">
        <w:tc>
          <w:tcPr>
            <w:tcW w:w="4361" w:type="dxa"/>
          </w:tcPr>
          <w:p w14:paraId="3182153A"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Basic digital technology use at work</w:t>
            </w:r>
          </w:p>
        </w:tc>
        <w:tc>
          <w:tcPr>
            <w:tcW w:w="1843" w:type="dxa"/>
            <w:vAlign w:val="center"/>
          </w:tcPr>
          <w:p w14:paraId="667510B5"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3.70</w:t>
            </w:r>
          </w:p>
        </w:tc>
        <w:tc>
          <w:tcPr>
            <w:tcW w:w="1842" w:type="dxa"/>
            <w:vAlign w:val="center"/>
          </w:tcPr>
          <w:p w14:paraId="340EEA43"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0.67</w:t>
            </w:r>
          </w:p>
        </w:tc>
        <w:tc>
          <w:tcPr>
            <w:tcW w:w="1746" w:type="dxa"/>
            <w:vAlign w:val="center"/>
          </w:tcPr>
          <w:p w14:paraId="3B3DE581"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Good</w:t>
            </w:r>
          </w:p>
        </w:tc>
      </w:tr>
      <w:tr w:rsidR="00FF4E0D" w:rsidRPr="00FF4E0D" w14:paraId="2A0F2159" w14:textId="77777777" w:rsidTr="00EA7AFF">
        <w:tc>
          <w:tcPr>
            <w:tcW w:w="4361" w:type="dxa"/>
          </w:tcPr>
          <w:p w14:paraId="4E3683F9"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Design and use of digital learning resources</w:t>
            </w:r>
          </w:p>
        </w:tc>
        <w:tc>
          <w:tcPr>
            <w:tcW w:w="1843" w:type="dxa"/>
            <w:vAlign w:val="center"/>
          </w:tcPr>
          <w:p w14:paraId="1C71D8AD"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3.31</w:t>
            </w:r>
          </w:p>
        </w:tc>
        <w:tc>
          <w:tcPr>
            <w:tcW w:w="1842" w:type="dxa"/>
            <w:vAlign w:val="center"/>
          </w:tcPr>
          <w:p w14:paraId="569229EE"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0.73</w:t>
            </w:r>
          </w:p>
        </w:tc>
        <w:tc>
          <w:tcPr>
            <w:tcW w:w="1746" w:type="dxa"/>
            <w:vAlign w:val="center"/>
          </w:tcPr>
          <w:p w14:paraId="405F7B6F"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Average</w:t>
            </w:r>
          </w:p>
        </w:tc>
      </w:tr>
      <w:tr w:rsidR="00FF4E0D" w:rsidRPr="00FF4E0D" w14:paraId="65518624" w14:textId="77777777" w:rsidTr="00EA7AFF">
        <w:tc>
          <w:tcPr>
            <w:tcW w:w="4361" w:type="dxa"/>
          </w:tcPr>
          <w:p w14:paraId="217F2CE0"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Organization of teaching activities in digital environments</w:t>
            </w:r>
          </w:p>
        </w:tc>
        <w:tc>
          <w:tcPr>
            <w:tcW w:w="1843" w:type="dxa"/>
            <w:vAlign w:val="center"/>
          </w:tcPr>
          <w:p w14:paraId="26E9432D"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3.35</w:t>
            </w:r>
          </w:p>
        </w:tc>
        <w:tc>
          <w:tcPr>
            <w:tcW w:w="1842" w:type="dxa"/>
            <w:vAlign w:val="center"/>
          </w:tcPr>
          <w:p w14:paraId="5DC2D8DB"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0.69</w:t>
            </w:r>
          </w:p>
        </w:tc>
        <w:tc>
          <w:tcPr>
            <w:tcW w:w="1746" w:type="dxa"/>
            <w:vAlign w:val="center"/>
          </w:tcPr>
          <w:p w14:paraId="17063CA7"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Average</w:t>
            </w:r>
          </w:p>
        </w:tc>
      </w:tr>
      <w:tr w:rsidR="00FF4E0D" w:rsidRPr="00FF4E0D" w14:paraId="1A7E5143" w14:textId="77777777" w:rsidTr="00EA7AFF">
        <w:tc>
          <w:tcPr>
            <w:tcW w:w="4361" w:type="dxa"/>
          </w:tcPr>
          <w:p w14:paraId="03940B1E"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Learner assessment using digital technology</w:t>
            </w:r>
          </w:p>
        </w:tc>
        <w:tc>
          <w:tcPr>
            <w:tcW w:w="1843" w:type="dxa"/>
            <w:vAlign w:val="center"/>
          </w:tcPr>
          <w:p w14:paraId="617B30EC"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3.11</w:t>
            </w:r>
          </w:p>
        </w:tc>
        <w:tc>
          <w:tcPr>
            <w:tcW w:w="1842" w:type="dxa"/>
            <w:vAlign w:val="center"/>
          </w:tcPr>
          <w:p w14:paraId="4E10C252"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0.76</w:t>
            </w:r>
          </w:p>
        </w:tc>
        <w:tc>
          <w:tcPr>
            <w:tcW w:w="1746" w:type="dxa"/>
            <w:vAlign w:val="center"/>
          </w:tcPr>
          <w:p w14:paraId="73FBB5E7"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Average</w:t>
            </w:r>
          </w:p>
        </w:tc>
      </w:tr>
      <w:tr w:rsidR="00FF4E0D" w:rsidRPr="00FF4E0D" w14:paraId="502EF188" w14:textId="77777777" w:rsidTr="00EA7AFF">
        <w:tc>
          <w:tcPr>
            <w:tcW w:w="4361" w:type="dxa"/>
          </w:tcPr>
          <w:p w14:paraId="7B003201"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lastRenderedPageBreak/>
              <w:t>Communication, collaboration, and learner support in digital environments</w:t>
            </w:r>
          </w:p>
        </w:tc>
        <w:tc>
          <w:tcPr>
            <w:tcW w:w="1843" w:type="dxa"/>
            <w:vAlign w:val="center"/>
          </w:tcPr>
          <w:p w14:paraId="518B592E"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3.55</w:t>
            </w:r>
          </w:p>
        </w:tc>
        <w:tc>
          <w:tcPr>
            <w:tcW w:w="1842" w:type="dxa"/>
            <w:vAlign w:val="center"/>
          </w:tcPr>
          <w:p w14:paraId="69E92D9F"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0.66</w:t>
            </w:r>
          </w:p>
        </w:tc>
        <w:tc>
          <w:tcPr>
            <w:tcW w:w="1746" w:type="dxa"/>
            <w:vAlign w:val="center"/>
          </w:tcPr>
          <w:p w14:paraId="31882CE4"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Good</w:t>
            </w:r>
          </w:p>
        </w:tc>
      </w:tr>
      <w:tr w:rsidR="00FF4E0D" w:rsidRPr="00FF4E0D" w14:paraId="5BE65C36" w14:textId="77777777" w:rsidTr="00EA7AFF">
        <w:tc>
          <w:tcPr>
            <w:tcW w:w="4361" w:type="dxa"/>
          </w:tcPr>
          <w:p w14:paraId="33F4CBEB"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Professional development and research in digital environments</w:t>
            </w:r>
          </w:p>
        </w:tc>
        <w:tc>
          <w:tcPr>
            <w:tcW w:w="1843" w:type="dxa"/>
            <w:vAlign w:val="center"/>
          </w:tcPr>
          <w:p w14:paraId="513FC439"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3.08</w:t>
            </w:r>
          </w:p>
        </w:tc>
        <w:tc>
          <w:tcPr>
            <w:tcW w:w="1842" w:type="dxa"/>
            <w:vAlign w:val="center"/>
          </w:tcPr>
          <w:p w14:paraId="16578DFC"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0.74</w:t>
            </w:r>
          </w:p>
        </w:tc>
        <w:tc>
          <w:tcPr>
            <w:tcW w:w="1746" w:type="dxa"/>
            <w:vAlign w:val="center"/>
          </w:tcPr>
          <w:p w14:paraId="37EEB6C4"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Average</w:t>
            </w:r>
          </w:p>
        </w:tc>
      </w:tr>
      <w:tr w:rsidR="00FF4E0D" w:rsidRPr="00FF4E0D" w14:paraId="1193869B" w14:textId="77777777" w:rsidTr="00EA7AFF">
        <w:tc>
          <w:tcPr>
            <w:tcW w:w="4361" w:type="dxa"/>
          </w:tcPr>
          <w:p w14:paraId="2F6C69BF"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Digital safety, ethics, and responsibility</w:t>
            </w:r>
          </w:p>
        </w:tc>
        <w:tc>
          <w:tcPr>
            <w:tcW w:w="1843" w:type="dxa"/>
            <w:vAlign w:val="center"/>
          </w:tcPr>
          <w:p w14:paraId="6D218DF7"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3.44</w:t>
            </w:r>
          </w:p>
        </w:tc>
        <w:tc>
          <w:tcPr>
            <w:tcW w:w="1842" w:type="dxa"/>
            <w:vAlign w:val="center"/>
          </w:tcPr>
          <w:p w14:paraId="3B5024CE"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0.65</w:t>
            </w:r>
          </w:p>
        </w:tc>
        <w:tc>
          <w:tcPr>
            <w:tcW w:w="1746" w:type="dxa"/>
            <w:vAlign w:val="center"/>
          </w:tcPr>
          <w:p w14:paraId="0CA0D838"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Good</w:t>
            </w:r>
          </w:p>
        </w:tc>
      </w:tr>
      <w:tr w:rsidR="00FF4E0D" w:rsidRPr="00FF4E0D" w14:paraId="4A330CCC" w14:textId="77777777" w:rsidTr="00EA7AFF">
        <w:tc>
          <w:tcPr>
            <w:tcW w:w="4361" w:type="dxa"/>
          </w:tcPr>
          <w:p w14:paraId="639FACDE"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Overall mean score</w:t>
            </w:r>
          </w:p>
        </w:tc>
        <w:tc>
          <w:tcPr>
            <w:tcW w:w="1843" w:type="dxa"/>
            <w:vAlign w:val="center"/>
          </w:tcPr>
          <w:p w14:paraId="7FB7A234"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3.36</w:t>
            </w:r>
          </w:p>
        </w:tc>
        <w:tc>
          <w:tcPr>
            <w:tcW w:w="1842" w:type="dxa"/>
            <w:vAlign w:val="center"/>
          </w:tcPr>
          <w:p w14:paraId="42D691C3"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0.58</w:t>
            </w:r>
          </w:p>
        </w:tc>
        <w:tc>
          <w:tcPr>
            <w:tcW w:w="1746" w:type="dxa"/>
            <w:vAlign w:val="center"/>
          </w:tcPr>
          <w:p w14:paraId="3CA2BCD5"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Average</w:t>
            </w:r>
          </w:p>
        </w:tc>
      </w:tr>
    </w:tbl>
    <w:p w14:paraId="237ECAA6" w14:textId="77777777" w:rsidR="006027D5" w:rsidRPr="00FF4E0D" w:rsidRDefault="006027D5" w:rsidP="00EA7AFF">
      <w:pPr>
        <w:shd w:val="clear" w:color="auto" w:fill="FFFFFF" w:themeFill="background1"/>
        <w:spacing w:after="0" w:line="240" w:lineRule="auto"/>
        <w:rPr>
          <w:rFonts w:cs="Times New Roman"/>
          <w:szCs w:val="24"/>
        </w:rPr>
      </w:pPr>
    </w:p>
    <w:p w14:paraId="5231024B" w14:textId="77777777" w:rsidR="006027D5" w:rsidRPr="00FF4E0D" w:rsidRDefault="001E24BB" w:rsidP="00EA7AFF">
      <w:pPr>
        <w:shd w:val="clear" w:color="auto" w:fill="FFFFFF" w:themeFill="background1"/>
        <w:spacing w:after="0" w:line="240" w:lineRule="auto"/>
        <w:ind w:firstLine="432"/>
        <w:jc w:val="both"/>
        <w:rPr>
          <w:rFonts w:cs="Times New Roman"/>
          <w:szCs w:val="24"/>
        </w:rPr>
      </w:pPr>
      <w:r w:rsidRPr="00FF4E0D">
        <w:rPr>
          <w:rFonts w:cs="Times New Roman"/>
          <w:szCs w:val="24"/>
        </w:rPr>
        <w:t xml:space="preserve">The research results show that the overall digital competence of lecturers at </w:t>
      </w:r>
      <w:r w:rsidR="00EA7AFF" w:rsidRPr="00FF4E0D">
        <w:rPr>
          <w:rFonts w:cs="Times New Roman"/>
          <w:szCs w:val="24"/>
        </w:rPr>
        <w:t>Da Nang Sports University</w:t>
      </w:r>
      <w:r w:rsidRPr="00FF4E0D">
        <w:rPr>
          <w:rFonts w:cs="Times New Roman"/>
          <w:szCs w:val="24"/>
        </w:rPr>
        <w:t xml:space="preserve"> reached Mean = 3.36, classified as average but approaching the good level. The domain of professional development and research in digital environments had the lowest score, with Mean = 3.08, followed by learner assessment using digital technology, with Mean = 3.11. These results indicate that lecturers’ digital competence is currently more clearly developed at the level of basic tool-use skills, whereas competences deeply integrated into pedagogy, assessment, research, and physical education and sports coaching remain limited.</w:t>
      </w:r>
    </w:p>
    <w:p w14:paraId="3D31D5BB" w14:textId="77777777" w:rsidR="006027D5" w:rsidRPr="00FF4E0D" w:rsidRDefault="001E24BB" w:rsidP="00EA7AFF">
      <w:pPr>
        <w:pStyle w:val="Heading2"/>
        <w:shd w:val="clear" w:color="auto" w:fill="FFFFFF" w:themeFill="background1"/>
        <w:spacing w:before="0" w:line="240" w:lineRule="auto"/>
        <w:rPr>
          <w:rFonts w:ascii="Times New Roman" w:hAnsi="Times New Roman" w:cs="Times New Roman"/>
          <w:color w:val="auto"/>
          <w:sz w:val="24"/>
          <w:szCs w:val="24"/>
        </w:rPr>
      </w:pPr>
      <w:r w:rsidRPr="00FF4E0D">
        <w:rPr>
          <w:rFonts w:ascii="Times New Roman" w:eastAsia="Times New Roman" w:hAnsi="Times New Roman" w:cs="Times New Roman"/>
          <w:color w:val="auto"/>
          <w:sz w:val="24"/>
          <w:szCs w:val="24"/>
        </w:rPr>
        <w:t xml:space="preserve">3.2. Factors Affecting the Digital Competence of Lecturers at </w:t>
      </w:r>
      <w:r w:rsidR="00EA7AFF" w:rsidRPr="00FF4E0D">
        <w:rPr>
          <w:rFonts w:ascii="Times New Roman" w:eastAsia="Times New Roman" w:hAnsi="Times New Roman" w:cs="Times New Roman"/>
          <w:color w:val="auto"/>
          <w:sz w:val="24"/>
          <w:szCs w:val="24"/>
        </w:rPr>
        <w:t>Da Nang Sports</w:t>
      </w:r>
      <w:r w:rsidR="00EA7AFF" w:rsidRPr="00FF4E0D">
        <w:rPr>
          <w:rFonts w:ascii="Times New Roman" w:hAnsi="Times New Roman" w:cs="Times New Roman"/>
          <w:color w:val="auto"/>
          <w:szCs w:val="24"/>
        </w:rPr>
        <w:t xml:space="preserve"> </w:t>
      </w:r>
      <w:r w:rsidR="00EA7AFF" w:rsidRPr="00FF4E0D">
        <w:rPr>
          <w:rFonts w:ascii="Times New Roman" w:eastAsia="Times New Roman" w:hAnsi="Times New Roman" w:cs="Times New Roman"/>
          <w:color w:val="auto"/>
          <w:sz w:val="24"/>
          <w:szCs w:val="24"/>
        </w:rPr>
        <w:t>University</w:t>
      </w:r>
      <w:r w:rsidRPr="00FF4E0D">
        <w:rPr>
          <w:rFonts w:ascii="Times New Roman" w:eastAsia="Times New Roman" w:hAnsi="Times New Roman" w:cs="Times New Roman"/>
          <w:color w:val="auto"/>
          <w:sz w:val="24"/>
          <w:szCs w:val="24"/>
        </w:rPr>
        <w:t>, Vietnam</w:t>
      </w:r>
    </w:p>
    <w:p w14:paraId="3BE142A5" w14:textId="77777777" w:rsidR="006027D5" w:rsidRPr="00FF4E0D" w:rsidRDefault="001E24BB" w:rsidP="00EA7AFF">
      <w:pPr>
        <w:shd w:val="clear" w:color="auto" w:fill="FFFFFF" w:themeFill="background1"/>
        <w:spacing w:after="0" w:line="240" w:lineRule="auto"/>
        <w:ind w:firstLine="432"/>
        <w:jc w:val="both"/>
        <w:rPr>
          <w:rFonts w:cs="Times New Roman"/>
          <w:szCs w:val="24"/>
        </w:rPr>
      </w:pPr>
      <w:r w:rsidRPr="00FF4E0D">
        <w:rPr>
          <w:rFonts w:cs="Times New Roman"/>
          <w:szCs w:val="24"/>
        </w:rPr>
        <w:t>In addition to assessing the current status of digital competence, the study further examined factors affecting the formation and development of lecturers’ digital competence. These factors were identified based on the questionnaire, including facilities and technological infrastructure, university incentive policies, training programs, time for self-study and technology experimentation, the distinctive characteristics of practical physical education and sports courses, technical support, lecturers’ awareness and readiness for innovation, and their perceptions of the role of digital technology in improving the quality of teaching, coaching, and learner assessment.</w:t>
      </w:r>
    </w:p>
    <w:p w14:paraId="4BC69A5E" w14:textId="77777777" w:rsidR="006027D5" w:rsidRPr="00FF4E0D" w:rsidRDefault="001E24BB" w:rsidP="00EA7AFF">
      <w:pPr>
        <w:shd w:val="clear" w:color="auto" w:fill="FFFFFF" w:themeFill="background1"/>
        <w:spacing w:after="0" w:line="240" w:lineRule="auto"/>
        <w:jc w:val="center"/>
        <w:rPr>
          <w:rFonts w:cs="Times New Roman"/>
          <w:szCs w:val="24"/>
        </w:rPr>
      </w:pPr>
      <w:r w:rsidRPr="00FF4E0D">
        <w:rPr>
          <w:rFonts w:cs="Times New Roman"/>
          <w:b/>
          <w:szCs w:val="24"/>
        </w:rPr>
        <w:t>Table 10. Descriptive Statistics for Factors Affecting Lecturers’ Digital Competence</w:t>
      </w:r>
    </w:p>
    <w:tbl>
      <w:tblPr>
        <w:tblStyle w:val="TableGrid"/>
        <w:tblW w:w="0" w:type="auto"/>
        <w:tblLook w:val="04A0" w:firstRow="1" w:lastRow="0" w:firstColumn="1" w:lastColumn="0" w:noHBand="0" w:noVBand="1"/>
      </w:tblPr>
      <w:tblGrid>
        <w:gridCol w:w="5458"/>
        <w:gridCol w:w="1112"/>
        <w:gridCol w:w="978"/>
        <w:gridCol w:w="1031"/>
        <w:gridCol w:w="1203"/>
      </w:tblGrid>
      <w:tr w:rsidR="00FF4E0D" w:rsidRPr="00FF4E0D" w14:paraId="33EF7ABA" w14:textId="77777777" w:rsidTr="00EA7AFF">
        <w:tc>
          <w:tcPr>
            <w:tcW w:w="5637" w:type="dxa"/>
            <w:vAlign w:val="center"/>
          </w:tcPr>
          <w:p w14:paraId="1D1CED9B" w14:textId="77777777" w:rsidR="006027D5" w:rsidRPr="00FF4E0D" w:rsidRDefault="001E24BB" w:rsidP="00EA7AFF">
            <w:pPr>
              <w:shd w:val="clear" w:color="auto" w:fill="FFFFFF" w:themeFill="background1"/>
              <w:jc w:val="center"/>
              <w:rPr>
                <w:rFonts w:cs="Times New Roman"/>
                <w:szCs w:val="24"/>
              </w:rPr>
            </w:pPr>
            <w:r w:rsidRPr="00FF4E0D">
              <w:rPr>
                <w:rFonts w:cs="Times New Roman"/>
                <w:b/>
                <w:szCs w:val="24"/>
              </w:rPr>
              <w:t>Observed variable</w:t>
            </w:r>
          </w:p>
        </w:tc>
        <w:tc>
          <w:tcPr>
            <w:tcW w:w="1134" w:type="dxa"/>
            <w:vAlign w:val="center"/>
          </w:tcPr>
          <w:p w14:paraId="79D40489" w14:textId="77777777" w:rsidR="006027D5" w:rsidRPr="00FF4E0D" w:rsidRDefault="001E24BB" w:rsidP="00EA7AFF">
            <w:pPr>
              <w:shd w:val="clear" w:color="auto" w:fill="FFFFFF" w:themeFill="background1"/>
              <w:jc w:val="center"/>
              <w:rPr>
                <w:rFonts w:cs="Times New Roman"/>
                <w:szCs w:val="24"/>
              </w:rPr>
            </w:pPr>
            <w:r w:rsidRPr="00FF4E0D">
              <w:rPr>
                <w:rFonts w:cs="Times New Roman"/>
                <w:b/>
                <w:szCs w:val="24"/>
              </w:rPr>
              <w:t>Min</w:t>
            </w:r>
          </w:p>
        </w:tc>
        <w:tc>
          <w:tcPr>
            <w:tcW w:w="992" w:type="dxa"/>
            <w:vAlign w:val="center"/>
          </w:tcPr>
          <w:p w14:paraId="55BEE292" w14:textId="77777777" w:rsidR="006027D5" w:rsidRPr="00FF4E0D" w:rsidRDefault="001E24BB" w:rsidP="00EA7AFF">
            <w:pPr>
              <w:shd w:val="clear" w:color="auto" w:fill="FFFFFF" w:themeFill="background1"/>
              <w:jc w:val="center"/>
              <w:rPr>
                <w:rFonts w:cs="Times New Roman"/>
                <w:szCs w:val="24"/>
              </w:rPr>
            </w:pPr>
            <w:r w:rsidRPr="00FF4E0D">
              <w:rPr>
                <w:rFonts w:cs="Times New Roman"/>
                <w:b/>
                <w:szCs w:val="24"/>
              </w:rPr>
              <w:t>Max</w:t>
            </w:r>
          </w:p>
        </w:tc>
        <w:tc>
          <w:tcPr>
            <w:tcW w:w="1042" w:type="dxa"/>
            <w:vAlign w:val="center"/>
          </w:tcPr>
          <w:p w14:paraId="1706DCF9" w14:textId="77777777" w:rsidR="006027D5" w:rsidRPr="00FF4E0D" w:rsidRDefault="001E24BB" w:rsidP="00EA7AFF">
            <w:pPr>
              <w:shd w:val="clear" w:color="auto" w:fill="FFFFFF" w:themeFill="background1"/>
              <w:jc w:val="center"/>
              <w:rPr>
                <w:rFonts w:cs="Times New Roman"/>
                <w:szCs w:val="24"/>
              </w:rPr>
            </w:pPr>
            <w:r w:rsidRPr="00FF4E0D">
              <w:rPr>
                <w:rFonts w:cs="Times New Roman"/>
                <w:b/>
                <w:szCs w:val="24"/>
              </w:rPr>
              <w:t>Mean</w:t>
            </w:r>
          </w:p>
        </w:tc>
        <w:tc>
          <w:tcPr>
            <w:tcW w:w="1203" w:type="dxa"/>
            <w:vAlign w:val="center"/>
          </w:tcPr>
          <w:p w14:paraId="7D57FF71" w14:textId="77777777" w:rsidR="006027D5" w:rsidRPr="00FF4E0D" w:rsidRDefault="001E24BB" w:rsidP="00EA7AFF">
            <w:pPr>
              <w:shd w:val="clear" w:color="auto" w:fill="FFFFFF" w:themeFill="background1"/>
              <w:jc w:val="center"/>
              <w:rPr>
                <w:rFonts w:cs="Times New Roman"/>
                <w:szCs w:val="24"/>
              </w:rPr>
            </w:pPr>
            <w:r w:rsidRPr="00FF4E0D">
              <w:rPr>
                <w:rFonts w:cs="Times New Roman"/>
                <w:b/>
                <w:szCs w:val="24"/>
              </w:rPr>
              <w:t>Std. Deviation</w:t>
            </w:r>
          </w:p>
        </w:tc>
      </w:tr>
      <w:tr w:rsidR="00FF4E0D" w:rsidRPr="00FF4E0D" w14:paraId="7DCA72BD" w14:textId="77777777" w:rsidTr="00EA7AFF">
        <w:tc>
          <w:tcPr>
            <w:tcW w:w="5637" w:type="dxa"/>
          </w:tcPr>
          <w:p w14:paraId="054401F9"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AF1. The university’s facilities and technological infrastructure meet the needs of applying digital technology in teaching</w:t>
            </w:r>
          </w:p>
        </w:tc>
        <w:tc>
          <w:tcPr>
            <w:tcW w:w="1134" w:type="dxa"/>
            <w:vAlign w:val="center"/>
          </w:tcPr>
          <w:p w14:paraId="1D0C5D1D"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1</w:t>
            </w:r>
          </w:p>
        </w:tc>
        <w:tc>
          <w:tcPr>
            <w:tcW w:w="992" w:type="dxa"/>
            <w:vAlign w:val="center"/>
          </w:tcPr>
          <w:p w14:paraId="7E5CE917"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5</w:t>
            </w:r>
          </w:p>
        </w:tc>
        <w:tc>
          <w:tcPr>
            <w:tcW w:w="1042" w:type="dxa"/>
            <w:vAlign w:val="center"/>
          </w:tcPr>
          <w:p w14:paraId="4D67031A"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3.12</w:t>
            </w:r>
          </w:p>
        </w:tc>
        <w:tc>
          <w:tcPr>
            <w:tcW w:w="1203" w:type="dxa"/>
            <w:vAlign w:val="center"/>
          </w:tcPr>
          <w:p w14:paraId="03EEDE15"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0.82</w:t>
            </w:r>
          </w:p>
        </w:tc>
      </w:tr>
      <w:tr w:rsidR="00FF4E0D" w:rsidRPr="00FF4E0D" w14:paraId="3B275FEB" w14:textId="77777777" w:rsidTr="00EA7AFF">
        <w:tc>
          <w:tcPr>
            <w:tcW w:w="5637" w:type="dxa"/>
          </w:tcPr>
          <w:p w14:paraId="5AA0B5D1"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AF2. The university has policies to encourage lecturers to apply digital technology in teaching, coaching, and research</w:t>
            </w:r>
          </w:p>
        </w:tc>
        <w:tc>
          <w:tcPr>
            <w:tcW w:w="1134" w:type="dxa"/>
            <w:vAlign w:val="center"/>
          </w:tcPr>
          <w:p w14:paraId="626C0830"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1</w:t>
            </w:r>
          </w:p>
        </w:tc>
        <w:tc>
          <w:tcPr>
            <w:tcW w:w="992" w:type="dxa"/>
            <w:vAlign w:val="center"/>
          </w:tcPr>
          <w:p w14:paraId="6582FD8A"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5</w:t>
            </w:r>
          </w:p>
        </w:tc>
        <w:tc>
          <w:tcPr>
            <w:tcW w:w="1042" w:type="dxa"/>
            <w:vAlign w:val="center"/>
          </w:tcPr>
          <w:p w14:paraId="6D458ABF"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3.01</w:t>
            </w:r>
          </w:p>
        </w:tc>
        <w:tc>
          <w:tcPr>
            <w:tcW w:w="1203" w:type="dxa"/>
            <w:vAlign w:val="center"/>
          </w:tcPr>
          <w:p w14:paraId="1FE8A5A5"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0.79</w:t>
            </w:r>
          </w:p>
        </w:tc>
      </w:tr>
      <w:tr w:rsidR="00FF4E0D" w:rsidRPr="00FF4E0D" w14:paraId="502AEDE0" w14:textId="77777777" w:rsidTr="00EA7AFF">
        <w:tc>
          <w:tcPr>
            <w:tcW w:w="5637" w:type="dxa"/>
          </w:tcPr>
          <w:p w14:paraId="70977DF4"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AF3. Training programs on digital technology are aligned with lecturers’ practical needs</w:t>
            </w:r>
          </w:p>
        </w:tc>
        <w:tc>
          <w:tcPr>
            <w:tcW w:w="1134" w:type="dxa"/>
            <w:vAlign w:val="center"/>
          </w:tcPr>
          <w:p w14:paraId="7EC7F3B2"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1</w:t>
            </w:r>
          </w:p>
        </w:tc>
        <w:tc>
          <w:tcPr>
            <w:tcW w:w="992" w:type="dxa"/>
            <w:vAlign w:val="center"/>
          </w:tcPr>
          <w:p w14:paraId="57DCEFD2"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5</w:t>
            </w:r>
          </w:p>
        </w:tc>
        <w:tc>
          <w:tcPr>
            <w:tcW w:w="1042" w:type="dxa"/>
            <w:vAlign w:val="center"/>
          </w:tcPr>
          <w:p w14:paraId="51E92461"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2.96</w:t>
            </w:r>
          </w:p>
        </w:tc>
        <w:tc>
          <w:tcPr>
            <w:tcW w:w="1203" w:type="dxa"/>
            <w:vAlign w:val="center"/>
          </w:tcPr>
          <w:p w14:paraId="782575F3"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0.84</w:t>
            </w:r>
          </w:p>
        </w:tc>
      </w:tr>
      <w:tr w:rsidR="00FF4E0D" w:rsidRPr="00FF4E0D" w14:paraId="653D3F1B" w14:textId="77777777" w:rsidTr="00EA7AFF">
        <w:tc>
          <w:tcPr>
            <w:tcW w:w="5637" w:type="dxa"/>
          </w:tcPr>
          <w:p w14:paraId="19F49B4B"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AF4. Lecturers have sufficient time to self-study, experiment with, and apply digital technology in professional activities</w:t>
            </w:r>
          </w:p>
        </w:tc>
        <w:tc>
          <w:tcPr>
            <w:tcW w:w="1134" w:type="dxa"/>
            <w:vAlign w:val="center"/>
          </w:tcPr>
          <w:p w14:paraId="57F65BD2"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1</w:t>
            </w:r>
          </w:p>
        </w:tc>
        <w:tc>
          <w:tcPr>
            <w:tcW w:w="992" w:type="dxa"/>
            <w:vAlign w:val="center"/>
          </w:tcPr>
          <w:p w14:paraId="212D5D62"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5</w:t>
            </w:r>
          </w:p>
        </w:tc>
        <w:tc>
          <w:tcPr>
            <w:tcW w:w="1042" w:type="dxa"/>
            <w:vAlign w:val="center"/>
          </w:tcPr>
          <w:p w14:paraId="64644720"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2.87</w:t>
            </w:r>
          </w:p>
        </w:tc>
        <w:tc>
          <w:tcPr>
            <w:tcW w:w="1203" w:type="dxa"/>
            <w:vAlign w:val="center"/>
          </w:tcPr>
          <w:p w14:paraId="76097E3F"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0.86</w:t>
            </w:r>
          </w:p>
        </w:tc>
      </w:tr>
      <w:tr w:rsidR="00FF4E0D" w:rsidRPr="00FF4E0D" w14:paraId="4794903D" w14:textId="77777777" w:rsidTr="00EA7AFF">
        <w:tc>
          <w:tcPr>
            <w:tcW w:w="5637" w:type="dxa"/>
          </w:tcPr>
          <w:p w14:paraId="79AAD156"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AF5. The distinctive characteristics of practical physical education and sports courses make the application of digital technology more difficult</w:t>
            </w:r>
          </w:p>
        </w:tc>
        <w:tc>
          <w:tcPr>
            <w:tcW w:w="1134" w:type="dxa"/>
            <w:vAlign w:val="center"/>
          </w:tcPr>
          <w:p w14:paraId="292DCAFA"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2</w:t>
            </w:r>
          </w:p>
        </w:tc>
        <w:tc>
          <w:tcPr>
            <w:tcW w:w="992" w:type="dxa"/>
            <w:vAlign w:val="center"/>
          </w:tcPr>
          <w:p w14:paraId="5CD0A0AD"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5</w:t>
            </w:r>
          </w:p>
        </w:tc>
        <w:tc>
          <w:tcPr>
            <w:tcW w:w="1042" w:type="dxa"/>
            <w:vAlign w:val="center"/>
          </w:tcPr>
          <w:p w14:paraId="4AB0EE1B"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3.64</w:t>
            </w:r>
          </w:p>
        </w:tc>
        <w:tc>
          <w:tcPr>
            <w:tcW w:w="1203" w:type="dxa"/>
            <w:vAlign w:val="center"/>
          </w:tcPr>
          <w:p w14:paraId="00AB52CF"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0.73</w:t>
            </w:r>
          </w:p>
        </w:tc>
      </w:tr>
      <w:tr w:rsidR="00FF4E0D" w:rsidRPr="00FF4E0D" w14:paraId="0F2DEE8E" w14:textId="77777777" w:rsidTr="00EA7AFF">
        <w:tc>
          <w:tcPr>
            <w:tcW w:w="5637" w:type="dxa"/>
          </w:tcPr>
          <w:p w14:paraId="296E411D"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AF6. Technical support from the university greatly affects lecturers’ ability to apply digital technology</w:t>
            </w:r>
          </w:p>
        </w:tc>
        <w:tc>
          <w:tcPr>
            <w:tcW w:w="1134" w:type="dxa"/>
            <w:vAlign w:val="center"/>
          </w:tcPr>
          <w:p w14:paraId="05C4C962"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2</w:t>
            </w:r>
          </w:p>
        </w:tc>
        <w:tc>
          <w:tcPr>
            <w:tcW w:w="992" w:type="dxa"/>
            <w:vAlign w:val="center"/>
          </w:tcPr>
          <w:p w14:paraId="696E71E4"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5</w:t>
            </w:r>
          </w:p>
        </w:tc>
        <w:tc>
          <w:tcPr>
            <w:tcW w:w="1042" w:type="dxa"/>
            <w:vAlign w:val="center"/>
          </w:tcPr>
          <w:p w14:paraId="4D1427FF"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3.57</w:t>
            </w:r>
          </w:p>
        </w:tc>
        <w:tc>
          <w:tcPr>
            <w:tcW w:w="1203" w:type="dxa"/>
            <w:vAlign w:val="center"/>
          </w:tcPr>
          <w:p w14:paraId="194F3842"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0.75</w:t>
            </w:r>
          </w:p>
        </w:tc>
      </w:tr>
      <w:tr w:rsidR="00FF4E0D" w:rsidRPr="00FF4E0D" w14:paraId="7DBB62CF" w14:textId="77777777" w:rsidTr="00EA7AFF">
        <w:tc>
          <w:tcPr>
            <w:tcW w:w="5637" w:type="dxa"/>
          </w:tcPr>
          <w:p w14:paraId="7025885D"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AF7. Lecturers’ awareness and readiness for innovation directly affect the development of digital competence</w:t>
            </w:r>
          </w:p>
        </w:tc>
        <w:tc>
          <w:tcPr>
            <w:tcW w:w="1134" w:type="dxa"/>
            <w:vAlign w:val="center"/>
          </w:tcPr>
          <w:p w14:paraId="6AED3C43"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2</w:t>
            </w:r>
          </w:p>
        </w:tc>
        <w:tc>
          <w:tcPr>
            <w:tcW w:w="992" w:type="dxa"/>
            <w:vAlign w:val="center"/>
          </w:tcPr>
          <w:p w14:paraId="2A2DC682"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5</w:t>
            </w:r>
          </w:p>
        </w:tc>
        <w:tc>
          <w:tcPr>
            <w:tcW w:w="1042" w:type="dxa"/>
            <w:vAlign w:val="center"/>
          </w:tcPr>
          <w:p w14:paraId="39253FEB"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3.71</w:t>
            </w:r>
          </w:p>
        </w:tc>
        <w:tc>
          <w:tcPr>
            <w:tcW w:w="1203" w:type="dxa"/>
            <w:vAlign w:val="center"/>
          </w:tcPr>
          <w:p w14:paraId="6511FA47"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0.68</w:t>
            </w:r>
          </w:p>
        </w:tc>
      </w:tr>
      <w:tr w:rsidR="00FF4E0D" w:rsidRPr="00FF4E0D" w14:paraId="3CFD4558" w14:textId="77777777" w:rsidTr="00EA7AFF">
        <w:tc>
          <w:tcPr>
            <w:tcW w:w="5637" w:type="dxa"/>
          </w:tcPr>
          <w:p w14:paraId="18CAAA6B"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AF8. The application of digital technology helps improve the quality of teaching, coaching, and learner assessment</w:t>
            </w:r>
          </w:p>
        </w:tc>
        <w:tc>
          <w:tcPr>
            <w:tcW w:w="1134" w:type="dxa"/>
            <w:vAlign w:val="center"/>
          </w:tcPr>
          <w:p w14:paraId="31F8913B"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2</w:t>
            </w:r>
          </w:p>
        </w:tc>
        <w:tc>
          <w:tcPr>
            <w:tcW w:w="992" w:type="dxa"/>
            <w:vAlign w:val="center"/>
          </w:tcPr>
          <w:p w14:paraId="27E84D6A"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5</w:t>
            </w:r>
          </w:p>
        </w:tc>
        <w:tc>
          <w:tcPr>
            <w:tcW w:w="1042" w:type="dxa"/>
            <w:vAlign w:val="center"/>
          </w:tcPr>
          <w:p w14:paraId="15EEB234"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3.79</w:t>
            </w:r>
          </w:p>
        </w:tc>
        <w:tc>
          <w:tcPr>
            <w:tcW w:w="1203" w:type="dxa"/>
            <w:vAlign w:val="center"/>
          </w:tcPr>
          <w:p w14:paraId="01372E71"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0.66</w:t>
            </w:r>
          </w:p>
        </w:tc>
      </w:tr>
    </w:tbl>
    <w:p w14:paraId="5B5A25D2" w14:textId="77777777" w:rsidR="006027D5" w:rsidRPr="00FF4E0D" w:rsidRDefault="006027D5" w:rsidP="00EA7AFF">
      <w:pPr>
        <w:shd w:val="clear" w:color="auto" w:fill="FFFFFF" w:themeFill="background1"/>
        <w:spacing w:after="0" w:line="240" w:lineRule="auto"/>
        <w:rPr>
          <w:rFonts w:cs="Times New Roman"/>
          <w:szCs w:val="24"/>
        </w:rPr>
      </w:pPr>
    </w:p>
    <w:p w14:paraId="2C69E153" w14:textId="77777777" w:rsidR="006027D5" w:rsidRPr="00FF4E0D" w:rsidRDefault="001E24BB" w:rsidP="00EA7AFF">
      <w:pPr>
        <w:shd w:val="clear" w:color="auto" w:fill="FFFFFF" w:themeFill="background1"/>
        <w:spacing w:after="0" w:line="240" w:lineRule="auto"/>
        <w:ind w:firstLine="432"/>
        <w:jc w:val="both"/>
        <w:rPr>
          <w:rFonts w:cs="Times New Roman"/>
          <w:szCs w:val="24"/>
        </w:rPr>
      </w:pPr>
      <w:r w:rsidRPr="00FF4E0D">
        <w:rPr>
          <w:rFonts w:cs="Times New Roman"/>
          <w:szCs w:val="24"/>
        </w:rPr>
        <w:t xml:space="preserve">The research results show a clear differentiation among the factors affecting lecturers’ digital competence. The two factors with the highest mean scores were awareness of the role of digital technology in improving the quality of teaching, coaching, and learner assessment (AF8, </w:t>
      </w:r>
      <w:proofErr w:type="gramStart"/>
      <w:r w:rsidRPr="00FF4E0D">
        <w:rPr>
          <w:rFonts w:cs="Times New Roman"/>
          <w:szCs w:val="24"/>
        </w:rPr>
        <w:t>Mean</w:t>
      </w:r>
      <w:proofErr w:type="gramEnd"/>
      <w:r w:rsidRPr="00FF4E0D">
        <w:rPr>
          <w:rFonts w:cs="Times New Roman"/>
          <w:szCs w:val="24"/>
        </w:rPr>
        <w:t xml:space="preserve"> = 3.79) and lecturers’ readiness for innovation (AF7, Mean = 3.71). This indicates that most lecturers are aware of the significance of digital technology and hold a positive attitude toward the requirement for professional innovation. Notably, the distinctive characteristics of practical physical education and sports courses also scored relatively high (AF5, Mean = 3.64). This result reflects the specific difficulties involved in applying digital technology to physical education and sports training, especially in content related to movement observation, technical assessment, physical-fitness monitoring, and feedback on training processes.</w:t>
      </w:r>
    </w:p>
    <w:p w14:paraId="74F6068A" w14:textId="77777777" w:rsidR="006027D5" w:rsidRPr="00FF4E0D" w:rsidRDefault="001E24BB" w:rsidP="00EA7AFF">
      <w:pPr>
        <w:shd w:val="clear" w:color="auto" w:fill="FFFFFF" w:themeFill="background1"/>
        <w:spacing w:after="0" w:line="240" w:lineRule="auto"/>
        <w:ind w:firstLine="432"/>
        <w:jc w:val="both"/>
        <w:rPr>
          <w:rFonts w:cs="Times New Roman"/>
          <w:szCs w:val="24"/>
        </w:rPr>
      </w:pPr>
      <w:r w:rsidRPr="00FF4E0D">
        <w:rPr>
          <w:rFonts w:cs="Times New Roman"/>
          <w:szCs w:val="24"/>
        </w:rPr>
        <w:t xml:space="preserve">Meanwhile, support conditions were rated lower, including technological infrastructure (AF1, </w:t>
      </w:r>
      <w:proofErr w:type="gramStart"/>
      <w:r w:rsidRPr="00FF4E0D">
        <w:rPr>
          <w:rFonts w:cs="Times New Roman"/>
          <w:szCs w:val="24"/>
        </w:rPr>
        <w:t>Mean</w:t>
      </w:r>
      <w:proofErr w:type="gramEnd"/>
      <w:r w:rsidRPr="00FF4E0D">
        <w:rPr>
          <w:rFonts w:cs="Times New Roman"/>
          <w:szCs w:val="24"/>
        </w:rPr>
        <w:t xml:space="preserve"> = 3.12), incentive policies (AF2, Mean = 3.01), training programs (AF3, Mean = 2.96), and time for self-study and technology experimentation (AF4, Mean = 2.87). This shows that lecturers have a relatively positive perception of digital transformation, but the development of digital competence remains constrained by organizational conditions, support mechanisms, and the time available for professional innovation.</w:t>
      </w:r>
    </w:p>
    <w:p w14:paraId="1D65D0B9" w14:textId="77777777" w:rsidR="006027D5" w:rsidRPr="00FF4E0D" w:rsidRDefault="001E24BB" w:rsidP="00EA7AFF">
      <w:pPr>
        <w:shd w:val="clear" w:color="auto" w:fill="FFFFFF" w:themeFill="background1"/>
        <w:spacing w:after="0" w:line="240" w:lineRule="auto"/>
        <w:ind w:firstLine="432"/>
        <w:jc w:val="both"/>
        <w:rPr>
          <w:rFonts w:cs="Times New Roman"/>
          <w:szCs w:val="24"/>
        </w:rPr>
      </w:pPr>
      <w:r w:rsidRPr="00FF4E0D">
        <w:rPr>
          <w:rFonts w:cs="Times New Roman"/>
          <w:szCs w:val="24"/>
        </w:rPr>
        <w:t>The research results suggest that solutions to enhance lecturers’ digital competence should not focus solely on requiring individual lecturers to self-study or self-innovate. The university needs to create a synchronized support ecosystem, including training programs closely aligned with needs, technological infrastructure suitable for physical education and sports training, regular technical support mechanisms, policies encouraging the design of digital learning resources, and time allocated for experimenting with teaching innovation. This provides a direct basis for identifying training needs and proposing solutions in the following sections.</w:t>
      </w:r>
    </w:p>
    <w:p w14:paraId="660514F5" w14:textId="77777777" w:rsidR="006027D5" w:rsidRPr="00FF4E0D" w:rsidRDefault="001E24BB" w:rsidP="00EA7AFF">
      <w:pPr>
        <w:pStyle w:val="Heading2"/>
        <w:shd w:val="clear" w:color="auto" w:fill="FFFFFF" w:themeFill="background1"/>
        <w:spacing w:before="0" w:line="240" w:lineRule="auto"/>
        <w:rPr>
          <w:rFonts w:ascii="Times New Roman" w:hAnsi="Times New Roman" w:cs="Times New Roman"/>
          <w:color w:val="auto"/>
          <w:sz w:val="24"/>
          <w:szCs w:val="24"/>
        </w:rPr>
      </w:pPr>
      <w:r w:rsidRPr="00FF4E0D">
        <w:rPr>
          <w:rFonts w:ascii="Times New Roman" w:eastAsia="Times New Roman" w:hAnsi="Times New Roman" w:cs="Times New Roman"/>
          <w:color w:val="auto"/>
          <w:sz w:val="24"/>
          <w:szCs w:val="24"/>
        </w:rPr>
        <w:t xml:space="preserve">3.3. Training Needs for Enhancing Digital Competence among Lecturers at </w:t>
      </w:r>
      <w:r w:rsidR="00EA7AFF" w:rsidRPr="00FF4E0D">
        <w:rPr>
          <w:rFonts w:ascii="Times New Roman" w:eastAsia="Times New Roman" w:hAnsi="Times New Roman" w:cs="Times New Roman"/>
          <w:color w:val="auto"/>
          <w:sz w:val="24"/>
          <w:szCs w:val="24"/>
        </w:rPr>
        <w:t>Da Nang Sports</w:t>
      </w:r>
      <w:r w:rsidR="00EA7AFF" w:rsidRPr="00FF4E0D">
        <w:rPr>
          <w:rFonts w:ascii="Times New Roman" w:hAnsi="Times New Roman" w:cs="Times New Roman"/>
          <w:color w:val="auto"/>
          <w:szCs w:val="24"/>
        </w:rPr>
        <w:t xml:space="preserve"> </w:t>
      </w:r>
      <w:r w:rsidR="00EA7AFF" w:rsidRPr="00FF4E0D">
        <w:rPr>
          <w:rFonts w:ascii="Times New Roman" w:eastAsia="Times New Roman" w:hAnsi="Times New Roman" w:cs="Times New Roman"/>
          <w:color w:val="auto"/>
          <w:sz w:val="24"/>
          <w:szCs w:val="24"/>
        </w:rPr>
        <w:t>University</w:t>
      </w:r>
      <w:r w:rsidRPr="00FF4E0D">
        <w:rPr>
          <w:rFonts w:ascii="Times New Roman" w:eastAsia="Times New Roman" w:hAnsi="Times New Roman" w:cs="Times New Roman"/>
          <w:color w:val="auto"/>
          <w:sz w:val="24"/>
          <w:szCs w:val="24"/>
        </w:rPr>
        <w:t>, Vietnam</w:t>
      </w:r>
    </w:p>
    <w:p w14:paraId="6C01ED58" w14:textId="77777777" w:rsidR="006027D5" w:rsidRPr="00FF4E0D" w:rsidRDefault="001E24BB" w:rsidP="00EA7AFF">
      <w:pPr>
        <w:shd w:val="clear" w:color="auto" w:fill="FFFFFF" w:themeFill="background1"/>
        <w:spacing w:after="0" w:line="240" w:lineRule="auto"/>
        <w:ind w:firstLine="432"/>
        <w:jc w:val="both"/>
        <w:rPr>
          <w:rFonts w:cs="Times New Roman"/>
          <w:szCs w:val="24"/>
        </w:rPr>
      </w:pPr>
      <w:r w:rsidRPr="00FF4E0D">
        <w:rPr>
          <w:rFonts w:cs="Times New Roman"/>
          <w:szCs w:val="24"/>
        </w:rPr>
        <w:t>To establish the basis for proposing solutions, the study surveyed the digital competence training needs of 86 lecturers. The results show that lecturers have clear training needs, concentrated mainly on content directly associated with the distinctive characteristics of physical education and sports training.</w:t>
      </w:r>
    </w:p>
    <w:p w14:paraId="20FB29DA" w14:textId="77777777" w:rsidR="006027D5" w:rsidRPr="00FF4E0D" w:rsidRDefault="001E24BB" w:rsidP="00EA7AFF">
      <w:pPr>
        <w:shd w:val="clear" w:color="auto" w:fill="FFFFFF" w:themeFill="background1"/>
        <w:spacing w:after="0" w:line="240" w:lineRule="auto"/>
        <w:jc w:val="center"/>
        <w:rPr>
          <w:rFonts w:cs="Times New Roman"/>
          <w:szCs w:val="24"/>
        </w:rPr>
      </w:pPr>
      <w:r w:rsidRPr="00FF4E0D">
        <w:rPr>
          <w:rFonts w:cs="Times New Roman"/>
          <w:b/>
          <w:szCs w:val="24"/>
        </w:rPr>
        <w:t>Table 11. Summary of Bases for Identifying Lecturers’ Digital Competence Training Needs</w:t>
      </w:r>
    </w:p>
    <w:tbl>
      <w:tblPr>
        <w:tblStyle w:val="TableGrid"/>
        <w:tblW w:w="0" w:type="auto"/>
        <w:tblLook w:val="04A0" w:firstRow="1" w:lastRow="0" w:firstColumn="1" w:lastColumn="0" w:noHBand="0" w:noVBand="1"/>
      </w:tblPr>
      <w:tblGrid>
        <w:gridCol w:w="3506"/>
        <w:gridCol w:w="1983"/>
        <w:gridCol w:w="2408"/>
        <w:gridCol w:w="1885"/>
      </w:tblGrid>
      <w:tr w:rsidR="00FF4E0D" w:rsidRPr="00FF4E0D" w14:paraId="274A9B38" w14:textId="77777777" w:rsidTr="00FF4E0D">
        <w:tc>
          <w:tcPr>
            <w:tcW w:w="3510" w:type="dxa"/>
            <w:vAlign w:val="center"/>
          </w:tcPr>
          <w:p w14:paraId="5E8164CA" w14:textId="77777777" w:rsidR="006027D5" w:rsidRPr="00FF4E0D" w:rsidRDefault="001E24BB" w:rsidP="00FF4E0D">
            <w:pPr>
              <w:shd w:val="clear" w:color="auto" w:fill="FFFFFF" w:themeFill="background1"/>
              <w:jc w:val="center"/>
              <w:rPr>
                <w:rFonts w:cs="Times New Roman"/>
                <w:szCs w:val="24"/>
              </w:rPr>
            </w:pPr>
            <w:r w:rsidRPr="00FF4E0D">
              <w:rPr>
                <w:rFonts w:cs="Times New Roman"/>
                <w:b/>
                <w:szCs w:val="24"/>
              </w:rPr>
              <w:t>Basis from survey results</w:t>
            </w:r>
          </w:p>
        </w:tc>
        <w:tc>
          <w:tcPr>
            <w:tcW w:w="1985" w:type="dxa"/>
            <w:vAlign w:val="center"/>
          </w:tcPr>
          <w:p w14:paraId="250475FF" w14:textId="77777777" w:rsidR="006027D5" w:rsidRPr="00FF4E0D" w:rsidRDefault="001E24BB" w:rsidP="00FF4E0D">
            <w:pPr>
              <w:shd w:val="clear" w:color="auto" w:fill="FFFFFF" w:themeFill="background1"/>
              <w:jc w:val="center"/>
              <w:rPr>
                <w:rFonts w:cs="Times New Roman"/>
                <w:szCs w:val="24"/>
              </w:rPr>
            </w:pPr>
            <w:r w:rsidRPr="00FF4E0D">
              <w:rPr>
                <w:rFonts w:cs="Times New Roman"/>
                <w:b/>
                <w:szCs w:val="24"/>
              </w:rPr>
              <w:t>Statistical evidence</w:t>
            </w:r>
          </w:p>
        </w:tc>
        <w:tc>
          <w:tcPr>
            <w:tcW w:w="2410" w:type="dxa"/>
            <w:vAlign w:val="center"/>
          </w:tcPr>
          <w:p w14:paraId="372F7E98" w14:textId="77777777" w:rsidR="006027D5" w:rsidRPr="00FF4E0D" w:rsidRDefault="001E24BB" w:rsidP="00FF4E0D">
            <w:pPr>
              <w:shd w:val="clear" w:color="auto" w:fill="FFFFFF" w:themeFill="background1"/>
              <w:jc w:val="center"/>
              <w:rPr>
                <w:rFonts w:cs="Times New Roman"/>
                <w:szCs w:val="24"/>
              </w:rPr>
            </w:pPr>
            <w:r w:rsidRPr="00FF4E0D">
              <w:rPr>
                <w:rFonts w:cs="Times New Roman"/>
                <w:b/>
                <w:szCs w:val="24"/>
              </w:rPr>
              <w:t>Corresponding training need</w:t>
            </w:r>
          </w:p>
        </w:tc>
        <w:tc>
          <w:tcPr>
            <w:tcW w:w="1887" w:type="dxa"/>
            <w:vAlign w:val="center"/>
          </w:tcPr>
          <w:p w14:paraId="34186795" w14:textId="77777777" w:rsidR="006027D5" w:rsidRPr="00FF4E0D" w:rsidRDefault="001E24BB" w:rsidP="00FF4E0D">
            <w:pPr>
              <w:shd w:val="clear" w:color="auto" w:fill="FFFFFF" w:themeFill="background1"/>
              <w:jc w:val="center"/>
              <w:rPr>
                <w:rFonts w:cs="Times New Roman"/>
                <w:szCs w:val="24"/>
              </w:rPr>
            </w:pPr>
            <w:r w:rsidRPr="00FF4E0D">
              <w:rPr>
                <w:rFonts w:cs="Times New Roman"/>
                <w:b/>
                <w:szCs w:val="24"/>
              </w:rPr>
              <w:t>Priority level</w:t>
            </w:r>
          </w:p>
        </w:tc>
      </w:tr>
      <w:tr w:rsidR="00FF4E0D" w:rsidRPr="00FF4E0D" w14:paraId="6093F3D5" w14:textId="77777777" w:rsidTr="00FF4E0D">
        <w:tc>
          <w:tcPr>
            <w:tcW w:w="3510" w:type="dxa"/>
          </w:tcPr>
          <w:p w14:paraId="74316FE2"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The distinctive characteristics of practical physical education and sports courses make digital technology application difficult</w:t>
            </w:r>
          </w:p>
        </w:tc>
        <w:tc>
          <w:tcPr>
            <w:tcW w:w="1985" w:type="dxa"/>
            <w:vAlign w:val="center"/>
          </w:tcPr>
          <w:p w14:paraId="279E2850" w14:textId="77777777" w:rsidR="006027D5" w:rsidRPr="00FF4E0D" w:rsidRDefault="001E24BB" w:rsidP="00FF4E0D">
            <w:pPr>
              <w:shd w:val="clear" w:color="auto" w:fill="FFFFFF" w:themeFill="background1"/>
              <w:jc w:val="center"/>
              <w:rPr>
                <w:rFonts w:cs="Times New Roman"/>
                <w:szCs w:val="24"/>
              </w:rPr>
            </w:pPr>
            <w:r w:rsidRPr="00FF4E0D">
              <w:rPr>
                <w:rFonts w:cs="Times New Roman"/>
                <w:szCs w:val="24"/>
              </w:rPr>
              <w:t>AF5: Mean = 3.64</w:t>
            </w:r>
          </w:p>
        </w:tc>
        <w:tc>
          <w:tcPr>
            <w:tcW w:w="2410" w:type="dxa"/>
          </w:tcPr>
          <w:p w14:paraId="797D5E99"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Application of digital technology in teaching practical courses</w:t>
            </w:r>
          </w:p>
        </w:tc>
        <w:tc>
          <w:tcPr>
            <w:tcW w:w="1887" w:type="dxa"/>
            <w:vAlign w:val="center"/>
          </w:tcPr>
          <w:p w14:paraId="59A3161B" w14:textId="77777777" w:rsidR="006027D5" w:rsidRPr="00FF4E0D" w:rsidRDefault="001E24BB" w:rsidP="00FF4E0D">
            <w:pPr>
              <w:shd w:val="clear" w:color="auto" w:fill="FFFFFF" w:themeFill="background1"/>
              <w:jc w:val="center"/>
              <w:rPr>
                <w:rFonts w:cs="Times New Roman"/>
                <w:szCs w:val="24"/>
              </w:rPr>
            </w:pPr>
            <w:r w:rsidRPr="00FF4E0D">
              <w:rPr>
                <w:rFonts w:cs="Times New Roman"/>
                <w:szCs w:val="24"/>
              </w:rPr>
              <w:t>61 responses, 70.9%</w:t>
            </w:r>
          </w:p>
        </w:tc>
      </w:tr>
      <w:tr w:rsidR="00FF4E0D" w:rsidRPr="00FF4E0D" w14:paraId="5890118D" w14:textId="77777777" w:rsidTr="00FF4E0D">
        <w:tc>
          <w:tcPr>
            <w:tcW w:w="3510" w:type="dxa"/>
          </w:tcPr>
          <w:p w14:paraId="26FE0D0B"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Competence in designing digital learning resources remains at the average level</w:t>
            </w:r>
          </w:p>
        </w:tc>
        <w:tc>
          <w:tcPr>
            <w:tcW w:w="1985" w:type="dxa"/>
            <w:vAlign w:val="center"/>
          </w:tcPr>
          <w:p w14:paraId="7B473097" w14:textId="77777777" w:rsidR="006027D5" w:rsidRPr="00FF4E0D" w:rsidRDefault="001E24BB" w:rsidP="00FF4E0D">
            <w:pPr>
              <w:shd w:val="clear" w:color="auto" w:fill="FFFFFF" w:themeFill="background1"/>
              <w:jc w:val="center"/>
              <w:rPr>
                <w:rFonts w:cs="Times New Roman"/>
                <w:szCs w:val="24"/>
              </w:rPr>
            </w:pPr>
            <w:r w:rsidRPr="00FF4E0D">
              <w:rPr>
                <w:rFonts w:cs="Times New Roman"/>
                <w:szCs w:val="24"/>
              </w:rPr>
              <w:t>DC2: Mean = 3.31</w:t>
            </w:r>
          </w:p>
        </w:tc>
        <w:tc>
          <w:tcPr>
            <w:tcW w:w="2410" w:type="dxa"/>
          </w:tcPr>
          <w:p w14:paraId="752009A3"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Development of digital learning resources, lecture videos, and interactive materials</w:t>
            </w:r>
          </w:p>
        </w:tc>
        <w:tc>
          <w:tcPr>
            <w:tcW w:w="1887" w:type="dxa"/>
            <w:vAlign w:val="center"/>
          </w:tcPr>
          <w:p w14:paraId="691EAAEC" w14:textId="77777777" w:rsidR="006027D5" w:rsidRPr="00FF4E0D" w:rsidRDefault="001E24BB" w:rsidP="00FF4E0D">
            <w:pPr>
              <w:shd w:val="clear" w:color="auto" w:fill="FFFFFF" w:themeFill="background1"/>
              <w:jc w:val="center"/>
              <w:rPr>
                <w:rFonts w:cs="Times New Roman"/>
                <w:szCs w:val="24"/>
              </w:rPr>
            </w:pPr>
            <w:r w:rsidRPr="00FF4E0D">
              <w:rPr>
                <w:rFonts w:cs="Times New Roman"/>
                <w:szCs w:val="24"/>
              </w:rPr>
              <w:t>58 responses, 67.4%</w:t>
            </w:r>
          </w:p>
        </w:tc>
      </w:tr>
      <w:tr w:rsidR="00FF4E0D" w:rsidRPr="00FF4E0D" w14:paraId="0AAB9829" w14:textId="77777777" w:rsidTr="00FF4E0D">
        <w:tc>
          <w:tcPr>
            <w:tcW w:w="3510" w:type="dxa"/>
          </w:tcPr>
          <w:p w14:paraId="29FE24B1"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Competence in using technology to assess movement techniques remains limited</w:t>
            </w:r>
          </w:p>
        </w:tc>
        <w:tc>
          <w:tcPr>
            <w:tcW w:w="1985" w:type="dxa"/>
            <w:vAlign w:val="center"/>
          </w:tcPr>
          <w:p w14:paraId="15D2654F" w14:textId="77777777" w:rsidR="006027D5" w:rsidRPr="00FF4E0D" w:rsidRDefault="001E24BB" w:rsidP="00FF4E0D">
            <w:pPr>
              <w:shd w:val="clear" w:color="auto" w:fill="FFFFFF" w:themeFill="background1"/>
              <w:jc w:val="center"/>
              <w:rPr>
                <w:rFonts w:cs="Times New Roman"/>
                <w:szCs w:val="24"/>
              </w:rPr>
            </w:pPr>
            <w:r w:rsidRPr="00FF4E0D">
              <w:rPr>
                <w:rFonts w:cs="Times New Roman"/>
                <w:szCs w:val="24"/>
              </w:rPr>
              <w:t>DC4.4: Mean = 3.09</w:t>
            </w:r>
          </w:p>
        </w:tc>
        <w:tc>
          <w:tcPr>
            <w:tcW w:w="2410" w:type="dxa"/>
          </w:tcPr>
          <w:p w14:paraId="4385345B"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Use of videos/software to analyze sport movement techniques</w:t>
            </w:r>
          </w:p>
        </w:tc>
        <w:tc>
          <w:tcPr>
            <w:tcW w:w="1887" w:type="dxa"/>
            <w:vAlign w:val="center"/>
          </w:tcPr>
          <w:p w14:paraId="68366AC9" w14:textId="77777777" w:rsidR="006027D5" w:rsidRPr="00FF4E0D" w:rsidRDefault="001E24BB" w:rsidP="00FF4E0D">
            <w:pPr>
              <w:shd w:val="clear" w:color="auto" w:fill="FFFFFF" w:themeFill="background1"/>
              <w:jc w:val="center"/>
              <w:rPr>
                <w:rFonts w:cs="Times New Roman"/>
                <w:szCs w:val="24"/>
              </w:rPr>
            </w:pPr>
            <w:r w:rsidRPr="00FF4E0D">
              <w:rPr>
                <w:rFonts w:cs="Times New Roman"/>
                <w:szCs w:val="24"/>
              </w:rPr>
              <w:t>56 responses, 65.1%</w:t>
            </w:r>
          </w:p>
        </w:tc>
      </w:tr>
      <w:tr w:rsidR="00FF4E0D" w:rsidRPr="00FF4E0D" w14:paraId="1E0E7319" w14:textId="77777777" w:rsidTr="00FF4E0D">
        <w:tc>
          <w:tcPr>
            <w:tcW w:w="3510" w:type="dxa"/>
          </w:tcPr>
          <w:p w14:paraId="73F90906"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The ability to self-learn and adapt to new technologies is not yet high</w:t>
            </w:r>
          </w:p>
        </w:tc>
        <w:tc>
          <w:tcPr>
            <w:tcW w:w="1985" w:type="dxa"/>
            <w:vAlign w:val="center"/>
          </w:tcPr>
          <w:p w14:paraId="33DC2ADC" w14:textId="77777777" w:rsidR="006027D5" w:rsidRPr="00FF4E0D" w:rsidRDefault="001E24BB" w:rsidP="00FF4E0D">
            <w:pPr>
              <w:shd w:val="clear" w:color="auto" w:fill="FFFFFF" w:themeFill="background1"/>
              <w:jc w:val="center"/>
              <w:rPr>
                <w:rFonts w:cs="Times New Roman"/>
                <w:szCs w:val="24"/>
              </w:rPr>
            </w:pPr>
            <w:r w:rsidRPr="00FF4E0D">
              <w:rPr>
                <w:rFonts w:cs="Times New Roman"/>
                <w:szCs w:val="24"/>
              </w:rPr>
              <w:t>DC6.4: Mean = 3.05</w:t>
            </w:r>
          </w:p>
        </w:tc>
        <w:tc>
          <w:tcPr>
            <w:tcW w:w="2410" w:type="dxa"/>
          </w:tcPr>
          <w:p w14:paraId="2065012E"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Application of artificial intelligence in teaching and research</w:t>
            </w:r>
          </w:p>
        </w:tc>
        <w:tc>
          <w:tcPr>
            <w:tcW w:w="1887" w:type="dxa"/>
            <w:vAlign w:val="center"/>
          </w:tcPr>
          <w:p w14:paraId="5DEB1195" w14:textId="77777777" w:rsidR="006027D5" w:rsidRPr="00FF4E0D" w:rsidRDefault="001E24BB" w:rsidP="00FF4E0D">
            <w:pPr>
              <w:shd w:val="clear" w:color="auto" w:fill="FFFFFF" w:themeFill="background1"/>
              <w:jc w:val="center"/>
              <w:rPr>
                <w:rFonts w:cs="Times New Roman"/>
                <w:szCs w:val="24"/>
              </w:rPr>
            </w:pPr>
            <w:r w:rsidRPr="00FF4E0D">
              <w:rPr>
                <w:rFonts w:cs="Times New Roman"/>
                <w:szCs w:val="24"/>
              </w:rPr>
              <w:t>49 responses, 57.0%</w:t>
            </w:r>
          </w:p>
        </w:tc>
      </w:tr>
      <w:tr w:rsidR="00FF4E0D" w:rsidRPr="00FF4E0D" w14:paraId="18AA3437" w14:textId="77777777" w:rsidTr="00FF4E0D">
        <w:tc>
          <w:tcPr>
            <w:tcW w:w="3510" w:type="dxa"/>
          </w:tcPr>
          <w:p w14:paraId="2B624420"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lastRenderedPageBreak/>
              <w:t>Electronic lecture design competence is only at a relatively low good level</w:t>
            </w:r>
          </w:p>
        </w:tc>
        <w:tc>
          <w:tcPr>
            <w:tcW w:w="1985" w:type="dxa"/>
            <w:vAlign w:val="center"/>
          </w:tcPr>
          <w:p w14:paraId="73DC4262" w14:textId="77777777" w:rsidR="006027D5" w:rsidRPr="00FF4E0D" w:rsidRDefault="001E24BB" w:rsidP="00FF4E0D">
            <w:pPr>
              <w:shd w:val="clear" w:color="auto" w:fill="FFFFFF" w:themeFill="background1"/>
              <w:jc w:val="center"/>
              <w:rPr>
                <w:rFonts w:cs="Times New Roman"/>
                <w:szCs w:val="24"/>
              </w:rPr>
            </w:pPr>
            <w:r w:rsidRPr="00FF4E0D">
              <w:rPr>
                <w:rFonts w:cs="Times New Roman"/>
                <w:szCs w:val="24"/>
              </w:rPr>
              <w:t>DC2.1: Mean = 3.46</w:t>
            </w:r>
          </w:p>
        </w:tc>
        <w:tc>
          <w:tcPr>
            <w:tcW w:w="2410" w:type="dxa"/>
          </w:tcPr>
          <w:p w14:paraId="63EBA3BC"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Electronic lecture design</w:t>
            </w:r>
          </w:p>
        </w:tc>
        <w:tc>
          <w:tcPr>
            <w:tcW w:w="1887" w:type="dxa"/>
            <w:vAlign w:val="center"/>
          </w:tcPr>
          <w:p w14:paraId="61F54022" w14:textId="77777777" w:rsidR="006027D5" w:rsidRPr="00FF4E0D" w:rsidRDefault="001E24BB" w:rsidP="00FF4E0D">
            <w:pPr>
              <w:shd w:val="clear" w:color="auto" w:fill="FFFFFF" w:themeFill="background1"/>
              <w:jc w:val="center"/>
              <w:rPr>
                <w:rFonts w:cs="Times New Roman"/>
                <w:szCs w:val="24"/>
              </w:rPr>
            </w:pPr>
            <w:r w:rsidRPr="00FF4E0D">
              <w:rPr>
                <w:rFonts w:cs="Times New Roman"/>
                <w:szCs w:val="24"/>
              </w:rPr>
              <w:t>47 responses, 54.7%</w:t>
            </w:r>
          </w:p>
        </w:tc>
      </w:tr>
      <w:tr w:rsidR="00FF4E0D" w:rsidRPr="00FF4E0D" w14:paraId="60DF76D7" w14:textId="77777777" w:rsidTr="00FF4E0D">
        <w:tc>
          <w:tcPr>
            <w:tcW w:w="3510" w:type="dxa"/>
          </w:tcPr>
          <w:p w14:paraId="54A1EFFB"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Teaching organization in digital environments is not yet stable</w:t>
            </w:r>
          </w:p>
        </w:tc>
        <w:tc>
          <w:tcPr>
            <w:tcW w:w="1985" w:type="dxa"/>
            <w:vAlign w:val="center"/>
          </w:tcPr>
          <w:p w14:paraId="63804D64" w14:textId="77777777" w:rsidR="006027D5" w:rsidRPr="00FF4E0D" w:rsidRDefault="001E24BB" w:rsidP="00FF4E0D">
            <w:pPr>
              <w:shd w:val="clear" w:color="auto" w:fill="FFFFFF" w:themeFill="background1"/>
              <w:jc w:val="center"/>
              <w:rPr>
                <w:rFonts w:cs="Times New Roman"/>
                <w:szCs w:val="24"/>
              </w:rPr>
            </w:pPr>
            <w:r w:rsidRPr="00FF4E0D">
              <w:rPr>
                <w:rFonts w:cs="Times New Roman"/>
                <w:szCs w:val="24"/>
              </w:rPr>
              <w:t>DC3: Mean = 3.35</w:t>
            </w:r>
          </w:p>
        </w:tc>
        <w:tc>
          <w:tcPr>
            <w:tcW w:w="2410" w:type="dxa"/>
          </w:tcPr>
          <w:p w14:paraId="4C25F408"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Use of online teaching platforms/LMS</w:t>
            </w:r>
          </w:p>
        </w:tc>
        <w:tc>
          <w:tcPr>
            <w:tcW w:w="1887" w:type="dxa"/>
            <w:vAlign w:val="center"/>
          </w:tcPr>
          <w:p w14:paraId="670FB6AA" w14:textId="77777777" w:rsidR="006027D5" w:rsidRPr="00FF4E0D" w:rsidRDefault="001E24BB" w:rsidP="00FF4E0D">
            <w:pPr>
              <w:shd w:val="clear" w:color="auto" w:fill="FFFFFF" w:themeFill="background1"/>
              <w:jc w:val="center"/>
              <w:rPr>
                <w:rFonts w:cs="Times New Roman"/>
                <w:szCs w:val="24"/>
              </w:rPr>
            </w:pPr>
            <w:r w:rsidRPr="00FF4E0D">
              <w:rPr>
                <w:rFonts w:cs="Times New Roman"/>
                <w:szCs w:val="24"/>
              </w:rPr>
              <w:t>43 responses, 50.0%</w:t>
            </w:r>
          </w:p>
        </w:tc>
      </w:tr>
      <w:tr w:rsidR="00FF4E0D" w:rsidRPr="00FF4E0D" w14:paraId="6CDF3123" w14:textId="77777777" w:rsidTr="00FF4E0D">
        <w:tc>
          <w:tcPr>
            <w:tcW w:w="3510" w:type="dxa"/>
          </w:tcPr>
          <w:p w14:paraId="77DF0333"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Digital assessment remains a weak area</w:t>
            </w:r>
          </w:p>
        </w:tc>
        <w:tc>
          <w:tcPr>
            <w:tcW w:w="1985" w:type="dxa"/>
            <w:vAlign w:val="center"/>
          </w:tcPr>
          <w:p w14:paraId="418AA759" w14:textId="77777777" w:rsidR="006027D5" w:rsidRPr="00FF4E0D" w:rsidRDefault="001E24BB" w:rsidP="00FF4E0D">
            <w:pPr>
              <w:shd w:val="clear" w:color="auto" w:fill="FFFFFF" w:themeFill="background1"/>
              <w:jc w:val="center"/>
              <w:rPr>
                <w:rFonts w:cs="Times New Roman"/>
                <w:szCs w:val="24"/>
              </w:rPr>
            </w:pPr>
            <w:r w:rsidRPr="00FF4E0D">
              <w:rPr>
                <w:rFonts w:cs="Times New Roman"/>
                <w:szCs w:val="24"/>
              </w:rPr>
              <w:t>DC4: Mean = 3.11</w:t>
            </w:r>
          </w:p>
        </w:tc>
        <w:tc>
          <w:tcPr>
            <w:tcW w:w="2410" w:type="dxa"/>
          </w:tcPr>
          <w:p w14:paraId="7F42E9DA"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Design of online testing and assessment</w:t>
            </w:r>
          </w:p>
        </w:tc>
        <w:tc>
          <w:tcPr>
            <w:tcW w:w="1887" w:type="dxa"/>
            <w:vAlign w:val="center"/>
          </w:tcPr>
          <w:p w14:paraId="45125F4F" w14:textId="77777777" w:rsidR="006027D5" w:rsidRPr="00FF4E0D" w:rsidRDefault="001E24BB" w:rsidP="00FF4E0D">
            <w:pPr>
              <w:shd w:val="clear" w:color="auto" w:fill="FFFFFF" w:themeFill="background1"/>
              <w:jc w:val="center"/>
              <w:rPr>
                <w:rFonts w:cs="Times New Roman"/>
                <w:szCs w:val="24"/>
              </w:rPr>
            </w:pPr>
            <w:r w:rsidRPr="00FF4E0D">
              <w:rPr>
                <w:rFonts w:cs="Times New Roman"/>
                <w:szCs w:val="24"/>
              </w:rPr>
              <w:t>41 responses, 47.7%</w:t>
            </w:r>
          </w:p>
        </w:tc>
      </w:tr>
      <w:tr w:rsidR="00FF4E0D" w:rsidRPr="00FF4E0D" w14:paraId="1D7A06E8" w14:textId="77777777" w:rsidTr="00FF4E0D">
        <w:tc>
          <w:tcPr>
            <w:tcW w:w="3510" w:type="dxa"/>
          </w:tcPr>
          <w:p w14:paraId="496D0AF1"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Digital research competence is the lowest among all competence domains</w:t>
            </w:r>
          </w:p>
        </w:tc>
        <w:tc>
          <w:tcPr>
            <w:tcW w:w="1985" w:type="dxa"/>
            <w:vAlign w:val="center"/>
          </w:tcPr>
          <w:p w14:paraId="7749A9DF" w14:textId="77777777" w:rsidR="006027D5" w:rsidRPr="00FF4E0D" w:rsidRDefault="001E24BB" w:rsidP="00FF4E0D">
            <w:pPr>
              <w:shd w:val="clear" w:color="auto" w:fill="FFFFFF" w:themeFill="background1"/>
              <w:jc w:val="center"/>
              <w:rPr>
                <w:rFonts w:cs="Times New Roman"/>
                <w:szCs w:val="24"/>
              </w:rPr>
            </w:pPr>
            <w:r w:rsidRPr="00FF4E0D">
              <w:rPr>
                <w:rFonts w:cs="Times New Roman"/>
                <w:szCs w:val="24"/>
              </w:rPr>
              <w:t>DC6: Mean = 3.08</w:t>
            </w:r>
          </w:p>
        </w:tc>
        <w:tc>
          <w:tcPr>
            <w:tcW w:w="2410" w:type="dxa"/>
          </w:tcPr>
          <w:p w14:paraId="6006C68C"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Use of software for data processing, statistics, and research-document management</w:t>
            </w:r>
          </w:p>
        </w:tc>
        <w:tc>
          <w:tcPr>
            <w:tcW w:w="1887" w:type="dxa"/>
            <w:vAlign w:val="center"/>
          </w:tcPr>
          <w:p w14:paraId="7EFBD07B" w14:textId="77777777" w:rsidR="006027D5" w:rsidRPr="00FF4E0D" w:rsidRDefault="001E24BB" w:rsidP="00FF4E0D">
            <w:pPr>
              <w:shd w:val="clear" w:color="auto" w:fill="FFFFFF" w:themeFill="background1"/>
              <w:jc w:val="center"/>
              <w:rPr>
                <w:rFonts w:cs="Times New Roman"/>
                <w:szCs w:val="24"/>
              </w:rPr>
            </w:pPr>
            <w:r w:rsidRPr="00FF4E0D">
              <w:rPr>
                <w:rFonts w:cs="Times New Roman"/>
                <w:szCs w:val="24"/>
              </w:rPr>
              <w:t>39 responses, 45.3%</w:t>
            </w:r>
          </w:p>
        </w:tc>
      </w:tr>
      <w:tr w:rsidR="00FF4E0D" w:rsidRPr="00FF4E0D" w14:paraId="4C521AAA" w14:textId="77777777" w:rsidTr="00FF4E0D">
        <w:tc>
          <w:tcPr>
            <w:tcW w:w="3510" w:type="dxa"/>
          </w:tcPr>
          <w:p w14:paraId="6D67AE72"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Digital safety, ethics, and responsibility need continued reinforcement</w:t>
            </w:r>
          </w:p>
        </w:tc>
        <w:tc>
          <w:tcPr>
            <w:tcW w:w="1985" w:type="dxa"/>
            <w:vAlign w:val="center"/>
          </w:tcPr>
          <w:p w14:paraId="3D9C4626" w14:textId="77777777" w:rsidR="006027D5" w:rsidRPr="00FF4E0D" w:rsidRDefault="001E24BB" w:rsidP="00FF4E0D">
            <w:pPr>
              <w:shd w:val="clear" w:color="auto" w:fill="FFFFFF" w:themeFill="background1"/>
              <w:jc w:val="center"/>
              <w:rPr>
                <w:rFonts w:cs="Times New Roman"/>
                <w:szCs w:val="24"/>
              </w:rPr>
            </w:pPr>
            <w:r w:rsidRPr="00FF4E0D">
              <w:rPr>
                <w:rFonts w:cs="Times New Roman"/>
                <w:szCs w:val="24"/>
              </w:rPr>
              <w:t>DC7: Mean = 3.44</w:t>
            </w:r>
          </w:p>
        </w:tc>
        <w:tc>
          <w:tcPr>
            <w:tcW w:w="2410" w:type="dxa"/>
          </w:tcPr>
          <w:p w14:paraId="2F3BE7AA"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Information security, digital copyright, and academic ethics</w:t>
            </w:r>
          </w:p>
        </w:tc>
        <w:tc>
          <w:tcPr>
            <w:tcW w:w="1887" w:type="dxa"/>
            <w:vAlign w:val="center"/>
          </w:tcPr>
          <w:p w14:paraId="28331FA7" w14:textId="77777777" w:rsidR="006027D5" w:rsidRPr="00FF4E0D" w:rsidRDefault="001E24BB" w:rsidP="00FF4E0D">
            <w:pPr>
              <w:shd w:val="clear" w:color="auto" w:fill="FFFFFF" w:themeFill="background1"/>
              <w:jc w:val="center"/>
              <w:rPr>
                <w:rFonts w:cs="Times New Roman"/>
                <w:szCs w:val="24"/>
              </w:rPr>
            </w:pPr>
            <w:r w:rsidRPr="00FF4E0D">
              <w:rPr>
                <w:rFonts w:cs="Times New Roman"/>
                <w:szCs w:val="24"/>
              </w:rPr>
              <w:t>34 responses, 39.5%</w:t>
            </w:r>
          </w:p>
        </w:tc>
      </w:tr>
    </w:tbl>
    <w:p w14:paraId="04D5D32A" w14:textId="77777777" w:rsidR="006027D5" w:rsidRPr="00FF4E0D" w:rsidRDefault="006027D5" w:rsidP="00EA7AFF">
      <w:pPr>
        <w:shd w:val="clear" w:color="auto" w:fill="FFFFFF" w:themeFill="background1"/>
        <w:spacing w:after="0" w:line="240" w:lineRule="auto"/>
        <w:rPr>
          <w:rFonts w:cs="Times New Roman"/>
          <w:szCs w:val="24"/>
        </w:rPr>
      </w:pPr>
    </w:p>
    <w:p w14:paraId="1A1298D9" w14:textId="77777777" w:rsidR="006027D5" w:rsidRPr="00FF4E0D" w:rsidRDefault="001E24BB" w:rsidP="00EA7AFF">
      <w:pPr>
        <w:shd w:val="clear" w:color="auto" w:fill="FFFFFF" w:themeFill="background1"/>
        <w:spacing w:after="0" w:line="240" w:lineRule="auto"/>
        <w:ind w:firstLine="432"/>
        <w:jc w:val="both"/>
        <w:rPr>
          <w:rFonts w:cs="Times New Roman"/>
          <w:szCs w:val="24"/>
        </w:rPr>
      </w:pPr>
      <w:r w:rsidRPr="00FF4E0D">
        <w:rPr>
          <w:rFonts w:cs="Times New Roman"/>
          <w:szCs w:val="24"/>
        </w:rPr>
        <w:t>The research results show that lecturers’ training needs are quite clearly aligned with the limitations identified in the assessment of the current situation and influencing factors. The most frequently selected content areas are all associated with the distinctive characteristics of physical education and sports training, including the application of digital technology in practical courses, the development of digital learning resources, and the use of videos/software to analyze movement techniques. This shows that lecturers’ training needs do not stop at general technological skills but are directed more toward competences that can be applied directly to teaching, coaching, and learner assessment. In addition, training needs related to artificial intelligence, electronic lecture design, LMS use, and online assessment also accounted for considerable proportions. These results reflect the need to develop digital competence in a direction that both strengthens foundational skills and gradually expands toward new technologies serving teaching and research. Therefore, future training programs should be designed in a tiered manner, prioritizing competences associated with practical physical education and sports teaching before expanding to digital assessment, digital research, and responsible AI use.</w:t>
      </w:r>
    </w:p>
    <w:p w14:paraId="567E8536" w14:textId="77777777" w:rsidR="006027D5" w:rsidRPr="00FF4E0D" w:rsidRDefault="001E24BB" w:rsidP="00EA7AFF">
      <w:pPr>
        <w:shd w:val="clear" w:color="auto" w:fill="FFFFFF" w:themeFill="background1"/>
        <w:spacing w:after="0" w:line="240" w:lineRule="auto"/>
        <w:ind w:firstLine="432"/>
        <w:jc w:val="both"/>
        <w:rPr>
          <w:rFonts w:cs="Times New Roman"/>
          <w:szCs w:val="24"/>
        </w:rPr>
      </w:pPr>
      <w:r w:rsidRPr="00FF4E0D">
        <w:rPr>
          <w:rFonts w:cs="Times New Roman"/>
          <w:szCs w:val="24"/>
        </w:rPr>
        <w:t>The training needs with the highest selection rates are directly linked to the distinctive characteristics of physical education and sports training. Specifically, 70.9% of lecturers selected the application of digital technology in teaching practical courses; 67.4% selected the development of digital learning resources, lecture videos, and interactive materials; and 65.1% selected the use of videos or software to analyze sport movement techniques. This is consistent with the assessment results, in which competences related to digital learning-resource design, movement-technique assessment, and technology application in practical teaching remained mainly at the average level. In addition, training needs for applying artificial intelligence in teaching and research accounted for 57.0%; electronic lecture design accounted for 54.7%; and the use of online teaching platforms/LMS accounted for 50.0%. These figures show that lecturers have begun to pay attention to new digital tools, but their immediate priorities remain focused on skills that can be directly applied to teaching, coaching, assessment, and student support. In other words, lecturers’ training needs are clearly practical in nature and do not merely involve improving general understanding of digital transformation. Regarding training formats, the survey results show that lecturers prioritize flexible, practice-oriented forms linked to specific areas of professional expertise.</w:t>
      </w:r>
    </w:p>
    <w:p w14:paraId="4EC9544A" w14:textId="77777777" w:rsidR="006027D5" w:rsidRPr="00FF4E0D" w:rsidRDefault="001E24BB" w:rsidP="00EA7AFF">
      <w:pPr>
        <w:pStyle w:val="Heading1"/>
        <w:shd w:val="clear" w:color="auto" w:fill="FFFFFF" w:themeFill="background1"/>
        <w:spacing w:before="0" w:line="240" w:lineRule="auto"/>
        <w:rPr>
          <w:rFonts w:ascii="Times New Roman" w:hAnsi="Times New Roman" w:cs="Times New Roman"/>
          <w:color w:val="auto"/>
          <w:sz w:val="24"/>
          <w:szCs w:val="24"/>
        </w:rPr>
      </w:pPr>
      <w:r w:rsidRPr="00FF4E0D">
        <w:rPr>
          <w:rFonts w:ascii="Times New Roman" w:eastAsia="Times New Roman" w:hAnsi="Times New Roman" w:cs="Times New Roman"/>
          <w:color w:val="auto"/>
          <w:sz w:val="24"/>
          <w:szCs w:val="24"/>
        </w:rPr>
        <w:lastRenderedPageBreak/>
        <w:t xml:space="preserve">4. Solutions for Enhancing Digital Competence among Lecturers at </w:t>
      </w:r>
      <w:r w:rsidR="00EA7AFF" w:rsidRPr="00FF4E0D">
        <w:rPr>
          <w:rFonts w:ascii="Times New Roman" w:eastAsia="Times New Roman" w:hAnsi="Times New Roman" w:cs="Times New Roman"/>
          <w:color w:val="auto"/>
          <w:sz w:val="24"/>
          <w:szCs w:val="24"/>
        </w:rPr>
        <w:t>Da Nang Sports</w:t>
      </w:r>
      <w:r w:rsidR="00EA7AFF" w:rsidRPr="00FF4E0D">
        <w:rPr>
          <w:rFonts w:ascii="Times New Roman" w:hAnsi="Times New Roman" w:cs="Times New Roman"/>
          <w:color w:val="auto"/>
          <w:szCs w:val="24"/>
        </w:rPr>
        <w:t xml:space="preserve"> </w:t>
      </w:r>
      <w:r w:rsidR="00EA7AFF" w:rsidRPr="00FF4E0D">
        <w:rPr>
          <w:rFonts w:ascii="Times New Roman" w:eastAsia="Times New Roman" w:hAnsi="Times New Roman" w:cs="Times New Roman"/>
          <w:color w:val="auto"/>
          <w:sz w:val="24"/>
          <w:szCs w:val="24"/>
        </w:rPr>
        <w:t>University</w:t>
      </w:r>
      <w:r w:rsidRPr="00FF4E0D">
        <w:rPr>
          <w:rFonts w:ascii="Times New Roman" w:eastAsia="Times New Roman" w:hAnsi="Times New Roman" w:cs="Times New Roman"/>
          <w:color w:val="auto"/>
          <w:sz w:val="24"/>
          <w:szCs w:val="24"/>
        </w:rPr>
        <w:t>, Vietnam</w:t>
      </w:r>
    </w:p>
    <w:p w14:paraId="1CB37566" w14:textId="77777777" w:rsidR="006027D5" w:rsidRPr="00FF4E0D" w:rsidRDefault="001E24BB" w:rsidP="00EA7AFF">
      <w:pPr>
        <w:shd w:val="clear" w:color="auto" w:fill="FFFFFF" w:themeFill="background1"/>
        <w:spacing w:after="0" w:line="240" w:lineRule="auto"/>
        <w:ind w:firstLine="432"/>
        <w:jc w:val="both"/>
        <w:rPr>
          <w:rFonts w:cs="Times New Roman"/>
          <w:szCs w:val="24"/>
        </w:rPr>
      </w:pPr>
      <w:r w:rsidRPr="00FF4E0D">
        <w:rPr>
          <w:rFonts w:cs="Times New Roman"/>
          <w:szCs w:val="24"/>
        </w:rPr>
        <w:t xml:space="preserve">The survey results indicate that the digital competence of lecturers at </w:t>
      </w:r>
      <w:r w:rsidR="00EA7AFF" w:rsidRPr="00FF4E0D">
        <w:rPr>
          <w:rFonts w:cs="Times New Roman"/>
          <w:szCs w:val="24"/>
        </w:rPr>
        <w:t>Da Nang Sports University</w:t>
      </w:r>
      <w:r w:rsidRPr="00FF4E0D">
        <w:rPr>
          <w:rFonts w:cs="Times New Roman"/>
          <w:szCs w:val="24"/>
        </w:rPr>
        <w:t xml:space="preserve"> is currently at a high average level. Competences in basic technology use, digital communication, and digital safety are relatively strong, while more specialized competences such as digital learning-resource design, learner assessment using digital technology, technology application in practical courses, and professional development and digital research remain limited. These findings are consistent with the orientation of the research proposal, in which the research task is not limited to assessing the current situation but also aims to propose a feasible system of solutions for developing lecturers’ digital competence in the context of educational digital transformation. On this basis, the article proposes the following solutions:</w:t>
      </w:r>
    </w:p>
    <w:p w14:paraId="2BAB8DB7" w14:textId="77777777" w:rsidR="006027D5" w:rsidRPr="00FF4E0D" w:rsidRDefault="001E24BB" w:rsidP="00EA7AFF">
      <w:pPr>
        <w:shd w:val="clear" w:color="auto" w:fill="FFFFFF" w:themeFill="background1"/>
        <w:spacing w:after="0" w:line="240" w:lineRule="auto"/>
        <w:ind w:firstLine="432"/>
        <w:jc w:val="both"/>
        <w:rPr>
          <w:rFonts w:cs="Times New Roman"/>
          <w:szCs w:val="24"/>
        </w:rPr>
      </w:pPr>
      <w:r w:rsidRPr="00FF4E0D">
        <w:rPr>
          <w:rFonts w:cs="Times New Roman"/>
          <w:szCs w:val="24"/>
        </w:rPr>
        <w:t>First, it is necessary to develop digital competence training programs in a tiered manner and in close connection with professional characteristics. The survey results show that lecturers’ training needs are concentrated in content that can be directly applied to teaching, coaching, and learner assessment. Therefore, the university should not organize generic training courses that focus mainly on introducing tools. Instead, it needs to develop training programs based on specific competence domains. At the basic level, lecturers need to strengthen their skills in using online teaching platforms, managing digital materials, designing electronic lectures, and exploiting digital learning resources. At the advanced level, training should focus on the use of videos, movement-technique analysis software, online assessment design, exploitation of learning data, and the use of artificial intelligence in teaching and research. In particular, training programs should be grouped according to course characteristics: lecturers teaching theory, lecturers teaching practice, and lecturers teaching integrated theory-practice courses. This approach ensures that training activities are closely aligned with practical needs and avoids the situation in which broad-based training has limited transfer into teaching practice.</w:t>
      </w:r>
    </w:p>
    <w:p w14:paraId="6F688024" w14:textId="77777777" w:rsidR="006027D5" w:rsidRPr="00FF4E0D" w:rsidRDefault="001E24BB" w:rsidP="00EA7AFF">
      <w:pPr>
        <w:shd w:val="clear" w:color="auto" w:fill="FFFFFF" w:themeFill="background1"/>
        <w:spacing w:after="0" w:line="240" w:lineRule="auto"/>
        <w:ind w:firstLine="432"/>
        <w:jc w:val="both"/>
        <w:rPr>
          <w:rFonts w:cs="Times New Roman"/>
          <w:szCs w:val="24"/>
        </w:rPr>
      </w:pPr>
      <w:r w:rsidRPr="00FF4E0D">
        <w:rPr>
          <w:rFonts w:cs="Times New Roman"/>
          <w:szCs w:val="24"/>
        </w:rPr>
        <w:t>Second, the university should develop a system of digital learning resources serving both theoretical and practical physical education and sports courses. One of the clearest limitations revealed by the survey is that lecturers’ competence in designing and using digital learning resources remains at an average level, especially for practical courses. Therefore, the university needs to gradually build a shared digital resource repository, including electronic lectures, videos illustrating movement techniques, training guides, online question banks, practical-skill assessment rubrics, and resources supporting students’ out-of-class self-study. For practical subjects, technical videos and visual learning resources are especially important because they help students observe, compare, self-correct their movements, and monitor training progress. The development of digital learning resources should not be assigned entirely to individual lecturers; rather, it should be organized by professional groups, supported technically, and accompanied by quality appraisal mechanisms before resources are put into use.</w:t>
      </w:r>
    </w:p>
    <w:p w14:paraId="1708DD0B" w14:textId="77777777" w:rsidR="006027D5" w:rsidRPr="00FF4E0D" w:rsidRDefault="001E24BB" w:rsidP="00EA7AFF">
      <w:pPr>
        <w:shd w:val="clear" w:color="auto" w:fill="FFFFFF" w:themeFill="background1"/>
        <w:spacing w:after="0" w:line="240" w:lineRule="auto"/>
        <w:ind w:firstLine="432"/>
        <w:jc w:val="both"/>
        <w:rPr>
          <w:rFonts w:cs="Times New Roman"/>
          <w:szCs w:val="24"/>
        </w:rPr>
      </w:pPr>
      <w:r w:rsidRPr="00FF4E0D">
        <w:rPr>
          <w:rFonts w:cs="Times New Roman"/>
          <w:szCs w:val="24"/>
        </w:rPr>
        <w:t>Third, technological infrastructure and technical support for digital teaching activities should be strengthened. The survey results show that technological infrastructure, technical support, and implementation conditions remain important factors affecting lecturers’ digital competence. Therefore, the university should prioritize upgrading internet connectivity, classrooms with stable presentation equipment, recording devices, cameras, microphones, software supporting learning-resource design, and tools for movement-technique analysis. For a university of physical education and sports, digital infrastructure is not limited to computers and internet networks; it should also include field-based recording equipment, video storage tools, motion-analysis software, and systems for managing students’ learning and training data. Alongside equipment investment, the university needs to establish a regular technical support unit or team to assist lecturers in addressing difficulties encountered during lecture design, operation of digital classes, resource development, and technology-enabled assessment.</w:t>
      </w:r>
    </w:p>
    <w:p w14:paraId="4A149B21" w14:textId="77777777" w:rsidR="006027D5" w:rsidRPr="00FF4E0D" w:rsidRDefault="001E24BB" w:rsidP="00EA7AFF">
      <w:pPr>
        <w:shd w:val="clear" w:color="auto" w:fill="FFFFFF" w:themeFill="background1"/>
        <w:spacing w:after="0" w:line="240" w:lineRule="auto"/>
        <w:ind w:firstLine="432"/>
        <w:jc w:val="both"/>
        <w:rPr>
          <w:rFonts w:cs="Times New Roman"/>
          <w:szCs w:val="24"/>
        </w:rPr>
      </w:pPr>
      <w:r w:rsidRPr="00FF4E0D">
        <w:rPr>
          <w:rFonts w:cs="Times New Roman"/>
          <w:szCs w:val="24"/>
        </w:rPr>
        <w:t xml:space="preserve">Fourth, assessment activities should be innovated toward the integration of digital technology. Learner assessment using digital technology is one of the competence domains with low mean scores. </w:t>
      </w:r>
      <w:r w:rsidRPr="00FF4E0D">
        <w:rPr>
          <w:rFonts w:cs="Times New Roman"/>
          <w:szCs w:val="24"/>
        </w:rPr>
        <w:lastRenderedPageBreak/>
        <w:t>This indicates that lecturers still face difficulties in designing online tests, using learning data, and assessing movement techniques through videos or supporting devices. Therefore, the university needs to guide lecturers in developing assessment forms that combine face-to-face and online methods, final outcome assessment and process-based assessment of learning and training. For practical courses, possible approaches include submission of technical videos, use of movement-assessment rubrics, storage of student progress portfolios, video feedback, or online comments. This approach makes assessment more transparent, more data-driven, and more supportive of learners’ self-adjustment.</w:t>
      </w:r>
    </w:p>
    <w:p w14:paraId="13901A4E" w14:textId="77777777" w:rsidR="006027D5" w:rsidRPr="00FF4E0D" w:rsidRDefault="001E24BB" w:rsidP="00EA7AFF">
      <w:pPr>
        <w:shd w:val="clear" w:color="auto" w:fill="FFFFFF" w:themeFill="background1"/>
        <w:spacing w:after="0" w:line="240" w:lineRule="auto"/>
        <w:ind w:firstLine="432"/>
        <w:jc w:val="both"/>
        <w:rPr>
          <w:rFonts w:cs="Times New Roman"/>
          <w:szCs w:val="24"/>
        </w:rPr>
      </w:pPr>
      <w:r w:rsidRPr="00FF4E0D">
        <w:rPr>
          <w:rFonts w:cs="Times New Roman"/>
          <w:szCs w:val="24"/>
        </w:rPr>
        <w:t>Fifth, the university should develop lecturers’ digital research competence and responsible use of artificial intelligence. The survey results show that professional development and research in digital environments is the competence domain with the lowest score. Therefore, lecturers need training in exploiting academic databases, using reference-management software, citation tools, data-processing software, and research-support platforms. In the context of the rapid development of artificial intelligence, the university should also organize specialized sessions on applying AI in lecture design, literature search, question development, learning-feedback support, and research-data processing. However, the use of AI must be linked to the requirements of transparency, information verification, copyright protection, data security, and academic integrity. This is an important condition for ensuring that digital competence not only enables lecturers to work faster but also helps them work responsibly and in accordance with academic standards.</w:t>
      </w:r>
    </w:p>
    <w:p w14:paraId="1A4DE998" w14:textId="77777777" w:rsidR="006027D5" w:rsidRPr="00FF4E0D" w:rsidRDefault="001E24BB" w:rsidP="00EA7AFF">
      <w:pPr>
        <w:shd w:val="clear" w:color="auto" w:fill="FFFFFF" w:themeFill="background1"/>
        <w:spacing w:after="0" w:line="240" w:lineRule="auto"/>
        <w:ind w:firstLine="432"/>
        <w:jc w:val="both"/>
        <w:rPr>
          <w:rFonts w:cs="Times New Roman"/>
          <w:szCs w:val="24"/>
        </w:rPr>
      </w:pPr>
      <w:r w:rsidRPr="00FF4E0D">
        <w:rPr>
          <w:rFonts w:cs="Times New Roman"/>
          <w:szCs w:val="24"/>
        </w:rPr>
        <w:t>Sixth, it is necessary to establish incentive mechanisms and a culture of sharing in digital transformation. The development of digital competence cannot rely solely on the individual efforts of lecturers. The university needs clear mechanisms to encourage activities such as developing digital lectures, creating digital learning resources, innovating technology-enabled assessment, sharing learning resources, and applying technology in coaching. These products should be recognized in performance evaluation, emulation and commendation, professional appraisal, or teaching innovation activities. At the same time, communities of practice among lecturers should be established, in which experienced lecturers support those with more limited competence, departments jointly develop resource banks, and effective technology-application models are shared. A culture of sharing will help digital transformation cease to be merely an administrative task and become a continuous process of professional learning within the university.</w:t>
      </w:r>
    </w:p>
    <w:p w14:paraId="3A073C18" w14:textId="77777777" w:rsidR="006027D5" w:rsidRPr="00FF4E0D" w:rsidRDefault="001E24BB" w:rsidP="00EA7AFF">
      <w:pPr>
        <w:shd w:val="clear" w:color="auto" w:fill="FFFFFF" w:themeFill="background1"/>
        <w:spacing w:after="0" w:line="240" w:lineRule="auto"/>
        <w:ind w:firstLine="432"/>
        <w:jc w:val="both"/>
        <w:rPr>
          <w:rFonts w:cs="Times New Roman"/>
          <w:szCs w:val="24"/>
        </w:rPr>
      </w:pPr>
      <w:r w:rsidRPr="00FF4E0D">
        <w:rPr>
          <w:rFonts w:cs="Times New Roman"/>
          <w:szCs w:val="24"/>
        </w:rPr>
        <w:t xml:space="preserve">Overall, solutions for enhancing the digital competence of lecturers at </w:t>
      </w:r>
      <w:r w:rsidR="00EA7AFF" w:rsidRPr="00FF4E0D">
        <w:rPr>
          <w:rFonts w:cs="Times New Roman"/>
          <w:szCs w:val="24"/>
        </w:rPr>
        <w:t>Da Nang Sports University</w:t>
      </w:r>
      <w:r w:rsidRPr="00FF4E0D">
        <w:rPr>
          <w:rFonts w:cs="Times New Roman"/>
          <w:szCs w:val="24"/>
        </w:rPr>
        <w:t xml:space="preserve"> need to be implemented synchronously across skill training, learning-resource development, infrastructure investment, assessment innovation, digital research capacity building, and incentive mechanisms. The focus of these solutions is not to require lecturers to use more digital tools, but to help them use technology appropriately, effectively, and in direct connection with the specific characteristics of teaching, coaching, and research in the field of physical education and sports.</w:t>
      </w:r>
    </w:p>
    <w:p w14:paraId="42993052" w14:textId="77777777" w:rsidR="006027D5" w:rsidRPr="00FF4E0D" w:rsidRDefault="001E24BB" w:rsidP="00EA7AFF">
      <w:pPr>
        <w:pStyle w:val="Heading1"/>
        <w:shd w:val="clear" w:color="auto" w:fill="FFFFFF" w:themeFill="background1"/>
        <w:spacing w:before="0" w:line="240" w:lineRule="auto"/>
        <w:rPr>
          <w:rFonts w:ascii="Times New Roman" w:hAnsi="Times New Roman" w:cs="Times New Roman"/>
          <w:color w:val="auto"/>
          <w:sz w:val="24"/>
          <w:szCs w:val="24"/>
        </w:rPr>
      </w:pPr>
      <w:r w:rsidRPr="00FF4E0D">
        <w:rPr>
          <w:rFonts w:ascii="Times New Roman" w:eastAsia="Times New Roman" w:hAnsi="Times New Roman" w:cs="Times New Roman"/>
          <w:color w:val="auto"/>
          <w:sz w:val="24"/>
          <w:szCs w:val="24"/>
        </w:rPr>
        <w:t>5. Conclusion</w:t>
      </w:r>
    </w:p>
    <w:p w14:paraId="09DF9E32" w14:textId="77777777" w:rsidR="006027D5" w:rsidRPr="00FF4E0D" w:rsidRDefault="001E24BB" w:rsidP="00EA7AFF">
      <w:pPr>
        <w:shd w:val="clear" w:color="auto" w:fill="FFFFFF" w:themeFill="background1"/>
        <w:spacing w:after="0" w:line="240" w:lineRule="auto"/>
        <w:ind w:firstLine="432"/>
        <w:jc w:val="both"/>
        <w:rPr>
          <w:rFonts w:cs="Times New Roman"/>
          <w:szCs w:val="24"/>
        </w:rPr>
      </w:pPr>
      <w:r w:rsidRPr="00FF4E0D">
        <w:rPr>
          <w:rFonts w:cs="Times New Roman"/>
          <w:szCs w:val="24"/>
        </w:rPr>
        <w:t xml:space="preserve">This study assessed the current status of digital competence among lecturers at </w:t>
      </w:r>
      <w:r w:rsidR="00EA7AFF" w:rsidRPr="00FF4E0D">
        <w:rPr>
          <w:rFonts w:cs="Times New Roman"/>
          <w:szCs w:val="24"/>
        </w:rPr>
        <w:t>Da Nang Sports University</w:t>
      </w:r>
      <w:r w:rsidRPr="00FF4E0D">
        <w:rPr>
          <w:rFonts w:cs="Times New Roman"/>
          <w:szCs w:val="24"/>
        </w:rPr>
        <w:t xml:space="preserve"> based on a survey of 86 lecturers, using a scale comprising seven competence domains and 28 observed variables. The results show that lecturers’ overall digital competence is at a high average level, approaching the good level, with an overall mean score of 3.36. Competences in basic digital technology use, communication and collaboration in digital environments, and digital safety and ethics reached the good level, while competences in digital learning-resource design, digital teaching organization, digital assessment, professional development, and digital research remained at the average level. The survey results also show that lecturers have a positive perception of the role of digital technology in improving the quality of teaching, coaching, and learner assessment. However, the development of digital competence continues to be influenced by technological infrastructure, incentive policies, training programs, technical support, time for self-study, and the distinctive characteristics of practical physical education and sports courses.</w:t>
      </w:r>
    </w:p>
    <w:p w14:paraId="62C4A6EC" w14:textId="77777777" w:rsidR="006027D5" w:rsidRDefault="001E24BB" w:rsidP="00EA7AFF">
      <w:pPr>
        <w:shd w:val="clear" w:color="auto" w:fill="FFFFFF" w:themeFill="background1"/>
        <w:spacing w:after="0" w:line="240" w:lineRule="auto"/>
        <w:ind w:firstLine="432"/>
        <w:jc w:val="both"/>
        <w:rPr>
          <w:rFonts w:cs="Times New Roman"/>
          <w:szCs w:val="24"/>
        </w:rPr>
      </w:pPr>
      <w:r w:rsidRPr="00FF4E0D">
        <w:rPr>
          <w:rFonts w:cs="Times New Roman"/>
          <w:szCs w:val="24"/>
        </w:rPr>
        <w:lastRenderedPageBreak/>
        <w:t xml:space="preserve">On the basis of the research results, the article proposes several key solutions, including discipline-based digital competence training, the development of digital learning resources for theoretical and practical teaching, strengthened infrastructure and technical support, innovation in testing and assessment through digital technology, development of digital research competence, and responsible use of artificial intelligence. The synchronous implementation of these solutions will contribute to enhancing lecturers’ digital competence, meeting the requirements of digital transformation, and improving the training quality of </w:t>
      </w:r>
      <w:r w:rsidR="00EA7AFF" w:rsidRPr="00FF4E0D">
        <w:rPr>
          <w:rFonts w:cs="Times New Roman"/>
          <w:szCs w:val="24"/>
        </w:rPr>
        <w:t>Da Nang Sports University</w:t>
      </w:r>
      <w:r w:rsidRPr="00FF4E0D">
        <w:rPr>
          <w:rFonts w:cs="Times New Roman"/>
          <w:szCs w:val="24"/>
        </w:rPr>
        <w:t xml:space="preserve"> in the current period.</w:t>
      </w:r>
    </w:p>
    <w:p w14:paraId="5C357B6B" w14:textId="77777777" w:rsidR="00B66CC7" w:rsidRDefault="00B66CC7" w:rsidP="00EA7AFF">
      <w:pPr>
        <w:shd w:val="clear" w:color="auto" w:fill="FFFFFF" w:themeFill="background1"/>
        <w:spacing w:after="0" w:line="240" w:lineRule="auto"/>
        <w:ind w:firstLine="432"/>
        <w:jc w:val="both"/>
        <w:rPr>
          <w:rFonts w:cs="Times New Roman"/>
          <w:szCs w:val="24"/>
        </w:rPr>
      </w:pPr>
    </w:p>
    <w:p w14:paraId="65608064" w14:textId="77777777" w:rsidR="00B66CC7" w:rsidRDefault="00B66CC7" w:rsidP="00EA7AFF">
      <w:pPr>
        <w:shd w:val="clear" w:color="auto" w:fill="FFFFFF" w:themeFill="background1"/>
        <w:spacing w:after="0" w:line="240" w:lineRule="auto"/>
        <w:ind w:firstLine="432"/>
        <w:jc w:val="both"/>
        <w:rPr>
          <w:rFonts w:cs="Times New Roman"/>
          <w:szCs w:val="24"/>
        </w:rPr>
      </w:pPr>
    </w:p>
    <w:p w14:paraId="7073BCE4" w14:textId="77777777" w:rsidR="00B66CC7" w:rsidRPr="00B66CC7" w:rsidRDefault="00B66CC7" w:rsidP="00B66CC7">
      <w:pPr>
        <w:shd w:val="clear" w:color="auto" w:fill="FFFFFF" w:themeFill="background1"/>
        <w:spacing w:after="0" w:line="240" w:lineRule="auto"/>
        <w:ind w:firstLine="432"/>
        <w:jc w:val="both"/>
        <w:rPr>
          <w:rFonts w:cs="Times New Roman"/>
          <w:szCs w:val="24"/>
        </w:rPr>
      </w:pPr>
      <w:r w:rsidRPr="00B66CC7">
        <w:rPr>
          <w:rFonts w:cs="Times New Roman"/>
          <w:szCs w:val="24"/>
        </w:rPr>
        <w:t>COMPETING INTERESTS DISCLAIMER:</w:t>
      </w:r>
    </w:p>
    <w:p w14:paraId="6F26EB0C" w14:textId="232261FA" w:rsidR="00B66CC7" w:rsidRDefault="00B66CC7" w:rsidP="00B66CC7">
      <w:pPr>
        <w:shd w:val="clear" w:color="auto" w:fill="FFFFFF" w:themeFill="background1"/>
        <w:spacing w:after="0" w:line="240" w:lineRule="auto"/>
        <w:ind w:firstLine="432"/>
        <w:jc w:val="both"/>
        <w:rPr>
          <w:rFonts w:cs="Times New Roman"/>
          <w:szCs w:val="24"/>
        </w:rPr>
      </w:pPr>
      <w:r w:rsidRPr="00B66CC7">
        <w:rPr>
          <w:rFonts w:cs="Times New Roman"/>
          <w:szCs w:val="24"/>
        </w:rPr>
        <w:t>Authors have declared that they have no known competing financial interests OR non-financial interests OR personal relationships that could have appeared to influence the work reported in this paper.</w:t>
      </w:r>
    </w:p>
    <w:p w14:paraId="75096563" w14:textId="77777777" w:rsidR="00B66CC7" w:rsidRPr="00FF4E0D" w:rsidRDefault="00B66CC7" w:rsidP="00EA7AFF">
      <w:pPr>
        <w:shd w:val="clear" w:color="auto" w:fill="FFFFFF" w:themeFill="background1"/>
        <w:spacing w:after="0" w:line="240" w:lineRule="auto"/>
        <w:ind w:firstLine="432"/>
        <w:jc w:val="both"/>
        <w:rPr>
          <w:rFonts w:cs="Times New Roman"/>
          <w:szCs w:val="24"/>
        </w:rPr>
      </w:pPr>
    </w:p>
    <w:p w14:paraId="2D44A5DE" w14:textId="77777777" w:rsidR="006027D5" w:rsidRPr="00FF4E0D" w:rsidRDefault="001E24BB" w:rsidP="00EA7AFF">
      <w:pPr>
        <w:pStyle w:val="Heading1"/>
        <w:shd w:val="clear" w:color="auto" w:fill="FFFFFF" w:themeFill="background1"/>
        <w:spacing w:before="0" w:line="240" w:lineRule="auto"/>
        <w:rPr>
          <w:rFonts w:ascii="Times New Roman" w:hAnsi="Times New Roman" w:cs="Times New Roman"/>
          <w:color w:val="auto"/>
          <w:sz w:val="24"/>
          <w:szCs w:val="24"/>
        </w:rPr>
      </w:pPr>
      <w:r w:rsidRPr="00FF4E0D">
        <w:rPr>
          <w:rFonts w:ascii="Times New Roman" w:eastAsia="Times New Roman" w:hAnsi="Times New Roman" w:cs="Times New Roman"/>
          <w:color w:val="auto"/>
          <w:sz w:val="24"/>
          <w:szCs w:val="24"/>
        </w:rPr>
        <w:t>References</w:t>
      </w:r>
    </w:p>
    <w:p w14:paraId="3D9C1256" w14:textId="77777777" w:rsidR="006027D5" w:rsidRPr="00FF4E0D" w:rsidRDefault="001E24BB" w:rsidP="00EA7AFF">
      <w:pPr>
        <w:shd w:val="clear" w:color="auto" w:fill="FFFFFF" w:themeFill="background1"/>
        <w:spacing w:after="0" w:line="240" w:lineRule="auto"/>
        <w:ind w:left="432" w:hanging="432"/>
        <w:jc w:val="both"/>
        <w:rPr>
          <w:rFonts w:cs="Times New Roman"/>
          <w:szCs w:val="24"/>
        </w:rPr>
      </w:pPr>
      <w:r w:rsidRPr="00FF4E0D">
        <w:rPr>
          <w:rFonts w:cs="Times New Roman"/>
          <w:szCs w:val="24"/>
        </w:rPr>
        <w:t>Basantes-Andrade, A., Casillas-Martín, S., Cabezas-González, M., Naranjo-Toro, M., &amp; Guerra-Reyes, F. (2022). Standards of teacher digital competence in higher education: A systematic literature review. Sustainability, 14(21), Article 13983. https://doi.org/10.3390/su142113983</w:t>
      </w:r>
    </w:p>
    <w:p w14:paraId="27783B2B" w14:textId="77777777" w:rsidR="006027D5" w:rsidRPr="00FF4E0D" w:rsidRDefault="001E24BB" w:rsidP="00EA7AFF">
      <w:pPr>
        <w:shd w:val="clear" w:color="auto" w:fill="FFFFFF" w:themeFill="background1"/>
        <w:spacing w:after="0" w:line="240" w:lineRule="auto"/>
        <w:ind w:left="432" w:hanging="432"/>
        <w:jc w:val="both"/>
        <w:rPr>
          <w:rFonts w:cs="Times New Roman"/>
          <w:szCs w:val="24"/>
        </w:rPr>
      </w:pPr>
      <w:r w:rsidRPr="00FF4E0D">
        <w:rPr>
          <w:rFonts w:cs="Times New Roman"/>
          <w:szCs w:val="24"/>
        </w:rPr>
        <w:t>Ministry of Education and Training. (2025). Circular No. 02/2025/TT-BGDDT dated January 24, 2025, stipulating the Digital Competence Framework for Learners. Government Electronic Information Portal. https://congbao.chinhphu.vn/van-ban/thong-tu-so-02-2025-tt-bgddt-44148/54830.htm</w:t>
      </w:r>
    </w:p>
    <w:p w14:paraId="4A82B6DD" w14:textId="77777777" w:rsidR="006027D5" w:rsidRPr="00FF4E0D" w:rsidRDefault="001E24BB" w:rsidP="00EA7AFF">
      <w:pPr>
        <w:shd w:val="clear" w:color="auto" w:fill="FFFFFF" w:themeFill="background1"/>
        <w:spacing w:after="0" w:line="240" w:lineRule="auto"/>
        <w:ind w:left="432" w:hanging="432"/>
        <w:jc w:val="both"/>
        <w:rPr>
          <w:rFonts w:cs="Times New Roman"/>
          <w:szCs w:val="24"/>
        </w:rPr>
      </w:pPr>
      <w:r w:rsidRPr="00FF4E0D">
        <w:rPr>
          <w:rFonts w:cs="Times New Roman"/>
          <w:szCs w:val="24"/>
        </w:rPr>
        <w:t>Fernández-Batanero, J. M., Román-Graván, P., Montenegro-Rueda, M., López-Meneses, E., &amp; Fernández-Cerero, J. (2021). Digital teaching competence in higher education: A systematic review. Education Sciences, 11(11), Article 689. https://doi.org/10.3390/educsci11110689</w:t>
      </w:r>
    </w:p>
    <w:p w14:paraId="13AE18C0" w14:textId="77777777" w:rsidR="006027D5" w:rsidRPr="00FF4E0D" w:rsidRDefault="001E24BB" w:rsidP="00EA7AFF">
      <w:pPr>
        <w:shd w:val="clear" w:color="auto" w:fill="FFFFFF" w:themeFill="background1"/>
        <w:spacing w:after="0" w:line="240" w:lineRule="auto"/>
        <w:ind w:left="432" w:hanging="432"/>
        <w:jc w:val="both"/>
        <w:rPr>
          <w:rFonts w:cs="Times New Roman"/>
          <w:szCs w:val="24"/>
        </w:rPr>
      </w:pPr>
      <w:r w:rsidRPr="00FF4E0D">
        <w:rPr>
          <w:rFonts w:cs="Times New Roman"/>
          <w:szCs w:val="24"/>
        </w:rPr>
        <w:t>Moore, A., Butcher, N., &amp; Hoosen, S. (2016). Using UNESCO’s ICT competency framework for teachers in Guyana. In ICT integrated teacher education: A resource book (pp. 31-45). Commonwealth Educational Media Centre for Asia.</w:t>
      </w:r>
    </w:p>
    <w:p w14:paraId="18F836C6" w14:textId="77777777" w:rsidR="006027D5" w:rsidRPr="00FF4E0D" w:rsidRDefault="001E24BB" w:rsidP="00EA7AFF">
      <w:pPr>
        <w:shd w:val="clear" w:color="auto" w:fill="FFFFFF" w:themeFill="background1"/>
        <w:spacing w:after="0" w:line="240" w:lineRule="auto"/>
        <w:ind w:left="432" w:hanging="432"/>
        <w:jc w:val="both"/>
        <w:rPr>
          <w:rFonts w:cs="Times New Roman"/>
          <w:szCs w:val="24"/>
        </w:rPr>
      </w:pPr>
      <w:r w:rsidRPr="00FF4E0D">
        <w:rPr>
          <w:rFonts w:cs="Times New Roman"/>
          <w:szCs w:val="24"/>
        </w:rPr>
        <w:t>Mtebe, J. S. (2020). Applying UNESCO ICT competency framework to evaluate teachers’ ICT competence levels in Tanzania. In J. Keengwe (Ed.), Handbook of research on innovative pedagogies and best practices in teacher education (pp. 350-366). IGI Global. https://doi.org/10.4018/978-1-5225-9232-7.ch020</w:t>
      </w:r>
    </w:p>
    <w:p w14:paraId="055A062D" w14:textId="77777777" w:rsidR="006027D5" w:rsidRPr="00FF4E0D" w:rsidRDefault="001E24BB" w:rsidP="00EA7AFF">
      <w:pPr>
        <w:shd w:val="clear" w:color="auto" w:fill="FFFFFF" w:themeFill="background1"/>
        <w:spacing w:after="0" w:line="240" w:lineRule="auto"/>
        <w:ind w:left="432" w:hanging="432"/>
        <w:jc w:val="both"/>
        <w:rPr>
          <w:rFonts w:cs="Times New Roman"/>
          <w:szCs w:val="24"/>
        </w:rPr>
      </w:pPr>
      <w:r w:rsidRPr="00FF4E0D">
        <w:rPr>
          <w:rFonts w:cs="Times New Roman"/>
          <w:szCs w:val="24"/>
        </w:rPr>
        <w:t>Redecker, C. (2017). European framework for the digital competence of educators: DigCompEdu (Y. Punie, Ed.). Publications Office of the European Union. https://doi.org/10.2760/159770</w:t>
      </w:r>
    </w:p>
    <w:p w14:paraId="69ABA152" w14:textId="77777777" w:rsidR="006027D5" w:rsidRPr="00FF4E0D" w:rsidRDefault="001E24BB" w:rsidP="00EA7AFF">
      <w:pPr>
        <w:shd w:val="clear" w:color="auto" w:fill="FFFFFF" w:themeFill="background1"/>
        <w:spacing w:after="0" w:line="240" w:lineRule="auto"/>
        <w:ind w:left="432" w:hanging="432"/>
        <w:jc w:val="both"/>
        <w:rPr>
          <w:rFonts w:cs="Times New Roman"/>
          <w:szCs w:val="24"/>
        </w:rPr>
      </w:pPr>
      <w:r w:rsidRPr="00FF4E0D">
        <w:rPr>
          <w:rFonts w:cs="Times New Roman"/>
          <w:szCs w:val="24"/>
        </w:rPr>
        <w:t>Prime Minister of Vietnam. (2020). Decision No. 749/QD-TTg dated June 3, 2020, approving the “National Digital Transformation Program to 2025, with orientations to 2030.” Government Electronic Information Portal. https://congbao.chinhphu.vn/van-ban/quyet-dinh-so-749-qd-ttg-31450.htm</w:t>
      </w:r>
    </w:p>
    <w:p w14:paraId="7858B0BC" w14:textId="77777777" w:rsidR="006027D5" w:rsidRPr="00FF4E0D" w:rsidRDefault="001E24BB" w:rsidP="00EA7AFF">
      <w:pPr>
        <w:shd w:val="clear" w:color="auto" w:fill="FFFFFF" w:themeFill="background1"/>
        <w:spacing w:after="0" w:line="240" w:lineRule="auto"/>
        <w:ind w:left="432" w:hanging="432"/>
        <w:jc w:val="both"/>
        <w:rPr>
          <w:rFonts w:cs="Times New Roman"/>
          <w:szCs w:val="24"/>
        </w:rPr>
      </w:pPr>
      <w:r w:rsidRPr="00FF4E0D">
        <w:rPr>
          <w:rFonts w:cs="Times New Roman"/>
          <w:szCs w:val="24"/>
        </w:rPr>
        <w:t>UNESCO. (2018). UNESCO ICT competency framework for teachers (Version 3). UNESCO. https://unesdoc.unesco.org/ark:/48223/pf0000265721</w:t>
      </w:r>
    </w:p>
    <w:sectPr w:rsidR="006027D5" w:rsidRPr="00FF4E0D" w:rsidSect="00034616">
      <w:headerReference w:type="even" r:id="rId8"/>
      <w:headerReference w:type="default" r:id="rId9"/>
      <w:footerReference w:type="even" r:id="rId10"/>
      <w:footerReference w:type="default" r:id="rId11"/>
      <w:headerReference w:type="first" r:id="rId12"/>
      <w:footerReference w:type="first" r:id="rId13"/>
      <w:pgSz w:w="12240" w:h="15840"/>
      <w:pgMar w:top="1152" w:right="1224" w:bottom="1152" w:left="122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1B421D" w14:textId="77777777" w:rsidR="00287667" w:rsidRDefault="00287667" w:rsidP="00D92DB5">
      <w:pPr>
        <w:spacing w:after="0" w:line="240" w:lineRule="auto"/>
      </w:pPr>
      <w:r>
        <w:separator/>
      </w:r>
    </w:p>
  </w:endnote>
  <w:endnote w:type="continuationSeparator" w:id="0">
    <w:p w14:paraId="21A233A7" w14:textId="77777777" w:rsidR="00287667" w:rsidRDefault="00287667" w:rsidP="00D92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652AB" w14:textId="77777777" w:rsidR="00D92DB5" w:rsidRDefault="00D92D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0C291" w14:textId="77777777" w:rsidR="00D92DB5" w:rsidRDefault="00D92D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B3788" w14:textId="77777777" w:rsidR="00D92DB5" w:rsidRDefault="00D92D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28AC52" w14:textId="77777777" w:rsidR="00287667" w:rsidRDefault="00287667" w:rsidP="00D92DB5">
      <w:pPr>
        <w:spacing w:after="0" w:line="240" w:lineRule="auto"/>
      </w:pPr>
      <w:r>
        <w:separator/>
      </w:r>
    </w:p>
  </w:footnote>
  <w:footnote w:type="continuationSeparator" w:id="0">
    <w:p w14:paraId="59A34955" w14:textId="77777777" w:rsidR="00287667" w:rsidRDefault="00287667" w:rsidP="00D92D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167E8" w14:textId="2343EBA2" w:rsidR="00D92DB5" w:rsidRDefault="00D92DB5">
    <w:pPr>
      <w:pStyle w:val="Header"/>
    </w:pPr>
    <w:r>
      <w:rPr>
        <w:noProof/>
      </w:rPr>
      <w:pict w14:anchorId="1DBE29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57969" o:spid="_x0000_s2050" type="#_x0000_t136" style="position:absolute;margin-left:0;margin-top:0;width:620.25pt;height:69.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10699" w14:textId="3E722BBB" w:rsidR="00D92DB5" w:rsidRDefault="00D92DB5">
    <w:pPr>
      <w:pStyle w:val="Header"/>
    </w:pPr>
    <w:r>
      <w:rPr>
        <w:noProof/>
      </w:rPr>
      <w:pict w14:anchorId="6B3DD7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57970" o:spid="_x0000_s2051" type="#_x0000_t136" style="position:absolute;margin-left:0;margin-top:0;width:620.25pt;height:69.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C2083" w14:textId="0F60E681" w:rsidR="00D92DB5" w:rsidRDefault="00D92DB5">
    <w:pPr>
      <w:pStyle w:val="Header"/>
    </w:pPr>
    <w:r>
      <w:rPr>
        <w:noProof/>
      </w:rPr>
      <w:pict w14:anchorId="3AEC1E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57968" o:spid="_x0000_s2049" type="#_x0000_t136" style="position:absolute;margin-left:0;margin-top:0;width:620.25pt;height:69.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659D2"/>
    <w:rsid w:val="001E24BB"/>
    <w:rsid w:val="00287667"/>
    <w:rsid w:val="0029639D"/>
    <w:rsid w:val="002F2EA1"/>
    <w:rsid w:val="00326F90"/>
    <w:rsid w:val="00496C77"/>
    <w:rsid w:val="006027D5"/>
    <w:rsid w:val="00747BF1"/>
    <w:rsid w:val="00AA1D8D"/>
    <w:rsid w:val="00B47730"/>
    <w:rsid w:val="00B66CC7"/>
    <w:rsid w:val="00CB0664"/>
    <w:rsid w:val="00D92DB5"/>
    <w:rsid w:val="00EA7AFF"/>
    <w:rsid w:val="00FC693F"/>
    <w:rsid w:val="00FF4E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054E633D"/>
  <w14:defaultImageDpi w14:val="300"/>
  <w15:docId w15:val="{1B88B9A0-68C2-4613-82A2-F5D7EFF08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496C77"/>
    <w:rPr>
      <w:color w:val="0000FF" w:themeColor="hyperlink"/>
      <w:u w:val="single"/>
    </w:rPr>
  </w:style>
  <w:style w:type="character" w:styleId="UnresolvedMention">
    <w:name w:val="Unresolved Mention"/>
    <w:basedOn w:val="DefaultParagraphFont"/>
    <w:uiPriority w:val="99"/>
    <w:semiHidden/>
    <w:unhideWhenUsed/>
    <w:rsid w:val="00496C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B7E46-9AF3-45D1-8E50-5DC4FA60A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6656</Words>
  <Characters>37940</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44507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1084</cp:lastModifiedBy>
  <cp:revision>13</cp:revision>
  <dcterms:created xsi:type="dcterms:W3CDTF">2026-05-17T16:15:00Z</dcterms:created>
  <dcterms:modified xsi:type="dcterms:W3CDTF">2026-05-20T08:23:00Z</dcterms:modified>
  <cp:category/>
</cp:coreProperties>
</file>