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66E7" w14:textId="5F86C01C" w:rsidR="00E563E5" w:rsidRPr="00E563E5" w:rsidRDefault="00E563E5" w:rsidP="00E563E5">
      <w:pPr>
        <w:spacing w:before="240" w:after="240"/>
        <w:rPr>
          <w:rFonts w:ascii="Times New Roman" w:eastAsia="Times New Roman" w:hAnsi="Times New Roman" w:cs="Times New Roman"/>
          <w:b/>
          <w:bCs/>
          <w:sz w:val="32"/>
          <w:szCs w:val="32"/>
          <w:u w:val="single"/>
        </w:rPr>
      </w:pPr>
      <w:r w:rsidRPr="00E563E5">
        <w:rPr>
          <w:rFonts w:ascii="Times New Roman" w:eastAsia="Times New Roman" w:hAnsi="Times New Roman" w:cs="Times New Roman"/>
          <w:b/>
          <w:bCs/>
          <w:sz w:val="32"/>
          <w:szCs w:val="32"/>
          <w:u w:val="single"/>
        </w:rPr>
        <w:t>Original Research Article</w:t>
      </w:r>
    </w:p>
    <w:p w14:paraId="63E99B0C" w14:textId="52480CD7" w:rsidR="00611125" w:rsidRDefault="00611125" w:rsidP="00611125">
      <w:pPr>
        <w:spacing w:before="240" w:after="240"/>
        <w:jc w:val="center"/>
      </w:pPr>
      <w:r>
        <w:rPr>
          <w:rFonts w:ascii="Times New Roman" w:eastAsia="Times New Roman" w:hAnsi="Times New Roman" w:cs="Times New Roman"/>
          <w:b/>
          <w:bCs/>
          <w:sz w:val="32"/>
          <w:szCs w:val="32"/>
        </w:rPr>
        <w:t>Computational Thinking Levels Among Secondary Students: A Descriptive Analysis Based on Gender, Age and Dimension Wise</w:t>
      </w:r>
    </w:p>
    <w:p w14:paraId="729F94A6" w14:textId="77777777" w:rsidR="00496D66" w:rsidRDefault="00496D66" w:rsidP="006C4B91">
      <w:pPr>
        <w:jc w:val="both"/>
        <w:rPr>
          <w:rFonts w:ascii="Times New Roman" w:eastAsia="Times New Roman" w:hAnsi="Times New Roman" w:cs="Times New Roman"/>
          <w:b/>
          <w:bCs/>
          <w:sz w:val="24"/>
          <w:szCs w:val="24"/>
        </w:rPr>
      </w:pPr>
    </w:p>
    <w:p w14:paraId="4F84657F" w14:textId="77777777" w:rsidR="00496D66" w:rsidRDefault="00496D66" w:rsidP="006C4B91">
      <w:pPr>
        <w:jc w:val="both"/>
        <w:rPr>
          <w:rFonts w:ascii="Times New Roman" w:eastAsia="Times New Roman" w:hAnsi="Times New Roman" w:cs="Times New Roman"/>
          <w:b/>
          <w:bCs/>
          <w:sz w:val="24"/>
          <w:szCs w:val="24"/>
        </w:rPr>
      </w:pPr>
    </w:p>
    <w:p w14:paraId="3BF038A1" w14:textId="77777777" w:rsidR="00496D66" w:rsidRDefault="00496D66" w:rsidP="006C4B91">
      <w:pPr>
        <w:jc w:val="both"/>
        <w:rPr>
          <w:rFonts w:ascii="Times New Roman" w:eastAsia="Times New Roman" w:hAnsi="Times New Roman" w:cs="Times New Roman"/>
          <w:b/>
          <w:bCs/>
          <w:sz w:val="24"/>
          <w:szCs w:val="24"/>
        </w:rPr>
      </w:pPr>
    </w:p>
    <w:p w14:paraId="22BE130A" w14:textId="77777777" w:rsidR="00496D66" w:rsidRDefault="00496D66" w:rsidP="006C4B91">
      <w:pPr>
        <w:jc w:val="both"/>
        <w:rPr>
          <w:rFonts w:ascii="Times New Roman" w:eastAsia="Times New Roman" w:hAnsi="Times New Roman" w:cs="Times New Roman"/>
          <w:b/>
          <w:bCs/>
          <w:sz w:val="24"/>
          <w:szCs w:val="24"/>
        </w:rPr>
      </w:pPr>
    </w:p>
    <w:p w14:paraId="54A1E3BD" w14:textId="77777777" w:rsidR="00496D66" w:rsidRDefault="00496D66" w:rsidP="006C4B91">
      <w:pPr>
        <w:jc w:val="both"/>
        <w:rPr>
          <w:rFonts w:ascii="Times New Roman" w:eastAsia="Times New Roman" w:hAnsi="Times New Roman" w:cs="Times New Roman"/>
          <w:b/>
          <w:bCs/>
          <w:sz w:val="24"/>
          <w:szCs w:val="24"/>
        </w:rPr>
      </w:pPr>
    </w:p>
    <w:p w14:paraId="0F8828DF" w14:textId="70ED2499" w:rsidR="00FB3D81" w:rsidRPr="00DE4C50" w:rsidRDefault="00A56930" w:rsidP="006C4B91">
      <w:pPr>
        <w:jc w:val="both"/>
        <w:rPr>
          <w:rFonts w:ascii="Arial" w:hAnsi="Arial" w:cs="Arial"/>
          <w:b/>
          <w:bCs/>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7E72">
        <w:rPr>
          <w:rFonts w:ascii="Times New Roman" w:hAnsi="Times New Roman" w:cs="Times New Roman"/>
          <w:sz w:val="28"/>
          <w:szCs w:val="28"/>
        </w:rPr>
        <w:tab/>
      </w:r>
      <w:r w:rsidRPr="00DE4C50">
        <w:rPr>
          <w:rFonts w:ascii="Arial" w:hAnsi="Arial" w:cs="Arial"/>
          <w:b/>
          <w:bCs/>
        </w:rPr>
        <w:t>A</w:t>
      </w:r>
      <w:r w:rsidR="00803034" w:rsidRPr="00DE4C50">
        <w:rPr>
          <w:rFonts w:ascii="Arial" w:hAnsi="Arial" w:cs="Arial"/>
          <w:b/>
          <w:bCs/>
        </w:rPr>
        <w:t xml:space="preserve">BSTRACT </w:t>
      </w:r>
      <w:r w:rsidRPr="00DE4C50">
        <w:rPr>
          <w:rFonts w:ascii="Arial" w:hAnsi="Arial" w:cs="Arial"/>
          <w:b/>
          <w:bCs/>
        </w:rPr>
        <w:t xml:space="preserve"> </w:t>
      </w:r>
    </w:p>
    <w:p w14:paraId="51A0CDA5" w14:textId="6B55D86A" w:rsidR="00261F4E" w:rsidRDefault="00261F4E" w:rsidP="00261F4E">
      <w:pPr>
        <w:spacing w:line="360" w:lineRule="auto"/>
        <w:jc w:val="both"/>
        <w:rPr>
          <w:rFonts w:ascii="Times New Roman" w:hAnsi="Times New Roman" w:cs="Times New Roman"/>
          <w:sz w:val="24"/>
          <w:szCs w:val="24"/>
        </w:rPr>
      </w:pPr>
      <w:r w:rsidRPr="00FC0AC3">
        <w:rPr>
          <w:rFonts w:ascii="Times New Roman" w:hAnsi="Times New Roman" w:cs="Times New Roman"/>
          <w:sz w:val="24"/>
          <w:szCs w:val="24"/>
        </w:rPr>
        <w:t xml:space="preserve">Computational Thinking (CT) has emerged as an essential 21st-century skill, recognized globally as fundamental for problem-solving in a technology-driven world. Despite its growing integration into curricula worldwide, empirical data on CT levels among Indian secondary school students remains scarce. The </w:t>
      </w:r>
      <w:r>
        <w:rPr>
          <w:rFonts w:ascii="Times New Roman" w:hAnsi="Times New Roman" w:cs="Times New Roman"/>
          <w:sz w:val="24"/>
          <w:szCs w:val="24"/>
        </w:rPr>
        <w:t xml:space="preserve">objective of the study is </w:t>
      </w:r>
      <w:r w:rsidRPr="00FC0AC3">
        <w:rPr>
          <w:rFonts w:ascii="Times New Roman" w:hAnsi="Times New Roman" w:cs="Times New Roman"/>
          <w:sz w:val="24"/>
          <w:szCs w:val="24"/>
        </w:rPr>
        <w:t xml:space="preserve">aimed to assess and describe the levels of Computational Thinking among </w:t>
      </w:r>
      <w:r w:rsidR="00CD677F">
        <w:rPr>
          <w:rFonts w:ascii="Times New Roman" w:hAnsi="Times New Roman" w:cs="Times New Roman"/>
          <w:sz w:val="24"/>
          <w:szCs w:val="24"/>
        </w:rPr>
        <w:t xml:space="preserve">secondary level </w:t>
      </w:r>
      <w:r w:rsidRPr="00FC0AC3">
        <w:rPr>
          <w:rFonts w:ascii="Times New Roman" w:hAnsi="Times New Roman" w:cs="Times New Roman"/>
          <w:sz w:val="24"/>
          <w:szCs w:val="24"/>
        </w:rPr>
        <w:t>students using a standardized 35-item Computational Thinking Test (CTT), and to examine the distribution of CT levels across gender, age, and class variables.</w:t>
      </w:r>
      <w:r w:rsidR="00FA5DBB">
        <w:rPr>
          <w:rFonts w:ascii="Times New Roman" w:hAnsi="Times New Roman" w:cs="Times New Roman"/>
          <w:sz w:val="24"/>
          <w:szCs w:val="24"/>
        </w:rPr>
        <w:t xml:space="preserve"> </w:t>
      </w:r>
      <w:r w:rsidRPr="00FC0AC3">
        <w:rPr>
          <w:rFonts w:ascii="Times New Roman" w:hAnsi="Times New Roman" w:cs="Times New Roman"/>
          <w:sz w:val="24"/>
          <w:szCs w:val="24"/>
        </w:rPr>
        <w:t xml:space="preserve">The study employed a descriptive survey design using intact group sampling. The sample comprised </w:t>
      </w:r>
      <w:r w:rsidR="00FA5DBB">
        <w:rPr>
          <w:rFonts w:ascii="Times New Roman" w:hAnsi="Times New Roman" w:cs="Times New Roman"/>
          <w:sz w:val="24"/>
          <w:szCs w:val="24"/>
        </w:rPr>
        <w:t>o</w:t>
      </w:r>
      <w:r>
        <w:rPr>
          <w:rFonts w:ascii="Times New Roman" w:hAnsi="Times New Roman" w:cs="Times New Roman"/>
          <w:sz w:val="24"/>
          <w:szCs w:val="24"/>
        </w:rPr>
        <w:t xml:space="preserve">f 30 students of </w:t>
      </w:r>
      <w:r w:rsidR="006C7633">
        <w:rPr>
          <w:rFonts w:ascii="Times New Roman" w:hAnsi="Times New Roman" w:cs="Times New Roman"/>
          <w:sz w:val="24"/>
          <w:szCs w:val="24"/>
        </w:rPr>
        <w:t xml:space="preserve">Secondary </w:t>
      </w:r>
      <w:r w:rsidRPr="00FC0AC3">
        <w:rPr>
          <w:rFonts w:ascii="Times New Roman" w:hAnsi="Times New Roman" w:cs="Times New Roman"/>
          <w:sz w:val="24"/>
          <w:szCs w:val="24"/>
        </w:rPr>
        <w:t>students</w:t>
      </w:r>
      <w:r>
        <w:rPr>
          <w:rFonts w:ascii="Times New Roman" w:hAnsi="Times New Roman" w:cs="Times New Roman"/>
          <w:sz w:val="24"/>
          <w:szCs w:val="24"/>
        </w:rPr>
        <w:t xml:space="preserve"> </w:t>
      </w:r>
      <w:r w:rsidR="00FA5DBB" w:rsidRPr="00FC0AC3">
        <w:rPr>
          <w:rFonts w:ascii="Times New Roman" w:hAnsi="Times New Roman" w:cs="Times New Roman"/>
          <w:sz w:val="24"/>
          <w:szCs w:val="24"/>
        </w:rPr>
        <w:t>Boys</w:t>
      </w:r>
      <w:r w:rsidR="00FA5DBB">
        <w:rPr>
          <w:rFonts w:ascii="Times New Roman" w:hAnsi="Times New Roman" w:cs="Times New Roman"/>
          <w:sz w:val="24"/>
          <w:szCs w:val="24"/>
        </w:rPr>
        <w:t xml:space="preserve"> (</w:t>
      </w:r>
      <w:r>
        <w:rPr>
          <w:rFonts w:ascii="Times New Roman" w:hAnsi="Times New Roman" w:cs="Times New Roman"/>
          <w:sz w:val="24"/>
          <w:szCs w:val="24"/>
        </w:rPr>
        <w:t>13</w:t>
      </w:r>
      <w:r w:rsidR="00FA5DBB">
        <w:rPr>
          <w:rFonts w:ascii="Times New Roman" w:hAnsi="Times New Roman" w:cs="Times New Roman"/>
          <w:sz w:val="24"/>
          <w:szCs w:val="24"/>
        </w:rPr>
        <w:t>)</w:t>
      </w:r>
      <w:r>
        <w:rPr>
          <w:rFonts w:ascii="Times New Roman" w:hAnsi="Times New Roman" w:cs="Times New Roman"/>
          <w:sz w:val="24"/>
          <w:szCs w:val="24"/>
        </w:rPr>
        <w:t xml:space="preserve"> and </w:t>
      </w:r>
      <w:r w:rsidRPr="00FC0AC3">
        <w:rPr>
          <w:rFonts w:ascii="Times New Roman" w:hAnsi="Times New Roman" w:cs="Times New Roman"/>
          <w:sz w:val="24"/>
          <w:szCs w:val="24"/>
        </w:rPr>
        <w:t xml:space="preserve">Girls </w:t>
      </w:r>
      <w:r w:rsidR="00FA5DBB">
        <w:rPr>
          <w:rFonts w:ascii="Times New Roman" w:hAnsi="Times New Roman" w:cs="Times New Roman"/>
          <w:sz w:val="24"/>
          <w:szCs w:val="24"/>
        </w:rPr>
        <w:t>(</w:t>
      </w:r>
      <w:r>
        <w:rPr>
          <w:rFonts w:ascii="Times New Roman" w:hAnsi="Times New Roman" w:cs="Times New Roman"/>
          <w:sz w:val="24"/>
          <w:szCs w:val="24"/>
        </w:rPr>
        <w:t>17</w:t>
      </w:r>
      <w:r w:rsidR="00FA5DBB">
        <w:rPr>
          <w:rFonts w:ascii="Times New Roman" w:hAnsi="Times New Roman" w:cs="Times New Roman"/>
          <w:sz w:val="24"/>
          <w:szCs w:val="24"/>
        </w:rPr>
        <w:t>)</w:t>
      </w:r>
      <w:r>
        <w:rPr>
          <w:rFonts w:ascii="Times New Roman" w:hAnsi="Times New Roman" w:cs="Times New Roman"/>
          <w:sz w:val="24"/>
          <w:szCs w:val="24"/>
        </w:rPr>
        <w:t xml:space="preserve"> </w:t>
      </w:r>
      <w:r w:rsidRPr="00FC0AC3">
        <w:rPr>
          <w:rFonts w:ascii="Times New Roman" w:hAnsi="Times New Roman" w:cs="Times New Roman"/>
          <w:sz w:val="24"/>
          <w:szCs w:val="24"/>
        </w:rPr>
        <w:t xml:space="preserve">from </w:t>
      </w:r>
      <w:r>
        <w:rPr>
          <w:rFonts w:ascii="Times New Roman" w:hAnsi="Times New Roman" w:cs="Times New Roman"/>
          <w:sz w:val="24"/>
          <w:szCs w:val="24"/>
        </w:rPr>
        <w:t>PM SRI Demonstration School, CBSE School</w:t>
      </w:r>
      <w:r w:rsidRPr="00FC0AC3">
        <w:rPr>
          <w:rFonts w:ascii="Times New Roman" w:hAnsi="Times New Roman" w:cs="Times New Roman"/>
          <w:sz w:val="24"/>
          <w:szCs w:val="24"/>
        </w:rPr>
        <w:t>,</w:t>
      </w:r>
      <w:r>
        <w:rPr>
          <w:rFonts w:ascii="Times New Roman" w:hAnsi="Times New Roman" w:cs="Times New Roman"/>
          <w:sz w:val="24"/>
          <w:szCs w:val="24"/>
        </w:rPr>
        <w:t xml:space="preserve"> Mysore, </w:t>
      </w:r>
      <w:r w:rsidRPr="00FC0AC3">
        <w:rPr>
          <w:rFonts w:ascii="Times New Roman" w:hAnsi="Times New Roman" w:cs="Times New Roman"/>
          <w:sz w:val="24"/>
          <w:szCs w:val="24"/>
        </w:rPr>
        <w:t>Karnataka, India, with an age range of 13–15 years.</w:t>
      </w:r>
      <w:r w:rsidR="00FA5DBB">
        <w:rPr>
          <w:rFonts w:ascii="Times New Roman" w:hAnsi="Times New Roman" w:cs="Times New Roman"/>
          <w:sz w:val="24"/>
          <w:szCs w:val="24"/>
        </w:rPr>
        <w:t xml:space="preserve"> </w:t>
      </w:r>
      <w:r w:rsidR="00423FF7">
        <w:rPr>
          <w:rFonts w:ascii="Times New Roman" w:hAnsi="Times New Roman" w:cs="Times New Roman"/>
          <w:sz w:val="24"/>
          <w:szCs w:val="24"/>
        </w:rPr>
        <w:t xml:space="preserve">The </w:t>
      </w:r>
      <w:r w:rsidRPr="00FC0AC3">
        <w:rPr>
          <w:rFonts w:ascii="Times New Roman" w:hAnsi="Times New Roman" w:cs="Times New Roman"/>
          <w:sz w:val="24"/>
          <w:szCs w:val="24"/>
        </w:rPr>
        <w:t>Computational Thinking</w:t>
      </w:r>
      <w:r>
        <w:rPr>
          <w:rFonts w:ascii="Times New Roman" w:hAnsi="Times New Roman" w:cs="Times New Roman"/>
          <w:sz w:val="24"/>
          <w:szCs w:val="24"/>
        </w:rPr>
        <w:t xml:space="preserve"> Skill </w:t>
      </w:r>
      <w:r w:rsidRPr="00FC0AC3">
        <w:rPr>
          <w:rFonts w:ascii="Times New Roman" w:hAnsi="Times New Roman" w:cs="Times New Roman"/>
          <w:sz w:val="24"/>
          <w:szCs w:val="24"/>
        </w:rPr>
        <w:t>Test (CT</w:t>
      </w:r>
      <w:r>
        <w:rPr>
          <w:rFonts w:ascii="Times New Roman" w:hAnsi="Times New Roman" w:cs="Times New Roman"/>
          <w:sz w:val="24"/>
          <w:szCs w:val="24"/>
        </w:rPr>
        <w:t>S</w:t>
      </w:r>
      <w:r w:rsidRPr="00FC0AC3">
        <w:rPr>
          <w:rFonts w:ascii="Times New Roman" w:hAnsi="Times New Roman" w:cs="Times New Roman"/>
          <w:sz w:val="24"/>
          <w:szCs w:val="24"/>
        </w:rPr>
        <w:t>T) was administered</w:t>
      </w:r>
      <w:r>
        <w:rPr>
          <w:rFonts w:ascii="Times New Roman" w:hAnsi="Times New Roman" w:cs="Times New Roman"/>
          <w:sz w:val="24"/>
          <w:szCs w:val="24"/>
        </w:rPr>
        <w:t xml:space="preserve">, consists of 40 items, </w:t>
      </w:r>
      <w:r w:rsidRPr="00FC0AC3">
        <w:rPr>
          <w:rFonts w:ascii="Times New Roman" w:hAnsi="Times New Roman" w:cs="Times New Roman"/>
          <w:sz w:val="24"/>
          <w:szCs w:val="24"/>
        </w:rPr>
        <w:t xml:space="preserve">assessing </w:t>
      </w:r>
      <w:r w:rsidR="002843CA">
        <w:rPr>
          <w:rFonts w:ascii="Times New Roman" w:hAnsi="Times New Roman" w:cs="Times New Roman"/>
          <w:sz w:val="24"/>
          <w:szCs w:val="24"/>
        </w:rPr>
        <w:t xml:space="preserve">dimension wise </w:t>
      </w:r>
      <w:r w:rsidR="00423FF7">
        <w:rPr>
          <w:rFonts w:ascii="Times New Roman" w:hAnsi="Times New Roman" w:cs="Times New Roman"/>
          <w:sz w:val="24"/>
          <w:szCs w:val="24"/>
        </w:rPr>
        <w:t xml:space="preserve">such as </w:t>
      </w:r>
      <w:r w:rsidRPr="00FC0AC3">
        <w:rPr>
          <w:rFonts w:ascii="Times New Roman" w:hAnsi="Times New Roman" w:cs="Times New Roman"/>
          <w:sz w:val="24"/>
          <w:szCs w:val="24"/>
        </w:rPr>
        <w:t>Decomposition, Abstraction, Algorithmic Thinking, and Pattern Recognition.</w:t>
      </w:r>
      <w:r w:rsidR="00851A3D">
        <w:rPr>
          <w:rFonts w:ascii="Times New Roman" w:hAnsi="Times New Roman" w:cs="Times New Roman"/>
          <w:sz w:val="24"/>
          <w:szCs w:val="24"/>
        </w:rPr>
        <w:t xml:space="preserve"> the</w:t>
      </w:r>
      <w:r w:rsidR="00DB182B">
        <w:rPr>
          <w:rFonts w:ascii="Times New Roman" w:hAnsi="Times New Roman" w:cs="Times New Roman"/>
          <w:sz w:val="24"/>
          <w:szCs w:val="24"/>
        </w:rPr>
        <w:t xml:space="preserve"> </w:t>
      </w:r>
      <w:r w:rsidR="00851A3D" w:rsidRPr="00851A3D">
        <w:rPr>
          <w:rFonts w:ascii="Times New Roman" w:hAnsi="Times New Roman" w:cs="Times New Roman"/>
          <w:sz w:val="24"/>
          <w:szCs w:val="24"/>
        </w:rPr>
        <w:t xml:space="preserve">Percentage analysis revealed that 56.7% of students demonstrated a </w:t>
      </w:r>
      <w:r w:rsidR="00DB182B" w:rsidRPr="00851A3D">
        <w:rPr>
          <w:rFonts w:ascii="Times New Roman" w:hAnsi="Times New Roman" w:cs="Times New Roman"/>
          <w:sz w:val="24"/>
          <w:szCs w:val="24"/>
        </w:rPr>
        <w:t>medium</w:t>
      </w:r>
      <w:r w:rsidR="00851A3D" w:rsidRPr="00851A3D">
        <w:rPr>
          <w:rFonts w:ascii="Times New Roman" w:hAnsi="Times New Roman" w:cs="Times New Roman"/>
          <w:sz w:val="24"/>
          <w:szCs w:val="24"/>
        </w:rPr>
        <w:t xml:space="preserve"> level of CT, while 43.3% showed a Low level, and no student attained a High level of CT. Girls performed comparatively better than boys in CT proficiency, and 15-year-old students recorded the highest mean CT score. Dimension-wise analysis showed that Decomposition was the strongest CT skill, whereas Algorithmic Thinking was the weakest.</w:t>
      </w:r>
      <w:r w:rsidR="00CA01E7">
        <w:rPr>
          <w:rFonts w:ascii="Times New Roman" w:hAnsi="Times New Roman" w:cs="Times New Roman"/>
          <w:sz w:val="24"/>
          <w:szCs w:val="24"/>
        </w:rPr>
        <w:t xml:space="preserve"> </w:t>
      </w:r>
      <w:r w:rsidR="00CA01E7" w:rsidRPr="00CA01E7">
        <w:rPr>
          <w:rFonts w:ascii="Times New Roman" w:hAnsi="Times New Roman" w:cs="Times New Roman"/>
          <w:sz w:val="24"/>
          <w:szCs w:val="24"/>
        </w:rPr>
        <w:t xml:space="preserve">The findings </w:t>
      </w:r>
      <w:r w:rsidR="00CA01E7">
        <w:rPr>
          <w:rFonts w:ascii="Times New Roman" w:hAnsi="Times New Roman" w:cs="Times New Roman"/>
          <w:sz w:val="24"/>
          <w:szCs w:val="24"/>
        </w:rPr>
        <w:t xml:space="preserve">recommended that </w:t>
      </w:r>
      <w:r w:rsidR="00CA01E7" w:rsidRPr="00CA01E7">
        <w:rPr>
          <w:rFonts w:ascii="Times New Roman" w:hAnsi="Times New Roman" w:cs="Times New Roman"/>
          <w:sz w:val="24"/>
          <w:szCs w:val="24"/>
        </w:rPr>
        <w:t>moderate CT proficiency among Class 9 students and highlight the need for CT-based instructional interventions in alignment with the National Education Policy 2020 and the Central Board of Secondary Education CT and AI Curriculum Framework (2026–27).</w:t>
      </w:r>
    </w:p>
    <w:p w14:paraId="775CD11C" w14:textId="66BF0F3E" w:rsidR="00261F4E" w:rsidRDefault="00305F28" w:rsidP="00BF7679">
      <w:pPr>
        <w:spacing w:line="360" w:lineRule="auto"/>
        <w:jc w:val="both"/>
        <w:rPr>
          <w:rFonts w:ascii="Times New Roman" w:hAnsi="Times New Roman" w:cs="Times New Roman"/>
          <w:sz w:val="24"/>
          <w:szCs w:val="24"/>
        </w:rPr>
      </w:pPr>
      <w:r w:rsidRPr="00A23299">
        <w:rPr>
          <w:rFonts w:ascii="Times New Roman" w:hAnsi="Times New Roman" w:cs="Times New Roman"/>
          <w:b/>
          <w:bCs/>
          <w:sz w:val="24"/>
          <w:szCs w:val="24"/>
        </w:rPr>
        <w:lastRenderedPageBreak/>
        <w:t>Key words:</w:t>
      </w:r>
      <w:r>
        <w:rPr>
          <w:rFonts w:ascii="Times New Roman" w:hAnsi="Times New Roman" w:cs="Times New Roman"/>
          <w:sz w:val="24"/>
          <w:szCs w:val="24"/>
        </w:rPr>
        <w:t xml:space="preserve"> </w:t>
      </w:r>
      <w:r w:rsidR="00957E72" w:rsidRPr="00FC0AC3">
        <w:rPr>
          <w:rFonts w:ascii="Times New Roman" w:hAnsi="Times New Roman" w:cs="Times New Roman"/>
          <w:sz w:val="24"/>
          <w:szCs w:val="24"/>
        </w:rPr>
        <w:t>Computational Thinking, Class 9 students, secondary school, gender differences, age differences, descriptive study, NEP 2020, CT assessment</w:t>
      </w:r>
    </w:p>
    <w:p w14:paraId="2C595868" w14:textId="6EAC43AF" w:rsidR="00A93868" w:rsidRPr="00B07994" w:rsidRDefault="00A56930" w:rsidP="00B07994">
      <w:pPr>
        <w:pStyle w:val="ListParagraph"/>
        <w:numPr>
          <w:ilvl w:val="0"/>
          <w:numId w:val="8"/>
        </w:numPr>
        <w:rPr>
          <w:rFonts w:ascii="Times New Roman" w:hAnsi="Times New Roman" w:cs="Times New Roman"/>
          <w:b/>
          <w:bCs/>
          <w:sz w:val="24"/>
          <w:szCs w:val="24"/>
        </w:rPr>
      </w:pPr>
      <w:r w:rsidRPr="00B07994">
        <w:rPr>
          <w:rFonts w:ascii="Times New Roman" w:hAnsi="Times New Roman" w:cs="Times New Roman"/>
          <w:b/>
          <w:bCs/>
          <w:sz w:val="24"/>
          <w:szCs w:val="24"/>
        </w:rPr>
        <w:t xml:space="preserve">Introduction: </w:t>
      </w:r>
    </w:p>
    <w:p w14:paraId="32A386DD" w14:textId="32CAAECA" w:rsidR="007B5E7B" w:rsidRPr="00A93868" w:rsidRDefault="0077437C" w:rsidP="0077437C">
      <w:pPr>
        <w:pStyle w:val="ListParagraph"/>
        <w:spacing w:line="360" w:lineRule="auto"/>
        <w:ind w:left="360" w:firstLine="72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5E7B" w:rsidRPr="00A93868">
        <w:rPr>
          <w:rFonts w:ascii="Times New Roman" w:hAnsi="Times New Roman" w:cs="Times New Roman"/>
          <w:sz w:val="24"/>
          <w:szCs w:val="24"/>
        </w:rPr>
        <w:t xml:space="preserve">In </w:t>
      </w:r>
      <w:r w:rsidR="004E56FB" w:rsidRPr="00A93868">
        <w:rPr>
          <w:rFonts w:ascii="Times New Roman" w:hAnsi="Times New Roman" w:cs="Times New Roman"/>
          <w:sz w:val="24"/>
          <w:szCs w:val="24"/>
        </w:rPr>
        <w:t>the contemporary digital era,</w:t>
      </w:r>
      <w:r w:rsidR="0012339F" w:rsidRPr="00A93868">
        <w:rPr>
          <w:rFonts w:ascii="Times New Roman" w:hAnsi="Times New Roman" w:cs="Times New Roman"/>
          <w:sz w:val="24"/>
          <w:szCs w:val="24"/>
        </w:rPr>
        <w:t xml:space="preserve"> </w:t>
      </w:r>
      <w:r w:rsidR="007B5E7B" w:rsidRPr="00A93868">
        <w:rPr>
          <w:rFonts w:ascii="Times New Roman" w:hAnsi="Times New Roman" w:cs="Times New Roman"/>
          <w:sz w:val="24"/>
          <w:szCs w:val="24"/>
        </w:rPr>
        <w:t>defined by rapid technological advancement, the ability to think computationally has been identi</w:t>
      </w:r>
      <w:r w:rsidR="007E67A5" w:rsidRPr="00A93868">
        <w:rPr>
          <w:rFonts w:ascii="Times New Roman" w:hAnsi="Times New Roman" w:cs="Times New Roman"/>
          <w:sz w:val="24"/>
          <w:szCs w:val="24"/>
        </w:rPr>
        <w:t xml:space="preserve">fied and emerged </w:t>
      </w:r>
      <w:r w:rsidR="007B5E7B" w:rsidRPr="00A93868">
        <w:rPr>
          <w:rFonts w:ascii="Times New Roman" w:hAnsi="Times New Roman" w:cs="Times New Roman"/>
          <w:sz w:val="24"/>
          <w:szCs w:val="24"/>
        </w:rPr>
        <w:t>as one of the most critical competencies for students of the 21st century</w:t>
      </w:r>
      <w:r w:rsidR="007E67A5" w:rsidRPr="00A93868">
        <w:rPr>
          <w:rFonts w:ascii="Times New Roman" w:hAnsi="Times New Roman" w:cs="Times New Roman"/>
          <w:sz w:val="24"/>
          <w:szCs w:val="24"/>
        </w:rPr>
        <w:t xml:space="preserve"> learners.</w:t>
      </w:r>
      <w:r w:rsidR="00B72462" w:rsidRPr="00A93868">
        <w:rPr>
          <w:rFonts w:ascii="Times New Roman" w:hAnsi="Times New Roman" w:cs="Times New Roman"/>
          <w:sz w:val="24"/>
          <w:szCs w:val="24"/>
        </w:rPr>
        <w:t xml:space="preserve"> The term </w:t>
      </w:r>
      <w:r w:rsidR="007B5E7B" w:rsidRPr="00A93868">
        <w:rPr>
          <w:rFonts w:ascii="Times New Roman" w:hAnsi="Times New Roman" w:cs="Times New Roman"/>
          <w:sz w:val="24"/>
          <w:szCs w:val="24"/>
        </w:rPr>
        <w:t xml:space="preserve">Computational Thinking (CT) </w:t>
      </w:r>
      <w:r w:rsidR="00C45C76" w:rsidRPr="00A93868">
        <w:rPr>
          <w:rFonts w:ascii="Times New Roman" w:hAnsi="Times New Roman" w:cs="Times New Roman"/>
          <w:sz w:val="24"/>
          <w:szCs w:val="24"/>
        </w:rPr>
        <w:t>was popularized</w:t>
      </w:r>
      <w:r w:rsidR="007B5E7B" w:rsidRPr="00A93868">
        <w:rPr>
          <w:rFonts w:ascii="Times New Roman" w:hAnsi="Times New Roman" w:cs="Times New Roman"/>
          <w:sz w:val="24"/>
          <w:szCs w:val="24"/>
        </w:rPr>
        <w:t xml:space="preserve"> by Jeannette Wing in her landmark</w:t>
      </w:r>
      <w:r w:rsidR="00B72462" w:rsidRPr="00A93868">
        <w:rPr>
          <w:rFonts w:ascii="Times New Roman" w:hAnsi="Times New Roman" w:cs="Times New Roman"/>
          <w:sz w:val="24"/>
          <w:szCs w:val="24"/>
        </w:rPr>
        <w:t xml:space="preserve"> influential work </w:t>
      </w:r>
      <w:r w:rsidR="00C7592C" w:rsidRPr="00A93868">
        <w:rPr>
          <w:rFonts w:ascii="Times New Roman" w:hAnsi="Times New Roman" w:cs="Times New Roman"/>
          <w:sz w:val="24"/>
          <w:szCs w:val="24"/>
        </w:rPr>
        <w:t>in 2006</w:t>
      </w:r>
      <w:r w:rsidR="007B5E7B" w:rsidRPr="00A93868">
        <w:rPr>
          <w:rFonts w:ascii="Times New Roman" w:hAnsi="Times New Roman" w:cs="Times New Roman"/>
          <w:sz w:val="24"/>
          <w:szCs w:val="24"/>
        </w:rPr>
        <w:t xml:space="preserve"> </w:t>
      </w:r>
      <w:r w:rsidR="00C7592C" w:rsidRPr="00A93868">
        <w:rPr>
          <w:rFonts w:ascii="Times New Roman" w:hAnsi="Times New Roman" w:cs="Times New Roman"/>
          <w:sz w:val="24"/>
          <w:szCs w:val="24"/>
        </w:rPr>
        <w:t>essay encompasses</w:t>
      </w:r>
      <w:r w:rsidR="007B5E7B" w:rsidRPr="00A93868">
        <w:rPr>
          <w:rFonts w:ascii="Times New Roman" w:hAnsi="Times New Roman" w:cs="Times New Roman"/>
          <w:sz w:val="24"/>
          <w:szCs w:val="24"/>
        </w:rPr>
        <w:t xml:space="preserve"> a set of cognitive </w:t>
      </w:r>
      <w:r w:rsidR="00FC2CF9" w:rsidRPr="00A93868">
        <w:rPr>
          <w:rFonts w:ascii="Times New Roman" w:hAnsi="Times New Roman" w:cs="Times New Roman"/>
          <w:sz w:val="24"/>
          <w:szCs w:val="24"/>
        </w:rPr>
        <w:t>processes as an essential skill in the 21</w:t>
      </w:r>
      <w:r w:rsidR="00FC2CF9" w:rsidRPr="00A93868">
        <w:rPr>
          <w:rFonts w:ascii="Times New Roman" w:hAnsi="Times New Roman" w:cs="Times New Roman"/>
          <w:sz w:val="24"/>
          <w:szCs w:val="24"/>
          <w:vertAlign w:val="superscript"/>
        </w:rPr>
        <w:t>st</w:t>
      </w:r>
      <w:r w:rsidR="00FC2CF9" w:rsidRPr="00A93868">
        <w:rPr>
          <w:rFonts w:ascii="Times New Roman" w:hAnsi="Times New Roman" w:cs="Times New Roman"/>
          <w:sz w:val="24"/>
          <w:szCs w:val="24"/>
        </w:rPr>
        <w:t xml:space="preserve"> century </w:t>
      </w:r>
      <w:r w:rsidR="00C7592C" w:rsidRPr="00A93868">
        <w:rPr>
          <w:rFonts w:ascii="Times New Roman" w:hAnsi="Times New Roman" w:cs="Times New Roman"/>
          <w:sz w:val="24"/>
          <w:szCs w:val="24"/>
        </w:rPr>
        <w:t>like read, write</w:t>
      </w:r>
      <w:r w:rsidR="00C45C76" w:rsidRPr="00A93868">
        <w:rPr>
          <w:rFonts w:ascii="Times New Roman" w:hAnsi="Times New Roman" w:cs="Times New Roman"/>
          <w:sz w:val="24"/>
          <w:szCs w:val="24"/>
        </w:rPr>
        <w:t xml:space="preserve"> and</w:t>
      </w:r>
      <w:r w:rsidR="00825FC6" w:rsidRPr="00A93868">
        <w:rPr>
          <w:rFonts w:ascii="Times New Roman" w:hAnsi="Times New Roman" w:cs="Times New Roman"/>
          <w:sz w:val="24"/>
          <w:szCs w:val="24"/>
        </w:rPr>
        <w:t xml:space="preserve"> numerical ability </w:t>
      </w:r>
      <w:r w:rsidR="00C45C76" w:rsidRPr="00A93868">
        <w:rPr>
          <w:rFonts w:ascii="Times New Roman" w:hAnsi="Times New Roman" w:cs="Times New Roman"/>
          <w:sz w:val="24"/>
          <w:szCs w:val="24"/>
        </w:rPr>
        <w:t xml:space="preserve">which </w:t>
      </w:r>
      <w:r w:rsidR="00C7592C" w:rsidRPr="00A93868">
        <w:rPr>
          <w:rFonts w:ascii="Times New Roman" w:hAnsi="Times New Roman" w:cs="Times New Roman"/>
          <w:sz w:val="24"/>
          <w:szCs w:val="24"/>
        </w:rPr>
        <w:t>include problem</w:t>
      </w:r>
      <w:r w:rsidR="007B5E7B" w:rsidRPr="00A93868">
        <w:rPr>
          <w:rFonts w:ascii="Times New Roman" w:hAnsi="Times New Roman" w:cs="Times New Roman"/>
          <w:sz w:val="24"/>
          <w:szCs w:val="24"/>
        </w:rPr>
        <w:t xml:space="preserve"> decomposition, pattern recognition, abstraction, and algorithmic design, which enable individuals to formulate problems and express their solutions in ways that can be carried out by a computer or by humans (Wing, 2006). </w:t>
      </w:r>
      <w:r w:rsidR="0040128A" w:rsidRPr="00A93868">
        <w:rPr>
          <w:rFonts w:ascii="Times New Roman" w:hAnsi="Times New Roman" w:cs="Times New Roman"/>
          <w:sz w:val="24"/>
          <w:szCs w:val="24"/>
        </w:rPr>
        <w:t xml:space="preserve">Jennette </w:t>
      </w:r>
      <w:r w:rsidR="007B5E7B" w:rsidRPr="00A93868">
        <w:rPr>
          <w:rFonts w:ascii="Times New Roman" w:hAnsi="Times New Roman" w:cs="Times New Roman"/>
          <w:sz w:val="24"/>
          <w:szCs w:val="24"/>
        </w:rPr>
        <w:t xml:space="preserve">Wing argued that CT is "a fundamental skill for everyone, not just computer scientists," proposing its inclusion alongside reading, writing, and arithmetic in every child's analytical toolkit </w:t>
      </w:r>
      <w:r w:rsidR="000E7B31" w:rsidRPr="00A93868">
        <w:rPr>
          <w:rFonts w:ascii="Times New Roman" w:hAnsi="Times New Roman" w:cs="Times New Roman"/>
          <w:sz w:val="24"/>
          <w:szCs w:val="24"/>
        </w:rPr>
        <w:t xml:space="preserve">rather than being limited solely to the field of computer science. </w:t>
      </w:r>
      <w:r w:rsidR="007B5E7B" w:rsidRPr="00A93868">
        <w:rPr>
          <w:rFonts w:ascii="Times New Roman" w:hAnsi="Times New Roman" w:cs="Times New Roman"/>
          <w:sz w:val="24"/>
          <w:szCs w:val="24"/>
        </w:rPr>
        <w:t>(Wing, 2006, p. 33).</w:t>
      </w:r>
    </w:p>
    <w:p w14:paraId="141208AC" w14:textId="77777777" w:rsidR="00334EA4" w:rsidRDefault="00F3565E" w:rsidP="0077437C">
      <w:pPr>
        <w:pStyle w:val="ListParagraph"/>
        <w:spacing w:line="360" w:lineRule="auto"/>
        <w:ind w:left="360" w:firstLine="720"/>
        <w:jc w:val="both"/>
        <w:rPr>
          <w:rFonts w:ascii="Times New Roman" w:hAnsi="Times New Roman" w:cs="Times New Roman"/>
          <w:sz w:val="24"/>
          <w:szCs w:val="24"/>
        </w:rPr>
      </w:pPr>
      <w:r w:rsidRPr="00F3565E">
        <w:rPr>
          <w:rFonts w:ascii="Times New Roman" w:hAnsi="Times New Roman" w:cs="Times New Roman"/>
          <w:sz w:val="24"/>
          <w:szCs w:val="24"/>
        </w:rPr>
        <w:t>Following the seminar work by wing</w:t>
      </w:r>
      <w:r w:rsidR="00311058">
        <w:rPr>
          <w:rFonts w:ascii="Times New Roman" w:hAnsi="Times New Roman" w:cs="Times New Roman"/>
          <w:sz w:val="24"/>
          <w:szCs w:val="24"/>
        </w:rPr>
        <w:t xml:space="preserve"> in 2006, the CT emerged </w:t>
      </w:r>
      <w:r w:rsidR="00382D7B">
        <w:rPr>
          <w:rFonts w:ascii="Times New Roman" w:hAnsi="Times New Roman" w:cs="Times New Roman"/>
          <w:sz w:val="24"/>
          <w:szCs w:val="24"/>
        </w:rPr>
        <w:t xml:space="preserve">as a significant prominence </w:t>
      </w:r>
      <w:r w:rsidR="008D0BD3">
        <w:rPr>
          <w:rFonts w:ascii="Times New Roman" w:hAnsi="Times New Roman" w:cs="Times New Roman"/>
          <w:sz w:val="24"/>
          <w:szCs w:val="24"/>
        </w:rPr>
        <w:t>in educational research and</w:t>
      </w:r>
      <w:r w:rsidR="00F82958">
        <w:rPr>
          <w:rFonts w:ascii="Times New Roman" w:hAnsi="Times New Roman" w:cs="Times New Roman"/>
          <w:sz w:val="24"/>
          <w:szCs w:val="24"/>
        </w:rPr>
        <w:t xml:space="preserve"> curriculum reforms across the globe.</w:t>
      </w:r>
      <w:r w:rsidR="008F49A9">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Numerous countries </w:t>
      </w:r>
      <w:r w:rsidR="008F49A9">
        <w:rPr>
          <w:rFonts w:ascii="Times New Roman" w:hAnsi="Times New Roman" w:cs="Times New Roman"/>
          <w:sz w:val="24"/>
          <w:szCs w:val="24"/>
        </w:rPr>
        <w:t xml:space="preserve">such </w:t>
      </w:r>
      <w:r w:rsidR="00F27634">
        <w:rPr>
          <w:rFonts w:ascii="Times New Roman" w:hAnsi="Times New Roman" w:cs="Times New Roman"/>
          <w:sz w:val="24"/>
          <w:szCs w:val="24"/>
        </w:rPr>
        <w:t>as</w:t>
      </w:r>
      <w:r w:rsidR="008F49A9">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including the United States, the United Kingdom, Finland, Singapore, and Australia have integrated CT into their K–12 curricula (So et al., 2020). </w:t>
      </w:r>
      <w:r w:rsidR="00F27634">
        <w:rPr>
          <w:rFonts w:ascii="Times New Roman" w:hAnsi="Times New Roman" w:cs="Times New Roman"/>
          <w:sz w:val="24"/>
          <w:szCs w:val="24"/>
        </w:rPr>
        <w:t>Empirical r</w:t>
      </w:r>
      <w:r w:rsidR="00F82958" w:rsidRPr="00FC0AC3">
        <w:rPr>
          <w:rFonts w:ascii="Times New Roman" w:hAnsi="Times New Roman" w:cs="Times New Roman"/>
          <w:sz w:val="24"/>
          <w:szCs w:val="24"/>
        </w:rPr>
        <w:t>esearch</w:t>
      </w:r>
      <w:r w:rsidR="00F27634">
        <w:rPr>
          <w:rFonts w:ascii="Times New Roman" w:hAnsi="Times New Roman" w:cs="Times New Roman"/>
          <w:sz w:val="24"/>
          <w:szCs w:val="24"/>
        </w:rPr>
        <w:t xml:space="preserve"> studies </w:t>
      </w:r>
      <w:r w:rsidR="007D3C0C" w:rsidRPr="00FC0AC3">
        <w:rPr>
          <w:rFonts w:ascii="Times New Roman" w:hAnsi="Times New Roman" w:cs="Times New Roman"/>
          <w:sz w:val="24"/>
          <w:szCs w:val="24"/>
        </w:rPr>
        <w:t>have</w:t>
      </w:r>
      <w:r w:rsidR="00F82958" w:rsidRPr="00FC0AC3">
        <w:rPr>
          <w:rFonts w:ascii="Times New Roman" w:hAnsi="Times New Roman" w:cs="Times New Roman"/>
          <w:sz w:val="24"/>
          <w:szCs w:val="24"/>
        </w:rPr>
        <w:t xml:space="preserve"> consistently demonstrated that CT-enriched learning environments </w:t>
      </w:r>
      <w:r w:rsidR="00592E7A">
        <w:rPr>
          <w:rFonts w:ascii="Times New Roman" w:hAnsi="Times New Roman" w:cs="Times New Roman"/>
          <w:sz w:val="24"/>
          <w:szCs w:val="24"/>
        </w:rPr>
        <w:t xml:space="preserve">enhance </w:t>
      </w:r>
      <w:r w:rsidR="00F82958" w:rsidRPr="00FC0AC3">
        <w:rPr>
          <w:rFonts w:ascii="Times New Roman" w:hAnsi="Times New Roman" w:cs="Times New Roman"/>
          <w:sz w:val="24"/>
          <w:szCs w:val="24"/>
        </w:rPr>
        <w:t xml:space="preserve">students problem-solving abilities, logical reasoning, and academic performance across </w:t>
      </w:r>
      <w:r w:rsidR="00592E7A">
        <w:rPr>
          <w:rFonts w:ascii="Times New Roman" w:hAnsi="Times New Roman" w:cs="Times New Roman"/>
          <w:sz w:val="24"/>
          <w:szCs w:val="24"/>
        </w:rPr>
        <w:t xml:space="preserve">all </w:t>
      </w:r>
      <w:r w:rsidR="00F82958" w:rsidRPr="00FC0AC3">
        <w:rPr>
          <w:rFonts w:ascii="Times New Roman" w:hAnsi="Times New Roman" w:cs="Times New Roman"/>
          <w:sz w:val="24"/>
          <w:szCs w:val="24"/>
        </w:rPr>
        <w:t>disciplines (</w:t>
      </w:r>
      <w:proofErr w:type="spellStart"/>
      <w:r w:rsidR="00F82958" w:rsidRPr="00FC0AC3">
        <w:rPr>
          <w:rFonts w:ascii="Times New Roman" w:hAnsi="Times New Roman" w:cs="Times New Roman"/>
          <w:sz w:val="24"/>
          <w:szCs w:val="24"/>
        </w:rPr>
        <w:t>Chytas</w:t>
      </w:r>
      <w:proofErr w:type="spellEnd"/>
      <w:r w:rsidR="00F82958" w:rsidRPr="00FC0AC3">
        <w:rPr>
          <w:rFonts w:ascii="Times New Roman" w:hAnsi="Times New Roman" w:cs="Times New Roman"/>
          <w:sz w:val="24"/>
          <w:szCs w:val="24"/>
        </w:rPr>
        <w:t xml:space="preserve"> et al., 2024; </w:t>
      </w:r>
      <w:proofErr w:type="spellStart"/>
      <w:r w:rsidR="00F82958" w:rsidRPr="00FC0AC3">
        <w:rPr>
          <w:rFonts w:ascii="Times New Roman" w:hAnsi="Times New Roman" w:cs="Times New Roman"/>
          <w:sz w:val="24"/>
          <w:szCs w:val="24"/>
        </w:rPr>
        <w:t>Harangus</w:t>
      </w:r>
      <w:proofErr w:type="spellEnd"/>
      <w:r w:rsidR="00F82958" w:rsidRPr="00FC0AC3">
        <w:rPr>
          <w:rFonts w:ascii="Times New Roman" w:hAnsi="Times New Roman" w:cs="Times New Roman"/>
          <w:sz w:val="24"/>
          <w:szCs w:val="24"/>
        </w:rPr>
        <w:t xml:space="preserve"> &amp; K</w:t>
      </w:r>
      <w:r w:rsidR="00F82958">
        <w:rPr>
          <w:rFonts w:ascii="Times New Roman" w:hAnsi="Times New Roman" w:cs="Times New Roman"/>
          <w:sz w:val="24"/>
          <w:szCs w:val="24"/>
        </w:rPr>
        <w:t>a</w:t>
      </w:r>
      <w:r w:rsidR="00F82958" w:rsidRPr="00FC0AC3">
        <w:rPr>
          <w:rFonts w:ascii="Times New Roman" w:hAnsi="Times New Roman" w:cs="Times New Roman"/>
          <w:sz w:val="24"/>
          <w:szCs w:val="24"/>
        </w:rPr>
        <w:t xml:space="preserve">tai, 2020). </w:t>
      </w:r>
      <w:r w:rsidR="00DA7A66">
        <w:rPr>
          <w:rFonts w:ascii="Times New Roman" w:hAnsi="Times New Roman" w:cs="Times New Roman"/>
          <w:sz w:val="24"/>
          <w:szCs w:val="24"/>
        </w:rPr>
        <w:t>Conceptually, t</w:t>
      </w:r>
      <w:r w:rsidR="00F82958" w:rsidRPr="00FC0AC3">
        <w:rPr>
          <w:rFonts w:ascii="Times New Roman" w:hAnsi="Times New Roman" w:cs="Times New Roman"/>
          <w:sz w:val="24"/>
          <w:szCs w:val="24"/>
        </w:rPr>
        <w:t>he conceptual framewor</w:t>
      </w:r>
      <w:r w:rsidR="00DA7A66">
        <w:rPr>
          <w:rFonts w:ascii="Times New Roman" w:hAnsi="Times New Roman" w:cs="Times New Roman"/>
          <w:sz w:val="24"/>
          <w:szCs w:val="24"/>
        </w:rPr>
        <w:t xml:space="preserve">k </w:t>
      </w:r>
      <w:r w:rsidR="00AA376F">
        <w:rPr>
          <w:rFonts w:ascii="Times New Roman" w:hAnsi="Times New Roman" w:cs="Times New Roman"/>
          <w:sz w:val="24"/>
          <w:szCs w:val="24"/>
        </w:rPr>
        <w:t xml:space="preserve">of </w:t>
      </w:r>
      <w:r w:rsidR="00AA376F" w:rsidRPr="00FC0AC3">
        <w:rPr>
          <w:rFonts w:ascii="Times New Roman" w:hAnsi="Times New Roman" w:cs="Times New Roman"/>
          <w:sz w:val="24"/>
          <w:szCs w:val="24"/>
        </w:rPr>
        <w:t>CT</w:t>
      </w:r>
      <w:r w:rsidR="00F82958" w:rsidRPr="00FC0AC3">
        <w:rPr>
          <w:rFonts w:ascii="Times New Roman" w:hAnsi="Times New Roman" w:cs="Times New Roman"/>
          <w:sz w:val="24"/>
          <w:szCs w:val="24"/>
        </w:rPr>
        <w:t xml:space="preserve"> </w:t>
      </w:r>
      <w:r w:rsidR="00DA7A66">
        <w:rPr>
          <w:rFonts w:ascii="Times New Roman" w:hAnsi="Times New Roman" w:cs="Times New Roman"/>
          <w:sz w:val="24"/>
          <w:szCs w:val="24"/>
        </w:rPr>
        <w:t xml:space="preserve">grounded </w:t>
      </w:r>
      <w:r w:rsidR="00F82958" w:rsidRPr="00FC0AC3">
        <w:rPr>
          <w:rFonts w:ascii="Times New Roman" w:hAnsi="Times New Roman" w:cs="Times New Roman"/>
          <w:sz w:val="24"/>
          <w:szCs w:val="24"/>
        </w:rPr>
        <w:t>on four</w:t>
      </w:r>
      <w:r w:rsidR="00DA7A66">
        <w:rPr>
          <w:rFonts w:ascii="Times New Roman" w:hAnsi="Times New Roman" w:cs="Times New Roman"/>
          <w:sz w:val="24"/>
          <w:szCs w:val="24"/>
        </w:rPr>
        <w:t xml:space="preserve"> </w:t>
      </w:r>
      <w:r w:rsidR="00AA376F">
        <w:rPr>
          <w:rFonts w:ascii="Times New Roman" w:hAnsi="Times New Roman" w:cs="Times New Roman"/>
          <w:sz w:val="24"/>
          <w:szCs w:val="24"/>
        </w:rPr>
        <w:t xml:space="preserve">core </w:t>
      </w:r>
      <w:r w:rsidR="00AA376F" w:rsidRPr="00FC0AC3">
        <w:rPr>
          <w:rFonts w:ascii="Times New Roman" w:hAnsi="Times New Roman" w:cs="Times New Roman"/>
          <w:sz w:val="24"/>
          <w:szCs w:val="24"/>
        </w:rPr>
        <w:t>components</w:t>
      </w:r>
      <w:r w:rsidR="00DA7A66">
        <w:rPr>
          <w:rFonts w:ascii="Times New Roman" w:hAnsi="Times New Roman" w:cs="Times New Roman"/>
          <w:sz w:val="24"/>
          <w:szCs w:val="24"/>
        </w:rPr>
        <w:t xml:space="preserve"> of CT such as </w:t>
      </w:r>
      <w:r w:rsidR="00F82958" w:rsidRPr="00FC0AC3">
        <w:rPr>
          <w:rFonts w:ascii="Times New Roman" w:hAnsi="Times New Roman" w:cs="Times New Roman"/>
          <w:sz w:val="24"/>
          <w:szCs w:val="24"/>
        </w:rPr>
        <w:t xml:space="preserve">Decomposition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breaking complex problems into manageable parts</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Pattern Recognition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identifying similarities and patterns within and across problems</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Abstraction</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focusing on essential information while ignoring irrelevant details</w:t>
      </w:r>
      <w:r w:rsidR="00DA7A66">
        <w:rPr>
          <w:rFonts w:ascii="Times New Roman" w:hAnsi="Times New Roman" w:cs="Times New Roman"/>
          <w:sz w:val="24"/>
          <w:szCs w:val="24"/>
        </w:rPr>
        <w:t>)</w:t>
      </w:r>
      <w:r w:rsidR="00F82958" w:rsidRPr="00FC0AC3">
        <w:rPr>
          <w:rFonts w:ascii="Times New Roman" w:hAnsi="Times New Roman" w:cs="Times New Roman"/>
          <w:sz w:val="24"/>
          <w:szCs w:val="24"/>
        </w:rPr>
        <w:t xml:space="preserve"> and</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Algorithmic Thinking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developing step-by-step solutions that can be systematically applied (Wing, 2006; CSTA &amp; ISTE, 2011).</w:t>
      </w:r>
    </w:p>
    <w:p w14:paraId="61230DCA" w14:textId="1A4C9CA8" w:rsidR="00AA1E7C" w:rsidRPr="00FC0AC3" w:rsidRDefault="00AA1E7C" w:rsidP="0077437C">
      <w:pPr>
        <w:pStyle w:val="ListParagraph"/>
        <w:spacing w:line="360" w:lineRule="auto"/>
        <w:ind w:left="360" w:firstLine="720"/>
        <w:jc w:val="both"/>
        <w:rPr>
          <w:rFonts w:ascii="Times New Roman" w:hAnsi="Times New Roman" w:cs="Times New Roman"/>
          <w:sz w:val="24"/>
          <w:szCs w:val="24"/>
        </w:rPr>
      </w:pPr>
      <w:r w:rsidRPr="00FC0AC3">
        <w:rPr>
          <w:rFonts w:ascii="Times New Roman" w:hAnsi="Times New Roman" w:cs="Times New Roman"/>
          <w:sz w:val="24"/>
          <w:szCs w:val="24"/>
        </w:rPr>
        <w:t xml:space="preserve">Despite the </w:t>
      </w:r>
      <w:r w:rsidR="000D56D9">
        <w:rPr>
          <w:rFonts w:ascii="Times New Roman" w:hAnsi="Times New Roman" w:cs="Times New Roman"/>
          <w:sz w:val="24"/>
          <w:szCs w:val="24"/>
        </w:rPr>
        <w:t xml:space="preserve">increasing the </w:t>
      </w:r>
      <w:r w:rsidRPr="00FC0AC3">
        <w:rPr>
          <w:rFonts w:ascii="Times New Roman" w:hAnsi="Times New Roman" w:cs="Times New Roman"/>
          <w:sz w:val="24"/>
          <w:szCs w:val="24"/>
        </w:rPr>
        <w:t>global momentum</w:t>
      </w:r>
      <w:r w:rsidR="000D56D9">
        <w:rPr>
          <w:rFonts w:ascii="Times New Roman" w:hAnsi="Times New Roman" w:cs="Times New Roman"/>
          <w:sz w:val="24"/>
          <w:szCs w:val="24"/>
        </w:rPr>
        <w:t xml:space="preserve"> on emphasizes of </w:t>
      </w:r>
      <w:r w:rsidR="006C20D9">
        <w:rPr>
          <w:rFonts w:ascii="Times New Roman" w:hAnsi="Times New Roman" w:cs="Times New Roman"/>
          <w:sz w:val="24"/>
          <w:szCs w:val="24"/>
        </w:rPr>
        <w:t xml:space="preserve">CT, </w:t>
      </w:r>
      <w:r w:rsidR="006C20D9" w:rsidRPr="00FC0AC3">
        <w:rPr>
          <w:rFonts w:ascii="Times New Roman" w:hAnsi="Times New Roman" w:cs="Times New Roman"/>
          <w:sz w:val="24"/>
          <w:szCs w:val="24"/>
        </w:rPr>
        <w:t>the</w:t>
      </w:r>
      <w:r w:rsidRPr="00FC0AC3">
        <w:rPr>
          <w:rFonts w:ascii="Times New Roman" w:hAnsi="Times New Roman" w:cs="Times New Roman"/>
          <w:sz w:val="24"/>
          <w:szCs w:val="24"/>
        </w:rPr>
        <w:t xml:space="preserve"> integration of CT in Indian secondary education has been </w:t>
      </w:r>
      <w:r w:rsidR="006C20D9">
        <w:rPr>
          <w:rFonts w:ascii="Times New Roman" w:hAnsi="Times New Roman" w:cs="Times New Roman"/>
          <w:sz w:val="24"/>
          <w:szCs w:val="24"/>
        </w:rPr>
        <w:t xml:space="preserve">progressed </w:t>
      </w:r>
      <w:r w:rsidRPr="00FC0AC3">
        <w:rPr>
          <w:rFonts w:ascii="Times New Roman" w:hAnsi="Times New Roman" w:cs="Times New Roman"/>
          <w:sz w:val="24"/>
          <w:szCs w:val="24"/>
        </w:rPr>
        <w:t>comparatively slow.</w:t>
      </w:r>
      <w:r w:rsidR="007158D8">
        <w:rPr>
          <w:rFonts w:ascii="Times New Roman" w:hAnsi="Times New Roman" w:cs="Times New Roman"/>
          <w:sz w:val="24"/>
          <w:szCs w:val="24"/>
        </w:rPr>
        <w:t xml:space="preserve"> The </w:t>
      </w:r>
      <w:r w:rsidRPr="00FC0AC3">
        <w:rPr>
          <w:rFonts w:ascii="Times New Roman" w:hAnsi="Times New Roman" w:cs="Times New Roman"/>
          <w:sz w:val="24"/>
          <w:szCs w:val="24"/>
        </w:rPr>
        <w:t>India's National Education Policy (NEP) 2020 explicitly emphasized the development of 21st-century</w:t>
      </w:r>
      <w:r w:rsidR="002E0295">
        <w:rPr>
          <w:rFonts w:ascii="Times New Roman" w:hAnsi="Times New Roman" w:cs="Times New Roman"/>
          <w:sz w:val="24"/>
          <w:szCs w:val="24"/>
        </w:rPr>
        <w:t xml:space="preserve"> competencies</w:t>
      </w:r>
      <w:r w:rsidRPr="00FC0AC3">
        <w:rPr>
          <w:rFonts w:ascii="Times New Roman" w:hAnsi="Times New Roman" w:cs="Times New Roman"/>
          <w:sz w:val="24"/>
          <w:szCs w:val="24"/>
        </w:rPr>
        <w:t>, including computational and critical thinking, as core competencies</w:t>
      </w:r>
      <w:r w:rsidR="003F6192">
        <w:rPr>
          <w:rFonts w:ascii="Times New Roman" w:hAnsi="Times New Roman" w:cs="Times New Roman"/>
          <w:sz w:val="24"/>
          <w:szCs w:val="24"/>
        </w:rPr>
        <w:t xml:space="preserve"> such as </w:t>
      </w:r>
      <w:r w:rsidR="003F6192">
        <w:rPr>
          <w:rFonts w:ascii="Times New Roman" w:hAnsi="Times New Roman" w:cs="Times New Roman"/>
          <w:sz w:val="24"/>
          <w:szCs w:val="24"/>
        </w:rPr>
        <w:lastRenderedPageBreak/>
        <w:t xml:space="preserve">across all </w:t>
      </w:r>
      <w:r w:rsidR="004C7AD4">
        <w:rPr>
          <w:rFonts w:ascii="Times New Roman" w:hAnsi="Times New Roman" w:cs="Times New Roman"/>
          <w:sz w:val="24"/>
          <w:szCs w:val="24"/>
        </w:rPr>
        <w:t>stages</w:t>
      </w:r>
      <w:r w:rsidR="003F6192">
        <w:rPr>
          <w:rFonts w:ascii="Times New Roman" w:hAnsi="Times New Roman" w:cs="Times New Roman"/>
          <w:sz w:val="24"/>
          <w:szCs w:val="24"/>
        </w:rPr>
        <w:t xml:space="preserve"> of the </w:t>
      </w:r>
      <w:r w:rsidR="004C7AD4">
        <w:rPr>
          <w:rFonts w:ascii="Times New Roman" w:hAnsi="Times New Roman" w:cs="Times New Roman"/>
          <w:sz w:val="24"/>
          <w:szCs w:val="24"/>
        </w:rPr>
        <w:t>school education like from</w:t>
      </w:r>
      <w:r w:rsidRPr="00FC0AC3">
        <w:rPr>
          <w:rFonts w:ascii="Times New Roman" w:hAnsi="Times New Roman" w:cs="Times New Roman"/>
          <w:sz w:val="24"/>
          <w:szCs w:val="24"/>
        </w:rPr>
        <w:t xml:space="preserve"> foundational to secondary level (</w:t>
      </w:r>
      <w:r w:rsidR="007158D8">
        <w:rPr>
          <w:rFonts w:ascii="Times New Roman" w:hAnsi="Times New Roman" w:cs="Times New Roman"/>
          <w:sz w:val="24"/>
          <w:szCs w:val="24"/>
        </w:rPr>
        <w:t>NEP</w:t>
      </w:r>
      <w:r w:rsidRPr="00FC0AC3">
        <w:rPr>
          <w:rFonts w:ascii="Times New Roman" w:hAnsi="Times New Roman" w:cs="Times New Roman"/>
          <w:sz w:val="24"/>
          <w:szCs w:val="24"/>
        </w:rPr>
        <w:t xml:space="preserve">, 2020). </w:t>
      </w:r>
      <w:r w:rsidR="00F3493B">
        <w:rPr>
          <w:rFonts w:ascii="Times New Roman" w:hAnsi="Times New Roman" w:cs="Times New Roman"/>
          <w:sz w:val="24"/>
          <w:szCs w:val="24"/>
        </w:rPr>
        <w:t xml:space="preserve"> In alignment </w:t>
      </w:r>
      <w:r w:rsidR="00334EA4">
        <w:rPr>
          <w:rFonts w:ascii="Times New Roman" w:hAnsi="Times New Roman" w:cs="Times New Roman"/>
          <w:sz w:val="24"/>
          <w:szCs w:val="24"/>
        </w:rPr>
        <w:t>with this</w:t>
      </w:r>
      <w:r w:rsidR="00F3493B">
        <w:rPr>
          <w:rFonts w:ascii="Times New Roman" w:hAnsi="Times New Roman" w:cs="Times New Roman"/>
          <w:sz w:val="24"/>
          <w:szCs w:val="24"/>
        </w:rPr>
        <w:t xml:space="preserve"> vision, </w:t>
      </w:r>
      <w:r w:rsidR="00B6516B">
        <w:rPr>
          <w:rFonts w:ascii="Times New Roman" w:hAnsi="Times New Roman" w:cs="Times New Roman"/>
          <w:sz w:val="24"/>
          <w:szCs w:val="24"/>
        </w:rPr>
        <w:t xml:space="preserve">by </w:t>
      </w:r>
      <w:r w:rsidR="00FF464E" w:rsidRPr="00FC0AC3">
        <w:rPr>
          <w:rFonts w:ascii="Times New Roman" w:hAnsi="Times New Roman" w:cs="Times New Roman"/>
          <w:sz w:val="24"/>
          <w:szCs w:val="24"/>
        </w:rPr>
        <w:t>reinforcing</w:t>
      </w:r>
      <w:r w:rsidRPr="00FC0AC3">
        <w:rPr>
          <w:rFonts w:ascii="Times New Roman" w:hAnsi="Times New Roman" w:cs="Times New Roman"/>
          <w:sz w:val="24"/>
          <w:szCs w:val="24"/>
        </w:rPr>
        <w:t xml:space="preserve"> this vision, the Central Board of Secondary Education (CBSE) launched its Curriculum on Computational Thinking and Artificial Intelligence for Classes III to VIII in the academic session 2026–27, marking a transformative shift toward early-stage CT education aligned with the NCF-SE 2023 (CBSE, 2026).</w:t>
      </w:r>
      <w:r w:rsidR="00334EA4">
        <w:rPr>
          <w:rFonts w:ascii="Times New Roman" w:hAnsi="Times New Roman" w:cs="Times New Roman"/>
          <w:sz w:val="24"/>
          <w:szCs w:val="24"/>
        </w:rPr>
        <w:t xml:space="preserve"> </w:t>
      </w:r>
      <w:r w:rsidR="0094288D">
        <w:rPr>
          <w:rFonts w:ascii="Times New Roman" w:hAnsi="Times New Roman" w:cs="Times New Roman"/>
          <w:sz w:val="24"/>
          <w:szCs w:val="24"/>
        </w:rPr>
        <w:t xml:space="preserve">Nevertheless, </w:t>
      </w:r>
      <w:r w:rsidRPr="00FC0AC3">
        <w:rPr>
          <w:rFonts w:ascii="Times New Roman" w:hAnsi="Times New Roman" w:cs="Times New Roman"/>
          <w:sz w:val="24"/>
          <w:szCs w:val="24"/>
        </w:rPr>
        <w:t>a signifi</w:t>
      </w:r>
      <w:r w:rsidR="00F73710">
        <w:rPr>
          <w:rFonts w:ascii="Times New Roman" w:hAnsi="Times New Roman" w:cs="Times New Roman"/>
          <w:sz w:val="24"/>
          <w:szCs w:val="24"/>
        </w:rPr>
        <w:t xml:space="preserve">cant </w:t>
      </w:r>
      <w:r w:rsidR="00300E92">
        <w:rPr>
          <w:rFonts w:ascii="Times New Roman" w:hAnsi="Times New Roman" w:cs="Times New Roman"/>
          <w:sz w:val="24"/>
          <w:szCs w:val="24"/>
        </w:rPr>
        <w:t xml:space="preserve">research </w:t>
      </w:r>
      <w:r w:rsidR="00300E92" w:rsidRPr="00FC0AC3">
        <w:rPr>
          <w:rFonts w:ascii="Times New Roman" w:hAnsi="Times New Roman" w:cs="Times New Roman"/>
          <w:sz w:val="24"/>
          <w:szCs w:val="24"/>
        </w:rPr>
        <w:t>gap</w:t>
      </w:r>
      <w:r w:rsidR="00782995">
        <w:rPr>
          <w:rFonts w:ascii="Times New Roman" w:hAnsi="Times New Roman" w:cs="Times New Roman"/>
          <w:sz w:val="24"/>
          <w:szCs w:val="24"/>
        </w:rPr>
        <w:t xml:space="preserve"> persists </w:t>
      </w:r>
      <w:r w:rsidRPr="00FC0AC3">
        <w:rPr>
          <w:rFonts w:ascii="Times New Roman" w:hAnsi="Times New Roman" w:cs="Times New Roman"/>
          <w:sz w:val="24"/>
          <w:szCs w:val="24"/>
        </w:rPr>
        <w:t xml:space="preserve">while policy frameworks articulate the importance of CT, empirical research assessing the actual CT levels of Indian secondary school students particularly at the </w:t>
      </w:r>
      <w:r w:rsidR="004D5530">
        <w:rPr>
          <w:rFonts w:ascii="Times New Roman" w:hAnsi="Times New Roman" w:cs="Times New Roman"/>
          <w:sz w:val="24"/>
          <w:szCs w:val="24"/>
        </w:rPr>
        <w:t>secondary</w:t>
      </w:r>
      <w:r w:rsidR="00300E92">
        <w:rPr>
          <w:rFonts w:ascii="Times New Roman" w:hAnsi="Times New Roman" w:cs="Times New Roman"/>
          <w:sz w:val="24"/>
          <w:szCs w:val="24"/>
        </w:rPr>
        <w:t xml:space="preserve"> stage student’s proficiency level was </w:t>
      </w:r>
      <w:r w:rsidRPr="00FC0AC3">
        <w:rPr>
          <w:rFonts w:ascii="Times New Roman" w:hAnsi="Times New Roman" w:cs="Times New Roman"/>
          <w:sz w:val="24"/>
          <w:szCs w:val="24"/>
        </w:rPr>
        <w:t>limited.</w:t>
      </w:r>
    </w:p>
    <w:p w14:paraId="7FA2EB12" w14:textId="2FB744AC" w:rsidR="00F3565E" w:rsidRDefault="0092476A" w:rsidP="0077437C">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 Indian education </w:t>
      </w:r>
      <w:r w:rsidR="00A172C5">
        <w:rPr>
          <w:rFonts w:ascii="Times New Roman" w:hAnsi="Times New Roman" w:cs="Times New Roman"/>
          <w:sz w:val="24"/>
          <w:szCs w:val="24"/>
        </w:rPr>
        <w:t xml:space="preserve">schooling </w:t>
      </w:r>
      <w:r w:rsidR="00EC4134">
        <w:rPr>
          <w:rFonts w:ascii="Times New Roman" w:hAnsi="Times New Roman" w:cs="Times New Roman"/>
          <w:sz w:val="24"/>
          <w:szCs w:val="24"/>
        </w:rPr>
        <w:t>system, the</w:t>
      </w:r>
      <w:r w:rsidR="00A172C5">
        <w:rPr>
          <w:rFonts w:ascii="Times New Roman" w:hAnsi="Times New Roman" w:cs="Times New Roman"/>
          <w:sz w:val="24"/>
          <w:szCs w:val="24"/>
        </w:rPr>
        <w:t xml:space="preserve"> secondary stage especially class 9</w:t>
      </w:r>
      <w:r w:rsidR="00A172C5" w:rsidRPr="00A172C5">
        <w:rPr>
          <w:rFonts w:ascii="Times New Roman" w:hAnsi="Times New Roman" w:cs="Times New Roman"/>
          <w:sz w:val="24"/>
          <w:szCs w:val="24"/>
          <w:vertAlign w:val="superscript"/>
        </w:rPr>
        <w:t>th</w:t>
      </w:r>
      <w:r w:rsidR="00A172C5">
        <w:rPr>
          <w:rFonts w:ascii="Times New Roman" w:hAnsi="Times New Roman" w:cs="Times New Roman"/>
          <w:sz w:val="24"/>
          <w:szCs w:val="24"/>
        </w:rPr>
        <w:t xml:space="preserve"> is </w:t>
      </w:r>
      <w:r w:rsidR="004355BF">
        <w:rPr>
          <w:rFonts w:ascii="Times New Roman" w:hAnsi="Times New Roman" w:cs="Times New Roman"/>
          <w:sz w:val="24"/>
          <w:szCs w:val="24"/>
        </w:rPr>
        <w:t xml:space="preserve">very crucial stage, where </w:t>
      </w:r>
      <w:r w:rsidR="0028284C">
        <w:rPr>
          <w:rFonts w:ascii="Times New Roman" w:hAnsi="Times New Roman" w:cs="Times New Roman"/>
          <w:sz w:val="24"/>
          <w:szCs w:val="24"/>
        </w:rPr>
        <w:t>students gradually</w:t>
      </w:r>
      <w:r w:rsidR="005749ED">
        <w:rPr>
          <w:rFonts w:ascii="Times New Roman" w:hAnsi="Times New Roman" w:cs="Times New Roman"/>
          <w:sz w:val="24"/>
          <w:szCs w:val="24"/>
        </w:rPr>
        <w:t xml:space="preserve"> develop their higher order thinking skills f</w:t>
      </w:r>
      <w:r w:rsidR="00EC4134">
        <w:rPr>
          <w:rFonts w:ascii="Times New Roman" w:hAnsi="Times New Roman" w:cs="Times New Roman"/>
          <w:sz w:val="24"/>
          <w:szCs w:val="24"/>
        </w:rPr>
        <w:t xml:space="preserve">rom formal operational thinking abilities within the age group of 13 to 15 years. </w:t>
      </w:r>
      <w:r w:rsidR="003162F2">
        <w:rPr>
          <w:rFonts w:ascii="Times New Roman" w:hAnsi="Times New Roman" w:cs="Times New Roman"/>
          <w:sz w:val="24"/>
          <w:szCs w:val="24"/>
        </w:rPr>
        <w:t xml:space="preserve"> The study by </w:t>
      </w:r>
      <w:r w:rsidR="003162F2" w:rsidRPr="003162F2">
        <w:rPr>
          <w:rFonts w:ascii="Times New Roman" w:hAnsi="Times New Roman" w:cs="Times New Roman"/>
          <w:sz w:val="24"/>
          <w:szCs w:val="24"/>
        </w:rPr>
        <w:t>(Jiang et al., 2022</w:t>
      </w:r>
      <w:r w:rsidR="007B685C" w:rsidRPr="003162F2">
        <w:rPr>
          <w:rFonts w:ascii="Times New Roman" w:hAnsi="Times New Roman" w:cs="Times New Roman"/>
          <w:sz w:val="24"/>
          <w:szCs w:val="24"/>
        </w:rPr>
        <w:t>).</w:t>
      </w:r>
      <w:r w:rsidR="007B685C">
        <w:rPr>
          <w:rFonts w:ascii="Times New Roman" w:hAnsi="Times New Roman" w:cs="Times New Roman"/>
          <w:sz w:val="24"/>
          <w:szCs w:val="24"/>
        </w:rPr>
        <w:t xml:space="preserve"> Suggested</w:t>
      </w:r>
      <w:r w:rsidR="009D0E02">
        <w:rPr>
          <w:rFonts w:ascii="Times New Roman" w:hAnsi="Times New Roman" w:cs="Times New Roman"/>
          <w:sz w:val="24"/>
          <w:szCs w:val="24"/>
        </w:rPr>
        <w:t xml:space="preserve"> that, e</w:t>
      </w:r>
      <w:r w:rsidR="005E3841">
        <w:rPr>
          <w:rFonts w:ascii="Times New Roman" w:hAnsi="Times New Roman" w:cs="Times New Roman"/>
          <w:sz w:val="24"/>
          <w:szCs w:val="24"/>
        </w:rPr>
        <w:t xml:space="preserve">specially the secondary stage is very crucial for the development of </w:t>
      </w:r>
      <w:r w:rsidR="00B07EFC">
        <w:rPr>
          <w:rFonts w:ascii="Times New Roman" w:hAnsi="Times New Roman" w:cs="Times New Roman"/>
          <w:sz w:val="24"/>
          <w:szCs w:val="24"/>
        </w:rPr>
        <w:t xml:space="preserve">thinking process that highly conducive </w:t>
      </w:r>
      <w:r w:rsidR="0015558E">
        <w:rPr>
          <w:rFonts w:ascii="Times New Roman" w:hAnsi="Times New Roman" w:cs="Times New Roman"/>
          <w:sz w:val="24"/>
          <w:szCs w:val="24"/>
        </w:rPr>
        <w:t>to the acquisition and enhancement of computational thinking skills (CT</w:t>
      </w:r>
      <w:r w:rsidR="007B685C">
        <w:rPr>
          <w:rFonts w:ascii="Times New Roman" w:hAnsi="Times New Roman" w:cs="Times New Roman"/>
          <w:sz w:val="24"/>
          <w:szCs w:val="24"/>
        </w:rPr>
        <w:t>S</w:t>
      </w:r>
      <w:r w:rsidR="0015558E">
        <w:rPr>
          <w:rFonts w:ascii="Times New Roman" w:hAnsi="Times New Roman" w:cs="Times New Roman"/>
          <w:sz w:val="24"/>
          <w:szCs w:val="24"/>
        </w:rPr>
        <w:t xml:space="preserve">). </w:t>
      </w:r>
      <w:r w:rsidR="00365813">
        <w:rPr>
          <w:rFonts w:ascii="Times New Roman" w:hAnsi="Times New Roman" w:cs="Times New Roman"/>
          <w:sz w:val="24"/>
          <w:szCs w:val="24"/>
        </w:rPr>
        <w:t xml:space="preserve">At this juncture therefore, to </w:t>
      </w:r>
      <w:r w:rsidR="0041417F">
        <w:rPr>
          <w:rFonts w:ascii="Times New Roman" w:hAnsi="Times New Roman" w:cs="Times New Roman"/>
          <w:sz w:val="24"/>
          <w:szCs w:val="24"/>
        </w:rPr>
        <w:t>examine the CT level profi</w:t>
      </w:r>
      <w:r w:rsidR="00BA13BC">
        <w:rPr>
          <w:rFonts w:ascii="Times New Roman" w:hAnsi="Times New Roman" w:cs="Times New Roman"/>
          <w:sz w:val="24"/>
          <w:szCs w:val="24"/>
        </w:rPr>
        <w:t xml:space="preserve">ciency at </w:t>
      </w:r>
      <w:r w:rsidR="00D76827">
        <w:rPr>
          <w:rFonts w:ascii="Times New Roman" w:hAnsi="Times New Roman" w:cs="Times New Roman"/>
          <w:sz w:val="24"/>
          <w:szCs w:val="24"/>
        </w:rPr>
        <w:t>secondary stage</w:t>
      </w:r>
      <w:r w:rsidR="00BA13BC">
        <w:rPr>
          <w:rFonts w:ascii="Times New Roman" w:hAnsi="Times New Roman" w:cs="Times New Roman"/>
          <w:sz w:val="24"/>
          <w:szCs w:val="24"/>
        </w:rPr>
        <w:t xml:space="preserve"> is essential for </w:t>
      </w:r>
      <w:r w:rsidR="00AC261C">
        <w:rPr>
          <w:rFonts w:ascii="Times New Roman" w:hAnsi="Times New Roman" w:cs="Times New Roman"/>
          <w:sz w:val="24"/>
          <w:szCs w:val="24"/>
        </w:rPr>
        <w:t xml:space="preserve">developing instructional strategies </w:t>
      </w:r>
      <w:r w:rsidR="00AF72FE">
        <w:rPr>
          <w:rFonts w:ascii="Times New Roman" w:hAnsi="Times New Roman" w:cs="Times New Roman"/>
          <w:sz w:val="24"/>
          <w:szCs w:val="24"/>
        </w:rPr>
        <w:t xml:space="preserve">and interventions which are pedagogically sound in the context of problem solving and </w:t>
      </w:r>
      <w:r w:rsidR="008575AD">
        <w:rPr>
          <w:rFonts w:ascii="Times New Roman" w:hAnsi="Times New Roman" w:cs="Times New Roman"/>
          <w:sz w:val="24"/>
          <w:szCs w:val="24"/>
        </w:rPr>
        <w:t xml:space="preserve">for establishing reliable assessment </w:t>
      </w:r>
      <w:r w:rsidR="007C1E7B">
        <w:rPr>
          <w:rFonts w:ascii="Times New Roman" w:hAnsi="Times New Roman" w:cs="Times New Roman"/>
          <w:sz w:val="24"/>
          <w:szCs w:val="24"/>
        </w:rPr>
        <w:t>which are suitable for the in Indian education</w:t>
      </w:r>
      <w:r w:rsidR="00606741">
        <w:rPr>
          <w:rFonts w:ascii="Times New Roman" w:hAnsi="Times New Roman" w:cs="Times New Roman"/>
          <w:sz w:val="24"/>
          <w:szCs w:val="24"/>
        </w:rPr>
        <w:t xml:space="preserve">al context. </w:t>
      </w:r>
    </w:p>
    <w:p w14:paraId="76DDC29E" w14:textId="4F90A921" w:rsidR="00F3565E" w:rsidRPr="00F3565E" w:rsidRDefault="00C41190" w:rsidP="0077437C">
      <w:pPr>
        <w:pStyle w:val="ListParagraph"/>
        <w:spacing w:line="360" w:lineRule="auto"/>
        <w:ind w:left="360" w:firstLine="720"/>
        <w:jc w:val="both"/>
        <w:rPr>
          <w:rFonts w:ascii="Times New Roman" w:hAnsi="Times New Roman" w:cs="Times New Roman"/>
          <w:sz w:val="24"/>
          <w:szCs w:val="24"/>
        </w:rPr>
      </w:pPr>
      <w:r w:rsidRPr="00C41190">
        <w:rPr>
          <w:rFonts w:ascii="Times New Roman" w:hAnsi="Times New Roman" w:cs="Times New Roman"/>
          <w:sz w:val="24"/>
          <w:szCs w:val="24"/>
        </w:rPr>
        <w:t xml:space="preserve">The present study attempts to address this research gap by administering a validated 40-item Computational Thinking Test (CTT) </w:t>
      </w:r>
      <w:r w:rsidR="00F720E2">
        <w:rPr>
          <w:rFonts w:ascii="Times New Roman" w:hAnsi="Times New Roman" w:cs="Times New Roman"/>
          <w:sz w:val="24"/>
          <w:szCs w:val="24"/>
        </w:rPr>
        <w:t xml:space="preserve">on </w:t>
      </w:r>
      <w:r w:rsidRPr="00C41190">
        <w:rPr>
          <w:rFonts w:ascii="Times New Roman" w:hAnsi="Times New Roman" w:cs="Times New Roman"/>
          <w:sz w:val="24"/>
          <w:szCs w:val="24"/>
        </w:rPr>
        <w:t>Class 9 students</w:t>
      </w:r>
      <w:r w:rsidR="00F720E2">
        <w:rPr>
          <w:rFonts w:ascii="Times New Roman" w:hAnsi="Times New Roman" w:cs="Times New Roman"/>
          <w:sz w:val="24"/>
          <w:szCs w:val="24"/>
        </w:rPr>
        <w:t xml:space="preserve"> o</w:t>
      </w:r>
      <w:r w:rsidR="00795C80">
        <w:rPr>
          <w:rFonts w:ascii="Times New Roman" w:hAnsi="Times New Roman" w:cs="Times New Roman"/>
          <w:sz w:val="24"/>
          <w:szCs w:val="24"/>
        </w:rPr>
        <w:t>f secondary school students</w:t>
      </w:r>
      <w:r w:rsidRPr="00C41190">
        <w:rPr>
          <w:rFonts w:ascii="Times New Roman" w:hAnsi="Times New Roman" w:cs="Times New Roman"/>
          <w:sz w:val="24"/>
          <w:szCs w:val="24"/>
        </w:rPr>
        <w:t xml:space="preserve"> and employing descriptive percentage analysis to examine the distribution of CT levels across gender, age, and</w:t>
      </w:r>
      <w:r w:rsidR="00795C80">
        <w:rPr>
          <w:rFonts w:ascii="Times New Roman" w:hAnsi="Times New Roman" w:cs="Times New Roman"/>
          <w:sz w:val="24"/>
          <w:szCs w:val="24"/>
        </w:rPr>
        <w:t xml:space="preserve"> dimension wise analysis</w:t>
      </w:r>
      <w:r w:rsidRPr="00C41190">
        <w:rPr>
          <w:rFonts w:ascii="Times New Roman" w:hAnsi="Times New Roman" w:cs="Times New Roman"/>
          <w:sz w:val="24"/>
          <w:szCs w:val="24"/>
        </w:rPr>
        <w:t>. The study contributes to the emerging body of research on CT assessment within South Asian secondary education and offers empirical, data-driven insights for teachers, curriculum developers, and educational policymakers.</w:t>
      </w:r>
    </w:p>
    <w:p w14:paraId="6F9DD804" w14:textId="0F8F4D63" w:rsidR="00230DF3" w:rsidRPr="00B07994" w:rsidRDefault="008E67E8" w:rsidP="007956DF">
      <w:pPr>
        <w:pStyle w:val="ListParagraph"/>
        <w:numPr>
          <w:ilvl w:val="1"/>
          <w:numId w:val="1"/>
        </w:numPr>
        <w:spacing w:line="360" w:lineRule="auto"/>
        <w:rPr>
          <w:rFonts w:ascii="Times New Roman" w:hAnsi="Times New Roman" w:cs="Times New Roman"/>
          <w:b/>
          <w:bCs/>
          <w:sz w:val="24"/>
          <w:szCs w:val="24"/>
        </w:rPr>
      </w:pPr>
      <w:r w:rsidRPr="00B07994">
        <w:rPr>
          <w:rFonts w:ascii="Times New Roman" w:hAnsi="Times New Roman" w:cs="Times New Roman"/>
          <w:b/>
          <w:bCs/>
          <w:sz w:val="24"/>
          <w:szCs w:val="24"/>
        </w:rPr>
        <w:t>Conceptual framework</w:t>
      </w:r>
    </w:p>
    <w:p w14:paraId="6868FA59" w14:textId="51248521" w:rsidR="008E67E8" w:rsidRPr="00B07994" w:rsidRDefault="001B19BF" w:rsidP="007956DF">
      <w:pPr>
        <w:pStyle w:val="ListParagraph"/>
        <w:numPr>
          <w:ilvl w:val="1"/>
          <w:numId w:val="1"/>
        </w:numPr>
        <w:spacing w:line="360" w:lineRule="auto"/>
        <w:rPr>
          <w:rFonts w:ascii="Times New Roman" w:hAnsi="Times New Roman" w:cs="Times New Roman"/>
          <w:b/>
          <w:bCs/>
          <w:sz w:val="24"/>
          <w:szCs w:val="24"/>
        </w:rPr>
      </w:pPr>
      <w:r w:rsidRPr="00B07994">
        <w:rPr>
          <w:rFonts w:ascii="Times New Roman" w:hAnsi="Times New Roman" w:cs="Times New Roman"/>
          <w:b/>
          <w:bCs/>
          <w:sz w:val="24"/>
          <w:szCs w:val="24"/>
        </w:rPr>
        <w:t>Definition</w:t>
      </w:r>
      <w:r w:rsidR="00230DF3" w:rsidRPr="00B07994">
        <w:rPr>
          <w:rFonts w:ascii="Times New Roman" w:hAnsi="Times New Roman" w:cs="Times New Roman"/>
          <w:b/>
          <w:bCs/>
          <w:sz w:val="24"/>
          <w:szCs w:val="24"/>
        </w:rPr>
        <w:t xml:space="preserve"> </w:t>
      </w:r>
      <w:r w:rsidR="00450A9D" w:rsidRPr="00B07994">
        <w:rPr>
          <w:rFonts w:ascii="Times New Roman" w:hAnsi="Times New Roman" w:cs="Times New Roman"/>
          <w:b/>
          <w:bCs/>
          <w:sz w:val="24"/>
          <w:szCs w:val="24"/>
        </w:rPr>
        <w:t xml:space="preserve">and concept of Computational Thinking. </w:t>
      </w:r>
    </w:p>
    <w:p w14:paraId="061B4DFE" w14:textId="2C0BBC91" w:rsidR="00CE2DDB" w:rsidRDefault="0077437C"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ab/>
      </w:r>
      <w:r w:rsidR="00077DB5">
        <w:rPr>
          <w:rFonts w:ascii="Times New Roman" w:hAnsi="Times New Roman" w:cs="Times New Roman"/>
          <w:sz w:val="24"/>
          <w:szCs w:val="24"/>
        </w:rPr>
        <w:t>I</w:t>
      </w:r>
      <w:r w:rsidR="00B12273">
        <w:rPr>
          <w:rFonts w:ascii="Times New Roman" w:hAnsi="Times New Roman" w:cs="Times New Roman"/>
          <w:sz w:val="24"/>
          <w:szCs w:val="24"/>
        </w:rPr>
        <w:t>n 21</w:t>
      </w:r>
      <w:r w:rsidR="00B12273" w:rsidRPr="00B12273">
        <w:rPr>
          <w:rFonts w:ascii="Times New Roman" w:hAnsi="Times New Roman" w:cs="Times New Roman"/>
          <w:sz w:val="24"/>
          <w:szCs w:val="24"/>
          <w:vertAlign w:val="superscript"/>
        </w:rPr>
        <w:t>st</w:t>
      </w:r>
      <w:r w:rsidR="00B12273">
        <w:rPr>
          <w:rFonts w:ascii="Times New Roman" w:hAnsi="Times New Roman" w:cs="Times New Roman"/>
          <w:sz w:val="24"/>
          <w:szCs w:val="24"/>
        </w:rPr>
        <w:t xml:space="preserve"> century digital era, the computational thinking skill</w:t>
      </w:r>
      <w:r w:rsidR="005F3842">
        <w:rPr>
          <w:rFonts w:ascii="Times New Roman" w:hAnsi="Times New Roman" w:cs="Times New Roman"/>
          <w:sz w:val="24"/>
          <w:szCs w:val="24"/>
        </w:rPr>
        <w:t xml:space="preserve">s globally, emerged as a </w:t>
      </w:r>
      <w:r w:rsidR="00E16762">
        <w:rPr>
          <w:rFonts w:ascii="Times New Roman" w:hAnsi="Times New Roman" w:cs="Times New Roman"/>
          <w:sz w:val="24"/>
          <w:szCs w:val="24"/>
        </w:rPr>
        <w:t xml:space="preserve">fundamental educational competency </w:t>
      </w:r>
      <w:r w:rsidR="006C324C">
        <w:rPr>
          <w:rFonts w:ascii="Times New Roman" w:hAnsi="Times New Roman" w:cs="Times New Roman"/>
          <w:sz w:val="24"/>
          <w:szCs w:val="24"/>
        </w:rPr>
        <w:t xml:space="preserve">with the </w:t>
      </w:r>
      <w:r w:rsidR="003753C2">
        <w:rPr>
          <w:rFonts w:ascii="Times New Roman" w:hAnsi="Times New Roman" w:cs="Times New Roman"/>
          <w:sz w:val="24"/>
          <w:szCs w:val="24"/>
        </w:rPr>
        <w:t xml:space="preserve">popularization </w:t>
      </w:r>
      <w:r w:rsidR="006C324C">
        <w:rPr>
          <w:rFonts w:ascii="Times New Roman" w:hAnsi="Times New Roman" w:cs="Times New Roman"/>
          <w:sz w:val="24"/>
          <w:szCs w:val="24"/>
        </w:rPr>
        <w:t>of Jennette wing</w:t>
      </w:r>
      <w:r w:rsidR="003753C2">
        <w:rPr>
          <w:rFonts w:ascii="Times New Roman" w:hAnsi="Times New Roman" w:cs="Times New Roman"/>
          <w:sz w:val="24"/>
          <w:szCs w:val="24"/>
        </w:rPr>
        <w:t xml:space="preserve"> article in 2006</w:t>
      </w:r>
      <w:r w:rsidR="00BC20E7">
        <w:rPr>
          <w:rFonts w:ascii="Times New Roman" w:hAnsi="Times New Roman" w:cs="Times New Roman"/>
          <w:sz w:val="24"/>
          <w:szCs w:val="24"/>
        </w:rPr>
        <w:t>.</w:t>
      </w:r>
      <w:r w:rsidR="003753C2">
        <w:rPr>
          <w:rFonts w:ascii="Times New Roman" w:hAnsi="Times New Roman" w:cs="Times New Roman"/>
          <w:sz w:val="24"/>
          <w:szCs w:val="24"/>
        </w:rPr>
        <w:t xml:space="preserve"> (Wing, 2006).</w:t>
      </w:r>
      <w:r w:rsidR="00AD35A1">
        <w:rPr>
          <w:rFonts w:ascii="Times New Roman" w:hAnsi="Times New Roman" w:cs="Times New Roman"/>
          <w:sz w:val="24"/>
          <w:szCs w:val="24"/>
        </w:rPr>
        <w:t xml:space="preserve"> </w:t>
      </w:r>
      <w:r w:rsidR="00A546A7">
        <w:rPr>
          <w:rFonts w:ascii="Times New Roman" w:hAnsi="Times New Roman" w:cs="Times New Roman"/>
          <w:sz w:val="24"/>
          <w:szCs w:val="24"/>
        </w:rPr>
        <w:t xml:space="preserve">Jennette </w:t>
      </w:r>
      <w:r w:rsidR="00CE2DDB" w:rsidRPr="00DF6B7B">
        <w:rPr>
          <w:rFonts w:ascii="Times New Roman" w:hAnsi="Times New Roman" w:cs="Times New Roman"/>
          <w:sz w:val="24"/>
          <w:szCs w:val="24"/>
        </w:rPr>
        <w:t>Wing defined CT as</w:t>
      </w:r>
      <w:r w:rsidR="00A546A7">
        <w:rPr>
          <w:rFonts w:ascii="Times New Roman" w:hAnsi="Times New Roman" w:cs="Times New Roman"/>
          <w:sz w:val="24"/>
          <w:szCs w:val="24"/>
        </w:rPr>
        <w:t xml:space="preserve"> process </w:t>
      </w:r>
      <w:r w:rsidR="00A9106C">
        <w:rPr>
          <w:rFonts w:ascii="Times New Roman" w:hAnsi="Times New Roman" w:cs="Times New Roman"/>
          <w:sz w:val="24"/>
          <w:szCs w:val="24"/>
        </w:rPr>
        <w:t xml:space="preserve">of </w:t>
      </w:r>
      <w:r w:rsidR="00A9106C" w:rsidRPr="00DF6B7B">
        <w:rPr>
          <w:rFonts w:ascii="Times New Roman" w:hAnsi="Times New Roman" w:cs="Times New Roman"/>
          <w:sz w:val="24"/>
          <w:szCs w:val="24"/>
        </w:rPr>
        <w:t>“</w:t>
      </w:r>
      <w:r w:rsidR="00CE2DDB" w:rsidRPr="00DF6B7B">
        <w:rPr>
          <w:rFonts w:ascii="Times New Roman" w:hAnsi="Times New Roman" w:cs="Times New Roman"/>
          <w:sz w:val="24"/>
          <w:szCs w:val="24"/>
        </w:rPr>
        <w:t xml:space="preserve">solving problems, designing systems, and understanding human behavior, by drawing on the concepts fundamental to computer science," positioning it as a universal cognitive skill applicable across all disciplines and age groups. Subsequently, Wing (2011) broadened this definition to encompass the thought </w:t>
      </w:r>
      <w:r w:rsidR="00CE2DDB" w:rsidRPr="00DF6B7B">
        <w:rPr>
          <w:rFonts w:ascii="Times New Roman" w:hAnsi="Times New Roman" w:cs="Times New Roman"/>
          <w:sz w:val="24"/>
          <w:szCs w:val="24"/>
        </w:rPr>
        <w:lastRenderedPageBreak/>
        <w:t>processes involved in formulating problems and expressing their solutions in forms that can be effectively carried out by an information-processing agent. The K–12 Computer Science Framework (CSTA &amp; ISTE, 2011) further operationalized this perspective by describing CT as the thought processes involved in expressing solutions as computational steps or algorithms executable by a computer.</w:t>
      </w:r>
    </w:p>
    <w:p w14:paraId="31BEF510" w14:textId="43AE26AB" w:rsidR="00230DF3" w:rsidRDefault="000F0EB1"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Extending the foundational work of Jennette wing</w:t>
      </w:r>
      <w:r w:rsidR="005A77D7">
        <w:rPr>
          <w:rFonts w:ascii="Times New Roman" w:hAnsi="Times New Roman" w:cs="Times New Roman"/>
          <w:sz w:val="24"/>
          <w:szCs w:val="24"/>
        </w:rPr>
        <w:t xml:space="preserve"> CT framework, the eminent scholar Barr and </w:t>
      </w:r>
      <w:r w:rsidR="007107C0" w:rsidRPr="00DF6B7B">
        <w:rPr>
          <w:rFonts w:ascii="Times New Roman" w:hAnsi="Times New Roman" w:cs="Times New Roman"/>
          <w:sz w:val="24"/>
          <w:szCs w:val="24"/>
        </w:rPr>
        <w:t xml:space="preserve">Barr and Stephenson </w:t>
      </w:r>
      <w:r w:rsidR="007107C0">
        <w:rPr>
          <w:rFonts w:ascii="Times New Roman" w:hAnsi="Times New Roman" w:cs="Times New Roman"/>
          <w:sz w:val="24"/>
          <w:szCs w:val="24"/>
        </w:rPr>
        <w:t xml:space="preserve">operationalized CT </w:t>
      </w:r>
      <w:r w:rsidR="00EA4673">
        <w:rPr>
          <w:rFonts w:ascii="Times New Roman" w:hAnsi="Times New Roman" w:cs="Times New Roman"/>
          <w:sz w:val="24"/>
          <w:szCs w:val="24"/>
        </w:rPr>
        <w:t xml:space="preserve">for K-12 education </w:t>
      </w:r>
      <w:r w:rsidR="00187658">
        <w:rPr>
          <w:rFonts w:ascii="Times New Roman" w:hAnsi="Times New Roman" w:cs="Times New Roman"/>
          <w:sz w:val="24"/>
          <w:szCs w:val="24"/>
        </w:rPr>
        <w:t xml:space="preserve">in classroom </w:t>
      </w:r>
      <w:r w:rsidR="007A2E4B">
        <w:rPr>
          <w:rFonts w:ascii="Times New Roman" w:hAnsi="Times New Roman" w:cs="Times New Roman"/>
          <w:sz w:val="24"/>
          <w:szCs w:val="24"/>
        </w:rPr>
        <w:t>context by</w:t>
      </w:r>
      <w:r w:rsidR="00187658">
        <w:rPr>
          <w:rFonts w:ascii="Times New Roman" w:hAnsi="Times New Roman" w:cs="Times New Roman"/>
          <w:sz w:val="24"/>
          <w:szCs w:val="24"/>
        </w:rPr>
        <w:t xml:space="preserve"> identifying </w:t>
      </w:r>
      <w:r w:rsidR="007A2E4B">
        <w:rPr>
          <w:rFonts w:ascii="Times New Roman" w:hAnsi="Times New Roman" w:cs="Times New Roman"/>
          <w:sz w:val="24"/>
          <w:szCs w:val="24"/>
        </w:rPr>
        <w:t xml:space="preserve">several key core constructs </w:t>
      </w:r>
      <w:r w:rsidR="00975981">
        <w:rPr>
          <w:rFonts w:ascii="Times New Roman" w:hAnsi="Times New Roman" w:cs="Times New Roman"/>
          <w:sz w:val="24"/>
          <w:szCs w:val="24"/>
        </w:rPr>
        <w:t>or component of CT such as identifying problem</w:t>
      </w:r>
      <w:r w:rsidR="008963B7">
        <w:rPr>
          <w:rFonts w:ascii="Times New Roman" w:hAnsi="Times New Roman" w:cs="Times New Roman"/>
          <w:sz w:val="24"/>
          <w:szCs w:val="24"/>
        </w:rPr>
        <w:t xml:space="preserve"> decomposition, recognizing patterns, </w:t>
      </w:r>
      <w:r w:rsidR="00F24B8A">
        <w:rPr>
          <w:rFonts w:ascii="Times New Roman" w:hAnsi="Times New Roman" w:cs="Times New Roman"/>
          <w:sz w:val="24"/>
          <w:szCs w:val="24"/>
        </w:rPr>
        <w:t>abstraction,</w:t>
      </w:r>
      <w:r w:rsidR="008963B7">
        <w:rPr>
          <w:rFonts w:ascii="Times New Roman" w:hAnsi="Times New Roman" w:cs="Times New Roman"/>
          <w:sz w:val="24"/>
          <w:szCs w:val="24"/>
        </w:rPr>
        <w:t xml:space="preserve"> algorithm</w:t>
      </w:r>
      <w:r w:rsidR="001C7CB8">
        <w:rPr>
          <w:rFonts w:ascii="Times New Roman" w:hAnsi="Times New Roman" w:cs="Times New Roman"/>
          <w:sz w:val="24"/>
          <w:szCs w:val="24"/>
        </w:rPr>
        <w:t xml:space="preserve"> thinking, </w:t>
      </w:r>
      <w:r w:rsidR="00F24B8A">
        <w:rPr>
          <w:rFonts w:ascii="Times New Roman" w:hAnsi="Times New Roman" w:cs="Times New Roman"/>
          <w:sz w:val="24"/>
          <w:szCs w:val="24"/>
        </w:rPr>
        <w:t>debugging,</w:t>
      </w:r>
      <w:r w:rsidR="001C7CB8">
        <w:rPr>
          <w:rFonts w:ascii="Times New Roman" w:hAnsi="Times New Roman" w:cs="Times New Roman"/>
          <w:sz w:val="24"/>
          <w:szCs w:val="24"/>
        </w:rPr>
        <w:t xml:space="preserve"> data collection and data simulation. </w:t>
      </w:r>
      <w:r w:rsidR="00F24B8A">
        <w:rPr>
          <w:rFonts w:ascii="Times New Roman" w:hAnsi="Times New Roman" w:cs="Times New Roman"/>
          <w:sz w:val="24"/>
          <w:szCs w:val="24"/>
        </w:rPr>
        <w:t>Subsequently, these components</w:t>
      </w:r>
      <w:r w:rsidR="00176611">
        <w:rPr>
          <w:rFonts w:ascii="Times New Roman" w:hAnsi="Times New Roman" w:cs="Times New Roman"/>
          <w:sz w:val="24"/>
          <w:szCs w:val="24"/>
        </w:rPr>
        <w:t xml:space="preserve"> </w:t>
      </w:r>
      <w:r w:rsidR="007B69A1">
        <w:rPr>
          <w:rFonts w:ascii="Times New Roman" w:hAnsi="Times New Roman" w:cs="Times New Roman"/>
          <w:sz w:val="24"/>
          <w:szCs w:val="24"/>
        </w:rPr>
        <w:t>served</w:t>
      </w:r>
      <w:r w:rsidR="003318F8">
        <w:rPr>
          <w:rFonts w:ascii="Times New Roman" w:hAnsi="Times New Roman" w:cs="Times New Roman"/>
          <w:sz w:val="24"/>
          <w:szCs w:val="24"/>
        </w:rPr>
        <w:t xml:space="preserve"> as </w:t>
      </w:r>
      <w:r w:rsidR="00176611">
        <w:rPr>
          <w:rFonts w:ascii="Times New Roman" w:hAnsi="Times New Roman" w:cs="Times New Roman"/>
          <w:sz w:val="24"/>
          <w:szCs w:val="24"/>
        </w:rPr>
        <w:t xml:space="preserve">a </w:t>
      </w:r>
      <w:r w:rsidR="003318F8">
        <w:rPr>
          <w:rFonts w:ascii="Times New Roman" w:hAnsi="Times New Roman" w:cs="Times New Roman"/>
          <w:sz w:val="24"/>
          <w:szCs w:val="24"/>
        </w:rPr>
        <w:t>base</w:t>
      </w:r>
      <w:r w:rsidR="007B69A1">
        <w:rPr>
          <w:rFonts w:ascii="Times New Roman" w:hAnsi="Times New Roman" w:cs="Times New Roman"/>
          <w:sz w:val="24"/>
          <w:szCs w:val="24"/>
        </w:rPr>
        <w:t xml:space="preserve"> to develop computational thinking assessment framework </w:t>
      </w:r>
      <w:r w:rsidR="00176611">
        <w:rPr>
          <w:rFonts w:ascii="Times New Roman" w:hAnsi="Times New Roman" w:cs="Times New Roman"/>
          <w:sz w:val="24"/>
          <w:szCs w:val="24"/>
        </w:rPr>
        <w:t xml:space="preserve">and instruments </w:t>
      </w:r>
      <w:r w:rsidR="00960CC3">
        <w:rPr>
          <w:rFonts w:ascii="Times New Roman" w:hAnsi="Times New Roman" w:cs="Times New Roman"/>
          <w:sz w:val="24"/>
          <w:szCs w:val="24"/>
        </w:rPr>
        <w:t xml:space="preserve">across educational </w:t>
      </w:r>
      <w:r w:rsidR="00E93003">
        <w:rPr>
          <w:rFonts w:ascii="Times New Roman" w:hAnsi="Times New Roman" w:cs="Times New Roman"/>
          <w:sz w:val="24"/>
          <w:szCs w:val="24"/>
        </w:rPr>
        <w:t xml:space="preserve">settings globally. </w:t>
      </w:r>
    </w:p>
    <w:p w14:paraId="39181ED1" w14:textId="77777777" w:rsidR="00EA20B2" w:rsidRDefault="00CE7560"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For the present study, </w:t>
      </w:r>
      <w:r w:rsidR="00A47ADA">
        <w:rPr>
          <w:rFonts w:ascii="Times New Roman" w:hAnsi="Times New Roman" w:cs="Times New Roman"/>
          <w:sz w:val="24"/>
          <w:szCs w:val="24"/>
        </w:rPr>
        <w:t xml:space="preserve">CT is conceptualized through four </w:t>
      </w:r>
      <w:r w:rsidR="001E6DE3">
        <w:rPr>
          <w:rFonts w:ascii="Times New Roman" w:hAnsi="Times New Roman" w:cs="Times New Roman"/>
          <w:sz w:val="24"/>
          <w:szCs w:val="24"/>
        </w:rPr>
        <w:t>major</w:t>
      </w:r>
      <w:r w:rsidR="00C07AE0">
        <w:rPr>
          <w:rFonts w:ascii="Times New Roman" w:hAnsi="Times New Roman" w:cs="Times New Roman"/>
          <w:sz w:val="24"/>
          <w:szCs w:val="24"/>
        </w:rPr>
        <w:t xml:space="preserve"> </w:t>
      </w:r>
      <w:r w:rsidR="001E6DE3">
        <w:rPr>
          <w:rFonts w:ascii="Times New Roman" w:hAnsi="Times New Roman" w:cs="Times New Roman"/>
          <w:sz w:val="24"/>
          <w:szCs w:val="24"/>
        </w:rPr>
        <w:t xml:space="preserve">sub components such as decomposition, pattern recognition, abstraction and algorithms which </w:t>
      </w:r>
      <w:r w:rsidR="00657984">
        <w:rPr>
          <w:rFonts w:ascii="Times New Roman" w:hAnsi="Times New Roman" w:cs="Times New Roman"/>
          <w:sz w:val="24"/>
          <w:szCs w:val="24"/>
        </w:rPr>
        <w:t>are widely</w:t>
      </w:r>
      <w:r w:rsidR="00C07AE0">
        <w:rPr>
          <w:rFonts w:ascii="Times New Roman" w:hAnsi="Times New Roman" w:cs="Times New Roman"/>
          <w:sz w:val="24"/>
          <w:szCs w:val="24"/>
        </w:rPr>
        <w:t xml:space="preserve"> accepted by various organization BBC</w:t>
      </w:r>
      <w:r w:rsidR="00C6285A">
        <w:rPr>
          <w:rFonts w:ascii="Times New Roman" w:hAnsi="Times New Roman" w:cs="Times New Roman"/>
          <w:sz w:val="24"/>
          <w:szCs w:val="24"/>
        </w:rPr>
        <w:t xml:space="preserve"> &amp;</w:t>
      </w:r>
      <w:r w:rsidR="00C07AE0">
        <w:rPr>
          <w:rFonts w:ascii="Times New Roman" w:hAnsi="Times New Roman" w:cs="Times New Roman"/>
          <w:sz w:val="24"/>
          <w:szCs w:val="24"/>
        </w:rPr>
        <w:t xml:space="preserve"> ISTE</w:t>
      </w:r>
      <w:r w:rsidR="00C6285A">
        <w:rPr>
          <w:rFonts w:ascii="Times New Roman" w:hAnsi="Times New Roman" w:cs="Times New Roman"/>
          <w:sz w:val="24"/>
          <w:szCs w:val="24"/>
        </w:rPr>
        <w:t xml:space="preserve">, CSTA in the context of problem solving </w:t>
      </w:r>
      <w:r w:rsidR="006D5148">
        <w:rPr>
          <w:rFonts w:ascii="Times New Roman" w:hAnsi="Times New Roman" w:cs="Times New Roman"/>
          <w:sz w:val="24"/>
          <w:szCs w:val="24"/>
        </w:rPr>
        <w:t xml:space="preserve">to integrate within the K-12 educational curriculum. </w:t>
      </w:r>
      <w:r w:rsidR="00C07AE0">
        <w:rPr>
          <w:rFonts w:ascii="Times New Roman" w:hAnsi="Times New Roman" w:cs="Times New Roman"/>
          <w:sz w:val="24"/>
          <w:szCs w:val="24"/>
        </w:rPr>
        <w:t xml:space="preserve"> </w:t>
      </w:r>
      <w:r w:rsidR="00657984">
        <w:rPr>
          <w:rFonts w:ascii="Times New Roman" w:hAnsi="Times New Roman" w:cs="Times New Roman"/>
          <w:sz w:val="24"/>
          <w:szCs w:val="24"/>
        </w:rPr>
        <w:t>The component of decomposition refers to the</w:t>
      </w:r>
      <w:r w:rsidR="00090173">
        <w:rPr>
          <w:rFonts w:ascii="Times New Roman" w:hAnsi="Times New Roman" w:cs="Times New Roman"/>
          <w:sz w:val="24"/>
          <w:szCs w:val="24"/>
        </w:rPr>
        <w:t xml:space="preserve"> ability to break </w:t>
      </w:r>
      <w:r w:rsidR="0044429B">
        <w:rPr>
          <w:rFonts w:ascii="Times New Roman" w:hAnsi="Times New Roman" w:cs="Times New Roman"/>
          <w:sz w:val="24"/>
          <w:szCs w:val="24"/>
        </w:rPr>
        <w:t xml:space="preserve">down </w:t>
      </w:r>
      <w:r w:rsidR="00090173">
        <w:rPr>
          <w:rFonts w:ascii="Times New Roman" w:hAnsi="Times New Roman" w:cs="Times New Roman"/>
          <w:sz w:val="24"/>
          <w:szCs w:val="24"/>
        </w:rPr>
        <w:t xml:space="preserve">problem into smaller manageable </w:t>
      </w:r>
      <w:r w:rsidR="00EE7AE2">
        <w:rPr>
          <w:rFonts w:ascii="Times New Roman" w:hAnsi="Times New Roman" w:cs="Times New Roman"/>
          <w:sz w:val="24"/>
          <w:szCs w:val="24"/>
        </w:rPr>
        <w:t>parts,</w:t>
      </w:r>
      <w:r w:rsidR="0044429B">
        <w:rPr>
          <w:rFonts w:ascii="Times New Roman" w:hAnsi="Times New Roman" w:cs="Times New Roman"/>
          <w:sz w:val="24"/>
          <w:szCs w:val="24"/>
        </w:rPr>
        <w:t xml:space="preserve"> divide problem into smaller parts and framing sub questions. </w:t>
      </w:r>
      <w:r w:rsidR="00EE7AE2">
        <w:rPr>
          <w:rFonts w:ascii="Times New Roman" w:hAnsi="Times New Roman" w:cs="Times New Roman"/>
          <w:sz w:val="24"/>
          <w:szCs w:val="24"/>
        </w:rPr>
        <w:t>Pattern recognition is the ability to identify</w:t>
      </w:r>
      <w:r w:rsidR="000B0BF0">
        <w:rPr>
          <w:rFonts w:ascii="Times New Roman" w:hAnsi="Times New Roman" w:cs="Times New Roman"/>
          <w:sz w:val="24"/>
          <w:szCs w:val="24"/>
        </w:rPr>
        <w:t xml:space="preserve"> </w:t>
      </w:r>
      <w:r w:rsidR="00996945">
        <w:rPr>
          <w:rFonts w:ascii="Times New Roman" w:hAnsi="Times New Roman" w:cs="Times New Roman"/>
          <w:sz w:val="24"/>
          <w:szCs w:val="24"/>
        </w:rPr>
        <w:t>similarities, trends, recurring patterns</w:t>
      </w:r>
      <w:r w:rsidR="002F5FB5">
        <w:rPr>
          <w:rFonts w:ascii="Times New Roman" w:hAnsi="Times New Roman" w:cs="Times New Roman"/>
          <w:sz w:val="24"/>
          <w:szCs w:val="24"/>
        </w:rPr>
        <w:t xml:space="preserve"> and relationships within and across the curriculum or problem. </w:t>
      </w:r>
      <w:r w:rsidR="004A51D7">
        <w:rPr>
          <w:rFonts w:ascii="Times New Roman" w:hAnsi="Times New Roman" w:cs="Times New Roman"/>
          <w:sz w:val="24"/>
          <w:szCs w:val="24"/>
        </w:rPr>
        <w:t>The third major component of CT is abstraction which denote the ability t</w:t>
      </w:r>
      <w:r w:rsidR="008B5F6A">
        <w:rPr>
          <w:rFonts w:ascii="Times New Roman" w:hAnsi="Times New Roman" w:cs="Times New Roman"/>
          <w:sz w:val="24"/>
          <w:szCs w:val="24"/>
        </w:rPr>
        <w:t xml:space="preserve">o </w:t>
      </w:r>
      <w:r w:rsidR="0071628C">
        <w:rPr>
          <w:rFonts w:ascii="Times New Roman" w:hAnsi="Times New Roman" w:cs="Times New Roman"/>
          <w:sz w:val="24"/>
          <w:szCs w:val="24"/>
        </w:rPr>
        <w:t xml:space="preserve">extracting essential information </w:t>
      </w:r>
      <w:r w:rsidR="009A1E75">
        <w:rPr>
          <w:rFonts w:ascii="Times New Roman" w:hAnsi="Times New Roman" w:cs="Times New Roman"/>
          <w:sz w:val="24"/>
          <w:szCs w:val="24"/>
        </w:rPr>
        <w:t xml:space="preserve">while disregarding relevant and irrelevant </w:t>
      </w:r>
      <w:r w:rsidR="00074C88">
        <w:rPr>
          <w:rFonts w:ascii="Times New Roman" w:hAnsi="Times New Roman" w:cs="Times New Roman"/>
          <w:sz w:val="24"/>
          <w:szCs w:val="24"/>
        </w:rPr>
        <w:t xml:space="preserve">information and generalize the solution in the context of the problem. </w:t>
      </w:r>
      <w:r w:rsidR="00CE3360">
        <w:rPr>
          <w:rFonts w:ascii="Times New Roman" w:hAnsi="Times New Roman" w:cs="Times New Roman"/>
          <w:sz w:val="24"/>
          <w:szCs w:val="24"/>
        </w:rPr>
        <w:t xml:space="preserve">The last most important component of the CT is </w:t>
      </w:r>
      <w:r w:rsidR="00847106">
        <w:rPr>
          <w:rFonts w:ascii="Times New Roman" w:hAnsi="Times New Roman" w:cs="Times New Roman"/>
          <w:sz w:val="24"/>
          <w:szCs w:val="24"/>
        </w:rPr>
        <w:t xml:space="preserve">algorithmic thinking which refers to the ability to crate </w:t>
      </w:r>
      <w:r w:rsidR="006D235D">
        <w:rPr>
          <w:rFonts w:ascii="Times New Roman" w:hAnsi="Times New Roman" w:cs="Times New Roman"/>
          <w:sz w:val="24"/>
          <w:szCs w:val="24"/>
        </w:rPr>
        <w:t xml:space="preserve">step by step solutions logically for problem solving. </w:t>
      </w:r>
      <w:r w:rsidR="00955DEC">
        <w:rPr>
          <w:rFonts w:ascii="Times New Roman" w:hAnsi="Times New Roman" w:cs="Times New Roman"/>
          <w:sz w:val="24"/>
          <w:szCs w:val="24"/>
        </w:rPr>
        <w:t xml:space="preserve">In the present study, collectively </w:t>
      </w:r>
      <w:r w:rsidR="00955DEC" w:rsidRPr="00DF6B7B">
        <w:rPr>
          <w:rFonts w:ascii="Times New Roman" w:hAnsi="Times New Roman" w:cs="Times New Roman"/>
          <w:sz w:val="24"/>
          <w:szCs w:val="24"/>
        </w:rPr>
        <w:t xml:space="preserve">These four dimensions constitute the theoretical and operational framework within which the Computational Thinking Test (CTT) </w:t>
      </w:r>
      <w:r w:rsidR="00194BAD">
        <w:rPr>
          <w:rFonts w:ascii="Times New Roman" w:hAnsi="Times New Roman" w:cs="Times New Roman"/>
          <w:sz w:val="24"/>
          <w:szCs w:val="24"/>
        </w:rPr>
        <w:t xml:space="preserve">which is employed in the </w:t>
      </w:r>
      <w:r w:rsidR="00955DEC" w:rsidRPr="00DF6B7B">
        <w:rPr>
          <w:rFonts w:ascii="Times New Roman" w:hAnsi="Times New Roman" w:cs="Times New Roman"/>
          <w:sz w:val="24"/>
          <w:szCs w:val="24"/>
        </w:rPr>
        <w:t>used in the present study</w:t>
      </w:r>
      <w:r w:rsidR="00194BAD">
        <w:rPr>
          <w:rFonts w:ascii="Times New Roman" w:hAnsi="Times New Roman" w:cs="Times New Roman"/>
          <w:sz w:val="24"/>
          <w:szCs w:val="24"/>
        </w:rPr>
        <w:t xml:space="preserve"> investigation. </w:t>
      </w:r>
    </w:p>
    <w:p w14:paraId="20F84D7C" w14:textId="6DB2E501" w:rsidR="000A6B75" w:rsidRPr="00DF6B7B" w:rsidRDefault="00DA2E82"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Furthe</w:t>
      </w:r>
      <w:r w:rsidR="00F022AE">
        <w:rPr>
          <w:rFonts w:ascii="Times New Roman" w:hAnsi="Times New Roman" w:cs="Times New Roman"/>
          <w:sz w:val="24"/>
          <w:szCs w:val="24"/>
        </w:rPr>
        <w:t xml:space="preserve">r, CT </w:t>
      </w:r>
      <w:r w:rsidR="00A8224E">
        <w:rPr>
          <w:rFonts w:ascii="Times New Roman" w:hAnsi="Times New Roman" w:cs="Times New Roman"/>
          <w:sz w:val="24"/>
          <w:szCs w:val="24"/>
        </w:rPr>
        <w:t xml:space="preserve">framework </w:t>
      </w:r>
      <w:r w:rsidR="00EA20B2">
        <w:rPr>
          <w:rFonts w:ascii="Times New Roman" w:hAnsi="Times New Roman" w:cs="Times New Roman"/>
          <w:sz w:val="24"/>
          <w:szCs w:val="24"/>
        </w:rPr>
        <w:t xml:space="preserve">informed by the study of </w:t>
      </w:r>
      <w:r w:rsidR="00A8224E">
        <w:rPr>
          <w:rFonts w:ascii="Times New Roman" w:hAnsi="Times New Roman" w:cs="Times New Roman"/>
          <w:sz w:val="24"/>
          <w:szCs w:val="24"/>
        </w:rPr>
        <w:t>Jiang</w:t>
      </w:r>
      <w:r w:rsidR="00B57388" w:rsidRPr="00B57388">
        <w:rPr>
          <w:rFonts w:ascii="Times New Roman" w:hAnsi="Times New Roman" w:cs="Times New Roman"/>
          <w:sz w:val="24"/>
          <w:szCs w:val="24"/>
        </w:rPr>
        <w:t xml:space="preserve"> et al., </w:t>
      </w:r>
      <w:r w:rsidR="00B57388">
        <w:rPr>
          <w:rFonts w:ascii="Times New Roman" w:hAnsi="Times New Roman" w:cs="Times New Roman"/>
          <w:sz w:val="24"/>
          <w:szCs w:val="24"/>
        </w:rPr>
        <w:t>(</w:t>
      </w:r>
      <w:r w:rsidR="00B57388" w:rsidRPr="00B57388">
        <w:rPr>
          <w:rFonts w:ascii="Times New Roman" w:hAnsi="Times New Roman" w:cs="Times New Roman"/>
          <w:sz w:val="24"/>
          <w:szCs w:val="24"/>
        </w:rPr>
        <w:t>2022</w:t>
      </w:r>
      <w:r w:rsidR="00EA20B2">
        <w:rPr>
          <w:rFonts w:ascii="Times New Roman" w:hAnsi="Times New Roman" w:cs="Times New Roman"/>
          <w:sz w:val="24"/>
          <w:szCs w:val="24"/>
        </w:rPr>
        <w:t>)</w:t>
      </w:r>
      <w:r w:rsidR="00C5487C">
        <w:rPr>
          <w:rFonts w:ascii="Times New Roman" w:hAnsi="Times New Roman" w:cs="Times New Roman"/>
          <w:sz w:val="24"/>
          <w:szCs w:val="24"/>
        </w:rPr>
        <w:t xml:space="preserve"> </w:t>
      </w:r>
      <w:r w:rsidR="00B57388">
        <w:rPr>
          <w:rFonts w:ascii="Times New Roman" w:hAnsi="Times New Roman" w:cs="Times New Roman"/>
          <w:sz w:val="24"/>
          <w:szCs w:val="24"/>
        </w:rPr>
        <w:t xml:space="preserve">which </w:t>
      </w:r>
      <w:r w:rsidR="00B86293">
        <w:rPr>
          <w:rFonts w:ascii="Times New Roman" w:hAnsi="Times New Roman" w:cs="Times New Roman"/>
          <w:sz w:val="24"/>
          <w:szCs w:val="24"/>
        </w:rPr>
        <w:t>states</w:t>
      </w:r>
      <w:r w:rsidR="009F7904">
        <w:rPr>
          <w:rFonts w:ascii="Times New Roman" w:hAnsi="Times New Roman" w:cs="Times New Roman"/>
          <w:sz w:val="24"/>
          <w:szCs w:val="24"/>
        </w:rPr>
        <w:t xml:space="preserve">, </w:t>
      </w:r>
      <w:r w:rsidR="00B86293">
        <w:rPr>
          <w:rFonts w:ascii="Times New Roman" w:hAnsi="Times New Roman" w:cs="Times New Roman"/>
          <w:sz w:val="24"/>
          <w:szCs w:val="24"/>
        </w:rPr>
        <w:t>the, the</w:t>
      </w:r>
      <w:r w:rsidR="00A728B4">
        <w:rPr>
          <w:rFonts w:ascii="Times New Roman" w:hAnsi="Times New Roman" w:cs="Times New Roman"/>
          <w:sz w:val="24"/>
          <w:szCs w:val="24"/>
        </w:rPr>
        <w:t xml:space="preserve"> CT </w:t>
      </w:r>
      <w:r w:rsidR="00B86293">
        <w:rPr>
          <w:rFonts w:ascii="Times New Roman" w:hAnsi="Times New Roman" w:cs="Times New Roman"/>
          <w:sz w:val="24"/>
          <w:szCs w:val="24"/>
        </w:rPr>
        <w:t>skills can</w:t>
      </w:r>
      <w:r w:rsidR="003B0020">
        <w:rPr>
          <w:rFonts w:ascii="Times New Roman" w:hAnsi="Times New Roman" w:cs="Times New Roman"/>
          <w:sz w:val="24"/>
          <w:szCs w:val="24"/>
        </w:rPr>
        <w:t xml:space="preserve"> evolve progressively with age </w:t>
      </w:r>
      <w:r w:rsidR="00B701B6">
        <w:rPr>
          <w:rFonts w:ascii="Times New Roman" w:hAnsi="Times New Roman" w:cs="Times New Roman"/>
          <w:sz w:val="24"/>
          <w:szCs w:val="24"/>
        </w:rPr>
        <w:t xml:space="preserve">and cognitive </w:t>
      </w:r>
      <w:r w:rsidR="00797F37">
        <w:rPr>
          <w:rFonts w:ascii="Times New Roman" w:hAnsi="Times New Roman" w:cs="Times New Roman"/>
          <w:sz w:val="24"/>
          <w:szCs w:val="24"/>
        </w:rPr>
        <w:t>maturation in</w:t>
      </w:r>
      <w:r w:rsidR="009F7904">
        <w:rPr>
          <w:rFonts w:ascii="Times New Roman" w:hAnsi="Times New Roman" w:cs="Times New Roman"/>
          <w:sz w:val="24"/>
          <w:szCs w:val="24"/>
        </w:rPr>
        <w:t xml:space="preserve"> the perspective of development of CT.</w:t>
      </w:r>
      <w:r w:rsidR="0085425E">
        <w:rPr>
          <w:rFonts w:ascii="Times New Roman" w:hAnsi="Times New Roman" w:cs="Times New Roman"/>
          <w:sz w:val="24"/>
          <w:szCs w:val="24"/>
        </w:rPr>
        <w:t xml:space="preserve"> At the same time, CT skills are significantly </w:t>
      </w:r>
      <w:r w:rsidR="00797F37">
        <w:rPr>
          <w:rFonts w:ascii="Times New Roman" w:hAnsi="Times New Roman" w:cs="Times New Roman"/>
          <w:sz w:val="24"/>
          <w:szCs w:val="24"/>
        </w:rPr>
        <w:t>influenced</w:t>
      </w:r>
      <w:r w:rsidR="0085425E">
        <w:rPr>
          <w:rFonts w:ascii="Times New Roman" w:hAnsi="Times New Roman" w:cs="Times New Roman"/>
          <w:sz w:val="24"/>
          <w:szCs w:val="24"/>
        </w:rPr>
        <w:t xml:space="preserve"> by the</w:t>
      </w:r>
      <w:r w:rsidR="00797F37">
        <w:rPr>
          <w:rFonts w:ascii="Times New Roman" w:hAnsi="Times New Roman" w:cs="Times New Roman"/>
          <w:sz w:val="24"/>
          <w:szCs w:val="24"/>
        </w:rPr>
        <w:t xml:space="preserve"> </w:t>
      </w:r>
      <w:r w:rsidR="00C73D4C" w:rsidRPr="00C73D4C">
        <w:rPr>
          <w:rFonts w:ascii="Times New Roman" w:hAnsi="Times New Roman" w:cs="Times New Roman"/>
          <w:sz w:val="24"/>
          <w:szCs w:val="24"/>
        </w:rPr>
        <w:t xml:space="preserve">instructional exposure, </w:t>
      </w:r>
      <w:r w:rsidR="00C73D4C">
        <w:rPr>
          <w:rFonts w:ascii="Times New Roman" w:hAnsi="Times New Roman" w:cs="Times New Roman"/>
          <w:sz w:val="24"/>
          <w:szCs w:val="24"/>
        </w:rPr>
        <w:t xml:space="preserve">curriculum designs and </w:t>
      </w:r>
      <w:r w:rsidR="00C73D4C" w:rsidRPr="00C73D4C">
        <w:rPr>
          <w:rFonts w:ascii="Times New Roman" w:hAnsi="Times New Roman" w:cs="Times New Roman"/>
          <w:sz w:val="24"/>
          <w:szCs w:val="24"/>
        </w:rPr>
        <w:t>pedagogical practices,</w:t>
      </w:r>
      <w:r w:rsidR="007B6CEF">
        <w:rPr>
          <w:rFonts w:ascii="Times New Roman" w:hAnsi="Times New Roman" w:cs="Times New Roman"/>
          <w:sz w:val="24"/>
          <w:szCs w:val="24"/>
        </w:rPr>
        <w:t xml:space="preserve"> </w:t>
      </w:r>
      <w:r w:rsidR="00C73D4C" w:rsidRPr="00C73D4C">
        <w:rPr>
          <w:rFonts w:ascii="Times New Roman" w:hAnsi="Times New Roman" w:cs="Times New Roman"/>
          <w:sz w:val="24"/>
          <w:szCs w:val="24"/>
        </w:rPr>
        <w:t>rather than being an in</w:t>
      </w:r>
      <w:r w:rsidR="00D06834">
        <w:rPr>
          <w:rFonts w:ascii="Times New Roman" w:hAnsi="Times New Roman" w:cs="Times New Roman"/>
          <w:sz w:val="24"/>
          <w:szCs w:val="24"/>
        </w:rPr>
        <w:t>herent</w:t>
      </w:r>
      <w:r w:rsidR="00C73D4C" w:rsidRPr="00C73D4C">
        <w:rPr>
          <w:rFonts w:ascii="Times New Roman" w:hAnsi="Times New Roman" w:cs="Times New Roman"/>
          <w:sz w:val="24"/>
          <w:szCs w:val="24"/>
        </w:rPr>
        <w:t xml:space="preserve"> ability </w:t>
      </w:r>
      <w:r w:rsidR="00C73D4C" w:rsidRPr="00C73D4C">
        <w:rPr>
          <w:rFonts w:ascii="Times New Roman" w:hAnsi="Times New Roman" w:cs="Times New Roman"/>
          <w:sz w:val="24"/>
          <w:szCs w:val="24"/>
        </w:rPr>
        <w:lastRenderedPageBreak/>
        <w:t>alone (Wing, 2006; Liu et al., 2024)</w:t>
      </w:r>
      <w:r w:rsidR="00902382">
        <w:rPr>
          <w:rFonts w:ascii="Times New Roman" w:hAnsi="Times New Roman" w:cs="Times New Roman"/>
          <w:sz w:val="24"/>
          <w:szCs w:val="24"/>
        </w:rPr>
        <w:t>.</w:t>
      </w:r>
      <w:r w:rsidR="009D29CA" w:rsidRPr="009D29CA">
        <w:rPr>
          <w:rFonts w:ascii="Times New Roman" w:eastAsia="Times New Roman" w:hAnsi="Times New Roman" w:cs="Times New Roman"/>
          <w:kern w:val="0"/>
          <w:sz w:val="24"/>
          <w:szCs w:val="24"/>
          <w14:ligatures w14:val="none"/>
        </w:rPr>
        <w:t xml:space="preserve"> T</w:t>
      </w:r>
      <w:r w:rsidR="009D29CA" w:rsidRPr="009D29CA">
        <w:rPr>
          <w:rFonts w:ascii="Times New Roman" w:hAnsi="Times New Roman" w:cs="Times New Roman"/>
          <w:sz w:val="24"/>
          <w:szCs w:val="24"/>
        </w:rPr>
        <w:t>his theoretical perspective forms the basis for the three major objectives of the present study</w:t>
      </w:r>
      <w:r w:rsidR="005F409E">
        <w:rPr>
          <w:rFonts w:ascii="Times New Roman" w:hAnsi="Times New Roman" w:cs="Times New Roman"/>
          <w:sz w:val="24"/>
          <w:szCs w:val="24"/>
        </w:rPr>
        <w:t xml:space="preserve"> that </w:t>
      </w:r>
      <w:r w:rsidR="009D29CA" w:rsidRPr="009D29CA">
        <w:rPr>
          <w:rFonts w:ascii="Times New Roman" w:hAnsi="Times New Roman" w:cs="Times New Roman"/>
          <w:sz w:val="24"/>
          <w:szCs w:val="24"/>
        </w:rPr>
        <w:t xml:space="preserve">assessing the overall CT levels of </w:t>
      </w:r>
      <w:r w:rsidR="005F409E">
        <w:rPr>
          <w:rFonts w:ascii="Times New Roman" w:hAnsi="Times New Roman" w:cs="Times New Roman"/>
          <w:sz w:val="24"/>
          <w:szCs w:val="24"/>
        </w:rPr>
        <w:t xml:space="preserve">secondary </w:t>
      </w:r>
      <w:r w:rsidR="009D29CA" w:rsidRPr="009D29CA">
        <w:rPr>
          <w:rFonts w:ascii="Times New Roman" w:hAnsi="Times New Roman" w:cs="Times New Roman"/>
          <w:sz w:val="24"/>
          <w:szCs w:val="24"/>
        </w:rPr>
        <w:t>students</w:t>
      </w:r>
      <w:r w:rsidR="005F409E">
        <w:rPr>
          <w:rFonts w:ascii="Times New Roman" w:hAnsi="Times New Roman" w:cs="Times New Roman"/>
          <w:sz w:val="24"/>
          <w:szCs w:val="24"/>
        </w:rPr>
        <w:t xml:space="preserve"> and </w:t>
      </w:r>
      <w:r w:rsidR="009D29CA" w:rsidRPr="009D29CA">
        <w:rPr>
          <w:rFonts w:ascii="Times New Roman" w:hAnsi="Times New Roman" w:cs="Times New Roman"/>
          <w:sz w:val="24"/>
          <w:szCs w:val="24"/>
        </w:rPr>
        <w:t xml:space="preserve">examining </w:t>
      </w:r>
      <w:r w:rsidR="000837EC">
        <w:rPr>
          <w:rFonts w:ascii="Times New Roman" w:hAnsi="Times New Roman" w:cs="Times New Roman"/>
          <w:sz w:val="24"/>
          <w:szCs w:val="24"/>
        </w:rPr>
        <w:t>differentiation</w:t>
      </w:r>
      <w:r w:rsidR="009D29CA" w:rsidRPr="009D29CA">
        <w:rPr>
          <w:rFonts w:ascii="Times New Roman" w:hAnsi="Times New Roman" w:cs="Times New Roman"/>
          <w:sz w:val="24"/>
          <w:szCs w:val="24"/>
        </w:rPr>
        <w:t xml:space="preserve"> in CT across gender and age groups, and analyzing performance across </w:t>
      </w:r>
      <w:r w:rsidR="001F0A4F">
        <w:rPr>
          <w:rFonts w:ascii="Times New Roman" w:hAnsi="Times New Roman" w:cs="Times New Roman"/>
          <w:sz w:val="24"/>
          <w:szCs w:val="24"/>
        </w:rPr>
        <w:t>CT dimension wise</w:t>
      </w:r>
      <w:r w:rsidR="000A6B75">
        <w:rPr>
          <w:rFonts w:ascii="Times New Roman" w:hAnsi="Times New Roman" w:cs="Times New Roman"/>
          <w:sz w:val="24"/>
          <w:szCs w:val="24"/>
        </w:rPr>
        <w:t xml:space="preserve"> and </w:t>
      </w:r>
      <w:r w:rsidR="000A6B75" w:rsidRPr="00DF6B7B">
        <w:rPr>
          <w:rFonts w:ascii="Times New Roman" w:hAnsi="Times New Roman" w:cs="Times New Roman"/>
          <w:sz w:val="24"/>
          <w:szCs w:val="24"/>
        </w:rPr>
        <w:t>provides the theoretical lens through which the findings are interpreted and discussed.</w:t>
      </w:r>
    </w:p>
    <w:p w14:paraId="446E879F" w14:textId="77777777" w:rsidR="00226CAD" w:rsidRPr="00D92440" w:rsidRDefault="00226CAD" w:rsidP="00A93868">
      <w:pPr>
        <w:spacing w:line="360" w:lineRule="auto"/>
        <w:jc w:val="both"/>
        <w:rPr>
          <w:rFonts w:ascii="Times New Roman" w:hAnsi="Times New Roman" w:cs="Times New Roman"/>
          <w:b/>
          <w:bCs/>
          <w:sz w:val="24"/>
          <w:szCs w:val="24"/>
        </w:rPr>
      </w:pPr>
      <w:r w:rsidRPr="00D92440">
        <w:rPr>
          <w:rFonts w:ascii="Times New Roman" w:hAnsi="Times New Roman" w:cs="Times New Roman"/>
          <w:b/>
          <w:bCs/>
          <w:sz w:val="24"/>
          <w:szCs w:val="24"/>
        </w:rPr>
        <w:t>3. Review of Literature</w:t>
      </w:r>
    </w:p>
    <w:p w14:paraId="5F55C3D7" w14:textId="77777777" w:rsidR="00226CAD" w:rsidRPr="00D92440" w:rsidRDefault="00226CAD" w:rsidP="00A93868">
      <w:pPr>
        <w:spacing w:line="360" w:lineRule="auto"/>
        <w:jc w:val="both"/>
        <w:rPr>
          <w:rFonts w:ascii="Times New Roman" w:hAnsi="Times New Roman" w:cs="Times New Roman"/>
          <w:b/>
          <w:bCs/>
          <w:sz w:val="24"/>
          <w:szCs w:val="24"/>
        </w:rPr>
      </w:pPr>
      <w:r w:rsidRPr="00D92440">
        <w:rPr>
          <w:rFonts w:ascii="Times New Roman" w:hAnsi="Times New Roman" w:cs="Times New Roman"/>
          <w:b/>
          <w:bCs/>
          <w:sz w:val="24"/>
          <w:szCs w:val="24"/>
        </w:rPr>
        <w:t>3.1 Assessment of Computational Thinking in School Students</w:t>
      </w:r>
    </w:p>
    <w:p w14:paraId="14B70083" w14:textId="0D1ABD90" w:rsidR="00624CE1" w:rsidRDefault="00BC307E"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ab/>
        <w:t xml:space="preserve">Over the past decade, the </w:t>
      </w:r>
      <w:r w:rsidR="0074400F">
        <w:rPr>
          <w:rFonts w:ascii="Times New Roman" w:hAnsi="Times New Roman" w:cs="Times New Roman"/>
          <w:sz w:val="24"/>
          <w:szCs w:val="24"/>
        </w:rPr>
        <w:t xml:space="preserve">assessment of CT skills gained </w:t>
      </w:r>
      <w:r w:rsidR="006A4A93">
        <w:rPr>
          <w:rFonts w:ascii="Times New Roman" w:hAnsi="Times New Roman" w:cs="Times New Roman"/>
          <w:sz w:val="24"/>
          <w:szCs w:val="24"/>
        </w:rPr>
        <w:t xml:space="preserve">significant </w:t>
      </w:r>
      <w:r w:rsidR="00314F68">
        <w:rPr>
          <w:rFonts w:ascii="Times New Roman" w:hAnsi="Times New Roman" w:cs="Times New Roman"/>
          <w:sz w:val="24"/>
          <w:szCs w:val="24"/>
        </w:rPr>
        <w:t xml:space="preserve">research attention in the evaluation of secondary level CT skills. </w:t>
      </w:r>
      <w:r w:rsidR="007F78B9">
        <w:rPr>
          <w:rFonts w:ascii="Times New Roman" w:hAnsi="Times New Roman" w:cs="Times New Roman"/>
          <w:sz w:val="24"/>
          <w:szCs w:val="24"/>
        </w:rPr>
        <w:t xml:space="preserve">The most prominent scholar </w:t>
      </w:r>
      <w:r w:rsidR="00624CE1" w:rsidRPr="00624CE1">
        <w:rPr>
          <w:rFonts w:ascii="Times New Roman" w:hAnsi="Times New Roman" w:cs="Times New Roman"/>
          <w:sz w:val="24"/>
          <w:szCs w:val="24"/>
        </w:rPr>
        <w:t xml:space="preserve">Roman-Gonzalez (2015) developed the Computational Thinking Test </w:t>
      </w:r>
      <w:r w:rsidR="007F78B9">
        <w:rPr>
          <w:rFonts w:ascii="Times New Roman" w:hAnsi="Times New Roman" w:cs="Times New Roman"/>
          <w:sz w:val="24"/>
          <w:szCs w:val="24"/>
        </w:rPr>
        <w:t xml:space="preserve">which is </w:t>
      </w:r>
      <w:r w:rsidR="00624CE1" w:rsidRPr="00624CE1">
        <w:rPr>
          <w:rFonts w:ascii="Times New Roman" w:hAnsi="Times New Roman" w:cs="Times New Roman"/>
          <w:sz w:val="24"/>
          <w:szCs w:val="24"/>
        </w:rPr>
        <w:t>widely recognized</w:t>
      </w:r>
      <w:r w:rsidR="00A57DDE">
        <w:rPr>
          <w:rFonts w:ascii="Times New Roman" w:hAnsi="Times New Roman" w:cs="Times New Roman"/>
          <w:sz w:val="24"/>
          <w:szCs w:val="24"/>
        </w:rPr>
        <w:t xml:space="preserve"> assessment tool, that is consists of</w:t>
      </w:r>
      <w:r w:rsidR="00D048B2">
        <w:rPr>
          <w:rFonts w:ascii="Times New Roman" w:hAnsi="Times New Roman" w:cs="Times New Roman"/>
          <w:sz w:val="24"/>
          <w:szCs w:val="24"/>
        </w:rPr>
        <w:t xml:space="preserve"> </w:t>
      </w:r>
      <w:r w:rsidR="00964B49">
        <w:rPr>
          <w:rFonts w:ascii="Times New Roman" w:hAnsi="Times New Roman" w:cs="Times New Roman"/>
          <w:sz w:val="24"/>
          <w:szCs w:val="24"/>
        </w:rPr>
        <w:t xml:space="preserve">stamen questions </w:t>
      </w:r>
      <w:r w:rsidR="00D048B2">
        <w:rPr>
          <w:rFonts w:ascii="Times New Roman" w:hAnsi="Times New Roman" w:cs="Times New Roman"/>
          <w:sz w:val="24"/>
          <w:szCs w:val="24"/>
        </w:rPr>
        <w:t>o</w:t>
      </w:r>
      <w:r w:rsidR="00964B49">
        <w:rPr>
          <w:rFonts w:ascii="Times New Roman" w:hAnsi="Times New Roman" w:cs="Times New Roman"/>
          <w:sz w:val="24"/>
          <w:szCs w:val="24"/>
        </w:rPr>
        <w:t xml:space="preserve">n </w:t>
      </w:r>
      <w:r w:rsidR="00D048B2">
        <w:rPr>
          <w:rFonts w:ascii="Times New Roman" w:hAnsi="Times New Roman" w:cs="Times New Roman"/>
          <w:sz w:val="24"/>
          <w:szCs w:val="24"/>
        </w:rPr>
        <w:t>various CT skil</w:t>
      </w:r>
      <w:r w:rsidR="00964B49">
        <w:rPr>
          <w:rFonts w:ascii="Times New Roman" w:hAnsi="Times New Roman" w:cs="Times New Roman"/>
          <w:sz w:val="24"/>
          <w:szCs w:val="24"/>
        </w:rPr>
        <w:t xml:space="preserve">ls </w:t>
      </w:r>
      <w:r w:rsidR="00624CE1" w:rsidRPr="00624CE1">
        <w:rPr>
          <w:rFonts w:ascii="Times New Roman" w:hAnsi="Times New Roman" w:cs="Times New Roman"/>
          <w:sz w:val="24"/>
          <w:szCs w:val="24"/>
        </w:rPr>
        <w:t xml:space="preserve">for measuring CT skills. The instrument was originally constructed with 40 items and was subsequently refined to 28 items following content validation by a panel of 20 experts. The CTT was later validated using a sample of 1,251 students from Grades 5 to 10 in Spain and demonstrated satisfactory internal consistency reliability Cronbach’s α = </w:t>
      </w:r>
      <w:r w:rsidR="000176B5">
        <w:rPr>
          <w:rFonts w:ascii="Times New Roman" w:hAnsi="Times New Roman" w:cs="Times New Roman"/>
          <w:sz w:val="24"/>
          <w:szCs w:val="24"/>
        </w:rPr>
        <w:t>0</w:t>
      </w:r>
      <w:r w:rsidR="00624CE1" w:rsidRPr="00624CE1">
        <w:rPr>
          <w:rFonts w:ascii="Times New Roman" w:hAnsi="Times New Roman" w:cs="Times New Roman"/>
          <w:sz w:val="24"/>
          <w:szCs w:val="24"/>
        </w:rPr>
        <w:t>.79, (Rom</w:t>
      </w:r>
      <w:r w:rsidR="00F60060">
        <w:rPr>
          <w:rFonts w:ascii="Times New Roman" w:hAnsi="Times New Roman" w:cs="Times New Roman"/>
          <w:sz w:val="24"/>
          <w:szCs w:val="24"/>
        </w:rPr>
        <w:t>a</w:t>
      </w:r>
      <w:r w:rsidR="00624CE1" w:rsidRPr="00624CE1">
        <w:rPr>
          <w:rFonts w:ascii="Times New Roman" w:hAnsi="Times New Roman" w:cs="Times New Roman"/>
          <w:sz w:val="24"/>
          <w:szCs w:val="24"/>
        </w:rPr>
        <w:t>n-Gonz</w:t>
      </w:r>
      <w:r w:rsidR="00F60060">
        <w:rPr>
          <w:rFonts w:ascii="Times New Roman" w:hAnsi="Times New Roman" w:cs="Times New Roman"/>
          <w:sz w:val="24"/>
          <w:szCs w:val="24"/>
        </w:rPr>
        <w:t>a</w:t>
      </w:r>
      <w:r w:rsidR="00624CE1" w:rsidRPr="00624CE1">
        <w:rPr>
          <w:rFonts w:ascii="Times New Roman" w:hAnsi="Times New Roman" w:cs="Times New Roman"/>
          <w:sz w:val="24"/>
          <w:szCs w:val="24"/>
        </w:rPr>
        <w:t>lez et al., 2017).</w:t>
      </w:r>
    </w:p>
    <w:p w14:paraId="7E86E0ED" w14:textId="77777777" w:rsidR="000A140F" w:rsidRDefault="00B95941"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Building up on the CTT tool later stage, </w:t>
      </w:r>
      <w:r w:rsidR="00DC2D75" w:rsidRPr="00DC2D75">
        <w:rPr>
          <w:rFonts w:ascii="Times New Roman" w:hAnsi="Times New Roman" w:cs="Times New Roman"/>
          <w:sz w:val="24"/>
          <w:szCs w:val="24"/>
        </w:rPr>
        <w:t>Zapata</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C</w:t>
      </w:r>
      <w:r>
        <w:rPr>
          <w:rFonts w:ascii="Times New Roman" w:hAnsi="Times New Roman" w:cs="Times New Roman"/>
          <w:sz w:val="24"/>
          <w:szCs w:val="24"/>
        </w:rPr>
        <w:t>a</w:t>
      </w:r>
      <w:r w:rsidR="00DC2D75" w:rsidRPr="00DC2D75">
        <w:rPr>
          <w:rFonts w:ascii="Times New Roman" w:hAnsi="Times New Roman" w:cs="Times New Roman"/>
          <w:sz w:val="24"/>
          <w:szCs w:val="24"/>
        </w:rPr>
        <w:t>ceres et al.</w:t>
      </w:r>
      <w:r w:rsidR="00BD76F2">
        <w:rPr>
          <w:rFonts w:ascii="Times New Roman" w:hAnsi="Times New Roman" w:cs="Times New Roman"/>
          <w:sz w:val="24"/>
          <w:szCs w:val="24"/>
        </w:rPr>
        <w:t>,</w:t>
      </w:r>
      <w:r w:rsidR="00DC2D75" w:rsidRPr="00DC2D75">
        <w:rPr>
          <w:rFonts w:ascii="Times New Roman" w:hAnsi="Times New Roman" w:cs="Times New Roman"/>
          <w:sz w:val="24"/>
          <w:szCs w:val="24"/>
        </w:rPr>
        <w:t xml:space="preserve"> (2020) developed the Beginners</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Computational Thinking Test (</w:t>
      </w:r>
      <w:proofErr w:type="spellStart"/>
      <w:r w:rsidR="00DC2D75" w:rsidRPr="00DC2D75">
        <w:rPr>
          <w:rFonts w:ascii="Times New Roman" w:hAnsi="Times New Roman" w:cs="Times New Roman"/>
          <w:sz w:val="24"/>
          <w:szCs w:val="24"/>
        </w:rPr>
        <w:t>BCTt</w:t>
      </w:r>
      <w:proofErr w:type="spellEnd"/>
      <w:r w:rsidR="00DC2D75" w:rsidRPr="00DC2D75">
        <w:rPr>
          <w:rFonts w:ascii="Times New Roman" w:hAnsi="Times New Roman" w:cs="Times New Roman"/>
          <w:sz w:val="24"/>
          <w:szCs w:val="24"/>
        </w:rPr>
        <w:t>) for younger learners, while El-</w:t>
      </w:r>
      <w:proofErr w:type="spellStart"/>
      <w:r w:rsidR="00DC2D75" w:rsidRPr="00DC2D75">
        <w:rPr>
          <w:rFonts w:ascii="Times New Roman" w:hAnsi="Times New Roman" w:cs="Times New Roman"/>
          <w:sz w:val="24"/>
          <w:szCs w:val="24"/>
        </w:rPr>
        <w:t>Hamamsy</w:t>
      </w:r>
      <w:proofErr w:type="spellEnd"/>
      <w:r w:rsidR="00DC2D75" w:rsidRPr="00DC2D75">
        <w:rPr>
          <w:rFonts w:ascii="Times New Roman" w:hAnsi="Times New Roman" w:cs="Times New Roman"/>
          <w:sz w:val="24"/>
          <w:szCs w:val="24"/>
        </w:rPr>
        <w:t xml:space="preserve"> et al.</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(2022) introduced the Competent Computational Thinking Test (</w:t>
      </w:r>
      <w:proofErr w:type="spellStart"/>
      <w:r w:rsidR="00DC2D75" w:rsidRPr="00DC2D75">
        <w:rPr>
          <w:rFonts w:ascii="Times New Roman" w:hAnsi="Times New Roman" w:cs="Times New Roman"/>
          <w:sz w:val="24"/>
          <w:szCs w:val="24"/>
        </w:rPr>
        <w:t>cCTt</w:t>
      </w:r>
      <w:proofErr w:type="spellEnd"/>
      <w:r w:rsidR="00DC2D75" w:rsidRPr="00DC2D75">
        <w:rPr>
          <w:rFonts w:ascii="Times New Roman" w:hAnsi="Times New Roman" w:cs="Times New Roman"/>
          <w:sz w:val="24"/>
          <w:szCs w:val="24"/>
        </w:rPr>
        <w:t>) for upper primary students and reported significant grade-wise differences in CT performance. Additionally, Tang et al. (2020) identified multiple CT assessment formats and highlighted the lack of standardization in CT proficiency measurement across K–12 education.</w:t>
      </w:r>
    </w:p>
    <w:p w14:paraId="2198A48B" w14:textId="10A3FF54" w:rsidR="003645C8" w:rsidRPr="000A140F" w:rsidRDefault="00C255BE" w:rsidP="000A140F">
      <w:pPr>
        <w:spacing w:line="360" w:lineRule="auto"/>
        <w:ind w:left="144"/>
        <w:jc w:val="both"/>
        <w:rPr>
          <w:rFonts w:ascii="Times New Roman" w:hAnsi="Times New Roman" w:cs="Times New Roman"/>
          <w:sz w:val="24"/>
          <w:szCs w:val="24"/>
        </w:rPr>
      </w:pPr>
      <w:r w:rsidRPr="00C255BE">
        <w:rPr>
          <w:rFonts w:ascii="Times New Roman" w:hAnsi="Times New Roman" w:cs="Times New Roman"/>
          <w:b/>
          <w:bCs/>
          <w:sz w:val="24"/>
          <w:szCs w:val="24"/>
        </w:rPr>
        <w:t>3.2</w:t>
      </w:r>
      <w:r>
        <w:rPr>
          <w:rFonts w:ascii="Times New Roman" w:hAnsi="Times New Roman" w:cs="Times New Roman"/>
          <w:sz w:val="24"/>
          <w:szCs w:val="24"/>
        </w:rPr>
        <w:t xml:space="preserve"> </w:t>
      </w:r>
      <w:r w:rsidR="009200AB" w:rsidRPr="003645C8">
        <w:rPr>
          <w:rFonts w:ascii="Times New Roman" w:hAnsi="Times New Roman" w:cs="Times New Roman"/>
          <w:b/>
          <w:bCs/>
          <w:sz w:val="24"/>
          <w:szCs w:val="24"/>
        </w:rPr>
        <w:t>CT Levels Among Secondary School Students</w:t>
      </w:r>
    </w:p>
    <w:p w14:paraId="4832FEE7" w14:textId="53A48527" w:rsidR="00DC503B" w:rsidRDefault="00C255BE"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b/>
          <w:bCs/>
          <w:sz w:val="24"/>
          <w:szCs w:val="24"/>
        </w:rPr>
        <w:tab/>
      </w:r>
      <w:r w:rsidR="008D03BB" w:rsidRPr="008D03BB">
        <w:rPr>
          <w:rFonts w:ascii="Times New Roman" w:hAnsi="Times New Roman" w:cs="Times New Roman"/>
          <w:sz w:val="24"/>
          <w:szCs w:val="24"/>
        </w:rPr>
        <w:t xml:space="preserve">The previous research studies examined </w:t>
      </w:r>
      <w:r w:rsidR="00762CEF">
        <w:rPr>
          <w:rFonts w:ascii="Times New Roman" w:hAnsi="Times New Roman" w:cs="Times New Roman"/>
          <w:sz w:val="24"/>
          <w:szCs w:val="24"/>
        </w:rPr>
        <w:t xml:space="preserve">on computational thinking skills levels among secondary school level students </w:t>
      </w:r>
      <w:r w:rsidR="006C0157">
        <w:rPr>
          <w:rFonts w:ascii="Times New Roman" w:hAnsi="Times New Roman" w:cs="Times New Roman"/>
          <w:sz w:val="24"/>
          <w:szCs w:val="24"/>
        </w:rPr>
        <w:t xml:space="preserve">and reported various findings across educational context. </w:t>
      </w:r>
      <w:r w:rsidR="00073DBB">
        <w:rPr>
          <w:rFonts w:ascii="Times New Roman" w:hAnsi="Times New Roman" w:cs="Times New Roman"/>
          <w:sz w:val="24"/>
          <w:szCs w:val="24"/>
        </w:rPr>
        <w:t>A descriptive study by Sovey et al., (2022)</w:t>
      </w:r>
      <w:r w:rsidR="00B026C9">
        <w:rPr>
          <w:rFonts w:ascii="Times New Roman" w:hAnsi="Times New Roman" w:cs="Times New Roman"/>
          <w:sz w:val="24"/>
          <w:szCs w:val="24"/>
        </w:rPr>
        <w:t xml:space="preserve"> conducted </w:t>
      </w:r>
      <w:r w:rsidR="00E20E82">
        <w:rPr>
          <w:rFonts w:ascii="Times New Roman" w:hAnsi="Times New Roman" w:cs="Times New Roman"/>
          <w:sz w:val="24"/>
          <w:szCs w:val="24"/>
        </w:rPr>
        <w:t xml:space="preserve">on 535 Malaysian </w:t>
      </w:r>
      <w:r w:rsidR="00DC503B">
        <w:rPr>
          <w:rFonts w:ascii="Times New Roman" w:hAnsi="Times New Roman" w:cs="Times New Roman"/>
          <w:sz w:val="24"/>
          <w:szCs w:val="24"/>
        </w:rPr>
        <w:t>students using</w:t>
      </w:r>
      <w:r w:rsidR="00DC503B" w:rsidRPr="00D92440">
        <w:rPr>
          <w:rFonts w:ascii="Times New Roman" w:hAnsi="Times New Roman" w:cs="Times New Roman"/>
          <w:sz w:val="24"/>
          <w:szCs w:val="24"/>
        </w:rPr>
        <w:t xml:space="preserve"> the Computational Thinking Disposition Instrument (CTDI)</w:t>
      </w:r>
      <w:r w:rsidR="00DC503B">
        <w:rPr>
          <w:rFonts w:ascii="Times New Roman" w:hAnsi="Times New Roman" w:cs="Times New Roman"/>
          <w:sz w:val="24"/>
          <w:szCs w:val="24"/>
        </w:rPr>
        <w:t xml:space="preserve">. The study results </w:t>
      </w:r>
      <w:r w:rsidR="00DC503B" w:rsidRPr="00D92440">
        <w:rPr>
          <w:rFonts w:ascii="Times New Roman" w:hAnsi="Times New Roman" w:cs="Times New Roman"/>
          <w:sz w:val="24"/>
          <w:szCs w:val="24"/>
        </w:rPr>
        <w:t xml:space="preserve">revealed that students' CT profiles encompassed cognitive, affective, and conative dispositions, </w:t>
      </w:r>
      <w:r w:rsidR="00AA7435">
        <w:rPr>
          <w:rFonts w:ascii="Times New Roman" w:hAnsi="Times New Roman" w:cs="Times New Roman"/>
          <w:sz w:val="24"/>
          <w:szCs w:val="24"/>
        </w:rPr>
        <w:t xml:space="preserve">observed with </w:t>
      </w:r>
      <w:r w:rsidR="000451CC">
        <w:rPr>
          <w:rFonts w:ascii="Times New Roman" w:hAnsi="Times New Roman" w:cs="Times New Roman"/>
          <w:sz w:val="24"/>
          <w:szCs w:val="24"/>
        </w:rPr>
        <w:t>levels variations</w:t>
      </w:r>
      <w:r w:rsidR="00DC503B" w:rsidRPr="00D92440">
        <w:rPr>
          <w:rFonts w:ascii="Times New Roman" w:hAnsi="Times New Roman" w:cs="Times New Roman"/>
          <w:sz w:val="24"/>
          <w:szCs w:val="24"/>
        </w:rPr>
        <w:t xml:space="preserve"> across gender groups assessed through Rasch-model analysis. Similarly, Jiang et al.</w:t>
      </w:r>
      <w:r w:rsidR="000451CC">
        <w:rPr>
          <w:rFonts w:ascii="Times New Roman" w:hAnsi="Times New Roman" w:cs="Times New Roman"/>
          <w:sz w:val="24"/>
          <w:szCs w:val="24"/>
        </w:rPr>
        <w:t>,</w:t>
      </w:r>
      <w:r w:rsidR="00DC503B" w:rsidRPr="00D92440">
        <w:rPr>
          <w:rFonts w:ascii="Times New Roman" w:hAnsi="Times New Roman" w:cs="Times New Roman"/>
          <w:sz w:val="24"/>
          <w:szCs w:val="24"/>
        </w:rPr>
        <w:t xml:space="preserve"> (2022)</w:t>
      </w:r>
      <w:r w:rsidR="00505E01">
        <w:rPr>
          <w:rFonts w:ascii="Times New Roman" w:hAnsi="Times New Roman" w:cs="Times New Roman"/>
          <w:sz w:val="24"/>
          <w:szCs w:val="24"/>
        </w:rPr>
        <w:t xml:space="preserve"> </w:t>
      </w:r>
      <w:r w:rsidR="000451CC">
        <w:rPr>
          <w:rFonts w:ascii="Times New Roman" w:hAnsi="Times New Roman" w:cs="Times New Roman"/>
          <w:sz w:val="24"/>
          <w:szCs w:val="24"/>
        </w:rPr>
        <w:t xml:space="preserve">while, </w:t>
      </w:r>
      <w:r w:rsidR="00DC503B" w:rsidRPr="00D92440">
        <w:rPr>
          <w:rFonts w:ascii="Times New Roman" w:hAnsi="Times New Roman" w:cs="Times New Roman"/>
          <w:sz w:val="24"/>
          <w:szCs w:val="24"/>
        </w:rPr>
        <w:t>exploring developmental differences in CT among</w:t>
      </w:r>
      <w:r w:rsidR="000F62D5">
        <w:rPr>
          <w:rFonts w:ascii="Times New Roman" w:hAnsi="Times New Roman" w:cs="Times New Roman"/>
          <w:sz w:val="24"/>
          <w:szCs w:val="24"/>
        </w:rPr>
        <w:t xml:space="preserve"> the group </w:t>
      </w:r>
      <w:r w:rsidR="00DC503B" w:rsidRPr="00D92440">
        <w:rPr>
          <w:rFonts w:ascii="Times New Roman" w:hAnsi="Times New Roman" w:cs="Times New Roman"/>
          <w:sz w:val="24"/>
          <w:szCs w:val="24"/>
        </w:rPr>
        <w:t xml:space="preserve">aged </w:t>
      </w:r>
      <w:r w:rsidR="00DC503B" w:rsidRPr="00D92440">
        <w:rPr>
          <w:rFonts w:ascii="Times New Roman" w:hAnsi="Times New Roman" w:cs="Times New Roman"/>
          <w:sz w:val="24"/>
          <w:szCs w:val="24"/>
        </w:rPr>
        <w:lastRenderedPageBreak/>
        <w:t>9–13</w:t>
      </w:r>
      <w:r w:rsidR="000F62D5">
        <w:rPr>
          <w:rFonts w:ascii="Times New Roman" w:hAnsi="Times New Roman" w:cs="Times New Roman"/>
          <w:sz w:val="24"/>
          <w:szCs w:val="24"/>
        </w:rPr>
        <w:t>,</w:t>
      </w:r>
      <w:r w:rsidR="00DC503B" w:rsidRPr="00D92440">
        <w:rPr>
          <w:rFonts w:ascii="Times New Roman" w:hAnsi="Times New Roman" w:cs="Times New Roman"/>
          <w:sz w:val="24"/>
          <w:szCs w:val="24"/>
        </w:rPr>
        <w:t xml:space="preserve"> </w:t>
      </w:r>
      <w:r w:rsidR="00854BFA">
        <w:rPr>
          <w:rFonts w:ascii="Times New Roman" w:hAnsi="Times New Roman" w:cs="Times New Roman"/>
          <w:sz w:val="24"/>
          <w:szCs w:val="24"/>
        </w:rPr>
        <w:t>found</w:t>
      </w:r>
      <w:r w:rsidR="00DC503B" w:rsidRPr="00D92440">
        <w:rPr>
          <w:rFonts w:ascii="Times New Roman" w:hAnsi="Times New Roman" w:cs="Times New Roman"/>
          <w:sz w:val="24"/>
          <w:szCs w:val="24"/>
        </w:rPr>
        <w:t xml:space="preserve"> that CT skills</w:t>
      </w:r>
      <w:r w:rsidR="0054412C">
        <w:rPr>
          <w:rFonts w:ascii="Times New Roman" w:hAnsi="Times New Roman" w:cs="Times New Roman"/>
          <w:sz w:val="24"/>
          <w:szCs w:val="24"/>
        </w:rPr>
        <w:t xml:space="preserve"> enhance with ag</w:t>
      </w:r>
      <w:r w:rsidR="00B24CEA">
        <w:rPr>
          <w:rFonts w:ascii="Times New Roman" w:hAnsi="Times New Roman" w:cs="Times New Roman"/>
          <w:sz w:val="24"/>
          <w:szCs w:val="24"/>
        </w:rPr>
        <w:t xml:space="preserve">e </w:t>
      </w:r>
      <w:r w:rsidR="00D25568">
        <w:rPr>
          <w:rFonts w:ascii="Times New Roman" w:hAnsi="Times New Roman" w:cs="Times New Roman"/>
          <w:sz w:val="24"/>
          <w:szCs w:val="24"/>
        </w:rPr>
        <w:t xml:space="preserve">and </w:t>
      </w:r>
      <w:r w:rsidR="00D25568" w:rsidRPr="00D92440">
        <w:rPr>
          <w:rFonts w:ascii="Times New Roman" w:hAnsi="Times New Roman" w:cs="Times New Roman"/>
          <w:sz w:val="24"/>
          <w:szCs w:val="24"/>
        </w:rPr>
        <w:t>older</w:t>
      </w:r>
      <w:r w:rsidR="00DC503B" w:rsidRPr="00D92440">
        <w:rPr>
          <w:rFonts w:ascii="Times New Roman" w:hAnsi="Times New Roman" w:cs="Times New Roman"/>
          <w:sz w:val="24"/>
          <w:szCs w:val="24"/>
        </w:rPr>
        <w:t xml:space="preserve"> students consistently </w:t>
      </w:r>
      <w:r w:rsidR="0054412C">
        <w:rPr>
          <w:rFonts w:ascii="Times New Roman" w:hAnsi="Times New Roman" w:cs="Times New Roman"/>
          <w:sz w:val="24"/>
          <w:szCs w:val="24"/>
        </w:rPr>
        <w:t xml:space="preserve">performed better </w:t>
      </w:r>
      <w:r w:rsidR="00505E01">
        <w:rPr>
          <w:rFonts w:ascii="Times New Roman" w:hAnsi="Times New Roman" w:cs="Times New Roman"/>
          <w:sz w:val="24"/>
          <w:szCs w:val="24"/>
        </w:rPr>
        <w:t xml:space="preserve">than </w:t>
      </w:r>
      <w:r w:rsidR="00D25568">
        <w:rPr>
          <w:rFonts w:ascii="Times New Roman" w:hAnsi="Times New Roman" w:cs="Times New Roman"/>
          <w:sz w:val="24"/>
          <w:szCs w:val="24"/>
        </w:rPr>
        <w:t>the younger</w:t>
      </w:r>
      <w:r w:rsidR="00DC503B" w:rsidRPr="00D92440">
        <w:rPr>
          <w:rFonts w:ascii="Times New Roman" w:hAnsi="Times New Roman" w:cs="Times New Roman"/>
          <w:sz w:val="24"/>
          <w:szCs w:val="24"/>
        </w:rPr>
        <w:t xml:space="preserve"> students across CT </w:t>
      </w:r>
      <w:r w:rsidR="00B24CEA">
        <w:rPr>
          <w:rFonts w:ascii="Times New Roman" w:hAnsi="Times New Roman" w:cs="Times New Roman"/>
          <w:sz w:val="24"/>
          <w:szCs w:val="24"/>
        </w:rPr>
        <w:t>skills before formal instructions</w:t>
      </w:r>
      <w:r w:rsidR="00505E01">
        <w:rPr>
          <w:rFonts w:ascii="Times New Roman" w:hAnsi="Times New Roman" w:cs="Times New Roman"/>
          <w:sz w:val="24"/>
          <w:szCs w:val="24"/>
        </w:rPr>
        <w:t xml:space="preserve">. </w:t>
      </w:r>
    </w:p>
    <w:p w14:paraId="78DEF531" w14:textId="3636E5A4" w:rsidR="00505E01" w:rsidRDefault="008B61A3" w:rsidP="001D7BD2">
      <w:pPr>
        <w:spacing w:line="360" w:lineRule="auto"/>
        <w:ind w:left="360" w:firstLine="720"/>
        <w:jc w:val="both"/>
        <w:rPr>
          <w:rFonts w:ascii="Times New Roman" w:hAnsi="Times New Roman" w:cs="Times New Roman"/>
          <w:sz w:val="24"/>
          <w:szCs w:val="24"/>
        </w:rPr>
      </w:pPr>
      <w:r w:rsidRPr="008B61A3">
        <w:rPr>
          <w:rFonts w:ascii="Times New Roman" w:hAnsi="Times New Roman" w:cs="Times New Roman"/>
          <w:sz w:val="24"/>
          <w:szCs w:val="24"/>
        </w:rPr>
        <w:t xml:space="preserve">Chen and Hu (2024), conducted </w:t>
      </w:r>
      <w:r w:rsidR="00220275">
        <w:rPr>
          <w:rFonts w:ascii="Times New Roman" w:hAnsi="Times New Roman" w:cs="Times New Roman"/>
          <w:sz w:val="24"/>
          <w:szCs w:val="24"/>
        </w:rPr>
        <w:t xml:space="preserve">a study on </w:t>
      </w:r>
      <w:r w:rsidRPr="008B61A3">
        <w:rPr>
          <w:rFonts w:ascii="Times New Roman" w:hAnsi="Times New Roman" w:cs="Times New Roman"/>
          <w:sz w:val="24"/>
          <w:szCs w:val="24"/>
        </w:rPr>
        <w:t>secondary school students</w:t>
      </w:r>
      <w:r w:rsidR="00220275">
        <w:rPr>
          <w:rFonts w:ascii="Times New Roman" w:hAnsi="Times New Roman" w:cs="Times New Roman"/>
          <w:sz w:val="24"/>
          <w:szCs w:val="24"/>
        </w:rPr>
        <w:t xml:space="preserve"> with the sample of 351 </w:t>
      </w:r>
      <w:r w:rsidR="00F80A53">
        <w:rPr>
          <w:rFonts w:ascii="Times New Roman" w:hAnsi="Times New Roman" w:cs="Times New Roman"/>
          <w:sz w:val="24"/>
          <w:szCs w:val="24"/>
        </w:rPr>
        <w:t xml:space="preserve">students </w:t>
      </w:r>
      <w:r w:rsidR="00F80A53" w:rsidRPr="008B61A3">
        <w:rPr>
          <w:rFonts w:ascii="Times New Roman" w:hAnsi="Times New Roman" w:cs="Times New Roman"/>
          <w:sz w:val="24"/>
          <w:szCs w:val="24"/>
        </w:rPr>
        <w:t>from</w:t>
      </w:r>
      <w:r w:rsidRPr="008B61A3">
        <w:rPr>
          <w:rFonts w:ascii="Times New Roman" w:hAnsi="Times New Roman" w:cs="Times New Roman"/>
          <w:sz w:val="24"/>
          <w:szCs w:val="24"/>
        </w:rPr>
        <w:t xml:space="preserve"> eight schools in China,</w:t>
      </w:r>
      <w:r w:rsidR="00D7690D">
        <w:rPr>
          <w:rFonts w:ascii="Times New Roman" w:hAnsi="Times New Roman" w:cs="Times New Roman"/>
          <w:sz w:val="24"/>
          <w:szCs w:val="24"/>
        </w:rPr>
        <w:t xml:space="preserve"> results, revealed that</w:t>
      </w:r>
      <w:r w:rsidRPr="008B61A3">
        <w:rPr>
          <w:rFonts w:ascii="Times New Roman" w:hAnsi="Times New Roman" w:cs="Times New Roman"/>
          <w:sz w:val="24"/>
          <w:szCs w:val="24"/>
        </w:rPr>
        <w:t xml:space="preserve"> a significant relationship between ICT literacy and Computational Thinking (CT) skills,</w:t>
      </w:r>
      <w:r w:rsidR="00A51220">
        <w:rPr>
          <w:rFonts w:ascii="Times New Roman" w:hAnsi="Times New Roman" w:cs="Times New Roman"/>
          <w:sz w:val="24"/>
          <w:szCs w:val="24"/>
        </w:rPr>
        <w:t xml:space="preserve"> are </w:t>
      </w:r>
      <w:r w:rsidR="00976E73">
        <w:rPr>
          <w:rFonts w:ascii="Times New Roman" w:hAnsi="Times New Roman" w:cs="Times New Roman"/>
          <w:sz w:val="24"/>
          <w:szCs w:val="24"/>
        </w:rPr>
        <w:t xml:space="preserve">emphasis on </w:t>
      </w:r>
      <w:r w:rsidRPr="008B61A3">
        <w:rPr>
          <w:rFonts w:ascii="Times New Roman" w:hAnsi="Times New Roman" w:cs="Times New Roman"/>
          <w:sz w:val="24"/>
          <w:szCs w:val="24"/>
        </w:rPr>
        <w:t xml:space="preserve">importance of technology-supported learning environments in enhancing CT development. </w:t>
      </w:r>
      <w:r w:rsidR="007554D2" w:rsidRPr="008B61A3">
        <w:rPr>
          <w:rFonts w:ascii="Times New Roman" w:hAnsi="Times New Roman" w:cs="Times New Roman"/>
          <w:sz w:val="24"/>
          <w:szCs w:val="24"/>
        </w:rPr>
        <w:t xml:space="preserve">Likewise, </w:t>
      </w:r>
      <w:r w:rsidR="007554D2">
        <w:rPr>
          <w:rFonts w:ascii="Times New Roman" w:hAnsi="Times New Roman" w:cs="Times New Roman"/>
          <w:sz w:val="24"/>
          <w:szCs w:val="24"/>
        </w:rPr>
        <w:t xml:space="preserve">a study conducted by </w:t>
      </w:r>
      <w:proofErr w:type="spellStart"/>
      <w:r w:rsidR="007554D2" w:rsidRPr="00F80A53">
        <w:rPr>
          <w:rFonts w:ascii="Times New Roman" w:hAnsi="Times New Roman" w:cs="Times New Roman"/>
          <w:sz w:val="24"/>
          <w:szCs w:val="24"/>
        </w:rPr>
        <w:t>Karaahmeto</w:t>
      </w:r>
      <w:r w:rsidR="007554D2">
        <w:rPr>
          <w:rFonts w:ascii="Times New Roman" w:hAnsi="Times New Roman" w:cs="Times New Roman"/>
          <w:sz w:val="24"/>
          <w:szCs w:val="24"/>
        </w:rPr>
        <w:t>g</w:t>
      </w:r>
      <w:r w:rsidR="007554D2" w:rsidRPr="00F80A53">
        <w:rPr>
          <w:rFonts w:ascii="Times New Roman" w:hAnsi="Times New Roman" w:cs="Times New Roman"/>
          <w:sz w:val="24"/>
          <w:szCs w:val="24"/>
        </w:rPr>
        <w:t>lu</w:t>
      </w:r>
      <w:proofErr w:type="spellEnd"/>
      <w:r w:rsidR="007554D2" w:rsidRPr="00F80A53">
        <w:rPr>
          <w:rFonts w:ascii="Times New Roman" w:hAnsi="Times New Roman" w:cs="Times New Roman"/>
          <w:sz w:val="24"/>
          <w:szCs w:val="24"/>
        </w:rPr>
        <w:t xml:space="preserve"> &amp; Korkmaz, </w:t>
      </w:r>
      <w:r w:rsidR="007554D2">
        <w:rPr>
          <w:rFonts w:ascii="Times New Roman" w:hAnsi="Times New Roman" w:cs="Times New Roman"/>
          <w:sz w:val="24"/>
          <w:szCs w:val="24"/>
        </w:rPr>
        <w:t>(</w:t>
      </w:r>
      <w:r w:rsidR="007554D2" w:rsidRPr="00F80A53">
        <w:rPr>
          <w:rFonts w:ascii="Times New Roman" w:hAnsi="Times New Roman" w:cs="Times New Roman"/>
          <w:sz w:val="24"/>
          <w:szCs w:val="24"/>
        </w:rPr>
        <w:t>2023)</w:t>
      </w:r>
      <w:r w:rsidR="005E0DB2">
        <w:rPr>
          <w:rFonts w:ascii="Times New Roman" w:hAnsi="Times New Roman" w:cs="Times New Roman"/>
          <w:sz w:val="24"/>
          <w:szCs w:val="24"/>
        </w:rPr>
        <w:t xml:space="preserve"> action research</w:t>
      </w:r>
      <w:r w:rsidRPr="008B61A3">
        <w:rPr>
          <w:rFonts w:ascii="Times New Roman" w:hAnsi="Times New Roman" w:cs="Times New Roman"/>
          <w:sz w:val="24"/>
          <w:szCs w:val="24"/>
        </w:rPr>
        <w:t xml:space="preserve"> over a period of 14 weeks among Grade 5 and 6 students</w:t>
      </w:r>
      <w:r w:rsidR="005E0DB2">
        <w:rPr>
          <w:rFonts w:ascii="Times New Roman" w:hAnsi="Times New Roman" w:cs="Times New Roman"/>
          <w:sz w:val="24"/>
          <w:szCs w:val="24"/>
        </w:rPr>
        <w:t xml:space="preserve">. Findings revealed that </w:t>
      </w:r>
      <w:r w:rsidR="00E1434B">
        <w:rPr>
          <w:rFonts w:ascii="Times New Roman" w:hAnsi="Times New Roman" w:cs="Times New Roman"/>
          <w:sz w:val="24"/>
          <w:szCs w:val="24"/>
        </w:rPr>
        <w:t>there is a</w:t>
      </w:r>
      <w:r w:rsidRPr="008B61A3">
        <w:rPr>
          <w:rFonts w:ascii="Times New Roman" w:hAnsi="Times New Roman" w:cs="Times New Roman"/>
          <w:sz w:val="24"/>
          <w:szCs w:val="24"/>
        </w:rPr>
        <w:t xml:space="preserve"> significant improvement in</w:t>
      </w:r>
      <w:r w:rsidR="00E1434B">
        <w:rPr>
          <w:rFonts w:ascii="Times New Roman" w:hAnsi="Times New Roman" w:cs="Times New Roman"/>
          <w:sz w:val="24"/>
          <w:szCs w:val="24"/>
        </w:rPr>
        <w:t xml:space="preserve"> enhancing </w:t>
      </w:r>
      <w:r w:rsidR="00E1434B" w:rsidRPr="008B61A3">
        <w:rPr>
          <w:rFonts w:ascii="Times New Roman" w:hAnsi="Times New Roman" w:cs="Times New Roman"/>
          <w:sz w:val="24"/>
          <w:szCs w:val="24"/>
        </w:rPr>
        <w:t xml:space="preserve">CT </w:t>
      </w:r>
      <w:r w:rsidR="00E1434B">
        <w:rPr>
          <w:rFonts w:ascii="Times New Roman" w:hAnsi="Times New Roman" w:cs="Times New Roman"/>
          <w:sz w:val="24"/>
          <w:szCs w:val="24"/>
        </w:rPr>
        <w:t xml:space="preserve">skills </w:t>
      </w:r>
      <w:r w:rsidRPr="008B61A3">
        <w:rPr>
          <w:rFonts w:ascii="Times New Roman" w:hAnsi="Times New Roman" w:cs="Times New Roman"/>
          <w:sz w:val="24"/>
          <w:szCs w:val="24"/>
        </w:rPr>
        <w:t>following</w:t>
      </w:r>
      <w:r w:rsidR="005034AF">
        <w:rPr>
          <w:rFonts w:ascii="Times New Roman" w:hAnsi="Times New Roman" w:cs="Times New Roman"/>
          <w:sz w:val="24"/>
          <w:szCs w:val="24"/>
        </w:rPr>
        <w:t xml:space="preserve"> </w:t>
      </w:r>
      <w:r w:rsidRPr="008B61A3">
        <w:rPr>
          <w:rFonts w:ascii="Times New Roman" w:hAnsi="Times New Roman" w:cs="Times New Roman"/>
          <w:sz w:val="24"/>
          <w:szCs w:val="24"/>
        </w:rPr>
        <w:t>instructional intervention,</w:t>
      </w:r>
      <w:r w:rsidR="00E1434B">
        <w:rPr>
          <w:rFonts w:ascii="Times New Roman" w:hAnsi="Times New Roman" w:cs="Times New Roman"/>
          <w:sz w:val="24"/>
          <w:szCs w:val="24"/>
        </w:rPr>
        <w:t xml:space="preserve"> </w:t>
      </w:r>
      <w:r w:rsidRPr="008B61A3">
        <w:rPr>
          <w:rFonts w:ascii="Times New Roman" w:hAnsi="Times New Roman" w:cs="Times New Roman"/>
          <w:sz w:val="24"/>
          <w:szCs w:val="24"/>
        </w:rPr>
        <w:t xml:space="preserve">while qualitative findings </w:t>
      </w:r>
      <w:r w:rsidR="00342AE8">
        <w:rPr>
          <w:rFonts w:ascii="Times New Roman" w:hAnsi="Times New Roman" w:cs="Times New Roman"/>
          <w:sz w:val="24"/>
          <w:szCs w:val="24"/>
        </w:rPr>
        <w:t xml:space="preserve">found that the </w:t>
      </w:r>
      <w:r w:rsidRPr="008B61A3">
        <w:rPr>
          <w:rFonts w:ascii="Times New Roman" w:hAnsi="Times New Roman" w:cs="Times New Roman"/>
          <w:sz w:val="24"/>
          <w:szCs w:val="24"/>
        </w:rPr>
        <w:t>student motivation and engagement</w:t>
      </w:r>
      <w:r w:rsidR="00342AE8">
        <w:rPr>
          <w:rFonts w:ascii="Times New Roman" w:hAnsi="Times New Roman" w:cs="Times New Roman"/>
          <w:sz w:val="24"/>
          <w:szCs w:val="24"/>
        </w:rPr>
        <w:t xml:space="preserve"> increased </w:t>
      </w:r>
      <w:r w:rsidR="0050445F">
        <w:rPr>
          <w:rFonts w:ascii="Times New Roman" w:hAnsi="Times New Roman" w:cs="Times New Roman"/>
          <w:sz w:val="24"/>
          <w:szCs w:val="24"/>
        </w:rPr>
        <w:t xml:space="preserve">towards lessons </w:t>
      </w:r>
      <w:r w:rsidR="0037372C">
        <w:rPr>
          <w:rFonts w:ascii="Times New Roman" w:hAnsi="Times New Roman" w:cs="Times New Roman"/>
          <w:sz w:val="24"/>
          <w:szCs w:val="24"/>
        </w:rPr>
        <w:t xml:space="preserve">throughout </w:t>
      </w:r>
      <w:r w:rsidR="00342AE8">
        <w:rPr>
          <w:rFonts w:ascii="Times New Roman" w:hAnsi="Times New Roman" w:cs="Times New Roman"/>
          <w:sz w:val="24"/>
          <w:szCs w:val="24"/>
        </w:rPr>
        <w:t>intervention.</w:t>
      </w:r>
      <w:r w:rsidR="00342AE8" w:rsidRPr="008B61A3">
        <w:rPr>
          <w:rFonts w:ascii="Times New Roman" w:hAnsi="Times New Roman" w:cs="Times New Roman"/>
          <w:sz w:val="24"/>
          <w:szCs w:val="24"/>
        </w:rPr>
        <w:t xml:space="preserve"> </w:t>
      </w:r>
      <w:r w:rsidR="006C2244">
        <w:rPr>
          <w:rFonts w:ascii="Times New Roman" w:hAnsi="Times New Roman" w:cs="Times New Roman"/>
          <w:sz w:val="24"/>
          <w:szCs w:val="24"/>
        </w:rPr>
        <w:t>Over all, these findings, c</w:t>
      </w:r>
      <w:r w:rsidR="00342AE8" w:rsidRPr="008B61A3">
        <w:rPr>
          <w:rFonts w:ascii="Times New Roman" w:hAnsi="Times New Roman" w:cs="Times New Roman"/>
          <w:sz w:val="24"/>
          <w:szCs w:val="24"/>
        </w:rPr>
        <w:t>ollectively</w:t>
      </w:r>
      <w:r w:rsidRPr="008B61A3">
        <w:rPr>
          <w:rFonts w:ascii="Times New Roman" w:hAnsi="Times New Roman" w:cs="Times New Roman"/>
          <w:sz w:val="24"/>
          <w:szCs w:val="24"/>
        </w:rPr>
        <w:t>,</w:t>
      </w:r>
      <w:r w:rsidR="006C2244">
        <w:rPr>
          <w:rFonts w:ascii="Times New Roman" w:hAnsi="Times New Roman" w:cs="Times New Roman"/>
          <w:sz w:val="24"/>
          <w:szCs w:val="24"/>
        </w:rPr>
        <w:t xml:space="preserve"> </w:t>
      </w:r>
      <w:r w:rsidRPr="008B61A3">
        <w:rPr>
          <w:rFonts w:ascii="Times New Roman" w:hAnsi="Times New Roman" w:cs="Times New Roman"/>
          <w:sz w:val="24"/>
          <w:szCs w:val="24"/>
        </w:rPr>
        <w:t>suggest that secondary school students generally</w:t>
      </w:r>
      <w:r w:rsidR="00027B84">
        <w:rPr>
          <w:rFonts w:ascii="Times New Roman" w:hAnsi="Times New Roman" w:cs="Times New Roman"/>
          <w:sz w:val="24"/>
          <w:szCs w:val="24"/>
        </w:rPr>
        <w:t xml:space="preserve"> demonstrate </w:t>
      </w:r>
      <w:r w:rsidRPr="008B61A3">
        <w:rPr>
          <w:rFonts w:ascii="Times New Roman" w:hAnsi="Times New Roman" w:cs="Times New Roman"/>
          <w:sz w:val="24"/>
          <w:szCs w:val="24"/>
        </w:rPr>
        <w:t>moderate levels of CT proficiency prior to receiving structured CT instruction.</w:t>
      </w:r>
      <w:r w:rsidR="00F80A53" w:rsidRPr="00F80A53">
        <w:t xml:space="preserve"> </w:t>
      </w:r>
    </w:p>
    <w:p w14:paraId="2B3C6E54" w14:textId="5CF6193B" w:rsidR="00A93868" w:rsidRPr="00D92440" w:rsidRDefault="00841528" w:rsidP="00A93868">
      <w:pPr>
        <w:rPr>
          <w:rFonts w:ascii="Times New Roman" w:hAnsi="Times New Roman" w:cs="Times New Roman"/>
          <w:b/>
          <w:bCs/>
          <w:sz w:val="24"/>
          <w:szCs w:val="24"/>
        </w:rPr>
      </w:pPr>
      <w:r>
        <w:rPr>
          <w:rFonts w:ascii="Times New Roman" w:hAnsi="Times New Roman" w:cs="Times New Roman"/>
          <w:sz w:val="24"/>
          <w:szCs w:val="24"/>
        </w:rPr>
        <w:t xml:space="preserve"> </w:t>
      </w:r>
      <w:r w:rsidR="00A93868" w:rsidRPr="00D92440">
        <w:rPr>
          <w:rFonts w:ascii="Times New Roman" w:hAnsi="Times New Roman" w:cs="Times New Roman"/>
          <w:b/>
          <w:bCs/>
          <w:sz w:val="24"/>
          <w:szCs w:val="24"/>
        </w:rPr>
        <w:t>3.3 Gender and Age Differences in CT</w:t>
      </w:r>
    </w:p>
    <w:p w14:paraId="670373C7" w14:textId="77777777" w:rsidR="007A3656" w:rsidRDefault="00ED6957" w:rsidP="007A3656">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 recent studies, </w:t>
      </w:r>
      <w:r w:rsidR="009C2214">
        <w:rPr>
          <w:rFonts w:ascii="Times New Roman" w:hAnsi="Times New Roman" w:cs="Times New Roman"/>
          <w:sz w:val="24"/>
          <w:szCs w:val="24"/>
        </w:rPr>
        <w:t xml:space="preserve">research on </w:t>
      </w:r>
      <w:r w:rsidR="00E83118" w:rsidRPr="00D92440">
        <w:rPr>
          <w:rFonts w:ascii="Times New Roman" w:hAnsi="Times New Roman" w:cs="Times New Roman"/>
          <w:sz w:val="24"/>
          <w:szCs w:val="24"/>
        </w:rPr>
        <w:t>gender difference</w:t>
      </w:r>
      <w:r w:rsidR="00B92438">
        <w:rPr>
          <w:rFonts w:ascii="Times New Roman" w:hAnsi="Times New Roman" w:cs="Times New Roman"/>
          <w:sz w:val="24"/>
          <w:szCs w:val="24"/>
        </w:rPr>
        <w:t xml:space="preserve">s has </w:t>
      </w:r>
      <w:r w:rsidR="00E83118" w:rsidRPr="00D92440">
        <w:rPr>
          <w:rFonts w:ascii="Times New Roman" w:hAnsi="Times New Roman" w:cs="Times New Roman"/>
          <w:sz w:val="24"/>
          <w:szCs w:val="24"/>
        </w:rPr>
        <w:t xml:space="preserve">attracted </w:t>
      </w:r>
      <w:r w:rsidR="0002167D">
        <w:rPr>
          <w:rFonts w:ascii="Times New Roman" w:hAnsi="Times New Roman" w:cs="Times New Roman"/>
          <w:sz w:val="24"/>
          <w:szCs w:val="24"/>
        </w:rPr>
        <w:t xml:space="preserve">and </w:t>
      </w:r>
      <w:r w:rsidR="00E83118" w:rsidRPr="00D92440">
        <w:rPr>
          <w:rFonts w:ascii="Times New Roman" w:hAnsi="Times New Roman" w:cs="Times New Roman"/>
          <w:sz w:val="24"/>
          <w:szCs w:val="24"/>
        </w:rPr>
        <w:t>growing scholarly attention</w:t>
      </w:r>
      <w:r w:rsidR="0002167D">
        <w:rPr>
          <w:rFonts w:ascii="Times New Roman" w:hAnsi="Times New Roman" w:cs="Times New Roman"/>
          <w:sz w:val="24"/>
          <w:szCs w:val="24"/>
        </w:rPr>
        <w:t xml:space="preserve"> in enhancing CT skills across gender</w:t>
      </w:r>
      <w:r w:rsidR="00E83118" w:rsidRPr="00D92440">
        <w:rPr>
          <w:rFonts w:ascii="Times New Roman" w:hAnsi="Times New Roman" w:cs="Times New Roman"/>
          <w:sz w:val="24"/>
          <w:szCs w:val="24"/>
        </w:rPr>
        <w:t xml:space="preserve">. </w:t>
      </w:r>
      <w:r w:rsidR="001F2BF4">
        <w:rPr>
          <w:rFonts w:ascii="Times New Roman" w:hAnsi="Times New Roman" w:cs="Times New Roman"/>
          <w:sz w:val="24"/>
          <w:szCs w:val="24"/>
        </w:rPr>
        <w:t>Wong (2024) conducted A</w:t>
      </w:r>
      <w:r w:rsidR="00E83118" w:rsidRPr="00D92440">
        <w:rPr>
          <w:rFonts w:ascii="Times New Roman" w:hAnsi="Times New Roman" w:cs="Times New Roman"/>
          <w:sz w:val="24"/>
          <w:szCs w:val="24"/>
        </w:rPr>
        <w:t xml:space="preserve"> systematic</w:t>
      </w:r>
      <w:r w:rsidR="001F2BF4">
        <w:rPr>
          <w:rFonts w:ascii="Times New Roman" w:hAnsi="Times New Roman" w:cs="Times New Roman"/>
          <w:sz w:val="24"/>
          <w:szCs w:val="24"/>
        </w:rPr>
        <w:t xml:space="preserve"> </w:t>
      </w:r>
      <w:r w:rsidR="00871AC5">
        <w:rPr>
          <w:rFonts w:ascii="Times New Roman" w:hAnsi="Times New Roman" w:cs="Times New Roman"/>
          <w:sz w:val="24"/>
          <w:szCs w:val="24"/>
        </w:rPr>
        <w:t xml:space="preserve">literature </w:t>
      </w:r>
      <w:r w:rsidR="00871AC5" w:rsidRPr="00D92440">
        <w:rPr>
          <w:rFonts w:ascii="Times New Roman" w:hAnsi="Times New Roman" w:cs="Times New Roman"/>
          <w:sz w:val="24"/>
          <w:szCs w:val="24"/>
        </w:rPr>
        <w:t>review</w:t>
      </w:r>
      <w:r w:rsidR="00E83118" w:rsidRPr="00D92440">
        <w:rPr>
          <w:rFonts w:ascii="Times New Roman" w:hAnsi="Times New Roman" w:cs="Times New Roman"/>
          <w:sz w:val="24"/>
          <w:szCs w:val="24"/>
        </w:rPr>
        <w:t xml:space="preserve"> examining 23 studies on gender differences </w:t>
      </w:r>
      <w:r w:rsidR="00871AC5">
        <w:rPr>
          <w:rFonts w:ascii="Times New Roman" w:hAnsi="Times New Roman" w:cs="Times New Roman"/>
          <w:sz w:val="24"/>
          <w:szCs w:val="24"/>
        </w:rPr>
        <w:t xml:space="preserve">on </w:t>
      </w:r>
      <w:r w:rsidR="00871AC5" w:rsidRPr="00D92440">
        <w:rPr>
          <w:rFonts w:ascii="Times New Roman" w:hAnsi="Times New Roman" w:cs="Times New Roman"/>
          <w:sz w:val="24"/>
          <w:szCs w:val="24"/>
        </w:rPr>
        <w:t>CT</w:t>
      </w:r>
      <w:r w:rsidR="00E83118" w:rsidRPr="00D92440">
        <w:rPr>
          <w:rFonts w:ascii="Times New Roman" w:hAnsi="Times New Roman" w:cs="Times New Roman"/>
          <w:sz w:val="24"/>
          <w:szCs w:val="24"/>
        </w:rPr>
        <w:t xml:space="preserve"> skills among primary and secondary school students</w:t>
      </w:r>
      <w:r w:rsidR="00871AC5">
        <w:rPr>
          <w:rFonts w:ascii="Times New Roman" w:hAnsi="Times New Roman" w:cs="Times New Roman"/>
          <w:sz w:val="24"/>
          <w:szCs w:val="24"/>
        </w:rPr>
        <w:t>, results reveled</w:t>
      </w:r>
      <w:r w:rsidR="00E83118" w:rsidRPr="00D92440">
        <w:rPr>
          <w:rFonts w:ascii="Times New Roman" w:hAnsi="Times New Roman" w:cs="Times New Roman"/>
          <w:sz w:val="24"/>
          <w:szCs w:val="24"/>
        </w:rPr>
        <w:t xml:space="preserve"> that existing research on inherent gender differences remains insufficient and that findings are highly context-dependent. A meta-analysis by Hu (2024) synthesizing 30 articles on gender differences in CT among K–12 students found inconsistent outcomes</w:t>
      </w:r>
      <w:r w:rsidR="00C45FA5">
        <w:rPr>
          <w:rFonts w:ascii="Times New Roman" w:hAnsi="Times New Roman" w:cs="Times New Roman"/>
          <w:sz w:val="24"/>
          <w:szCs w:val="24"/>
        </w:rPr>
        <w:t xml:space="preserve"> </w:t>
      </w:r>
      <w:r w:rsidR="00E83118" w:rsidRPr="00D92440">
        <w:rPr>
          <w:rFonts w:ascii="Times New Roman" w:hAnsi="Times New Roman" w:cs="Times New Roman"/>
          <w:sz w:val="24"/>
          <w:szCs w:val="24"/>
        </w:rPr>
        <w:t>in some regional contexts (notably East Asia) boys scored higher, while in others (particularly Europe and Central Asia) girls scored higher or no significant difference was found</w:t>
      </w:r>
      <w:r w:rsidR="00C45FA5">
        <w:rPr>
          <w:rFonts w:ascii="Times New Roman" w:hAnsi="Times New Roman" w:cs="Times New Roman"/>
          <w:sz w:val="24"/>
          <w:szCs w:val="24"/>
        </w:rPr>
        <w:t>,</w:t>
      </w:r>
      <w:r w:rsidR="00E83118" w:rsidRPr="00D92440">
        <w:rPr>
          <w:rFonts w:ascii="Times New Roman" w:hAnsi="Times New Roman" w:cs="Times New Roman"/>
          <w:sz w:val="24"/>
          <w:szCs w:val="24"/>
        </w:rPr>
        <w:t xml:space="preserve"> suggesting that observed disparities reflect socio-cultural and pedagogical factors rather than inherent cognitive differences.</w:t>
      </w:r>
    </w:p>
    <w:p w14:paraId="70503ED7" w14:textId="53F6F910" w:rsidR="00391DD6" w:rsidRPr="00392928" w:rsidRDefault="007A3656" w:rsidP="00392928">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With respect to age</w:t>
      </w:r>
      <w:r w:rsidR="00F85A58">
        <w:rPr>
          <w:rFonts w:ascii="Times New Roman" w:hAnsi="Times New Roman" w:cs="Times New Roman"/>
          <w:sz w:val="24"/>
          <w:szCs w:val="24"/>
        </w:rPr>
        <w:t xml:space="preserve">, in enhancement of CT skills across age </w:t>
      </w:r>
      <w:r w:rsidR="006F492B">
        <w:rPr>
          <w:rFonts w:ascii="Times New Roman" w:hAnsi="Times New Roman" w:cs="Times New Roman"/>
          <w:sz w:val="24"/>
          <w:szCs w:val="24"/>
        </w:rPr>
        <w:t>consistently</w:t>
      </w:r>
      <w:r w:rsidR="00900D0C">
        <w:rPr>
          <w:rFonts w:ascii="Times New Roman" w:hAnsi="Times New Roman" w:cs="Times New Roman"/>
          <w:sz w:val="24"/>
          <w:szCs w:val="24"/>
        </w:rPr>
        <w:t xml:space="preserve"> support </w:t>
      </w:r>
      <w:r w:rsidR="006F492B">
        <w:rPr>
          <w:rFonts w:ascii="Times New Roman" w:hAnsi="Times New Roman" w:cs="Times New Roman"/>
          <w:sz w:val="24"/>
          <w:szCs w:val="24"/>
        </w:rPr>
        <w:t xml:space="preserve">a development in CT skills. </w:t>
      </w:r>
      <w:r w:rsidRPr="00D92440">
        <w:rPr>
          <w:rFonts w:ascii="Times New Roman" w:hAnsi="Times New Roman" w:cs="Times New Roman"/>
          <w:sz w:val="24"/>
          <w:szCs w:val="24"/>
        </w:rPr>
        <w:t xml:space="preserve">Jiang </w:t>
      </w:r>
      <w:r w:rsidR="006F492B" w:rsidRPr="00D92440">
        <w:rPr>
          <w:rFonts w:ascii="Times New Roman" w:hAnsi="Times New Roman" w:cs="Times New Roman"/>
          <w:sz w:val="24"/>
          <w:szCs w:val="24"/>
        </w:rPr>
        <w:t>et al.</w:t>
      </w:r>
      <w:r w:rsidR="006F492B">
        <w:rPr>
          <w:rFonts w:ascii="Times New Roman" w:hAnsi="Times New Roman" w:cs="Times New Roman"/>
          <w:sz w:val="24"/>
          <w:szCs w:val="24"/>
        </w:rPr>
        <w:t>,</w:t>
      </w:r>
      <w:r w:rsidR="006F492B" w:rsidRPr="00D92440">
        <w:rPr>
          <w:rFonts w:ascii="Times New Roman" w:hAnsi="Times New Roman" w:cs="Times New Roman"/>
          <w:sz w:val="24"/>
          <w:szCs w:val="24"/>
        </w:rPr>
        <w:t xml:space="preserve"> (</w:t>
      </w:r>
      <w:r w:rsidRPr="00D92440">
        <w:rPr>
          <w:rFonts w:ascii="Times New Roman" w:hAnsi="Times New Roman" w:cs="Times New Roman"/>
          <w:sz w:val="24"/>
          <w:szCs w:val="24"/>
        </w:rPr>
        <w:t xml:space="preserve">2022) </w:t>
      </w:r>
      <w:r w:rsidR="00FE21D1">
        <w:rPr>
          <w:rFonts w:ascii="Times New Roman" w:hAnsi="Times New Roman" w:cs="Times New Roman"/>
          <w:sz w:val="24"/>
          <w:szCs w:val="24"/>
        </w:rPr>
        <w:t xml:space="preserve">study results revealed </w:t>
      </w:r>
      <w:r w:rsidRPr="00D92440">
        <w:rPr>
          <w:rFonts w:ascii="Times New Roman" w:hAnsi="Times New Roman" w:cs="Times New Roman"/>
          <w:sz w:val="24"/>
          <w:szCs w:val="24"/>
        </w:rPr>
        <w:t xml:space="preserve">that CT skills including conditionals, logical operators, and pattern recognition showed developmental growth across age groups, though gender differences across ages were largely insignificant when controlling for instruction. Similarly, a study </w:t>
      </w:r>
      <w:r w:rsidR="00080DC1">
        <w:rPr>
          <w:rFonts w:ascii="Times New Roman" w:hAnsi="Times New Roman" w:cs="Times New Roman"/>
          <w:sz w:val="24"/>
          <w:szCs w:val="24"/>
        </w:rPr>
        <w:t xml:space="preserve">of </w:t>
      </w:r>
      <w:r w:rsidR="00080DC1" w:rsidRPr="00080DC1">
        <w:rPr>
          <w:rFonts w:ascii="Times New Roman" w:hAnsi="Times New Roman" w:cs="Times New Roman"/>
          <w:sz w:val="24"/>
          <w:szCs w:val="24"/>
        </w:rPr>
        <w:t xml:space="preserve">Zhang &amp; Wong, </w:t>
      </w:r>
      <w:r w:rsidR="00080DC1">
        <w:rPr>
          <w:rFonts w:ascii="Times New Roman" w:hAnsi="Times New Roman" w:cs="Times New Roman"/>
          <w:sz w:val="24"/>
          <w:szCs w:val="24"/>
        </w:rPr>
        <w:t>(</w:t>
      </w:r>
      <w:r w:rsidR="00080DC1" w:rsidRPr="00080DC1">
        <w:rPr>
          <w:rFonts w:ascii="Times New Roman" w:hAnsi="Times New Roman" w:cs="Times New Roman"/>
          <w:sz w:val="24"/>
          <w:szCs w:val="24"/>
        </w:rPr>
        <w:t>2023)</w:t>
      </w:r>
      <w:r w:rsidR="00080DC1">
        <w:rPr>
          <w:rFonts w:ascii="Times New Roman" w:hAnsi="Times New Roman" w:cs="Times New Roman"/>
          <w:sz w:val="24"/>
          <w:szCs w:val="24"/>
        </w:rPr>
        <w:t xml:space="preserve"> </w:t>
      </w:r>
      <w:r w:rsidRPr="00D92440">
        <w:rPr>
          <w:rFonts w:ascii="Times New Roman" w:hAnsi="Times New Roman" w:cs="Times New Roman"/>
          <w:sz w:val="24"/>
          <w:szCs w:val="24"/>
        </w:rPr>
        <w:t>validating the Computational Thinking Test for Lower Primary (</w:t>
      </w:r>
      <w:proofErr w:type="spellStart"/>
      <w:r w:rsidRPr="00D92440">
        <w:rPr>
          <w:rFonts w:ascii="Times New Roman" w:hAnsi="Times New Roman" w:cs="Times New Roman"/>
          <w:sz w:val="24"/>
          <w:szCs w:val="24"/>
        </w:rPr>
        <w:t>CTtLP</w:t>
      </w:r>
      <w:proofErr w:type="spellEnd"/>
      <w:r w:rsidRPr="00D92440">
        <w:rPr>
          <w:rFonts w:ascii="Times New Roman" w:hAnsi="Times New Roman" w:cs="Times New Roman"/>
          <w:sz w:val="24"/>
          <w:szCs w:val="24"/>
        </w:rPr>
        <w:t>) reported that student performance improved</w:t>
      </w:r>
      <w:r w:rsidR="00080DC1">
        <w:rPr>
          <w:rFonts w:ascii="Times New Roman" w:hAnsi="Times New Roman" w:cs="Times New Roman"/>
          <w:sz w:val="24"/>
          <w:szCs w:val="24"/>
        </w:rPr>
        <w:t xml:space="preserve"> better</w:t>
      </w:r>
      <w:r w:rsidRPr="00D92440">
        <w:rPr>
          <w:rFonts w:ascii="Times New Roman" w:hAnsi="Times New Roman" w:cs="Times New Roman"/>
          <w:sz w:val="24"/>
          <w:szCs w:val="24"/>
        </w:rPr>
        <w:t xml:space="preserve"> with grade level</w:t>
      </w:r>
      <w:r w:rsidR="00EC0079">
        <w:rPr>
          <w:rFonts w:ascii="Times New Roman" w:hAnsi="Times New Roman" w:cs="Times New Roman"/>
          <w:sz w:val="24"/>
          <w:szCs w:val="24"/>
        </w:rPr>
        <w:t xml:space="preserve"> and</w:t>
      </w:r>
      <w:r w:rsidRPr="00D92440">
        <w:rPr>
          <w:rFonts w:ascii="Times New Roman" w:hAnsi="Times New Roman" w:cs="Times New Roman"/>
          <w:sz w:val="24"/>
          <w:szCs w:val="24"/>
        </w:rPr>
        <w:t xml:space="preserve"> with no gender difference detected</w:t>
      </w:r>
      <w:r w:rsidR="00392928">
        <w:rPr>
          <w:rFonts w:ascii="Times New Roman" w:hAnsi="Times New Roman" w:cs="Times New Roman"/>
          <w:sz w:val="24"/>
          <w:szCs w:val="24"/>
        </w:rPr>
        <w:t>.</w:t>
      </w:r>
    </w:p>
    <w:p w14:paraId="43756660" w14:textId="0C3BE1C0" w:rsidR="00391DD6" w:rsidRDefault="00391DD6" w:rsidP="00391DD6">
      <w:pPr>
        <w:spacing w:line="360" w:lineRule="auto"/>
        <w:ind w:left="360"/>
        <w:jc w:val="both"/>
        <w:rPr>
          <w:rFonts w:ascii="Times New Roman" w:hAnsi="Times New Roman" w:cs="Times New Roman"/>
          <w:b/>
          <w:bCs/>
          <w:sz w:val="24"/>
          <w:szCs w:val="24"/>
        </w:rPr>
      </w:pPr>
      <w:r w:rsidRPr="00391DD6">
        <w:rPr>
          <w:rFonts w:ascii="Times New Roman" w:hAnsi="Times New Roman" w:cs="Times New Roman"/>
          <w:b/>
          <w:bCs/>
          <w:sz w:val="24"/>
          <w:szCs w:val="24"/>
        </w:rPr>
        <w:lastRenderedPageBreak/>
        <w:t>3.5 Need and Significance of the Study</w:t>
      </w:r>
    </w:p>
    <w:p w14:paraId="388CEA84" w14:textId="00B10D5B" w:rsidR="003645C8" w:rsidRPr="00097582" w:rsidRDefault="00685E18" w:rsidP="00097582">
      <w:pPr>
        <w:spacing w:line="360" w:lineRule="auto"/>
        <w:ind w:left="360" w:firstLine="720"/>
        <w:jc w:val="both"/>
        <w:rPr>
          <w:rFonts w:ascii="Times New Roman" w:hAnsi="Times New Roman" w:cs="Times New Roman"/>
          <w:sz w:val="24"/>
          <w:szCs w:val="24"/>
        </w:rPr>
      </w:pPr>
      <w:r w:rsidRPr="00685E18">
        <w:rPr>
          <w:rFonts w:ascii="Times New Roman" w:hAnsi="Times New Roman" w:cs="Times New Roman"/>
          <w:sz w:val="24"/>
          <w:szCs w:val="24"/>
        </w:rPr>
        <w:t xml:space="preserve">Within the Indian educational context, research on Computational Thinking (CT) at the secondary school level is still limited. Although the National Education Policy 2020 </w:t>
      </w:r>
      <w:r w:rsidR="00E60C4C">
        <w:rPr>
          <w:rFonts w:ascii="Times New Roman" w:hAnsi="Times New Roman" w:cs="Times New Roman"/>
          <w:sz w:val="24"/>
          <w:szCs w:val="24"/>
        </w:rPr>
        <w:t xml:space="preserve">(NEP,2020) </w:t>
      </w:r>
      <w:r w:rsidRPr="00685E18">
        <w:rPr>
          <w:rFonts w:ascii="Times New Roman" w:hAnsi="Times New Roman" w:cs="Times New Roman"/>
          <w:sz w:val="24"/>
          <w:szCs w:val="24"/>
        </w:rPr>
        <w:t xml:space="preserve">and the Central Board of Secondary Education </w:t>
      </w:r>
      <w:r w:rsidR="00E60C4C">
        <w:rPr>
          <w:rFonts w:ascii="Times New Roman" w:hAnsi="Times New Roman" w:cs="Times New Roman"/>
          <w:sz w:val="24"/>
          <w:szCs w:val="24"/>
        </w:rPr>
        <w:t xml:space="preserve">(CBSE, 2026) </w:t>
      </w:r>
      <w:r w:rsidRPr="00685E18">
        <w:rPr>
          <w:rFonts w:ascii="Times New Roman" w:hAnsi="Times New Roman" w:cs="Times New Roman"/>
          <w:sz w:val="24"/>
          <w:szCs w:val="24"/>
        </w:rPr>
        <w:t xml:space="preserve">Computational Thinking and Artificial Intelligence Curriculum (2026–27) reflect growing policy-level emphasis on CT education, empirical studies examining the actual CT proficiency of </w:t>
      </w:r>
      <w:r w:rsidR="00A51723">
        <w:rPr>
          <w:rFonts w:ascii="Times New Roman" w:hAnsi="Times New Roman" w:cs="Times New Roman"/>
          <w:sz w:val="24"/>
          <w:szCs w:val="24"/>
        </w:rPr>
        <w:t xml:space="preserve">secondary level </w:t>
      </w:r>
      <w:r w:rsidRPr="00685E18">
        <w:rPr>
          <w:rFonts w:ascii="Times New Roman" w:hAnsi="Times New Roman" w:cs="Times New Roman"/>
          <w:sz w:val="24"/>
          <w:szCs w:val="24"/>
        </w:rPr>
        <w:t xml:space="preserve">students remain scarce. Existing </w:t>
      </w:r>
      <w:r w:rsidR="007830AE">
        <w:rPr>
          <w:rFonts w:ascii="Times New Roman" w:hAnsi="Times New Roman" w:cs="Times New Roman"/>
          <w:sz w:val="24"/>
          <w:szCs w:val="24"/>
        </w:rPr>
        <w:t xml:space="preserve">most </w:t>
      </w:r>
      <w:r w:rsidRPr="00685E18">
        <w:rPr>
          <w:rFonts w:ascii="Times New Roman" w:hAnsi="Times New Roman" w:cs="Times New Roman"/>
          <w:sz w:val="24"/>
          <w:szCs w:val="24"/>
        </w:rPr>
        <w:t xml:space="preserve">Indian studies have primarily </w:t>
      </w:r>
      <w:r w:rsidR="00E31757">
        <w:rPr>
          <w:rFonts w:ascii="Times New Roman" w:hAnsi="Times New Roman" w:cs="Times New Roman"/>
          <w:sz w:val="24"/>
          <w:szCs w:val="24"/>
        </w:rPr>
        <w:t xml:space="preserve">given importance </w:t>
      </w:r>
      <w:r w:rsidRPr="00685E18">
        <w:rPr>
          <w:rFonts w:ascii="Times New Roman" w:hAnsi="Times New Roman" w:cs="Times New Roman"/>
          <w:sz w:val="24"/>
          <w:szCs w:val="24"/>
        </w:rPr>
        <w:t xml:space="preserve">on higher education learners or relied on self-report measures rather than standardized performance-based assessments. </w:t>
      </w:r>
      <w:r w:rsidR="00E31757">
        <w:rPr>
          <w:rFonts w:ascii="Times New Roman" w:hAnsi="Times New Roman" w:cs="Times New Roman"/>
          <w:sz w:val="24"/>
          <w:szCs w:val="24"/>
        </w:rPr>
        <w:t xml:space="preserve">In </w:t>
      </w:r>
      <w:r w:rsidRPr="00685E18">
        <w:rPr>
          <w:rFonts w:ascii="Times New Roman" w:hAnsi="Times New Roman" w:cs="Times New Roman"/>
          <w:sz w:val="24"/>
          <w:szCs w:val="24"/>
        </w:rPr>
        <w:t xml:space="preserve">The present </w:t>
      </w:r>
      <w:r w:rsidR="00B23F44" w:rsidRPr="00685E18">
        <w:rPr>
          <w:rFonts w:ascii="Times New Roman" w:hAnsi="Times New Roman" w:cs="Times New Roman"/>
          <w:sz w:val="24"/>
          <w:szCs w:val="24"/>
        </w:rPr>
        <w:t xml:space="preserve">study </w:t>
      </w:r>
      <w:r w:rsidR="00B23F44">
        <w:rPr>
          <w:rFonts w:ascii="Times New Roman" w:hAnsi="Times New Roman" w:cs="Times New Roman"/>
          <w:sz w:val="24"/>
          <w:szCs w:val="24"/>
        </w:rPr>
        <w:t>researcher,</w:t>
      </w:r>
      <w:r w:rsidR="00E31757">
        <w:rPr>
          <w:rFonts w:ascii="Times New Roman" w:hAnsi="Times New Roman" w:cs="Times New Roman"/>
          <w:sz w:val="24"/>
          <w:szCs w:val="24"/>
        </w:rPr>
        <w:t xml:space="preserve"> an attempt to </w:t>
      </w:r>
      <w:r w:rsidRPr="00685E18">
        <w:rPr>
          <w:rFonts w:ascii="Times New Roman" w:hAnsi="Times New Roman" w:cs="Times New Roman"/>
          <w:sz w:val="24"/>
          <w:szCs w:val="24"/>
        </w:rPr>
        <w:t xml:space="preserve">seeks to address this research gap by employing a structured </w:t>
      </w:r>
      <w:r w:rsidR="00B23F44">
        <w:rPr>
          <w:rFonts w:ascii="Times New Roman" w:hAnsi="Times New Roman" w:cs="Times New Roman"/>
          <w:sz w:val="24"/>
          <w:szCs w:val="24"/>
        </w:rPr>
        <w:t xml:space="preserve">and validated </w:t>
      </w:r>
      <w:r w:rsidRPr="00685E18">
        <w:rPr>
          <w:rFonts w:ascii="Times New Roman" w:hAnsi="Times New Roman" w:cs="Times New Roman"/>
          <w:sz w:val="24"/>
          <w:szCs w:val="24"/>
        </w:rPr>
        <w:t xml:space="preserve">40-item Computational Thinking Test (CTT) with intact groups of </w:t>
      </w:r>
      <w:r w:rsidR="00A51723">
        <w:rPr>
          <w:rFonts w:ascii="Times New Roman" w:hAnsi="Times New Roman" w:cs="Times New Roman"/>
          <w:sz w:val="24"/>
          <w:szCs w:val="24"/>
        </w:rPr>
        <w:t xml:space="preserve">secondary </w:t>
      </w:r>
      <w:r w:rsidR="00C648C3">
        <w:rPr>
          <w:rFonts w:ascii="Times New Roman" w:hAnsi="Times New Roman" w:cs="Times New Roman"/>
          <w:sz w:val="24"/>
          <w:szCs w:val="24"/>
        </w:rPr>
        <w:t xml:space="preserve">level </w:t>
      </w:r>
      <w:r w:rsidR="00C648C3" w:rsidRPr="00685E18">
        <w:rPr>
          <w:rFonts w:ascii="Times New Roman" w:hAnsi="Times New Roman" w:cs="Times New Roman"/>
          <w:sz w:val="24"/>
          <w:szCs w:val="24"/>
        </w:rPr>
        <w:t>students</w:t>
      </w:r>
      <w:r w:rsidRPr="00685E18">
        <w:rPr>
          <w:rFonts w:ascii="Times New Roman" w:hAnsi="Times New Roman" w:cs="Times New Roman"/>
          <w:sz w:val="24"/>
          <w:szCs w:val="24"/>
        </w:rPr>
        <w:t xml:space="preserve"> and conducting a systematic percentage analysis. In doing so, the study contributes foundational empirical evidence to support data-driven curriculum development and CT integration within Indian secondary education.</w:t>
      </w:r>
    </w:p>
    <w:p w14:paraId="1BA38332" w14:textId="77777777" w:rsidR="003645C8" w:rsidRDefault="003645C8" w:rsidP="003645C8">
      <w:pPr>
        <w:rPr>
          <w:rFonts w:ascii="Times New Roman" w:hAnsi="Times New Roman" w:cs="Times New Roman"/>
          <w:b/>
          <w:bCs/>
          <w:sz w:val="24"/>
          <w:szCs w:val="24"/>
        </w:rPr>
      </w:pPr>
      <w:r>
        <w:rPr>
          <w:rFonts w:ascii="Times New Roman" w:hAnsi="Times New Roman" w:cs="Times New Roman"/>
          <w:b/>
          <w:bCs/>
          <w:sz w:val="24"/>
          <w:szCs w:val="24"/>
        </w:rPr>
        <w:t xml:space="preserve">4.0 </w:t>
      </w:r>
      <w:r w:rsidR="005D4A88">
        <w:rPr>
          <w:rFonts w:ascii="Times New Roman" w:hAnsi="Times New Roman" w:cs="Times New Roman"/>
          <w:b/>
          <w:bCs/>
          <w:sz w:val="24"/>
          <w:szCs w:val="24"/>
        </w:rPr>
        <w:t>Objectives of the study</w:t>
      </w:r>
      <w:r w:rsidR="00311058">
        <w:rPr>
          <w:rFonts w:ascii="Times New Roman" w:hAnsi="Times New Roman" w:cs="Times New Roman"/>
          <w:b/>
          <w:bCs/>
          <w:sz w:val="24"/>
          <w:szCs w:val="24"/>
        </w:rPr>
        <w:t xml:space="preserve"> </w:t>
      </w:r>
    </w:p>
    <w:p w14:paraId="0CA3535E" w14:textId="180F09DF" w:rsidR="00B24F05" w:rsidRDefault="00B24F05" w:rsidP="00B24F05">
      <w:pPr>
        <w:pStyle w:val="font-claude-response-body"/>
        <w:numPr>
          <w:ilvl w:val="0"/>
          <w:numId w:val="3"/>
        </w:numPr>
        <w:spacing w:line="360" w:lineRule="auto"/>
        <w:jc w:val="both"/>
      </w:pPr>
      <w:r>
        <w:t xml:space="preserve">To assess the overall level of Computational Thinking among secondary level students. </w:t>
      </w:r>
    </w:p>
    <w:p w14:paraId="70C1ECCD" w14:textId="77777777" w:rsidR="00B24F05" w:rsidRDefault="00B24F05" w:rsidP="00B24F05">
      <w:pPr>
        <w:pStyle w:val="font-claude-response-body"/>
        <w:numPr>
          <w:ilvl w:val="0"/>
          <w:numId w:val="3"/>
        </w:numPr>
        <w:spacing w:line="360" w:lineRule="auto"/>
        <w:jc w:val="both"/>
      </w:pPr>
      <w:r>
        <w:t>To examine the distribution of Computational Thinking levels among secondary school students with respect to Gender and Age.</w:t>
      </w:r>
    </w:p>
    <w:p w14:paraId="502CD6CA" w14:textId="050705FF" w:rsidR="00097582" w:rsidRPr="0008738E" w:rsidRDefault="00B24F05" w:rsidP="003645C8">
      <w:pPr>
        <w:pStyle w:val="font-claude-response-body"/>
        <w:numPr>
          <w:ilvl w:val="0"/>
          <w:numId w:val="3"/>
        </w:numPr>
        <w:spacing w:line="360" w:lineRule="auto"/>
        <w:jc w:val="both"/>
      </w:pPr>
      <w:r>
        <w:t>To analyses the</w:t>
      </w:r>
      <w:r w:rsidR="003B45E7">
        <w:t xml:space="preserve"> </w:t>
      </w:r>
      <w:r>
        <w:t>dimension wise performance among secondary school students.</w:t>
      </w:r>
    </w:p>
    <w:p w14:paraId="7BE7FA22" w14:textId="68BBE769" w:rsidR="003039CF" w:rsidRPr="004077AC" w:rsidRDefault="003039CF" w:rsidP="004077AC">
      <w:pPr>
        <w:pStyle w:val="ListParagraph"/>
        <w:numPr>
          <w:ilvl w:val="0"/>
          <w:numId w:val="6"/>
        </w:numPr>
        <w:rPr>
          <w:rFonts w:ascii="Times New Roman" w:hAnsi="Times New Roman" w:cs="Times New Roman"/>
          <w:b/>
          <w:bCs/>
          <w:sz w:val="24"/>
          <w:szCs w:val="24"/>
        </w:rPr>
      </w:pPr>
      <w:r w:rsidRPr="004077AC">
        <w:rPr>
          <w:rFonts w:ascii="Times New Roman" w:hAnsi="Times New Roman" w:cs="Times New Roman"/>
          <w:b/>
          <w:bCs/>
          <w:sz w:val="24"/>
          <w:szCs w:val="24"/>
        </w:rPr>
        <w:t xml:space="preserve">Methodology </w:t>
      </w:r>
    </w:p>
    <w:p w14:paraId="2A7CE977" w14:textId="330A7D11" w:rsidR="00B81149" w:rsidRPr="00692022" w:rsidRDefault="00B81149" w:rsidP="00B81149">
      <w:pPr>
        <w:spacing w:line="360" w:lineRule="auto"/>
        <w:jc w:val="both"/>
        <w:rPr>
          <w:rFonts w:ascii="Times New Roman" w:hAnsi="Times New Roman" w:cs="Times New Roman"/>
          <w:b/>
          <w:bCs/>
          <w:sz w:val="24"/>
          <w:szCs w:val="24"/>
        </w:rPr>
      </w:pPr>
      <w:r w:rsidRPr="00692022">
        <w:rPr>
          <w:rFonts w:ascii="Times New Roman" w:hAnsi="Times New Roman" w:cs="Times New Roman"/>
          <w:b/>
          <w:bCs/>
          <w:sz w:val="24"/>
          <w:szCs w:val="24"/>
        </w:rPr>
        <w:t>5.1 Research Design</w:t>
      </w:r>
    </w:p>
    <w:p w14:paraId="151547EF" w14:textId="5BF4141A" w:rsidR="00B81149" w:rsidRPr="00B81149" w:rsidRDefault="00B81149" w:rsidP="00F40C0E">
      <w:pPr>
        <w:spacing w:line="360" w:lineRule="auto"/>
        <w:ind w:firstLine="720"/>
        <w:jc w:val="both"/>
        <w:rPr>
          <w:rFonts w:ascii="Times New Roman" w:hAnsi="Times New Roman" w:cs="Times New Roman"/>
          <w:sz w:val="24"/>
          <w:szCs w:val="24"/>
        </w:rPr>
      </w:pPr>
      <w:r w:rsidRPr="00B81149">
        <w:rPr>
          <w:rFonts w:ascii="Times New Roman" w:hAnsi="Times New Roman" w:cs="Times New Roman"/>
          <w:sz w:val="24"/>
          <w:szCs w:val="24"/>
        </w:rPr>
        <w:t xml:space="preserve">The present study </w:t>
      </w:r>
      <w:r w:rsidR="007C34D2">
        <w:rPr>
          <w:rFonts w:ascii="Times New Roman" w:hAnsi="Times New Roman" w:cs="Times New Roman"/>
          <w:sz w:val="24"/>
          <w:szCs w:val="24"/>
        </w:rPr>
        <w:t>adopted</w:t>
      </w:r>
      <w:r w:rsidRPr="00B81149">
        <w:rPr>
          <w:rFonts w:ascii="Times New Roman" w:hAnsi="Times New Roman" w:cs="Times New Roman"/>
          <w:sz w:val="24"/>
          <w:szCs w:val="24"/>
        </w:rPr>
        <w:t xml:space="preserve"> a descriptive survey research design with a quantitative approach to assess the Computational Thinking (CT) levels of </w:t>
      </w:r>
      <w:r w:rsidR="00612598">
        <w:rPr>
          <w:rFonts w:ascii="Times New Roman" w:hAnsi="Times New Roman" w:cs="Times New Roman"/>
          <w:sz w:val="24"/>
          <w:szCs w:val="24"/>
        </w:rPr>
        <w:t xml:space="preserve">secondary level </w:t>
      </w:r>
      <w:r w:rsidRPr="00B81149">
        <w:rPr>
          <w:rFonts w:ascii="Times New Roman" w:hAnsi="Times New Roman" w:cs="Times New Roman"/>
          <w:sz w:val="24"/>
          <w:szCs w:val="24"/>
        </w:rPr>
        <w:t xml:space="preserve">students. Descriptive research </w:t>
      </w:r>
      <w:r w:rsidR="00612598">
        <w:rPr>
          <w:rFonts w:ascii="Times New Roman" w:hAnsi="Times New Roman" w:cs="Times New Roman"/>
          <w:sz w:val="24"/>
          <w:szCs w:val="24"/>
        </w:rPr>
        <w:t xml:space="preserve">design </w:t>
      </w:r>
      <w:r w:rsidRPr="00B81149">
        <w:rPr>
          <w:rFonts w:ascii="Times New Roman" w:hAnsi="Times New Roman" w:cs="Times New Roman"/>
          <w:sz w:val="24"/>
          <w:szCs w:val="24"/>
        </w:rPr>
        <w:t>is appropriate for systematically describing the characteristics and distribution of variables within a specific population (Creswell, 2014). Percentage analysis was employed</w:t>
      </w:r>
      <w:r w:rsidR="00050DE5">
        <w:rPr>
          <w:rFonts w:ascii="Times New Roman" w:hAnsi="Times New Roman" w:cs="Times New Roman"/>
          <w:sz w:val="24"/>
          <w:szCs w:val="24"/>
        </w:rPr>
        <w:t xml:space="preserve"> to </w:t>
      </w:r>
      <w:proofErr w:type="spellStart"/>
      <w:r w:rsidR="00DA1334">
        <w:rPr>
          <w:rFonts w:ascii="Times New Roman" w:hAnsi="Times New Roman" w:cs="Times New Roman"/>
          <w:sz w:val="24"/>
          <w:szCs w:val="24"/>
        </w:rPr>
        <w:t>analyse</w:t>
      </w:r>
      <w:proofErr w:type="spellEnd"/>
      <w:r w:rsidR="00DA1334">
        <w:rPr>
          <w:rFonts w:ascii="Times New Roman" w:hAnsi="Times New Roman" w:cs="Times New Roman"/>
          <w:sz w:val="24"/>
          <w:szCs w:val="24"/>
        </w:rPr>
        <w:t xml:space="preserve"> </w:t>
      </w:r>
      <w:r w:rsidR="00DA1334" w:rsidRPr="00B81149">
        <w:rPr>
          <w:rFonts w:ascii="Times New Roman" w:hAnsi="Times New Roman" w:cs="Times New Roman"/>
          <w:sz w:val="24"/>
          <w:szCs w:val="24"/>
        </w:rPr>
        <w:t>as</w:t>
      </w:r>
      <w:r w:rsidRPr="00B81149">
        <w:rPr>
          <w:rFonts w:ascii="Times New Roman" w:hAnsi="Times New Roman" w:cs="Times New Roman"/>
          <w:sz w:val="24"/>
          <w:szCs w:val="24"/>
        </w:rPr>
        <w:t xml:space="preserve"> the primary statistical technique to examine the distribution of CT levels across</w:t>
      </w:r>
      <w:r w:rsidR="00B06DBA">
        <w:rPr>
          <w:rFonts w:ascii="Times New Roman" w:hAnsi="Times New Roman" w:cs="Times New Roman"/>
          <w:sz w:val="24"/>
          <w:szCs w:val="24"/>
        </w:rPr>
        <w:t xml:space="preserve"> various</w:t>
      </w:r>
      <w:r w:rsidRPr="00B81149">
        <w:rPr>
          <w:rFonts w:ascii="Times New Roman" w:hAnsi="Times New Roman" w:cs="Times New Roman"/>
          <w:sz w:val="24"/>
          <w:szCs w:val="24"/>
        </w:rPr>
        <w:t xml:space="preserve"> demographic variables such as gender and age.</w:t>
      </w:r>
    </w:p>
    <w:p w14:paraId="45E07894" w14:textId="77777777" w:rsidR="00F40C0E" w:rsidRDefault="00F40C0E" w:rsidP="00B81149">
      <w:pPr>
        <w:spacing w:line="360" w:lineRule="auto"/>
        <w:jc w:val="both"/>
        <w:rPr>
          <w:rFonts w:ascii="Times New Roman" w:hAnsi="Times New Roman" w:cs="Times New Roman"/>
          <w:b/>
          <w:bCs/>
          <w:sz w:val="24"/>
          <w:szCs w:val="24"/>
        </w:rPr>
      </w:pPr>
    </w:p>
    <w:p w14:paraId="6C755D29" w14:textId="1C175339" w:rsidR="00B81149" w:rsidRPr="00B81149" w:rsidRDefault="00B81149" w:rsidP="00B81149">
      <w:pPr>
        <w:spacing w:line="360" w:lineRule="auto"/>
        <w:jc w:val="both"/>
        <w:rPr>
          <w:rFonts w:ascii="Times New Roman" w:hAnsi="Times New Roman" w:cs="Times New Roman"/>
          <w:b/>
          <w:bCs/>
          <w:sz w:val="24"/>
          <w:szCs w:val="24"/>
        </w:rPr>
      </w:pPr>
      <w:r w:rsidRPr="0032340A">
        <w:rPr>
          <w:rFonts w:ascii="Times New Roman" w:hAnsi="Times New Roman" w:cs="Times New Roman"/>
          <w:b/>
          <w:bCs/>
          <w:sz w:val="24"/>
          <w:szCs w:val="24"/>
        </w:rPr>
        <w:lastRenderedPageBreak/>
        <w:t>5</w:t>
      </w:r>
      <w:r w:rsidRPr="00B81149">
        <w:rPr>
          <w:rFonts w:ascii="Times New Roman" w:hAnsi="Times New Roman" w:cs="Times New Roman"/>
          <w:b/>
          <w:bCs/>
          <w:sz w:val="24"/>
          <w:szCs w:val="24"/>
        </w:rPr>
        <w:t>.2 Sample</w:t>
      </w:r>
    </w:p>
    <w:p w14:paraId="6D83D6B7" w14:textId="526E1C83" w:rsidR="00B81149" w:rsidRPr="00B81149" w:rsidRDefault="00B81149" w:rsidP="00F40C0E">
      <w:pPr>
        <w:spacing w:line="360" w:lineRule="auto"/>
        <w:ind w:firstLine="720"/>
        <w:jc w:val="both"/>
        <w:rPr>
          <w:rFonts w:ascii="Times New Roman" w:hAnsi="Times New Roman" w:cs="Times New Roman"/>
          <w:sz w:val="24"/>
          <w:szCs w:val="24"/>
        </w:rPr>
      </w:pPr>
      <w:r w:rsidRPr="00B81149">
        <w:rPr>
          <w:rFonts w:ascii="Times New Roman" w:hAnsi="Times New Roman" w:cs="Times New Roman"/>
          <w:sz w:val="24"/>
          <w:szCs w:val="24"/>
        </w:rPr>
        <w:t xml:space="preserve">The study </w:t>
      </w:r>
      <w:r w:rsidR="00B30E76">
        <w:rPr>
          <w:rFonts w:ascii="Times New Roman" w:hAnsi="Times New Roman" w:cs="Times New Roman"/>
          <w:sz w:val="24"/>
          <w:szCs w:val="24"/>
        </w:rPr>
        <w:t xml:space="preserve">employed a group of </w:t>
      </w:r>
      <w:r w:rsidR="00B000C5">
        <w:rPr>
          <w:rFonts w:ascii="Times New Roman" w:hAnsi="Times New Roman" w:cs="Times New Roman"/>
          <w:sz w:val="24"/>
          <w:szCs w:val="24"/>
        </w:rPr>
        <w:t xml:space="preserve">secondary level </w:t>
      </w:r>
      <w:r w:rsidR="00F86351">
        <w:rPr>
          <w:rFonts w:ascii="Times New Roman" w:hAnsi="Times New Roman" w:cs="Times New Roman"/>
          <w:sz w:val="24"/>
          <w:szCs w:val="24"/>
        </w:rPr>
        <w:t xml:space="preserve">students </w:t>
      </w:r>
      <w:r w:rsidR="00B000C5">
        <w:rPr>
          <w:rFonts w:ascii="Times New Roman" w:hAnsi="Times New Roman" w:cs="Times New Roman"/>
          <w:sz w:val="24"/>
          <w:szCs w:val="24"/>
        </w:rPr>
        <w:t xml:space="preserve">following </w:t>
      </w:r>
      <w:r w:rsidR="00B000C5" w:rsidRPr="00B81149">
        <w:rPr>
          <w:rFonts w:ascii="Times New Roman" w:hAnsi="Times New Roman" w:cs="Times New Roman"/>
          <w:sz w:val="24"/>
          <w:szCs w:val="24"/>
        </w:rPr>
        <w:t>a</w:t>
      </w:r>
      <w:r w:rsidRPr="00B81149">
        <w:rPr>
          <w:rFonts w:ascii="Times New Roman" w:hAnsi="Times New Roman" w:cs="Times New Roman"/>
          <w:sz w:val="24"/>
          <w:szCs w:val="24"/>
        </w:rPr>
        <w:t xml:space="preserve"> non-probability sampling technique frequently used in school-based educational research to preserve natural classroom settings (Cohen et al., 2018). The sample consisted of 30 Class 9 students studying at PM SHRI Demonstration School, Mysuru, Karnataka, India, during the academic year 2025–202</w:t>
      </w:r>
      <w:r w:rsidR="0064128B">
        <w:rPr>
          <w:rFonts w:ascii="Times New Roman" w:hAnsi="Times New Roman" w:cs="Times New Roman"/>
          <w:sz w:val="24"/>
          <w:szCs w:val="24"/>
        </w:rPr>
        <w:t xml:space="preserve">6. </w:t>
      </w:r>
      <w:r w:rsidRPr="00B81149">
        <w:rPr>
          <w:rFonts w:ascii="Times New Roman" w:hAnsi="Times New Roman" w:cs="Times New Roman"/>
          <w:sz w:val="24"/>
          <w:szCs w:val="24"/>
        </w:rPr>
        <w:t>The sample included 13 boys and 17 girls within the age range of 13–15 years, with a mean age of 14 years.</w:t>
      </w:r>
    </w:p>
    <w:p w14:paraId="75D12F2D" w14:textId="17ACE0A5" w:rsidR="00B81149" w:rsidRPr="00B81149" w:rsidRDefault="0032340A" w:rsidP="00B81149">
      <w:pPr>
        <w:spacing w:line="360" w:lineRule="auto"/>
        <w:jc w:val="both"/>
        <w:rPr>
          <w:rFonts w:ascii="Times New Roman" w:hAnsi="Times New Roman" w:cs="Times New Roman"/>
          <w:b/>
          <w:bCs/>
          <w:sz w:val="24"/>
          <w:szCs w:val="24"/>
        </w:rPr>
      </w:pPr>
      <w:r w:rsidRPr="0032340A">
        <w:rPr>
          <w:rFonts w:ascii="Times New Roman" w:hAnsi="Times New Roman" w:cs="Times New Roman"/>
          <w:b/>
          <w:bCs/>
          <w:sz w:val="24"/>
          <w:szCs w:val="24"/>
        </w:rPr>
        <w:t>5</w:t>
      </w:r>
      <w:r w:rsidR="00B81149" w:rsidRPr="00B81149">
        <w:rPr>
          <w:rFonts w:ascii="Times New Roman" w:hAnsi="Times New Roman" w:cs="Times New Roman"/>
          <w:b/>
          <w:bCs/>
          <w:sz w:val="24"/>
          <w:szCs w:val="24"/>
        </w:rPr>
        <w:t>.3 Tool Description</w:t>
      </w:r>
    </w:p>
    <w:p w14:paraId="5FA6F4A9" w14:textId="0B3ED6E7" w:rsidR="00B81149" w:rsidRPr="00B81149" w:rsidRDefault="00B81149" w:rsidP="00B81149">
      <w:pPr>
        <w:spacing w:line="360" w:lineRule="auto"/>
        <w:jc w:val="both"/>
        <w:rPr>
          <w:rFonts w:ascii="Times New Roman" w:hAnsi="Times New Roman" w:cs="Times New Roman"/>
          <w:sz w:val="24"/>
          <w:szCs w:val="24"/>
        </w:rPr>
      </w:pPr>
      <w:r w:rsidRPr="00B81149">
        <w:rPr>
          <w:rFonts w:ascii="Times New Roman" w:hAnsi="Times New Roman" w:cs="Times New Roman"/>
          <w:sz w:val="24"/>
          <w:szCs w:val="24"/>
        </w:rPr>
        <w:t xml:space="preserve">Data were collected using a researcher-developed Computational Thinking Test (CTT) comprising 40 </w:t>
      </w:r>
      <w:r w:rsidR="00BB7F5B">
        <w:rPr>
          <w:rFonts w:ascii="Times New Roman" w:hAnsi="Times New Roman" w:cs="Times New Roman"/>
          <w:sz w:val="24"/>
          <w:szCs w:val="24"/>
        </w:rPr>
        <w:t>performance-based</w:t>
      </w:r>
      <w:r w:rsidR="00992385">
        <w:rPr>
          <w:rFonts w:ascii="Times New Roman" w:hAnsi="Times New Roman" w:cs="Times New Roman"/>
          <w:sz w:val="24"/>
          <w:szCs w:val="24"/>
        </w:rPr>
        <w:t xml:space="preserve"> </w:t>
      </w:r>
      <w:r w:rsidR="00BB7F5B">
        <w:rPr>
          <w:rFonts w:ascii="Times New Roman" w:hAnsi="Times New Roman" w:cs="Times New Roman"/>
          <w:sz w:val="24"/>
          <w:szCs w:val="24"/>
        </w:rPr>
        <w:t>items designed</w:t>
      </w:r>
      <w:r w:rsidRPr="00B81149">
        <w:rPr>
          <w:rFonts w:ascii="Times New Roman" w:hAnsi="Times New Roman" w:cs="Times New Roman"/>
          <w:sz w:val="24"/>
          <w:szCs w:val="24"/>
        </w:rPr>
        <w:t xml:space="preserve"> to assess Decomposition, Pattern Recognition, Abstraction, and Algorithmic Thinking</w:t>
      </w:r>
      <w:r w:rsidR="00992385">
        <w:rPr>
          <w:rFonts w:ascii="Times New Roman" w:hAnsi="Times New Roman" w:cs="Times New Roman"/>
          <w:sz w:val="24"/>
          <w:szCs w:val="24"/>
        </w:rPr>
        <w:t xml:space="preserve"> </w:t>
      </w:r>
      <w:r w:rsidR="00BB7F5B">
        <w:rPr>
          <w:rFonts w:ascii="Times New Roman" w:hAnsi="Times New Roman" w:cs="Times New Roman"/>
          <w:sz w:val="24"/>
          <w:szCs w:val="24"/>
        </w:rPr>
        <w:t>as major core components of CT</w:t>
      </w:r>
      <w:r w:rsidR="00E77349">
        <w:rPr>
          <w:rFonts w:ascii="Times New Roman" w:hAnsi="Times New Roman" w:cs="Times New Roman"/>
          <w:sz w:val="24"/>
          <w:szCs w:val="24"/>
        </w:rPr>
        <w:t xml:space="preserve">.  Each question </w:t>
      </w:r>
      <w:r w:rsidR="00E7183F">
        <w:rPr>
          <w:rFonts w:ascii="Times New Roman" w:hAnsi="Times New Roman" w:cs="Times New Roman"/>
          <w:sz w:val="24"/>
          <w:szCs w:val="24"/>
        </w:rPr>
        <w:t>carries</w:t>
      </w:r>
      <w:r w:rsidR="00E77349">
        <w:rPr>
          <w:rFonts w:ascii="Times New Roman" w:hAnsi="Times New Roman" w:cs="Times New Roman"/>
          <w:sz w:val="24"/>
          <w:szCs w:val="24"/>
        </w:rPr>
        <w:t xml:space="preserve"> Two marks and maximum score is 80 of 40 questions.</w:t>
      </w:r>
      <w:r w:rsidR="00E7183F">
        <w:rPr>
          <w:rFonts w:ascii="Times New Roman" w:hAnsi="Times New Roman" w:cs="Times New Roman"/>
          <w:sz w:val="24"/>
          <w:szCs w:val="24"/>
        </w:rPr>
        <w:t xml:space="preserve"> Each dimension </w:t>
      </w:r>
      <w:r w:rsidR="00D04F7A">
        <w:rPr>
          <w:rFonts w:ascii="Times New Roman" w:hAnsi="Times New Roman" w:cs="Times New Roman"/>
          <w:sz w:val="24"/>
          <w:szCs w:val="24"/>
        </w:rPr>
        <w:t>carries</w:t>
      </w:r>
      <w:r w:rsidR="00E7183F">
        <w:rPr>
          <w:rFonts w:ascii="Times New Roman" w:hAnsi="Times New Roman" w:cs="Times New Roman"/>
          <w:sz w:val="24"/>
          <w:szCs w:val="24"/>
        </w:rPr>
        <w:t xml:space="preserve"> 10 questions following the equal distribution of item for each </w:t>
      </w:r>
      <w:r w:rsidR="00D04F7A">
        <w:rPr>
          <w:rFonts w:ascii="Times New Roman" w:hAnsi="Times New Roman" w:cs="Times New Roman"/>
          <w:sz w:val="24"/>
          <w:szCs w:val="24"/>
        </w:rPr>
        <w:t>dimension</w:t>
      </w:r>
      <w:r w:rsidR="00E7183F">
        <w:rPr>
          <w:rFonts w:ascii="Times New Roman" w:hAnsi="Times New Roman" w:cs="Times New Roman"/>
          <w:sz w:val="24"/>
          <w:szCs w:val="24"/>
        </w:rPr>
        <w:t xml:space="preserve">. </w:t>
      </w:r>
      <w:r w:rsidRPr="00B81149">
        <w:rPr>
          <w:rFonts w:ascii="Times New Roman" w:hAnsi="Times New Roman" w:cs="Times New Roman"/>
          <w:sz w:val="24"/>
          <w:szCs w:val="24"/>
        </w:rPr>
        <w:t xml:space="preserve">The </w:t>
      </w:r>
      <w:r w:rsidR="00E9442F">
        <w:rPr>
          <w:rFonts w:ascii="Times New Roman" w:hAnsi="Times New Roman" w:cs="Times New Roman"/>
          <w:sz w:val="24"/>
          <w:szCs w:val="24"/>
        </w:rPr>
        <w:t>CTT tool</w:t>
      </w:r>
      <w:r w:rsidRPr="00B81149">
        <w:rPr>
          <w:rFonts w:ascii="Times New Roman" w:hAnsi="Times New Roman" w:cs="Times New Roman"/>
          <w:sz w:val="24"/>
          <w:szCs w:val="24"/>
        </w:rPr>
        <w:t xml:space="preserve"> was developed and adapted for Indian secondary school students based on established CT frameworks proposed by Jeannette Wing (2006) and Barr and Stephenson (2011). The tool demonstrated satisfactory internal consistency reliability with a Cronbach’s alpha coefficient of α = </w:t>
      </w:r>
      <w:r w:rsidR="00CB685D">
        <w:rPr>
          <w:rFonts w:ascii="Times New Roman" w:hAnsi="Times New Roman" w:cs="Times New Roman"/>
          <w:sz w:val="24"/>
          <w:szCs w:val="24"/>
        </w:rPr>
        <w:t>0.</w:t>
      </w:r>
      <w:r w:rsidR="001B1610">
        <w:rPr>
          <w:rFonts w:ascii="Times New Roman" w:hAnsi="Times New Roman" w:cs="Times New Roman"/>
          <w:sz w:val="24"/>
          <w:szCs w:val="24"/>
        </w:rPr>
        <w:t>722</w:t>
      </w:r>
      <w:r w:rsidR="00765DD7">
        <w:rPr>
          <w:rFonts w:ascii="Times New Roman" w:hAnsi="Times New Roman" w:cs="Times New Roman"/>
          <w:sz w:val="24"/>
          <w:szCs w:val="24"/>
        </w:rPr>
        <w:t>.</w:t>
      </w:r>
    </w:p>
    <w:p w14:paraId="2304DF06" w14:textId="5CFF7F0D" w:rsidR="00B81149" w:rsidRPr="00B81149" w:rsidRDefault="0032340A" w:rsidP="00B811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81149" w:rsidRPr="00B81149">
        <w:rPr>
          <w:rFonts w:ascii="Times New Roman" w:hAnsi="Times New Roman" w:cs="Times New Roman"/>
          <w:b/>
          <w:bCs/>
          <w:sz w:val="24"/>
          <w:szCs w:val="24"/>
        </w:rPr>
        <w:t>.4 Data Collection Procedure</w:t>
      </w:r>
    </w:p>
    <w:p w14:paraId="0CECA4AD" w14:textId="5C14A340" w:rsidR="00B81149" w:rsidRPr="00B81149" w:rsidRDefault="00B81149" w:rsidP="00B81149">
      <w:pPr>
        <w:spacing w:line="360" w:lineRule="auto"/>
        <w:jc w:val="both"/>
        <w:rPr>
          <w:rFonts w:ascii="Times New Roman" w:hAnsi="Times New Roman" w:cs="Times New Roman"/>
          <w:sz w:val="24"/>
          <w:szCs w:val="24"/>
        </w:rPr>
      </w:pPr>
      <w:r w:rsidRPr="00B81149">
        <w:rPr>
          <w:rFonts w:ascii="Times New Roman" w:hAnsi="Times New Roman" w:cs="Times New Roman"/>
          <w:sz w:val="24"/>
          <w:szCs w:val="24"/>
        </w:rPr>
        <w:t>Prior</w:t>
      </w:r>
      <w:r w:rsidR="006E3651">
        <w:rPr>
          <w:rFonts w:ascii="Times New Roman" w:hAnsi="Times New Roman" w:cs="Times New Roman"/>
          <w:sz w:val="24"/>
          <w:szCs w:val="24"/>
        </w:rPr>
        <w:t xml:space="preserve"> to collect </w:t>
      </w:r>
      <w:r w:rsidR="006E3651" w:rsidRPr="00B81149">
        <w:rPr>
          <w:rFonts w:ascii="Times New Roman" w:hAnsi="Times New Roman" w:cs="Times New Roman"/>
          <w:sz w:val="24"/>
          <w:szCs w:val="24"/>
        </w:rPr>
        <w:t>data</w:t>
      </w:r>
      <w:r w:rsidR="006E3651">
        <w:rPr>
          <w:rFonts w:ascii="Times New Roman" w:hAnsi="Times New Roman" w:cs="Times New Roman"/>
          <w:sz w:val="24"/>
          <w:szCs w:val="24"/>
        </w:rPr>
        <w:t xml:space="preserve"> the permission </w:t>
      </w:r>
      <w:r w:rsidRPr="00B81149">
        <w:rPr>
          <w:rFonts w:ascii="Times New Roman" w:hAnsi="Times New Roman" w:cs="Times New Roman"/>
          <w:sz w:val="24"/>
          <w:szCs w:val="24"/>
        </w:rPr>
        <w:t>was obtained from the school principal. The CTT</w:t>
      </w:r>
      <w:r w:rsidR="00F74F3B">
        <w:rPr>
          <w:rFonts w:ascii="Times New Roman" w:hAnsi="Times New Roman" w:cs="Times New Roman"/>
          <w:sz w:val="24"/>
          <w:szCs w:val="24"/>
        </w:rPr>
        <w:t xml:space="preserve"> test</w:t>
      </w:r>
      <w:r w:rsidRPr="00B81149">
        <w:rPr>
          <w:rFonts w:ascii="Times New Roman" w:hAnsi="Times New Roman" w:cs="Times New Roman"/>
          <w:sz w:val="24"/>
          <w:szCs w:val="24"/>
        </w:rPr>
        <w:t xml:space="preserve"> was administered to the students during regular school hours under standardized classroom conditions. Students were </w:t>
      </w:r>
      <w:r w:rsidR="00040B94">
        <w:rPr>
          <w:rFonts w:ascii="Times New Roman" w:hAnsi="Times New Roman" w:cs="Times New Roman"/>
          <w:sz w:val="24"/>
          <w:szCs w:val="24"/>
        </w:rPr>
        <w:t>given one</w:t>
      </w:r>
      <w:r w:rsidR="00CD3716">
        <w:rPr>
          <w:rFonts w:ascii="Times New Roman" w:hAnsi="Times New Roman" w:cs="Times New Roman"/>
          <w:sz w:val="24"/>
          <w:szCs w:val="24"/>
        </w:rPr>
        <w:t xml:space="preserve"> hour </w:t>
      </w:r>
      <w:r w:rsidRPr="00B81149">
        <w:rPr>
          <w:rFonts w:ascii="Times New Roman" w:hAnsi="Times New Roman" w:cs="Times New Roman"/>
          <w:sz w:val="24"/>
          <w:szCs w:val="24"/>
        </w:rPr>
        <w:t xml:space="preserve">to complete the test. Participation in the study was voluntary, and informed consent was obtained from </w:t>
      </w:r>
      <w:r w:rsidR="00040B94">
        <w:rPr>
          <w:rFonts w:ascii="Times New Roman" w:hAnsi="Times New Roman" w:cs="Times New Roman"/>
          <w:sz w:val="24"/>
          <w:szCs w:val="24"/>
        </w:rPr>
        <w:t xml:space="preserve">principal </w:t>
      </w:r>
      <w:r w:rsidRPr="00B81149">
        <w:rPr>
          <w:rFonts w:ascii="Times New Roman" w:hAnsi="Times New Roman" w:cs="Times New Roman"/>
          <w:sz w:val="24"/>
          <w:szCs w:val="24"/>
        </w:rPr>
        <w:t>prior to data collection. Confidentiality and anonymity of participants were strictly maintained.</w:t>
      </w:r>
    </w:p>
    <w:p w14:paraId="6D763CDD" w14:textId="7E7DB3AD" w:rsidR="00B81149" w:rsidRPr="00B81149" w:rsidRDefault="00CD3716" w:rsidP="00B811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81149" w:rsidRPr="00B81149">
        <w:rPr>
          <w:rFonts w:ascii="Times New Roman" w:hAnsi="Times New Roman" w:cs="Times New Roman"/>
          <w:b/>
          <w:bCs/>
          <w:sz w:val="24"/>
          <w:szCs w:val="24"/>
        </w:rPr>
        <w:t>.5 Data Analysis</w:t>
      </w:r>
    </w:p>
    <w:p w14:paraId="7423003B" w14:textId="39B072C0" w:rsidR="001C1A15" w:rsidRDefault="00B81149" w:rsidP="001C1A15">
      <w:pPr>
        <w:spacing w:line="360" w:lineRule="auto"/>
        <w:jc w:val="both"/>
        <w:rPr>
          <w:rFonts w:ascii="Times New Roman" w:hAnsi="Times New Roman" w:cs="Times New Roman"/>
          <w:sz w:val="24"/>
          <w:szCs w:val="24"/>
        </w:rPr>
      </w:pPr>
      <w:r w:rsidRPr="00B81149">
        <w:rPr>
          <w:rFonts w:ascii="Times New Roman" w:hAnsi="Times New Roman" w:cs="Times New Roman"/>
          <w:sz w:val="24"/>
          <w:szCs w:val="24"/>
        </w:rPr>
        <w:t>The collected data were analyzed using descriptive statistical techniques, primarily percentage analysis, computed using the following formul</w:t>
      </w:r>
      <w:r>
        <w:rPr>
          <w:rFonts w:ascii="Times New Roman" w:hAnsi="Times New Roman" w:cs="Times New Roman"/>
          <w:sz w:val="24"/>
          <w:szCs w:val="24"/>
        </w:rPr>
        <w:t>a</w:t>
      </w:r>
      <w:r w:rsidR="00CD3716">
        <w:rPr>
          <w:rFonts w:ascii="Times New Roman" w:hAnsi="Times New Roman" w:cs="Times New Roman"/>
          <w:sz w:val="24"/>
          <w:szCs w:val="24"/>
        </w:rPr>
        <w:t xml:space="preserve"> to attain </w:t>
      </w:r>
      <w:r w:rsidR="00197A39">
        <w:rPr>
          <w:rFonts w:ascii="Times New Roman" w:hAnsi="Times New Roman" w:cs="Times New Roman"/>
          <w:sz w:val="24"/>
          <w:szCs w:val="24"/>
        </w:rPr>
        <w:t xml:space="preserve">over all </w:t>
      </w:r>
      <w:r w:rsidR="001C1A15">
        <w:rPr>
          <w:rFonts w:ascii="Times New Roman" w:hAnsi="Times New Roman" w:cs="Times New Roman"/>
          <w:sz w:val="24"/>
          <w:szCs w:val="24"/>
        </w:rPr>
        <w:t>CT,</w:t>
      </w:r>
      <w:r w:rsidR="00197A39">
        <w:rPr>
          <w:rFonts w:ascii="Times New Roman" w:hAnsi="Times New Roman" w:cs="Times New Roman"/>
          <w:sz w:val="24"/>
          <w:szCs w:val="24"/>
        </w:rPr>
        <w:t xml:space="preserve"> age and gender wise CT level and Dimension wise performance. </w:t>
      </w:r>
      <w:r w:rsidR="001C1A15">
        <w:rPr>
          <w:rFonts w:ascii="Times New Roman" w:hAnsi="Times New Roman" w:cs="Times New Roman"/>
          <w:sz w:val="24"/>
          <w:szCs w:val="24"/>
        </w:rPr>
        <w:t xml:space="preserve">Statistical computations were employed to using Excel and IBM SPSS Statistics Version 25. </w:t>
      </w:r>
      <w:r w:rsidR="00197A39">
        <w:rPr>
          <w:rFonts w:ascii="Times New Roman" w:hAnsi="Times New Roman" w:cs="Times New Roman"/>
          <w:sz w:val="24"/>
          <w:szCs w:val="24"/>
        </w:rPr>
        <w:t xml:space="preserve"> </w:t>
      </w:r>
    </w:p>
    <w:p w14:paraId="436D6497" w14:textId="77777777" w:rsidR="000112C0" w:rsidRPr="001C1A15" w:rsidRDefault="000112C0" w:rsidP="001C1A15">
      <w:pPr>
        <w:spacing w:line="360" w:lineRule="auto"/>
        <w:jc w:val="both"/>
        <w:rPr>
          <w:rFonts w:ascii="Times New Roman" w:hAnsi="Times New Roman" w:cs="Times New Roman"/>
          <w:sz w:val="24"/>
          <w:szCs w:val="24"/>
        </w:rPr>
      </w:pPr>
    </w:p>
    <w:p w14:paraId="0ABFCD7B" w14:textId="75334C06" w:rsidR="004A7C70" w:rsidRDefault="00E563E5" w:rsidP="004A7C70">
      <w:pPr>
        <w:pStyle w:val="ListParagraph"/>
        <w:numPr>
          <w:ilvl w:val="0"/>
          <w:numId w:val="7"/>
        </w:numPr>
        <w:rPr>
          <w:rFonts w:ascii="Times New Roman" w:hAnsi="Times New Roman" w:cs="Times New Roman"/>
          <w:b/>
          <w:bCs/>
          <w:sz w:val="24"/>
          <w:szCs w:val="24"/>
        </w:rPr>
      </w:pPr>
      <w:r w:rsidRPr="00E563E5">
        <w:rPr>
          <w:rFonts w:ascii="Times New Roman" w:hAnsi="Times New Roman" w:cs="Times New Roman"/>
          <w:b/>
          <w:bCs/>
          <w:sz w:val="24"/>
          <w:szCs w:val="24"/>
        </w:rPr>
        <w:lastRenderedPageBreak/>
        <w:t xml:space="preserve">Results </w:t>
      </w:r>
      <w:r w:rsidR="0050178F" w:rsidRPr="00B35510">
        <w:rPr>
          <w:rFonts w:ascii="Times New Roman" w:hAnsi="Times New Roman" w:cs="Times New Roman"/>
          <w:b/>
          <w:bCs/>
          <w:sz w:val="24"/>
          <w:szCs w:val="24"/>
        </w:rPr>
        <w:t xml:space="preserve">Analysis </w:t>
      </w:r>
    </w:p>
    <w:p w14:paraId="19FE17E1" w14:textId="3DB2DD45" w:rsidR="00B7797F" w:rsidRPr="004A7C70" w:rsidRDefault="004E2612" w:rsidP="004A7C70">
      <w:pPr>
        <w:pStyle w:val="ListParagraph"/>
        <w:numPr>
          <w:ilvl w:val="1"/>
          <w:numId w:val="7"/>
        </w:numPr>
        <w:rPr>
          <w:rFonts w:ascii="Times New Roman" w:hAnsi="Times New Roman" w:cs="Times New Roman"/>
          <w:b/>
          <w:bCs/>
          <w:sz w:val="24"/>
          <w:szCs w:val="24"/>
        </w:rPr>
      </w:pPr>
      <w:r w:rsidRPr="004A7C70">
        <w:rPr>
          <w:rFonts w:ascii="Times New Roman" w:hAnsi="Times New Roman" w:cs="Times New Roman"/>
          <w:b/>
          <w:bCs/>
          <w:sz w:val="24"/>
          <w:szCs w:val="24"/>
        </w:rPr>
        <w:t xml:space="preserve">Level of Computational Thinking Skills </w:t>
      </w:r>
      <w:r w:rsidR="00B7797F" w:rsidRPr="004A7C70">
        <w:rPr>
          <w:rFonts w:ascii="Times New Roman" w:hAnsi="Times New Roman" w:cs="Times New Roman"/>
          <w:b/>
          <w:bCs/>
          <w:sz w:val="24"/>
          <w:szCs w:val="24"/>
        </w:rPr>
        <w:t xml:space="preserve">among secondary level students </w:t>
      </w:r>
    </w:p>
    <w:p w14:paraId="2DE8E454" w14:textId="32C521CC" w:rsidR="00032F52" w:rsidRDefault="00F5550B" w:rsidP="000C389A">
      <w:pPr>
        <w:pStyle w:val="ListParagraph"/>
        <w:spacing w:before="86" w:after="86" w:line="360" w:lineRule="auto"/>
        <w:ind w:left="360" w:firstLine="720"/>
        <w:jc w:val="both"/>
        <w:rPr>
          <w:rFonts w:ascii="Times New Roman" w:eastAsia="Times New Roman" w:hAnsi="Times New Roman" w:cs="Times New Roman"/>
          <w:color w:val="000000"/>
        </w:rPr>
      </w:pPr>
      <w:r w:rsidRPr="00EC5B19">
        <w:rPr>
          <w:rFonts w:ascii="Times New Roman" w:eastAsia="Times New Roman" w:hAnsi="Times New Roman" w:cs="Times New Roman"/>
          <w:color w:val="000000"/>
          <w:sz w:val="24"/>
          <w:szCs w:val="24"/>
        </w:rPr>
        <w:t xml:space="preserve">In order to assess the overall level of Computational Thinking among </w:t>
      </w:r>
      <w:r w:rsidR="006C7633">
        <w:rPr>
          <w:rFonts w:ascii="Times New Roman" w:eastAsia="Times New Roman" w:hAnsi="Times New Roman" w:cs="Times New Roman"/>
          <w:color w:val="000000"/>
          <w:sz w:val="24"/>
          <w:szCs w:val="24"/>
        </w:rPr>
        <w:t xml:space="preserve">Secondary </w:t>
      </w:r>
      <w:r w:rsidRPr="00EC5B19">
        <w:rPr>
          <w:rFonts w:ascii="Times New Roman" w:eastAsia="Times New Roman" w:hAnsi="Times New Roman" w:cs="Times New Roman"/>
          <w:color w:val="000000"/>
          <w:sz w:val="24"/>
          <w:szCs w:val="24"/>
        </w:rPr>
        <w:t xml:space="preserve">students </w:t>
      </w:r>
      <w:r w:rsidR="00EC5B19" w:rsidRPr="00EC5B19">
        <w:rPr>
          <w:rFonts w:ascii="Times New Roman" w:eastAsia="Times New Roman" w:hAnsi="Times New Roman" w:cs="Times New Roman"/>
          <w:color w:val="000000"/>
          <w:sz w:val="24"/>
          <w:szCs w:val="24"/>
        </w:rPr>
        <w:t>th</w:t>
      </w:r>
      <w:r w:rsidR="00032F52">
        <w:rPr>
          <w:rFonts w:ascii="Times New Roman" w:eastAsia="Times New Roman" w:hAnsi="Times New Roman" w:cs="Times New Roman"/>
          <w:color w:val="000000"/>
          <w:sz w:val="24"/>
          <w:szCs w:val="24"/>
        </w:rPr>
        <w:t xml:space="preserve">e descriptive and percentage </w:t>
      </w:r>
      <w:r w:rsidR="00EC5B19" w:rsidRPr="00EC5B19">
        <w:rPr>
          <w:rFonts w:ascii="Times New Roman" w:eastAsia="Times New Roman" w:hAnsi="Times New Roman" w:cs="Times New Roman"/>
          <w:color w:val="000000"/>
          <w:sz w:val="24"/>
          <w:szCs w:val="24"/>
        </w:rPr>
        <w:t>analysis was performed</w:t>
      </w:r>
      <w:r w:rsidR="00EC5B19">
        <w:rPr>
          <w:rFonts w:ascii="Times New Roman" w:eastAsia="Times New Roman" w:hAnsi="Times New Roman" w:cs="Times New Roman"/>
          <w:color w:val="000000"/>
        </w:rPr>
        <w:t xml:space="preserve">.  </w:t>
      </w:r>
    </w:p>
    <w:p w14:paraId="0B4A904A" w14:textId="368F2E1D" w:rsidR="004D1C96" w:rsidRPr="00EC5B19" w:rsidRDefault="00837A7B" w:rsidP="000C389A">
      <w:pPr>
        <w:pStyle w:val="ListParagraph"/>
        <w:spacing w:before="86" w:after="86" w:line="360" w:lineRule="auto"/>
        <w:ind w:left="360" w:firstLine="720"/>
        <w:jc w:val="both"/>
      </w:pPr>
      <w:r>
        <w:rPr>
          <w:rFonts w:ascii="Times New Roman" w:hAnsi="Times New Roman" w:cs="Times New Roman"/>
          <w:sz w:val="24"/>
          <w:szCs w:val="24"/>
        </w:rPr>
        <w:t>The</w:t>
      </w:r>
      <w:r w:rsidR="00EC5B19">
        <w:rPr>
          <w:rFonts w:ascii="Times New Roman" w:hAnsi="Times New Roman" w:cs="Times New Roman"/>
          <w:sz w:val="24"/>
          <w:szCs w:val="24"/>
        </w:rPr>
        <w:t xml:space="preserve"> </w:t>
      </w:r>
      <w:r w:rsidR="0074334D">
        <w:rPr>
          <w:rFonts w:ascii="Times New Roman" w:hAnsi="Times New Roman" w:cs="Times New Roman"/>
          <w:sz w:val="24"/>
          <w:szCs w:val="24"/>
        </w:rPr>
        <w:t xml:space="preserve">Table 1 </w:t>
      </w:r>
      <w:r>
        <w:rPr>
          <w:rFonts w:ascii="Times New Roman" w:hAnsi="Times New Roman" w:cs="Times New Roman"/>
          <w:sz w:val="24"/>
          <w:szCs w:val="24"/>
        </w:rPr>
        <w:t xml:space="preserve">represents the analysis of </w:t>
      </w:r>
      <w:r w:rsidR="000A48F9">
        <w:rPr>
          <w:rFonts w:ascii="Times New Roman" w:hAnsi="Times New Roman" w:cs="Times New Roman"/>
          <w:sz w:val="24"/>
          <w:szCs w:val="24"/>
        </w:rPr>
        <w:t xml:space="preserve">frequency and percentage </w:t>
      </w:r>
      <w:r w:rsidR="0058179C">
        <w:rPr>
          <w:rFonts w:ascii="Times New Roman" w:hAnsi="Times New Roman" w:cs="Times New Roman"/>
          <w:sz w:val="24"/>
          <w:szCs w:val="24"/>
        </w:rPr>
        <w:t>distribution of class 9</w:t>
      </w:r>
      <w:r w:rsidR="0058179C" w:rsidRPr="0058179C">
        <w:rPr>
          <w:rFonts w:ascii="Times New Roman" w:hAnsi="Times New Roman" w:cs="Times New Roman"/>
          <w:sz w:val="24"/>
          <w:szCs w:val="24"/>
          <w:vertAlign w:val="superscript"/>
        </w:rPr>
        <w:t>th</w:t>
      </w:r>
      <w:r w:rsidR="0058179C">
        <w:rPr>
          <w:rFonts w:ascii="Times New Roman" w:hAnsi="Times New Roman" w:cs="Times New Roman"/>
          <w:sz w:val="24"/>
          <w:szCs w:val="24"/>
        </w:rPr>
        <w:t xml:space="preserve"> student of CT </w:t>
      </w:r>
      <w:r w:rsidR="006F550B">
        <w:rPr>
          <w:rFonts w:ascii="Times New Roman" w:hAnsi="Times New Roman" w:cs="Times New Roman"/>
          <w:sz w:val="24"/>
          <w:szCs w:val="24"/>
        </w:rPr>
        <w:t>levels. Levels are classified into Low, Medium and High</w:t>
      </w:r>
      <w:r w:rsidR="0072032A">
        <w:rPr>
          <w:rFonts w:ascii="Times New Roman" w:hAnsi="Times New Roman" w:cs="Times New Roman"/>
          <w:sz w:val="24"/>
          <w:szCs w:val="24"/>
        </w:rPr>
        <w:t xml:space="preserve"> and the number of questions were 40 and the maximum score was 80. </w:t>
      </w:r>
    </w:p>
    <w:p w14:paraId="3670ED86" w14:textId="65689EFC" w:rsidR="00156674"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ab/>
      </w:r>
      <w:r w:rsidR="00E41F63">
        <w:rPr>
          <w:rFonts w:ascii="Times New Roman" w:eastAsia="Times New Roman" w:hAnsi="Times New Roman" w:cs="Times New Roman"/>
          <w:b/>
          <w:bCs/>
          <w:color w:val="000000"/>
        </w:rPr>
        <w:tab/>
      </w:r>
      <w:r w:rsidR="003B6012">
        <w:rPr>
          <w:rFonts w:ascii="Times New Roman" w:eastAsia="Times New Roman" w:hAnsi="Times New Roman" w:cs="Times New Roman"/>
          <w:b/>
          <w:bCs/>
          <w:color w:val="000000"/>
        </w:rPr>
        <w:t xml:space="preserve">Table 1: Descriptive Statistics of CT Level </w:t>
      </w:r>
    </w:p>
    <w:tbl>
      <w:tblPr>
        <w:tblStyle w:val="TableGrid"/>
        <w:tblW w:w="3078" w:type="dxa"/>
        <w:jc w:val="center"/>
        <w:tblLook w:val="04A0" w:firstRow="1" w:lastRow="0" w:firstColumn="1" w:lastColumn="0" w:noHBand="0" w:noVBand="1"/>
      </w:tblPr>
      <w:tblGrid>
        <w:gridCol w:w="1162"/>
        <w:gridCol w:w="466"/>
        <w:gridCol w:w="807"/>
        <w:gridCol w:w="643"/>
      </w:tblGrid>
      <w:tr w:rsidR="00E83F15" w14:paraId="1D6F5AF3" w14:textId="77777777" w:rsidTr="00E41F63">
        <w:trPr>
          <w:trHeight w:val="719"/>
          <w:jc w:val="center"/>
        </w:trPr>
        <w:tc>
          <w:tcPr>
            <w:tcW w:w="0" w:type="auto"/>
          </w:tcPr>
          <w:p w14:paraId="6B289FA0" w14:textId="4C6BF89E"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Variable </w:t>
            </w:r>
          </w:p>
        </w:tc>
        <w:tc>
          <w:tcPr>
            <w:tcW w:w="0" w:type="auto"/>
          </w:tcPr>
          <w:p w14:paraId="1080A74D" w14:textId="25817375"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 </w:t>
            </w:r>
          </w:p>
        </w:tc>
        <w:tc>
          <w:tcPr>
            <w:tcW w:w="0" w:type="auto"/>
          </w:tcPr>
          <w:p w14:paraId="329EF749" w14:textId="560D7BBB"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Mean </w:t>
            </w:r>
          </w:p>
        </w:tc>
        <w:tc>
          <w:tcPr>
            <w:tcW w:w="0" w:type="auto"/>
          </w:tcPr>
          <w:p w14:paraId="17817BD8" w14:textId="381ECFA7"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SD </w:t>
            </w:r>
          </w:p>
        </w:tc>
      </w:tr>
      <w:tr w:rsidR="00E83F15" w14:paraId="1CA97F54" w14:textId="77777777" w:rsidTr="00E41F63">
        <w:trPr>
          <w:trHeight w:val="719"/>
          <w:jc w:val="center"/>
        </w:trPr>
        <w:tc>
          <w:tcPr>
            <w:tcW w:w="0" w:type="auto"/>
          </w:tcPr>
          <w:p w14:paraId="5400D58F" w14:textId="5FD81568"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CT Level </w:t>
            </w:r>
          </w:p>
        </w:tc>
        <w:tc>
          <w:tcPr>
            <w:tcW w:w="0" w:type="auto"/>
          </w:tcPr>
          <w:p w14:paraId="3F0DB6C3" w14:textId="4EDD7239"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30 </w:t>
            </w:r>
          </w:p>
        </w:tc>
        <w:tc>
          <w:tcPr>
            <w:tcW w:w="0" w:type="auto"/>
          </w:tcPr>
          <w:p w14:paraId="0C2936E7" w14:textId="011734A1"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1.57</w:t>
            </w:r>
          </w:p>
        </w:tc>
        <w:tc>
          <w:tcPr>
            <w:tcW w:w="0" w:type="auto"/>
          </w:tcPr>
          <w:p w14:paraId="242BEA27" w14:textId="181ED4A6"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0.50</w:t>
            </w:r>
          </w:p>
        </w:tc>
      </w:tr>
    </w:tbl>
    <w:p w14:paraId="08DD5B73" w14:textId="79A80375" w:rsidR="003B6012" w:rsidRPr="00BD2426" w:rsidRDefault="00BD2426" w:rsidP="00C854C9">
      <w:pPr>
        <w:spacing w:before="173" w:after="58" w:line="360" w:lineRule="auto"/>
        <w:ind w:firstLine="720"/>
        <w:jc w:val="both"/>
        <w:rPr>
          <w:rFonts w:ascii="Times New Roman" w:eastAsia="Times New Roman" w:hAnsi="Times New Roman" w:cs="Times New Roman"/>
          <w:color w:val="000000"/>
          <w:sz w:val="24"/>
          <w:szCs w:val="24"/>
        </w:rPr>
      </w:pPr>
      <w:r w:rsidRPr="00BD2426">
        <w:rPr>
          <w:rFonts w:ascii="Times New Roman" w:eastAsia="Times New Roman" w:hAnsi="Times New Roman" w:cs="Times New Roman"/>
          <w:color w:val="000000"/>
          <w:sz w:val="24"/>
          <w:szCs w:val="24"/>
        </w:rPr>
        <w:t xml:space="preserve">Table 1 presents the descriptive statistics of Computational Thinking (CT) levels among </w:t>
      </w:r>
      <w:r w:rsidR="006C7633">
        <w:rPr>
          <w:rFonts w:ascii="Times New Roman" w:eastAsia="Times New Roman" w:hAnsi="Times New Roman" w:cs="Times New Roman"/>
          <w:color w:val="000000"/>
          <w:sz w:val="24"/>
          <w:szCs w:val="24"/>
        </w:rPr>
        <w:t xml:space="preserve">Secondary </w:t>
      </w:r>
      <w:r w:rsidRPr="00BD2426">
        <w:rPr>
          <w:rFonts w:ascii="Times New Roman" w:eastAsia="Times New Roman" w:hAnsi="Times New Roman" w:cs="Times New Roman"/>
          <w:color w:val="000000"/>
          <w:sz w:val="24"/>
          <w:szCs w:val="24"/>
        </w:rPr>
        <w:t>students. The mean score of the students was found to be 1.57 with a standard deviation of 0.50. The obtained mean indicates that the overall computational thinking level of the students was moderate in nature. Further, the low standard deviation reveals that the variation in computational thinking levels among the students was comparatively less, indicating relative homogeneity in the distribution of scores.</w:t>
      </w:r>
    </w:p>
    <w:p w14:paraId="57A8AE96" w14:textId="3D999E82" w:rsidR="004D4AB2" w:rsidRPr="00BD75AF" w:rsidRDefault="00E41F63"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ab/>
      </w:r>
      <w:r w:rsidR="003F738C">
        <w:rPr>
          <w:rFonts w:ascii="Times New Roman" w:eastAsia="Times New Roman" w:hAnsi="Times New Roman" w:cs="Times New Roman"/>
          <w:b/>
          <w:bCs/>
          <w:color w:val="000000"/>
        </w:rPr>
        <w:t xml:space="preserve">Table </w:t>
      </w:r>
      <w:r w:rsidR="007A3EBD">
        <w:rPr>
          <w:rFonts w:ascii="Times New Roman" w:eastAsia="Times New Roman" w:hAnsi="Times New Roman" w:cs="Times New Roman"/>
          <w:b/>
          <w:bCs/>
          <w:color w:val="000000"/>
        </w:rPr>
        <w:t>2</w:t>
      </w:r>
      <w:r w:rsidR="003F738C">
        <w:rPr>
          <w:rFonts w:ascii="Times New Roman" w:eastAsia="Times New Roman" w:hAnsi="Times New Roman" w:cs="Times New Roman"/>
          <w:b/>
          <w:bCs/>
          <w:color w:val="000000"/>
        </w:rPr>
        <w:t xml:space="preserve">: Overall Distribution of CT Levels Among </w:t>
      </w:r>
      <w:r w:rsidR="006C7633">
        <w:rPr>
          <w:rFonts w:ascii="Times New Roman" w:eastAsia="Times New Roman" w:hAnsi="Times New Roman" w:cs="Times New Roman"/>
          <w:b/>
          <w:bCs/>
          <w:color w:val="000000"/>
        </w:rPr>
        <w:t xml:space="preserve">Secondary </w:t>
      </w:r>
      <w:r w:rsidR="003F738C">
        <w:rPr>
          <w:rFonts w:ascii="Times New Roman" w:eastAsia="Times New Roman" w:hAnsi="Times New Roman" w:cs="Times New Roman"/>
          <w:b/>
          <w:bCs/>
          <w:color w:val="000000"/>
        </w:rPr>
        <w:t xml:space="preserve">Students (N = 30) </w:t>
      </w:r>
    </w:p>
    <w:tbl>
      <w:tblPr>
        <w:tblStyle w:val="TableGrid"/>
        <w:tblW w:w="0" w:type="auto"/>
        <w:jc w:val="center"/>
        <w:tblLook w:val="04A0" w:firstRow="1" w:lastRow="0" w:firstColumn="1" w:lastColumn="0" w:noHBand="0" w:noVBand="1"/>
      </w:tblPr>
      <w:tblGrid>
        <w:gridCol w:w="1086"/>
        <w:gridCol w:w="1825"/>
        <w:gridCol w:w="1911"/>
        <w:gridCol w:w="1429"/>
        <w:gridCol w:w="1516"/>
        <w:gridCol w:w="1583"/>
      </w:tblGrid>
      <w:tr w:rsidR="00BD75AF" w14:paraId="20156C69" w14:textId="77777777" w:rsidTr="00E41F63">
        <w:trPr>
          <w:trHeight w:val="601"/>
          <w:jc w:val="center"/>
        </w:trPr>
        <w:tc>
          <w:tcPr>
            <w:tcW w:w="0" w:type="auto"/>
          </w:tcPr>
          <w:p w14:paraId="753C441F"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CT Level</w:t>
            </w:r>
          </w:p>
        </w:tc>
        <w:tc>
          <w:tcPr>
            <w:tcW w:w="0" w:type="auto"/>
          </w:tcPr>
          <w:p w14:paraId="240E5592"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Score Range (out of 80)</w:t>
            </w:r>
          </w:p>
        </w:tc>
        <w:tc>
          <w:tcPr>
            <w:tcW w:w="0" w:type="auto"/>
          </w:tcPr>
          <w:p w14:paraId="54F582B4" w14:textId="247E4DE9"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Percentage Range</w:t>
            </w:r>
            <w:r>
              <w:rPr>
                <w:rFonts w:ascii="Times New Roman" w:hAnsi="Times New Roman" w:cs="Times New Roman"/>
                <w:sz w:val="24"/>
                <w:szCs w:val="24"/>
              </w:rPr>
              <w:t xml:space="preserve"> (%)</w:t>
            </w:r>
          </w:p>
        </w:tc>
        <w:tc>
          <w:tcPr>
            <w:tcW w:w="0" w:type="auto"/>
          </w:tcPr>
          <w:p w14:paraId="69A403DD"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Frequency (n)</w:t>
            </w:r>
          </w:p>
        </w:tc>
        <w:tc>
          <w:tcPr>
            <w:tcW w:w="0" w:type="auto"/>
          </w:tcPr>
          <w:p w14:paraId="54351245"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Percentage (%)</w:t>
            </w:r>
          </w:p>
        </w:tc>
        <w:tc>
          <w:tcPr>
            <w:tcW w:w="0" w:type="auto"/>
          </w:tcPr>
          <w:p w14:paraId="130ACADE"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Cumulative (%)</w:t>
            </w:r>
          </w:p>
        </w:tc>
      </w:tr>
      <w:tr w:rsidR="00BD75AF" w14:paraId="54121AA3" w14:textId="77777777" w:rsidTr="00E41F63">
        <w:trPr>
          <w:trHeight w:val="309"/>
          <w:jc w:val="center"/>
        </w:trPr>
        <w:tc>
          <w:tcPr>
            <w:tcW w:w="0" w:type="auto"/>
          </w:tcPr>
          <w:p w14:paraId="70ECAFBD"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Low</w:t>
            </w:r>
          </w:p>
        </w:tc>
        <w:tc>
          <w:tcPr>
            <w:tcW w:w="0" w:type="auto"/>
          </w:tcPr>
          <w:p w14:paraId="431EDD52"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0 – 26</w:t>
            </w:r>
          </w:p>
        </w:tc>
        <w:tc>
          <w:tcPr>
            <w:tcW w:w="0" w:type="auto"/>
          </w:tcPr>
          <w:p w14:paraId="121D6FC7" w14:textId="67B83C34"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0 – 32</w:t>
            </w:r>
          </w:p>
        </w:tc>
        <w:tc>
          <w:tcPr>
            <w:tcW w:w="0" w:type="auto"/>
          </w:tcPr>
          <w:p w14:paraId="0E55E8BB" w14:textId="40858744"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0CE13B2" w14:textId="0AB63CDE"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43.3</w:t>
            </w:r>
          </w:p>
        </w:tc>
        <w:tc>
          <w:tcPr>
            <w:tcW w:w="0" w:type="auto"/>
          </w:tcPr>
          <w:p w14:paraId="4CD64B43" w14:textId="5512BB52" w:rsidR="00BD75AF" w:rsidRPr="00BD75AF" w:rsidRDefault="007578BF" w:rsidP="00C834B6">
            <w:pPr>
              <w:jc w:val="center"/>
              <w:rPr>
                <w:rFonts w:ascii="Times New Roman" w:hAnsi="Times New Roman" w:cs="Times New Roman"/>
                <w:sz w:val="24"/>
                <w:szCs w:val="24"/>
              </w:rPr>
            </w:pPr>
            <w:r>
              <w:rPr>
                <w:rFonts w:ascii="Times New Roman" w:hAnsi="Times New Roman" w:cs="Times New Roman"/>
                <w:sz w:val="24"/>
                <w:szCs w:val="24"/>
              </w:rPr>
              <w:t>43.3</w:t>
            </w:r>
          </w:p>
        </w:tc>
      </w:tr>
      <w:tr w:rsidR="00BD75AF" w14:paraId="604D40F2" w14:textId="77777777" w:rsidTr="00E41F63">
        <w:trPr>
          <w:trHeight w:val="309"/>
          <w:jc w:val="center"/>
        </w:trPr>
        <w:tc>
          <w:tcPr>
            <w:tcW w:w="0" w:type="auto"/>
          </w:tcPr>
          <w:p w14:paraId="5594BC20"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Medium</w:t>
            </w:r>
          </w:p>
        </w:tc>
        <w:tc>
          <w:tcPr>
            <w:tcW w:w="0" w:type="auto"/>
          </w:tcPr>
          <w:p w14:paraId="4601FA75"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27 – 53</w:t>
            </w:r>
          </w:p>
        </w:tc>
        <w:tc>
          <w:tcPr>
            <w:tcW w:w="0" w:type="auto"/>
          </w:tcPr>
          <w:p w14:paraId="54F22462" w14:textId="53C6CB52"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33 – 66</w:t>
            </w:r>
          </w:p>
        </w:tc>
        <w:tc>
          <w:tcPr>
            <w:tcW w:w="0" w:type="auto"/>
          </w:tcPr>
          <w:p w14:paraId="686AA12F" w14:textId="55785BEA"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5DB68341" w14:textId="30823642"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56.7</w:t>
            </w:r>
          </w:p>
        </w:tc>
        <w:tc>
          <w:tcPr>
            <w:tcW w:w="0" w:type="auto"/>
          </w:tcPr>
          <w:p w14:paraId="3DD64621" w14:textId="71DB3429" w:rsidR="00BD75AF" w:rsidRPr="00BD75AF" w:rsidRDefault="007578BF" w:rsidP="00C834B6">
            <w:pPr>
              <w:jc w:val="center"/>
              <w:rPr>
                <w:rFonts w:ascii="Times New Roman" w:hAnsi="Times New Roman" w:cs="Times New Roman"/>
                <w:sz w:val="24"/>
                <w:szCs w:val="24"/>
              </w:rPr>
            </w:pPr>
            <w:r>
              <w:rPr>
                <w:rFonts w:ascii="Times New Roman" w:hAnsi="Times New Roman" w:cs="Times New Roman"/>
                <w:sz w:val="24"/>
                <w:szCs w:val="24"/>
              </w:rPr>
              <w:t>100</w:t>
            </w:r>
          </w:p>
        </w:tc>
      </w:tr>
      <w:tr w:rsidR="00BD75AF" w14:paraId="4DEF837E" w14:textId="77777777" w:rsidTr="00E41F63">
        <w:trPr>
          <w:trHeight w:val="292"/>
          <w:jc w:val="center"/>
        </w:trPr>
        <w:tc>
          <w:tcPr>
            <w:tcW w:w="0" w:type="auto"/>
          </w:tcPr>
          <w:p w14:paraId="0EC15F68"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High</w:t>
            </w:r>
          </w:p>
        </w:tc>
        <w:tc>
          <w:tcPr>
            <w:tcW w:w="0" w:type="auto"/>
          </w:tcPr>
          <w:p w14:paraId="2B75C3F1"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54 – 80</w:t>
            </w:r>
          </w:p>
        </w:tc>
        <w:tc>
          <w:tcPr>
            <w:tcW w:w="0" w:type="auto"/>
          </w:tcPr>
          <w:p w14:paraId="5FEAC000" w14:textId="1A433741"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67</w:t>
            </w:r>
            <w:r>
              <w:rPr>
                <w:rFonts w:ascii="Times New Roman" w:hAnsi="Times New Roman" w:cs="Times New Roman"/>
                <w:color w:val="000000"/>
                <w:sz w:val="24"/>
                <w:szCs w:val="24"/>
              </w:rPr>
              <w:t xml:space="preserve"> </w:t>
            </w:r>
            <w:r w:rsidRPr="00BD75AF">
              <w:rPr>
                <w:rFonts w:ascii="Times New Roman" w:hAnsi="Times New Roman" w:cs="Times New Roman"/>
                <w:color w:val="000000"/>
                <w:sz w:val="24"/>
                <w:szCs w:val="24"/>
              </w:rPr>
              <w:t>– 100</w:t>
            </w:r>
          </w:p>
        </w:tc>
        <w:tc>
          <w:tcPr>
            <w:tcW w:w="0" w:type="auto"/>
          </w:tcPr>
          <w:p w14:paraId="4BD4BCD5" w14:textId="7A8CBB8C"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color w:val="000000"/>
                <w:sz w:val="24"/>
                <w:szCs w:val="24"/>
              </w:rPr>
              <w:t>00</w:t>
            </w:r>
          </w:p>
        </w:tc>
        <w:tc>
          <w:tcPr>
            <w:tcW w:w="0" w:type="auto"/>
          </w:tcPr>
          <w:p w14:paraId="3B5D0262" w14:textId="5030654B"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tcPr>
          <w:p w14:paraId="7A313C9E" w14:textId="7AA63423" w:rsidR="00BD75AF" w:rsidRPr="00BD75AF" w:rsidRDefault="00BD75AF" w:rsidP="00C834B6">
            <w:pPr>
              <w:jc w:val="center"/>
              <w:rPr>
                <w:rFonts w:ascii="Times New Roman" w:hAnsi="Times New Roman" w:cs="Times New Roman"/>
                <w:sz w:val="24"/>
                <w:szCs w:val="24"/>
              </w:rPr>
            </w:pPr>
          </w:p>
        </w:tc>
      </w:tr>
      <w:tr w:rsidR="00BD75AF" w14:paraId="5BD955B9" w14:textId="77777777" w:rsidTr="00E41F63">
        <w:trPr>
          <w:trHeight w:val="292"/>
          <w:jc w:val="center"/>
        </w:trPr>
        <w:tc>
          <w:tcPr>
            <w:tcW w:w="0" w:type="auto"/>
          </w:tcPr>
          <w:p w14:paraId="7894499E" w14:textId="77777777" w:rsidR="00BD75AF" w:rsidRPr="00BD75AF" w:rsidRDefault="00BD75AF" w:rsidP="004F0D72">
            <w:pPr>
              <w:rPr>
                <w:rFonts w:ascii="Times New Roman" w:hAnsi="Times New Roman" w:cs="Times New Roman"/>
                <w:sz w:val="24"/>
                <w:szCs w:val="24"/>
              </w:rPr>
            </w:pPr>
            <w:r w:rsidRPr="00BD75AF">
              <w:rPr>
                <w:rFonts w:ascii="Times New Roman" w:hAnsi="Times New Roman" w:cs="Times New Roman"/>
                <w:color w:val="000000"/>
                <w:sz w:val="24"/>
                <w:szCs w:val="24"/>
              </w:rPr>
              <w:t>Total</w:t>
            </w:r>
          </w:p>
        </w:tc>
        <w:tc>
          <w:tcPr>
            <w:tcW w:w="0" w:type="auto"/>
          </w:tcPr>
          <w:p w14:paraId="6BD93239" w14:textId="4C6EAEE1" w:rsidR="00BD75AF" w:rsidRPr="00BD75AF" w:rsidRDefault="00BD75AF" w:rsidP="004F0D72">
            <w:pPr>
              <w:rPr>
                <w:rFonts w:ascii="Times New Roman" w:hAnsi="Times New Roman" w:cs="Times New Roman"/>
                <w:sz w:val="24"/>
                <w:szCs w:val="24"/>
              </w:rPr>
            </w:pPr>
          </w:p>
        </w:tc>
        <w:tc>
          <w:tcPr>
            <w:tcW w:w="0" w:type="auto"/>
          </w:tcPr>
          <w:p w14:paraId="0668B06B" w14:textId="4D37DA29" w:rsidR="00BD75AF" w:rsidRPr="00BD75AF" w:rsidRDefault="00BD75AF" w:rsidP="004F0D72">
            <w:pPr>
              <w:rPr>
                <w:rFonts w:ascii="Times New Roman" w:hAnsi="Times New Roman" w:cs="Times New Roman"/>
                <w:sz w:val="24"/>
                <w:szCs w:val="24"/>
              </w:rPr>
            </w:pPr>
          </w:p>
        </w:tc>
        <w:tc>
          <w:tcPr>
            <w:tcW w:w="0" w:type="auto"/>
          </w:tcPr>
          <w:p w14:paraId="7944A826" w14:textId="1096CF10" w:rsidR="00BD75AF" w:rsidRPr="00BD75AF" w:rsidRDefault="00D26DA8" w:rsidP="00D26DA8">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59F3AB3F" w14:textId="7A5D71DF" w:rsidR="00BD75AF" w:rsidRPr="00BD75AF" w:rsidRDefault="00BD75AF" w:rsidP="00D26DA8">
            <w:pPr>
              <w:jc w:val="center"/>
              <w:rPr>
                <w:rFonts w:ascii="Times New Roman" w:hAnsi="Times New Roman" w:cs="Times New Roman"/>
                <w:sz w:val="24"/>
                <w:szCs w:val="24"/>
              </w:rPr>
            </w:pPr>
            <w:r w:rsidRPr="00BD75AF">
              <w:rPr>
                <w:rFonts w:ascii="Times New Roman" w:hAnsi="Times New Roman" w:cs="Times New Roman"/>
                <w:color w:val="000000"/>
                <w:sz w:val="24"/>
                <w:szCs w:val="24"/>
              </w:rPr>
              <w:t>100</w:t>
            </w:r>
          </w:p>
        </w:tc>
        <w:tc>
          <w:tcPr>
            <w:tcW w:w="0" w:type="auto"/>
          </w:tcPr>
          <w:p w14:paraId="73FD6A06" w14:textId="3BBAB156" w:rsidR="00BD75AF" w:rsidRPr="00BD75AF" w:rsidRDefault="00BD75AF" w:rsidP="00D26DA8">
            <w:pPr>
              <w:jc w:val="center"/>
              <w:rPr>
                <w:rFonts w:ascii="Times New Roman" w:hAnsi="Times New Roman" w:cs="Times New Roman"/>
                <w:sz w:val="24"/>
                <w:szCs w:val="24"/>
              </w:rPr>
            </w:pPr>
            <w:r w:rsidRPr="00BD75AF">
              <w:rPr>
                <w:rFonts w:ascii="Times New Roman" w:hAnsi="Times New Roman" w:cs="Times New Roman"/>
                <w:color w:val="000000"/>
                <w:sz w:val="24"/>
                <w:szCs w:val="24"/>
              </w:rPr>
              <w:t>10</w:t>
            </w:r>
            <w:r w:rsidR="00D26DA8">
              <w:rPr>
                <w:rFonts w:ascii="Times New Roman" w:hAnsi="Times New Roman" w:cs="Times New Roman"/>
                <w:color w:val="000000"/>
                <w:sz w:val="24"/>
                <w:szCs w:val="24"/>
              </w:rPr>
              <w:t>0</w:t>
            </w:r>
          </w:p>
        </w:tc>
      </w:tr>
    </w:tbl>
    <w:p w14:paraId="62B268BF" w14:textId="3C0B1269" w:rsidR="009E2D8A" w:rsidRPr="009E2D8A" w:rsidRDefault="009E2D8A" w:rsidP="000645FE">
      <w:pPr>
        <w:spacing w:line="360" w:lineRule="auto"/>
        <w:ind w:firstLine="720"/>
        <w:jc w:val="both"/>
        <w:rPr>
          <w:rFonts w:ascii="Times New Roman" w:hAnsi="Times New Roman" w:cs="Times New Roman"/>
          <w:sz w:val="24"/>
          <w:szCs w:val="24"/>
        </w:rPr>
      </w:pPr>
      <w:r w:rsidRPr="009E2D8A">
        <w:rPr>
          <w:rFonts w:ascii="Times New Roman" w:hAnsi="Times New Roman" w:cs="Times New Roman"/>
          <w:sz w:val="24"/>
          <w:szCs w:val="24"/>
        </w:rPr>
        <w:t>Table 2</w:t>
      </w:r>
      <w:r w:rsidR="00CA721D">
        <w:rPr>
          <w:rFonts w:ascii="Times New Roman" w:hAnsi="Times New Roman" w:cs="Times New Roman"/>
          <w:sz w:val="24"/>
          <w:szCs w:val="24"/>
        </w:rPr>
        <w:t xml:space="preserve"> and figure 1</w:t>
      </w:r>
      <w:r w:rsidRPr="009E2D8A">
        <w:rPr>
          <w:rFonts w:ascii="Times New Roman" w:hAnsi="Times New Roman" w:cs="Times New Roman"/>
          <w:sz w:val="24"/>
          <w:szCs w:val="24"/>
        </w:rPr>
        <w:t xml:space="preserve"> shows the overall distribution of computational thinking levels among </w:t>
      </w:r>
      <w:r w:rsidR="006C7633">
        <w:rPr>
          <w:rFonts w:ascii="Times New Roman" w:hAnsi="Times New Roman" w:cs="Times New Roman"/>
          <w:sz w:val="24"/>
          <w:szCs w:val="24"/>
        </w:rPr>
        <w:t xml:space="preserve">Secondary </w:t>
      </w:r>
      <w:r w:rsidRPr="009E2D8A">
        <w:rPr>
          <w:rFonts w:ascii="Times New Roman" w:hAnsi="Times New Roman" w:cs="Times New Roman"/>
          <w:sz w:val="24"/>
          <w:szCs w:val="24"/>
        </w:rPr>
        <w:t>students. The findings reveal that out of 30 students, 17 students (56.7%) belonged to the medium level category of computational thinking, whereas 13 students (43.3%) were found at the low level. None of the students were categorized under the high level of computational thinking.</w:t>
      </w:r>
    </w:p>
    <w:p w14:paraId="7169614B" w14:textId="77777777" w:rsidR="009E2D8A" w:rsidRPr="009E2D8A" w:rsidRDefault="009E2D8A" w:rsidP="000645FE">
      <w:pPr>
        <w:spacing w:line="360" w:lineRule="auto"/>
        <w:ind w:firstLine="720"/>
        <w:jc w:val="both"/>
        <w:rPr>
          <w:rFonts w:ascii="Times New Roman" w:hAnsi="Times New Roman" w:cs="Times New Roman"/>
          <w:sz w:val="24"/>
          <w:szCs w:val="24"/>
        </w:rPr>
      </w:pPr>
      <w:r w:rsidRPr="009E2D8A">
        <w:rPr>
          <w:rFonts w:ascii="Times New Roman" w:hAnsi="Times New Roman" w:cs="Times New Roman"/>
          <w:sz w:val="24"/>
          <w:szCs w:val="24"/>
        </w:rPr>
        <w:t xml:space="preserve">The cumulative percentage analysis further indicates that all the students were distributed only between low and medium categories, with no representation in the high computational </w:t>
      </w:r>
      <w:r w:rsidRPr="009E2D8A">
        <w:rPr>
          <w:rFonts w:ascii="Times New Roman" w:hAnsi="Times New Roman" w:cs="Times New Roman"/>
          <w:sz w:val="24"/>
          <w:szCs w:val="24"/>
        </w:rPr>
        <w:lastRenderedPageBreak/>
        <w:t>thinking level category. This suggests that although a majority of students demonstrated moderate computational thinking skills, a substantial proportion of students still possessed low levels of computational thinking abilities.</w:t>
      </w:r>
    </w:p>
    <w:p w14:paraId="72C66863" w14:textId="4106ED19" w:rsidR="009E2D8A" w:rsidRDefault="009E2D8A" w:rsidP="000645FE">
      <w:pPr>
        <w:spacing w:line="360" w:lineRule="auto"/>
        <w:ind w:firstLine="720"/>
        <w:jc w:val="both"/>
        <w:rPr>
          <w:rFonts w:ascii="Times New Roman" w:hAnsi="Times New Roman" w:cs="Times New Roman"/>
          <w:sz w:val="24"/>
          <w:szCs w:val="24"/>
        </w:rPr>
      </w:pPr>
      <w:r w:rsidRPr="009E2D8A">
        <w:rPr>
          <w:rFonts w:ascii="Times New Roman" w:hAnsi="Times New Roman" w:cs="Times New Roman"/>
          <w:sz w:val="24"/>
          <w:szCs w:val="24"/>
        </w:rPr>
        <w:t xml:space="preserve">Overall, the findings indicate that the computational thinking competency of </w:t>
      </w:r>
      <w:r w:rsidR="006C7633">
        <w:rPr>
          <w:rFonts w:ascii="Times New Roman" w:hAnsi="Times New Roman" w:cs="Times New Roman"/>
          <w:sz w:val="24"/>
          <w:szCs w:val="24"/>
        </w:rPr>
        <w:t xml:space="preserve">Secondary </w:t>
      </w:r>
      <w:r w:rsidRPr="009E2D8A">
        <w:rPr>
          <w:rFonts w:ascii="Times New Roman" w:hAnsi="Times New Roman" w:cs="Times New Roman"/>
          <w:sz w:val="24"/>
          <w:szCs w:val="24"/>
        </w:rPr>
        <w:t>students requires further enhancement through appropriate instructional strategies and learning interventions in mathematics education.</w:t>
      </w:r>
    </w:p>
    <w:p w14:paraId="3766F39F" w14:textId="17B511CD" w:rsidR="00EE40A6" w:rsidRPr="009E2D8A" w:rsidRDefault="00583215" w:rsidP="00583215">
      <w:pPr>
        <w:spacing w:line="360" w:lineRule="auto"/>
        <w:jc w:val="center"/>
        <w:rPr>
          <w:rFonts w:ascii="Times New Roman" w:hAnsi="Times New Roman" w:cs="Times New Roman"/>
          <w:sz w:val="24"/>
          <w:szCs w:val="24"/>
        </w:rPr>
      </w:pPr>
      <w:r>
        <w:rPr>
          <w:noProof/>
        </w:rPr>
        <w:drawing>
          <wp:inline distT="0" distB="0" distL="0" distR="0" wp14:anchorId="187891E8" wp14:editId="04FD448B">
            <wp:extent cx="4572000" cy="2486025"/>
            <wp:effectExtent l="0" t="0" r="0" b="9525"/>
            <wp:docPr id="1" name="Chart 1">
              <a:extLst xmlns:a="http://schemas.openxmlformats.org/drawingml/2006/main">
                <a:ext uri="{FF2B5EF4-FFF2-40B4-BE49-F238E27FC236}">
                  <a16:creationId xmlns:a16="http://schemas.microsoft.com/office/drawing/2014/main" id="{D3380344-D811-DC19-DCCD-86145DB97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C3722" w14:textId="0FCE19D8" w:rsidR="00A419BF" w:rsidRPr="004B4D4A" w:rsidRDefault="00A419BF" w:rsidP="00A419BF">
      <w:pPr>
        <w:spacing w:line="360" w:lineRule="auto"/>
        <w:jc w:val="both"/>
        <w:rPr>
          <w:rFonts w:ascii="Times New Roman" w:hAnsi="Times New Roman" w:cs="Times New Roman"/>
          <w:sz w:val="24"/>
          <w:szCs w:val="24"/>
        </w:rPr>
      </w:pPr>
      <w:r w:rsidRPr="00A764CC">
        <w:rPr>
          <w:rFonts w:ascii="Times New Roman" w:hAnsi="Times New Roman" w:cs="Times New Roman"/>
          <w:b/>
          <w:bCs/>
          <w:sz w:val="24"/>
          <w:szCs w:val="24"/>
        </w:rPr>
        <w:t>Fig no 1</w:t>
      </w:r>
      <w:r w:rsidRPr="004B4D4A">
        <w:rPr>
          <w:rFonts w:ascii="Times New Roman" w:hAnsi="Times New Roman" w:cs="Times New Roman"/>
          <w:b/>
          <w:bCs/>
          <w:sz w:val="24"/>
          <w:szCs w:val="24"/>
        </w:rPr>
        <w:t xml:space="preserve">: </w:t>
      </w:r>
      <w:r w:rsidRPr="004B4D4A">
        <w:rPr>
          <w:rFonts w:ascii="Times New Roman" w:hAnsi="Times New Roman" w:cs="Times New Roman"/>
          <w:sz w:val="24"/>
          <w:szCs w:val="24"/>
        </w:rPr>
        <w:t xml:space="preserve">Overall Distribution of Computational Thinking Levels Among </w:t>
      </w:r>
      <w:r w:rsidR="006C7633" w:rsidRPr="004B4D4A">
        <w:rPr>
          <w:rFonts w:ascii="Times New Roman" w:hAnsi="Times New Roman" w:cs="Times New Roman"/>
          <w:sz w:val="24"/>
          <w:szCs w:val="24"/>
        </w:rPr>
        <w:t xml:space="preserve">Secondary </w:t>
      </w:r>
      <w:r w:rsidRPr="004B4D4A">
        <w:rPr>
          <w:rFonts w:ascii="Times New Roman" w:hAnsi="Times New Roman" w:cs="Times New Roman"/>
          <w:sz w:val="24"/>
          <w:szCs w:val="24"/>
        </w:rPr>
        <w:t>Students</w:t>
      </w:r>
    </w:p>
    <w:p w14:paraId="1520352E" w14:textId="1FE80190" w:rsidR="00771E44" w:rsidRPr="00CE7C1D" w:rsidRDefault="007E6C86" w:rsidP="00771E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5E6A52" w:rsidRPr="00CE7C1D">
        <w:rPr>
          <w:rFonts w:ascii="Times New Roman" w:hAnsi="Times New Roman" w:cs="Times New Roman"/>
          <w:b/>
          <w:bCs/>
          <w:sz w:val="24"/>
          <w:szCs w:val="24"/>
        </w:rPr>
        <w:t xml:space="preserve">.2 CT Levels by Age and Gender </w:t>
      </w:r>
    </w:p>
    <w:p w14:paraId="1F2D97D9" w14:textId="656EEBF0" w:rsidR="00771E44" w:rsidRPr="00771E44" w:rsidRDefault="00771E44" w:rsidP="00771E44">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rPr>
        <w:t xml:space="preserve">To examine the distribution of Computational Thinking levels among </w:t>
      </w:r>
      <w:r w:rsidR="006C7633">
        <w:rPr>
          <w:rFonts w:ascii="Times New Roman" w:eastAsia="Times New Roman" w:hAnsi="Times New Roman" w:cs="Times New Roman"/>
          <w:color w:val="000000"/>
        </w:rPr>
        <w:t xml:space="preserve">Secondary </w:t>
      </w:r>
      <w:r>
        <w:rPr>
          <w:rFonts w:ascii="Times New Roman" w:eastAsia="Times New Roman" w:hAnsi="Times New Roman" w:cs="Times New Roman"/>
          <w:color w:val="000000"/>
        </w:rPr>
        <w:t>students with respect to Gender and Age.</w:t>
      </w:r>
    </w:p>
    <w:p w14:paraId="6238DE39" w14:textId="4962B692" w:rsidR="00837A7B" w:rsidRDefault="00357175" w:rsidP="004D1C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8577F">
        <w:rPr>
          <w:rFonts w:ascii="Times New Roman" w:hAnsi="Times New Roman" w:cs="Times New Roman"/>
          <w:sz w:val="24"/>
          <w:szCs w:val="24"/>
        </w:rPr>
        <w:t xml:space="preserve">Table </w:t>
      </w:r>
      <w:r>
        <w:rPr>
          <w:rFonts w:ascii="Times New Roman" w:hAnsi="Times New Roman" w:cs="Times New Roman"/>
          <w:sz w:val="24"/>
          <w:szCs w:val="24"/>
        </w:rPr>
        <w:t>3:</w:t>
      </w:r>
      <w:r w:rsidR="0058577F">
        <w:rPr>
          <w:rFonts w:ascii="Times New Roman" w:hAnsi="Times New Roman" w:cs="Times New Roman"/>
          <w:sz w:val="24"/>
          <w:szCs w:val="24"/>
        </w:rPr>
        <w:t xml:space="preserve"> Gender Wise </w:t>
      </w:r>
      <w:r>
        <w:rPr>
          <w:rFonts w:ascii="Times New Roman" w:hAnsi="Times New Roman" w:cs="Times New Roman"/>
          <w:sz w:val="24"/>
          <w:szCs w:val="24"/>
        </w:rPr>
        <w:t>Distribution of CT Levels.</w:t>
      </w:r>
      <w:r w:rsidR="00032F52">
        <w:rPr>
          <w:rFonts w:ascii="Times New Roman" w:hAnsi="Times New Roman" w:cs="Times New Roman"/>
          <w:sz w:val="24"/>
          <w:szCs w:val="24"/>
        </w:rPr>
        <w:tab/>
      </w:r>
    </w:p>
    <w:tbl>
      <w:tblPr>
        <w:tblStyle w:val="TableGrid"/>
        <w:tblW w:w="7375" w:type="dxa"/>
        <w:jc w:val="center"/>
        <w:tblLook w:val="04A0" w:firstRow="1" w:lastRow="0" w:firstColumn="1" w:lastColumn="0" w:noHBand="0" w:noVBand="1"/>
      </w:tblPr>
      <w:tblGrid>
        <w:gridCol w:w="1290"/>
        <w:gridCol w:w="1475"/>
        <w:gridCol w:w="879"/>
        <w:gridCol w:w="893"/>
        <w:gridCol w:w="696"/>
        <w:gridCol w:w="892"/>
        <w:gridCol w:w="1250"/>
      </w:tblGrid>
      <w:tr w:rsidR="00FE2CAC" w14:paraId="3AF5A98B" w14:textId="77777777" w:rsidTr="00FE2CAC">
        <w:trPr>
          <w:jc w:val="center"/>
        </w:trPr>
        <w:tc>
          <w:tcPr>
            <w:tcW w:w="1300" w:type="dxa"/>
          </w:tcPr>
          <w:p w14:paraId="7F1D3B67"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CT Level</w:t>
            </w:r>
          </w:p>
        </w:tc>
        <w:tc>
          <w:tcPr>
            <w:tcW w:w="1500" w:type="dxa"/>
          </w:tcPr>
          <w:p w14:paraId="1F7CD748"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Score Range</w:t>
            </w:r>
          </w:p>
        </w:tc>
        <w:tc>
          <w:tcPr>
            <w:tcW w:w="885" w:type="dxa"/>
          </w:tcPr>
          <w:p w14:paraId="135B982F" w14:textId="3EE2CC32"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 xml:space="preserve">Boys </w:t>
            </w:r>
          </w:p>
        </w:tc>
        <w:tc>
          <w:tcPr>
            <w:tcW w:w="900" w:type="dxa"/>
          </w:tcPr>
          <w:p w14:paraId="3BEA114D"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Boys %</w:t>
            </w:r>
          </w:p>
        </w:tc>
        <w:tc>
          <w:tcPr>
            <w:tcW w:w="630" w:type="dxa"/>
          </w:tcPr>
          <w:p w14:paraId="1DA682BA" w14:textId="519A5159"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 xml:space="preserve">Girls </w:t>
            </w:r>
          </w:p>
        </w:tc>
        <w:tc>
          <w:tcPr>
            <w:tcW w:w="900" w:type="dxa"/>
          </w:tcPr>
          <w:p w14:paraId="17F1E58D"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Girls %</w:t>
            </w:r>
          </w:p>
        </w:tc>
        <w:tc>
          <w:tcPr>
            <w:tcW w:w="1260" w:type="dxa"/>
          </w:tcPr>
          <w:p w14:paraId="36000CBE"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Overall %</w:t>
            </w:r>
          </w:p>
        </w:tc>
      </w:tr>
      <w:tr w:rsidR="00FE2CAC" w14:paraId="318E9FFD" w14:textId="77777777" w:rsidTr="00FE2CAC">
        <w:trPr>
          <w:jc w:val="center"/>
        </w:trPr>
        <w:tc>
          <w:tcPr>
            <w:tcW w:w="1300" w:type="dxa"/>
          </w:tcPr>
          <w:p w14:paraId="7D760F23"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Low</w:t>
            </w:r>
          </w:p>
        </w:tc>
        <w:tc>
          <w:tcPr>
            <w:tcW w:w="1500" w:type="dxa"/>
          </w:tcPr>
          <w:p w14:paraId="352FA328"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0–26</w:t>
            </w:r>
          </w:p>
        </w:tc>
        <w:tc>
          <w:tcPr>
            <w:tcW w:w="885" w:type="dxa"/>
          </w:tcPr>
          <w:p w14:paraId="7F930FAB" w14:textId="50629541" w:rsidR="001501A3" w:rsidRPr="00157E78" w:rsidRDefault="00EF0751" w:rsidP="004F0D72">
            <w:pPr>
              <w:rPr>
                <w:rFonts w:ascii="Times New Roman" w:hAnsi="Times New Roman" w:cs="Times New Roman"/>
                <w:sz w:val="24"/>
                <w:szCs w:val="24"/>
              </w:rPr>
            </w:pPr>
            <w:r w:rsidRPr="00157E78">
              <w:rPr>
                <w:rFonts w:ascii="Times New Roman" w:hAnsi="Times New Roman" w:cs="Times New Roman"/>
                <w:sz w:val="24"/>
                <w:szCs w:val="24"/>
              </w:rPr>
              <w:t>07</w:t>
            </w:r>
          </w:p>
        </w:tc>
        <w:tc>
          <w:tcPr>
            <w:tcW w:w="900" w:type="dxa"/>
          </w:tcPr>
          <w:p w14:paraId="47CD00AB" w14:textId="2A727D3E" w:rsidR="001501A3" w:rsidRPr="00157E78" w:rsidRDefault="00FE2CAC" w:rsidP="004F0D72">
            <w:pPr>
              <w:rPr>
                <w:rFonts w:ascii="Times New Roman" w:hAnsi="Times New Roman" w:cs="Times New Roman"/>
                <w:sz w:val="24"/>
                <w:szCs w:val="24"/>
              </w:rPr>
            </w:pPr>
            <w:r w:rsidRPr="00157E78">
              <w:rPr>
                <w:rFonts w:ascii="Times New Roman" w:hAnsi="Times New Roman" w:cs="Times New Roman"/>
                <w:sz w:val="24"/>
                <w:szCs w:val="24"/>
              </w:rPr>
              <w:t>53.8</w:t>
            </w:r>
          </w:p>
        </w:tc>
        <w:tc>
          <w:tcPr>
            <w:tcW w:w="630" w:type="dxa"/>
          </w:tcPr>
          <w:p w14:paraId="1E9F692E" w14:textId="5E38FF65" w:rsidR="001501A3" w:rsidRPr="00157E78" w:rsidRDefault="00EF0751" w:rsidP="004F0D72">
            <w:pPr>
              <w:rPr>
                <w:rFonts w:ascii="Times New Roman" w:hAnsi="Times New Roman" w:cs="Times New Roman"/>
                <w:sz w:val="24"/>
                <w:szCs w:val="24"/>
              </w:rPr>
            </w:pPr>
            <w:r w:rsidRPr="00157E78">
              <w:rPr>
                <w:rFonts w:ascii="Times New Roman" w:hAnsi="Times New Roman" w:cs="Times New Roman"/>
                <w:sz w:val="24"/>
                <w:szCs w:val="24"/>
              </w:rPr>
              <w:t>06</w:t>
            </w:r>
          </w:p>
        </w:tc>
        <w:tc>
          <w:tcPr>
            <w:tcW w:w="900" w:type="dxa"/>
          </w:tcPr>
          <w:p w14:paraId="6492C102" w14:textId="4E4A3159" w:rsidR="001501A3" w:rsidRPr="00157E78" w:rsidRDefault="00FE2CAC" w:rsidP="004F0D72">
            <w:pPr>
              <w:rPr>
                <w:rFonts w:ascii="Times New Roman" w:hAnsi="Times New Roman" w:cs="Times New Roman"/>
                <w:sz w:val="24"/>
                <w:szCs w:val="24"/>
              </w:rPr>
            </w:pPr>
            <w:r w:rsidRPr="00157E78">
              <w:rPr>
                <w:rFonts w:ascii="Times New Roman" w:hAnsi="Times New Roman" w:cs="Times New Roman"/>
                <w:sz w:val="24"/>
                <w:szCs w:val="24"/>
              </w:rPr>
              <w:t xml:space="preserve">46.2 </w:t>
            </w:r>
          </w:p>
        </w:tc>
        <w:tc>
          <w:tcPr>
            <w:tcW w:w="1260" w:type="dxa"/>
          </w:tcPr>
          <w:p w14:paraId="6D034583" w14:textId="1947E966"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13 (100)</w:t>
            </w:r>
          </w:p>
        </w:tc>
      </w:tr>
      <w:tr w:rsidR="00FE2CAC" w14:paraId="5A222EE9" w14:textId="77777777" w:rsidTr="00FE2CAC">
        <w:trPr>
          <w:jc w:val="center"/>
        </w:trPr>
        <w:tc>
          <w:tcPr>
            <w:tcW w:w="1300" w:type="dxa"/>
          </w:tcPr>
          <w:p w14:paraId="479C67E1"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Medium</w:t>
            </w:r>
          </w:p>
        </w:tc>
        <w:tc>
          <w:tcPr>
            <w:tcW w:w="1500" w:type="dxa"/>
          </w:tcPr>
          <w:p w14:paraId="5649FAB4"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27–53</w:t>
            </w:r>
          </w:p>
        </w:tc>
        <w:tc>
          <w:tcPr>
            <w:tcW w:w="885" w:type="dxa"/>
          </w:tcPr>
          <w:p w14:paraId="6F23AEAB" w14:textId="5C53BE4C"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06</w:t>
            </w:r>
          </w:p>
        </w:tc>
        <w:tc>
          <w:tcPr>
            <w:tcW w:w="900" w:type="dxa"/>
          </w:tcPr>
          <w:p w14:paraId="46F0C9CF" w14:textId="45750950"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 xml:space="preserve">35.3 </w:t>
            </w:r>
          </w:p>
        </w:tc>
        <w:tc>
          <w:tcPr>
            <w:tcW w:w="630" w:type="dxa"/>
          </w:tcPr>
          <w:p w14:paraId="1E7AF56D" w14:textId="23BD6DE0"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11</w:t>
            </w:r>
          </w:p>
        </w:tc>
        <w:tc>
          <w:tcPr>
            <w:tcW w:w="900" w:type="dxa"/>
          </w:tcPr>
          <w:p w14:paraId="6E26074C" w14:textId="7DFF7BEB"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64.7</w:t>
            </w:r>
          </w:p>
        </w:tc>
        <w:tc>
          <w:tcPr>
            <w:tcW w:w="1260" w:type="dxa"/>
          </w:tcPr>
          <w:p w14:paraId="43F2F15C" w14:textId="39997843"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17 (100)</w:t>
            </w:r>
          </w:p>
        </w:tc>
      </w:tr>
      <w:tr w:rsidR="00FE2CAC" w14:paraId="614BCB67" w14:textId="77777777" w:rsidTr="00FE2CAC">
        <w:trPr>
          <w:jc w:val="center"/>
        </w:trPr>
        <w:tc>
          <w:tcPr>
            <w:tcW w:w="1300" w:type="dxa"/>
          </w:tcPr>
          <w:p w14:paraId="6C6E8E56"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High</w:t>
            </w:r>
          </w:p>
        </w:tc>
        <w:tc>
          <w:tcPr>
            <w:tcW w:w="1500" w:type="dxa"/>
          </w:tcPr>
          <w:p w14:paraId="68577672"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54–80</w:t>
            </w:r>
          </w:p>
        </w:tc>
        <w:tc>
          <w:tcPr>
            <w:tcW w:w="885" w:type="dxa"/>
          </w:tcPr>
          <w:p w14:paraId="7E67E155" w14:textId="190D9A6B"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900" w:type="dxa"/>
          </w:tcPr>
          <w:p w14:paraId="723C65A0" w14:textId="543724FD"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630" w:type="dxa"/>
          </w:tcPr>
          <w:p w14:paraId="12138CC2" w14:textId="2CD88C0D"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900" w:type="dxa"/>
          </w:tcPr>
          <w:p w14:paraId="130BBC08" w14:textId="289CD1F7"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1260" w:type="dxa"/>
          </w:tcPr>
          <w:p w14:paraId="4439324F" w14:textId="79042118"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r>
      <w:tr w:rsidR="00FE2CAC" w14:paraId="265E50FF" w14:textId="77777777" w:rsidTr="00FE2CAC">
        <w:trPr>
          <w:jc w:val="center"/>
        </w:trPr>
        <w:tc>
          <w:tcPr>
            <w:tcW w:w="1300" w:type="dxa"/>
          </w:tcPr>
          <w:p w14:paraId="33C70BEE"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Total</w:t>
            </w:r>
          </w:p>
        </w:tc>
        <w:tc>
          <w:tcPr>
            <w:tcW w:w="1500" w:type="dxa"/>
          </w:tcPr>
          <w:p w14:paraId="7621774F" w14:textId="282F9FF2" w:rsidR="001501A3" w:rsidRPr="00157E78" w:rsidRDefault="001501A3" w:rsidP="004F0D72">
            <w:pPr>
              <w:rPr>
                <w:rFonts w:ascii="Times New Roman" w:hAnsi="Times New Roman" w:cs="Times New Roman"/>
                <w:sz w:val="24"/>
                <w:szCs w:val="24"/>
              </w:rPr>
            </w:pPr>
          </w:p>
        </w:tc>
        <w:tc>
          <w:tcPr>
            <w:tcW w:w="885" w:type="dxa"/>
          </w:tcPr>
          <w:p w14:paraId="7CEB0755" w14:textId="35354064"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13</w:t>
            </w:r>
          </w:p>
        </w:tc>
        <w:tc>
          <w:tcPr>
            <w:tcW w:w="900" w:type="dxa"/>
          </w:tcPr>
          <w:p w14:paraId="5F854EF9" w14:textId="5468C05E"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100</w:t>
            </w:r>
          </w:p>
        </w:tc>
        <w:tc>
          <w:tcPr>
            <w:tcW w:w="630" w:type="dxa"/>
          </w:tcPr>
          <w:p w14:paraId="1833937B" w14:textId="16C57BFC"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17</w:t>
            </w:r>
          </w:p>
        </w:tc>
        <w:tc>
          <w:tcPr>
            <w:tcW w:w="900" w:type="dxa"/>
          </w:tcPr>
          <w:p w14:paraId="0DAD942D" w14:textId="765C7D9B"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100</w:t>
            </w:r>
          </w:p>
        </w:tc>
        <w:tc>
          <w:tcPr>
            <w:tcW w:w="1260" w:type="dxa"/>
          </w:tcPr>
          <w:p w14:paraId="571A488E" w14:textId="0EBE8073"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color w:val="000000"/>
                <w:sz w:val="24"/>
                <w:szCs w:val="24"/>
              </w:rPr>
              <w:t>30(</w:t>
            </w:r>
            <w:r w:rsidR="001501A3" w:rsidRPr="00157E78">
              <w:rPr>
                <w:rFonts w:ascii="Times New Roman" w:hAnsi="Times New Roman" w:cs="Times New Roman"/>
                <w:color w:val="000000"/>
                <w:sz w:val="24"/>
                <w:szCs w:val="24"/>
              </w:rPr>
              <w:t>100</w:t>
            </w:r>
            <w:r w:rsidRPr="00157E78">
              <w:rPr>
                <w:rFonts w:ascii="Times New Roman" w:hAnsi="Times New Roman" w:cs="Times New Roman"/>
                <w:color w:val="000000"/>
                <w:sz w:val="24"/>
                <w:szCs w:val="24"/>
              </w:rPr>
              <w:t>)</w:t>
            </w:r>
          </w:p>
        </w:tc>
      </w:tr>
    </w:tbl>
    <w:p w14:paraId="5B8D8B00" w14:textId="296876F2" w:rsidR="00E61D01" w:rsidRDefault="00CD63FD" w:rsidP="00C92D20">
      <w:pPr>
        <w:spacing w:before="58" w:after="202"/>
        <w:rPr>
          <w:rFonts w:ascii="Times New Roman" w:eastAsia="Times New Roman" w:hAnsi="Times New Roman" w:cs="Times New Roman"/>
          <w:color w:val="000000"/>
        </w:rPr>
      </w:pPr>
      <w:r w:rsidRPr="00CD63FD">
        <w:rPr>
          <w:rFonts w:ascii="Times New Roman" w:eastAsia="Times New Roman" w:hAnsi="Times New Roman" w:cs="Times New Roman"/>
          <w:i/>
          <w:iCs/>
          <w:color w:val="000000"/>
        </w:rPr>
        <w:t xml:space="preserve">Note. </w:t>
      </w:r>
      <w:r w:rsidRPr="00CD63FD">
        <w:rPr>
          <w:rFonts w:ascii="Times New Roman" w:eastAsia="Times New Roman" w:hAnsi="Times New Roman" w:cs="Times New Roman"/>
          <w:color w:val="000000"/>
        </w:rPr>
        <w:t>Percentages computed within each gender group (row percentages). n = number of students in each CT level by gender.</w:t>
      </w:r>
    </w:p>
    <w:p w14:paraId="79EB5620" w14:textId="6B02D49B" w:rsidR="00E61D01" w:rsidRPr="003F23AD" w:rsidRDefault="00E61D01" w:rsidP="00A764CC">
      <w:pPr>
        <w:spacing w:before="58" w:after="202" w:line="360" w:lineRule="auto"/>
        <w:ind w:firstLine="720"/>
        <w:jc w:val="both"/>
        <w:rPr>
          <w:rFonts w:ascii="Times New Roman" w:eastAsia="Times New Roman" w:hAnsi="Times New Roman" w:cs="Times New Roman"/>
          <w:color w:val="000000"/>
          <w:sz w:val="24"/>
          <w:szCs w:val="24"/>
        </w:rPr>
      </w:pPr>
      <w:r w:rsidRPr="003F23AD">
        <w:rPr>
          <w:rFonts w:ascii="Times New Roman" w:eastAsia="Times New Roman" w:hAnsi="Times New Roman" w:cs="Times New Roman"/>
          <w:color w:val="000000"/>
          <w:sz w:val="24"/>
          <w:szCs w:val="24"/>
        </w:rPr>
        <w:t>The table</w:t>
      </w:r>
      <w:r w:rsidR="009A2B36" w:rsidRPr="003F23AD">
        <w:rPr>
          <w:rFonts w:ascii="Times New Roman" w:eastAsia="Times New Roman" w:hAnsi="Times New Roman" w:cs="Times New Roman"/>
          <w:color w:val="000000"/>
          <w:sz w:val="24"/>
          <w:szCs w:val="24"/>
        </w:rPr>
        <w:t xml:space="preserve"> 3 and figure 2</w:t>
      </w:r>
      <w:r w:rsidRPr="003F23AD">
        <w:rPr>
          <w:rFonts w:ascii="Times New Roman" w:eastAsia="Times New Roman" w:hAnsi="Times New Roman" w:cs="Times New Roman"/>
          <w:color w:val="000000"/>
          <w:sz w:val="24"/>
          <w:szCs w:val="24"/>
        </w:rPr>
        <w:t xml:space="preserve"> presents the gender-wise distribution of computational thinking (CT) levels among </w:t>
      </w:r>
      <w:r w:rsidR="006C7633" w:rsidRPr="003F23AD">
        <w:rPr>
          <w:rFonts w:ascii="Times New Roman" w:eastAsia="Times New Roman" w:hAnsi="Times New Roman" w:cs="Times New Roman"/>
          <w:color w:val="000000"/>
          <w:sz w:val="24"/>
          <w:szCs w:val="24"/>
        </w:rPr>
        <w:t>secondary</w:t>
      </w:r>
      <w:r w:rsidRPr="003F23AD">
        <w:rPr>
          <w:rFonts w:ascii="Times New Roman" w:eastAsia="Times New Roman" w:hAnsi="Times New Roman" w:cs="Times New Roman"/>
          <w:color w:val="000000"/>
          <w:sz w:val="24"/>
          <w:szCs w:val="24"/>
        </w:rPr>
        <w:t xml:space="preserve"> students. The findings indicate that among the students categorized </w:t>
      </w:r>
      <w:r w:rsidRPr="003F23AD">
        <w:rPr>
          <w:rFonts w:ascii="Times New Roman" w:eastAsia="Times New Roman" w:hAnsi="Times New Roman" w:cs="Times New Roman"/>
          <w:color w:val="000000"/>
          <w:sz w:val="24"/>
          <w:szCs w:val="24"/>
        </w:rPr>
        <w:lastRenderedPageBreak/>
        <w:t>under the low computational thinking level, 53.8% were boys and 46.2% were girls. In the medium computational thinking category, girls constituted a higher proportion (64.7%) compared to boys (35.3%). No students, irrespective of gender, were found under the high computational thinking level category.</w:t>
      </w:r>
    </w:p>
    <w:p w14:paraId="5453EFFA" w14:textId="77777777" w:rsidR="00E61D01" w:rsidRPr="003F23AD" w:rsidRDefault="00E61D01" w:rsidP="00A764CC">
      <w:pPr>
        <w:spacing w:before="58" w:after="202" w:line="360" w:lineRule="auto"/>
        <w:ind w:firstLine="720"/>
        <w:jc w:val="both"/>
        <w:rPr>
          <w:rFonts w:ascii="Times New Roman" w:eastAsia="Times New Roman" w:hAnsi="Times New Roman" w:cs="Times New Roman"/>
          <w:color w:val="000000"/>
          <w:sz w:val="24"/>
          <w:szCs w:val="24"/>
        </w:rPr>
      </w:pPr>
      <w:r w:rsidRPr="003F23AD">
        <w:rPr>
          <w:rFonts w:ascii="Times New Roman" w:eastAsia="Times New Roman" w:hAnsi="Times New Roman" w:cs="Times New Roman"/>
          <w:color w:val="000000"/>
          <w:sz w:val="24"/>
          <w:szCs w:val="24"/>
        </w:rPr>
        <w:t>The results suggest that girls demonstrated relatively better computational thinking performance than boys, as a larger percentage of girls belonged to the medium CT level category. In contrast, boys showed comparatively greater representation in the low CT level category. The absence of students in the high CT level category indicates that both boys and girls require further enhancement of computational thinking competencies.</w:t>
      </w:r>
    </w:p>
    <w:p w14:paraId="724CCE0B" w14:textId="01162EB4" w:rsidR="00E61D01" w:rsidRPr="003F23AD" w:rsidRDefault="00E61D01" w:rsidP="00A764CC">
      <w:pPr>
        <w:spacing w:before="58" w:after="202" w:line="360" w:lineRule="auto"/>
        <w:ind w:firstLine="720"/>
        <w:jc w:val="both"/>
        <w:rPr>
          <w:rFonts w:ascii="Times New Roman" w:eastAsia="Times New Roman" w:hAnsi="Times New Roman" w:cs="Times New Roman"/>
          <w:color w:val="000000"/>
          <w:sz w:val="24"/>
          <w:szCs w:val="24"/>
        </w:rPr>
      </w:pPr>
      <w:r w:rsidRPr="003F23AD">
        <w:rPr>
          <w:rFonts w:ascii="Times New Roman" w:eastAsia="Times New Roman" w:hAnsi="Times New Roman" w:cs="Times New Roman"/>
          <w:color w:val="000000"/>
          <w:sz w:val="24"/>
          <w:szCs w:val="24"/>
        </w:rPr>
        <w:t>Overall, the findings reveal that the computational thinking abilities of the students were primarily concentrated within low and medium levels, with girls exhibiting comparatively stronger computational thinking skills than boys. The results emphasize the need for effective pedagogical interventions and computational thinking-based instructional strategies in mathematics education to improve higher-order thinking skills among secondary school students</w:t>
      </w:r>
      <w:r w:rsidR="00214A06">
        <w:rPr>
          <w:rFonts w:ascii="Times New Roman" w:eastAsia="Times New Roman" w:hAnsi="Times New Roman" w:cs="Times New Roman"/>
          <w:color w:val="000000"/>
          <w:sz w:val="24"/>
          <w:szCs w:val="24"/>
        </w:rPr>
        <w:t>.</w:t>
      </w:r>
    </w:p>
    <w:p w14:paraId="0DF9CBE0" w14:textId="35AAB856" w:rsidR="00EB3963" w:rsidRDefault="00EB3963" w:rsidP="0056240E">
      <w:pPr>
        <w:spacing w:before="58" w:after="202"/>
        <w:jc w:val="center"/>
        <w:rPr>
          <w:rFonts w:ascii="Times New Roman" w:eastAsia="Times New Roman" w:hAnsi="Times New Roman"/>
          <w:color w:val="000000"/>
        </w:rPr>
      </w:pPr>
      <w:r>
        <w:rPr>
          <w:noProof/>
        </w:rPr>
        <w:drawing>
          <wp:inline distT="0" distB="0" distL="0" distR="0" wp14:anchorId="716E99F3" wp14:editId="5918C8DB">
            <wp:extent cx="4572000" cy="2743200"/>
            <wp:effectExtent l="0" t="0" r="0" b="0"/>
            <wp:docPr id="7" name="Chart 7">
              <a:extLst xmlns:a="http://schemas.openxmlformats.org/drawingml/2006/main">
                <a:ext uri="{FF2B5EF4-FFF2-40B4-BE49-F238E27FC236}">
                  <a16:creationId xmlns:a16="http://schemas.microsoft.com/office/drawing/2014/main" id="{76400FD3-0F22-C03A-B219-F448BB93F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E65CCD" w14:textId="62BECAB2" w:rsidR="00C92D20" w:rsidRDefault="00800CA8" w:rsidP="00C92D20">
      <w:pPr>
        <w:spacing w:before="58" w:after="202"/>
        <w:rPr>
          <w:rFonts w:ascii="Times New Roman" w:hAnsi="Times New Roman" w:cs="Times New Roman"/>
          <w:sz w:val="24"/>
          <w:szCs w:val="24"/>
        </w:rPr>
      </w:pPr>
      <w:r>
        <w:rPr>
          <w:rFonts w:ascii="Times New Roman" w:hAnsi="Times New Roman" w:cs="Times New Roman"/>
          <w:sz w:val="24"/>
          <w:szCs w:val="24"/>
        </w:rPr>
        <w:tab/>
      </w:r>
      <w:r w:rsidR="00847FD9">
        <w:rPr>
          <w:rFonts w:ascii="Times New Roman" w:hAnsi="Times New Roman" w:cs="Times New Roman"/>
          <w:sz w:val="24"/>
          <w:szCs w:val="24"/>
        </w:rPr>
        <w:tab/>
      </w:r>
      <w:r w:rsidR="001A4E38">
        <w:rPr>
          <w:rFonts w:ascii="Times New Roman" w:hAnsi="Times New Roman" w:cs="Times New Roman"/>
          <w:sz w:val="24"/>
          <w:szCs w:val="24"/>
        </w:rPr>
        <w:t xml:space="preserve">Figure 2: </w:t>
      </w:r>
      <w:r>
        <w:rPr>
          <w:rFonts w:ascii="Times New Roman" w:hAnsi="Times New Roman" w:cs="Times New Roman"/>
          <w:sz w:val="24"/>
          <w:szCs w:val="24"/>
        </w:rPr>
        <w:t>Overall distribution of CT Levels (Gender Wise)</w:t>
      </w:r>
    </w:p>
    <w:p w14:paraId="28B71135" w14:textId="70846447" w:rsidR="00402E12" w:rsidRDefault="00402E12" w:rsidP="00C92D20">
      <w:pPr>
        <w:spacing w:before="58" w:after="202"/>
        <w:rPr>
          <w:rFonts w:ascii="Times New Roman" w:hAnsi="Times New Roman" w:cs="Times New Roman"/>
          <w:sz w:val="24"/>
          <w:szCs w:val="24"/>
        </w:rPr>
      </w:pPr>
    </w:p>
    <w:p w14:paraId="21DDA8BF" w14:textId="77777777" w:rsidR="007C71F9" w:rsidRDefault="00402E12" w:rsidP="00C92D20">
      <w:pPr>
        <w:spacing w:before="58" w:after="20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603BFC1" w14:textId="3F9A69E7" w:rsidR="00D40C6D" w:rsidRDefault="00402E12" w:rsidP="00C92D20">
      <w:pPr>
        <w:spacing w:before="58" w:after="202"/>
        <w:rPr>
          <w:rFonts w:ascii="Times New Roman" w:hAnsi="Times New Roman" w:cs="Times New Roman"/>
          <w:sz w:val="24"/>
          <w:szCs w:val="24"/>
        </w:rPr>
      </w:pPr>
      <w:r>
        <w:rPr>
          <w:rFonts w:ascii="Times New Roman" w:hAnsi="Times New Roman" w:cs="Times New Roman"/>
          <w:sz w:val="24"/>
          <w:szCs w:val="24"/>
        </w:rPr>
        <w:tab/>
      </w:r>
    </w:p>
    <w:p w14:paraId="0349FA84" w14:textId="66A328C8" w:rsidR="00837A7B" w:rsidRPr="00C35DBA" w:rsidRDefault="00D40C6D" w:rsidP="00C92D20">
      <w:pPr>
        <w:spacing w:before="58" w:after="202"/>
        <w:rPr>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35A22">
        <w:rPr>
          <w:rFonts w:ascii="Times New Roman" w:hAnsi="Times New Roman" w:cs="Times New Roman"/>
          <w:sz w:val="24"/>
          <w:szCs w:val="24"/>
        </w:rPr>
        <w:tab/>
      </w:r>
      <w:r w:rsidR="004C428F" w:rsidRPr="00C35DBA">
        <w:rPr>
          <w:rFonts w:ascii="Times New Roman" w:hAnsi="Times New Roman" w:cs="Times New Roman"/>
          <w:sz w:val="24"/>
          <w:szCs w:val="24"/>
        </w:rPr>
        <w:t>Table 4:</w:t>
      </w:r>
      <w:r w:rsidR="009E35D8" w:rsidRPr="00C35DBA">
        <w:rPr>
          <w:rFonts w:ascii="Times New Roman" w:hAnsi="Times New Roman" w:cs="Times New Roman"/>
          <w:sz w:val="24"/>
          <w:szCs w:val="24"/>
        </w:rPr>
        <w:t xml:space="preserve"> Gender wise Mean CT scores </w:t>
      </w:r>
    </w:p>
    <w:tbl>
      <w:tblPr>
        <w:tblStyle w:val="TableGrid"/>
        <w:tblW w:w="0" w:type="auto"/>
        <w:jc w:val="center"/>
        <w:tblLook w:val="04A0" w:firstRow="1" w:lastRow="0" w:firstColumn="1" w:lastColumn="0" w:noHBand="0" w:noVBand="1"/>
      </w:tblPr>
      <w:tblGrid>
        <w:gridCol w:w="923"/>
        <w:gridCol w:w="456"/>
        <w:gridCol w:w="2456"/>
        <w:gridCol w:w="1023"/>
        <w:gridCol w:w="636"/>
      </w:tblGrid>
      <w:tr w:rsidR="009E35D8" w14:paraId="3C6F8EA7" w14:textId="77777777" w:rsidTr="00D87986">
        <w:trPr>
          <w:trHeight w:val="512"/>
          <w:jc w:val="center"/>
        </w:trPr>
        <w:tc>
          <w:tcPr>
            <w:tcW w:w="0" w:type="auto"/>
          </w:tcPr>
          <w:p w14:paraId="0D9F8750"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Gender</w:t>
            </w:r>
          </w:p>
        </w:tc>
        <w:tc>
          <w:tcPr>
            <w:tcW w:w="0" w:type="auto"/>
          </w:tcPr>
          <w:p w14:paraId="3C16B7F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n</w:t>
            </w:r>
          </w:p>
        </w:tc>
        <w:tc>
          <w:tcPr>
            <w:tcW w:w="0" w:type="auto"/>
          </w:tcPr>
          <w:p w14:paraId="4E9B7503"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Mean Score (out of 80)</w:t>
            </w:r>
          </w:p>
        </w:tc>
        <w:tc>
          <w:tcPr>
            <w:tcW w:w="0" w:type="auto"/>
          </w:tcPr>
          <w:p w14:paraId="3CE4D379"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Mean %</w:t>
            </w:r>
          </w:p>
        </w:tc>
        <w:tc>
          <w:tcPr>
            <w:tcW w:w="0" w:type="auto"/>
          </w:tcPr>
          <w:p w14:paraId="3191AB90"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SD</w:t>
            </w:r>
          </w:p>
        </w:tc>
      </w:tr>
      <w:tr w:rsidR="009E35D8" w14:paraId="3C498425" w14:textId="77777777" w:rsidTr="00D87986">
        <w:trPr>
          <w:jc w:val="center"/>
        </w:trPr>
        <w:tc>
          <w:tcPr>
            <w:tcW w:w="0" w:type="auto"/>
          </w:tcPr>
          <w:p w14:paraId="1EC0604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Boys</w:t>
            </w:r>
          </w:p>
        </w:tc>
        <w:tc>
          <w:tcPr>
            <w:tcW w:w="0" w:type="auto"/>
          </w:tcPr>
          <w:p w14:paraId="5539714F" w14:textId="7D46F083"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7BCB96C" w14:textId="3B5F9A8A"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27.38</w:t>
            </w:r>
          </w:p>
        </w:tc>
        <w:tc>
          <w:tcPr>
            <w:tcW w:w="0" w:type="auto"/>
          </w:tcPr>
          <w:p w14:paraId="3E220FEB" w14:textId="41CED706"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34.23</w:t>
            </w:r>
          </w:p>
        </w:tc>
        <w:tc>
          <w:tcPr>
            <w:tcW w:w="0" w:type="auto"/>
          </w:tcPr>
          <w:p w14:paraId="3BC9803D" w14:textId="4758732B"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6.93</w:t>
            </w:r>
          </w:p>
        </w:tc>
      </w:tr>
      <w:tr w:rsidR="009E35D8" w14:paraId="2B52331E" w14:textId="77777777" w:rsidTr="00D87986">
        <w:trPr>
          <w:jc w:val="center"/>
        </w:trPr>
        <w:tc>
          <w:tcPr>
            <w:tcW w:w="0" w:type="auto"/>
          </w:tcPr>
          <w:p w14:paraId="6B5F4D1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Girls</w:t>
            </w:r>
          </w:p>
        </w:tc>
        <w:tc>
          <w:tcPr>
            <w:tcW w:w="0" w:type="auto"/>
          </w:tcPr>
          <w:p w14:paraId="421C65E9" w14:textId="164A730D"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567E624D" w14:textId="2FAD0A8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28.59</w:t>
            </w:r>
          </w:p>
        </w:tc>
        <w:tc>
          <w:tcPr>
            <w:tcW w:w="0" w:type="auto"/>
          </w:tcPr>
          <w:p w14:paraId="498E08D3" w14:textId="39120021"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35.74</w:t>
            </w:r>
          </w:p>
        </w:tc>
        <w:tc>
          <w:tcPr>
            <w:tcW w:w="0" w:type="auto"/>
          </w:tcPr>
          <w:p w14:paraId="68F57339" w14:textId="43302E1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6.27</w:t>
            </w:r>
          </w:p>
        </w:tc>
      </w:tr>
      <w:tr w:rsidR="009E35D8" w14:paraId="6926D885" w14:textId="77777777" w:rsidTr="00D87986">
        <w:trPr>
          <w:jc w:val="center"/>
        </w:trPr>
        <w:tc>
          <w:tcPr>
            <w:tcW w:w="0" w:type="auto"/>
          </w:tcPr>
          <w:p w14:paraId="0B7FBE79"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Total</w:t>
            </w:r>
          </w:p>
        </w:tc>
        <w:tc>
          <w:tcPr>
            <w:tcW w:w="0" w:type="auto"/>
          </w:tcPr>
          <w:p w14:paraId="3EBAE0C1" w14:textId="6040B0E1"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224D19D1" w14:textId="1BDFB94D"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28.07</w:t>
            </w:r>
          </w:p>
        </w:tc>
        <w:tc>
          <w:tcPr>
            <w:tcW w:w="0" w:type="auto"/>
          </w:tcPr>
          <w:p w14:paraId="02E42844" w14:textId="4CA9D79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35.08</w:t>
            </w:r>
          </w:p>
        </w:tc>
        <w:tc>
          <w:tcPr>
            <w:tcW w:w="0" w:type="auto"/>
          </w:tcPr>
          <w:p w14:paraId="05E97B2B" w14:textId="74EE3625"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6.48</w:t>
            </w:r>
          </w:p>
        </w:tc>
      </w:tr>
    </w:tbl>
    <w:p w14:paraId="22499FE8" w14:textId="66CD8752" w:rsidR="005C4862" w:rsidRDefault="005C4862" w:rsidP="005C4862">
      <w:pPr>
        <w:spacing w:before="58" w:after="202"/>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t xml:space="preserve">Note. </w:t>
      </w:r>
      <w:r>
        <w:rPr>
          <w:rFonts w:ascii="Times New Roman" w:eastAsia="Times New Roman" w:hAnsi="Times New Roman" w:cs="Times New Roman"/>
          <w:color w:val="000000"/>
          <w:sz w:val="20"/>
          <w:szCs w:val="20"/>
        </w:rPr>
        <w:t>Mean % = (Mean Score / 80) × 100. SD = Standard Deviation.</w:t>
      </w:r>
    </w:p>
    <w:p w14:paraId="7FD6A384" w14:textId="418A7A99" w:rsidR="00F55272" w:rsidRDefault="00F55272" w:rsidP="00F55272">
      <w:pPr>
        <w:spacing w:before="58" w:after="202"/>
        <w:jc w:val="center"/>
      </w:pPr>
      <w:r w:rsidRPr="00F55272">
        <w:rPr>
          <w:rFonts w:ascii="Times New Roman" w:hAnsi="Times New Roman" w:cs="Times New Roman"/>
          <w:noProof/>
          <w:sz w:val="24"/>
          <w:szCs w:val="24"/>
        </w:rPr>
        <w:drawing>
          <wp:inline distT="0" distB="0" distL="0" distR="0" wp14:anchorId="788E2209" wp14:editId="3131FDE4">
            <wp:extent cx="5029200" cy="2190750"/>
            <wp:effectExtent l="0" t="0" r="0" b="0"/>
            <wp:docPr id="8" name="Chart 8">
              <a:extLst xmlns:a="http://schemas.openxmlformats.org/drawingml/2006/main">
                <a:ext uri="{FF2B5EF4-FFF2-40B4-BE49-F238E27FC236}">
                  <a16:creationId xmlns:a16="http://schemas.microsoft.com/office/drawing/2014/main" id="{AD7985C1-FF6F-E8A8-9E5B-582CF9CDA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FDCE51" w14:textId="4C730AF8" w:rsidR="008D7CED" w:rsidRDefault="00847FD9" w:rsidP="009F12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55272">
        <w:rPr>
          <w:rFonts w:ascii="Times New Roman" w:hAnsi="Times New Roman" w:cs="Times New Roman"/>
          <w:sz w:val="24"/>
          <w:szCs w:val="24"/>
        </w:rPr>
        <w:t xml:space="preserve">Figure 3: Gender wise mean CT scores </w:t>
      </w:r>
    </w:p>
    <w:p w14:paraId="409334CA" w14:textId="1C605ED8" w:rsidR="009F1260" w:rsidRDefault="00491A26" w:rsidP="009F126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91A26">
        <w:rPr>
          <w:rFonts w:ascii="Times New Roman" w:hAnsi="Times New Roman" w:cs="Times New Roman"/>
          <w:sz w:val="24"/>
          <w:szCs w:val="24"/>
        </w:rPr>
        <w:t xml:space="preserve">able </w:t>
      </w:r>
      <w:r>
        <w:rPr>
          <w:rFonts w:ascii="Times New Roman" w:hAnsi="Times New Roman" w:cs="Times New Roman"/>
          <w:sz w:val="24"/>
          <w:szCs w:val="24"/>
        </w:rPr>
        <w:t>4</w:t>
      </w:r>
      <w:r w:rsidR="00726C60">
        <w:rPr>
          <w:rFonts w:ascii="Times New Roman" w:hAnsi="Times New Roman" w:cs="Times New Roman"/>
          <w:sz w:val="24"/>
          <w:szCs w:val="24"/>
        </w:rPr>
        <w:t xml:space="preserve"> and figure 3</w:t>
      </w:r>
      <w:r w:rsidRPr="00491A26">
        <w:rPr>
          <w:rFonts w:ascii="Times New Roman" w:hAnsi="Times New Roman" w:cs="Times New Roman"/>
          <w:sz w:val="24"/>
          <w:szCs w:val="24"/>
        </w:rPr>
        <w:t xml:space="preserve"> presents the mean computational thinking scores of boys and girls among </w:t>
      </w:r>
      <w:r w:rsidR="006C7633">
        <w:rPr>
          <w:rFonts w:ascii="Times New Roman" w:hAnsi="Times New Roman" w:cs="Times New Roman"/>
          <w:sz w:val="24"/>
          <w:szCs w:val="24"/>
        </w:rPr>
        <w:t xml:space="preserve">Secondary </w:t>
      </w:r>
      <w:r w:rsidRPr="00491A26">
        <w:rPr>
          <w:rFonts w:ascii="Times New Roman" w:hAnsi="Times New Roman" w:cs="Times New Roman"/>
          <w:sz w:val="24"/>
          <w:szCs w:val="24"/>
        </w:rPr>
        <w:t>students. The findings reveal that girls obtained a slightly higher mean score M = 28.59</w:t>
      </w:r>
      <w:r w:rsidR="00E54E13">
        <w:rPr>
          <w:rFonts w:ascii="Times New Roman" w:hAnsi="Times New Roman" w:cs="Times New Roman"/>
          <w:sz w:val="24"/>
          <w:szCs w:val="24"/>
        </w:rPr>
        <w:t xml:space="preserve">, </w:t>
      </w:r>
      <w:r w:rsidRPr="00491A26">
        <w:rPr>
          <w:rFonts w:ascii="Times New Roman" w:hAnsi="Times New Roman" w:cs="Times New Roman"/>
          <w:sz w:val="24"/>
          <w:szCs w:val="24"/>
        </w:rPr>
        <w:t>SD = 6.27</w:t>
      </w:r>
      <w:r w:rsidR="00E54E13">
        <w:rPr>
          <w:rFonts w:ascii="Times New Roman" w:hAnsi="Times New Roman" w:cs="Times New Roman"/>
          <w:sz w:val="24"/>
          <w:szCs w:val="24"/>
        </w:rPr>
        <w:t xml:space="preserve"> </w:t>
      </w:r>
      <w:r w:rsidRPr="00491A26">
        <w:rPr>
          <w:rFonts w:ascii="Times New Roman" w:hAnsi="Times New Roman" w:cs="Times New Roman"/>
          <w:sz w:val="24"/>
          <w:szCs w:val="24"/>
        </w:rPr>
        <w:t>compared to boys M = 27.38</w:t>
      </w:r>
      <w:r w:rsidR="00E54E13">
        <w:rPr>
          <w:rFonts w:ascii="Times New Roman" w:hAnsi="Times New Roman" w:cs="Times New Roman"/>
          <w:sz w:val="24"/>
          <w:szCs w:val="24"/>
        </w:rPr>
        <w:t xml:space="preserve"> and </w:t>
      </w:r>
      <w:r w:rsidRPr="00491A26">
        <w:rPr>
          <w:rFonts w:ascii="Times New Roman" w:hAnsi="Times New Roman" w:cs="Times New Roman"/>
          <w:sz w:val="24"/>
          <w:szCs w:val="24"/>
        </w:rPr>
        <w:t>SD = 6.93. The mean percentage scores also indicated that girls (35.74%) performed marginally better than boys 34.23</w:t>
      </w:r>
      <w:r w:rsidR="008D7356" w:rsidRPr="00491A26">
        <w:rPr>
          <w:rFonts w:ascii="Times New Roman" w:hAnsi="Times New Roman" w:cs="Times New Roman"/>
          <w:sz w:val="24"/>
          <w:szCs w:val="24"/>
        </w:rPr>
        <w:t>%</w:t>
      </w:r>
      <w:r w:rsidR="008D7356">
        <w:rPr>
          <w:rFonts w:ascii="Times New Roman" w:hAnsi="Times New Roman" w:cs="Times New Roman"/>
          <w:sz w:val="24"/>
          <w:szCs w:val="24"/>
        </w:rPr>
        <w:t xml:space="preserve"> </w:t>
      </w:r>
      <w:r w:rsidR="008D7356" w:rsidRPr="00491A26">
        <w:rPr>
          <w:rFonts w:ascii="Times New Roman" w:hAnsi="Times New Roman" w:cs="Times New Roman"/>
          <w:sz w:val="24"/>
          <w:szCs w:val="24"/>
        </w:rPr>
        <w:t>in</w:t>
      </w:r>
      <w:r w:rsidRPr="00491A26">
        <w:rPr>
          <w:rFonts w:ascii="Times New Roman" w:hAnsi="Times New Roman" w:cs="Times New Roman"/>
          <w:sz w:val="24"/>
          <w:szCs w:val="24"/>
        </w:rPr>
        <w:t xml:space="preserve"> computational thinking</w:t>
      </w:r>
      <w:r w:rsidR="008D7356">
        <w:rPr>
          <w:rFonts w:ascii="Times New Roman" w:hAnsi="Times New Roman" w:cs="Times New Roman"/>
          <w:sz w:val="24"/>
          <w:szCs w:val="24"/>
        </w:rPr>
        <w:t xml:space="preserve"> skills. </w:t>
      </w:r>
      <w:r w:rsidRPr="00491A26">
        <w:rPr>
          <w:rFonts w:ascii="Times New Roman" w:hAnsi="Times New Roman" w:cs="Times New Roman"/>
          <w:sz w:val="24"/>
          <w:szCs w:val="24"/>
        </w:rPr>
        <w:t>The overall mean computational thinking score of the students was found to be 28.07 (SD = 6.48), corresponding to a mean percentage of 35.08%. The results suggest that the computational thinking level of both boys and girls was moderate, with only slight variation between the groups.</w:t>
      </w:r>
    </w:p>
    <w:p w14:paraId="5B06D45D" w14:textId="3823444F" w:rsidR="009B7830" w:rsidRPr="009F1260" w:rsidRDefault="00B64179" w:rsidP="009F126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9B7830" w:rsidRPr="00C865A8">
        <w:rPr>
          <w:rFonts w:ascii="Times New Roman" w:hAnsi="Times New Roman" w:cs="Times New Roman"/>
          <w:b/>
          <w:bCs/>
          <w:sz w:val="24"/>
          <w:szCs w:val="24"/>
        </w:rPr>
        <w:t>Table 5: Age Wise Distribution of CT Levels.</w:t>
      </w:r>
    </w:p>
    <w:tbl>
      <w:tblPr>
        <w:tblStyle w:val="TableGrid"/>
        <w:tblW w:w="9625" w:type="dxa"/>
        <w:tblLook w:val="04A0" w:firstRow="1" w:lastRow="0" w:firstColumn="1" w:lastColumn="0" w:noHBand="0" w:noVBand="1"/>
      </w:tblPr>
      <w:tblGrid>
        <w:gridCol w:w="1250"/>
        <w:gridCol w:w="1211"/>
        <w:gridCol w:w="997"/>
        <w:gridCol w:w="982"/>
        <w:gridCol w:w="997"/>
        <w:gridCol w:w="982"/>
        <w:gridCol w:w="997"/>
        <w:gridCol w:w="1007"/>
        <w:gridCol w:w="1202"/>
      </w:tblGrid>
      <w:tr w:rsidR="003205C7" w14:paraId="039BD935" w14:textId="56EFF879" w:rsidTr="0076555B">
        <w:tc>
          <w:tcPr>
            <w:tcW w:w="1250" w:type="dxa"/>
          </w:tcPr>
          <w:p w14:paraId="30A86B84"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CT Level</w:t>
            </w:r>
          </w:p>
        </w:tc>
        <w:tc>
          <w:tcPr>
            <w:tcW w:w="1211" w:type="dxa"/>
          </w:tcPr>
          <w:p w14:paraId="48316B36"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Score Range</w:t>
            </w:r>
          </w:p>
        </w:tc>
        <w:tc>
          <w:tcPr>
            <w:tcW w:w="997" w:type="dxa"/>
          </w:tcPr>
          <w:p w14:paraId="53E18CC5" w14:textId="5D8B506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 yrs</w:t>
            </w:r>
          </w:p>
          <w:p w14:paraId="2AEAE2AA" w14:textId="5116C98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n=13</w:t>
            </w:r>
          </w:p>
        </w:tc>
        <w:tc>
          <w:tcPr>
            <w:tcW w:w="982" w:type="dxa"/>
          </w:tcPr>
          <w:p w14:paraId="14B7D2A9" w14:textId="449939D1"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 yrs</w:t>
            </w:r>
          </w:p>
          <w:p w14:paraId="10066AC1" w14:textId="48B5A4D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w:t>
            </w:r>
          </w:p>
        </w:tc>
        <w:tc>
          <w:tcPr>
            <w:tcW w:w="997" w:type="dxa"/>
          </w:tcPr>
          <w:p w14:paraId="3E3F0A42" w14:textId="454BE70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14 yrs</w:t>
            </w:r>
          </w:p>
          <w:p w14:paraId="613A1D2B" w14:textId="0BEC060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n=12</w:t>
            </w:r>
          </w:p>
        </w:tc>
        <w:tc>
          <w:tcPr>
            <w:tcW w:w="982" w:type="dxa"/>
          </w:tcPr>
          <w:p w14:paraId="0D7DD729" w14:textId="16C8220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14 yrs (%)</w:t>
            </w:r>
          </w:p>
        </w:tc>
        <w:tc>
          <w:tcPr>
            <w:tcW w:w="997" w:type="dxa"/>
          </w:tcPr>
          <w:p w14:paraId="148006AA" w14:textId="78AF799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15 yrs</w:t>
            </w:r>
          </w:p>
          <w:p w14:paraId="2FB3FFE2" w14:textId="7E4801A2"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n=05</w:t>
            </w:r>
          </w:p>
        </w:tc>
        <w:tc>
          <w:tcPr>
            <w:tcW w:w="1007" w:type="dxa"/>
          </w:tcPr>
          <w:p w14:paraId="7C97FA2C" w14:textId="7ED81075"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15 yrs</w:t>
            </w:r>
          </w:p>
          <w:p w14:paraId="276C5F97" w14:textId="681D345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w:t>
            </w:r>
          </w:p>
        </w:tc>
        <w:tc>
          <w:tcPr>
            <w:tcW w:w="1202" w:type="dxa"/>
          </w:tcPr>
          <w:p w14:paraId="4F1C20E8" w14:textId="596F0456"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 xml:space="preserve">Total </w:t>
            </w:r>
          </w:p>
        </w:tc>
      </w:tr>
      <w:tr w:rsidR="003205C7" w14:paraId="2A3B3945" w14:textId="737FD211" w:rsidTr="0076555B">
        <w:tc>
          <w:tcPr>
            <w:tcW w:w="1250" w:type="dxa"/>
          </w:tcPr>
          <w:p w14:paraId="0CE88652"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Low</w:t>
            </w:r>
          </w:p>
        </w:tc>
        <w:tc>
          <w:tcPr>
            <w:tcW w:w="1211" w:type="dxa"/>
          </w:tcPr>
          <w:p w14:paraId="4F75B6E1"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0–26</w:t>
            </w:r>
          </w:p>
        </w:tc>
        <w:tc>
          <w:tcPr>
            <w:tcW w:w="997" w:type="dxa"/>
          </w:tcPr>
          <w:p w14:paraId="71F5AD54" w14:textId="6285FDE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79075650" w14:textId="0B0AC8A3"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46.2</w:t>
            </w:r>
          </w:p>
        </w:tc>
        <w:tc>
          <w:tcPr>
            <w:tcW w:w="997" w:type="dxa"/>
          </w:tcPr>
          <w:p w14:paraId="2987435C" w14:textId="2DF2D765"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452FE37C" w14:textId="61347A49"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46.2</w:t>
            </w:r>
          </w:p>
        </w:tc>
        <w:tc>
          <w:tcPr>
            <w:tcW w:w="997" w:type="dxa"/>
          </w:tcPr>
          <w:p w14:paraId="5936D553" w14:textId="1312FE78"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01</w:t>
            </w:r>
          </w:p>
        </w:tc>
        <w:tc>
          <w:tcPr>
            <w:tcW w:w="1007" w:type="dxa"/>
          </w:tcPr>
          <w:p w14:paraId="27A2C3B8" w14:textId="6EE8BCF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7.7</w:t>
            </w:r>
          </w:p>
        </w:tc>
        <w:tc>
          <w:tcPr>
            <w:tcW w:w="1202" w:type="dxa"/>
          </w:tcPr>
          <w:p w14:paraId="09AAC5D3" w14:textId="2B4D32D8"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13 (100)</w:t>
            </w:r>
          </w:p>
        </w:tc>
      </w:tr>
      <w:tr w:rsidR="003205C7" w14:paraId="27AB430B" w14:textId="3F9DCA9D" w:rsidTr="0076555B">
        <w:tc>
          <w:tcPr>
            <w:tcW w:w="1250" w:type="dxa"/>
          </w:tcPr>
          <w:p w14:paraId="3D10D439"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Medium</w:t>
            </w:r>
          </w:p>
        </w:tc>
        <w:tc>
          <w:tcPr>
            <w:tcW w:w="1211" w:type="dxa"/>
          </w:tcPr>
          <w:p w14:paraId="49AA6579"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27–53</w:t>
            </w:r>
          </w:p>
        </w:tc>
        <w:tc>
          <w:tcPr>
            <w:tcW w:w="997" w:type="dxa"/>
          </w:tcPr>
          <w:p w14:paraId="2903B9D6" w14:textId="424AA42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07</w:t>
            </w:r>
          </w:p>
        </w:tc>
        <w:tc>
          <w:tcPr>
            <w:tcW w:w="982" w:type="dxa"/>
          </w:tcPr>
          <w:p w14:paraId="0EFD0948" w14:textId="7D07FC3D"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41.2</w:t>
            </w:r>
          </w:p>
        </w:tc>
        <w:tc>
          <w:tcPr>
            <w:tcW w:w="997" w:type="dxa"/>
          </w:tcPr>
          <w:p w14:paraId="1C59CE06" w14:textId="501C4E1D"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3C417EDE" w14:textId="56584450"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35.3</w:t>
            </w:r>
          </w:p>
        </w:tc>
        <w:tc>
          <w:tcPr>
            <w:tcW w:w="997" w:type="dxa"/>
          </w:tcPr>
          <w:p w14:paraId="37ACD773" w14:textId="56F0154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04</w:t>
            </w:r>
          </w:p>
        </w:tc>
        <w:tc>
          <w:tcPr>
            <w:tcW w:w="1007" w:type="dxa"/>
          </w:tcPr>
          <w:p w14:paraId="7CD23795" w14:textId="52886D5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23.5</w:t>
            </w:r>
          </w:p>
        </w:tc>
        <w:tc>
          <w:tcPr>
            <w:tcW w:w="1202" w:type="dxa"/>
          </w:tcPr>
          <w:p w14:paraId="2372CE7D" w14:textId="5B2CB3E4"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17(100)</w:t>
            </w:r>
          </w:p>
        </w:tc>
      </w:tr>
      <w:tr w:rsidR="003205C7" w14:paraId="2EFCF152" w14:textId="4D7E9967" w:rsidTr="0076555B">
        <w:tc>
          <w:tcPr>
            <w:tcW w:w="1250" w:type="dxa"/>
          </w:tcPr>
          <w:p w14:paraId="7037D6D5"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High</w:t>
            </w:r>
          </w:p>
        </w:tc>
        <w:tc>
          <w:tcPr>
            <w:tcW w:w="1211" w:type="dxa"/>
          </w:tcPr>
          <w:p w14:paraId="2939A16A"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54–80</w:t>
            </w:r>
          </w:p>
        </w:tc>
        <w:tc>
          <w:tcPr>
            <w:tcW w:w="997" w:type="dxa"/>
          </w:tcPr>
          <w:p w14:paraId="22F2390D" w14:textId="6CFFBA6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82" w:type="dxa"/>
          </w:tcPr>
          <w:p w14:paraId="41835D85" w14:textId="0048BC1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97" w:type="dxa"/>
          </w:tcPr>
          <w:p w14:paraId="67A7A130" w14:textId="1586F0BB"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82" w:type="dxa"/>
          </w:tcPr>
          <w:p w14:paraId="24DFA188" w14:textId="1CF5380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97" w:type="dxa"/>
          </w:tcPr>
          <w:p w14:paraId="324491E2" w14:textId="7C19177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1007" w:type="dxa"/>
          </w:tcPr>
          <w:p w14:paraId="0B9D5CC7" w14:textId="43FF9D23"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1202" w:type="dxa"/>
          </w:tcPr>
          <w:p w14:paraId="0CCFEDD8" w14:textId="41ED4F1C"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00</w:t>
            </w:r>
          </w:p>
        </w:tc>
      </w:tr>
      <w:tr w:rsidR="003205C7" w14:paraId="0C434ED6" w14:textId="72474D10" w:rsidTr="0076555B">
        <w:tc>
          <w:tcPr>
            <w:tcW w:w="1250" w:type="dxa"/>
          </w:tcPr>
          <w:p w14:paraId="38C2A504"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Total</w:t>
            </w:r>
          </w:p>
        </w:tc>
        <w:tc>
          <w:tcPr>
            <w:tcW w:w="1211" w:type="dxa"/>
          </w:tcPr>
          <w:p w14:paraId="1E415635"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w:t>
            </w:r>
          </w:p>
        </w:tc>
        <w:tc>
          <w:tcPr>
            <w:tcW w:w="997" w:type="dxa"/>
          </w:tcPr>
          <w:p w14:paraId="4B94FB3B" w14:textId="0DFF23B2"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w:t>
            </w:r>
          </w:p>
        </w:tc>
        <w:tc>
          <w:tcPr>
            <w:tcW w:w="982" w:type="dxa"/>
          </w:tcPr>
          <w:p w14:paraId="2D76E751" w14:textId="5FE64CDB"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43.3</w:t>
            </w:r>
          </w:p>
        </w:tc>
        <w:tc>
          <w:tcPr>
            <w:tcW w:w="997" w:type="dxa"/>
          </w:tcPr>
          <w:p w14:paraId="4594E2F2" w14:textId="49A99C2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12</w:t>
            </w:r>
          </w:p>
        </w:tc>
        <w:tc>
          <w:tcPr>
            <w:tcW w:w="982" w:type="dxa"/>
          </w:tcPr>
          <w:p w14:paraId="7BD3338E" w14:textId="235729B4"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40.0</w:t>
            </w:r>
          </w:p>
        </w:tc>
        <w:tc>
          <w:tcPr>
            <w:tcW w:w="997" w:type="dxa"/>
          </w:tcPr>
          <w:p w14:paraId="706DC006" w14:textId="29E3212B"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05</w:t>
            </w:r>
          </w:p>
        </w:tc>
        <w:tc>
          <w:tcPr>
            <w:tcW w:w="1007" w:type="dxa"/>
          </w:tcPr>
          <w:p w14:paraId="3D6CA6AF" w14:textId="7FE7D7BB"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16.7</w:t>
            </w:r>
          </w:p>
        </w:tc>
        <w:tc>
          <w:tcPr>
            <w:tcW w:w="1202" w:type="dxa"/>
          </w:tcPr>
          <w:p w14:paraId="34644D55" w14:textId="3984AE2C" w:rsidR="003205C7" w:rsidRDefault="0076555B" w:rsidP="00DF2E96">
            <w:pPr>
              <w:jc w:val="center"/>
              <w:rPr>
                <w:rFonts w:ascii="Times New Roman" w:hAnsi="Times New Roman" w:cs="Times New Roman"/>
                <w:sz w:val="24"/>
                <w:szCs w:val="24"/>
              </w:rPr>
            </w:pPr>
            <w:r>
              <w:rPr>
                <w:rFonts w:ascii="Times New Roman" w:hAnsi="Times New Roman" w:cs="Times New Roman"/>
                <w:sz w:val="24"/>
                <w:szCs w:val="24"/>
              </w:rPr>
              <w:t>30(100)</w:t>
            </w:r>
          </w:p>
        </w:tc>
      </w:tr>
    </w:tbl>
    <w:p w14:paraId="5D37CB47" w14:textId="77777777" w:rsidR="00D53A39" w:rsidRDefault="00D53A39" w:rsidP="00D53A39">
      <w:pPr>
        <w:spacing w:before="58" w:after="202"/>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Note. </w:t>
      </w:r>
      <w:r>
        <w:rPr>
          <w:rFonts w:ascii="Times New Roman" w:eastAsia="Times New Roman" w:hAnsi="Times New Roman" w:cs="Times New Roman"/>
          <w:color w:val="000000"/>
          <w:sz w:val="20"/>
          <w:szCs w:val="20"/>
        </w:rPr>
        <w:t>Percentages computed within each age group (row percentages). n = number of students in each CT level by age group.</w:t>
      </w:r>
    </w:p>
    <w:p w14:paraId="51155164" w14:textId="3C005B3F" w:rsidR="00AF5F05" w:rsidRPr="00AF5F05" w:rsidRDefault="00AF5F05" w:rsidP="00AB6421">
      <w:pPr>
        <w:spacing w:line="360" w:lineRule="auto"/>
        <w:ind w:firstLine="720"/>
        <w:jc w:val="both"/>
        <w:rPr>
          <w:rFonts w:ascii="Times New Roman" w:hAnsi="Times New Roman" w:cs="Times New Roman"/>
          <w:sz w:val="24"/>
          <w:szCs w:val="24"/>
        </w:rPr>
      </w:pPr>
      <w:r w:rsidRPr="00AF5F05">
        <w:rPr>
          <w:rFonts w:ascii="Times New Roman" w:hAnsi="Times New Roman" w:cs="Times New Roman"/>
          <w:sz w:val="24"/>
          <w:szCs w:val="24"/>
        </w:rPr>
        <w:lastRenderedPageBreak/>
        <w:t xml:space="preserve">Table 5 presents the age-wise distribution of computational thinking (CT) levels among </w:t>
      </w:r>
      <w:r w:rsidR="006C7633">
        <w:rPr>
          <w:rFonts w:ascii="Times New Roman" w:hAnsi="Times New Roman" w:cs="Times New Roman"/>
          <w:sz w:val="24"/>
          <w:szCs w:val="24"/>
        </w:rPr>
        <w:t xml:space="preserve">Secondary </w:t>
      </w:r>
      <w:r w:rsidRPr="00AF5F05">
        <w:rPr>
          <w:rFonts w:ascii="Times New Roman" w:hAnsi="Times New Roman" w:cs="Times New Roman"/>
          <w:sz w:val="24"/>
          <w:szCs w:val="24"/>
        </w:rPr>
        <w:t xml:space="preserve">students. The findings indicate that among the students aged 13 years, 46.2% belonged to the low CT level and 41.2% belonged to the medium CT level, while none of the students were categorized under the high CT level. Similarly, among 14-year-old students, 46.2% were found in the low CT category and 35.3% were in the medium CT category, with no students under the </w:t>
      </w:r>
      <w:r w:rsidR="00C0731F" w:rsidRPr="00AF5F05">
        <w:rPr>
          <w:rFonts w:ascii="Times New Roman" w:hAnsi="Times New Roman" w:cs="Times New Roman"/>
          <w:sz w:val="24"/>
          <w:szCs w:val="24"/>
        </w:rPr>
        <w:t>high-level</w:t>
      </w:r>
      <w:r w:rsidRPr="00AF5F05">
        <w:rPr>
          <w:rFonts w:ascii="Times New Roman" w:hAnsi="Times New Roman" w:cs="Times New Roman"/>
          <w:sz w:val="24"/>
          <w:szCs w:val="24"/>
        </w:rPr>
        <w:t xml:space="preserve"> category. In the case of 15-year-old students, 7.7% belonged to the low CT level and 23.5% belonged to the medium CT level, whereas no students were identified under the high CT level.</w:t>
      </w:r>
    </w:p>
    <w:p w14:paraId="3A14F55A" w14:textId="357DE69C" w:rsidR="00AF5F05" w:rsidRDefault="00AF5F05" w:rsidP="00AB6421">
      <w:pPr>
        <w:spacing w:line="360" w:lineRule="auto"/>
        <w:ind w:firstLine="720"/>
        <w:jc w:val="both"/>
        <w:rPr>
          <w:rFonts w:ascii="Times New Roman" w:hAnsi="Times New Roman" w:cs="Times New Roman"/>
          <w:sz w:val="24"/>
          <w:szCs w:val="24"/>
        </w:rPr>
      </w:pPr>
      <w:r w:rsidRPr="00AF5F05">
        <w:rPr>
          <w:rFonts w:ascii="Times New Roman" w:hAnsi="Times New Roman" w:cs="Times New Roman"/>
          <w:sz w:val="24"/>
          <w:szCs w:val="24"/>
        </w:rPr>
        <w:t xml:space="preserve">The results further </w:t>
      </w:r>
      <w:r w:rsidR="00C05F0B" w:rsidRPr="00AF5F05">
        <w:rPr>
          <w:rFonts w:ascii="Times New Roman" w:hAnsi="Times New Roman" w:cs="Times New Roman"/>
          <w:sz w:val="24"/>
          <w:szCs w:val="24"/>
        </w:rPr>
        <w:t>reveal</w:t>
      </w:r>
      <w:r w:rsidR="0010085A">
        <w:rPr>
          <w:rFonts w:ascii="Times New Roman" w:hAnsi="Times New Roman" w:cs="Times New Roman"/>
          <w:sz w:val="24"/>
          <w:szCs w:val="24"/>
        </w:rPr>
        <w:t xml:space="preserve"> </w:t>
      </w:r>
      <w:r w:rsidRPr="00AF5F05">
        <w:rPr>
          <w:rFonts w:ascii="Times New Roman" w:hAnsi="Times New Roman" w:cs="Times New Roman"/>
          <w:sz w:val="24"/>
          <w:szCs w:val="24"/>
        </w:rPr>
        <w:t>that students a</w:t>
      </w:r>
      <w:r w:rsidR="00C05F0B">
        <w:rPr>
          <w:rFonts w:ascii="Times New Roman" w:hAnsi="Times New Roman" w:cs="Times New Roman"/>
          <w:sz w:val="24"/>
          <w:szCs w:val="24"/>
        </w:rPr>
        <w:t xml:space="preserve">mong </w:t>
      </w:r>
      <w:r w:rsidRPr="00AF5F05">
        <w:rPr>
          <w:rFonts w:ascii="Times New Roman" w:hAnsi="Times New Roman" w:cs="Times New Roman"/>
          <w:sz w:val="24"/>
          <w:szCs w:val="24"/>
        </w:rPr>
        <w:t xml:space="preserve">all age groups were predominantly distributed between low and medium computational thinking levels, and </w:t>
      </w:r>
      <w:r w:rsidR="00C05F0B">
        <w:rPr>
          <w:rFonts w:ascii="Times New Roman" w:hAnsi="Times New Roman" w:cs="Times New Roman"/>
          <w:sz w:val="24"/>
          <w:szCs w:val="24"/>
        </w:rPr>
        <w:t>in contrast, surprisingly,</w:t>
      </w:r>
      <w:r w:rsidR="00C05F0B" w:rsidRPr="00AF5F05">
        <w:rPr>
          <w:rFonts w:ascii="Times New Roman" w:hAnsi="Times New Roman" w:cs="Times New Roman"/>
          <w:sz w:val="24"/>
          <w:szCs w:val="24"/>
        </w:rPr>
        <w:t xml:space="preserve"> no</w:t>
      </w:r>
      <w:r w:rsidRPr="00AF5F05">
        <w:rPr>
          <w:rFonts w:ascii="Times New Roman" w:hAnsi="Times New Roman" w:cs="Times New Roman"/>
          <w:sz w:val="24"/>
          <w:szCs w:val="24"/>
        </w:rPr>
        <w:t xml:space="preserve"> student attained the high computational thinking category. Among the three age groups, 15-year-old students showed relatively better representation in the medium CT level compared to the younger age groups</w:t>
      </w:r>
      <w:r w:rsidR="0048480A">
        <w:rPr>
          <w:rFonts w:ascii="Times New Roman" w:hAnsi="Times New Roman" w:cs="Times New Roman"/>
          <w:sz w:val="24"/>
          <w:szCs w:val="24"/>
        </w:rPr>
        <w:t xml:space="preserve"> compare with the 13 and 14 age groups. </w:t>
      </w:r>
    </w:p>
    <w:p w14:paraId="5C705434" w14:textId="77777777" w:rsidR="0042597A" w:rsidRDefault="00A53ECA" w:rsidP="00CC45CE">
      <w:pPr>
        <w:spacing w:line="360" w:lineRule="auto"/>
        <w:jc w:val="center"/>
        <w:rPr>
          <w:rFonts w:ascii="Times New Roman" w:hAnsi="Times New Roman" w:cs="Times New Roman"/>
          <w:sz w:val="24"/>
          <w:szCs w:val="24"/>
        </w:rPr>
      </w:pPr>
      <w:r>
        <w:rPr>
          <w:noProof/>
        </w:rPr>
        <w:drawing>
          <wp:inline distT="0" distB="0" distL="0" distR="0" wp14:anchorId="2472F6B3" wp14:editId="292F1D33">
            <wp:extent cx="4638675" cy="2457450"/>
            <wp:effectExtent l="0" t="0" r="9525" b="0"/>
            <wp:docPr id="9" name="Chart 9">
              <a:extLst xmlns:a="http://schemas.openxmlformats.org/drawingml/2006/main">
                <a:ext uri="{FF2B5EF4-FFF2-40B4-BE49-F238E27FC236}">
                  <a16:creationId xmlns:a16="http://schemas.microsoft.com/office/drawing/2014/main" id="{1C5532F7-00AE-1271-113E-064FED949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D66748" w14:textId="55799CDD" w:rsidR="0042597A" w:rsidRPr="00357E91" w:rsidRDefault="0042597A" w:rsidP="0042597A">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Figure 4: Age wise Distribution of CT Levels.</w:t>
      </w:r>
    </w:p>
    <w:p w14:paraId="65BD81E6" w14:textId="74B963D7" w:rsidR="00612281" w:rsidRDefault="00612281" w:rsidP="00C865A8">
      <w:pPr>
        <w:spacing w:before="173" w:after="58"/>
        <w:jc w:val="center"/>
      </w:pPr>
      <w:r w:rsidRPr="006D74EA">
        <w:rPr>
          <w:rFonts w:ascii="Times New Roman" w:hAnsi="Times New Roman" w:cs="Times New Roman"/>
          <w:b/>
          <w:bCs/>
          <w:sz w:val="24"/>
          <w:szCs w:val="24"/>
        </w:rPr>
        <w:t>Table 6:</w:t>
      </w:r>
      <w:r>
        <w:rPr>
          <w:rFonts w:ascii="Times New Roman" w:hAnsi="Times New Roman" w:cs="Times New Roman"/>
          <w:sz w:val="24"/>
          <w:szCs w:val="24"/>
        </w:rPr>
        <w:t xml:space="preserve"> </w:t>
      </w:r>
      <w:r>
        <w:rPr>
          <w:rFonts w:ascii="Times New Roman" w:eastAsia="Times New Roman" w:hAnsi="Times New Roman" w:cs="Times New Roman"/>
          <w:b/>
          <w:bCs/>
          <w:color w:val="000000"/>
        </w:rPr>
        <w:t>Mean CT Score by Age Group</w:t>
      </w:r>
    </w:p>
    <w:tbl>
      <w:tblPr>
        <w:tblStyle w:val="TableGrid"/>
        <w:tblW w:w="0" w:type="auto"/>
        <w:jc w:val="center"/>
        <w:tblLook w:val="04A0" w:firstRow="1" w:lastRow="0" w:firstColumn="1" w:lastColumn="0" w:noHBand="0" w:noVBand="1"/>
      </w:tblPr>
      <w:tblGrid>
        <w:gridCol w:w="1043"/>
        <w:gridCol w:w="456"/>
        <w:gridCol w:w="2006"/>
        <w:gridCol w:w="1080"/>
        <w:gridCol w:w="916"/>
      </w:tblGrid>
      <w:tr w:rsidR="00AA5D1C" w14:paraId="44FE1FC3" w14:textId="77777777" w:rsidTr="00DE07CF">
        <w:trPr>
          <w:trHeight w:val="512"/>
          <w:jc w:val="center"/>
        </w:trPr>
        <w:tc>
          <w:tcPr>
            <w:tcW w:w="0" w:type="auto"/>
          </w:tcPr>
          <w:p w14:paraId="25B6A4A9" w14:textId="40B5D8BE"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Age </w:t>
            </w:r>
          </w:p>
        </w:tc>
        <w:tc>
          <w:tcPr>
            <w:tcW w:w="0" w:type="auto"/>
          </w:tcPr>
          <w:p w14:paraId="6AD7A3DC"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n</w:t>
            </w:r>
          </w:p>
        </w:tc>
        <w:tc>
          <w:tcPr>
            <w:tcW w:w="2006" w:type="dxa"/>
          </w:tcPr>
          <w:p w14:paraId="6DB61F29"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Mean Score (out of 80)</w:t>
            </w:r>
          </w:p>
        </w:tc>
        <w:tc>
          <w:tcPr>
            <w:tcW w:w="1080" w:type="dxa"/>
          </w:tcPr>
          <w:p w14:paraId="7ED66BFD"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Mean %</w:t>
            </w:r>
          </w:p>
        </w:tc>
        <w:tc>
          <w:tcPr>
            <w:tcW w:w="916" w:type="dxa"/>
          </w:tcPr>
          <w:p w14:paraId="02F9D21C"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SD</w:t>
            </w:r>
          </w:p>
        </w:tc>
      </w:tr>
      <w:tr w:rsidR="00AA5D1C" w14:paraId="7E4DB4FD" w14:textId="77777777" w:rsidTr="00DE07CF">
        <w:trPr>
          <w:jc w:val="center"/>
        </w:trPr>
        <w:tc>
          <w:tcPr>
            <w:tcW w:w="0" w:type="auto"/>
          </w:tcPr>
          <w:p w14:paraId="64156065" w14:textId="3663F746"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13 years </w:t>
            </w:r>
          </w:p>
        </w:tc>
        <w:tc>
          <w:tcPr>
            <w:tcW w:w="0" w:type="auto"/>
          </w:tcPr>
          <w:p w14:paraId="231FEA65" w14:textId="46B251D1"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13</w:t>
            </w:r>
          </w:p>
        </w:tc>
        <w:tc>
          <w:tcPr>
            <w:tcW w:w="2006" w:type="dxa"/>
          </w:tcPr>
          <w:p w14:paraId="1A6FE728" w14:textId="2A4054C1"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27.69</w:t>
            </w:r>
          </w:p>
        </w:tc>
        <w:tc>
          <w:tcPr>
            <w:tcW w:w="1080" w:type="dxa"/>
          </w:tcPr>
          <w:p w14:paraId="5203A16D" w14:textId="5F6E5AE2" w:rsidR="006D74EA" w:rsidRPr="009E35D8" w:rsidRDefault="0094418F" w:rsidP="004F0D72">
            <w:pPr>
              <w:jc w:val="center"/>
              <w:rPr>
                <w:rFonts w:ascii="Times New Roman" w:hAnsi="Times New Roman" w:cs="Times New Roman"/>
                <w:sz w:val="24"/>
                <w:szCs w:val="24"/>
              </w:rPr>
            </w:pPr>
            <w:r>
              <w:rPr>
                <w:rFonts w:ascii="Times New Roman" w:hAnsi="Times New Roman" w:cs="Times New Roman"/>
                <w:sz w:val="24"/>
                <w:szCs w:val="24"/>
              </w:rPr>
              <w:t>34.61</w:t>
            </w:r>
          </w:p>
        </w:tc>
        <w:tc>
          <w:tcPr>
            <w:tcW w:w="916" w:type="dxa"/>
          </w:tcPr>
          <w:p w14:paraId="7054BFC4" w14:textId="53DE5AB7"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7.55</w:t>
            </w:r>
          </w:p>
        </w:tc>
      </w:tr>
      <w:tr w:rsidR="00AA5D1C" w14:paraId="06860020" w14:textId="77777777" w:rsidTr="00DE07CF">
        <w:trPr>
          <w:jc w:val="center"/>
        </w:trPr>
        <w:tc>
          <w:tcPr>
            <w:tcW w:w="0" w:type="auto"/>
          </w:tcPr>
          <w:p w14:paraId="0625589B" w14:textId="62E4D1AB"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14 Years </w:t>
            </w:r>
          </w:p>
        </w:tc>
        <w:tc>
          <w:tcPr>
            <w:tcW w:w="0" w:type="auto"/>
          </w:tcPr>
          <w:p w14:paraId="61C4EE2D" w14:textId="2140B38A"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12</w:t>
            </w:r>
          </w:p>
        </w:tc>
        <w:tc>
          <w:tcPr>
            <w:tcW w:w="2006" w:type="dxa"/>
          </w:tcPr>
          <w:p w14:paraId="5AF21335" w14:textId="1EA62DDB"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27.50</w:t>
            </w:r>
          </w:p>
        </w:tc>
        <w:tc>
          <w:tcPr>
            <w:tcW w:w="1080" w:type="dxa"/>
          </w:tcPr>
          <w:p w14:paraId="13D7B073" w14:textId="18FD00FB" w:rsidR="006D74EA" w:rsidRPr="009E35D8" w:rsidRDefault="00405627" w:rsidP="004F0D72">
            <w:pPr>
              <w:jc w:val="center"/>
              <w:rPr>
                <w:rFonts w:ascii="Times New Roman" w:hAnsi="Times New Roman" w:cs="Times New Roman"/>
                <w:sz w:val="24"/>
                <w:szCs w:val="24"/>
              </w:rPr>
            </w:pPr>
            <w:r>
              <w:rPr>
                <w:rFonts w:ascii="Times New Roman" w:hAnsi="Times New Roman" w:cs="Times New Roman"/>
                <w:sz w:val="24"/>
                <w:szCs w:val="24"/>
              </w:rPr>
              <w:t>34.37</w:t>
            </w:r>
          </w:p>
        </w:tc>
        <w:tc>
          <w:tcPr>
            <w:tcW w:w="916" w:type="dxa"/>
          </w:tcPr>
          <w:p w14:paraId="5498D73C" w14:textId="0854CF6B"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6.24</w:t>
            </w:r>
          </w:p>
        </w:tc>
      </w:tr>
      <w:tr w:rsidR="004556D0" w14:paraId="357EBF14" w14:textId="77777777" w:rsidTr="00DE07CF">
        <w:trPr>
          <w:jc w:val="center"/>
        </w:trPr>
        <w:tc>
          <w:tcPr>
            <w:tcW w:w="0" w:type="auto"/>
          </w:tcPr>
          <w:p w14:paraId="22835507" w14:textId="16D6D883" w:rsidR="004556D0"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15 years </w:t>
            </w:r>
          </w:p>
        </w:tc>
        <w:tc>
          <w:tcPr>
            <w:tcW w:w="0" w:type="auto"/>
          </w:tcPr>
          <w:p w14:paraId="2361A1EB" w14:textId="592208E2" w:rsidR="004556D0"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05</w:t>
            </w:r>
          </w:p>
        </w:tc>
        <w:tc>
          <w:tcPr>
            <w:tcW w:w="2006" w:type="dxa"/>
          </w:tcPr>
          <w:p w14:paraId="738D8CEF" w14:textId="6DF3E246" w:rsidR="004556D0"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30.40</w:t>
            </w:r>
          </w:p>
        </w:tc>
        <w:tc>
          <w:tcPr>
            <w:tcW w:w="1080" w:type="dxa"/>
          </w:tcPr>
          <w:p w14:paraId="1864A17E" w14:textId="4F0BC6F0" w:rsidR="004556D0" w:rsidRPr="009E35D8" w:rsidRDefault="000403EE" w:rsidP="004F0D72">
            <w:pPr>
              <w:jc w:val="center"/>
              <w:rPr>
                <w:rFonts w:ascii="Times New Roman" w:hAnsi="Times New Roman" w:cs="Times New Roman"/>
                <w:sz w:val="24"/>
                <w:szCs w:val="24"/>
              </w:rPr>
            </w:pPr>
            <w:r>
              <w:rPr>
                <w:rFonts w:ascii="Times New Roman" w:hAnsi="Times New Roman" w:cs="Times New Roman"/>
                <w:sz w:val="24"/>
                <w:szCs w:val="24"/>
              </w:rPr>
              <w:t>38.00</w:t>
            </w:r>
          </w:p>
        </w:tc>
        <w:tc>
          <w:tcPr>
            <w:tcW w:w="916" w:type="dxa"/>
          </w:tcPr>
          <w:p w14:paraId="67940B34" w14:textId="422113FD" w:rsidR="004556D0"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4.15</w:t>
            </w:r>
          </w:p>
        </w:tc>
      </w:tr>
      <w:tr w:rsidR="00AA5D1C" w14:paraId="2152461E" w14:textId="77777777" w:rsidTr="00DE07CF">
        <w:trPr>
          <w:jc w:val="center"/>
        </w:trPr>
        <w:tc>
          <w:tcPr>
            <w:tcW w:w="0" w:type="auto"/>
          </w:tcPr>
          <w:p w14:paraId="5DBF919B"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color w:val="000000"/>
                <w:sz w:val="24"/>
                <w:szCs w:val="24"/>
              </w:rPr>
              <w:t>Total</w:t>
            </w:r>
          </w:p>
        </w:tc>
        <w:tc>
          <w:tcPr>
            <w:tcW w:w="0" w:type="auto"/>
          </w:tcPr>
          <w:p w14:paraId="1941DA2D" w14:textId="77777777" w:rsidR="006D74EA" w:rsidRPr="009E35D8" w:rsidRDefault="006D74EA" w:rsidP="004F0D72">
            <w:pPr>
              <w:jc w:val="center"/>
              <w:rPr>
                <w:rFonts w:ascii="Times New Roman" w:hAnsi="Times New Roman" w:cs="Times New Roman"/>
                <w:sz w:val="24"/>
                <w:szCs w:val="24"/>
              </w:rPr>
            </w:pPr>
            <w:r>
              <w:rPr>
                <w:rFonts w:ascii="Times New Roman" w:hAnsi="Times New Roman" w:cs="Times New Roman"/>
                <w:sz w:val="24"/>
                <w:szCs w:val="24"/>
              </w:rPr>
              <w:t>30</w:t>
            </w:r>
          </w:p>
        </w:tc>
        <w:tc>
          <w:tcPr>
            <w:tcW w:w="2006" w:type="dxa"/>
          </w:tcPr>
          <w:p w14:paraId="0E5BB549" w14:textId="4990AAC4"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28.06</w:t>
            </w:r>
          </w:p>
        </w:tc>
        <w:tc>
          <w:tcPr>
            <w:tcW w:w="1080" w:type="dxa"/>
          </w:tcPr>
          <w:p w14:paraId="6F466930" w14:textId="4E4FBE55" w:rsidR="006D74EA" w:rsidRPr="009E35D8" w:rsidRDefault="00A17719" w:rsidP="004F0D72">
            <w:pPr>
              <w:jc w:val="center"/>
              <w:rPr>
                <w:rFonts w:ascii="Times New Roman" w:hAnsi="Times New Roman" w:cs="Times New Roman"/>
                <w:sz w:val="24"/>
                <w:szCs w:val="24"/>
              </w:rPr>
            </w:pPr>
            <w:r>
              <w:rPr>
                <w:rFonts w:ascii="Times New Roman" w:hAnsi="Times New Roman" w:cs="Times New Roman"/>
                <w:sz w:val="24"/>
                <w:szCs w:val="24"/>
              </w:rPr>
              <w:t>35.07</w:t>
            </w:r>
          </w:p>
        </w:tc>
        <w:tc>
          <w:tcPr>
            <w:tcW w:w="916" w:type="dxa"/>
          </w:tcPr>
          <w:p w14:paraId="7B3E5510" w14:textId="69036F52"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6.47</w:t>
            </w:r>
          </w:p>
        </w:tc>
      </w:tr>
    </w:tbl>
    <w:p w14:paraId="028D6FE1" w14:textId="0F7FFBFB" w:rsidR="00525318" w:rsidRDefault="00E75D31" w:rsidP="00525318">
      <w:pPr>
        <w:spacing w:before="58" w:after="202"/>
      </w:pPr>
      <w:r>
        <w:rPr>
          <w:rFonts w:ascii="Times New Roman" w:eastAsia="Times New Roman" w:hAnsi="Times New Roman" w:cs="Times New Roman"/>
          <w:i/>
          <w:iCs/>
          <w:color w:val="000000"/>
          <w:sz w:val="20"/>
          <w:szCs w:val="20"/>
        </w:rPr>
        <w:tab/>
      </w:r>
      <w:r w:rsidR="00525318">
        <w:rPr>
          <w:rFonts w:ascii="Times New Roman" w:eastAsia="Times New Roman" w:hAnsi="Times New Roman" w:cs="Times New Roman"/>
          <w:i/>
          <w:iCs/>
          <w:color w:val="000000"/>
          <w:sz w:val="20"/>
          <w:szCs w:val="20"/>
        </w:rPr>
        <w:t xml:space="preserve">Note. </w:t>
      </w:r>
      <w:r w:rsidR="00525318">
        <w:rPr>
          <w:rFonts w:ascii="Times New Roman" w:eastAsia="Times New Roman" w:hAnsi="Times New Roman" w:cs="Times New Roman"/>
          <w:color w:val="000000"/>
          <w:sz w:val="20"/>
          <w:szCs w:val="20"/>
        </w:rPr>
        <w:t xml:space="preserve">A developmental trend is expected: Mean % increases from 13 </w:t>
      </w:r>
      <w:r w:rsidR="00A50F10">
        <w:rPr>
          <w:rFonts w:ascii="Times New Roman" w:eastAsia="Times New Roman" w:hAnsi="Times New Roman" w:cs="Times New Roman"/>
          <w:color w:val="000000"/>
          <w:sz w:val="20"/>
          <w:szCs w:val="20"/>
        </w:rPr>
        <w:t>years,</w:t>
      </w:r>
      <w:r w:rsidR="00525318">
        <w:rPr>
          <w:rFonts w:ascii="Times New Roman" w:eastAsia="Times New Roman" w:hAnsi="Times New Roman" w:cs="Times New Roman"/>
          <w:color w:val="000000"/>
          <w:sz w:val="20"/>
          <w:szCs w:val="20"/>
        </w:rPr>
        <w:t xml:space="preserve"> 14 years </w:t>
      </w:r>
      <w:r w:rsidR="00A50F10">
        <w:rPr>
          <w:rFonts w:ascii="Times New Roman" w:eastAsia="Times New Roman" w:hAnsi="Times New Roman" w:cs="Times New Roman"/>
          <w:color w:val="000000"/>
          <w:sz w:val="20"/>
          <w:szCs w:val="20"/>
        </w:rPr>
        <w:t xml:space="preserve">to </w:t>
      </w:r>
      <w:r w:rsidR="00525318">
        <w:rPr>
          <w:rFonts w:ascii="Times New Roman" w:eastAsia="Times New Roman" w:hAnsi="Times New Roman" w:cs="Times New Roman"/>
          <w:color w:val="000000"/>
          <w:sz w:val="20"/>
          <w:szCs w:val="20"/>
        </w:rPr>
        <w:t>15 years.</w:t>
      </w:r>
    </w:p>
    <w:p w14:paraId="729E9BA7" w14:textId="073814C9" w:rsidR="00AF5F05" w:rsidRPr="00AF5F05" w:rsidRDefault="00AF5F05" w:rsidP="00732F86">
      <w:pPr>
        <w:spacing w:line="360" w:lineRule="auto"/>
        <w:ind w:firstLine="720"/>
        <w:jc w:val="both"/>
        <w:rPr>
          <w:rFonts w:ascii="Times New Roman" w:hAnsi="Times New Roman" w:cs="Times New Roman"/>
          <w:sz w:val="24"/>
          <w:szCs w:val="24"/>
        </w:rPr>
      </w:pPr>
      <w:r w:rsidRPr="00AF5F05">
        <w:rPr>
          <w:rFonts w:ascii="Times New Roman" w:hAnsi="Times New Roman" w:cs="Times New Roman"/>
          <w:sz w:val="24"/>
          <w:szCs w:val="24"/>
        </w:rPr>
        <w:lastRenderedPageBreak/>
        <w:t xml:space="preserve">Table 6 presents the mean computational thinking scores of students based on age groups. The findings show that 15-year-old students obtained the highest mean CT score M = 30.40, SD = 4.15, followed by 13-year-old students M = 27.69, SD = 7.55 and 14-year-old students </w:t>
      </w:r>
      <w:r w:rsidR="009708E2">
        <w:rPr>
          <w:rFonts w:ascii="Times New Roman" w:hAnsi="Times New Roman" w:cs="Times New Roman"/>
          <w:sz w:val="24"/>
          <w:szCs w:val="24"/>
        </w:rPr>
        <w:t xml:space="preserve">of </w:t>
      </w:r>
      <w:r w:rsidRPr="00AF5F05">
        <w:rPr>
          <w:rFonts w:ascii="Times New Roman" w:hAnsi="Times New Roman" w:cs="Times New Roman"/>
          <w:sz w:val="24"/>
          <w:szCs w:val="24"/>
        </w:rPr>
        <w:t>M = 27.50, SD = 6.24. The mean percentage scores also indicate that 15-year-old students achieved comparatively better computational thinking performance 38.00% than students aged 13 years 34.61</w:t>
      </w:r>
      <w:r w:rsidR="00C34807" w:rsidRPr="00AF5F05">
        <w:rPr>
          <w:rFonts w:ascii="Times New Roman" w:hAnsi="Times New Roman" w:cs="Times New Roman"/>
          <w:sz w:val="24"/>
          <w:szCs w:val="24"/>
        </w:rPr>
        <w:t>%</w:t>
      </w:r>
      <w:r w:rsidR="00C34807">
        <w:rPr>
          <w:rFonts w:ascii="Times New Roman" w:hAnsi="Times New Roman" w:cs="Times New Roman"/>
          <w:sz w:val="24"/>
          <w:szCs w:val="24"/>
        </w:rPr>
        <w:t xml:space="preserve"> </w:t>
      </w:r>
      <w:r w:rsidR="00C34807" w:rsidRPr="00AF5F05">
        <w:rPr>
          <w:rFonts w:ascii="Times New Roman" w:hAnsi="Times New Roman" w:cs="Times New Roman"/>
          <w:sz w:val="24"/>
          <w:szCs w:val="24"/>
        </w:rPr>
        <w:t>and</w:t>
      </w:r>
      <w:r w:rsidRPr="00AF5F05">
        <w:rPr>
          <w:rFonts w:ascii="Times New Roman" w:hAnsi="Times New Roman" w:cs="Times New Roman"/>
          <w:sz w:val="24"/>
          <w:szCs w:val="24"/>
        </w:rPr>
        <w:t xml:space="preserve"> 14 years 34.37%.</w:t>
      </w:r>
    </w:p>
    <w:p w14:paraId="49C65B44" w14:textId="77777777" w:rsidR="00AF5F05" w:rsidRDefault="00AF5F05" w:rsidP="00732F86">
      <w:pPr>
        <w:spacing w:line="360" w:lineRule="auto"/>
        <w:ind w:firstLine="720"/>
        <w:jc w:val="both"/>
        <w:rPr>
          <w:rFonts w:ascii="Times New Roman" w:hAnsi="Times New Roman" w:cs="Times New Roman"/>
          <w:sz w:val="24"/>
          <w:szCs w:val="24"/>
        </w:rPr>
      </w:pPr>
      <w:r w:rsidRPr="00AF5F05">
        <w:rPr>
          <w:rFonts w:ascii="Times New Roman" w:hAnsi="Times New Roman" w:cs="Times New Roman"/>
          <w:sz w:val="24"/>
          <w:szCs w:val="24"/>
        </w:rPr>
        <w:t>The overall mean computational thinking score of the students was found to be 28.06 with a standard deviation of 6.47, corresponding to a mean percentage of 35.07%. The findings suggest that computational thinking skills among the students were generally moderate, with slight differences observed across age groups. Older students demonstrated comparatively better computational thinking performance than younger students.</w:t>
      </w:r>
    </w:p>
    <w:p w14:paraId="763BD534" w14:textId="3F61A6C8" w:rsidR="00F11507" w:rsidRPr="00AF5F05" w:rsidRDefault="00F11507" w:rsidP="00F11507">
      <w:pPr>
        <w:spacing w:line="360" w:lineRule="auto"/>
        <w:jc w:val="center"/>
        <w:rPr>
          <w:rFonts w:ascii="Times New Roman" w:hAnsi="Times New Roman" w:cs="Times New Roman"/>
          <w:sz w:val="24"/>
          <w:szCs w:val="24"/>
        </w:rPr>
      </w:pPr>
      <w:r>
        <w:rPr>
          <w:noProof/>
        </w:rPr>
        <w:drawing>
          <wp:inline distT="0" distB="0" distL="0" distR="0" wp14:anchorId="2048237F" wp14:editId="649A7504">
            <wp:extent cx="4572000" cy="2743200"/>
            <wp:effectExtent l="0" t="0" r="0" b="0"/>
            <wp:docPr id="10" name="Chart 10">
              <a:extLst xmlns:a="http://schemas.openxmlformats.org/drawingml/2006/main">
                <a:ext uri="{FF2B5EF4-FFF2-40B4-BE49-F238E27FC236}">
                  <a16:creationId xmlns:a16="http://schemas.microsoft.com/office/drawing/2014/main" id="{CFF71EF8-6046-A646-6B2F-D4007509A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48F195" w14:textId="3583AB78" w:rsidR="008745BD" w:rsidRDefault="006E3E80" w:rsidP="008745B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E242F">
        <w:rPr>
          <w:rFonts w:ascii="Times New Roman" w:hAnsi="Times New Roman" w:cs="Times New Roman"/>
          <w:sz w:val="24"/>
          <w:szCs w:val="24"/>
        </w:rPr>
        <w:t xml:space="preserve">Figure </w:t>
      </w:r>
      <w:r w:rsidR="00E75D31">
        <w:rPr>
          <w:rFonts w:ascii="Times New Roman" w:hAnsi="Times New Roman" w:cs="Times New Roman"/>
          <w:sz w:val="24"/>
          <w:szCs w:val="24"/>
        </w:rPr>
        <w:t>5</w:t>
      </w:r>
      <w:r w:rsidR="003E242F">
        <w:rPr>
          <w:rFonts w:ascii="Times New Roman" w:hAnsi="Times New Roman" w:cs="Times New Roman"/>
          <w:sz w:val="24"/>
          <w:szCs w:val="24"/>
        </w:rPr>
        <w:t>:</w:t>
      </w:r>
      <w:r w:rsidR="00E75D31">
        <w:rPr>
          <w:rFonts w:ascii="Times New Roman" w:hAnsi="Times New Roman" w:cs="Times New Roman"/>
          <w:sz w:val="24"/>
          <w:szCs w:val="24"/>
        </w:rPr>
        <w:t xml:space="preserve"> </w:t>
      </w:r>
      <w:r w:rsidR="00F13566">
        <w:rPr>
          <w:rFonts w:ascii="Times New Roman" w:hAnsi="Times New Roman" w:cs="Times New Roman"/>
          <w:sz w:val="24"/>
          <w:szCs w:val="24"/>
        </w:rPr>
        <w:t>Mean CT Scores by Age wise.</w:t>
      </w:r>
    </w:p>
    <w:p w14:paraId="447C44B6" w14:textId="77777777" w:rsidR="000C389A" w:rsidRDefault="008745BD" w:rsidP="000C389A">
      <w:pPr>
        <w:rPr>
          <w:rFonts w:ascii="Times New Roman" w:hAnsi="Times New Roman" w:cs="Times New Roman"/>
          <w:b/>
          <w:bCs/>
          <w:sz w:val="24"/>
          <w:szCs w:val="24"/>
        </w:rPr>
      </w:pPr>
      <w:r w:rsidRPr="008745BD">
        <w:rPr>
          <w:rFonts w:ascii="Times New Roman" w:hAnsi="Times New Roman" w:cs="Times New Roman"/>
          <w:b/>
          <w:bCs/>
          <w:sz w:val="24"/>
          <w:szCs w:val="24"/>
        </w:rPr>
        <w:t>6.3</w:t>
      </w:r>
      <w:r>
        <w:rPr>
          <w:rFonts w:ascii="Times New Roman" w:hAnsi="Times New Roman" w:cs="Times New Roman"/>
          <w:sz w:val="24"/>
          <w:szCs w:val="24"/>
        </w:rPr>
        <w:t xml:space="preserve"> </w:t>
      </w:r>
      <w:r w:rsidRPr="008745BD">
        <w:rPr>
          <w:rFonts w:ascii="Times New Roman" w:hAnsi="Times New Roman" w:cs="Times New Roman"/>
          <w:b/>
          <w:bCs/>
          <w:sz w:val="24"/>
          <w:szCs w:val="24"/>
        </w:rPr>
        <w:t xml:space="preserve">Dimension wise CT analysis </w:t>
      </w:r>
    </w:p>
    <w:p w14:paraId="233B5107" w14:textId="22C89DAA" w:rsidR="002C2640" w:rsidRPr="000C389A" w:rsidRDefault="00DE7365" w:rsidP="00DC3A27">
      <w:pPr>
        <w:spacing w:line="360" w:lineRule="auto"/>
        <w:jc w:val="both"/>
        <w:rPr>
          <w:rFonts w:ascii="Times New Roman" w:hAnsi="Times New Roman" w:cs="Times New Roman"/>
          <w:sz w:val="28"/>
          <w:szCs w:val="28"/>
        </w:rPr>
      </w:pPr>
      <w:r w:rsidRPr="000C389A">
        <w:rPr>
          <w:rFonts w:ascii="Times New Roman" w:hAnsi="Times New Roman" w:cs="Times New Roman"/>
          <w:color w:val="000000"/>
          <w:sz w:val="24"/>
          <w:szCs w:val="24"/>
        </w:rPr>
        <w:t xml:space="preserve">The Computational thinking skill test comprised of four CT sub-skills such as Decomposition, Pattern recognition, abstraction and algorithms. Each dimension was assessed by 10 items </w:t>
      </w:r>
      <w:r w:rsidR="00F53A60" w:rsidRPr="000C389A">
        <w:rPr>
          <w:rFonts w:ascii="Times New Roman" w:hAnsi="Times New Roman" w:cs="Times New Roman"/>
          <w:color w:val="000000"/>
          <w:sz w:val="24"/>
          <w:szCs w:val="24"/>
        </w:rPr>
        <w:t xml:space="preserve">with the </w:t>
      </w:r>
      <w:r w:rsidRPr="000C389A">
        <w:rPr>
          <w:rFonts w:ascii="Times New Roman" w:hAnsi="Times New Roman" w:cs="Times New Roman"/>
          <w:color w:val="000000"/>
          <w:sz w:val="24"/>
          <w:szCs w:val="24"/>
        </w:rPr>
        <w:t xml:space="preserve">maximum </w:t>
      </w:r>
      <w:r w:rsidR="00F53A60" w:rsidRPr="000C389A">
        <w:rPr>
          <w:rFonts w:ascii="Times New Roman" w:hAnsi="Times New Roman" w:cs="Times New Roman"/>
          <w:color w:val="000000"/>
          <w:sz w:val="24"/>
          <w:szCs w:val="24"/>
        </w:rPr>
        <w:t>of 20</w:t>
      </w:r>
      <w:r w:rsidRPr="000C389A">
        <w:rPr>
          <w:rFonts w:ascii="Times New Roman" w:hAnsi="Times New Roman" w:cs="Times New Roman"/>
          <w:color w:val="000000"/>
          <w:sz w:val="24"/>
          <w:szCs w:val="24"/>
        </w:rPr>
        <w:t xml:space="preserve"> marks </w:t>
      </w:r>
      <w:r w:rsidR="00F53A60" w:rsidRPr="000C389A">
        <w:rPr>
          <w:rFonts w:ascii="Times New Roman" w:hAnsi="Times New Roman" w:cs="Times New Roman"/>
          <w:color w:val="000000"/>
          <w:sz w:val="24"/>
          <w:szCs w:val="24"/>
        </w:rPr>
        <w:t>for each dimension.</w:t>
      </w:r>
      <w:r w:rsidRPr="000C389A">
        <w:rPr>
          <w:rFonts w:ascii="Times New Roman" w:hAnsi="Times New Roman" w:cs="Times New Roman"/>
          <w:color w:val="000000"/>
          <w:sz w:val="24"/>
          <w:szCs w:val="24"/>
        </w:rPr>
        <w:t xml:space="preserve"> Table 4 presents the mean score, mean percentage, SD, and CT level for each </w:t>
      </w:r>
      <w:r w:rsidR="00F53A60" w:rsidRPr="000C389A">
        <w:rPr>
          <w:rFonts w:ascii="Times New Roman" w:hAnsi="Times New Roman" w:cs="Times New Roman"/>
          <w:color w:val="000000"/>
          <w:sz w:val="24"/>
          <w:szCs w:val="24"/>
        </w:rPr>
        <w:t xml:space="preserve">dimension. </w:t>
      </w:r>
    </w:p>
    <w:p w14:paraId="2C8612FF" w14:textId="77777777" w:rsidR="003C5E16" w:rsidRDefault="00E67A60" w:rsidP="00A56930">
      <w:pPr>
        <w:pStyle w:val="ListParagraph"/>
        <w:ind w:left="360"/>
        <w:rPr>
          <w:rFonts w:ascii="Times New Roman" w:hAnsi="Times New Roman" w:cs="Times New Roman"/>
          <w:sz w:val="24"/>
          <w:szCs w:val="24"/>
        </w:rPr>
      </w:pPr>
      <w:r>
        <w:rPr>
          <w:rFonts w:ascii="Times New Roman" w:hAnsi="Times New Roman" w:cs="Times New Roman"/>
          <w:sz w:val="24"/>
          <w:szCs w:val="24"/>
        </w:rPr>
        <w:tab/>
      </w:r>
    </w:p>
    <w:p w14:paraId="6B727BD7" w14:textId="77777777" w:rsidR="003C5E16" w:rsidRDefault="003C5E16" w:rsidP="00A56930">
      <w:pPr>
        <w:pStyle w:val="ListParagraph"/>
        <w:ind w:left="360"/>
        <w:rPr>
          <w:rFonts w:ascii="Times New Roman" w:hAnsi="Times New Roman" w:cs="Times New Roman"/>
          <w:sz w:val="24"/>
          <w:szCs w:val="24"/>
        </w:rPr>
      </w:pPr>
    </w:p>
    <w:p w14:paraId="76C72733" w14:textId="0D82293B" w:rsidR="00A56930" w:rsidRDefault="003C5E16" w:rsidP="00A56930">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E67A60">
        <w:rPr>
          <w:rFonts w:ascii="Times New Roman" w:hAnsi="Times New Roman" w:cs="Times New Roman"/>
          <w:sz w:val="24"/>
          <w:szCs w:val="24"/>
        </w:rPr>
        <w:t>Table 7: Dimension wise Mean score of CT Skill</w:t>
      </w:r>
    </w:p>
    <w:tbl>
      <w:tblPr>
        <w:tblStyle w:val="TableGrid"/>
        <w:tblW w:w="0" w:type="auto"/>
        <w:tblLook w:val="04A0" w:firstRow="1" w:lastRow="0" w:firstColumn="1" w:lastColumn="0" w:noHBand="0" w:noVBand="1"/>
      </w:tblPr>
      <w:tblGrid>
        <w:gridCol w:w="2325"/>
        <w:gridCol w:w="1163"/>
        <w:gridCol w:w="763"/>
        <w:gridCol w:w="1504"/>
        <w:gridCol w:w="1170"/>
        <w:gridCol w:w="857"/>
        <w:gridCol w:w="1125"/>
      </w:tblGrid>
      <w:tr w:rsidR="009557F1" w14:paraId="73489C04" w14:textId="77777777" w:rsidTr="00F77E50">
        <w:trPr>
          <w:trHeight w:val="550"/>
        </w:trPr>
        <w:tc>
          <w:tcPr>
            <w:tcW w:w="0" w:type="auto"/>
          </w:tcPr>
          <w:p w14:paraId="7AC4E5B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CT Sub-skill</w:t>
            </w:r>
          </w:p>
        </w:tc>
        <w:tc>
          <w:tcPr>
            <w:tcW w:w="0" w:type="auto"/>
          </w:tcPr>
          <w:p w14:paraId="6EAE9DA3"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Item Nos.</w:t>
            </w:r>
          </w:p>
        </w:tc>
        <w:tc>
          <w:tcPr>
            <w:tcW w:w="763" w:type="dxa"/>
          </w:tcPr>
          <w:p w14:paraId="3BE25A8B"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Max Score</w:t>
            </w:r>
          </w:p>
        </w:tc>
        <w:tc>
          <w:tcPr>
            <w:tcW w:w="1504" w:type="dxa"/>
          </w:tcPr>
          <w:p w14:paraId="75B868B9"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Mean Score</w:t>
            </w:r>
          </w:p>
        </w:tc>
        <w:tc>
          <w:tcPr>
            <w:tcW w:w="1170" w:type="dxa"/>
          </w:tcPr>
          <w:p w14:paraId="3E96866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Mean %</w:t>
            </w:r>
          </w:p>
        </w:tc>
        <w:tc>
          <w:tcPr>
            <w:tcW w:w="857" w:type="dxa"/>
          </w:tcPr>
          <w:p w14:paraId="2FB0024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SD</w:t>
            </w:r>
          </w:p>
        </w:tc>
        <w:tc>
          <w:tcPr>
            <w:tcW w:w="0" w:type="auto"/>
          </w:tcPr>
          <w:p w14:paraId="0E5523BC"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CT Level</w:t>
            </w:r>
          </w:p>
        </w:tc>
      </w:tr>
      <w:tr w:rsidR="009557F1" w14:paraId="496A0B67" w14:textId="77777777" w:rsidTr="00F77E50">
        <w:trPr>
          <w:trHeight w:val="566"/>
        </w:trPr>
        <w:tc>
          <w:tcPr>
            <w:tcW w:w="0" w:type="auto"/>
          </w:tcPr>
          <w:p w14:paraId="4396328C"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Decomposition</w:t>
            </w:r>
          </w:p>
        </w:tc>
        <w:tc>
          <w:tcPr>
            <w:tcW w:w="0" w:type="auto"/>
          </w:tcPr>
          <w:p w14:paraId="741E10A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1–10</w:t>
            </w:r>
          </w:p>
        </w:tc>
        <w:tc>
          <w:tcPr>
            <w:tcW w:w="763" w:type="dxa"/>
          </w:tcPr>
          <w:p w14:paraId="4072CBA9"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0EFBF454" w14:textId="10686CF3"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 xml:space="preserve">8.30 </w:t>
            </w:r>
          </w:p>
        </w:tc>
        <w:tc>
          <w:tcPr>
            <w:tcW w:w="1170" w:type="dxa"/>
          </w:tcPr>
          <w:p w14:paraId="72D8FD80" w14:textId="2DE7F27C" w:rsidR="00044848" w:rsidRPr="00044848" w:rsidRDefault="00A66CA1" w:rsidP="004F0D72">
            <w:pPr>
              <w:rPr>
                <w:rFonts w:ascii="Times New Roman" w:hAnsi="Times New Roman" w:cs="Times New Roman"/>
                <w:sz w:val="24"/>
                <w:szCs w:val="24"/>
              </w:rPr>
            </w:pPr>
            <w:r>
              <w:rPr>
                <w:rFonts w:ascii="Times New Roman" w:hAnsi="Times New Roman" w:cs="Times New Roman"/>
                <w:sz w:val="24"/>
                <w:szCs w:val="24"/>
              </w:rPr>
              <w:t>41.5</w:t>
            </w:r>
          </w:p>
        </w:tc>
        <w:tc>
          <w:tcPr>
            <w:tcW w:w="857" w:type="dxa"/>
          </w:tcPr>
          <w:p w14:paraId="0982002E" w14:textId="3F806C15"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3.66</w:t>
            </w:r>
          </w:p>
        </w:tc>
        <w:tc>
          <w:tcPr>
            <w:tcW w:w="0" w:type="auto"/>
          </w:tcPr>
          <w:p w14:paraId="5B4D8EBF" w14:textId="78ED3251" w:rsidR="00044848" w:rsidRPr="00044848" w:rsidRDefault="00D742B7" w:rsidP="004F0D72">
            <w:pPr>
              <w:rPr>
                <w:rFonts w:ascii="Times New Roman" w:hAnsi="Times New Roman" w:cs="Times New Roman"/>
                <w:sz w:val="24"/>
                <w:szCs w:val="24"/>
              </w:rPr>
            </w:pPr>
            <w:r>
              <w:rPr>
                <w:rFonts w:ascii="Times New Roman" w:hAnsi="Times New Roman" w:cs="Times New Roman"/>
                <w:sz w:val="24"/>
                <w:szCs w:val="24"/>
              </w:rPr>
              <w:t>Medium</w:t>
            </w:r>
          </w:p>
        </w:tc>
      </w:tr>
      <w:tr w:rsidR="009557F1" w14:paraId="0D3F8037" w14:textId="77777777" w:rsidTr="00F77E50">
        <w:trPr>
          <w:trHeight w:val="550"/>
        </w:trPr>
        <w:tc>
          <w:tcPr>
            <w:tcW w:w="0" w:type="auto"/>
          </w:tcPr>
          <w:p w14:paraId="04445C57"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Pattern Recognition</w:t>
            </w:r>
          </w:p>
        </w:tc>
        <w:tc>
          <w:tcPr>
            <w:tcW w:w="0" w:type="auto"/>
          </w:tcPr>
          <w:p w14:paraId="4D973AF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11–20</w:t>
            </w:r>
          </w:p>
        </w:tc>
        <w:tc>
          <w:tcPr>
            <w:tcW w:w="763" w:type="dxa"/>
          </w:tcPr>
          <w:p w14:paraId="3DBEDD64"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5E402B3B" w14:textId="20472262"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7.37</w:t>
            </w:r>
          </w:p>
        </w:tc>
        <w:tc>
          <w:tcPr>
            <w:tcW w:w="1170" w:type="dxa"/>
          </w:tcPr>
          <w:p w14:paraId="5EC75178" w14:textId="03960F9C" w:rsidR="00044848" w:rsidRPr="00044848" w:rsidRDefault="00AF204B" w:rsidP="004F0D72">
            <w:pPr>
              <w:rPr>
                <w:rFonts w:ascii="Times New Roman" w:hAnsi="Times New Roman" w:cs="Times New Roman"/>
                <w:sz w:val="24"/>
                <w:szCs w:val="24"/>
              </w:rPr>
            </w:pPr>
            <w:r>
              <w:rPr>
                <w:rFonts w:ascii="Times New Roman" w:hAnsi="Times New Roman" w:cs="Times New Roman"/>
                <w:sz w:val="24"/>
                <w:szCs w:val="24"/>
              </w:rPr>
              <w:t>36.85</w:t>
            </w:r>
          </w:p>
        </w:tc>
        <w:tc>
          <w:tcPr>
            <w:tcW w:w="857" w:type="dxa"/>
          </w:tcPr>
          <w:p w14:paraId="1F8D5D09" w14:textId="6A940A3B"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2.41</w:t>
            </w:r>
          </w:p>
        </w:tc>
        <w:tc>
          <w:tcPr>
            <w:tcW w:w="0" w:type="auto"/>
          </w:tcPr>
          <w:p w14:paraId="0D36E017" w14:textId="543012B8" w:rsidR="00044848" w:rsidRPr="00044848" w:rsidRDefault="00D742B7" w:rsidP="004F0D72">
            <w:pPr>
              <w:rPr>
                <w:rFonts w:ascii="Times New Roman" w:hAnsi="Times New Roman" w:cs="Times New Roman"/>
                <w:sz w:val="24"/>
                <w:szCs w:val="24"/>
              </w:rPr>
            </w:pPr>
            <w:r>
              <w:rPr>
                <w:rFonts w:ascii="Times New Roman" w:hAnsi="Times New Roman" w:cs="Times New Roman"/>
                <w:sz w:val="24"/>
                <w:szCs w:val="24"/>
              </w:rPr>
              <w:t>Medium</w:t>
            </w:r>
          </w:p>
        </w:tc>
      </w:tr>
      <w:tr w:rsidR="009557F1" w14:paraId="0ABF548C" w14:textId="77777777" w:rsidTr="00F77E50">
        <w:trPr>
          <w:trHeight w:val="566"/>
        </w:trPr>
        <w:tc>
          <w:tcPr>
            <w:tcW w:w="0" w:type="auto"/>
          </w:tcPr>
          <w:p w14:paraId="582677C0"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Abstraction</w:t>
            </w:r>
          </w:p>
        </w:tc>
        <w:tc>
          <w:tcPr>
            <w:tcW w:w="0" w:type="auto"/>
          </w:tcPr>
          <w:p w14:paraId="56CCDC50"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21–30</w:t>
            </w:r>
          </w:p>
        </w:tc>
        <w:tc>
          <w:tcPr>
            <w:tcW w:w="763" w:type="dxa"/>
          </w:tcPr>
          <w:p w14:paraId="0C2CC18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2C0A2BEB" w14:textId="648211DB"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6.23</w:t>
            </w:r>
          </w:p>
        </w:tc>
        <w:tc>
          <w:tcPr>
            <w:tcW w:w="1170" w:type="dxa"/>
          </w:tcPr>
          <w:p w14:paraId="1D43AD37" w14:textId="09B21819" w:rsidR="00044848" w:rsidRPr="00044848" w:rsidRDefault="00AF204B" w:rsidP="004F0D72">
            <w:pPr>
              <w:rPr>
                <w:rFonts w:ascii="Times New Roman" w:hAnsi="Times New Roman" w:cs="Times New Roman"/>
                <w:sz w:val="24"/>
                <w:szCs w:val="24"/>
              </w:rPr>
            </w:pPr>
            <w:r>
              <w:rPr>
                <w:rFonts w:ascii="Times New Roman" w:hAnsi="Times New Roman" w:cs="Times New Roman"/>
                <w:sz w:val="24"/>
                <w:szCs w:val="24"/>
              </w:rPr>
              <w:t>31.15</w:t>
            </w:r>
          </w:p>
        </w:tc>
        <w:tc>
          <w:tcPr>
            <w:tcW w:w="857" w:type="dxa"/>
          </w:tcPr>
          <w:p w14:paraId="4858DE76" w14:textId="08057C72"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2.30</w:t>
            </w:r>
          </w:p>
        </w:tc>
        <w:tc>
          <w:tcPr>
            <w:tcW w:w="0" w:type="auto"/>
          </w:tcPr>
          <w:p w14:paraId="145B39A6" w14:textId="271B66BB" w:rsidR="00044848" w:rsidRPr="00044848" w:rsidRDefault="00DB23CC" w:rsidP="004F0D72">
            <w:pPr>
              <w:rPr>
                <w:rFonts w:ascii="Times New Roman" w:hAnsi="Times New Roman" w:cs="Times New Roman"/>
                <w:sz w:val="24"/>
                <w:szCs w:val="24"/>
              </w:rPr>
            </w:pPr>
            <w:r>
              <w:rPr>
                <w:rFonts w:ascii="Times New Roman" w:hAnsi="Times New Roman" w:cs="Times New Roman"/>
                <w:sz w:val="24"/>
                <w:szCs w:val="24"/>
              </w:rPr>
              <w:t xml:space="preserve">Medium </w:t>
            </w:r>
          </w:p>
        </w:tc>
      </w:tr>
      <w:tr w:rsidR="009557F1" w14:paraId="0C46F836" w14:textId="77777777" w:rsidTr="00F77E50">
        <w:trPr>
          <w:trHeight w:val="550"/>
        </w:trPr>
        <w:tc>
          <w:tcPr>
            <w:tcW w:w="0" w:type="auto"/>
          </w:tcPr>
          <w:p w14:paraId="691B3E06"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Algorithmic Thinking</w:t>
            </w:r>
          </w:p>
        </w:tc>
        <w:tc>
          <w:tcPr>
            <w:tcW w:w="0" w:type="auto"/>
          </w:tcPr>
          <w:p w14:paraId="55274AB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31–40</w:t>
            </w:r>
          </w:p>
        </w:tc>
        <w:tc>
          <w:tcPr>
            <w:tcW w:w="763" w:type="dxa"/>
          </w:tcPr>
          <w:p w14:paraId="5F6B1757"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2A6B46EA" w14:textId="71ACD1F1"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6.17</w:t>
            </w:r>
          </w:p>
        </w:tc>
        <w:tc>
          <w:tcPr>
            <w:tcW w:w="1170" w:type="dxa"/>
          </w:tcPr>
          <w:p w14:paraId="708C3E78" w14:textId="59218674" w:rsidR="00044848" w:rsidRPr="00044848" w:rsidRDefault="001D4498" w:rsidP="004F0D72">
            <w:pPr>
              <w:rPr>
                <w:rFonts w:ascii="Times New Roman" w:hAnsi="Times New Roman" w:cs="Times New Roman"/>
                <w:sz w:val="24"/>
                <w:szCs w:val="24"/>
              </w:rPr>
            </w:pPr>
            <w:r>
              <w:rPr>
                <w:rFonts w:ascii="Times New Roman" w:hAnsi="Times New Roman" w:cs="Times New Roman"/>
                <w:sz w:val="24"/>
                <w:szCs w:val="24"/>
              </w:rPr>
              <w:t>30.85</w:t>
            </w:r>
          </w:p>
        </w:tc>
        <w:tc>
          <w:tcPr>
            <w:tcW w:w="857" w:type="dxa"/>
          </w:tcPr>
          <w:p w14:paraId="4F457C07" w14:textId="54BF3E69"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1.78</w:t>
            </w:r>
          </w:p>
        </w:tc>
        <w:tc>
          <w:tcPr>
            <w:tcW w:w="0" w:type="auto"/>
          </w:tcPr>
          <w:p w14:paraId="37B3EAE4" w14:textId="4D2F5CBF" w:rsidR="00044848" w:rsidRPr="00044848" w:rsidRDefault="00DB23CC" w:rsidP="004F0D72">
            <w:pPr>
              <w:rPr>
                <w:rFonts w:ascii="Times New Roman" w:hAnsi="Times New Roman" w:cs="Times New Roman"/>
                <w:sz w:val="24"/>
                <w:szCs w:val="24"/>
              </w:rPr>
            </w:pPr>
            <w:r>
              <w:rPr>
                <w:rFonts w:ascii="Times New Roman" w:hAnsi="Times New Roman" w:cs="Times New Roman"/>
                <w:sz w:val="24"/>
                <w:szCs w:val="24"/>
              </w:rPr>
              <w:t xml:space="preserve">Low </w:t>
            </w:r>
          </w:p>
        </w:tc>
      </w:tr>
      <w:tr w:rsidR="009557F1" w14:paraId="2B0668E1" w14:textId="77777777" w:rsidTr="00F77E50">
        <w:trPr>
          <w:trHeight w:val="566"/>
        </w:trPr>
        <w:tc>
          <w:tcPr>
            <w:tcW w:w="0" w:type="auto"/>
          </w:tcPr>
          <w:p w14:paraId="19ACD8C1"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Overall CT</w:t>
            </w:r>
          </w:p>
        </w:tc>
        <w:tc>
          <w:tcPr>
            <w:tcW w:w="0" w:type="auto"/>
          </w:tcPr>
          <w:p w14:paraId="1704333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1–40</w:t>
            </w:r>
          </w:p>
        </w:tc>
        <w:tc>
          <w:tcPr>
            <w:tcW w:w="763" w:type="dxa"/>
          </w:tcPr>
          <w:p w14:paraId="172E7DCF"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80</w:t>
            </w:r>
          </w:p>
        </w:tc>
        <w:tc>
          <w:tcPr>
            <w:tcW w:w="1504" w:type="dxa"/>
          </w:tcPr>
          <w:p w14:paraId="6D9D2F16" w14:textId="30BD38AF"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28.06</w:t>
            </w:r>
          </w:p>
        </w:tc>
        <w:tc>
          <w:tcPr>
            <w:tcW w:w="1170" w:type="dxa"/>
          </w:tcPr>
          <w:p w14:paraId="4224445F" w14:textId="028AC58F" w:rsidR="00044848" w:rsidRPr="00044848" w:rsidRDefault="00C26350" w:rsidP="004F0D72">
            <w:pPr>
              <w:rPr>
                <w:rFonts w:ascii="Times New Roman" w:hAnsi="Times New Roman" w:cs="Times New Roman"/>
                <w:sz w:val="24"/>
                <w:szCs w:val="24"/>
              </w:rPr>
            </w:pPr>
            <w:r>
              <w:rPr>
                <w:rFonts w:ascii="Times New Roman" w:hAnsi="Times New Roman" w:cs="Times New Roman"/>
                <w:sz w:val="24"/>
                <w:szCs w:val="24"/>
              </w:rPr>
              <w:t>35.07</w:t>
            </w:r>
          </w:p>
        </w:tc>
        <w:tc>
          <w:tcPr>
            <w:tcW w:w="857" w:type="dxa"/>
          </w:tcPr>
          <w:p w14:paraId="045FC137" w14:textId="2068D01D"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6.47</w:t>
            </w:r>
          </w:p>
        </w:tc>
        <w:tc>
          <w:tcPr>
            <w:tcW w:w="0" w:type="auto"/>
          </w:tcPr>
          <w:p w14:paraId="68840025" w14:textId="6FE3D7A2" w:rsidR="00044848" w:rsidRPr="00044848" w:rsidRDefault="00DB23CC" w:rsidP="004F0D72">
            <w:pPr>
              <w:rPr>
                <w:rFonts w:ascii="Times New Roman" w:hAnsi="Times New Roman" w:cs="Times New Roman"/>
                <w:sz w:val="24"/>
                <w:szCs w:val="24"/>
              </w:rPr>
            </w:pPr>
            <w:r>
              <w:rPr>
                <w:rFonts w:ascii="Times New Roman" w:hAnsi="Times New Roman" w:cs="Times New Roman"/>
                <w:sz w:val="24"/>
                <w:szCs w:val="24"/>
              </w:rPr>
              <w:t>Medium</w:t>
            </w:r>
          </w:p>
        </w:tc>
      </w:tr>
    </w:tbl>
    <w:p w14:paraId="138EC0FD" w14:textId="77777777" w:rsidR="00D742B7" w:rsidRDefault="00940166" w:rsidP="00940166">
      <w:pPr>
        <w:spacing w:before="58" w:after="202"/>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Note. </w:t>
      </w:r>
      <w:r>
        <w:rPr>
          <w:rFonts w:ascii="Times New Roman" w:eastAsia="Times New Roman" w:hAnsi="Times New Roman" w:cs="Times New Roman"/>
          <w:color w:val="000000"/>
          <w:sz w:val="20"/>
          <w:szCs w:val="20"/>
        </w:rPr>
        <w:t xml:space="preserve">Dimension wise CT Level: Low = 0–6 (0–30%), Medium = 7–13 (31–65%), High = 14–20 (66–100%). </w:t>
      </w:r>
    </w:p>
    <w:p w14:paraId="177C8785" w14:textId="77777777" w:rsidR="00DF2AFD" w:rsidRDefault="00940166" w:rsidP="00DF2AFD">
      <w:pPr>
        <w:spacing w:before="58" w:after="20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 % = (Mean / Max) × 100.</w:t>
      </w:r>
    </w:p>
    <w:p w14:paraId="06F0CF91" w14:textId="6CCB8B3F" w:rsidR="007015D4" w:rsidRDefault="00B66264" w:rsidP="00A56930">
      <w:pPr>
        <w:pStyle w:val="ListParagraph"/>
        <w:ind w:left="360"/>
        <w:rPr>
          <w:rFonts w:ascii="Times New Roman" w:hAnsi="Times New Roman" w:cs="Times New Roman"/>
          <w:sz w:val="24"/>
          <w:szCs w:val="24"/>
        </w:rPr>
      </w:pPr>
      <w:r>
        <w:rPr>
          <w:noProof/>
        </w:rPr>
        <w:drawing>
          <wp:inline distT="0" distB="0" distL="0" distR="0" wp14:anchorId="57A9E90B" wp14:editId="6D5DB3B7">
            <wp:extent cx="5467350" cy="2352675"/>
            <wp:effectExtent l="0" t="0" r="0" b="9525"/>
            <wp:docPr id="13" name="Chart 13">
              <a:extLst xmlns:a="http://schemas.openxmlformats.org/drawingml/2006/main">
                <a:ext uri="{FF2B5EF4-FFF2-40B4-BE49-F238E27FC236}">
                  <a16:creationId xmlns:a16="http://schemas.microsoft.com/office/drawing/2014/main" id="{8CA9567F-4383-4D27-1311-98FED1DE1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0F3085" w14:textId="1755E4A0" w:rsidR="006F6A47" w:rsidRDefault="006F6A47" w:rsidP="00A5693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Figure </w:t>
      </w:r>
      <w:r w:rsidR="00A7167C">
        <w:rPr>
          <w:rFonts w:ascii="Times New Roman" w:hAnsi="Times New Roman" w:cs="Times New Roman"/>
          <w:sz w:val="24"/>
          <w:szCs w:val="24"/>
        </w:rPr>
        <w:t>6: Dimension</w:t>
      </w:r>
      <w:r w:rsidR="00812DE5">
        <w:rPr>
          <w:rFonts w:ascii="Times New Roman" w:hAnsi="Times New Roman" w:cs="Times New Roman"/>
          <w:sz w:val="24"/>
          <w:szCs w:val="24"/>
        </w:rPr>
        <w:t xml:space="preserve"> wise mean scores of CT</w:t>
      </w:r>
    </w:p>
    <w:p w14:paraId="3E1F044C" w14:textId="5574777A" w:rsidR="00A7167C" w:rsidRDefault="00A7167C" w:rsidP="004137F4">
      <w:pPr>
        <w:spacing w:before="58" w:after="202" w:line="360" w:lineRule="auto"/>
        <w:ind w:firstLine="720"/>
        <w:jc w:val="both"/>
        <w:rPr>
          <w:rFonts w:ascii="Times New Roman" w:hAnsi="Times New Roman" w:cs="Times New Roman"/>
          <w:sz w:val="24"/>
          <w:szCs w:val="24"/>
        </w:rPr>
      </w:pPr>
      <w:r w:rsidRPr="00DF2AFD">
        <w:rPr>
          <w:rFonts w:ascii="Times New Roman" w:hAnsi="Times New Roman" w:cs="Times New Roman"/>
          <w:sz w:val="24"/>
          <w:szCs w:val="24"/>
        </w:rPr>
        <w:t xml:space="preserve">Table </w:t>
      </w:r>
      <w:r w:rsidR="00B33E07">
        <w:rPr>
          <w:rFonts w:ascii="Times New Roman" w:hAnsi="Times New Roman" w:cs="Times New Roman"/>
          <w:sz w:val="24"/>
          <w:szCs w:val="24"/>
        </w:rPr>
        <w:t xml:space="preserve">7 </w:t>
      </w:r>
      <w:r w:rsidR="007A42CD">
        <w:rPr>
          <w:rFonts w:ascii="Times New Roman" w:hAnsi="Times New Roman" w:cs="Times New Roman"/>
          <w:sz w:val="24"/>
          <w:szCs w:val="24"/>
        </w:rPr>
        <w:t xml:space="preserve">and figure 6 represents </w:t>
      </w:r>
      <w:r w:rsidR="001F4594">
        <w:rPr>
          <w:rFonts w:ascii="Times New Roman" w:hAnsi="Times New Roman" w:cs="Times New Roman"/>
          <w:sz w:val="24"/>
          <w:szCs w:val="24"/>
        </w:rPr>
        <w:t>the</w:t>
      </w:r>
      <w:r w:rsidR="001F4594" w:rsidRPr="00DF2AFD">
        <w:rPr>
          <w:rFonts w:ascii="Times New Roman" w:hAnsi="Times New Roman" w:cs="Times New Roman"/>
          <w:sz w:val="24"/>
          <w:szCs w:val="24"/>
        </w:rPr>
        <w:t xml:space="preserve"> </w:t>
      </w:r>
      <w:r w:rsidR="001F4594">
        <w:rPr>
          <w:rFonts w:ascii="Times New Roman" w:hAnsi="Times New Roman" w:cs="Times New Roman"/>
          <w:sz w:val="24"/>
          <w:szCs w:val="24"/>
        </w:rPr>
        <w:t>dimension</w:t>
      </w:r>
      <w:r w:rsidR="007A42CD">
        <w:rPr>
          <w:rFonts w:ascii="Times New Roman" w:hAnsi="Times New Roman" w:cs="Times New Roman"/>
          <w:sz w:val="24"/>
          <w:szCs w:val="24"/>
        </w:rPr>
        <w:t xml:space="preserve"> </w:t>
      </w:r>
      <w:r w:rsidRPr="00DF2AFD">
        <w:rPr>
          <w:rFonts w:ascii="Times New Roman" w:hAnsi="Times New Roman" w:cs="Times New Roman"/>
          <w:sz w:val="24"/>
          <w:szCs w:val="24"/>
        </w:rPr>
        <w:t xml:space="preserve">wise performance of </w:t>
      </w:r>
      <w:r w:rsidR="0052526B">
        <w:rPr>
          <w:rFonts w:ascii="Times New Roman" w:hAnsi="Times New Roman" w:cs="Times New Roman"/>
          <w:sz w:val="24"/>
          <w:szCs w:val="24"/>
        </w:rPr>
        <w:t>secondary school</w:t>
      </w:r>
      <w:r w:rsidRPr="00DF2AFD">
        <w:rPr>
          <w:rFonts w:ascii="Times New Roman" w:hAnsi="Times New Roman" w:cs="Times New Roman"/>
          <w:sz w:val="24"/>
          <w:szCs w:val="24"/>
        </w:rPr>
        <w:t xml:space="preserve"> students on the Computational Thinking Test. Decomposition recorded the highest mean </w:t>
      </w:r>
      <w:r w:rsidR="00CC22B4" w:rsidRPr="00DF2AFD">
        <w:rPr>
          <w:rFonts w:ascii="Times New Roman" w:hAnsi="Times New Roman" w:cs="Times New Roman"/>
          <w:sz w:val="24"/>
          <w:szCs w:val="24"/>
        </w:rPr>
        <w:t xml:space="preserve">percentage </w:t>
      </w:r>
      <w:r w:rsidR="00CC22B4">
        <w:rPr>
          <w:rFonts w:ascii="Times New Roman" w:hAnsi="Times New Roman" w:cs="Times New Roman"/>
          <w:sz w:val="24"/>
          <w:szCs w:val="24"/>
        </w:rPr>
        <w:t>of</w:t>
      </w:r>
      <w:r w:rsidR="00B33E07">
        <w:rPr>
          <w:rFonts w:ascii="Times New Roman" w:hAnsi="Times New Roman" w:cs="Times New Roman"/>
          <w:sz w:val="24"/>
          <w:szCs w:val="24"/>
        </w:rPr>
        <w:t xml:space="preserve"> </w:t>
      </w:r>
      <w:r w:rsidRPr="00DF2AFD">
        <w:rPr>
          <w:rFonts w:ascii="Times New Roman" w:hAnsi="Times New Roman" w:cs="Times New Roman"/>
          <w:sz w:val="24"/>
          <w:szCs w:val="24"/>
        </w:rPr>
        <w:t xml:space="preserve">41.5% out of 20, indicating it as a relative area of computational thinking strength among </w:t>
      </w:r>
      <w:r w:rsidR="006C7633">
        <w:rPr>
          <w:rFonts w:ascii="Times New Roman" w:hAnsi="Times New Roman" w:cs="Times New Roman"/>
          <w:sz w:val="24"/>
          <w:szCs w:val="24"/>
        </w:rPr>
        <w:t xml:space="preserve">Secondary </w:t>
      </w:r>
      <w:r w:rsidRPr="00DF2AFD">
        <w:rPr>
          <w:rFonts w:ascii="Times New Roman" w:hAnsi="Times New Roman" w:cs="Times New Roman"/>
          <w:sz w:val="24"/>
          <w:szCs w:val="24"/>
        </w:rPr>
        <w:t xml:space="preserve">students, at the </w:t>
      </w:r>
      <w:r>
        <w:rPr>
          <w:rFonts w:ascii="Times New Roman" w:hAnsi="Times New Roman" w:cs="Times New Roman"/>
          <w:sz w:val="24"/>
          <w:szCs w:val="24"/>
        </w:rPr>
        <w:t>m</w:t>
      </w:r>
      <w:r w:rsidRPr="00DF2AFD">
        <w:rPr>
          <w:rFonts w:ascii="Times New Roman" w:hAnsi="Times New Roman" w:cs="Times New Roman"/>
          <w:sz w:val="24"/>
          <w:szCs w:val="24"/>
        </w:rPr>
        <w:t xml:space="preserve">edium level. Pattern Recognition and Abstraction recorded mean percentages of 36.85% and 31.15% respectively, both at the </w:t>
      </w:r>
      <w:r>
        <w:rPr>
          <w:rFonts w:ascii="Times New Roman" w:hAnsi="Times New Roman" w:cs="Times New Roman"/>
          <w:sz w:val="24"/>
          <w:szCs w:val="24"/>
        </w:rPr>
        <w:t>m</w:t>
      </w:r>
      <w:r w:rsidRPr="00DF2AFD">
        <w:rPr>
          <w:rFonts w:ascii="Times New Roman" w:hAnsi="Times New Roman" w:cs="Times New Roman"/>
          <w:sz w:val="24"/>
          <w:szCs w:val="24"/>
        </w:rPr>
        <w:t>edi</w:t>
      </w:r>
      <w:r>
        <w:rPr>
          <w:rFonts w:ascii="Times New Roman" w:hAnsi="Times New Roman" w:cs="Times New Roman"/>
          <w:sz w:val="24"/>
          <w:szCs w:val="24"/>
        </w:rPr>
        <w:t>u</w:t>
      </w:r>
      <w:r w:rsidRPr="00DF2AFD">
        <w:rPr>
          <w:rFonts w:ascii="Times New Roman" w:hAnsi="Times New Roman" w:cs="Times New Roman"/>
          <w:sz w:val="24"/>
          <w:szCs w:val="24"/>
        </w:rPr>
        <w:t xml:space="preserve">m proficiency level. In contrast, Algorithmic Thinking items yielded the lowest mean percentage 30.85%, classifying it at the Low level and identifying this as the most challenging computational thinking </w:t>
      </w:r>
      <w:r w:rsidR="001F4594">
        <w:rPr>
          <w:rFonts w:ascii="Times New Roman" w:hAnsi="Times New Roman" w:cs="Times New Roman"/>
          <w:sz w:val="24"/>
          <w:szCs w:val="24"/>
        </w:rPr>
        <w:t xml:space="preserve">skills of secondary school level </w:t>
      </w:r>
      <w:r w:rsidRPr="00DF2AFD">
        <w:rPr>
          <w:rFonts w:ascii="Times New Roman" w:hAnsi="Times New Roman" w:cs="Times New Roman"/>
          <w:sz w:val="24"/>
          <w:szCs w:val="24"/>
        </w:rPr>
        <w:t>students.</w:t>
      </w:r>
    </w:p>
    <w:p w14:paraId="01CF5EF7" w14:textId="3E1C2EF2" w:rsidR="00AB06E4" w:rsidRDefault="00A7167C" w:rsidP="004137F4">
      <w:pPr>
        <w:spacing w:before="58" w:after="202" w:line="360" w:lineRule="auto"/>
        <w:ind w:firstLine="720"/>
        <w:jc w:val="both"/>
        <w:rPr>
          <w:rFonts w:ascii="Times New Roman" w:hAnsi="Times New Roman" w:cs="Times New Roman"/>
          <w:sz w:val="24"/>
          <w:szCs w:val="24"/>
        </w:rPr>
      </w:pPr>
      <w:r w:rsidRPr="00DF2AFD">
        <w:rPr>
          <w:rFonts w:ascii="Times New Roman" w:hAnsi="Times New Roman" w:cs="Times New Roman"/>
          <w:sz w:val="24"/>
          <w:szCs w:val="24"/>
        </w:rPr>
        <w:lastRenderedPageBreak/>
        <w:t xml:space="preserve">The overall mean computational thinking score was 28.06 </w:t>
      </w:r>
      <w:r w:rsidR="00E55FEB">
        <w:rPr>
          <w:rFonts w:ascii="Times New Roman" w:hAnsi="Times New Roman" w:cs="Times New Roman"/>
          <w:sz w:val="24"/>
          <w:szCs w:val="24"/>
        </w:rPr>
        <w:t xml:space="preserve">with the mean percentage of </w:t>
      </w:r>
      <w:r w:rsidR="00E55FEB" w:rsidRPr="00DF2AFD">
        <w:rPr>
          <w:rFonts w:ascii="Times New Roman" w:hAnsi="Times New Roman" w:cs="Times New Roman"/>
          <w:sz w:val="24"/>
          <w:szCs w:val="24"/>
        </w:rPr>
        <w:t>35.07</w:t>
      </w:r>
      <w:r w:rsidRPr="00DF2AFD">
        <w:rPr>
          <w:rFonts w:ascii="Times New Roman" w:hAnsi="Times New Roman" w:cs="Times New Roman"/>
          <w:sz w:val="24"/>
          <w:szCs w:val="24"/>
        </w:rPr>
        <w:t>%, reflecting the medium level of computational thinking proficiency among the students. The findings indicate that while students demonstrated moderate abilities in decomposition, pattern recognition, and abstraction, they experienced greater difficulty in algorithmic thinking skills. This suggests the need for instructional interventions that specifically focus on enhancing students’ procedural reasoning, logical sequencing, and step-by-step problem-solving abilities in mathematics education.</w:t>
      </w:r>
    </w:p>
    <w:p w14:paraId="00CEE963" w14:textId="77777777" w:rsidR="00F12FB9" w:rsidRDefault="00AB06E4" w:rsidP="00B53B67">
      <w:pPr>
        <w:spacing w:before="58" w:after="202" w:line="360" w:lineRule="auto"/>
        <w:jc w:val="both"/>
        <w:rPr>
          <w:rFonts w:ascii="Times New Roman" w:hAnsi="Times New Roman" w:cs="Times New Roman"/>
          <w:b/>
          <w:bCs/>
          <w:sz w:val="24"/>
          <w:szCs w:val="24"/>
        </w:rPr>
      </w:pPr>
      <w:r w:rsidRPr="00AB06E4">
        <w:rPr>
          <w:rFonts w:ascii="Times New Roman" w:hAnsi="Times New Roman" w:cs="Times New Roman"/>
          <w:b/>
          <w:bCs/>
          <w:sz w:val="24"/>
          <w:szCs w:val="24"/>
        </w:rPr>
        <w:t xml:space="preserve">7.0 </w:t>
      </w:r>
      <w:r w:rsidR="00C56527" w:rsidRPr="00AB06E4">
        <w:rPr>
          <w:rFonts w:ascii="Times New Roman" w:hAnsi="Times New Roman" w:cs="Times New Roman"/>
          <w:b/>
          <w:bCs/>
          <w:sz w:val="24"/>
          <w:szCs w:val="24"/>
        </w:rPr>
        <w:t>Discussion:</w:t>
      </w:r>
      <w:r w:rsidR="00555F91">
        <w:rPr>
          <w:rFonts w:ascii="Times New Roman" w:hAnsi="Times New Roman" w:cs="Times New Roman"/>
          <w:b/>
          <w:bCs/>
          <w:sz w:val="24"/>
          <w:szCs w:val="24"/>
        </w:rPr>
        <w:t xml:space="preserve"> </w:t>
      </w:r>
    </w:p>
    <w:p w14:paraId="3420D449" w14:textId="48BC7485" w:rsidR="00C30EF3" w:rsidRPr="00F12FB9" w:rsidRDefault="00D12E50" w:rsidP="00F12FB9">
      <w:pPr>
        <w:spacing w:before="58" w:after="202"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w:t>
      </w:r>
      <w:r w:rsidR="00B53B67" w:rsidRPr="00B53B67">
        <w:rPr>
          <w:rFonts w:ascii="Times New Roman" w:hAnsi="Times New Roman" w:cs="Times New Roman"/>
          <w:sz w:val="24"/>
          <w:szCs w:val="24"/>
        </w:rPr>
        <w:t>he present study</w:t>
      </w:r>
      <w:r>
        <w:rPr>
          <w:rFonts w:ascii="Times New Roman" w:hAnsi="Times New Roman" w:cs="Times New Roman"/>
          <w:sz w:val="24"/>
          <w:szCs w:val="24"/>
        </w:rPr>
        <w:t xml:space="preserve"> findings</w:t>
      </w:r>
      <w:r w:rsidR="00B53B67" w:rsidRPr="00B53B67">
        <w:rPr>
          <w:rFonts w:ascii="Times New Roman" w:hAnsi="Times New Roman" w:cs="Times New Roman"/>
          <w:sz w:val="24"/>
          <w:szCs w:val="24"/>
        </w:rPr>
        <w:t xml:space="preserve"> revealed that </w:t>
      </w:r>
      <w:r w:rsidR="00376C64">
        <w:rPr>
          <w:rFonts w:ascii="Times New Roman" w:hAnsi="Times New Roman" w:cs="Times New Roman"/>
          <w:sz w:val="24"/>
          <w:szCs w:val="24"/>
        </w:rPr>
        <w:t xml:space="preserve">the Computational Thinking levels of </w:t>
      </w:r>
      <w:r w:rsidR="001B64F5">
        <w:rPr>
          <w:rFonts w:ascii="Times New Roman" w:hAnsi="Times New Roman" w:cs="Times New Roman"/>
          <w:sz w:val="24"/>
          <w:szCs w:val="24"/>
        </w:rPr>
        <w:t>secondary level students</w:t>
      </w:r>
      <w:r w:rsidR="00FA6957">
        <w:rPr>
          <w:rFonts w:ascii="Times New Roman" w:hAnsi="Times New Roman" w:cs="Times New Roman"/>
          <w:sz w:val="24"/>
          <w:szCs w:val="24"/>
        </w:rPr>
        <w:t xml:space="preserve"> </w:t>
      </w:r>
      <w:r w:rsidR="006348AE">
        <w:rPr>
          <w:rFonts w:ascii="Times New Roman" w:hAnsi="Times New Roman" w:cs="Times New Roman"/>
          <w:sz w:val="24"/>
          <w:szCs w:val="24"/>
        </w:rPr>
        <w:t xml:space="preserve">ae remains at </w:t>
      </w:r>
      <w:r w:rsidR="00E46E4F">
        <w:rPr>
          <w:rFonts w:ascii="Times New Roman" w:hAnsi="Times New Roman" w:cs="Times New Roman"/>
          <w:sz w:val="24"/>
          <w:szCs w:val="24"/>
        </w:rPr>
        <w:t>developing stage. The</w:t>
      </w:r>
      <w:r w:rsidR="00B53B67" w:rsidRPr="00B53B67">
        <w:rPr>
          <w:rFonts w:ascii="Times New Roman" w:hAnsi="Times New Roman" w:cs="Times New Roman"/>
          <w:sz w:val="24"/>
          <w:szCs w:val="24"/>
        </w:rPr>
        <w:t xml:space="preserve"> majority of students</w:t>
      </w:r>
      <w:r w:rsidR="00E46E4F">
        <w:rPr>
          <w:rFonts w:ascii="Times New Roman" w:hAnsi="Times New Roman" w:cs="Times New Roman"/>
          <w:sz w:val="24"/>
          <w:szCs w:val="24"/>
        </w:rPr>
        <w:t xml:space="preserve"> were </w:t>
      </w:r>
      <w:r w:rsidR="00B53B67" w:rsidRPr="00B53B67">
        <w:rPr>
          <w:rFonts w:ascii="Times New Roman" w:hAnsi="Times New Roman" w:cs="Times New Roman"/>
          <w:sz w:val="24"/>
          <w:szCs w:val="24"/>
        </w:rPr>
        <w:t xml:space="preserve">demonstrated </w:t>
      </w:r>
      <w:r w:rsidR="00C60D49">
        <w:rPr>
          <w:rFonts w:ascii="Times New Roman" w:hAnsi="Times New Roman" w:cs="Times New Roman"/>
          <w:sz w:val="24"/>
          <w:szCs w:val="24"/>
        </w:rPr>
        <w:t>moderate level</w:t>
      </w:r>
      <w:r w:rsidR="00B53B67" w:rsidRPr="00B53B67">
        <w:rPr>
          <w:rFonts w:ascii="Times New Roman" w:hAnsi="Times New Roman" w:cs="Times New Roman"/>
          <w:sz w:val="24"/>
          <w:szCs w:val="24"/>
        </w:rPr>
        <w:t xml:space="preserve"> CT skills, while </w:t>
      </w:r>
      <w:r w:rsidR="00BA708C">
        <w:rPr>
          <w:rFonts w:ascii="Times New Roman" w:hAnsi="Times New Roman" w:cs="Times New Roman"/>
          <w:sz w:val="24"/>
          <w:szCs w:val="24"/>
        </w:rPr>
        <w:t xml:space="preserve">others are </w:t>
      </w:r>
      <w:r w:rsidR="00542A74">
        <w:rPr>
          <w:rFonts w:ascii="Times New Roman" w:hAnsi="Times New Roman" w:cs="Times New Roman"/>
          <w:sz w:val="24"/>
          <w:szCs w:val="24"/>
        </w:rPr>
        <w:t>significantly performed</w:t>
      </w:r>
      <w:r w:rsidR="00BA708C">
        <w:rPr>
          <w:rFonts w:ascii="Times New Roman" w:hAnsi="Times New Roman" w:cs="Times New Roman"/>
          <w:sz w:val="24"/>
          <w:szCs w:val="24"/>
        </w:rPr>
        <w:t xml:space="preserve"> </w:t>
      </w:r>
      <w:r w:rsidR="00B53B67" w:rsidRPr="00B53B67">
        <w:rPr>
          <w:rFonts w:ascii="Times New Roman" w:hAnsi="Times New Roman" w:cs="Times New Roman"/>
          <w:sz w:val="24"/>
          <w:szCs w:val="24"/>
        </w:rPr>
        <w:t xml:space="preserve">at the Low level and none attained High-level proficiency. This </w:t>
      </w:r>
      <w:r w:rsidR="00542A74">
        <w:rPr>
          <w:rFonts w:ascii="Times New Roman" w:hAnsi="Times New Roman" w:cs="Times New Roman"/>
          <w:sz w:val="24"/>
          <w:szCs w:val="24"/>
        </w:rPr>
        <w:t xml:space="preserve">implies </w:t>
      </w:r>
      <w:r w:rsidR="00B53B67" w:rsidRPr="00B53B67">
        <w:rPr>
          <w:rFonts w:ascii="Times New Roman" w:hAnsi="Times New Roman" w:cs="Times New Roman"/>
          <w:sz w:val="24"/>
          <w:szCs w:val="24"/>
        </w:rPr>
        <w:t xml:space="preserve">that </w:t>
      </w:r>
      <w:r w:rsidR="00C30EF3" w:rsidRPr="00B53B67">
        <w:rPr>
          <w:rFonts w:ascii="Times New Roman" w:hAnsi="Times New Roman" w:cs="Times New Roman"/>
          <w:sz w:val="24"/>
          <w:szCs w:val="24"/>
        </w:rPr>
        <w:t xml:space="preserve">students </w:t>
      </w:r>
      <w:r w:rsidR="00C30EF3">
        <w:rPr>
          <w:rFonts w:ascii="Times New Roman" w:hAnsi="Times New Roman" w:cs="Times New Roman"/>
          <w:sz w:val="24"/>
          <w:szCs w:val="24"/>
        </w:rPr>
        <w:t>have</w:t>
      </w:r>
      <w:r w:rsidR="00B53B67" w:rsidRPr="00B53B67">
        <w:rPr>
          <w:rFonts w:ascii="Times New Roman" w:hAnsi="Times New Roman" w:cs="Times New Roman"/>
          <w:sz w:val="24"/>
          <w:szCs w:val="24"/>
        </w:rPr>
        <w:t xml:space="preserve"> only </w:t>
      </w:r>
      <w:r w:rsidR="00542A74">
        <w:rPr>
          <w:rFonts w:ascii="Times New Roman" w:hAnsi="Times New Roman" w:cs="Times New Roman"/>
          <w:sz w:val="24"/>
          <w:szCs w:val="24"/>
        </w:rPr>
        <w:t xml:space="preserve">basic </w:t>
      </w:r>
      <w:r w:rsidR="00B53B67" w:rsidRPr="00B53B67">
        <w:rPr>
          <w:rFonts w:ascii="Times New Roman" w:hAnsi="Times New Roman" w:cs="Times New Roman"/>
          <w:sz w:val="24"/>
          <w:szCs w:val="24"/>
        </w:rPr>
        <w:t xml:space="preserve">foundational CT abilities and have not yet developed advanced computational </w:t>
      </w:r>
      <w:r w:rsidR="00C30EF3">
        <w:rPr>
          <w:rFonts w:ascii="Times New Roman" w:hAnsi="Times New Roman" w:cs="Times New Roman"/>
          <w:sz w:val="24"/>
          <w:szCs w:val="24"/>
        </w:rPr>
        <w:t xml:space="preserve">thinking skills at the secondary level. </w:t>
      </w:r>
      <w:r w:rsidR="009F4A9F">
        <w:rPr>
          <w:rFonts w:ascii="Times New Roman" w:hAnsi="Times New Roman" w:cs="Times New Roman"/>
          <w:sz w:val="24"/>
          <w:szCs w:val="24"/>
        </w:rPr>
        <w:t>In contrast</w:t>
      </w:r>
      <w:r w:rsidR="0084118E">
        <w:rPr>
          <w:rFonts w:ascii="Times New Roman" w:hAnsi="Times New Roman" w:cs="Times New Roman"/>
          <w:sz w:val="24"/>
          <w:szCs w:val="24"/>
        </w:rPr>
        <w:t xml:space="preserve">, </w:t>
      </w:r>
      <w:r w:rsidR="00B53B67" w:rsidRPr="00B53B67">
        <w:rPr>
          <w:rFonts w:ascii="Times New Roman" w:hAnsi="Times New Roman" w:cs="Times New Roman"/>
          <w:sz w:val="24"/>
          <w:szCs w:val="24"/>
        </w:rPr>
        <w:t xml:space="preserve">findings are </w:t>
      </w:r>
      <w:r w:rsidR="005C2C1B">
        <w:rPr>
          <w:rFonts w:ascii="Times New Roman" w:hAnsi="Times New Roman" w:cs="Times New Roman"/>
          <w:sz w:val="24"/>
          <w:szCs w:val="24"/>
        </w:rPr>
        <w:t>corroborated by the earlier studies by</w:t>
      </w:r>
      <w:r w:rsidR="006B30D0">
        <w:rPr>
          <w:rFonts w:ascii="Times New Roman" w:hAnsi="Times New Roman" w:cs="Times New Roman"/>
          <w:sz w:val="24"/>
          <w:szCs w:val="24"/>
        </w:rPr>
        <w:t xml:space="preserve"> </w:t>
      </w:r>
      <w:r w:rsidR="00B53B67" w:rsidRPr="00B53B67">
        <w:rPr>
          <w:rFonts w:ascii="Times New Roman" w:hAnsi="Times New Roman" w:cs="Times New Roman"/>
          <w:sz w:val="24"/>
          <w:szCs w:val="24"/>
        </w:rPr>
        <w:t>Chongo</w:t>
      </w:r>
      <w:r w:rsidR="00210972">
        <w:rPr>
          <w:rFonts w:ascii="Times New Roman" w:hAnsi="Times New Roman" w:cs="Times New Roman"/>
          <w:sz w:val="24"/>
          <w:szCs w:val="24"/>
        </w:rPr>
        <w:t>, et.al.,</w:t>
      </w:r>
      <w:r w:rsidR="00210972" w:rsidRPr="00B53B67">
        <w:rPr>
          <w:rFonts w:ascii="Times New Roman" w:hAnsi="Times New Roman" w:cs="Times New Roman"/>
          <w:sz w:val="24"/>
          <w:szCs w:val="24"/>
        </w:rPr>
        <w:t xml:space="preserve"> (</w:t>
      </w:r>
      <w:r w:rsidR="00B53B67" w:rsidRPr="00B53B67">
        <w:rPr>
          <w:rFonts w:ascii="Times New Roman" w:hAnsi="Times New Roman" w:cs="Times New Roman"/>
          <w:sz w:val="24"/>
          <w:szCs w:val="24"/>
        </w:rPr>
        <w:t>2020), who reported moderate levels of CT among secondary school students and emphasized the need for systematic instructional support for CT development. Similarly, Liu et al.</w:t>
      </w:r>
      <w:r w:rsidR="004B25E5">
        <w:rPr>
          <w:rFonts w:ascii="Times New Roman" w:hAnsi="Times New Roman" w:cs="Times New Roman"/>
          <w:sz w:val="24"/>
          <w:szCs w:val="24"/>
        </w:rPr>
        <w:t>,</w:t>
      </w:r>
      <w:r w:rsidR="00B53B67" w:rsidRPr="00B53B67">
        <w:rPr>
          <w:rFonts w:ascii="Times New Roman" w:hAnsi="Times New Roman" w:cs="Times New Roman"/>
          <w:sz w:val="24"/>
          <w:szCs w:val="24"/>
        </w:rPr>
        <w:t xml:space="preserve"> (2024), in their systematic review, concluded that students generally exhibit limited CT proficiency when CT concepts are not explicitly integrated into classroom instruction. </w:t>
      </w:r>
    </w:p>
    <w:p w14:paraId="5380F7D4" w14:textId="5A3FED93" w:rsidR="00B53B67" w:rsidRPr="00B53B67" w:rsidRDefault="00B53B67" w:rsidP="00F12FB9">
      <w:pPr>
        <w:spacing w:before="58" w:after="202" w:line="360" w:lineRule="auto"/>
        <w:ind w:firstLine="720"/>
        <w:jc w:val="both"/>
        <w:rPr>
          <w:rFonts w:ascii="Times New Roman" w:hAnsi="Times New Roman" w:cs="Times New Roman"/>
          <w:sz w:val="24"/>
          <w:szCs w:val="24"/>
        </w:rPr>
      </w:pPr>
      <w:r w:rsidRPr="00B53B67">
        <w:rPr>
          <w:rFonts w:ascii="Times New Roman" w:hAnsi="Times New Roman" w:cs="Times New Roman"/>
          <w:sz w:val="24"/>
          <w:szCs w:val="24"/>
        </w:rPr>
        <w:t xml:space="preserve">The </w:t>
      </w:r>
      <w:r w:rsidR="0017235D">
        <w:rPr>
          <w:rFonts w:ascii="Times New Roman" w:hAnsi="Times New Roman" w:cs="Times New Roman"/>
          <w:sz w:val="24"/>
          <w:szCs w:val="24"/>
        </w:rPr>
        <w:t xml:space="preserve">obtained results are in with the agreement </w:t>
      </w:r>
      <w:r w:rsidR="0075490B">
        <w:rPr>
          <w:rFonts w:ascii="Times New Roman" w:hAnsi="Times New Roman" w:cs="Times New Roman"/>
          <w:sz w:val="24"/>
          <w:szCs w:val="24"/>
        </w:rPr>
        <w:t xml:space="preserve">of </w:t>
      </w:r>
      <w:r w:rsidR="0075490B" w:rsidRPr="00B53B67">
        <w:rPr>
          <w:rFonts w:ascii="Times New Roman" w:hAnsi="Times New Roman" w:cs="Times New Roman"/>
          <w:sz w:val="24"/>
          <w:szCs w:val="24"/>
        </w:rPr>
        <w:t>the</w:t>
      </w:r>
      <w:r w:rsidRPr="00B53B67">
        <w:rPr>
          <w:rFonts w:ascii="Times New Roman" w:hAnsi="Times New Roman" w:cs="Times New Roman"/>
          <w:sz w:val="24"/>
          <w:szCs w:val="24"/>
        </w:rPr>
        <w:t xml:space="preserve"> foundational perspective proposed by Wing (2006), who argued that computational thinking is a fundamental cognitive skill that must be intentionally cultivated through structured educational experiences rather than acquired incidentally. In the Indian educational context, the findings further align with the vision of the National Education Policy 2020, </w:t>
      </w:r>
      <w:r w:rsidR="0075490B">
        <w:rPr>
          <w:rFonts w:ascii="Times New Roman" w:hAnsi="Times New Roman" w:cs="Times New Roman"/>
          <w:sz w:val="24"/>
          <w:szCs w:val="24"/>
        </w:rPr>
        <w:t>(NEP,</w:t>
      </w:r>
      <w:r w:rsidRPr="00B53B67">
        <w:rPr>
          <w:rFonts w:ascii="Times New Roman" w:hAnsi="Times New Roman" w:cs="Times New Roman"/>
          <w:sz w:val="24"/>
          <w:szCs w:val="24"/>
        </w:rPr>
        <w:t>2020), which advocates the integration of critical thinking, problem-solving, and computational skills within school education.</w:t>
      </w:r>
    </w:p>
    <w:p w14:paraId="5FB1D601" w14:textId="74B47F54" w:rsidR="00B4795A" w:rsidRDefault="00B53B67" w:rsidP="00F12FB9">
      <w:pPr>
        <w:spacing w:before="58" w:after="202" w:line="360" w:lineRule="auto"/>
        <w:ind w:firstLine="720"/>
        <w:jc w:val="both"/>
        <w:rPr>
          <w:rFonts w:ascii="Times New Roman" w:hAnsi="Times New Roman" w:cs="Times New Roman"/>
          <w:sz w:val="24"/>
          <w:szCs w:val="24"/>
        </w:rPr>
      </w:pPr>
      <w:r w:rsidRPr="00B53B67">
        <w:rPr>
          <w:rFonts w:ascii="Times New Roman" w:hAnsi="Times New Roman" w:cs="Times New Roman"/>
          <w:sz w:val="24"/>
          <w:szCs w:val="24"/>
        </w:rPr>
        <w:t>The age</w:t>
      </w:r>
      <w:r w:rsidR="0017340D">
        <w:rPr>
          <w:rFonts w:ascii="Times New Roman" w:hAnsi="Times New Roman" w:cs="Times New Roman"/>
          <w:sz w:val="24"/>
          <w:szCs w:val="24"/>
        </w:rPr>
        <w:t xml:space="preserve"> wise </w:t>
      </w:r>
      <w:r w:rsidRPr="00B53B67">
        <w:rPr>
          <w:rFonts w:ascii="Times New Roman" w:hAnsi="Times New Roman" w:cs="Times New Roman"/>
          <w:sz w:val="24"/>
          <w:szCs w:val="24"/>
        </w:rPr>
        <w:t xml:space="preserve">analysis </w:t>
      </w:r>
      <w:r w:rsidR="0017340D">
        <w:rPr>
          <w:rFonts w:ascii="Times New Roman" w:hAnsi="Times New Roman" w:cs="Times New Roman"/>
          <w:sz w:val="24"/>
          <w:szCs w:val="24"/>
        </w:rPr>
        <w:t xml:space="preserve">revealed </w:t>
      </w:r>
      <w:r w:rsidR="00C40600">
        <w:rPr>
          <w:rFonts w:ascii="Times New Roman" w:hAnsi="Times New Roman" w:cs="Times New Roman"/>
          <w:sz w:val="24"/>
          <w:szCs w:val="24"/>
        </w:rPr>
        <w:t xml:space="preserve">that </w:t>
      </w:r>
      <w:r w:rsidRPr="00B53B67">
        <w:rPr>
          <w:rFonts w:ascii="Times New Roman" w:hAnsi="Times New Roman" w:cs="Times New Roman"/>
          <w:sz w:val="24"/>
          <w:szCs w:val="24"/>
        </w:rPr>
        <w:t>marginal differences in CT performance a</w:t>
      </w:r>
      <w:r w:rsidR="00126E92">
        <w:rPr>
          <w:rFonts w:ascii="Times New Roman" w:hAnsi="Times New Roman" w:cs="Times New Roman"/>
          <w:sz w:val="24"/>
          <w:szCs w:val="24"/>
        </w:rPr>
        <w:t xml:space="preserve">cross different </w:t>
      </w:r>
      <w:r w:rsidRPr="00B53B67">
        <w:rPr>
          <w:rFonts w:ascii="Times New Roman" w:hAnsi="Times New Roman" w:cs="Times New Roman"/>
          <w:sz w:val="24"/>
          <w:szCs w:val="24"/>
        </w:rPr>
        <w:t xml:space="preserve">age groups, with 15-year-old students scoring slightly higher than </w:t>
      </w:r>
      <w:r w:rsidR="007D77FF">
        <w:rPr>
          <w:rFonts w:ascii="Times New Roman" w:hAnsi="Times New Roman" w:cs="Times New Roman"/>
          <w:sz w:val="24"/>
          <w:szCs w:val="24"/>
        </w:rPr>
        <w:t xml:space="preserve">the </w:t>
      </w:r>
      <w:r w:rsidR="007D77FF" w:rsidRPr="00B53B67">
        <w:rPr>
          <w:rFonts w:ascii="Times New Roman" w:hAnsi="Times New Roman" w:cs="Times New Roman"/>
          <w:sz w:val="24"/>
          <w:szCs w:val="24"/>
        </w:rPr>
        <w:t>13</w:t>
      </w:r>
      <w:r w:rsidR="007D77FF">
        <w:rPr>
          <w:rFonts w:ascii="Times New Roman" w:hAnsi="Times New Roman" w:cs="Times New Roman"/>
          <w:sz w:val="24"/>
          <w:szCs w:val="24"/>
        </w:rPr>
        <w:t>- and 14-year-old</w:t>
      </w:r>
      <w:r w:rsidRPr="00B53B67">
        <w:rPr>
          <w:rFonts w:ascii="Times New Roman" w:hAnsi="Times New Roman" w:cs="Times New Roman"/>
          <w:sz w:val="24"/>
          <w:szCs w:val="24"/>
        </w:rPr>
        <w:t xml:space="preserve"> students. This trend suggests a gradual developmental progression in CT skills with increasing age and cognitive maturity. The finding </w:t>
      </w:r>
      <w:r w:rsidR="00B4795A">
        <w:rPr>
          <w:rFonts w:ascii="Times New Roman" w:hAnsi="Times New Roman" w:cs="Times New Roman"/>
          <w:sz w:val="24"/>
          <w:szCs w:val="24"/>
        </w:rPr>
        <w:t xml:space="preserve">is aligned </w:t>
      </w:r>
      <w:r w:rsidRPr="00B53B67">
        <w:rPr>
          <w:rFonts w:ascii="Times New Roman" w:hAnsi="Times New Roman" w:cs="Times New Roman"/>
          <w:sz w:val="24"/>
          <w:szCs w:val="24"/>
        </w:rPr>
        <w:t xml:space="preserve">with Jiang and Wong (2022), who observed that CT abilities tend to improve gradually as students mature cognitively. </w:t>
      </w:r>
    </w:p>
    <w:p w14:paraId="15B05D01" w14:textId="210088A1" w:rsidR="00B53B67" w:rsidRPr="00B53B67" w:rsidRDefault="00B53B67" w:rsidP="00F12FB9">
      <w:pPr>
        <w:spacing w:before="58" w:after="202" w:line="360" w:lineRule="auto"/>
        <w:ind w:firstLine="720"/>
        <w:jc w:val="both"/>
        <w:rPr>
          <w:rFonts w:ascii="Times New Roman" w:hAnsi="Times New Roman" w:cs="Times New Roman"/>
          <w:sz w:val="24"/>
          <w:szCs w:val="24"/>
        </w:rPr>
      </w:pPr>
      <w:r w:rsidRPr="00B53B67">
        <w:rPr>
          <w:rFonts w:ascii="Times New Roman" w:hAnsi="Times New Roman" w:cs="Times New Roman"/>
          <w:sz w:val="24"/>
          <w:szCs w:val="24"/>
        </w:rPr>
        <w:lastRenderedPageBreak/>
        <w:t xml:space="preserve">However, the relatively small differences </w:t>
      </w:r>
      <w:r w:rsidR="008E30BF">
        <w:rPr>
          <w:rFonts w:ascii="Times New Roman" w:hAnsi="Times New Roman" w:cs="Times New Roman"/>
          <w:sz w:val="24"/>
          <w:szCs w:val="24"/>
        </w:rPr>
        <w:t>across</w:t>
      </w:r>
      <w:r w:rsidRPr="00B53B67">
        <w:rPr>
          <w:rFonts w:ascii="Times New Roman" w:hAnsi="Times New Roman" w:cs="Times New Roman"/>
          <w:sz w:val="24"/>
          <w:szCs w:val="24"/>
        </w:rPr>
        <w:t xml:space="preserve"> the age groups indicate that maturation alone is insufficient to produce substantial improvement in CT competency. Similar conclusions were drawn by Grover and Pea (2013), who emphasized that CT skills require explicit instruction, guided practice, and carefully designed learning environments.</w:t>
      </w:r>
      <w:r w:rsidR="00C03921">
        <w:rPr>
          <w:rFonts w:ascii="Times New Roman" w:hAnsi="Times New Roman" w:cs="Times New Roman"/>
          <w:sz w:val="24"/>
          <w:szCs w:val="24"/>
        </w:rPr>
        <w:t xml:space="preserve"> </w:t>
      </w:r>
      <w:r w:rsidR="00317126">
        <w:rPr>
          <w:rFonts w:ascii="Times New Roman" w:hAnsi="Times New Roman" w:cs="Times New Roman"/>
          <w:sz w:val="24"/>
          <w:szCs w:val="24"/>
        </w:rPr>
        <w:t xml:space="preserve">Additionally, furthermore, </w:t>
      </w:r>
      <w:r w:rsidR="00317126" w:rsidRPr="00B53B67">
        <w:rPr>
          <w:rFonts w:ascii="Times New Roman" w:hAnsi="Times New Roman" w:cs="Times New Roman"/>
          <w:sz w:val="24"/>
          <w:szCs w:val="24"/>
        </w:rPr>
        <w:t>the</w:t>
      </w:r>
      <w:r w:rsidRPr="00B53B67">
        <w:rPr>
          <w:rFonts w:ascii="Times New Roman" w:hAnsi="Times New Roman" w:cs="Times New Roman"/>
          <w:sz w:val="24"/>
          <w:szCs w:val="24"/>
        </w:rPr>
        <w:t xml:space="preserve"> findings also </w:t>
      </w:r>
      <w:r w:rsidR="00B13649">
        <w:rPr>
          <w:rFonts w:ascii="Times New Roman" w:hAnsi="Times New Roman" w:cs="Times New Roman"/>
          <w:sz w:val="24"/>
          <w:szCs w:val="24"/>
        </w:rPr>
        <w:t xml:space="preserve">align with </w:t>
      </w:r>
      <w:r w:rsidRPr="00B53B67">
        <w:rPr>
          <w:rFonts w:ascii="Times New Roman" w:hAnsi="Times New Roman" w:cs="Times New Roman"/>
          <w:sz w:val="24"/>
          <w:szCs w:val="24"/>
        </w:rPr>
        <w:t xml:space="preserve">the observations of Shute, Sun, and Asbell-Clarke (2017), </w:t>
      </w:r>
      <w:r w:rsidR="00705F2B">
        <w:rPr>
          <w:rFonts w:ascii="Times New Roman" w:hAnsi="Times New Roman" w:cs="Times New Roman"/>
          <w:sz w:val="24"/>
          <w:szCs w:val="24"/>
        </w:rPr>
        <w:t xml:space="preserve">observations </w:t>
      </w:r>
      <w:r w:rsidRPr="00B53B67">
        <w:rPr>
          <w:rFonts w:ascii="Times New Roman" w:hAnsi="Times New Roman" w:cs="Times New Roman"/>
          <w:sz w:val="24"/>
          <w:szCs w:val="24"/>
        </w:rPr>
        <w:t xml:space="preserve">that meaningful CT development </w:t>
      </w:r>
      <w:r w:rsidR="00317126">
        <w:rPr>
          <w:rFonts w:ascii="Times New Roman" w:hAnsi="Times New Roman" w:cs="Times New Roman"/>
          <w:sz w:val="24"/>
          <w:szCs w:val="24"/>
        </w:rPr>
        <w:t xml:space="preserve">occurs and require when students </w:t>
      </w:r>
      <w:r w:rsidRPr="00B53B67">
        <w:rPr>
          <w:rFonts w:ascii="Times New Roman" w:hAnsi="Times New Roman" w:cs="Times New Roman"/>
          <w:sz w:val="24"/>
          <w:szCs w:val="24"/>
        </w:rPr>
        <w:t>are systematically engaged in authentic problem-solving and reasoning activities.</w:t>
      </w:r>
    </w:p>
    <w:p w14:paraId="205C4894" w14:textId="0F1DAEAA" w:rsidR="00D22575" w:rsidRDefault="00B34580" w:rsidP="00F12FB9">
      <w:pPr>
        <w:spacing w:before="58" w:after="202"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317126" w:rsidRPr="00B53B67">
        <w:rPr>
          <w:rFonts w:ascii="Times New Roman" w:hAnsi="Times New Roman" w:cs="Times New Roman"/>
          <w:sz w:val="24"/>
          <w:szCs w:val="24"/>
        </w:rPr>
        <w:t>dimension-wise analysis revealed that students</w:t>
      </w:r>
      <w:r w:rsidR="0054046D">
        <w:rPr>
          <w:rFonts w:ascii="Times New Roman" w:hAnsi="Times New Roman" w:cs="Times New Roman"/>
          <w:sz w:val="24"/>
          <w:szCs w:val="24"/>
        </w:rPr>
        <w:t xml:space="preserve"> exhibited</w:t>
      </w:r>
      <w:r w:rsidR="00E5292A">
        <w:rPr>
          <w:rFonts w:ascii="Times New Roman" w:hAnsi="Times New Roman" w:cs="Times New Roman"/>
          <w:sz w:val="24"/>
          <w:szCs w:val="24"/>
        </w:rPr>
        <w:t xml:space="preserve"> relatively </w:t>
      </w:r>
      <w:r w:rsidR="005647E1" w:rsidRPr="00B53B67">
        <w:rPr>
          <w:rFonts w:ascii="Times New Roman" w:hAnsi="Times New Roman" w:cs="Times New Roman"/>
          <w:sz w:val="24"/>
          <w:szCs w:val="24"/>
        </w:rPr>
        <w:t>performed</w:t>
      </w:r>
      <w:r w:rsidR="005647E1">
        <w:rPr>
          <w:rFonts w:ascii="Times New Roman" w:hAnsi="Times New Roman" w:cs="Times New Roman"/>
          <w:sz w:val="24"/>
          <w:szCs w:val="24"/>
        </w:rPr>
        <w:t xml:space="preserve"> </w:t>
      </w:r>
      <w:r w:rsidR="005647E1" w:rsidRPr="00B53B67">
        <w:rPr>
          <w:rFonts w:ascii="Times New Roman" w:hAnsi="Times New Roman" w:cs="Times New Roman"/>
          <w:sz w:val="24"/>
          <w:szCs w:val="24"/>
        </w:rPr>
        <w:t>better</w:t>
      </w:r>
      <w:r w:rsidR="00317126" w:rsidRPr="00B53B67">
        <w:rPr>
          <w:rFonts w:ascii="Times New Roman" w:hAnsi="Times New Roman" w:cs="Times New Roman"/>
          <w:sz w:val="24"/>
          <w:szCs w:val="24"/>
        </w:rPr>
        <w:t xml:space="preserve"> in Decomposition</w:t>
      </w:r>
      <w:r w:rsidR="00B02CC2">
        <w:rPr>
          <w:rFonts w:ascii="Times New Roman" w:hAnsi="Times New Roman" w:cs="Times New Roman"/>
          <w:sz w:val="24"/>
          <w:szCs w:val="24"/>
        </w:rPr>
        <w:t xml:space="preserve">, </w:t>
      </w:r>
      <w:r w:rsidR="00317126" w:rsidRPr="00B53B67">
        <w:rPr>
          <w:rFonts w:ascii="Times New Roman" w:hAnsi="Times New Roman" w:cs="Times New Roman"/>
          <w:sz w:val="24"/>
          <w:szCs w:val="24"/>
        </w:rPr>
        <w:t>Pattern Recognition,</w:t>
      </w:r>
      <w:r w:rsidR="00B02CC2">
        <w:rPr>
          <w:rFonts w:ascii="Times New Roman" w:hAnsi="Times New Roman" w:cs="Times New Roman"/>
          <w:sz w:val="24"/>
          <w:szCs w:val="24"/>
        </w:rPr>
        <w:t xml:space="preserve"> while </w:t>
      </w:r>
      <w:r w:rsidR="00317126" w:rsidRPr="00B53B67">
        <w:rPr>
          <w:rFonts w:ascii="Times New Roman" w:hAnsi="Times New Roman" w:cs="Times New Roman"/>
          <w:sz w:val="24"/>
          <w:szCs w:val="24"/>
        </w:rPr>
        <w:t>Abstraction and particularly Algorithmic Thinking</w:t>
      </w:r>
      <w:r w:rsidR="00A203DC">
        <w:rPr>
          <w:rFonts w:ascii="Times New Roman" w:hAnsi="Times New Roman" w:cs="Times New Roman"/>
          <w:sz w:val="24"/>
          <w:szCs w:val="24"/>
        </w:rPr>
        <w:t xml:space="preserve"> identified as</w:t>
      </w:r>
      <w:r w:rsidR="00317126" w:rsidRPr="00B53B67">
        <w:rPr>
          <w:rFonts w:ascii="Times New Roman" w:hAnsi="Times New Roman" w:cs="Times New Roman"/>
          <w:sz w:val="24"/>
          <w:szCs w:val="24"/>
        </w:rPr>
        <w:t xml:space="preserve"> weaker areas. </w:t>
      </w:r>
      <w:r w:rsidR="00FF7035">
        <w:rPr>
          <w:rFonts w:ascii="Times New Roman" w:hAnsi="Times New Roman" w:cs="Times New Roman"/>
          <w:sz w:val="24"/>
          <w:szCs w:val="24"/>
        </w:rPr>
        <w:t xml:space="preserve">Comparatively, </w:t>
      </w:r>
      <w:r w:rsidR="00FF7035" w:rsidRPr="00B53B67">
        <w:rPr>
          <w:rFonts w:ascii="Times New Roman" w:hAnsi="Times New Roman" w:cs="Times New Roman"/>
          <w:sz w:val="24"/>
          <w:szCs w:val="24"/>
        </w:rPr>
        <w:t>the</w:t>
      </w:r>
      <w:r w:rsidR="005647E1" w:rsidRPr="00B53B67">
        <w:rPr>
          <w:rFonts w:ascii="Times New Roman" w:hAnsi="Times New Roman" w:cs="Times New Roman"/>
          <w:sz w:val="24"/>
          <w:szCs w:val="24"/>
        </w:rPr>
        <w:t xml:space="preserve"> </w:t>
      </w:r>
      <w:r w:rsidR="005647E1">
        <w:rPr>
          <w:rFonts w:ascii="Times New Roman" w:hAnsi="Times New Roman" w:cs="Times New Roman"/>
          <w:sz w:val="24"/>
          <w:szCs w:val="24"/>
        </w:rPr>
        <w:t xml:space="preserve">stronger </w:t>
      </w:r>
      <w:r w:rsidR="00317126" w:rsidRPr="00B53B67">
        <w:rPr>
          <w:rFonts w:ascii="Times New Roman" w:hAnsi="Times New Roman" w:cs="Times New Roman"/>
          <w:sz w:val="24"/>
          <w:szCs w:val="24"/>
        </w:rPr>
        <w:t>performance in Decomposition suggests that students possess a basic ability to break complex problems into smaller manageable parts,</w:t>
      </w:r>
      <w:r w:rsidR="005F3020">
        <w:rPr>
          <w:rFonts w:ascii="Times New Roman" w:hAnsi="Times New Roman" w:cs="Times New Roman"/>
          <w:sz w:val="24"/>
          <w:szCs w:val="24"/>
        </w:rPr>
        <w:t xml:space="preserve"> likely, </w:t>
      </w:r>
      <w:r w:rsidR="00CF531C">
        <w:rPr>
          <w:rFonts w:ascii="Times New Roman" w:hAnsi="Times New Roman" w:cs="Times New Roman"/>
          <w:sz w:val="24"/>
          <w:szCs w:val="24"/>
        </w:rPr>
        <w:t xml:space="preserve">consistent </w:t>
      </w:r>
      <w:r w:rsidR="00317126" w:rsidRPr="00B53B67">
        <w:rPr>
          <w:rFonts w:ascii="Times New Roman" w:hAnsi="Times New Roman" w:cs="Times New Roman"/>
          <w:sz w:val="24"/>
          <w:szCs w:val="24"/>
        </w:rPr>
        <w:t>regular exposure to procedural problem-solving activities in mathematics classrooms.</w:t>
      </w:r>
      <w:r w:rsidR="00CF531C">
        <w:rPr>
          <w:rFonts w:ascii="Times New Roman" w:hAnsi="Times New Roman" w:cs="Times New Roman"/>
          <w:sz w:val="24"/>
          <w:szCs w:val="24"/>
        </w:rPr>
        <w:t xml:space="preserve"> Conversely, </w:t>
      </w:r>
      <w:r w:rsidR="00317126" w:rsidRPr="00B53B67">
        <w:rPr>
          <w:rFonts w:ascii="Times New Roman" w:hAnsi="Times New Roman" w:cs="Times New Roman"/>
          <w:sz w:val="24"/>
          <w:szCs w:val="24"/>
        </w:rPr>
        <w:t>the low</w:t>
      </w:r>
      <w:r w:rsidR="00CF531C">
        <w:rPr>
          <w:rFonts w:ascii="Times New Roman" w:hAnsi="Times New Roman" w:cs="Times New Roman"/>
          <w:sz w:val="24"/>
          <w:szCs w:val="24"/>
        </w:rPr>
        <w:t>er</w:t>
      </w:r>
      <w:r w:rsidR="00317126" w:rsidRPr="00B53B67">
        <w:rPr>
          <w:rFonts w:ascii="Times New Roman" w:hAnsi="Times New Roman" w:cs="Times New Roman"/>
          <w:sz w:val="24"/>
          <w:szCs w:val="24"/>
        </w:rPr>
        <w:t xml:space="preserve"> performance in Algorithmic Thinking in</w:t>
      </w:r>
      <w:r w:rsidR="00A4645F">
        <w:rPr>
          <w:rFonts w:ascii="Times New Roman" w:hAnsi="Times New Roman" w:cs="Times New Roman"/>
          <w:sz w:val="24"/>
          <w:szCs w:val="24"/>
        </w:rPr>
        <w:t xml:space="preserve">dicates challenges </w:t>
      </w:r>
      <w:r w:rsidR="00317126" w:rsidRPr="00B53B67">
        <w:rPr>
          <w:rFonts w:ascii="Times New Roman" w:hAnsi="Times New Roman" w:cs="Times New Roman"/>
          <w:sz w:val="24"/>
          <w:szCs w:val="24"/>
        </w:rPr>
        <w:t xml:space="preserve">in logical sequencing, procedural reasoning, and step-by-step solution construction. This finding is consistent with the study of Huda and </w:t>
      </w:r>
      <w:proofErr w:type="spellStart"/>
      <w:r w:rsidR="00317126" w:rsidRPr="00B53B67">
        <w:rPr>
          <w:rFonts w:ascii="Times New Roman" w:hAnsi="Times New Roman" w:cs="Times New Roman"/>
          <w:sz w:val="24"/>
          <w:szCs w:val="24"/>
        </w:rPr>
        <w:t>Rohaeti</w:t>
      </w:r>
      <w:proofErr w:type="spellEnd"/>
      <w:r w:rsidR="00317126" w:rsidRPr="00B53B67">
        <w:rPr>
          <w:rFonts w:ascii="Times New Roman" w:hAnsi="Times New Roman" w:cs="Times New Roman"/>
          <w:sz w:val="24"/>
          <w:szCs w:val="24"/>
        </w:rPr>
        <w:t xml:space="preserve"> (2024), who identified algorithmic thinking as the weakest component</w:t>
      </w:r>
      <w:r w:rsidR="00470D89">
        <w:rPr>
          <w:rFonts w:ascii="Times New Roman" w:hAnsi="Times New Roman" w:cs="Times New Roman"/>
          <w:sz w:val="24"/>
          <w:szCs w:val="24"/>
        </w:rPr>
        <w:t xml:space="preserve"> of CT</w:t>
      </w:r>
      <w:r w:rsidR="00317126" w:rsidRPr="00B53B67">
        <w:rPr>
          <w:rFonts w:ascii="Times New Roman" w:hAnsi="Times New Roman" w:cs="Times New Roman"/>
          <w:sz w:val="24"/>
          <w:szCs w:val="24"/>
        </w:rPr>
        <w:t xml:space="preserve"> among secondary school students. </w:t>
      </w:r>
      <w:r w:rsidR="00673C1F">
        <w:rPr>
          <w:rFonts w:ascii="Times New Roman" w:hAnsi="Times New Roman" w:cs="Times New Roman"/>
          <w:sz w:val="24"/>
          <w:szCs w:val="24"/>
        </w:rPr>
        <w:t>Similarly</w:t>
      </w:r>
      <w:r w:rsidR="00317126" w:rsidRPr="00B53B67">
        <w:rPr>
          <w:rFonts w:ascii="Times New Roman" w:hAnsi="Times New Roman" w:cs="Times New Roman"/>
          <w:sz w:val="24"/>
          <w:szCs w:val="24"/>
        </w:rPr>
        <w:t>,</w:t>
      </w:r>
      <w:r w:rsidR="00204A9A">
        <w:rPr>
          <w:rFonts w:ascii="Times New Roman" w:hAnsi="Times New Roman" w:cs="Times New Roman"/>
          <w:sz w:val="24"/>
          <w:szCs w:val="24"/>
        </w:rPr>
        <w:t xml:space="preserve"> the study conducted </w:t>
      </w:r>
      <w:r w:rsidR="00B83B52">
        <w:rPr>
          <w:rFonts w:ascii="Times New Roman" w:hAnsi="Times New Roman" w:cs="Times New Roman"/>
          <w:sz w:val="24"/>
          <w:szCs w:val="24"/>
        </w:rPr>
        <w:t xml:space="preserve">by </w:t>
      </w:r>
      <w:r w:rsidR="00B83B52" w:rsidRPr="00B53B67">
        <w:rPr>
          <w:rFonts w:ascii="Times New Roman" w:hAnsi="Times New Roman" w:cs="Times New Roman"/>
          <w:sz w:val="24"/>
          <w:szCs w:val="24"/>
        </w:rPr>
        <w:t>Mulyono</w:t>
      </w:r>
      <w:r w:rsidR="00673C1F">
        <w:rPr>
          <w:rFonts w:ascii="Times New Roman" w:hAnsi="Times New Roman" w:cs="Times New Roman"/>
          <w:sz w:val="24"/>
          <w:szCs w:val="24"/>
        </w:rPr>
        <w:t>, et al.,</w:t>
      </w:r>
      <w:r w:rsidR="00317126" w:rsidRPr="00B53B67">
        <w:rPr>
          <w:rFonts w:ascii="Times New Roman" w:hAnsi="Times New Roman" w:cs="Times New Roman"/>
          <w:sz w:val="24"/>
          <w:szCs w:val="24"/>
        </w:rPr>
        <w:t xml:space="preserve"> (2024) reported that students e</w:t>
      </w:r>
      <w:r w:rsidR="00B83B52">
        <w:rPr>
          <w:rFonts w:ascii="Times New Roman" w:hAnsi="Times New Roman" w:cs="Times New Roman"/>
          <w:sz w:val="24"/>
          <w:szCs w:val="24"/>
        </w:rPr>
        <w:t xml:space="preserve">ncounter </w:t>
      </w:r>
      <w:r w:rsidR="00317126" w:rsidRPr="00B53B67">
        <w:rPr>
          <w:rFonts w:ascii="Times New Roman" w:hAnsi="Times New Roman" w:cs="Times New Roman"/>
          <w:sz w:val="24"/>
          <w:szCs w:val="24"/>
        </w:rPr>
        <w:t>greater difficulty in CT tasks</w:t>
      </w:r>
      <w:r w:rsidR="00D201D6">
        <w:rPr>
          <w:rFonts w:ascii="Times New Roman" w:hAnsi="Times New Roman" w:cs="Times New Roman"/>
          <w:sz w:val="24"/>
          <w:szCs w:val="24"/>
        </w:rPr>
        <w:t xml:space="preserve"> that necessitate the </w:t>
      </w:r>
      <w:r w:rsidR="00317126" w:rsidRPr="00B53B67">
        <w:rPr>
          <w:rFonts w:ascii="Times New Roman" w:hAnsi="Times New Roman" w:cs="Times New Roman"/>
          <w:sz w:val="24"/>
          <w:szCs w:val="24"/>
        </w:rPr>
        <w:t xml:space="preserve">structured procedural reasoning and logical thinking. </w:t>
      </w:r>
    </w:p>
    <w:p w14:paraId="20CC08BB" w14:textId="027247F9" w:rsidR="002705C6" w:rsidRDefault="00317126" w:rsidP="00F12FB9">
      <w:pPr>
        <w:spacing w:before="58" w:after="202" w:line="360" w:lineRule="auto"/>
        <w:ind w:firstLine="720"/>
        <w:jc w:val="both"/>
        <w:rPr>
          <w:rFonts w:ascii="Times New Roman" w:hAnsi="Times New Roman" w:cs="Times New Roman"/>
          <w:sz w:val="24"/>
          <w:szCs w:val="24"/>
        </w:rPr>
      </w:pPr>
      <w:r w:rsidRPr="00B53B67">
        <w:rPr>
          <w:rFonts w:ascii="Times New Roman" w:hAnsi="Times New Roman" w:cs="Times New Roman"/>
          <w:sz w:val="24"/>
          <w:szCs w:val="24"/>
        </w:rPr>
        <w:t xml:space="preserve">The findings are also theoretically </w:t>
      </w:r>
      <w:r w:rsidR="003001D0">
        <w:rPr>
          <w:rFonts w:ascii="Times New Roman" w:hAnsi="Times New Roman" w:cs="Times New Roman"/>
          <w:sz w:val="24"/>
          <w:szCs w:val="24"/>
        </w:rPr>
        <w:t xml:space="preserve">aligned with the </w:t>
      </w:r>
      <w:r w:rsidRPr="00B53B67">
        <w:rPr>
          <w:rFonts w:ascii="Times New Roman" w:hAnsi="Times New Roman" w:cs="Times New Roman"/>
          <w:sz w:val="24"/>
          <w:szCs w:val="24"/>
        </w:rPr>
        <w:t xml:space="preserve">Barr and Stephenson (2011), who </w:t>
      </w:r>
      <w:r w:rsidR="00432921">
        <w:rPr>
          <w:rFonts w:ascii="Times New Roman" w:hAnsi="Times New Roman" w:cs="Times New Roman"/>
          <w:sz w:val="24"/>
          <w:szCs w:val="24"/>
        </w:rPr>
        <w:t xml:space="preserve">characterized </w:t>
      </w:r>
      <w:r w:rsidRPr="00B53B67">
        <w:rPr>
          <w:rFonts w:ascii="Times New Roman" w:hAnsi="Times New Roman" w:cs="Times New Roman"/>
          <w:sz w:val="24"/>
          <w:szCs w:val="24"/>
        </w:rPr>
        <w:t xml:space="preserve">algorithmic thinking as a higher-order CT competency </w:t>
      </w:r>
      <w:r w:rsidR="00432921">
        <w:rPr>
          <w:rFonts w:ascii="Times New Roman" w:hAnsi="Times New Roman" w:cs="Times New Roman"/>
          <w:sz w:val="24"/>
          <w:szCs w:val="24"/>
        </w:rPr>
        <w:t xml:space="preserve">that </w:t>
      </w:r>
      <w:r w:rsidRPr="00B53B67">
        <w:rPr>
          <w:rFonts w:ascii="Times New Roman" w:hAnsi="Times New Roman" w:cs="Times New Roman"/>
          <w:sz w:val="24"/>
          <w:szCs w:val="24"/>
        </w:rPr>
        <w:t>requir</w:t>
      </w:r>
      <w:r w:rsidR="002D7E56">
        <w:rPr>
          <w:rFonts w:ascii="Times New Roman" w:hAnsi="Times New Roman" w:cs="Times New Roman"/>
          <w:sz w:val="24"/>
          <w:szCs w:val="24"/>
        </w:rPr>
        <w:t xml:space="preserve">es </w:t>
      </w:r>
      <w:r w:rsidRPr="00B53B67">
        <w:rPr>
          <w:rFonts w:ascii="Times New Roman" w:hAnsi="Times New Roman" w:cs="Times New Roman"/>
          <w:sz w:val="24"/>
          <w:szCs w:val="24"/>
        </w:rPr>
        <w:t xml:space="preserve">explicit pedagogical scaffolding and systematic instructional practice. </w:t>
      </w:r>
      <w:r w:rsidR="002D7E56">
        <w:rPr>
          <w:rFonts w:ascii="Times New Roman" w:hAnsi="Times New Roman" w:cs="Times New Roman"/>
          <w:sz w:val="24"/>
          <w:szCs w:val="24"/>
        </w:rPr>
        <w:t xml:space="preserve">Additionally, </w:t>
      </w:r>
      <w:r w:rsidR="00A643B2">
        <w:rPr>
          <w:rFonts w:ascii="Times New Roman" w:hAnsi="Times New Roman" w:cs="Times New Roman"/>
          <w:sz w:val="24"/>
          <w:szCs w:val="24"/>
        </w:rPr>
        <w:t>f</w:t>
      </w:r>
      <w:r w:rsidR="00A643B2" w:rsidRPr="00B53B67">
        <w:rPr>
          <w:rFonts w:ascii="Times New Roman" w:hAnsi="Times New Roman" w:cs="Times New Roman"/>
          <w:sz w:val="24"/>
          <w:szCs w:val="24"/>
        </w:rPr>
        <w:t>urthermore</w:t>
      </w:r>
      <w:r w:rsidR="00A643B2">
        <w:rPr>
          <w:rFonts w:ascii="Times New Roman" w:hAnsi="Times New Roman" w:cs="Times New Roman"/>
          <w:sz w:val="24"/>
          <w:szCs w:val="24"/>
        </w:rPr>
        <w:t xml:space="preserve"> </w:t>
      </w:r>
      <w:r w:rsidR="00A643B2" w:rsidRPr="00B53B67">
        <w:rPr>
          <w:rFonts w:ascii="Times New Roman" w:hAnsi="Times New Roman" w:cs="Times New Roman"/>
          <w:sz w:val="24"/>
          <w:szCs w:val="24"/>
        </w:rPr>
        <w:t>Brennan</w:t>
      </w:r>
      <w:r w:rsidRPr="00B53B67">
        <w:rPr>
          <w:rFonts w:ascii="Times New Roman" w:hAnsi="Times New Roman" w:cs="Times New Roman"/>
          <w:sz w:val="24"/>
          <w:szCs w:val="24"/>
        </w:rPr>
        <w:t xml:space="preserve"> and Resnick (2012) emphasized that CT competencies such as abstraction and algorithmic reasoning </w:t>
      </w:r>
      <w:r w:rsidR="00A36568">
        <w:rPr>
          <w:rFonts w:ascii="Times New Roman" w:hAnsi="Times New Roman" w:cs="Times New Roman"/>
          <w:sz w:val="24"/>
          <w:szCs w:val="24"/>
        </w:rPr>
        <w:t xml:space="preserve">most effectively </w:t>
      </w:r>
      <w:r w:rsidRPr="00B53B67">
        <w:rPr>
          <w:rFonts w:ascii="Times New Roman" w:hAnsi="Times New Roman" w:cs="Times New Roman"/>
          <w:sz w:val="24"/>
          <w:szCs w:val="24"/>
        </w:rPr>
        <w:t>develop</w:t>
      </w:r>
      <w:r w:rsidR="00A36568">
        <w:rPr>
          <w:rFonts w:ascii="Times New Roman" w:hAnsi="Times New Roman" w:cs="Times New Roman"/>
          <w:sz w:val="24"/>
          <w:szCs w:val="24"/>
        </w:rPr>
        <w:t xml:space="preserve">ed </w:t>
      </w:r>
      <w:r w:rsidRPr="00B53B67">
        <w:rPr>
          <w:rFonts w:ascii="Times New Roman" w:hAnsi="Times New Roman" w:cs="Times New Roman"/>
          <w:sz w:val="24"/>
          <w:szCs w:val="24"/>
        </w:rPr>
        <w:t xml:space="preserve">only when students are actively engaged in exploratory, collaborative, and design-oriented learning environments. </w:t>
      </w:r>
      <w:r w:rsidR="00D00410">
        <w:rPr>
          <w:rFonts w:ascii="Times New Roman" w:hAnsi="Times New Roman" w:cs="Times New Roman"/>
          <w:sz w:val="24"/>
          <w:szCs w:val="24"/>
        </w:rPr>
        <w:t>Consequently,</w:t>
      </w:r>
      <w:r w:rsidR="00CF00DA">
        <w:rPr>
          <w:rFonts w:ascii="Times New Roman" w:hAnsi="Times New Roman" w:cs="Times New Roman"/>
          <w:sz w:val="24"/>
          <w:szCs w:val="24"/>
        </w:rPr>
        <w:t xml:space="preserve"> at this juncture, </w:t>
      </w:r>
      <w:r w:rsidRPr="00B53B67">
        <w:rPr>
          <w:rFonts w:ascii="Times New Roman" w:hAnsi="Times New Roman" w:cs="Times New Roman"/>
          <w:sz w:val="24"/>
          <w:szCs w:val="24"/>
        </w:rPr>
        <w:t xml:space="preserve">the present findings highlight the urgent need for integrating CT-focused pedagogical strategies, </w:t>
      </w:r>
      <w:r w:rsidR="00AD0553">
        <w:rPr>
          <w:rFonts w:ascii="Times New Roman" w:hAnsi="Times New Roman" w:cs="Times New Roman"/>
          <w:sz w:val="24"/>
          <w:szCs w:val="24"/>
        </w:rPr>
        <w:t xml:space="preserve">such as </w:t>
      </w:r>
      <w:r w:rsidRPr="00B53B67">
        <w:rPr>
          <w:rFonts w:ascii="Times New Roman" w:hAnsi="Times New Roman" w:cs="Times New Roman"/>
          <w:sz w:val="24"/>
          <w:szCs w:val="24"/>
        </w:rPr>
        <w:t xml:space="preserve">logical sequencing activities, flowcharting, coding-based reasoning tasks, and problem-based learning approaches, within the </w:t>
      </w:r>
      <w:r w:rsidR="003F00B9">
        <w:rPr>
          <w:rFonts w:ascii="Times New Roman" w:hAnsi="Times New Roman" w:cs="Times New Roman"/>
          <w:sz w:val="24"/>
          <w:szCs w:val="24"/>
        </w:rPr>
        <w:t xml:space="preserve">secondary </w:t>
      </w:r>
      <w:r w:rsidRPr="00B53B67">
        <w:rPr>
          <w:rFonts w:ascii="Times New Roman" w:hAnsi="Times New Roman" w:cs="Times New Roman"/>
          <w:sz w:val="24"/>
          <w:szCs w:val="24"/>
        </w:rPr>
        <w:t>mathematics curriculum to strengthen students’ higher-order thinking and computational problem-solving abilities.</w:t>
      </w:r>
    </w:p>
    <w:p w14:paraId="2CD58E48" w14:textId="77777777" w:rsidR="00D00410" w:rsidRDefault="00D00410" w:rsidP="00AB06E4">
      <w:pPr>
        <w:spacing w:before="58" w:after="202" w:line="360" w:lineRule="auto"/>
        <w:jc w:val="both"/>
        <w:rPr>
          <w:rFonts w:ascii="Times New Roman" w:hAnsi="Times New Roman" w:cs="Times New Roman"/>
          <w:b/>
          <w:bCs/>
          <w:sz w:val="24"/>
          <w:szCs w:val="24"/>
        </w:rPr>
      </w:pPr>
    </w:p>
    <w:p w14:paraId="61380B86" w14:textId="753FD4D9" w:rsidR="00A7167C" w:rsidRDefault="00555F91" w:rsidP="00AB06E4">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8.0 </w:t>
      </w:r>
      <w:r w:rsidR="00AB06E4" w:rsidRPr="00AB06E4">
        <w:rPr>
          <w:rFonts w:ascii="Times New Roman" w:hAnsi="Times New Roman" w:cs="Times New Roman"/>
          <w:b/>
          <w:bCs/>
          <w:sz w:val="24"/>
          <w:szCs w:val="24"/>
        </w:rPr>
        <w:t xml:space="preserve">conclusion: </w:t>
      </w:r>
    </w:p>
    <w:p w14:paraId="40597D6C" w14:textId="77777777" w:rsidR="00652562" w:rsidRDefault="00D00410" w:rsidP="000E6EF5">
      <w:pPr>
        <w:spacing w:before="58" w:after="202" w:line="360" w:lineRule="auto"/>
        <w:ind w:firstLine="720"/>
        <w:jc w:val="both"/>
        <w:rPr>
          <w:rFonts w:ascii="Times New Roman" w:hAnsi="Times New Roman" w:cs="Times New Roman"/>
          <w:sz w:val="24"/>
          <w:szCs w:val="24"/>
        </w:rPr>
      </w:pPr>
      <w:r w:rsidRPr="00D00410">
        <w:rPr>
          <w:rFonts w:ascii="Times New Roman" w:hAnsi="Times New Roman" w:cs="Times New Roman"/>
          <w:sz w:val="24"/>
          <w:szCs w:val="24"/>
        </w:rPr>
        <w:t xml:space="preserve">The present study </w:t>
      </w:r>
      <w:r w:rsidR="00F86204">
        <w:rPr>
          <w:rFonts w:ascii="Times New Roman" w:hAnsi="Times New Roman" w:cs="Times New Roman"/>
          <w:sz w:val="24"/>
          <w:szCs w:val="24"/>
        </w:rPr>
        <w:t>examined the secondary level students of computational thinking skills through computational thinking test</w:t>
      </w:r>
      <w:r w:rsidR="00C96A94">
        <w:rPr>
          <w:rFonts w:ascii="Times New Roman" w:hAnsi="Times New Roman" w:cs="Times New Roman"/>
          <w:sz w:val="24"/>
          <w:szCs w:val="24"/>
        </w:rPr>
        <w:t xml:space="preserve"> </w:t>
      </w:r>
      <w:r w:rsidR="00675C72">
        <w:rPr>
          <w:rFonts w:ascii="Times New Roman" w:hAnsi="Times New Roman" w:cs="Times New Roman"/>
          <w:sz w:val="24"/>
          <w:szCs w:val="24"/>
        </w:rPr>
        <w:t xml:space="preserve">that consist of four core dimensions, such as, decomposition, pattern recognition, abstraction and </w:t>
      </w:r>
      <w:r w:rsidR="000A3222">
        <w:rPr>
          <w:rFonts w:ascii="Times New Roman" w:hAnsi="Times New Roman" w:cs="Times New Roman"/>
          <w:sz w:val="24"/>
          <w:szCs w:val="24"/>
        </w:rPr>
        <w:t>algorithms using</w:t>
      </w:r>
      <w:r w:rsidR="00C96A94">
        <w:rPr>
          <w:rFonts w:ascii="Times New Roman" w:hAnsi="Times New Roman" w:cs="Times New Roman"/>
          <w:sz w:val="24"/>
          <w:szCs w:val="24"/>
        </w:rPr>
        <w:t xml:space="preserve"> 0-1-2 scoring scheme</w:t>
      </w:r>
      <w:r w:rsidR="00675C72">
        <w:rPr>
          <w:rFonts w:ascii="Times New Roman" w:hAnsi="Times New Roman" w:cs="Times New Roman"/>
          <w:sz w:val="24"/>
          <w:szCs w:val="24"/>
        </w:rPr>
        <w:t xml:space="preserve">. </w:t>
      </w:r>
      <w:r w:rsidR="000A3222">
        <w:rPr>
          <w:rFonts w:ascii="Times New Roman" w:hAnsi="Times New Roman" w:cs="Times New Roman"/>
          <w:sz w:val="24"/>
          <w:szCs w:val="24"/>
        </w:rPr>
        <w:t xml:space="preserve">The obtained findings </w:t>
      </w:r>
      <w:r w:rsidR="00C86C79">
        <w:rPr>
          <w:rFonts w:ascii="Times New Roman" w:hAnsi="Times New Roman" w:cs="Times New Roman"/>
          <w:sz w:val="24"/>
          <w:szCs w:val="24"/>
        </w:rPr>
        <w:t xml:space="preserve">revealed that </w:t>
      </w:r>
      <w:r w:rsidR="000A3222">
        <w:rPr>
          <w:rFonts w:ascii="Times New Roman" w:hAnsi="Times New Roman" w:cs="Times New Roman"/>
          <w:sz w:val="24"/>
          <w:szCs w:val="24"/>
        </w:rPr>
        <w:t xml:space="preserve">collectively, </w:t>
      </w:r>
      <w:r w:rsidR="00C86C79">
        <w:rPr>
          <w:rFonts w:ascii="Times New Roman" w:hAnsi="Times New Roman" w:cs="Times New Roman"/>
          <w:sz w:val="24"/>
          <w:szCs w:val="24"/>
        </w:rPr>
        <w:t xml:space="preserve">the CT levels of the proficiency </w:t>
      </w:r>
      <w:r w:rsidR="00FE54B7">
        <w:rPr>
          <w:rFonts w:ascii="Times New Roman" w:hAnsi="Times New Roman" w:cs="Times New Roman"/>
          <w:sz w:val="24"/>
          <w:szCs w:val="24"/>
        </w:rPr>
        <w:t xml:space="preserve">predominately concentrated at the moderate level (56.7%) and Low </w:t>
      </w:r>
      <w:r w:rsidR="006D64ED">
        <w:rPr>
          <w:rFonts w:ascii="Times New Roman" w:hAnsi="Times New Roman" w:cs="Times New Roman"/>
          <w:sz w:val="24"/>
          <w:szCs w:val="24"/>
        </w:rPr>
        <w:t>level (</w:t>
      </w:r>
      <w:r w:rsidR="00FE54B7">
        <w:rPr>
          <w:rFonts w:ascii="Times New Roman" w:hAnsi="Times New Roman" w:cs="Times New Roman"/>
          <w:sz w:val="24"/>
          <w:szCs w:val="24"/>
        </w:rPr>
        <w:t>43.3%)</w:t>
      </w:r>
      <w:r w:rsidR="00E031F9">
        <w:rPr>
          <w:rFonts w:ascii="Times New Roman" w:hAnsi="Times New Roman" w:cs="Times New Roman"/>
          <w:sz w:val="24"/>
          <w:szCs w:val="24"/>
        </w:rPr>
        <w:t xml:space="preserve"> while, no student achieved high level CT competency.</w:t>
      </w:r>
      <w:r w:rsidR="00DD7664">
        <w:rPr>
          <w:rFonts w:ascii="Times New Roman" w:hAnsi="Times New Roman" w:cs="Times New Roman"/>
          <w:sz w:val="24"/>
          <w:szCs w:val="24"/>
        </w:rPr>
        <w:t xml:space="preserve"> </w:t>
      </w:r>
      <w:r w:rsidR="006D64ED">
        <w:rPr>
          <w:rFonts w:ascii="Times New Roman" w:hAnsi="Times New Roman" w:cs="Times New Roman"/>
          <w:sz w:val="24"/>
          <w:szCs w:val="24"/>
        </w:rPr>
        <w:t>This finding</w:t>
      </w:r>
      <w:r w:rsidR="00DD7664">
        <w:rPr>
          <w:rFonts w:ascii="Times New Roman" w:hAnsi="Times New Roman" w:cs="Times New Roman"/>
          <w:sz w:val="24"/>
          <w:szCs w:val="24"/>
        </w:rPr>
        <w:t xml:space="preserve"> suggesting that </w:t>
      </w:r>
      <w:r w:rsidR="0008490F">
        <w:rPr>
          <w:rFonts w:ascii="Times New Roman" w:hAnsi="Times New Roman" w:cs="Times New Roman"/>
          <w:sz w:val="24"/>
          <w:szCs w:val="24"/>
        </w:rPr>
        <w:t>possess CT skills at developing stage not yet advanced level</w:t>
      </w:r>
      <w:r w:rsidR="006D64ED">
        <w:rPr>
          <w:rFonts w:ascii="Times New Roman" w:hAnsi="Times New Roman" w:cs="Times New Roman"/>
          <w:sz w:val="24"/>
          <w:szCs w:val="24"/>
        </w:rPr>
        <w:t xml:space="preserve"> of CT competency. </w:t>
      </w:r>
      <w:r w:rsidR="00FE54B7">
        <w:rPr>
          <w:rFonts w:ascii="Times New Roman" w:hAnsi="Times New Roman" w:cs="Times New Roman"/>
          <w:sz w:val="24"/>
          <w:szCs w:val="24"/>
        </w:rPr>
        <w:t xml:space="preserve"> </w:t>
      </w:r>
    </w:p>
    <w:p w14:paraId="76316A9A" w14:textId="77777777" w:rsidR="007D54C1" w:rsidRDefault="006D64ED" w:rsidP="000E6EF5">
      <w:pPr>
        <w:spacing w:before="58" w:after="202"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Gender wise analysis </w:t>
      </w:r>
      <w:r w:rsidR="0034612C">
        <w:rPr>
          <w:rFonts w:ascii="Times New Roman" w:hAnsi="Times New Roman" w:cs="Times New Roman"/>
          <w:sz w:val="24"/>
          <w:szCs w:val="24"/>
        </w:rPr>
        <w:t>demonstrated that, comparatively,</w:t>
      </w:r>
      <w:r w:rsidR="00F20ED6">
        <w:rPr>
          <w:rFonts w:ascii="Times New Roman" w:hAnsi="Times New Roman" w:cs="Times New Roman"/>
          <w:sz w:val="24"/>
          <w:szCs w:val="24"/>
        </w:rPr>
        <w:t xml:space="preserve"> girls exhibited better performance </w:t>
      </w:r>
      <w:r w:rsidR="00300FC8">
        <w:rPr>
          <w:rFonts w:ascii="Times New Roman" w:hAnsi="Times New Roman" w:cs="Times New Roman"/>
          <w:sz w:val="24"/>
          <w:szCs w:val="24"/>
        </w:rPr>
        <w:t xml:space="preserve">of CT levels </w:t>
      </w:r>
      <w:r w:rsidR="00F20ED6">
        <w:rPr>
          <w:rFonts w:ascii="Times New Roman" w:hAnsi="Times New Roman" w:cs="Times New Roman"/>
          <w:sz w:val="24"/>
          <w:szCs w:val="24"/>
        </w:rPr>
        <w:t xml:space="preserve">than the </w:t>
      </w:r>
      <w:r w:rsidR="00B26A7E">
        <w:rPr>
          <w:rFonts w:ascii="Times New Roman" w:hAnsi="Times New Roman" w:cs="Times New Roman"/>
          <w:sz w:val="24"/>
          <w:szCs w:val="24"/>
        </w:rPr>
        <w:t>boys,</w:t>
      </w:r>
      <w:r w:rsidR="00300FC8">
        <w:rPr>
          <w:rFonts w:ascii="Times New Roman" w:hAnsi="Times New Roman" w:cs="Times New Roman"/>
          <w:sz w:val="24"/>
          <w:szCs w:val="24"/>
        </w:rPr>
        <w:t xml:space="preserve"> with the </w:t>
      </w:r>
      <w:r w:rsidR="007F16EA" w:rsidRPr="007F16EA">
        <w:rPr>
          <w:rFonts w:ascii="Times New Roman" w:hAnsi="Times New Roman" w:cs="Times New Roman"/>
          <w:sz w:val="24"/>
          <w:szCs w:val="24"/>
        </w:rPr>
        <w:t xml:space="preserve">at the </w:t>
      </w:r>
      <w:r w:rsidR="007F16EA">
        <w:rPr>
          <w:rFonts w:ascii="Times New Roman" w:hAnsi="Times New Roman" w:cs="Times New Roman"/>
          <w:sz w:val="24"/>
          <w:szCs w:val="24"/>
        </w:rPr>
        <w:t>m</w:t>
      </w:r>
      <w:r w:rsidR="007F16EA" w:rsidRPr="007F16EA">
        <w:rPr>
          <w:rFonts w:ascii="Times New Roman" w:hAnsi="Times New Roman" w:cs="Times New Roman"/>
          <w:sz w:val="24"/>
          <w:szCs w:val="24"/>
        </w:rPr>
        <w:t>edium CT level (64.7%), while boys showed greater representation at the Low CT level (53.8%)</w:t>
      </w:r>
      <w:r w:rsidR="007F16EA">
        <w:rPr>
          <w:rFonts w:ascii="Times New Roman" w:hAnsi="Times New Roman" w:cs="Times New Roman"/>
          <w:sz w:val="24"/>
          <w:szCs w:val="24"/>
        </w:rPr>
        <w:t>.</w:t>
      </w:r>
      <w:r w:rsidR="00B26A7E">
        <w:rPr>
          <w:rFonts w:ascii="Times New Roman" w:hAnsi="Times New Roman" w:cs="Times New Roman"/>
          <w:sz w:val="24"/>
          <w:szCs w:val="24"/>
        </w:rPr>
        <w:t xml:space="preserve"> Further, age wise </w:t>
      </w:r>
      <w:r w:rsidR="00B26A7E" w:rsidRPr="00B26A7E">
        <w:rPr>
          <w:rFonts w:ascii="Times New Roman" w:hAnsi="Times New Roman" w:cs="Times New Roman"/>
          <w:sz w:val="24"/>
          <w:szCs w:val="24"/>
        </w:rPr>
        <w:t xml:space="preserve">indicated a slight </w:t>
      </w:r>
      <w:r w:rsidR="009A409E">
        <w:rPr>
          <w:rFonts w:ascii="Times New Roman" w:hAnsi="Times New Roman" w:cs="Times New Roman"/>
          <w:sz w:val="24"/>
          <w:szCs w:val="24"/>
        </w:rPr>
        <w:t xml:space="preserve">marginalized </w:t>
      </w:r>
      <w:r w:rsidR="00B26A7E" w:rsidRPr="00B26A7E">
        <w:rPr>
          <w:rFonts w:ascii="Times New Roman" w:hAnsi="Times New Roman" w:cs="Times New Roman"/>
          <w:sz w:val="24"/>
          <w:szCs w:val="24"/>
        </w:rPr>
        <w:t xml:space="preserve">developmental progression in CT proficiency, with 15-year-old students obtaining the highest mean CT score M </w:t>
      </w:r>
      <w:r w:rsidR="00652562">
        <w:rPr>
          <w:rFonts w:ascii="Times New Roman" w:hAnsi="Times New Roman" w:cs="Times New Roman"/>
          <w:sz w:val="24"/>
          <w:szCs w:val="24"/>
        </w:rPr>
        <w:t>=</w:t>
      </w:r>
      <w:r w:rsidR="00B26A7E" w:rsidRPr="00B26A7E">
        <w:rPr>
          <w:rFonts w:ascii="Times New Roman" w:hAnsi="Times New Roman" w:cs="Times New Roman"/>
          <w:sz w:val="24"/>
          <w:szCs w:val="24"/>
        </w:rPr>
        <w:t>30.40</w:t>
      </w:r>
      <w:r w:rsidR="00BC52C1">
        <w:rPr>
          <w:rFonts w:ascii="Times New Roman" w:hAnsi="Times New Roman" w:cs="Times New Roman"/>
          <w:sz w:val="24"/>
          <w:szCs w:val="24"/>
        </w:rPr>
        <w:t xml:space="preserve"> with the </w:t>
      </w:r>
      <w:r w:rsidR="00B26A7E" w:rsidRPr="00B26A7E">
        <w:rPr>
          <w:rFonts w:ascii="Times New Roman" w:hAnsi="Times New Roman" w:cs="Times New Roman"/>
          <w:sz w:val="24"/>
          <w:szCs w:val="24"/>
        </w:rPr>
        <w:t>Mean</w:t>
      </w:r>
      <w:r w:rsidR="00652562">
        <w:rPr>
          <w:rFonts w:ascii="Times New Roman" w:hAnsi="Times New Roman" w:cs="Times New Roman"/>
          <w:sz w:val="24"/>
          <w:szCs w:val="24"/>
        </w:rPr>
        <w:t xml:space="preserve"> percent is </w:t>
      </w:r>
      <w:r w:rsidR="00B26A7E" w:rsidRPr="00B26A7E">
        <w:rPr>
          <w:rFonts w:ascii="Times New Roman" w:hAnsi="Times New Roman" w:cs="Times New Roman"/>
          <w:sz w:val="24"/>
          <w:szCs w:val="24"/>
        </w:rPr>
        <w:t>38.00%. Nevertheless, the overall mean percentage of 35.07% across all age groups reflects a generally moderate level of CT proficiency irrespective of age differences</w:t>
      </w:r>
      <w:r w:rsidR="00B26A7E" w:rsidRPr="000606B3">
        <w:rPr>
          <w:rFonts w:ascii="Times New Roman" w:hAnsi="Times New Roman" w:cs="Times New Roman"/>
          <w:sz w:val="24"/>
          <w:szCs w:val="24"/>
        </w:rPr>
        <w:t>.</w:t>
      </w:r>
      <w:r w:rsidR="00F67F90" w:rsidRPr="000606B3">
        <w:rPr>
          <w:rFonts w:ascii="Times New Roman" w:hAnsi="Times New Roman" w:cs="Times New Roman"/>
          <w:sz w:val="24"/>
          <w:szCs w:val="24"/>
        </w:rPr>
        <w:t xml:space="preserve"> CT proficiency was uniformly moderate across all age </w:t>
      </w:r>
      <w:r w:rsidR="000606B3" w:rsidRPr="000606B3">
        <w:rPr>
          <w:rFonts w:ascii="Times New Roman" w:hAnsi="Times New Roman" w:cs="Times New Roman"/>
          <w:sz w:val="24"/>
          <w:szCs w:val="24"/>
        </w:rPr>
        <w:t xml:space="preserve">groups </w:t>
      </w:r>
      <w:r w:rsidR="000606B3">
        <w:rPr>
          <w:rFonts w:ascii="Times New Roman" w:hAnsi="Times New Roman" w:cs="Times New Roman"/>
          <w:sz w:val="24"/>
          <w:szCs w:val="24"/>
        </w:rPr>
        <w:t xml:space="preserve">with the </w:t>
      </w:r>
      <w:r w:rsidR="00F67F90" w:rsidRPr="000606B3">
        <w:rPr>
          <w:rFonts w:ascii="Times New Roman" w:hAnsi="Times New Roman" w:cs="Times New Roman"/>
          <w:sz w:val="24"/>
          <w:szCs w:val="24"/>
        </w:rPr>
        <w:t>overall mean</w:t>
      </w:r>
      <w:r w:rsidR="000606B3">
        <w:rPr>
          <w:rFonts w:ascii="Times New Roman" w:hAnsi="Times New Roman" w:cs="Times New Roman"/>
          <w:sz w:val="24"/>
          <w:szCs w:val="24"/>
        </w:rPr>
        <w:t xml:space="preserve"> of </w:t>
      </w:r>
      <w:r w:rsidR="000606B3" w:rsidRPr="000606B3">
        <w:rPr>
          <w:rFonts w:ascii="Times New Roman" w:hAnsi="Times New Roman" w:cs="Times New Roman"/>
          <w:sz w:val="24"/>
          <w:szCs w:val="24"/>
        </w:rPr>
        <w:t>35.07</w:t>
      </w:r>
      <w:r w:rsidR="00F67F90" w:rsidRPr="000606B3">
        <w:rPr>
          <w:rFonts w:ascii="Times New Roman" w:hAnsi="Times New Roman" w:cs="Times New Roman"/>
          <w:sz w:val="24"/>
          <w:szCs w:val="24"/>
        </w:rPr>
        <w:t>%,</w:t>
      </w:r>
      <w:r w:rsidR="000606B3">
        <w:rPr>
          <w:rFonts w:ascii="Times New Roman" w:hAnsi="Times New Roman" w:cs="Times New Roman"/>
          <w:sz w:val="24"/>
          <w:szCs w:val="24"/>
        </w:rPr>
        <w:t xml:space="preserve"> which shows</w:t>
      </w:r>
      <w:r w:rsidR="000606B3" w:rsidRPr="000606B3">
        <w:rPr>
          <w:rFonts w:ascii="Times New Roman" w:hAnsi="Times New Roman" w:cs="Times New Roman"/>
          <w:sz w:val="24"/>
          <w:szCs w:val="24"/>
        </w:rPr>
        <w:t>,</w:t>
      </w:r>
      <w:r w:rsidR="000606B3">
        <w:rPr>
          <w:rFonts w:ascii="Times New Roman" w:hAnsi="Times New Roman" w:cs="Times New Roman"/>
          <w:sz w:val="24"/>
          <w:szCs w:val="24"/>
        </w:rPr>
        <w:t xml:space="preserve"> </w:t>
      </w:r>
      <w:r w:rsidR="00F67F90" w:rsidRPr="000606B3">
        <w:rPr>
          <w:rFonts w:ascii="Times New Roman" w:hAnsi="Times New Roman" w:cs="Times New Roman"/>
          <w:sz w:val="24"/>
          <w:szCs w:val="24"/>
        </w:rPr>
        <w:t xml:space="preserve">only marginal age-related progression despite 15-year-olds recording the highest mean score </w:t>
      </w:r>
      <w:r w:rsidR="000606B3">
        <w:rPr>
          <w:rFonts w:ascii="Times New Roman" w:hAnsi="Times New Roman" w:cs="Times New Roman"/>
          <w:sz w:val="24"/>
          <w:szCs w:val="24"/>
        </w:rPr>
        <w:t xml:space="preserve">as </w:t>
      </w:r>
      <w:r w:rsidR="00F67F90" w:rsidRPr="000606B3">
        <w:rPr>
          <w:rFonts w:ascii="Times New Roman" w:hAnsi="Times New Roman" w:cs="Times New Roman"/>
          <w:sz w:val="24"/>
          <w:szCs w:val="24"/>
        </w:rPr>
        <w:t>M = 30.40,</w:t>
      </w:r>
      <w:r w:rsidR="000606B3">
        <w:rPr>
          <w:rFonts w:ascii="Times New Roman" w:hAnsi="Times New Roman" w:cs="Times New Roman"/>
          <w:sz w:val="24"/>
          <w:szCs w:val="24"/>
        </w:rPr>
        <w:t xml:space="preserve"> and mean percentage </w:t>
      </w:r>
      <w:r w:rsidR="000606B3" w:rsidRPr="000606B3">
        <w:rPr>
          <w:rFonts w:ascii="Times New Roman" w:hAnsi="Times New Roman" w:cs="Times New Roman"/>
          <w:sz w:val="24"/>
          <w:szCs w:val="24"/>
        </w:rPr>
        <w:t>38.00</w:t>
      </w:r>
      <w:r w:rsidR="00F67F90" w:rsidRPr="000606B3">
        <w:rPr>
          <w:rFonts w:ascii="Times New Roman" w:hAnsi="Times New Roman" w:cs="Times New Roman"/>
          <w:sz w:val="24"/>
          <w:szCs w:val="24"/>
        </w:rPr>
        <w:t>%.</w:t>
      </w:r>
      <w:r w:rsidR="007D54C1">
        <w:rPr>
          <w:rFonts w:ascii="Times New Roman" w:hAnsi="Times New Roman" w:cs="Times New Roman"/>
          <w:sz w:val="24"/>
          <w:szCs w:val="24"/>
        </w:rPr>
        <w:t xml:space="preserve"> </w:t>
      </w:r>
    </w:p>
    <w:p w14:paraId="0DC405CD" w14:textId="67D875F0" w:rsidR="007D54C1" w:rsidRPr="007D54C1" w:rsidRDefault="007D54C1" w:rsidP="000E6EF5">
      <w:pPr>
        <w:spacing w:before="58" w:after="202"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D</w:t>
      </w:r>
      <w:r w:rsidRPr="007D54C1">
        <w:rPr>
          <w:rFonts w:ascii="Times New Roman" w:hAnsi="Times New Roman" w:cs="Times New Roman"/>
          <w:sz w:val="24"/>
          <w:szCs w:val="24"/>
        </w:rPr>
        <w:t>imension Analysis revealed that, Decomposition was the strongest CT dimension with 41.5% and Algorithmic Thinking the weakest 30.85%, underscoring underdeveloped procedural reasoning and logical sequencing among secondary level students. These findings establish a baseline for CT proficiency at the secondary level in India and support urgent integration of CT instructional strategies into the secondary level curriculum that aligned with the National Education Policy 2020 and the CBSE Computational Thinking and AI Curriculum framework (2026–27).</w:t>
      </w:r>
    </w:p>
    <w:p w14:paraId="3ED61BC9" w14:textId="5C237984" w:rsidR="00714F07" w:rsidRDefault="00714F07" w:rsidP="000E6EF5">
      <w:pPr>
        <w:spacing w:before="58" w:after="202" w:line="360" w:lineRule="auto"/>
        <w:ind w:firstLine="720"/>
        <w:jc w:val="both"/>
        <w:rPr>
          <w:rFonts w:ascii="Times New Roman" w:hAnsi="Times New Roman" w:cs="Times New Roman"/>
          <w:sz w:val="24"/>
          <w:szCs w:val="24"/>
        </w:rPr>
      </w:pPr>
      <w:r w:rsidRPr="00714F07">
        <w:rPr>
          <w:rFonts w:ascii="Times New Roman" w:hAnsi="Times New Roman" w:cs="Times New Roman"/>
          <w:sz w:val="24"/>
          <w:szCs w:val="24"/>
        </w:rPr>
        <w:t xml:space="preserve">The findings of the present study emphasize the need to integrate Computational Thinking (CT)-oriented teaching strategies, including algorithmic reasoning, logical sequencing, and unplugged activities, within </w:t>
      </w:r>
      <w:r w:rsidR="001239BA">
        <w:rPr>
          <w:rFonts w:ascii="Times New Roman" w:hAnsi="Times New Roman" w:cs="Times New Roman"/>
          <w:sz w:val="24"/>
          <w:szCs w:val="24"/>
        </w:rPr>
        <w:t xml:space="preserve">the secondary </w:t>
      </w:r>
      <w:r w:rsidRPr="00714F07">
        <w:rPr>
          <w:rFonts w:ascii="Times New Roman" w:hAnsi="Times New Roman" w:cs="Times New Roman"/>
          <w:sz w:val="24"/>
          <w:szCs w:val="24"/>
        </w:rPr>
        <w:t xml:space="preserve">mathematics classrooms to enhance students’ CT competencies. The study also recommends the systematic incorporation of CT </w:t>
      </w:r>
      <w:r w:rsidR="001239BA">
        <w:rPr>
          <w:rFonts w:ascii="Times New Roman" w:hAnsi="Times New Roman" w:cs="Times New Roman"/>
          <w:sz w:val="24"/>
          <w:szCs w:val="24"/>
        </w:rPr>
        <w:t xml:space="preserve">dimensions or core </w:t>
      </w:r>
      <w:r w:rsidR="00E55FEB">
        <w:rPr>
          <w:rFonts w:ascii="Times New Roman" w:hAnsi="Times New Roman" w:cs="Times New Roman"/>
          <w:sz w:val="24"/>
          <w:szCs w:val="24"/>
        </w:rPr>
        <w:t xml:space="preserve">components </w:t>
      </w:r>
      <w:r w:rsidR="00E55FEB" w:rsidRPr="00714F07">
        <w:rPr>
          <w:rFonts w:ascii="Times New Roman" w:hAnsi="Times New Roman" w:cs="Times New Roman"/>
          <w:sz w:val="24"/>
          <w:szCs w:val="24"/>
        </w:rPr>
        <w:t>into</w:t>
      </w:r>
      <w:r w:rsidRPr="00714F07">
        <w:rPr>
          <w:rFonts w:ascii="Times New Roman" w:hAnsi="Times New Roman" w:cs="Times New Roman"/>
          <w:sz w:val="24"/>
          <w:szCs w:val="24"/>
        </w:rPr>
        <w:t xml:space="preserve"> the secondary school curriculum through activity-based instructional and </w:t>
      </w:r>
      <w:r w:rsidRPr="00714F07">
        <w:rPr>
          <w:rFonts w:ascii="Times New Roman" w:hAnsi="Times New Roman" w:cs="Times New Roman"/>
          <w:sz w:val="24"/>
          <w:szCs w:val="24"/>
        </w:rPr>
        <w:lastRenderedPageBreak/>
        <w:t>assessment practices. In addition, educational policymakers should strengthen CT-focused teacher training initiatives and support the implementation of the Central Board of Secondary Education Computational Thinking and AI Curriculum in accordance with the objectives of the National Education Policy 2020. Further research involving larger and more diverse samples is recommended to examine the long-term effectiveness of CT-based instructional interventions at the secondary school level.</w:t>
      </w:r>
    </w:p>
    <w:p w14:paraId="2659BCE5" w14:textId="77777777" w:rsidR="00DD17CD" w:rsidRDefault="00DD17CD" w:rsidP="00B344EB">
      <w:pPr>
        <w:spacing w:before="58" w:after="202" w:line="360" w:lineRule="auto"/>
        <w:jc w:val="both"/>
        <w:rPr>
          <w:rFonts w:ascii="Times New Roman" w:hAnsi="Times New Roman" w:cs="Times New Roman"/>
          <w:sz w:val="24"/>
          <w:szCs w:val="24"/>
        </w:rPr>
      </w:pPr>
    </w:p>
    <w:p w14:paraId="1DAD4DD1" w14:textId="1B4FEE18" w:rsidR="000710A1" w:rsidRPr="000710A1" w:rsidRDefault="000710A1" w:rsidP="00F67F90">
      <w:pPr>
        <w:spacing w:before="58" w:after="202" w:line="360" w:lineRule="auto"/>
        <w:jc w:val="both"/>
        <w:rPr>
          <w:rFonts w:ascii="Times New Roman" w:hAnsi="Times New Roman" w:cs="Times New Roman"/>
          <w:b/>
          <w:bCs/>
          <w:sz w:val="24"/>
          <w:szCs w:val="24"/>
        </w:rPr>
      </w:pPr>
      <w:r w:rsidRPr="000710A1">
        <w:rPr>
          <w:rFonts w:ascii="Times New Roman" w:hAnsi="Times New Roman" w:cs="Times New Roman"/>
          <w:b/>
          <w:bCs/>
          <w:sz w:val="24"/>
          <w:szCs w:val="24"/>
        </w:rPr>
        <w:t xml:space="preserve">References: </w:t>
      </w:r>
    </w:p>
    <w:p w14:paraId="27961F36" w14:textId="77777777" w:rsidR="007C699C" w:rsidRPr="007C699C" w:rsidRDefault="007C699C" w:rsidP="007C699C">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Barr, V., &amp; Stephenson, C. (2011). Bringing computational thinking to K–12: What is involved and what is the role of the computer science education community? </w:t>
      </w:r>
      <w:r w:rsidRPr="007C699C">
        <w:rPr>
          <w:rFonts w:ascii="Times New Roman" w:eastAsia="Times New Roman" w:hAnsi="Times New Roman" w:cs="Times New Roman"/>
          <w:i/>
          <w:iCs/>
          <w:sz w:val="24"/>
          <w:szCs w:val="24"/>
        </w:rPr>
        <w:t>ACM Inroads, 2</w:t>
      </w:r>
      <w:r w:rsidRPr="007C699C">
        <w:rPr>
          <w:rFonts w:ascii="Times New Roman" w:eastAsia="Times New Roman" w:hAnsi="Times New Roman" w:cs="Times New Roman"/>
          <w:sz w:val="24"/>
          <w:szCs w:val="24"/>
        </w:rPr>
        <w:t xml:space="preserve">(1), 48–54. </w:t>
      </w:r>
      <w:hyperlink r:id="rId13" w:history="1">
        <w:r w:rsidRPr="007C699C">
          <w:rPr>
            <w:rStyle w:val="Hyperlink"/>
            <w:rFonts w:ascii="Times New Roman" w:hAnsi="Times New Roman" w:cs="Times New Roman"/>
            <w:sz w:val="24"/>
            <w:szCs w:val="24"/>
          </w:rPr>
          <w:t>https://doi.org/10.1145/1929887.1929905</w:t>
        </w:r>
      </w:hyperlink>
    </w:p>
    <w:p w14:paraId="45381570" w14:textId="77777777" w:rsidR="007C699C" w:rsidRPr="007C699C" w:rsidRDefault="007C699C" w:rsidP="007C699C">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Central Board of Secondary Education [CBSE]. (2026). </w:t>
      </w:r>
      <w:r w:rsidRPr="007C699C">
        <w:rPr>
          <w:rFonts w:ascii="Times New Roman" w:eastAsia="Times New Roman" w:hAnsi="Times New Roman" w:cs="Times New Roman"/>
          <w:i/>
          <w:iCs/>
          <w:sz w:val="24"/>
          <w:szCs w:val="24"/>
        </w:rPr>
        <w:t>CBSE launches new curriculum on computational thinking and artificial intelligence for Classes III–VIII.</w:t>
      </w:r>
      <w:r w:rsidRPr="007C699C">
        <w:rPr>
          <w:rFonts w:ascii="Times New Roman" w:eastAsia="Times New Roman" w:hAnsi="Times New Roman" w:cs="Times New Roman"/>
          <w:sz w:val="24"/>
          <w:szCs w:val="24"/>
        </w:rPr>
        <w:t xml:space="preserve"> Ministry of Education, Government of India. </w:t>
      </w:r>
      <w:hyperlink r:id="rId14" w:history="1">
        <w:r w:rsidRPr="007C699C">
          <w:rPr>
            <w:rStyle w:val="Hyperlink"/>
            <w:rFonts w:ascii="Times New Roman" w:hAnsi="Times New Roman" w:cs="Times New Roman"/>
            <w:sz w:val="24"/>
            <w:szCs w:val="24"/>
          </w:rPr>
          <w:t>https://curriculum-magazine.com/cbse-launches-new-curriculum-on-computational-thinking-and-artificial-intelligence-for-classes-iii-viii/</w:t>
        </w:r>
      </w:hyperlink>
    </w:p>
    <w:p w14:paraId="139B33B8" w14:textId="77777777" w:rsidR="007C699C" w:rsidRPr="007C699C" w:rsidRDefault="007C699C" w:rsidP="007C699C">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Chen, X., &amp; Hu, J. (2024). Exploring the effects of secondary school students’ ICT literacy on computational thinking skills in smart classroom environments. </w:t>
      </w:r>
      <w:r w:rsidRPr="007C699C">
        <w:rPr>
          <w:rFonts w:ascii="Times New Roman" w:eastAsia="Times New Roman" w:hAnsi="Times New Roman" w:cs="Times New Roman"/>
          <w:i/>
          <w:iCs/>
          <w:sz w:val="24"/>
          <w:szCs w:val="24"/>
        </w:rPr>
        <w:t>Education and Information Technologies.</w:t>
      </w:r>
      <w:r w:rsidRPr="007C699C">
        <w:rPr>
          <w:rFonts w:ascii="Times New Roman" w:eastAsia="Times New Roman" w:hAnsi="Times New Roman" w:cs="Times New Roman"/>
          <w:sz w:val="24"/>
          <w:szCs w:val="24"/>
        </w:rPr>
        <w:t xml:space="preserve"> </w:t>
      </w:r>
      <w:hyperlink r:id="rId15" w:history="1">
        <w:r w:rsidRPr="007C699C">
          <w:rPr>
            <w:rStyle w:val="Hyperlink"/>
            <w:rFonts w:ascii="Times New Roman" w:hAnsi="Times New Roman" w:cs="Times New Roman"/>
            <w:sz w:val="24"/>
            <w:szCs w:val="24"/>
          </w:rPr>
          <w:t>https://doi.org/10.1007/s10639-024-13179-9</w:t>
        </w:r>
      </w:hyperlink>
    </w:p>
    <w:p w14:paraId="441BDF01" w14:textId="77777777" w:rsidR="007C699C" w:rsidRPr="007C699C" w:rsidRDefault="007C699C" w:rsidP="007C699C">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Chongo, S., Osman, K., &amp; Nayan, N. A. (2020). Level of computational thinking skills among secondary science students: Variation across gender and mathematics achievement. </w:t>
      </w:r>
      <w:r w:rsidRPr="007C699C">
        <w:rPr>
          <w:rFonts w:ascii="Times New Roman" w:eastAsia="Times New Roman" w:hAnsi="Times New Roman" w:cs="Times New Roman"/>
          <w:i/>
          <w:iCs/>
          <w:sz w:val="24"/>
          <w:szCs w:val="24"/>
        </w:rPr>
        <w:t>Science Education International, 31</w:t>
      </w:r>
      <w:r w:rsidRPr="007C699C">
        <w:rPr>
          <w:rFonts w:ascii="Times New Roman" w:eastAsia="Times New Roman" w:hAnsi="Times New Roman" w:cs="Times New Roman"/>
          <w:sz w:val="24"/>
          <w:szCs w:val="24"/>
        </w:rPr>
        <w:t xml:space="preserve">(2), 159–163. </w:t>
      </w:r>
      <w:hyperlink r:id="rId16" w:history="1">
        <w:r w:rsidRPr="007C699C">
          <w:rPr>
            <w:rStyle w:val="Hyperlink"/>
            <w:rFonts w:ascii="Times New Roman" w:hAnsi="Times New Roman" w:cs="Times New Roman"/>
            <w:sz w:val="24"/>
            <w:szCs w:val="24"/>
          </w:rPr>
          <w:t>https://doi.org/10.33828/sei.v31.i2.4</w:t>
        </w:r>
      </w:hyperlink>
    </w:p>
    <w:p w14:paraId="7C46F5F0" w14:textId="77777777" w:rsidR="007C699C" w:rsidRPr="007C699C" w:rsidRDefault="007C699C" w:rsidP="007C699C">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Cohen, L., Manion, L., &amp; Morrison, K. (2018). </w:t>
      </w:r>
      <w:r w:rsidRPr="007C699C">
        <w:rPr>
          <w:rFonts w:ascii="Times New Roman" w:eastAsia="Times New Roman" w:hAnsi="Times New Roman" w:cs="Times New Roman"/>
          <w:i/>
          <w:iCs/>
          <w:sz w:val="24"/>
          <w:szCs w:val="24"/>
        </w:rPr>
        <w:t>Research methods in education</w:t>
      </w:r>
      <w:r w:rsidRPr="007C699C">
        <w:rPr>
          <w:rFonts w:ascii="Times New Roman" w:eastAsia="Times New Roman" w:hAnsi="Times New Roman" w:cs="Times New Roman"/>
          <w:sz w:val="24"/>
          <w:szCs w:val="24"/>
        </w:rPr>
        <w:t xml:space="preserve"> (8th ed.). Routledge.</w:t>
      </w:r>
    </w:p>
    <w:p w14:paraId="4955EA74" w14:textId="77777777" w:rsidR="007C699C" w:rsidRPr="007C699C" w:rsidRDefault="007C699C" w:rsidP="007C699C">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Computer Science Teachers Association &amp; International Society for Technology in Education [CSTA &amp; ISTE]. (2011). </w:t>
      </w:r>
      <w:r w:rsidRPr="007C699C">
        <w:rPr>
          <w:rFonts w:ascii="Times New Roman" w:eastAsia="Times New Roman" w:hAnsi="Times New Roman" w:cs="Times New Roman"/>
          <w:i/>
          <w:iCs/>
          <w:sz w:val="24"/>
          <w:szCs w:val="24"/>
        </w:rPr>
        <w:t>Operational definition of computational thinking for K–12 education.</w:t>
      </w:r>
      <w:r w:rsidRPr="007C699C">
        <w:rPr>
          <w:rFonts w:ascii="Times New Roman" w:eastAsia="Times New Roman" w:hAnsi="Times New Roman" w:cs="Times New Roman"/>
          <w:sz w:val="24"/>
          <w:szCs w:val="24"/>
        </w:rPr>
        <w:t xml:space="preserve"> CSTA &amp; ISTE. </w:t>
      </w:r>
      <w:hyperlink r:id="rId17" w:history="1">
        <w:r w:rsidRPr="007C699C">
          <w:rPr>
            <w:rStyle w:val="Hyperlink"/>
            <w:rFonts w:ascii="Times New Roman" w:hAnsi="Times New Roman" w:cs="Times New Roman"/>
            <w:sz w:val="24"/>
            <w:szCs w:val="24"/>
          </w:rPr>
          <w:t>https://cdn.iste.org/www-root/Computational Thinking Operational Definition\ ISTE.pdf</w:t>
        </w:r>
      </w:hyperlink>
    </w:p>
    <w:p w14:paraId="00103E22" w14:textId="183B9D61" w:rsidR="007C699C" w:rsidRPr="007C699C" w:rsidRDefault="007C699C" w:rsidP="007C699C">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lastRenderedPageBreak/>
        <w:t xml:space="preserve">Creswell, J. W. (2014). </w:t>
      </w:r>
      <w:r w:rsidRPr="007C699C">
        <w:rPr>
          <w:rFonts w:ascii="Times New Roman" w:eastAsia="Times New Roman" w:hAnsi="Times New Roman" w:cs="Times New Roman"/>
          <w:i/>
          <w:iCs/>
          <w:sz w:val="24"/>
          <w:szCs w:val="24"/>
        </w:rPr>
        <w:t xml:space="preserve">Research design: Qualitative, quantitative, and mixed methods </w:t>
      </w:r>
      <w:proofErr w:type="gramStart"/>
      <w:r w:rsidR="00E72D1B" w:rsidRPr="007C699C">
        <w:rPr>
          <w:rFonts w:ascii="Times New Roman" w:eastAsia="Times New Roman" w:hAnsi="Times New Roman" w:cs="Times New Roman"/>
          <w:i/>
          <w:iCs/>
          <w:sz w:val="24"/>
          <w:szCs w:val="24"/>
        </w:rPr>
        <w:t>approach</w:t>
      </w:r>
      <w:r w:rsidR="00E72D1B">
        <w:rPr>
          <w:rFonts w:ascii="Times New Roman" w:eastAsia="Times New Roman" w:hAnsi="Times New Roman" w:cs="Times New Roman"/>
          <w:sz w:val="24"/>
          <w:szCs w:val="24"/>
        </w:rPr>
        <w:t>es</w:t>
      </w:r>
      <w:proofErr w:type="gramEnd"/>
      <w:r w:rsidR="00E72D1B">
        <w:rPr>
          <w:rFonts w:ascii="Times New Roman" w:eastAsia="Times New Roman" w:hAnsi="Times New Roman" w:cs="Times New Roman"/>
          <w:sz w:val="24"/>
          <w:szCs w:val="24"/>
        </w:rPr>
        <w:t xml:space="preserve"> </w:t>
      </w:r>
      <w:r w:rsidRPr="007C699C">
        <w:rPr>
          <w:rFonts w:ascii="Times New Roman" w:eastAsia="Times New Roman" w:hAnsi="Times New Roman" w:cs="Times New Roman"/>
          <w:sz w:val="24"/>
          <w:szCs w:val="24"/>
        </w:rPr>
        <w:t>(4th ed.). SAGE Publications.</w:t>
      </w:r>
    </w:p>
    <w:p w14:paraId="0A2C579A" w14:textId="77777777" w:rsidR="007C699C" w:rsidRDefault="007C699C" w:rsidP="00E8551F">
      <w:pPr>
        <w:pStyle w:val="NoSpacing"/>
        <w:spacing w:line="360" w:lineRule="auto"/>
        <w:jc w:val="both"/>
        <w:rPr>
          <w:rFonts w:ascii="Times New Roman" w:hAnsi="Times New Roman" w:cs="Times New Roman"/>
          <w:sz w:val="24"/>
          <w:szCs w:val="24"/>
        </w:rPr>
      </w:pPr>
      <w:r w:rsidRPr="00CC5BE0">
        <w:rPr>
          <w:rFonts w:ascii="Times New Roman" w:eastAsia="Times New Roman" w:hAnsi="Times New Roman" w:cs="Times New Roman"/>
          <w:sz w:val="24"/>
          <w:szCs w:val="24"/>
        </w:rPr>
        <w:t>El-</w:t>
      </w:r>
      <w:proofErr w:type="spellStart"/>
      <w:r w:rsidRPr="00CC5BE0">
        <w:rPr>
          <w:rFonts w:ascii="Times New Roman" w:eastAsia="Times New Roman" w:hAnsi="Times New Roman" w:cs="Times New Roman"/>
          <w:sz w:val="24"/>
          <w:szCs w:val="24"/>
        </w:rPr>
        <w:t>Hamamsy</w:t>
      </w:r>
      <w:proofErr w:type="spellEnd"/>
      <w:r w:rsidRPr="00CC5BE0">
        <w:rPr>
          <w:rFonts w:ascii="Times New Roman" w:eastAsia="Times New Roman" w:hAnsi="Times New Roman" w:cs="Times New Roman"/>
          <w:sz w:val="24"/>
          <w:szCs w:val="24"/>
        </w:rPr>
        <w:t>, L., Zapata-C</w:t>
      </w:r>
      <w:r w:rsidRPr="00CC5BE0">
        <w:rPr>
          <w:rFonts w:ascii="Times New Roman" w:hAnsi="Times New Roman" w:cs="Times New Roman"/>
          <w:sz w:val="24"/>
          <w:szCs w:val="24"/>
        </w:rPr>
        <w:t>a</w:t>
      </w:r>
      <w:r w:rsidRPr="00CC5BE0">
        <w:rPr>
          <w:rFonts w:ascii="Times New Roman" w:eastAsia="Times New Roman" w:hAnsi="Times New Roman" w:cs="Times New Roman"/>
          <w:sz w:val="24"/>
          <w:szCs w:val="24"/>
        </w:rPr>
        <w:t>ceres</w:t>
      </w:r>
      <w:r w:rsidRPr="00CC5BE0">
        <w:rPr>
          <w:rFonts w:ascii="Times New Roman" w:hAnsi="Times New Roman" w:cs="Times New Roman"/>
          <w:sz w:val="24"/>
          <w:szCs w:val="24"/>
        </w:rPr>
        <w:t>,</w:t>
      </w:r>
      <w:r w:rsidRPr="00CC5BE0">
        <w:rPr>
          <w:rFonts w:ascii="Times New Roman" w:eastAsia="Times New Roman" w:hAnsi="Times New Roman" w:cs="Times New Roman"/>
          <w:sz w:val="24"/>
          <w:szCs w:val="24"/>
        </w:rPr>
        <w:t xml:space="preserve"> M., Mart</w:t>
      </w:r>
      <w:r w:rsidRPr="00CC5BE0">
        <w:rPr>
          <w:rFonts w:ascii="Times New Roman" w:hAnsi="Times New Roman" w:cs="Times New Roman"/>
          <w:sz w:val="24"/>
          <w:szCs w:val="24"/>
        </w:rPr>
        <w:t>i</w:t>
      </w:r>
      <w:r w:rsidRPr="00CC5BE0">
        <w:rPr>
          <w:rFonts w:ascii="Times New Roman" w:eastAsia="Times New Roman" w:hAnsi="Times New Roman" w:cs="Times New Roman"/>
          <w:sz w:val="24"/>
          <w:szCs w:val="24"/>
        </w:rPr>
        <w:t xml:space="preserve">n Barroso, E., </w:t>
      </w:r>
      <w:proofErr w:type="spellStart"/>
      <w:r w:rsidRPr="00CC5BE0">
        <w:rPr>
          <w:rFonts w:ascii="Times New Roman" w:eastAsia="Times New Roman" w:hAnsi="Times New Roman" w:cs="Times New Roman"/>
          <w:sz w:val="24"/>
          <w:szCs w:val="24"/>
        </w:rPr>
        <w:t>Mondada</w:t>
      </w:r>
      <w:proofErr w:type="spellEnd"/>
      <w:r w:rsidRPr="00CC5BE0">
        <w:rPr>
          <w:rFonts w:ascii="Times New Roman" w:eastAsia="Times New Roman" w:hAnsi="Times New Roman" w:cs="Times New Roman"/>
          <w:sz w:val="24"/>
          <w:szCs w:val="24"/>
        </w:rPr>
        <w:t xml:space="preserve">, F., Dehler Zufferey, J., &amp; Bruno, B. (2022). The competent computational thinking test: Development and validation of an unplugged computational thinking test for upper primary school. </w:t>
      </w:r>
      <w:r w:rsidRPr="00CC5BE0">
        <w:rPr>
          <w:rFonts w:ascii="Times New Roman" w:eastAsia="Times New Roman" w:hAnsi="Times New Roman" w:cs="Times New Roman"/>
          <w:i/>
          <w:iCs/>
          <w:sz w:val="24"/>
          <w:szCs w:val="24"/>
        </w:rPr>
        <w:t xml:space="preserve">Journal of </w:t>
      </w:r>
      <w:r w:rsidRPr="00CC5BE0">
        <w:rPr>
          <w:rFonts w:ascii="Times New Roman" w:hAnsi="Times New Roman" w:cs="Times New Roman"/>
          <w:sz w:val="24"/>
          <w:szCs w:val="24"/>
        </w:rPr>
        <w:t>Educational Computing Research, 60(7), 1818–1866</w:t>
      </w:r>
      <w:r w:rsidRPr="00CC5BE0">
        <w:t>.</w:t>
      </w:r>
      <w:r w:rsidRPr="007C699C">
        <w:rPr>
          <w:rFonts w:ascii="Times New Roman" w:eastAsia="Times New Roman" w:hAnsi="Times New Roman" w:cs="Times New Roman"/>
          <w:sz w:val="24"/>
          <w:szCs w:val="24"/>
        </w:rPr>
        <w:t xml:space="preserve"> </w:t>
      </w:r>
      <w:hyperlink r:id="rId18" w:history="1">
        <w:r w:rsidRPr="007C699C">
          <w:rPr>
            <w:rStyle w:val="Hyperlink"/>
            <w:rFonts w:ascii="Times New Roman" w:hAnsi="Times New Roman" w:cs="Times New Roman"/>
            <w:sz w:val="24"/>
            <w:szCs w:val="24"/>
          </w:rPr>
          <w:t>https://doi.org/10.1177/07356331221081753</w:t>
        </w:r>
      </w:hyperlink>
    </w:p>
    <w:p w14:paraId="710F33ED" w14:textId="77777777" w:rsidR="00E8551F" w:rsidRPr="007C699C" w:rsidRDefault="00E8551F" w:rsidP="00E8551F">
      <w:pPr>
        <w:pStyle w:val="NoSpacing"/>
        <w:spacing w:line="360" w:lineRule="auto"/>
        <w:jc w:val="both"/>
        <w:rPr>
          <w:rFonts w:ascii="Times New Roman" w:hAnsi="Times New Roman" w:cs="Times New Roman"/>
          <w:sz w:val="24"/>
          <w:szCs w:val="24"/>
        </w:rPr>
      </w:pPr>
    </w:p>
    <w:p w14:paraId="67643790" w14:textId="3F0B2EA4" w:rsidR="007C699C" w:rsidRPr="007C699C" w:rsidRDefault="007C699C" w:rsidP="00E8551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Grover, S., &amp; Pea, R. (2013). Computational thinking in K–12: A review of the state of the field. </w:t>
      </w:r>
      <w:r w:rsidRPr="007C699C">
        <w:rPr>
          <w:rFonts w:ascii="Times New Roman" w:hAnsi="Times New Roman" w:cs="Times New Roman"/>
          <w:i/>
          <w:iCs/>
          <w:sz w:val="24"/>
          <w:szCs w:val="24"/>
        </w:rPr>
        <w:t>Educational Researcher, 42</w:t>
      </w:r>
      <w:r w:rsidRPr="007C699C">
        <w:rPr>
          <w:rFonts w:ascii="Times New Roman" w:hAnsi="Times New Roman" w:cs="Times New Roman"/>
          <w:sz w:val="24"/>
          <w:szCs w:val="24"/>
        </w:rPr>
        <w:t xml:space="preserve">(1), 38–43. </w:t>
      </w:r>
      <w:hyperlink r:id="rId19" w:history="1">
        <w:r w:rsidRPr="007C699C">
          <w:rPr>
            <w:rStyle w:val="Hyperlink"/>
            <w:rFonts w:ascii="Times New Roman" w:hAnsi="Times New Roman" w:cs="Times New Roman"/>
            <w:sz w:val="24"/>
            <w:szCs w:val="24"/>
          </w:rPr>
          <w:t>https://doi.org/10.3102/0013189X12463051</w:t>
        </w:r>
      </w:hyperlink>
    </w:p>
    <w:p w14:paraId="0AB474C5"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Hu, L. (2024). Exploring gender differences in computational thinking among K–12 students: A meta-analysis investigating influential factors. </w:t>
      </w:r>
      <w:r w:rsidRPr="007C699C">
        <w:rPr>
          <w:rFonts w:ascii="Times New Roman" w:hAnsi="Times New Roman" w:cs="Times New Roman"/>
          <w:i/>
          <w:iCs/>
          <w:sz w:val="24"/>
          <w:szCs w:val="24"/>
        </w:rPr>
        <w:t>Journal of Educational Computing Research, 62</w:t>
      </w:r>
      <w:r w:rsidRPr="007C699C">
        <w:rPr>
          <w:rFonts w:ascii="Times New Roman" w:hAnsi="Times New Roman" w:cs="Times New Roman"/>
          <w:sz w:val="24"/>
          <w:szCs w:val="24"/>
        </w:rPr>
        <w:t xml:space="preserve">(4), 900–932. </w:t>
      </w:r>
      <w:hyperlink r:id="rId20" w:history="1">
        <w:r w:rsidRPr="007C699C">
          <w:rPr>
            <w:rStyle w:val="Hyperlink"/>
            <w:rFonts w:ascii="Times New Roman" w:hAnsi="Times New Roman" w:cs="Times New Roman"/>
            <w:sz w:val="24"/>
            <w:szCs w:val="24"/>
          </w:rPr>
          <w:t>https://doi.org/10.1177/07356331241240670</w:t>
        </w:r>
      </w:hyperlink>
    </w:p>
    <w:p w14:paraId="47F05ACB"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Huda, N., &amp; </w:t>
      </w:r>
      <w:proofErr w:type="spellStart"/>
      <w:r w:rsidRPr="007C699C">
        <w:rPr>
          <w:rFonts w:ascii="Times New Roman" w:hAnsi="Times New Roman" w:cs="Times New Roman"/>
          <w:sz w:val="24"/>
          <w:szCs w:val="24"/>
        </w:rPr>
        <w:t>Rohaeti</w:t>
      </w:r>
      <w:proofErr w:type="spellEnd"/>
      <w:r w:rsidRPr="007C699C">
        <w:rPr>
          <w:rFonts w:ascii="Times New Roman" w:hAnsi="Times New Roman" w:cs="Times New Roman"/>
          <w:sz w:val="24"/>
          <w:szCs w:val="24"/>
        </w:rPr>
        <w:t xml:space="preserve">, E. (2024). Computational thinking skill level of senior high school students majoring in natural science. </w:t>
      </w:r>
      <w:r w:rsidRPr="007C699C">
        <w:rPr>
          <w:rFonts w:ascii="Times New Roman" w:hAnsi="Times New Roman" w:cs="Times New Roman"/>
          <w:i/>
          <w:iCs/>
          <w:sz w:val="24"/>
          <w:szCs w:val="24"/>
        </w:rPr>
        <w:t>International Journal of Learning, Teaching and Educational Research, 23</w:t>
      </w:r>
      <w:r w:rsidRPr="007C699C">
        <w:rPr>
          <w:rFonts w:ascii="Times New Roman" w:hAnsi="Times New Roman" w:cs="Times New Roman"/>
          <w:sz w:val="24"/>
          <w:szCs w:val="24"/>
        </w:rPr>
        <w:t xml:space="preserve">(1). </w:t>
      </w:r>
      <w:hyperlink r:id="rId21" w:history="1">
        <w:r w:rsidRPr="007C699C">
          <w:rPr>
            <w:rStyle w:val="Hyperlink"/>
            <w:rFonts w:ascii="Times New Roman" w:hAnsi="Times New Roman" w:cs="Times New Roman"/>
            <w:sz w:val="24"/>
            <w:szCs w:val="24"/>
          </w:rPr>
          <w:t>https://doi.org/10.26803/ijlter.23.1.1</w:t>
        </w:r>
      </w:hyperlink>
    </w:p>
    <w:p w14:paraId="6AD8048C"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Jiang, S., &amp; Wong, G. K. W. (2022). Exploring age and gender differences of computational thinkers in primary school: A developmental perspective. </w:t>
      </w:r>
      <w:r w:rsidRPr="007C699C">
        <w:rPr>
          <w:rFonts w:ascii="Times New Roman" w:hAnsi="Times New Roman" w:cs="Times New Roman"/>
          <w:i/>
          <w:iCs/>
          <w:sz w:val="24"/>
          <w:szCs w:val="24"/>
        </w:rPr>
        <w:t>Journal of Computer Assisted Learning, 38</w:t>
      </w:r>
      <w:r w:rsidRPr="007C699C">
        <w:rPr>
          <w:rFonts w:ascii="Times New Roman" w:hAnsi="Times New Roman" w:cs="Times New Roman"/>
          <w:sz w:val="24"/>
          <w:szCs w:val="24"/>
        </w:rPr>
        <w:t xml:space="preserve">(1), 60–75. </w:t>
      </w:r>
      <w:hyperlink r:id="rId22" w:history="1">
        <w:r w:rsidRPr="007C699C">
          <w:rPr>
            <w:rStyle w:val="Hyperlink"/>
            <w:rFonts w:ascii="Times New Roman" w:hAnsi="Times New Roman" w:cs="Times New Roman"/>
            <w:sz w:val="24"/>
            <w:szCs w:val="24"/>
          </w:rPr>
          <w:t>https://doi.org/10.1111/jcal.12591</w:t>
        </w:r>
      </w:hyperlink>
    </w:p>
    <w:p w14:paraId="7C3350CA"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K–12 Computer Science Framework. (2016). </w:t>
      </w:r>
      <w:r w:rsidRPr="007C699C">
        <w:rPr>
          <w:rFonts w:ascii="Times New Roman" w:hAnsi="Times New Roman" w:cs="Times New Roman"/>
          <w:i/>
          <w:iCs/>
          <w:sz w:val="24"/>
          <w:szCs w:val="24"/>
        </w:rPr>
        <w:t>Computational thinking.</w:t>
      </w:r>
      <w:r w:rsidRPr="007C699C">
        <w:rPr>
          <w:rFonts w:ascii="Times New Roman" w:hAnsi="Times New Roman" w:cs="Times New Roman"/>
          <w:sz w:val="24"/>
          <w:szCs w:val="24"/>
        </w:rPr>
        <w:t xml:space="preserve"> Computer Science Teachers Association. </w:t>
      </w:r>
      <w:hyperlink r:id="rId23" w:history="1">
        <w:r w:rsidRPr="007C699C">
          <w:rPr>
            <w:rStyle w:val="Hyperlink"/>
            <w:rFonts w:ascii="Times New Roman" w:hAnsi="Times New Roman" w:cs="Times New Roman"/>
            <w:sz w:val="24"/>
            <w:szCs w:val="24"/>
          </w:rPr>
          <w:t>https://k12cs.org/computational-thinking/</w:t>
        </w:r>
      </w:hyperlink>
    </w:p>
    <w:p w14:paraId="57AF3ECE"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Kafai, Y. B., &amp; Proctor, C. (2022). A revaluation of computational thinking in K–12 education: Moving toward computational literacies. </w:t>
      </w:r>
      <w:r w:rsidRPr="007C699C">
        <w:rPr>
          <w:rFonts w:ascii="Times New Roman" w:hAnsi="Times New Roman" w:cs="Times New Roman"/>
          <w:i/>
          <w:iCs/>
          <w:sz w:val="24"/>
          <w:szCs w:val="24"/>
        </w:rPr>
        <w:t>Educational Researcher, 51</w:t>
      </w:r>
      <w:r w:rsidRPr="007C699C">
        <w:rPr>
          <w:rFonts w:ascii="Times New Roman" w:hAnsi="Times New Roman" w:cs="Times New Roman"/>
          <w:sz w:val="24"/>
          <w:szCs w:val="24"/>
        </w:rPr>
        <w:t xml:space="preserve">(2), 1–13. </w:t>
      </w:r>
      <w:hyperlink r:id="rId24" w:history="1">
        <w:r w:rsidRPr="007C699C">
          <w:rPr>
            <w:rStyle w:val="Hyperlink"/>
            <w:rFonts w:ascii="Times New Roman" w:hAnsi="Times New Roman" w:cs="Times New Roman"/>
            <w:sz w:val="24"/>
            <w:szCs w:val="24"/>
          </w:rPr>
          <w:t>https://doi.org/10.3102/0013189X211057904</w:t>
        </w:r>
      </w:hyperlink>
    </w:p>
    <w:p w14:paraId="7909548D" w14:textId="77777777" w:rsidR="007C699C" w:rsidRPr="007C699C" w:rsidRDefault="007C699C" w:rsidP="007C699C">
      <w:pPr>
        <w:spacing w:line="360" w:lineRule="auto"/>
        <w:jc w:val="both"/>
        <w:rPr>
          <w:rFonts w:ascii="Times New Roman" w:hAnsi="Times New Roman" w:cs="Times New Roman"/>
          <w:sz w:val="24"/>
          <w:szCs w:val="24"/>
        </w:rPr>
      </w:pPr>
      <w:proofErr w:type="spellStart"/>
      <w:r w:rsidRPr="007C699C">
        <w:rPr>
          <w:rFonts w:ascii="Times New Roman" w:hAnsi="Times New Roman" w:cs="Times New Roman"/>
          <w:sz w:val="24"/>
          <w:szCs w:val="24"/>
        </w:rPr>
        <w:t>Karaahmetoglu</w:t>
      </w:r>
      <w:proofErr w:type="spellEnd"/>
      <w:r w:rsidRPr="007C699C">
        <w:rPr>
          <w:rFonts w:ascii="Times New Roman" w:hAnsi="Times New Roman" w:cs="Times New Roman"/>
          <w:sz w:val="24"/>
          <w:szCs w:val="24"/>
        </w:rPr>
        <w:t xml:space="preserve">, K., &amp; Korkmaz, O. (2023). Exploring secondary school students’ computational thinking experiences enriched with block-based programming activities: Action research. </w:t>
      </w:r>
      <w:r w:rsidRPr="007C699C">
        <w:rPr>
          <w:rFonts w:ascii="Times New Roman" w:hAnsi="Times New Roman" w:cs="Times New Roman"/>
          <w:i/>
          <w:iCs/>
          <w:sz w:val="24"/>
          <w:szCs w:val="24"/>
        </w:rPr>
        <w:t>Education and Information Technologies, 28</w:t>
      </w:r>
      <w:r w:rsidRPr="007C699C">
        <w:rPr>
          <w:rFonts w:ascii="Times New Roman" w:hAnsi="Times New Roman" w:cs="Times New Roman"/>
          <w:sz w:val="24"/>
          <w:szCs w:val="24"/>
        </w:rPr>
        <w:t xml:space="preserve">, 7855–7886. </w:t>
      </w:r>
      <w:hyperlink r:id="rId25" w:history="1">
        <w:r w:rsidRPr="007C699C">
          <w:rPr>
            <w:rStyle w:val="Hyperlink"/>
            <w:rFonts w:ascii="Times New Roman" w:hAnsi="Times New Roman" w:cs="Times New Roman"/>
            <w:sz w:val="24"/>
            <w:szCs w:val="24"/>
          </w:rPr>
          <w:t>https://doi.org/10.1007/s10639-023-11583-1</w:t>
        </w:r>
      </w:hyperlink>
    </w:p>
    <w:p w14:paraId="75FD9EC1"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lastRenderedPageBreak/>
        <w:t xml:space="preserve">Liu, C., Lim, C. P., Chen, D., &amp; Wang, T. (2024). Bringing computational thinking into classrooms: A systematic review on supporting teachers in integrating computational thinking into K–12 classrooms. </w:t>
      </w:r>
      <w:r w:rsidRPr="007C699C">
        <w:rPr>
          <w:rFonts w:ascii="Times New Roman" w:hAnsi="Times New Roman" w:cs="Times New Roman"/>
          <w:i/>
          <w:iCs/>
          <w:sz w:val="24"/>
          <w:szCs w:val="24"/>
        </w:rPr>
        <w:t>International Journal of STEM Education, 11</w:t>
      </w:r>
      <w:r w:rsidRPr="007C699C">
        <w:rPr>
          <w:rFonts w:ascii="Times New Roman" w:hAnsi="Times New Roman" w:cs="Times New Roman"/>
          <w:sz w:val="24"/>
          <w:szCs w:val="24"/>
        </w:rPr>
        <w:t xml:space="preserve">, 51. </w:t>
      </w:r>
      <w:hyperlink r:id="rId26" w:history="1">
        <w:r w:rsidRPr="007C699C">
          <w:rPr>
            <w:rStyle w:val="Hyperlink"/>
            <w:rFonts w:ascii="Times New Roman" w:hAnsi="Times New Roman" w:cs="Times New Roman"/>
            <w:sz w:val="24"/>
            <w:szCs w:val="24"/>
          </w:rPr>
          <w:t>https://doi.org/10.1186/s40594-024-00510-6</w:t>
        </w:r>
      </w:hyperlink>
    </w:p>
    <w:p w14:paraId="73FAD800" w14:textId="2F0A33BD" w:rsidR="007C699C" w:rsidRPr="007C699C" w:rsidRDefault="007C699C" w:rsidP="007C699C">
      <w:pPr>
        <w:spacing w:line="360" w:lineRule="auto"/>
        <w:rPr>
          <w:rFonts w:ascii="Times New Roman" w:hAnsi="Times New Roman" w:cs="Times New Roman"/>
          <w:sz w:val="24"/>
          <w:szCs w:val="24"/>
        </w:rPr>
      </w:pPr>
      <w:r w:rsidRPr="007C699C">
        <w:rPr>
          <w:rFonts w:ascii="Times New Roman" w:hAnsi="Times New Roman" w:cs="Times New Roman"/>
          <w:sz w:val="24"/>
          <w:szCs w:val="24"/>
        </w:rPr>
        <w:t xml:space="preserve">Ministry of Human Resource Development [MHRD]. (2020). </w:t>
      </w:r>
      <w:r w:rsidRPr="007C699C">
        <w:rPr>
          <w:rFonts w:ascii="Times New Roman" w:hAnsi="Times New Roman" w:cs="Times New Roman"/>
          <w:i/>
          <w:iCs/>
          <w:sz w:val="24"/>
          <w:szCs w:val="24"/>
        </w:rPr>
        <w:t>National Education Policy 2020.</w:t>
      </w:r>
      <w:r w:rsidRPr="007C699C">
        <w:rPr>
          <w:rFonts w:ascii="Times New Roman" w:hAnsi="Times New Roman" w:cs="Times New Roman"/>
          <w:sz w:val="24"/>
          <w:szCs w:val="24"/>
        </w:rPr>
        <w:t xml:space="preserve"> Government of India. </w:t>
      </w:r>
      <w:hyperlink r:id="rId27" w:history="1">
        <w:r w:rsidRPr="007C699C">
          <w:rPr>
            <w:rStyle w:val="Hyperlink"/>
            <w:rFonts w:ascii="Times New Roman" w:hAnsi="Times New Roman" w:cs="Times New Roman"/>
            <w:sz w:val="24"/>
            <w:szCs w:val="24"/>
          </w:rPr>
          <w:t>https://www.education.gov.in/sites/upload_files/mhrd/files/NEP_Final_English_0.pdf</w:t>
        </w:r>
      </w:hyperlink>
    </w:p>
    <w:p w14:paraId="450B624B" w14:textId="5E252F9E"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Mulyono, B., </w:t>
      </w:r>
      <w:proofErr w:type="spellStart"/>
      <w:r w:rsidRPr="007C699C">
        <w:rPr>
          <w:rFonts w:ascii="Times New Roman" w:hAnsi="Times New Roman" w:cs="Times New Roman"/>
          <w:sz w:val="24"/>
          <w:szCs w:val="24"/>
        </w:rPr>
        <w:t>Hapizah</w:t>
      </w:r>
      <w:proofErr w:type="spellEnd"/>
      <w:r w:rsidRPr="007C699C">
        <w:rPr>
          <w:rFonts w:ascii="Times New Roman" w:hAnsi="Times New Roman" w:cs="Times New Roman"/>
          <w:sz w:val="24"/>
          <w:szCs w:val="24"/>
        </w:rPr>
        <w:t xml:space="preserve">, &amp; </w:t>
      </w:r>
      <w:proofErr w:type="spellStart"/>
      <w:r w:rsidRPr="007C699C">
        <w:rPr>
          <w:rFonts w:ascii="Times New Roman" w:hAnsi="Times New Roman" w:cs="Times New Roman"/>
          <w:sz w:val="24"/>
          <w:szCs w:val="24"/>
        </w:rPr>
        <w:t>Sukanda</w:t>
      </w:r>
      <w:proofErr w:type="spellEnd"/>
      <w:r w:rsidRPr="007C699C">
        <w:rPr>
          <w:rFonts w:ascii="Times New Roman" w:hAnsi="Times New Roman" w:cs="Times New Roman"/>
          <w:sz w:val="24"/>
          <w:szCs w:val="24"/>
        </w:rPr>
        <w:t xml:space="preserve">, D. C. (2024). Assessing seventh-grade students’ computational thinking skills through problem-based learning: Focus on integer addition and subtraction. </w:t>
      </w:r>
      <w:r w:rsidRPr="007C699C">
        <w:rPr>
          <w:rFonts w:ascii="Times New Roman" w:hAnsi="Times New Roman" w:cs="Times New Roman"/>
          <w:i/>
          <w:iCs/>
          <w:sz w:val="24"/>
          <w:szCs w:val="24"/>
        </w:rPr>
        <w:t>Journal of Honai Math, 7</w:t>
      </w:r>
      <w:r w:rsidRPr="007C699C">
        <w:rPr>
          <w:rFonts w:ascii="Times New Roman" w:hAnsi="Times New Roman" w:cs="Times New Roman"/>
          <w:sz w:val="24"/>
          <w:szCs w:val="24"/>
        </w:rPr>
        <w:t xml:space="preserve">(2). </w:t>
      </w:r>
      <w:hyperlink r:id="rId28" w:history="1">
        <w:r w:rsidRPr="007C699C">
          <w:rPr>
            <w:rStyle w:val="Hyperlink"/>
            <w:rFonts w:ascii="Times New Roman" w:hAnsi="Times New Roman" w:cs="Times New Roman"/>
            <w:sz w:val="24"/>
            <w:szCs w:val="24"/>
          </w:rPr>
          <w:t>https://doi.org/10.36298/jhm.v7i2.560</w:t>
        </w:r>
      </w:hyperlink>
    </w:p>
    <w:p w14:paraId="60C6A2FF"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National Curriculum Framework for School Education [NCF-SE]. (2023). </w:t>
      </w:r>
      <w:r w:rsidRPr="007C699C">
        <w:rPr>
          <w:rFonts w:ascii="Times New Roman" w:hAnsi="Times New Roman" w:cs="Times New Roman"/>
          <w:i/>
          <w:iCs/>
          <w:sz w:val="24"/>
          <w:szCs w:val="24"/>
        </w:rPr>
        <w:t>National curriculum framework for school education.</w:t>
      </w:r>
      <w:r w:rsidRPr="007C699C">
        <w:rPr>
          <w:rFonts w:ascii="Times New Roman" w:hAnsi="Times New Roman" w:cs="Times New Roman"/>
          <w:sz w:val="24"/>
          <w:szCs w:val="24"/>
        </w:rPr>
        <w:t xml:space="preserve"> National Council of Educational Research and Training (NCERT).</w:t>
      </w:r>
    </w:p>
    <w:p w14:paraId="3F6802FA"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Papert, S. (1980). </w:t>
      </w:r>
      <w:r w:rsidRPr="007C699C">
        <w:rPr>
          <w:rFonts w:ascii="Times New Roman" w:hAnsi="Times New Roman" w:cs="Times New Roman"/>
          <w:i/>
          <w:iCs/>
          <w:sz w:val="24"/>
          <w:szCs w:val="24"/>
        </w:rPr>
        <w:t>Mindstorms: Children, computers, and powerful ideas.</w:t>
      </w:r>
      <w:r w:rsidRPr="007C699C">
        <w:rPr>
          <w:rFonts w:ascii="Times New Roman" w:hAnsi="Times New Roman" w:cs="Times New Roman"/>
          <w:sz w:val="24"/>
          <w:szCs w:val="24"/>
        </w:rPr>
        <w:t xml:space="preserve"> Basic Books.</w:t>
      </w:r>
    </w:p>
    <w:p w14:paraId="144711B5"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Román-González, M. (2015). Computational thinking test: Design guidelines and content validation. In </w:t>
      </w:r>
      <w:r w:rsidRPr="007C699C">
        <w:rPr>
          <w:rFonts w:ascii="Times New Roman" w:hAnsi="Times New Roman" w:cs="Times New Roman"/>
          <w:i/>
          <w:iCs/>
          <w:sz w:val="24"/>
          <w:szCs w:val="24"/>
        </w:rPr>
        <w:t>Proceedings of EDULEARN15</w:t>
      </w:r>
      <w:r w:rsidRPr="007C699C">
        <w:rPr>
          <w:rFonts w:ascii="Times New Roman" w:hAnsi="Times New Roman" w:cs="Times New Roman"/>
          <w:sz w:val="24"/>
          <w:szCs w:val="24"/>
        </w:rPr>
        <w:t xml:space="preserve"> (pp. 2436–2444).</w:t>
      </w:r>
    </w:p>
    <w:p w14:paraId="057EFAEA"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Roman-Gonzalez, M., Pérez-González, J.-C., &amp; Jiménez-Fernández, C. (2017). Which cognitive abilities underlie computational thinking? Criterion validity of the Computational Thinking Test. </w:t>
      </w:r>
      <w:r w:rsidRPr="007C699C">
        <w:rPr>
          <w:rFonts w:ascii="Times New Roman" w:hAnsi="Times New Roman" w:cs="Times New Roman"/>
          <w:i/>
          <w:iCs/>
          <w:sz w:val="24"/>
          <w:szCs w:val="24"/>
        </w:rPr>
        <w:t>Computers in Human Behavior, 72</w:t>
      </w:r>
      <w:r w:rsidRPr="007C699C">
        <w:rPr>
          <w:rFonts w:ascii="Times New Roman" w:hAnsi="Times New Roman" w:cs="Times New Roman"/>
          <w:sz w:val="24"/>
          <w:szCs w:val="24"/>
        </w:rPr>
        <w:t xml:space="preserve">, 678–691. </w:t>
      </w:r>
      <w:hyperlink r:id="rId29" w:history="1">
        <w:r w:rsidRPr="007C699C">
          <w:rPr>
            <w:rStyle w:val="Hyperlink"/>
            <w:rFonts w:ascii="Times New Roman" w:hAnsi="Times New Roman" w:cs="Times New Roman"/>
            <w:sz w:val="24"/>
            <w:szCs w:val="24"/>
          </w:rPr>
          <w:t>https://doi.org/10.1016/j.chb.2016.08.047</w:t>
        </w:r>
      </w:hyperlink>
    </w:p>
    <w:p w14:paraId="736C9249"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So, H.-J., Jong, M. S.-Y., &amp; Liu, C.-C. (2020). Computational thinking education in the Asia-Pacific region. </w:t>
      </w:r>
      <w:r w:rsidRPr="007C699C">
        <w:rPr>
          <w:rFonts w:ascii="Times New Roman" w:hAnsi="Times New Roman" w:cs="Times New Roman"/>
          <w:i/>
          <w:iCs/>
          <w:sz w:val="24"/>
          <w:szCs w:val="24"/>
        </w:rPr>
        <w:t>The Asia-Pacific Education Researcher, 29</w:t>
      </w:r>
      <w:r w:rsidRPr="007C699C">
        <w:rPr>
          <w:rFonts w:ascii="Times New Roman" w:hAnsi="Times New Roman" w:cs="Times New Roman"/>
          <w:sz w:val="24"/>
          <w:szCs w:val="24"/>
        </w:rPr>
        <w:t xml:space="preserve">(1), 1–8. </w:t>
      </w:r>
      <w:hyperlink r:id="rId30" w:history="1">
        <w:r w:rsidRPr="007C699C">
          <w:rPr>
            <w:rStyle w:val="Hyperlink"/>
            <w:rFonts w:ascii="Times New Roman" w:hAnsi="Times New Roman" w:cs="Times New Roman"/>
            <w:sz w:val="24"/>
            <w:szCs w:val="24"/>
          </w:rPr>
          <w:t>https://doi.org/10.1007/s40299-019-00494-w</w:t>
        </w:r>
      </w:hyperlink>
    </w:p>
    <w:p w14:paraId="2734EBF6"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Sovey, S., Osman, K., &amp; </w:t>
      </w:r>
      <w:proofErr w:type="spellStart"/>
      <w:r w:rsidRPr="007C699C">
        <w:rPr>
          <w:rFonts w:ascii="Times New Roman" w:hAnsi="Times New Roman" w:cs="Times New Roman"/>
          <w:sz w:val="24"/>
          <w:szCs w:val="24"/>
        </w:rPr>
        <w:t>Matore</w:t>
      </w:r>
      <w:proofErr w:type="spellEnd"/>
      <w:r w:rsidRPr="007C699C">
        <w:rPr>
          <w:rFonts w:ascii="Times New Roman" w:hAnsi="Times New Roman" w:cs="Times New Roman"/>
          <w:sz w:val="24"/>
          <w:szCs w:val="24"/>
        </w:rPr>
        <w:t xml:space="preserve">, M. E. E. M. (2022). Gender differential item functioning analysis in measuring computational thinking disposition among secondary school students. Frontiers in Psychiatry, 13, 1022304. </w:t>
      </w:r>
      <w:hyperlink r:id="rId31" w:history="1">
        <w:r w:rsidRPr="007C699C">
          <w:rPr>
            <w:rStyle w:val="Hyperlink"/>
            <w:rFonts w:ascii="Times New Roman" w:hAnsi="Times New Roman" w:cs="Times New Roman"/>
            <w:sz w:val="24"/>
            <w:szCs w:val="24"/>
          </w:rPr>
          <w:t>https://doi.org/10.3389/fpsyt.2022.1022304</w:t>
        </w:r>
      </w:hyperlink>
    </w:p>
    <w:p w14:paraId="344D1682"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Tang, X., Yin, Y., Lin, Q., Hadad, R., &amp; Zhai, X. (2020). Assessing computational thinking: A systematic review of empirical studies. </w:t>
      </w:r>
      <w:r w:rsidRPr="007C699C">
        <w:rPr>
          <w:rFonts w:ascii="Times New Roman" w:hAnsi="Times New Roman" w:cs="Times New Roman"/>
          <w:i/>
          <w:iCs/>
          <w:sz w:val="24"/>
          <w:szCs w:val="24"/>
        </w:rPr>
        <w:t>Computers &amp; Education, 148</w:t>
      </w:r>
      <w:r w:rsidRPr="007C699C">
        <w:rPr>
          <w:rFonts w:ascii="Times New Roman" w:hAnsi="Times New Roman" w:cs="Times New Roman"/>
          <w:sz w:val="24"/>
          <w:szCs w:val="24"/>
        </w:rPr>
        <w:t xml:space="preserve">, 103798. </w:t>
      </w:r>
      <w:hyperlink r:id="rId32" w:history="1">
        <w:r w:rsidRPr="007C699C">
          <w:rPr>
            <w:rStyle w:val="Hyperlink"/>
            <w:rFonts w:ascii="Times New Roman" w:hAnsi="Times New Roman" w:cs="Times New Roman"/>
            <w:sz w:val="24"/>
            <w:szCs w:val="24"/>
          </w:rPr>
          <w:t>https://doi.org/10.1016/j.compedu.2019.103798</w:t>
        </w:r>
      </w:hyperlink>
    </w:p>
    <w:p w14:paraId="0C654069"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lastRenderedPageBreak/>
        <w:t xml:space="preserve">Wang, C., Shen, J., &amp; Chao, J. (2022). Integrating computational thinking in STEM education: A literature review. </w:t>
      </w:r>
      <w:r w:rsidRPr="007C699C">
        <w:rPr>
          <w:rFonts w:ascii="Times New Roman" w:hAnsi="Times New Roman" w:cs="Times New Roman"/>
          <w:i/>
          <w:iCs/>
          <w:sz w:val="24"/>
          <w:szCs w:val="24"/>
        </w:rPr>
        <w:t>International Journal of Science and Mathematics Education, 20</w:t>
      </w:r>
      <w:r w:rsidRPr="007C699C">
        <w:rPr>
          <w:rFonts w:ascii="Times New Roman" w:hAnsi="Times New Roman" w:cs="Times New Roman"/>
          <w:sz w:val="24"/>
          <w:szCs w:val="24"/>
        </w:rPr>
        <w:t xml:space="preserve">, 1949–1972. </w:t>
      </w:r>
      <w:hyperlink r:id="rId33" w:history="1">
        <w:r w:rsidRPr="007C699C">
          <w:rPr>
            <w:rStyle w:val="Hyperlink"/>
            <w:rFonts w:ascii="Times New Roman" w:hAnsi="Times New Roman" w:cs="Times New Roman"/>
            <w:sz w:val="24"/>
            <w:szCs w:val="24"/>
          </w:rPr>
          <w:t>https://doi.org/10.1007/s10763-021-10227-5</w:t>
        </w:r>
      </w:hyperlink>
    </w:p>
    <w:p w14:paraId="2364C50D"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Wing, J. M. (2006). Computational thinking. </w:t>
      </w:r>
      <w:r w:rsidRPr="007C699C">
        <w:rPr>
          <w:rFonts w:ascii="Times New Roman" w:hAnsi="Times New Roman" w:cs="Times New Roman"/>
          <w:i/>
          <w:iCs/>
          <w:sz w:val="24"/>
          <w:szCs w:val="24"/>
        </w:rPr>
        <w:t>Communications of the ACM, 49</w:t>
      </w:r>
      <w:r w:rsidRPr="007C699C">
        <w:rPr>
          <w:rFonts w:ascii="Times New Roman" w:hAnsi="Times New Roman" w:cs="Times New Roman"/>
          <w:sz w:val="24"/>
          <w:szCs w:val="24"/>
        </w:rPr>
        <w:t xml:space="preserve">(3), 33–35. </w:t>
      </w:r>
      <w:hyperlink r:id="rId34" w:history="1">
        <w:r w:rsidRPr="007C699C">
          <w:rPr>
            <w:rStyle w:val="Hyperlink"/>
            <w:rFonts w:ascii="Times New Roman" w:hAnsi="Times New Roman" w:cs="Times New Roman"/>
            <w:sz w:val="24"/>
            <w:szCs w:val="24"/>
          </w:rPr>
          <w:t>https://doi.org/10.1145/1118178.1118215</w:t>
        </w:r>
      </w:hyperlink>
    </w:p>
    <w:p w14:paraId="6BE85372"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Wing, J. M. (2011). Computational thinking: What and why? </w:t>
      </w:r>
      <w:r w:rsidRPr="007C699C">
        <w:rPr>
          <w:rFonts w:ascii="Times New Roman" w:hAnsi="Times New Roman" w:cs="Times New Roman"/>
          <w:i/>
          <w:iCs/>
          <w:sz w:val="24"/>
          <w:szCs w:val="24"/>
        </w:rPr>
        <w:t>The Link Magazine, Carnegie Mellon University</w:t>
      </w:r>
      <w:r w:rsidRPr="007C699C">
        <w:rPr>
          <w:rFonts w:ascii="Times New Roman" w:hAnsi="Times New Roman" w:cs="Times New Roman"/>
          <w:sz w:val="24"/>
          <w:szCs w:val="24"/>
        </w:rPr>
        <w:t>, Spring, 20–23.</w:t>
      </w:r>
    </w:p>
    <w:p w14:paraId="4AD62071" w14:textId="77777777" w:rsidR="007C699C" w:rsidRPr="007C699C" w:rsidRDefault="007C699C" w:rsidP="007C699C">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Wong, G. K. W. (2024). Gender differences in computational thinking skills among primary and secondary school students: A systematic review. </w:t>
      </w:r>
      <w:r w:rsidRPr="007C699C">
        <w:rPr>
          <w:rFonts w:ascii="Times New Roman" w:hAnsi="Times New Roman" w:cs="Times New Roman"/>
          <w:i/>
          <w:iCs/>
          <w:sz w:val="24"/>
          <w:szCs w:val="24"/>
        </w:rPr>
        <w:t>Education Sciences, 14</w:t>
      </w:r>
      <w:r w:rsidRPr="007C699C">
        <w:rPr>
          <w:rFonts w:ascii="Times New Roman" w:hAnsi="Times New Roman" w:cs="Times New Roman"/>
          <w:sz w:val="24"/>
          <w:szCs w:val="24"/>
        </w:rPr>
        <w:t xml:space="preserve">(7), 790. </w:t>
      </w:r>
      <w:hyperlink r:id="rId35" w:history="1">
        <w:r w:rsidRPr="007C699C">
          <w:rPr>
            <w:rStyle w:val="Hyperlink"/>
            <w:rFonts w:ascii="Times New Roman" w:hAnsi="Times New Roman" w:cs="Times New Roman"/>
            <w:sz w:val="24"/>
            <w:szCs w:val="24"/>
          </w:rPr>
          <w:t>https://doi.org/10.3390/educsci14070790</w:t>
        </w:r>
      </w:hyperlink>
    </w:p>
    <w:p w14:paraId="33F8997A" w14:textId="77777777" w:rsidR="004C04CB" w:rsidRPr="004C04CB" w:rsidRDefault="00382677" w:rsidP="003F51F0">
      <w:pPr>
        <w:pStyle w:val="NoSpacing"/>
        <w:spacing w:line="360" w:lineRule="auto"/>
        <w:jc w:val="both"/>
        <w:rPr>
          <w:rFonts w:ascii="Times New Roman" w:hAnsi="Times New Roman" w:cs="Times New Roman"/>
          <w:sz w:val="24"/>
          <w:szCs w:val="24"/>
        </w:rPr>
      </w:pPr>
      <w:r w:rsidRPr="004C04CB">
        <w:rPr>
          <w:rFonts w:ascii="Times New Roman" w:hAnsi="Times New Roman" w:cs="Times New Roman"/>
          <w:sz w:val="24"/>
          <w:szCs w:val="24"/>
        </w:rPr>
        <w:t>Zapata-Caceres, M., Mart</w:t>
      </w:r>
      <w:r w:rsidR="004C04CB" w:rsidRPr="004C04CB">
        <w:rPr>
          <w:rFonts w:ascii="Times New Roman" w:hAnsi="Times New Roman" w:cs="Times New Roman"/>
          <w:sz w:val="24"/>
          <w:szCs w:val="24"/>
        </w:rPr>
        <w:t>i</w:t>
      </w:r>
      <w:r w:rsidRPr="004C04CB">
        <w:rPr>
          <w:rFonts w:ascii="Times New Roman" w:hAnsi="Times New Roman" w:cs="Times New Roman"/>
          <w:sz w:val="24"/>
          <w:szCs w:val="24"/>
        </w:rPr>
        <w:t>n-Barroso, E., &amp; Rom</w:t>
      </w:r>
      <w:r w:rsidR="004C04CB" w:rsidRPr="004C04CB">
        <w:rPr>
          <w:rFonts w:ascii="Times New Roman" w:hAnsi="Times New Roman" w:cs="Times New Roman"/>
          <w:sz w:val="24"/>
          <w:szCs w:val="24"/>
        </w:rPr>
        <w:t>a</w:t>
      </w:r>
      <w:r w:rsidRPr="004C04CB">
        <w:rPr>
          <w:rFonts w:ascii="Times New Roman" w:hAnsi="Times New Roman" w:cs="Times New Roman"/>
          <w:sz w:val="24"/>
          <w:szCs w:val="24"/>
        </w:rPr>
        <w:t xml:space="preserve">n-Gonzalez, M. (2020). Computational thinking test for beginners: Design and content validation. In 2020 IEEE Global Engineering Education Conference (EDUCON) (pp. 1905–1914). IEEE. </w:t>
      </w:r>
    </w:p>
    <w:p w14:paraId="388D9E46" w14:textId="60D9675D" w:rsidR="003F51F0" w:rsidRPr="00ED37FD" w:rsidRDefault="001F0599" w:rsidP="003F51F0">
      <w:pPr>
        <w:pStyle w:val="NoSpacing"/>
        <w:spacing w:line="360" w:lineRule="auto"/>
        <w:jc w:val="both"/>
        <w:rPr>
          <w:rFonts w:ascii="Times New Roman" w:hAnsi="Times New Roman" w:cs="Times New Roman"/>
          <w:sz w:val="24"/>
          <w:szCs w:val="24"/>
        </w:rPr>
      </w:pPr>
      <w:hyperlink r:id="rId36" w:history="1">
        <w:r w:rsidRPr="008104B8">
          <w:rPr>
            <w:rStyle w:val="Hyperlink"/>
            <w:rFonts w:ascii="Times New Roman" w:hAnsi="Times New Roman" w:cs="Times New Roman"/>
            <w:sz w:val="24"/>
            <w:szCs w:val="24"/>
          </w:rPr>
          <w:t>https://doi.org/10.1109/EDUCON45650.2020.9125397</w:t>
        </w:r>
      </w:hyperlink>
    </w:p>
    <w:p w14:paraId="3C556235" w14:textId="77777777" w:rsidR="00382677" w:rsidRPr="00382677" w:rsidRDefault="00382677" w:rsidP="003F51F0">
      <w:pPr>
        <w:spacing w:line="360" w:lineRule="auto"/>
        <w:jc w:val="both"/>
        <w:rPr>
          <w:rFonts w:ascii="Times New Roman" w:hAnsi="Times New Roman" w:cs="Times New Roman"/>
          <w:sz w:val="24"/>
          <w:szCs w:val="24"/>
        </w:rPr>
      </w:pPr>
      <w:r w:rsidRPr="00382677">
        <w:rPr>
          <w:rFonts w:ascii="Times New Roman" w:hAnsi="Times New Roman" w:cs="Times New Roman"/>
          <w:sz w:val="24"/>
          <w:szCs w:val="24"/>
        </w:rPr>
        <w:t xml:space="preserve">Zhang, S., &amp; Wong, G. K. W. (2023). Development and validation of a computational thinking test for lower primary school students. </w:t>
      </w:r>
      <w:r w:rsidRPr="00382677">
        <w:rPr>
          <w:rFonts w:ascii="Times New Roman" w:hAnsi="Times New Roman" w:cs="Times New Roman"/>
          <w:i/>
          <w:iCs/>
          <w:sz w:val="24"/>
          <w:szCs w:val="24"/>
        </w:rPr>
        <w:t>Educational Technology Research and Development, 71</w:t>
      </w:r>
      <w:r w:rsidRPr="00382677">
        <w:rPr>
          <w:rFonts w:ascii="Times New Roman" w:hAnsi="Times New Roman" w:cs="Times New Roman"/>
          <w:sz w:val="24"/>
          <w:szCs w:val="24"/>
        </w:rPr>
        <w:t xml:space="preserve">(4), 1595–1630. </w:t>
      </w:r>
      <w:hyperlink r:id="rId37" w:history="1">
        <w:r w:rsidRPr="00382677">
          <w:rPr>
            <w:rStyle w:val="Hyperlink"/>
            <w:rFonts w:ascii="Times New Roman" w:hAnsi="Times New Roman" w:cs="Times New Roman"/>
            <w:sz w:val="24"/>
            <w:szCs w:val="24"/>
          </w:rPr>
          <w:t>https://doi.org/10.1007/s11423-023-10231-2</w:t>
        </w:r>
      </w:hyperlink>
    </w:p>
    <w:p w14:paraId="13A77BC6" w14:textId="77777777" w:rsidR="007C699C" w:rsidRPr="007C699C" w:rsidRDefault="007C699C" w:rsidP="007C699C">
      <w:pPr>
        <w:spacing w:line="360" w:lineRule="auto"/>
        <w:jc w:val="both"/>
        <w:rPr>
          <w:rFonts w:ascii="Times New Roman" w:hAnsi="Times New Roman" w:cs="Times New Roman"/>
          <w:sz w:val="24"/>
          <w:szCs w:val="24"/>
        </w:rPr>
      </w:pPr>
    </w:p>
    <w:p w14:paraId="37712F2A" w14:textId="77777777" w:rsidR="000606B3" w:rsidRPr="000606B3" w:rsidRDefault="000606B3" w:rsidP="00F67F90">
      <w:pPr>
        <w:spacing w:before="58" w:after="202" w:line="360" w:lineRule="auto"/>
        <w:jc w:val="both"/>
        <w:rPr>
          <w:rFonts w:ascii="Times New Roman" w:hAnsi="Times New Roman" w:cs="Times New Roman"/>
          <w:sz w:val="24"/>
          <w:szCs w:val="24"/>
        </w:rPr>
      </w:pPr>
    </w:p>
    <w:p w14:paraId="45133695" w14:textId="0FE41D40" w:rsidR="00D00410" w:rsidRDefault="00D00410" w:rsidP="00AB06E4">
      <w:pPr>
        <w:spacing w:before="58" w:after="202" w:line="360" w:lineRule="auto"/>
        <w:jc w:val="both"/>
        <w:rPr>
          <w:rFonts w:ascii="Times New Roman" w:hAnsi="Times New Roman" w:cs="Times New Roman"/>
          <w:sz w:val="24"/>
          <w:szCs w:val="24"/>
        </w:rPr>
      </w:pPr>
    </w:p>
    <w:p w14:paraId="15CF069B" w14:textId="77777777" w:rsidR="00652562" w:rsidRPr="00D00410" w:rsidRDefault="00652562" w:rsidP="00AB06E4">
      <w:pPr>
        <w:spacing w:before="58" w:after="202" w:line="360" w:lineRule="auto"/>
        <w:jc w:val="both"/>
        <w:rPr>
          <w:rFonts w:ascii="Times New Roman" w:hAnsi="Times New Roman" w:cs="Times New Roman"/>
          <w:sz w:val="24"/>
          <w:szCs w:val="24"/>
        </w:rPr>
      </w:pPr>
    </w:p>
    <w:p w14:paraId="7979EFB6" w14:textId="77777777" w:rsidR="00727B74" w:rsidRPr="002705C6" w:rsidRDefault="00727B74" w:rsidP="00AB06E4">
      <w:pPr>
        <w:spacing w:before="58" w:after="202" w:line="360" w:lineRule="auto"/>
        <w:jc w:val="both"/>
        <w:rPr>
          <w:rFonts w:ascii="Times New Roman" w:hAnsi="Times New Roman" w:cs="Times New Roman"/>
          <w:sz w:val="24"/>
          <w:szCs w:val="24"/>
        </w:rPr>
      </w:pPr>
    </w:p>
    <w:p w14:paraId="26A42578" w14:textId="77777777" w:rsidR="00C35DBA" w:rsidRPr="00AB06E4" w:rsidRDefault="00C35DBA" w:rsidP="00AB06E4">
      <w:pPr>
        <w:spacing w:before="58" w:after="202" w:line="360" w:lineRule="auto"/>
        <w:jc w:val="both"/>
        <w:rPr>
          <w:b/>
          <w:bCs/>
        </w:rPr>
      </w:pPr>
    </w:p>
    <w:sectPr w:rsidR="00C35DBA" w:rsidRPr="00AB06E4">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4370" w14:textId="77777777" w:rsidR="00C37203" w:rsidRDefault="00C37203" w:rsidP="009143CE">
      <w:pPr>
        <w:spacing w:after="0" w:line="240" w:lineRule="auto"/>
      </w:pPr>
      <w:r>
        <w:separator/>
      </w:r>
    </w:p>
  </w:endnote>
  <w:endnote w:type="continuationSeparator" w:id="0">
    <w:p w14:paraId="72FE81E6" w14:textId="77777777" w:rsidR="00C37203" w:rsidRDefault="00C37203" w:rsidP="009143CE">
      <w:pPr>
        <w:spacing w:after="0" w:line="240" w:lineRule="auto"/>
      </w:pPr>
      <w:r>
        <w:continuationSeparator/>
      </w:r>
    </w:p>
  </w:endnote>
  <w:endnote w:type="continuationNotice" w:id="1">
    <w:p w14:paraId="75BDA13D" w14:textId="77777777" w:rsidR="00C37203" w:rsidRDefault="00C37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AA8" w14:textId="77777777" w:rsidR="00B033B7" w:rsidRDefault="00B03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9393" w14:textId="77777777" w:rsidR="00B033B7" w:rsidRDefault="00B03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0C7" w14:textId="77777777" w:rsidR="00B033B7" w:rsidRDefault="00B0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BB85" w14:textId="77777777" w:rsidR="00C37203" w:rsidRDefault="00C37203" w:rsidP="009143CE">
      <w:pPr>
        <w:spacing w:after="0" w:line="240" w:lineRule="auto"/>
      </w:pPr>
      <w:r>
        <w:separator/>
      </w:r>
    </w:p>
  </w:footnote>
  <w:footnote w:type="continuationSeparator" w:id="0">
    <w:p w14:paraId="21AE8B5A" w14:textId="77777777" w:rsidR="00C37203" w:rsidRDefault="00C37203" w:rsidP="009143CE">
      <w:pPr>
        <w:spacing w:after="0" w:line="240" w:lineRule="auto"/>
      </w:pPr>
      <w:r>
        <w:continuationSeparator/>
      </w:r>
    </w:p>
  </w:footnote>
  <w:footnote w:type="continuationNotice" w:id="1">
    <w:p w14:paraId="5BEDAACF" w14:textId="77777777" w:rsidR="00C37203" w:rsidRDefault="00C372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FDFF" w14:textId="11ACCC8A" w:rsidR="00B033B7" w:rsidRDefault="00B033B7">
    <w:pPr>
      <w:pStyle w:val="Header"/>
    </w:pPr>
    <w:r>
      <w:rPr>
        <w:noProof/>
      </w:rPr>
      <w:pict w14:anchorId="06A2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2663" w14:textId="3BE7667F" w:rsidR="00B033B7" w:rsidRDefault="00B033B7">
    <w:pPr>
      <w:pStyle w:val="Header"/>
    </w:pPr>
    <w:r>
      <w:rPr>
        <w:noProof/>
      </w:rPr>
      <w:pict w14:anchorId="0CEB5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DC91" w14:textId="5603582E" w:rsidR="00B033B7" w:rsidRDefault="00B033B7">
    <w:pPr>
      <w:pStyle w:val="Header"/>
    </w:pPr>
    <w:r>
      <w:rPr>
        <w:noProof/>
      </w:rPr>
      <w:pict w14:anchorId="7F07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739"/>
    <w:multiLevelType w:val="multilevel"/>
    <w:tmpl w:val="274AB936"/>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FFD66B8"/>
    <w:multiLevelType w:val="multilevel"/>
    <w:tmpl w:val="70DC2188"/>
    <w:lvl w:ilvl="0">
      <w:start w:val="1"/>
      <w:numFmt w:val="decimal"/>
      <w:lvlText w:val="%1."/>
      <w:lvlJc w:val="left"/>
      <w:pPr>
        <w:ind w:left="420" w:hanging="360"/>
      </w:pPr>
      <w:rPr>
        <w:rFonts w:hint="default"/>
      </w:rPr>
    </w:lvl>
    <w:lvl w:ilv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4C4E0066"/>
    <w:multiLevelType w:val="multilevel"/>
    <w:tmpl w:val="CA1ADF2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27B79D2"/>
    <w:multiLevelType w:val="multilevel"/>
    <w:tmpl w:val="60CE403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5513B4C"/>
    <w:multiLevelType w:val="hybridMultilevel"/>
    <w:tmpl w:val="1D7E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A5298"/>
    <w:multiLevelType w:val="multilevel"/>
    <w:tmpl w:val="C36C792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CD58EC"/>
    <w:multiLevelType w:val="multilevel"/>
    <w:tmpl w:val="406243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2C3030A"/>
    <w:multiLevelType w:val="hybridMultilevel"/>
    <w:tmpl w:val="40243970"/>
    <w:lvl w:ilvl="0" w:tplc="4E90765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D736D6B"/>
    <w:multiLevelType w:val="multilevel"/>
    <w:tmpl w:val="274AB936"/>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402212844">
    <w:abstractNumId w:val="1"/>
  </w:num>
  <w:num w:numId="2" w16cid:durableId="1954437502">
    <w:abstractNumId w:val="0"/>
  </w:num>
  <w:num w:numId="3" w16cid:durableId="324482967">
    <w:abstractNumId w:val="4"/>
  </w:num>
  <w:num w:numId="4" w16cid:durableId="835069791">
    <w:abstractNumId w:val="7"/>
  </w:num>
  <w:num w:numId="5" w16cid:durableId="456414722">
    <w:abstractNumId w:val="3"/>
  </w:num>
  <w:num w:numId="6" w16cid:durableId="210043640">
    <w:abstractNumId w:val="2"/>
  </w:num>
  <w:num w:numId="7" w16cid:durableId="367073255">
    <w:abstractNumId w:val="5"/>
  </w:num>
  <w:num w:numId="8" w16cid:durableId="1648196677">
    <w:abstractNumId w:val="6"/>
  </w:num>
  <w:num w:numId="9" w16cid:durableId="1802848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36"/>
    <w:rsid w:val="000112C0"/>
    <w:rsid w:val="000176B5"/>
    <w:rsid w:val="0002167D"/>
    <w:rsid w:val="00027B84"/>
    <w:rsid w:val="00032F52"/>
    <w:rsid w:val="000403EE"/>
    <w:rsid w:val="00040B94"/>
    <w:rsid w:val="00044848"/>
    <w:rsid w:val="000451CC"/>
    <w:rsid w:val="00050DE5"/>
    <w:rsid w:val="000606B3"/>
    <w:rsid w:val="000645FE"/>
    <w:rsid w:val="000710A1"/>
    <w:rsid w:val="00072FE0"/>
    <w:rsid w:val="00073DBB"/>
    <w:rsid w:val="00074C13"/>
    <w:rsid w:val="00074C88"/>
    <w:rsid w:val="00077DB5"/>
    <w:rsid w:val="00080DC1"/>
    <w:rsid w:val="000837EC"/>
    <w:rsid w:val="0008490F"/>
    <w:rsid w:val="0008738E"/>
    <w:rsid w:val="00090173"/>
    <w:rsid w:val="00096CBF"/>
    <w:rsid w:val="00097582"/>
    <w:rsid w:val="000A140F"/>
    <w:rsid w:val="000A3222"/>
    <w:rsid w:val="000A48F9"/>
    <w:rsid w:val="000A6B75"/>
    <w:rsid w:val="000B0BF0"/>
    <w:rsid w:val="000C389A"/>
    <w:rsid w:val="000D1982"/>
    <w:rsid w:val="000D42E5"/>
    <w:rsid w:val="000D56D9"/>
    <w:rsid w:val="000E6EF5"/>
    <w:rsid w:val="000E7B31"/>
    <w:rsid w:val="000F0EB1"/>
    <w:rsid w:val="000F62D5"/>
    <w:rsid w:val="0010085A"/>
    <w:rsid w:val="001011CF"/>
    <w:rsid w:val="00111B9C"/>
    <w:rsid w:val="0012339F"/>
    <w:rsid w:val="00123920"/>
    <w:rsid w:val="001239BA"/>
    <w:rsid w:val="00126E92"/>
    <w:rsid w:val="001409BC"/>
    <w:rsid w:val="001501A3"/>
    <w:rsid w:val="0015558E"/>
    <w:rsid w:val="00156674"/>
    <w:rsid w:val="00157E78"/>
    <w:rsid w:val="0017235D"/>
    <w:rsid w:val="0017340D"/>
    <w:rsid w:val="001735D0"/>
    <w:rsid w:val="00176611"/>
    <w:rsid w:val="00187658"/>
    <w:rsid w:val="00194BAD"/>
    <w:rsid w:val="00197A39"/>
    <w:rsid w:val="001A4E38"/>
    <w:rsid w:val="001B1610"/>
    <w:rsid w:val="001B19BF"/>
    <w:rsid w:val="001B64F5"/>
    <w:rsid w:val="001C1A15"/>
    <w:rsid w:val="001C7CB8"/>
    <w:rsid w:val="001D4498"/>
    <w:rsid w:val="001D7BD2"/>
    <w:rsid w:val="001E6DE3"/>
    <w:rsid w:val="001F0599"/>
    <w:rsid w:val="001F0A4F"/>
    <w:rsid w:val="001F2BF4"/>
    <w:rsid w:val="001F4594"/>
    <w:rsid w:val="001F7C25"/>
    <w:rsid w:val="00200226"/>
    <w:rsid w:val="00204A9A"/>
    <w:rsid w:val="002054BA"/>
    <w:rsid w:val="00210972"/>
    <w:rsid w:val="00214A06"/>
    <w:rsid w:val="002174D7"/>
    <w:rsid w:val="00220275"/>
    <w:rsid w:val="00226CAD"/>
    <w:rsid w:val="00230DF3"/>
    <w:rsid w:val="00251F02"/>
    <w:rsid w:val="00253663"/>
    <w:rsid w:val="00261F4E"/>
    <w:rsid w:val="002705C6"/>
    <w:rsid w:val="0028284C"/>
    <w:rsid w:val="0028284E"/>
    <w:rsid w:val="002843CA"/>
    <w:rsid w:val="00292A50"/>
    <w:rsid w:val="002A5AA6"/>
    <w:rsid w:val="002B1171"/>
    <w:rsid w:val="002B7BBC"/>
    <w:rsid w:val="002C2640"/>
    <w:rsid w:val="002D757C"/>
    <w:rsid w:val="002D7E56"/>
    <w:rsid w:val="002E0295"/>
    <w:rsid w:val="002E7F8B"/>
    <w:rsid w:val="002F329B"/>
    <w:rsid w:val="002F33E8"/>
    <w:rsid w:val="002F5FB5"/>
    <w:rsid w:val="003001D0"/>
    <w:rsid w:val="00300E92"/>
    <w:rsid w:val="00300FC8"/>
    <w:rsid w:val="00303226"/>
    <w:rsid w:val="003039CF"/>
    <w:rsid w:val="00305F28"/>
    <w:rsid w:val="00311058"/>
    <w:rsid w:val="00314F68"/>
    <w:rsid w:val="003162F2"/>
    <w:rsid w:val="00317126"/>
    <w:rsid w:val="003205C7"/>
    <w:rsid w:val="00320814"/>
    <w:rsid w:val="00322ACA"/>
    <w:rsid w:val="0032340A"/>
    <w:rsid w:val="003301ED"/>
    <w:rsid w:val="003318F8"/>
    <w:rsid w:val="00332A2C"/>
    <w:rsid w:val="00334EA4"/>
    <w:rsid w:val="00342AE8"/>
    <w:rsid w:val="0034612C"/>
    <w:rsid w:val="00357175"/>
    <w:rsid w:val="00357E91"/>
    <w:rsid w:val="003645C8"/>
    <w:rsid w:val="00365813"/>
    <w:rsid w:val="003726BD"/>
    <w:rsid w:val="0037372C"/>
    <w:rsid w:val="003753C2"/>
    <w:rsid w:val="00376C64"/>
    <w:rsid w:val="00382677"/>
    <w:rsid w:val="00382D7B"/>
    <w:rsid w:val="00391DD6"/>
    <w:rsid w:val="00392928"/>
    <w:rsid w:val="003A03AC"/>
    <w:rsid w:val="003B0020"/>
    <w:rsid w:val="003B45E7"/>
    <w:rsid w:val="003B6012"/>
    <w:rsid w:val="003B7CCC"/>
    <w:rsid w:val="003C2622"/>
    <w:rsid w:val="003C2B58"/>
    <w:rsid w:val="003C4CC1"/>
    <w:rsid w:val="003C5E16"/>
    <w:rsid w:val="003D05BE"/>
    <w:rsid w:val="003D3794"/>
    <w:rsid w:val="003D5A5D"/>
    <w:rsid w:val="003D697E"/>
    <w:rsid w:val="003E181E"/>
    <w:rsid w:val="003E242F"/>
    <w:rsid w:val="003F00B9"/>
    <w:rsid w:val="003F23AD"/>
    <w:rsid w:val="003F51F0"/>
    <w:rsid w:val="003F6192"/>
    <w:rsid w:val="003F738C"/>
    <w:rsid w:val="0040128A"/>
    <w:rsid w:val="00402E12"/>
    <w:rsid w:val="00405627"/>
    <w:rsid w:val="004077AC"/>
    <w:rsid w:val="004137F4"/>
    <w:rsid w:val="0041417F"/>
    <w:rsid w:val="00423FF7"/>
    <w:rsid w:val="0042597A"/>
    <w:rsid w:val="00432921"/>
    <w:rsid w:val="004331BC"/>
    <w:rsid w:val="004355BF"/>
    <w:rsid w:val="0044429B"/>
    <w:rsid w:val="00450A9D"/>
    <w:rsid w:val="004556D0"/>
    <w:rsid w:val="00460B57"/>
    <w:rsid w:val="00470D89"/>
    <w:rsid w:val="00471985"/>
    <w:rsid w:val="0048480A"/>
    <w:rsid w:val="00491A26"/>
    <w:rsid w:val="00496D66"/>
    <w:rsid w:val="004A51D7"/>
    <w:rsid w:val="004A7C70"/>
    <w:rsid w:val="004B12D9"/>
    <w:rsid w:val="004B25E5"/>
    <w:rsid w:val="004B4D4A"/>
    <w:rsid w:val="004C04CB"/>
    <w:rsid w:val="004C3BE7"/>
    <w:rsid w:val="004C428F"/>
    <w:rsid w:val="004C7AD4"/>
    <w:rsid w:val="004D1C96"/>
    <w:rsid w:val="004D4AB2"/>
    <w:rsid w:val="004D5530"/>
    <w:rsid w:val="004E2612"/>
    <w:rsid w:val="004E56FB"/>
    <w:rsid w:val="0050178F"/>
    <w:rsid w:val="005034AF"/>
    <w:rsid w:val="0050445F"/>
    <w:rsid w:val="00505E01"/>
    <w:rsid w:val="0052526B"/>
    <w:rsid w:val="00525318"/>
    <w:rsid w:val="0054046D"/>
    <w:rsid w:val="00542A74"/>
    <w:rsid w:val="0054412C"/>
    <w:rsid w:val="0054664D"/>
    <w:rsid w:val="00550CFE"/>
    <w:rsid w:val="00555F91"/>
    <w:rsid w:val="0056240E"/>
    <w:rsid w:val="005631A9"/>
    <w:rsid w:val="005647E1"/>
    <w:rsid w:val="005749ED"/>
    <w:rsid w:val="0058179C"/>
    <w:rsid w:val="00583215"/>
    <w:rsid w:val="0058577F"/>
    <w:rsid w:val="00592E7A"/>
    <w:rsid w:val="00595C59"/>
    <w:rsid w:val="005A6369"/>
    <w:rsid w:val="005A77D7"/>
    <w:rsid w:val="005B48C2"/>
    <w:rsid w:val="005B5D6D"/>
    <w:rsid w:val="005C2C1B"/>
    <w:rsid w:val="005C4862"/>
    <w:rsid w:val="005C6A23"/>
    <w:rsid w:val="005C6CB7"/>
    <w:rsid w:val="005D4A88"/>
    <w:rsid w:val="005D66A2"/>
    <w:rsid w:val="005E0DB2"/>
    <w:rsid w:val="005E3841"/>
    <w:rsid w:val="005E6A52"/>
    <w:rsid w:val="005F3020"/>
    <w:rsid w:val="005F3842"/>
    <w:rsid w:val="005F409E"/>
    <w:rsid w:val="00606741"/>
    <w:rsid w:val="00611125"/>
    <w:rsid w:val="00612281"/>
    <w:rsid w:val="00612598"/>
    <w:rsid w:val="00624987"/>
    <w:rsid w:val="00624CE1"/>
    <w:rsid w:val="006348AE"/>
    <w:rsid w:val="0064128B"/>
    <w:rsid w:val="00643B19"/>
    <w:rsid w:val="00643E8A"/>
    <w:rsid w:val="00645791"/>
    <w:rsid w:val="00652562"/>
    <w:rsid w:val="00657984"/>
    <w:rsid w:val="00673C1F"/>
    <w:rsid w:val="00675C72"/>
    <w:rsid w:val="00685E18"/>
    <w:rsid w:val="00692022"/>
    <w:rsid w:val="006A2407"/>
    <w:rsid w:val="006A4A93"/>
    <w:rsid w:val="006B1497"/>
    <w:rsid w:val="006B30D0"/>
    <w:rsid w:val="006C0157"/>
    <w:rsid w:val="006C20D9"/>
    <w:rsid w:val="006C2244"/>
    <w:rsid w:val="006C324C"/>
    <w:rsid w:val="006C4B91"/>
    <w:rsid w:val="006C7633"/>
    <w:rsid w:val="006D235D"/>
    <w:rsid w:val="006D5148"/>
    <w:rsid w:val="006D64ED"/>
    <w:rsid w:val="006D74EA"/>
    <w:rsid w:val="006E3651"/>
    <w:rsid w:val="006E3E80"/>
    <w:rsid w:val="006E5D83"/>
    <w:rsid w:val="006F3AD7"/>
    <w:rsid w:val="006F492B"/>
    <w:rsid w:val="006F550B"/>
    <w:rsid w:val="006F6A47"/>
    <w:rsid w:val="006F777C"/>
    <w:rsid w:val="007015D4"/>
    <w:rsid w:val="00702A33"/>
    <w:rsid w:val="00705F2B"/>
    <w:rsid w:val="007107C0"/>
    <w:rsid w:val="0071460A"/>
    <w:rsid w:val="00714F07"/>
    <w:rsid w:val="007158D8"/>
    <w:rsid w:val="0071628C"/>
    <w:rsid w:val="0072032A"/>
    <w:rsid w:val="00726C60"/>
    <w:rsid w:val="00727B74"/>
    <w:rsid w:val="00732F86"/>
    <w:rsid w:val="0074334D"/>
    <w:rsid w:val="0074400F"/>
    <w:rsid w:val="00752FA1"/>
    <w:rsid w:val="0075490B"/>
    <w:rsid w:val="007554D2"/>
    <w:rsid w:val="007578BF"/>
    <w:rsid w:val="00762CEF"/>
    <w:rsid w:val="0076555B"/>
    <w:rsid w:val="00765DD7"/>
    <w:rsid w:val="00771E44"/>
    <w:rsid w:val="0077437C"/>
    <w:rsid w:val="00782995"/>
    <w:rsid w:val="007830AE"/>
    <w:rsid w:val="007956DF"/>
    <w:rsid w:val="00795C80"/>
    <w:rsid w:val="00797311"/>
    <w:rsid w:val="00797F37"/>
    <w:rsid w:val="007A2E4B"/>
    <w:rsid w:val="007A3656"/>
    <w:rsid w:val="007A3EBD"/>
    <w:rsid w:val="007A42CD"/>
    <w:rsid w:val="007B5E7B"/>
    <w:rsid w:val="007B685C"/>
    <w:rsid w:val="007B69A1"/>
    <w:rsid w:val="007B6CEF"/>
    <w:rsid w:val="007C0955"/>
    <w:rsid w:val="007C1E7B"/>
    <w:rsid w:val="007C34D2"/>
    <w:rsid w:val="007C699C"/>
    <w:rsid w:val="007C71F9"/>
    <w:rsid w:val="007D3C0C"/>
    <w:rsid w:val="007D54C1"/>
    <w:rsid w:val="007D77FF"/>
    <w:rsid w:val="007E5443"/>
    <w:rsid w:val="007E67A5"/>
    <w:rsid w:val="007E6C86"/>
    <w:rsid w:val="007F16EA"/>
    <w:rsid w:val="007F78B9"/>
    <w:rsid w:val="00800CA8"/>
    <w:rsid w:val="00803034"/>
    <w:rsid w:val="00806348"/>
    <w:rsid w:val="008116DA"/>
    <w:rsid w:val="00812DE5"/>
    <w:rsid w:val="00825FC6"/>
    <w:rsid w:val="008328D0"/>
    <w:rsid w:val="00837A7B"/>
    <w:rsid w:val="0084118E"/>
    <w:rsid w:val="00841528"/>
    <w:rsid w:val="00847106"/>
    <w:rsid w:val="00847FD9"/>
    <w:rsid w:val="00851A3D"/>
    <w:rsid w:val="0085425E"/>
    <w:rsid w:val="00854BFA"/>
    <w:rsid w:val="008575AD"/>
    <w:rsid w:val="00871AC5"/>
    <w:rsid w:val="00873613"/>
    <w:rsid w:val="008745BD"/>
    <w:rsid w:val="00877A50"/>
    <w:rsid w:val="008963B7"/>
    <w:rsid w:val="008A3987"/>
    <w:rsid w:val="008B5F6A"/>
    <w:rsid w:val="008B61A3"/>
    <w:rsid w:val="008C0778"/>
    <w:rsid w:val="008C547D"/>
    <w:rsid w:val="008D03BB"/>
    <w:rsid w:val="008D0BD3"/>
    <w:rsid w:val="008D7356"/>
    <w:rsid w:val="008D7CED"/>
    <w:rsid w:val="008E004C"/>
    <w:rsid w:val="008E30BF"/>
    <w:rsid w:val="008E67E8"/>
    <w:rsid w:val="008F0BB4"/>
    <w:rsid w:val="008F22F1"/>
    <w:rsid w:val="008F49A9"/>
    <w:rsid w:val="00900D0C"/>
    <w:rsid w:val="00902382"/>
    <w:rsid w:val="009143CE"/>
    <w:rsid w:val="009200AB"/>
    <w:rsid w:val="0092476A"/>
    <w:rsid w:val="00936236"/>
    <w:rsid w:val="00940166"/>
    <w:rsid w:val="0094288D"/>
    <w:rsid w:val="0094418F"/>
    <w:rsid w:val="009557F1"/>
    <w:rsid w:val="00955DEC"/>
    <w:rsid w:val="00956C59"/>
    <w:rsid w:val="00957E72"/>
    <w:rsid w:val="00960CC3"/>
    <w:rsid w:val="00964B49"/>
    <w:rsid w:val="009708E2"/>
    <w:rsid w:val="00975981"/>
    <w:rsid w:val="00976E73"/>
    <w:rsid w:val="00992385"/>
    <w:rsid w:val="00994064"/>
    <w:rsid w:val="00996945"/>
    <w:rsid w:val="00997F8A"/>
    <w:rsid w:val="009A1E75"/>
    <w:rsid w:val="009A2B36"/>
    <w:rsid w:val="009A3A64"/>
    <w:rsid w:val="009A409E"/>
    <w:rsid w:val="009B1DE7"/>
    <w:rsid w:val="009B7830"/>
    <w:rsid w:val="009C2214"/>
    <w:rsid w:val="009D0E02"/>
    <w:rsid w:val="009D29CA"/>
    <w:rsid w:val="009E2D8A"/>
    <w:rsid w:val="009E35D8"/>
    <w:rsid w:val="009E4191"/>
    <w:rsid w:val="009F1260"/>
    <w:rsid w:val="009F4A9F"/>
    <w:rsid w:val="009F6255"/>
    <w:rsid w:val="009F6F88"/>
    <w:rsid w:val="009F7904"/>
    <w:rsid w:val="00A172C5"/>
    <w:rsid w:val="00A17719"/>
    <w:rsid w:val="00A203DC"/>
    <w:rsid w:val="00A21606"/>
    <w:rsid w:val="00A23299"/>
    <w:rsid w:val="00A36568"/>
    <w:rsid w:val="00A419BF"/>
    <w:rsid w:val="00A4645F"/>
    <w:rsid w:val="00A47ADA"/>
    <w:rsid w:val="00A50F10"/>
    <w:rsid w:val="00A51220"/>
    <w:rsid w:val="00A51723"/>
    <w:rsid w:val="00A53ECA"/>
    <w:rsid w:val="00A546A7"/>
    <w:rsid w:val="00A56930"/>
    <w:rsid w:val="00A57DDE"/>
    <w:rsid w:val="00A643B2"/>
    <w:rsid w:val="00A66CA1"/>
    <w:rsid w:val="00A7167C"/>
    <w:rsid w:val="00A728B4"/>
    <w:rsid w:val="00A764CC"/>
    <w:rsid w:val="00A817FC"/>
    <w:rsid w:val="00A8224E"/>
    <w:rsid w:val="00A847C0"/>
    <w:rsid w:val="00A85FBC"/>
    <w:rsid w:val="00A9106C"/>
    <w:rsid w:val="00A93868"/>
    <w:rsid w:val="00AA1E7C"/>
    <w:rsid w:val="00AA376F"/>
    <w:rsid w:val="00AA5D1C"/>
    <w:rsid w:val="00AA7435"/>
    <w:rsid w:val="00AB06E4"/>
    <w:rsid w:val="00AB4435"/>
    <w:rsid w:val="00AB6421"/>
    <w:rsid w:val="00AC261C"/>
    <w:rsid w:val="00AD0553"/>
    <w:rsid w:val="00AD1553"/>
    <w:rsid w:val="00AD2749"/>
    <w:rsid w:val="00AD35A1"/>
    <w:rsid w:val="00AF204B"/>
    <w:rsid w:val="00AF5F05"/>
    <w:rsid w:val="00AF72FE"/>
    <w:rsid w:val="00B000C5"/>
    <w:rsid w:val="00B004F3"/>
    <w:rsid w:val="00B026C9"/>
    <w:rsid w:val="00B02CC2"/>
    <w:rsid w:val="00B033B7"/>
    <w:rsid w:val="00B06DBA"/>
    <w:rsid w:val="00B07994"/>
    <w:rsid w:val="00B07EFC"/>
    <w:rsid w:val="00B12273"/>
    <w:rsid w:val="00B13649"/>
    <w:rsid w:val="00B23F44"/>
    <w:rsid w:val="00B24CEA"/>
    <w:rsid w:val="00B24F05"/>
    <w:rsid w:val="00B26A7E"/>
    <w:rsid w:val="00B30E76"/>
    <w:rsid w:val="00B33E07"/>
    <w:rsid w:val="00B344EB"/>
    <w:rsid w:val="00B34580"/>
    <w:rsid w:val="00B35510"/>
    <w:rsid w:val="00B35A22"/>
    <w:rsid w:val="00B40D6F"/>
    <w:rsid w:val="00B4795A"/>
    <w:rsid w:val="00B53B25"/>
    <w:rsid w:val="00B53B67"/>
    <w:rsid w:val="00B56491"/>
    <w:rsid w:val="00B57388"/>
    <w:rsid w:val="00B64179"/>
    <w:rsid w:val="00B6516B"/>
    <w:rsid w:val="00B66264"/>
    <w:rsid w:val="00B701B6"/>
    <w:rsid w:val="00B72462"/>
    <w:rsid w:val="00B7797F"/>
    <w:rsid w:val="00B81149"/>
    <w:rsid w:val="00B82851"/>
    <w:rsid w:val="00B83B52"/>
    <w:rsid w:val="00B85814"/>
    <w:rsid w:val="00B86293"/>
    <w:rsid w:val="00B92438"/>
    <w:rsid w:val="00B95941"/>
    <w:rsid w:val="00BA13BC"/>
    <w:rsid w:val="00BA708C"/>
    <w:rsid w:val="00BB7F5B"/>
    <w:rsid w:val="00BC20E7"/>
    <w:rsid w:val="00BC307E"/>
    <w:rsid w:val="00BC52C1"/>
    <w:rsid w:val="00BD0E77"/>
    <w:rsid w:val="00BD2426"/>
    <w:rsid w:val="00BD2E86"/>
    <w:rsid w:val="00BD75AF"/>
    <w:rsid w:val="00BD76F2"/>
    <w:rsid w:val="00BE2639"/>
    <w:rsid w:val="00BF7679"/>
    <w:rsid w:val="00C03921"/>
    <w:rsid w:val="00C05F0B"/>
    <w:rsid w:val="00C0731F"/>
    <w:rsid w:val="00C07AE0"/>
    <w:rsid w:val="00C255BE"/>
    <w:rsid w:val="00C26350"/>
    <w:rsid w:val="00C30EF3"/>
    <w:rsid w:val="00C32E56"/>
    <w:rsid w:val="00C34807"/>
    <w:rsid w:val="00C35DBA"/>
    <w:rsid w:val="00C37203"/>
    <w:rsid w:val="00C40600"/>
    <w:rsid w:val="00C41190"/>
    <w:rsid w:val="00C4549A"/>
    <w:rsid w:val="00C45C76"/>
    <w:rsid w:val="00C45FA5"/>
    <w:rsid w:val="00C5487C"/>
    <w:rsid w:val="00C56527"/>
    <w:rsid w:val="00C56F68"/>
    <w:rsid w:val="00C60D49"/>
    <w:rsid w:val="00C6285A"/>
    <w:rsid w:val="00C648C3"/>
    <w:rsid w:val="00C73D4C"/>
    <w:rsid w:val="00C7592C"/>
    <w:rsid w:val="00C834B6"/>
    <w:rsid w:val="00C854C9"/>
    <w:rsid w:val="00C865A8"/>
    <w:rsid w:val="00C86C79"/>
    <w:rsid w:val="00C92D20"/>
    <w:rsid w:val="00C96A94"/>
    <w:rsid w:val="00CA01E7"/>
    <w:rsid w:val="00CA721D"/>
    <w:rsid w:val="00CB685D"/>
    <w:rsid w:val="00CC116A"/>
    <w:rsid w:val="00CC22B4"/>
    <w:rsid w:val="00CC45CE"/>
    <w:rsid w:val="00CC5BE0"/>
    <w:rsid w:val="00CD3716"/>
    <w:rsid w:val="00CD63FD"/>
    <w:rsid w:val="00CD677F"/>
    <w:rsid w:val="00CE2DDB"/>
    <w:rsid w:val="00CE3360"/>
    <w:rsid w:val="00CE7560"/>
    <w:rsid w:val="00CE7C1D"/>
    <w:rsid w:val="00CE7F5B"/>
    <w:rsid w:val="00CF00DA"/>
    <w:rsid w:val="00CF4956"/>
    <w:rsid w:val="00CF531C"/>
    <w:rsid w:val="00D00410"/>
    <w:rsid w:val="00D048B2"/>
    <w:rsid w:val="00D04F7A"/>
    <w:rsid w:val="00D04FAF"/>
    <w:rsid w:val="00D06834"/>
    <w:rsid w:val="00D12C1E"/>
    <w:rsid w:val="00D12E50"/>
    <w:rsid w:val="00D201D6"/>
    <w:rsid w:val="00D22575"/>
    <w:rsid w:val="00D24861"/>
    <w:rsid w:val="00D25568"/>
    <w:rsid w:val="00D26DA8"/>
    <w:rsid w:val="00D30C8D"/>
    <w:rsid w:val="00D33DF9"/>
    <w:rsid w:val="00D40C6D"/>
    <w:rsid w:val="00D53A39"/>
    <w:rsid w:val="00D62141"/>
    <w:rsid w:val="00D742B7"/>
    <w:rsid w:val="00D76827"/>
    <w:rsid w:val="00D7690D"/>
    <w:rsid w:val="00D832E1"/>
    <w:rsid w:val="00D87986"/>
    <w:rsid w:val="00D9127D"/>
    <w:rsid w:val="00D93BF2"/>
    <w:rsid w:val="00DA1334"/>
    <w:rsid w:val="00DA2E82"/>
    <w:rsid w:val="00DA7A66"/>
    <w:rsid w:val="00DB182B"/>
    <w:rsid w:val="00DB23CC"/>
    <w:rsid w:val="00DC2D75"/>
    <w:rsid w:val="00DC3A27"/>
    <w:rsid w:val="00DC503B"/>
    <w:rsid w:val="00DD17CD"/>
    <w:rsid w:val="00DD7664"/>
    <w:rsid w:val="00DE07CF"/>
    <w:rsid w:val="00DE3917"/>
    <w:rsid w:val="00DE4C50"/>
    <w:rsid w:val="00DE7365"/>
    <w:rsid w:val="00DF2AFD"/>
    <w:rsid w:val="00DF2E96"/>
    <w:rsid w:val="00E031F9"/>
    <w:rsid w:val="00E076D9"/>
    <w:rsid w:val="00E1434B"/>
    <w:rsid w:val="00E16762"/>
    <w:rsid w:val="00E20E82"/>
    <w:rsid w:val="00E23346"/>
    <w:rsid w:val="00E31757"/>
    <w:rsid w:val="00E41F63"/>
    <w:rsid w:val="00E424AF"/>
    <w:rsid w:val="00E4679C"/>
    <w:rsid w:val="00E46E4F"/>
    <w:rsid w:val="00E5292A"/>
    <w:rsid w:val="00E54E13"/>
    <w:rsid w:val="00E55FEB"/>
    <w:rsid w:val="00E563E5"/>
    <w:rsid w:val="00E60C4C"/>
    <w:rsid w:val="00E61D01"/>
    <w:rsid w:val="00E64351"/>
    <w:rsid w:val="00E67A60"/>
    <w:rsid w:val="00E7183F"/>
    <w:rsid w:val="00E71E4A"/>
    <w:rsid w:val="00E72D1B"/>
    <w:rsid w:val="00E75356"/>
    <w:rsid w:val="00E75D31"/>
    <w:rsid w:val="00E76053"/>
    <w:rsid w:val="00E77349"/>
    <w:rsid w:val="00E83118"/>
    <w:rsid w:val="00E83F15"/>
    <w:rsid w:val="00E8551F"/>
    <w:rsid w:val="00E93003"/>
    <w:rsid w:val="00E93DBB"/>
    <w:rsid w:val="00E9442F"/>
    <w:rsid w:val="00EA20B2"/>
    <w:rsid w:val="00EA4673"/>
    <w:rsid w:val="00EA52F9"/>
    <w:rsid w:val="00EB3963"/>
    <w:rsid w:val="00EC0079"/>
    <w:rsid w:val="00EC4134"/>
    <w:rsid w:val="00EC5B19"/>
    <w:rsid w:val="00ED37FD"/>
    <w:rsid w:val="00ED6957"/>
    <w:rsid w:val="00EE40A6"/>
    <w:rsid w:val="00EE7AE2"/>
    <w:rsid w:val="00EF0751"/>
    <w:rsid w:val="00EF20C0"/>
    <w:rsid w:val="00F022AE"/>
    <w:rsid w:val="00F02327"/>
    <w:rsid w:val="00F05422"/>
    <w:rsid w:val="00F11507"/>
    <w:rsid w:val="00F12FB9"/>
    <w:rsid w:val="00F13566"/>
    <w:rsid w:val="00F20ED6"/>
    <w:rsid w:val="00F24B8A"/>
    <w:rsid w:val="00F27634"/>
    <w:rsid w:val="00F27D82"/>
    <w:rsid w:val="00F3493B"/>
    <w:rsid w:val="00F3565E"/>
    <w:rsid w:val="00F40C0E"/>
    <w:rsid w:val="00F435D7"/>
    <w:rsid w:val="00F53A60"/>
    <w:rsid w:val="00F55272"/>
    <w:rsid w:val="00F5550B"/>
    <w:rsid w:val="00F60060"/>
    <w:rsid w:val="00F67F90"/>
    <w:rsid w:val="00F720E2"/>
    <w:rsid w:val="00F73710"/>
    <w:rsid w:val="00F737C4"/>
    <w:rsid w:val="00F74F3B"/>
    <w:rsid w:val="00F77E50"/>
    <w:rsid w:val="00F80A53"/>
    <w:rsid w:val="00F82958"/>
    <w:rsid w:val="00F85A58"/>
    <w:rsid w:val="00F85F46"/>
    <w:rsid w:val="00F86204"/>
    <w:rsid w:val="00F86351"/>
    <w:rsid w:val="00F92ADD"/>
    <w:rsid w:val="00FA0659"/>
    <w:rsid w:val="00FA2160"/>
    <w:rsid w:val="00FA5DBB"/>
    <w:rsid w:val="00FA6957"/>
    <w:rsid w:val="00FA6C2D"/>
    <w:rsid w:val="00FB3D81"/>
    <w:rsid w:val="00FB7B41"/>
    <w:rsid w:val="00FC2CF9"/>
    <w:rsid w:val="00FD5FB3"/>
    <w:rsid w:val="00FE21D1"/>
    <w:rsid w:val="00FE2CAC"/>
    <w:rsid w:val="00FE54B7"/>
    <w:rsid w:val="00FF464E"/>
    <w:rsid w:val="00FF703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9B68F"/>
  <w15:chartTrackingRefBased/>
  <w15:docId w15:val="{70E350A8-E695-49C7-9305-A29119A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17"/>
    <w:rPr>
      <w:rFonts w:cs="Gautami"/>
    </w:rPr>
  </w:style>
  <w:style w:type="paragraph" w:styleId="Heading4">
    <w:name w:val="heading 4"/>
    <w:basedOn w:val="Normal"/>
    <w:next w:val="Normal"/>
    <w:link w:val="Heading4Char"/>
    <w:uiPriority w:val="9"/>
    <w:semiHidden/>
    <w:unhideWhenUsed/>
    <w:qFormat/>
    <w:rsid w:val="00B811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47D"/>
    <w:rPr>
      <w:color w:val="0563C1" w:themeColor="hyperlink"/>
      <w:u w:val="single"/>
    </w:rPr>
  </w:style>
  <w:style w:type="paragraph" w:styleId="ListParagraph">
    <w:name w:val="List Paragraph"/>
    <w:basedOn w:val="Normal"/>
    <w:uiPriority w:val="34"/>
    <w:qFormat/>
    <w:rsid w:val="008C547D"/>
    <w:pPr>
      <w:ind w:left="720"/>
      <w:contextualSpacing/>
    </w:pPr>
  </w:style>
  <w:style w:type="paragraph" w:customStyle="1" w:styleId="font-claude-response-body">
    <w:name w:val="font-claude-response-body"/>
    <w:basedOn w:val="Normal"/>
    <w:rsid w:val="003D05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D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4A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419BF"/>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B81149"/>
    <w:rPr>
      <w:rFonts w:asciiTheme="majorHAnsi" w:eastAsiaTheme="majorEastAsia" w:hAnsiTheme="majorHAnsi" w:cstheme="majorBidi"/>
      <w:i/>
      <w:iCs/>
      <w:color w:val="2F5496" w:themeColor="accent1" w:themeShade="BF"/>
    </w:rPr>
  </w:style>
  <w:style w:type="paragraph" w:styleId="NoSpacing">
    <w:name w:val="No Spacing"/>
    <w:uiPriority w:val="1"/>
    <w:qFormat/>
    <w:rsid w:val="00ED37FD"/>
    <w:pPr>
      <w:spacing w:after="0" w:line="240" w:lineRule="auto"/>
    </w:pPr>
    <w:rPr>
      <w:rFonts w:cs="Gautami"/>
    </w:rPr>
  </w:style>
  <w:style w:type="character" w:styleId="UnresolvedMention">
    <w:name w:val="Unresolved Mention"/>
    <w:basedOn w:val="DefaultParagraphFont"/>
    <w:uiPriority w:val="99"/>
    <w:semiHidden/>
    <w:unhideWhenUsed/>
    <w:rsid w:val="004C04CB"/>
    <w:rPr>
      <w:color w:val="605E5C"/>
      <w:shd w:val="clear" w:color="auto" w:fill="E1DFDD"/>
    </w:rPr>
  </w:style>
  <w:style w:type="paragraph" w:styleId="Header">
    <w:name w:val="header"/>
    <w:basedOn w:val="Normal"/>
    <w:link w:val="HeaderChar"/>
    <w:uiPriority w:val="99"/>
    <w:unhideWhenUsed/>
    <w:rsid w:val="00914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CE"/>
    <w:rPr>
      <w:rFonts w:cs="Gautami"/>
    </w:rPr>
  </w:style>
  <w:style w:type="paragraph" w:styleId="Footer">
    <w:name w:val="footer"/>
    <w:basedOn w:val="Normal"/>
    <w:link w:val="FooterChar"/>
    <w:uiPriority w:val="99"/>
    <w:unhideWhenUsed/>
    <w:rsid w:val="00914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CE"/>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753">
      <w:bodyDiv w:val="1"/>
      <w:marLeft w:val="0"/>
      <w:marRight w:val="0"/>
      <w:marTop w:val="0"/>
      <w:marBottom w:val="0"/>
      <w:divBdr>
        <w:top w:val="none" w:sz="0" w:space="0" w:color="auto"/>
        <w:left w:val="none" w:sz="0" w:space="0" w:color="auto"/>
        <w:bottom w:val="none" w:sz="0" w:space="0" w:color="auto"/>
        <w:right w:val="none" w:sz="0" w:space="0" w:color="auto"/>
      </w:divBdr>
    </w:div>
    <w:div w:id="279847963">
      <w:bodyDiv w:val="1"/>
      <w:marLeft w:val="0"/>
      <w:marRight w:val="0"/>
      <w:marTop w:val="0"/>
      <w:marBottom w:val="0"/>
      <w:divBdr>
        <w:top w:val="none" w:sz="0" w:space="0" w:color="auto"/>
        <w:left w:val="none" w:sz="0" w:space="0" w:color="auto"/>
        <w:bottom w:val="none" w:sz="0" w:space="0" w:color="auto"/>
        <w:right w:val="none" w:sz="0" w:space="0" w:color="auto"/>
      </w:divBdr>
    </w:div>
    <w:div w:id="359864053">
      <w:bodyDiv w:val="1"/>
      <w:marLeft w:val="0"/>
      <w:marRight w:val="0"/>
      <w:marTop w:val="0"/>
      <w:marBottom w:val="0"/>
      <w:divBdr>
        <w:top w:val="none" w:sz="0" w:space="0" w:color="auto"/>
        <w:left w:val="none" w:sz="0" w:space="0" w:color="auto"/>
        <w:bottom w:val="none" w:sz="0" w:space="0" w:color="auto"/>
        <w:right w:val="none" w:sz="0" w:space="0" w:color="auto"/>
      </w:divBdr>
    </w:div>
    <w:div w:id="410663111">
      <w:bodyDiv w:val="1"/>
      <w:marLeft w:val="0"/>
      <w:marRight w:val="0"/>
      <w:marTop w:val="0"/>
      <w:marBottom w:val="0"/>
      <w:divBdr>
        <w:top w:val="none" w:sz="0" w:space="0" w:color="auto"/>
        <w:left w:val="none" w:sz="0" w:space="0" w:color="auto"/>
        <w:bottom w:val="none" w:sz="0" w:space="0" w:color="auto"/>
        <w:right w:val="none" w:sz="0" w:space="0" w:color="auto"/>
      </w:divBdr>
    </w:div>
    <w:div w:id="567766794">
      <w:bodyDiv w:val="1"/>
      <w:marLeft w:val="0"/>
      <w:marRight w:val="0"/>
      <w:marTop w:val="0"/>
      <w:marBottom w:val="0"/>
      <w:divBdr>
        <w:top w:val="none" w:sz="0" w:space="0" w:color="auto"/>
        <w:left w:val="none" w:sz="0" w:space="0" w:color="auto"/>
        <w:bottom w:val="none" w:sz="0" w:space="0" w:color="auto"/>
        <w:right w:val="none" w:sz="0" w:space="0" w:color="auto"/>
      </w:divBdr>
    </w:div>
    <w:div w:id="598679958">
      <w:bodyDiv w:val="1"/>
      <w:marLeft w:val="0"/>
      <w:marRight w:val="0"/>
      <w:marTop w:val="0"/>
      <w:marBottom w:val="0"/>
      <w:divBdr>
        <w:top w:val="none" w:sz="0" w:space="0" w:color="auto"/>
        <w:left w:val="none" w:sz="0" w:space="0" w:color="auto"/>
        <w:bottom w:val="none" w:sz="0" w:space="0" w:color="auto"/>
        <w:right w:val="none" w:sz="0" w:space="0" w:color="auto"/>
      </w:divBdr>
    </w:div>
    <w:div w:id="625622476">
      <w:bodyDiv w:val="1"/>
      <w:marLeft w:val="0"/>
      <w:marRight w:val="0"/>
      <w:marTop w:val="0"/>
      <w:marBottom w:val="0"/>
      <w:divBdr>
        <w:top w:val="none" w:sz="0" w:space="0" w:color="auto"/>
        <w:left w:val="none" w:sz="0" w:space="0" w:color="auto"/>
        <w:bottom w:val="none" w:sz="0" w:space="0" w:color="auto"/>
        <w:right w:val="none" w:sz="0" w:space="0" w:color="auto"/>
      </w:divBdr>
    </w:div>
    <w:div w:id="805123889">
      <w:bodyDiv w:val="1"/>
      <w:marLeft w:val="0"/>
      <w:marRight w:val="0"/>
      <w:marTop w:val="0"/>
      <w:marBottom w:val="0"/>
      <w:divBdr>
        <w:top w:val="none" w:sz="0" w:space="0" w:color="auto"/>
        <w:left w:val="none" w:sz="0" w:space="0" w:color="auto"/>
        <w:bottom w:val="none" w:sz="0" w:space="0" w:color="auto"/>
        <w:right w:val="none" w:sz="0" w:space="0" w:color="auto"/>
      </w:divBdr>
      <w:divsChild>
        <w:div w:id="1942450739">
          <w:marLeft w:val="0"/>
          <w:marRight w:val="0"/>
          <w:marTop w:val="0"/>
          <w:marBottom w:val="0"/>
          <w:divBdr>
            <w:top w:val="none" w:sz="0" w:space="0" w:color="auto"/>
            <w:left w:val="none" w:sz="0" w:space="0" w:color="auto"/>
            <w:bottom w:val="none" w:sz="0" w:space="0" w:color="auto"/>
            <w:right w:val="none" w:sz="0" w:space="0" w:color="auto"/>
          </w:divBdr>
          <w:divsChild>
            <w:div w:id="1987708584">
              <w:marLeft w:val="0"/>
              <w:marRight w:val="0"/>
              <w:marTop w:val="0"/>
              <w:marBottom w:val="0"/>
              <w:divBdr>
                <w:top w:val="none" w:sz="0" w:space="0" w:color="auto"/>
                <w:left w:val="none" w:sz="0" w:space="0" w:color="auto"/>
                <w:bottom w:val="none" w:sz="0" w:space="0" w:color="auto"/>
                <w:right w:val="none" w:sz="0" w:space="0" w:color="auto"/>
              </w:divBdr>
              <w:divsChild>
                <w:div w:id="33241105">
                  <w:marLeft w:val="0"/>
                  <w:marRight w:val="0"/>
                  <w:marTop w:val="0"/>
                  <w:marBottom w:val="0"/>
                  <w:divBdr>
                    <w:top w:val="none" w:sz="0" w:space="0" w:color="auto"/>
                    <w:left w:val="none" w:sz="0" w:space="0" w:color="auto"/>
                    <w:bottom w:val="none" w:sz="0" w:space="0" w:color="auto"/>
                    <w:right w:val="none" w:sz="0" w:space="0" w:color="auto"/>
                  </w:divBdr>
                  <w:divsChild>
                    <w:div w:id="1217738269">
                      <w:marLeft w:val="0"/>
                      <w:marRight w:val="0"/>
                      <w:marTop w:val="0"/>
                      <w:marBottom w:val="0"/>
                      <w:divBdr>
                        <w:top w:val="none" w:sz="0" w:space="0" w:color="auto"/>
                        <w:left w:val="none" w:sz="0" w:space="0" w:color="auto"/>
                        <w:bottom w:val="none" w:sz="0" w:space="0" w:color="auto"/>
                        <w:right w:val="none" w:sz="0" w:space="0" w:color="auto"/>
                      </w:divBdr>
                      <w:divsChild>
                        <w:div w:id="208760121">
                          <w:marLeft w:val="0"/>
                          <w:marRight w:val="0"/>
                          <w:marTop w:val="0"/>
                          <w:marBottom w:val="0"/>
                          <w:divBdr>
                            <w:top w:val="none" w:sz="0" w:space="0" w:color="auto"/>
                            <w:left w:val="none" w:sz="0" w:space="0" w:color="auto"/>
                            <w:bottom w:val="none" w:sz="0" w:space="0" w:color="auto"/>
                            <w:right w:val="none" w:sz="0" w:space="0" w:color="auto"/>
                          </w:divBdr>
                          <w:divsChild>
                            <w:div w:id="2107185341">
                              <w:marLeft w:val="0"/>
                              <w:marRight w:val="0"/>
                              <w:marTop w:val="0"/>
                              <w:marBottom w:val="0"/>
                              <w:divBdr>
                                <w:top w:val="none" w:sz="0" w:space="0" w:color="auto"/>
                                <w:left w:val="none" w:sz="0" w:space="0" w:color="auto"/>
                                <w:bottom w:val="none" w:sz="0" w:space="0" w:color="auto"/>
                                <w:right w:val="none" w:sz="0" w:space="0" w:color="auto"/>
                              </w:divBdr>
                              <w:divsChild>
                                <w:div w:id="11618102">
                                  <w:marLeft w:val="0"/>
                                  <w:marRight w:val="0"/>
                                  <w:marTop w:val="0"/>
                                  <w:marBottom w:val="0"/>
                                  <w:divBdr>
                                    <w:top w:val="none" w:sz="0" w:space="0" w:color="auto"/>
                                    <w:left w:val="none" w:sz="0" w:space="0" w:color="auto"/>
                                    <w:bottom w:val="none" w:sz="0" w:space="0" w:color="auto"/>
                                    <w:right w:val="none" w:sz="0" w:space="0" w:color="auto"/>
                                  </w:divBdr>
                                  <w:divsChild>
                                    <w:div w:id="8013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145140">
      <w:bodyDiv w:val="1"/>
      <w:marLeft w:val="0"/>
      <w:marRight w:val="0"/>
      <w:marTop w:val="0"/>
      <w:marBottom w:val="0"/>
      <w:divBdr>
        <w:top w:val="none" w:sz="0" w:space="0" w:color="auto"/>
        <w:left w:val="none" w:sz="0" w:space="0" w:color="auto"/>
        <w:bottom w:val="none" w:sz="0" w:space="0" w:color="auto"/>
        <w:right w:val="none" w:sz="0" w:space="0" w:color="auto"/>
      </w:divBdr>
    </w:div>
    <w:div w:id="907108375">
      <w:bodyDiv w:val="1"/>
      <w:marLeft w:val="0"/>
      <w:marRight w:val="0"/>
      <w:marTop w:val="0"/>
      <w:marBottom w:val="0"/>
      <w:divBdr>
        <w:top w:val="none" w:sz="0" w:space="0" w:color="auto"/>
        <w:left w:val="none" w:sz="0" w:space="0" w:color="auto"/>
        <w:bottom w:val="none" w:sz="0" w:space="0" w:color="auto"/>
        <w:right w:val="none" w:sz="0" w:space="0" w:color="auto"/>
      </w:divBdr>
    </w:div>
    <w:div w:id="921838395">
      <w:bodyDiv w:val="1"/>
      <w:marLeft w:val="0"/>
      <w:marRight w:val="0"/>
      <w:marTop w:val="0"/>
      <w:marBottom w:val="0"/>
      <w:divBdr>
        <w:top w:val="none" w:sz="0" w:space="0" w:color="auto"/>
        <w:left w:val="none" w:sz="0" w:space="0" w:color="auto"/>
        <w:bottom w:val="none" w:sz="0" w:space="0" w:color="auto"/>
        <w:right w:val="none" w:sz="0" w:space="0" w:color="auto"/>
      </w:divBdr>
    </w:div>
    <w:div w:id="961033775">
      <w:bodyDiv w:val="1"/>
      <w:marLeft w:val="0"/>
      <w:marRight w:val="0"/>
      <w:marTop w:val="0"/>
      <w:marBottom w:val="0"/>
      <w:divBdr>
        <w:top w:val="none" w:sz="0" w:space="0" w:color="auto"/>
        <w:left w:val="none" w:sz="0" w:space="0" w:color="auto"/>
        <w:bottom w:val="none" w:sz="0" w:space="0" w:color="auto"/>
        <w:right w:val="none" w:sz="0" w:space="0" w:color="auto"/>
      </w:divBdr>
    </w:div>
    <w:div w:id="1096053793">
      <w:bodyDiv w:val="1"/>
      <w:marLeft w:val="0"/>
      <w:marRight w:val="0"/>
      <w:marTop w:val="0"/>
      <w:marBottom w:val="0"/>
      <w:divBdr>
        <w:top w:val="none" w:sz="0" w:space="0" w:color="auto"/>
        <w:left w:val="none" w:sz="0" w:space="0" w:color="auto"/>
        <w:bottom w:val="none" w:sz="0" w:space="0" w:color="auto"/>
        <w:right w:val="none" w:sz="0" w:space="0" w:color="auto"/>
      </w:divBdr>
    </w:div>
    <w:div w:id="1277176069">
      <w:bodyDiv w:val="1"/>
      <w:marLeft w:val="0"/>
      <w:marRight w:val="0"/>
      <w:marTop w:val="0"/>
      <w:marBottom w:val="0"/>
      <w:divBdr>
        <w:top w:val="none" w:sz="0" w:space="0" w:color="auto"/>
        <w:left w:val="none" w:sz="0" w:space="0" w:color="auto"/>
        <w:bottom w:val="none" w:sz="0" w:space="0" w:color="auto"/>
        <w:right w:val="none" w:sz="0" w:space="0" w:color="auto"/>
      </w:divBdr>
    </w:div>
    <w:div w:id="1278677968">
      <w:bodyDiv w:val="1"/>
      <w:marLeft w:val="0"/>
      <w:marRight w:val="0"/>
      <w:marTop w:val="0"/>
      <w:marBottom w:val="0"/>
      <w:divBdr>
        <w:top w:val="none" w:sz="0" w:space="0" w:color="auto"/>
        <w:left w:val="none" w:sz="0" w:space="0" w:color="auto"/>
        <w:bottom w:val="none" w:sz="0" w:space="0" w:color="auto"/>
        <w:right w:val="none" w:sz="0" w:space="0" w:color="auto"/>
      </w:divBdr>
    </w:div>
    <w:div w:id="1318458727">
      <w:bodyDiv w:val="1"/>
      <w:marLeft w:val="0"/>
      <w:marRight w:val="0"/>
      <w:marTop w:val="0"/>
      <w:marBottom w:val="0"/>
      <w:divBdr>
        <w:top w:val="none" w:sz="0" w:space="0" w:color="auto"/>
        <w:left w:val="none" w:sz="0" w:space="0" w:color="auto"/>
        <w:bottom w:val="none" w:sz="0" w:space="0" w:color="auto"/>
        <w:right w:val="none" w:sz="0" w:space="0" w:color="auto"/>
      </w:divBdr>
      <w:divsChild>
        <w:div w:id="1527981221">
          <w:marLeft w:val="0"/>
          <w:marRight w:val="0"/>
          <w:marTop w:val="0"/>
          <w:marBottom w:val="0"/>
          <w:divBdr>
            <w:top w:val="none" w:sz="0" w:space="0" w:color="auto"/>
            <w:left w:val="none" w:sz="0" w:space="0" w:color="auto"/>
            <w:bottom w:val="none" w:sz="0" w:space="0" w:color="auto"/>
            <w:right w:val="none" w:sz="0" w:space="0" w:color="auto"/>
          </w:divBdr>
          <w:divsChild>
            <w:div w:id="781416986">
              <w:marLeft w:val="0"/>
              <w:marRight w:val="0"/>
              <w:marTop w:val="0"/>
              <w:marBottom w:val="0"/>
              <w:divBdr>
                <w:top w:val="none" w:sz="0" w:space="0" w:color="auto"/>
                <w:left w:val="none" w:sz="0" w:space="0" w:color="auto"/>
                <w:bottom w:val="none" w:sz="0" w:space="0" w:color="auto"/>
                <w:right w:val="none" w:sz="0" w:space="0" w:color="auto"/>
              </w:divBdr>
              <w:divsChild>
                <w:div w:id="2010984179">
                  <w:marLeft w:val="0"/>
                  <w:marRight w:val="0"/>
                  <w:marTop w:val="0"/>
                  <w:marBottom w:val="0"/>
                  <w:divBdr>
                    <w:top w:val="none" w:sz="0" w:space="0" w:color="auto"/>
                    <w:left w:val="none" w:sz="0" w:space="0" w:color="auto"/>
                    <w:bottom w:val="none" w:sz="0" w:space="0" w:color="auto"/>
                    <w:right w:val="none" w:sz="0" w:space="0" w:color="auto"/>
                  </w:divBdr>
                  <w:divsChild>
                    <w:div w:id="319191805">
                      <w:marLeft w:val="0"/>
                      <w:marRight w:val="0"/>
                      <w:marTop w:val="0"/>
                      <w:marBottom w:val="0"/>
                      <w:divBdr>
                        <w:top w:val="none" w:sz="0" w:space="0" w:color="auto"/>
                        <w:left w:val="none" w:sz="0" w:space="0" w:color="auto"/>
                        <w:bottom w:val="none" w:sz="0" w:space="0" w:color="auto"/>
                        <w:right w:val="none" w:sz="0" w:space="0" w:color="auto"/>
                      </w:divBdr>
                      <w:divsChild>
                        <w:div w:id="1819878383">
                          <w:marLeft w:val="0"/>
                          <w:marRight w:val="0"/>
                          <w:marTop w:val="0"/>
                          <w:marBottom w:val="0"/>
                          <w:divBdr>
                            <w:top w:val="none" w:sz="0" w:space="0" w:color="auto"/>
                            <w:left w:val="none" w:sz="0" w:space="0" w:color="auto"/>
                            <w:bottom w:val="none" w:sz="0" w:space="0" w:color="auto"/>
                            <w:right w:val="none" w:sz="0" w:space="0" w:color="auto"/>
                          </w:divBdr>
                          <w:divsChild>
                            <w:div w:id="52434895">
                              <w:marLeft w:val="0"/>
                              <w:marRight w:val="0"/>
                              <w:marTop w:val="0"/>
                              <w:marBottom w:val="0"/>
                              <w:divBdr>
                                <w:top w:val="none" w:sz="0" w:space="0" w:color="auto"/>
                                <w:left w:val="none" w:sz="0" w:space="0" w:color="auto"/>
                                <w:bottom w:val="none" w:sz="0" w:space="0" w:color="auto"/>
                                <w:right w:val="none" w:sz="0" w:space="0" w:color="auto"/>
                              </w:divBdr>
                              <w:divsChild>
                                <w:div w:id="281883932">
                                  <w:marLeft w:val="0"/>
                                  <w:marRight w:val="0"/>
                                  <w:marTop w:val="0"/>
                                  <w:marBottom w:val="0"/>
                                  <w:divBdr>
                                    <w:top w:val="none" w:sz="0" w:space="0" w:color="auto"/>
                                    <w:left w:val="none" w:sz="0" w:space="0" w:color="auto"/>
                                    <w:bottom w:val="none" w:sz="0" w:space="0" w:color="auto"/>
                                    <w:right w:val="none" w:sz="0" w:space="0" w:color="auto"/>
                                  </w:divBdr>
                                  <w:divsChild>
                                    <w:div w:id="2142333700">
                                      <w:marLeft w:val="0"/>
                                      <w:marRight w:val="0"/>
                                      <w:marTop w:val="0"/>
                                      <w:marBottom w:val="0"/>
                                      <w:divBdr>
                                        <w:top w:val="none" w:sz="0" w:space="0" w:color="auto"/>
                                        <w:left w:val="none" w:sz="0" w:space="0" w:color="auto"/>
                                        <w:bottom w:val="none" w:sz="0" w:space="0" w:color="auto"/>
                                        <w:right w:val="none" w:sz="0" w:space="0" w:color="auto"/>
                                      </w:divBdr>
                                      <w:divsChild>
                                        <w:div w:id="3857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628317">
      <w:bodyDiv w:val="1"/>
      <w:marLeft w:val="0"/>
      <w:marRight w:val="0"/>
      <w:marTop w:val="0"/>
      <w:marBottom w:val="0"/>
      <w:divBdr>
        <w:top w:val="none" w:sz="0" w:space="0" w:color="auto"/>
        <w:left w:val="none" w:sz="0" w:space="0" w:color="auto"/>
        <w:bottom w:val="none" w:sz="0" w:space="0" w:color="auto"/>
        <w:right w:val="none" w:sz="0" w:space="0" w:color="auto"/>
      </w:divBdr>
    </w:div>
    <w:div w:id="1551457382">
      <w:bodyDiv w:val="1"/>
      <w:marLeft w:val="0"/>
      <w:marRight w:val="0"/>
      <w:marTop w:val="0"/>
      <w:marBottom w:val="0"/>
      <w:divBdr>
        <w:top w:val="none" w:sz="0" w:space="0" w:color="auto"/>
        <w:left w:val="none" w:sz="0" w:space="0" w:color="auto"/>
        <w:bottom w:val="none" w:sz="0" w:space="0" w:color="auto"/>
        <w:right w:val="none" w:sz="0" w:space="0" w:color="auto"/>
      </w:divBdr>
    </w:div>
    <w:div w:id="1597325966">
      <w:bodyDiv w:val="1"/>
      <w:marLeft w:val="0"/>
      <w:marRight w:val="0"/>
      <w:marTop w:val="0"/>
      <w:marBottom w:val="0"/>
      <w:divBdr>
        <w:top w:val="none" w:sz="0" w:space="0" w:color="auto"/>
        <w:left w:val="none" w:sz="0" w:space="0" w:color="auto"/>
        <w:bottom w:val="none" w:sz="0" w:space="0" w:color="auto"/>
        <w:right w:val="none" w:sz="0" w:space="0" w:color="auto"/>
      </w:divBdr>
      <w:divsChild>
        <w:div w:id="277832783">
          <w:marLeft w:val="0"/>
          <w:marRight w:val="0"/>
          <w:marTop w:val="0"/>
          <w:marBottom w:val="0"/>
          <w:divBdr>
            <w:top w:val="none" w:sz="0" w:space="0" w:color="auto"/>
            <w:left w:val="none" w:sz="0" w:space="0" w:color="auto"/>
            <w:bottom w:val="none" w:sz="0" w:space="0" w:color="auto"/>
            <w:right w:val="none" w:sz="0" w:space="0" w:color="auto"/>
          </w:divBdr>
          <w:divsChild>
            <w:div w:id="2066293796">
              <w:marLeft w:val="0"/>
              <w:marRight w:val="0"/>
              <w:marTop w:val="0"/>
              <w:marBottom w:val="0"/>
              <w:divBdr>
                <w:top w:val="none" w:sz="0" w:space="0" w:color="auto"/>
                <w:left w:val="none" w:sz="0" w:space="0" w:color="auto"/>
                <w:bottom w:val="none" w:sz="0" w:space="0" w:color="auto"/>
                <w:right w:val="none" w:sz="0" w:space="0" w:color="auto"/>
              </w:divBdr>
              <w:divsChild>
                <w:div w:id="1527139550">
                  <w:marLeft w:val="0"/>
                  <w:marRight w:val="0"/>
                  <w:marTop w:val="0"/>
                  <w:marBottom w:val="0"/>
                  <w:divBdr>
                    <w:top w:val="none" w:sz="0" w:space="0" w:color="auto"/>
                    <w:left w:val="none" w:sz="0" w:space="0" w:color="auto"/>
                    <w:bottom w:val="none" w:sz="0" w:space="0" w:color="auto"/>
                    <w:right w:val="none" w:sz="0" w:space="0" w:color="auto"/>
                  </w:divBdr>
                  <w:divsChild>
                    <w:div w:id="260452204">
                      <w:marLeft w:val="0"/>
                      <w:marRight w:val="0"/>
                      <w:marTop w:val="0"/>
                      <w:marBottom w:val="0"/>
                      <w:divBdr>
                        <w:top w:val="none" w:sz="0" w:space="0" w:color="auto"/>
                        <w:left w:val="none" w:sz="0" w:space="0" w:color="auto"/>
                        <w:bottom w:val="none" w:sz="0" w:space="0" w:color="auto"/>
                        <w:right w:val="none" w:sz="0" w:space="0" w:color="auto"/>
                      </w:divBdr>
                      <w:divsChild>
                        <w:div w:id="409232181">
                          <w:marLeft w:val="0"/>
                          <w:marRight w:val="0"/>
                          <w:marTop w:val="0"/>
                          <w:marBottom w:val="0"/>
                          <w:divBdr>
                            <w:top w:val="none" w:sz="0" w:space="0" w:color="auto"/>
                            <w:left w:val="none" w:sz="0" w:space="0" w:color="auto"/>
                            <w:bottom w:val="none" w:sz="0" w:space="0" w:color="auto"/>
                            <w:right w:val="none" w:sz="0" w:space="0" w:color="auto"/>
                          </w:divBdr>
                          <w:divsChild>
                            <w:div w:id="1453129902">
                              <w:marLeft w:val="0"/>
                              <w:marRight w:val="0"/>
                              <w:marTop w:val="0"/>
                              <w:marBottom w:val="0"/>
                              <w:divBdr>
                                <w:top w:val="none" w:sz="0" w:space="0" w:color="auto"/>
                                <w:left w:val="none" w:sz="0" w:space="0" w:color="auto"/>
                                <w:bottom w:val="none" w:sz="0" w:space="0" w:color="auto"/>
                                <w:right w:val="none" w:sz="0" w:space="0" w:color="auto"/>
                              </w:divBdr>
                              <w:divsChild>
                                <w:div w:id="1691495316">
                                  <w:marLeft w:val="0"/>
                                  <w:marRight w:val="0"/>
                                  <w:marTop w:val="0"/>
                                  <w:marBottom w:val="0"/>
                                  <w:divBdr>
                                    <w:top w:val="none" w:sz="0" w:space="0" w:color="auto"/>
                                    <w:left w:val="none" w:sz="0" w:space="0" w:color="auto"/>
                                    <w:bottom w:val="none" w:sz="0" w:space="0" w:color="auto"/>
                                    <w:right w:val="none" w:sz="0" w:space="0" w:color="auto"/>
                                  </w:divBdr>
                                  <w:divsChild>
                                    <w:div w:id="19907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54951">
      <w:bodyDiv w:val="1"/>
      <w:marLeft w:val="0"/>
      <w:marRight w:val="0"/>
      <w:marTop w:val="0"/>
      <w:marBottom w:val="0"/>
      <w:divBdr>
        <w:top w:val="none" w:sz="0" w:space="0" w:color="auto"/>
        <w:left w:val="none" w:sz="0" w:space="0" w:color="auto"/>
        <w:bottom w:val="none" w:sz="0" w:space="0" w:color="auto"/>
        <w:right w:val="none" w:sz="0" w:space="0" w:color="auto"/>
      </w:divBdr>
      <w:divsChild>
        <w:div w:id="346446460">
          <w:marLeft w:val="0"/>
          <w:marRight w:val="0"/>
          <w:marTop w:val="0"/>
          <w:marBottom w:val="0"/>
          <w:divBdr>
            <w:top w:val="none" w:sz="0" w:space="0" w:color="auto"/>
            <w:left w:val="none" w:sz="0" w:space="0" w:color="auto"/>
            <w:bottom w:val="none" w:sz="0" w:space="0" w:color="auto"/>
            <w:right w:val="none" w:sz="0" w:space="0" w:color="auto"/>
          </w:divBdr>
          <w:divsChild>
            <w:div w:id="1895042830">
              <w:marLeft w:val="0"/>
              <w:marRight w:val="0"/>
              <w:marTop w:val="0"/>
              <w:marBottom w:val="0"/>
              <w:divBdr>
                <w:top w:val="none" w:sz="0" w:space="0" w:color="auto"/>
                <w:left w:val="none" w:sz="0" w:space="0" w:color="auto"/>
                <w:bottom w:val="none" w:sz="0" w:space="0" w:color="auto"/>
                <w:right w:val="none" w:sz="0" w:space="0" w:color="auto"/>
              </w:divBdr>
              <w:divsChild>
                <w:div w:id="1543908481">
                  <w:marLeft w:val="0"/>
                  <w:marRight w:val="0"/>
                  <w:marTop w:val="0"/>
                  <w:marBottom w:val="0"/>
                  <w:divBdr>
                    <w:top w:val="none" w:sz="0" w:space="0" w:color="auto"/>
                    <w:left w:val="none" w:sz="0" w:space="0" w:color="auto"/>
                    <w:bottom w:val="none" w:sz="0" w:space="0" w:color="auto"/>
                    <w:right w:val="none" w:sz="0" w:space="0" w:color="auto"/>
                  </w:divBdr>
                  <w:divsChild>
                    <w:div w:id="207107542">
                      <w:marLeft w:val="0"/>
                      <w:marRight w:val="0"/>
                      <w:marTop w:val="0"/>
                      <w:marBottom w:val="0"/>
                      <w:divBdr>
                        <w:top w:val="none" w:sz="0" w:space="0" w:color="auto"/>
                        <w:left w:val="none" w:sz="0" w:space="0" w:color="auto"/>
                        <w:bottom w:val="none" w:sz="0" w:space="0" w:color="auto"/>
                        <w:right w:val="none" w:sz="0" w:space="0" w:color="auto"/>
                      </w:divBdr>
                      <w:divsChild>
                        <w:div w:id="570236490">
                          <w:marLeft w:val="0"/>
                          <w:marRight w:val="0"/>
                          <w:marTop w:val="0"/>
                          <w:marBottom w:val="0"/>
                          <w:divBdr>
                            <w:top w:val="none" w:sz="0" w:space="0" w:color="auto"/>
                            <w:left w:val="none" w:sz="0" w:space="0" w:color="auto"/>
                            <w:bottom w:val="none" w:sz="0" w:space="0" w:color="auto"/>
                            <w:right w:val="none" w:sz="0" w:space="0" w:color="auto"/>
                          </w:divBdr>
                          <w:divsChild>
                            <w:div w:id="1346437344">
                              <w:marLeft w:val="0"/>
                              <w:marRight w:val="0"/>
                              <w:marTop w:val="0"/>
                              <w:marBottom w:val="0"/>
                              <w:divBdr>
                                <w:top w:val="none" w:sz="0" w:space="0" w:color="auto"/>
                                <w:left w:val="none" w:sz="0" w:space="0" w:color="auto"/>
                                <w:bottom w:val="none" w:sz="0" w:space="0" w:color="auto"/>
                                <w:right w:val="none" w:sz="0" w:space="0" w:color="auto"/>
                              </w:divBdr>
                              <w:divsChild>
                                <w:div w:id="1920208315">
                                  <w:marLeft w:val="0"/>
                                  <w:marRight w:val="0"/>
                                  <w:marTop w:val="0"/>
                                  <w:marBottom w:val="0"/>
                                  <w:divBdr>
                                    <w:top w:val="none" w:sz="0" w:space="0" w:color="auto"/>
                                    <w:left w:val="none" w:sz="0" w:space="0" w:color="auto"/>
                                    <w:bottom w:val="none" w:sz="0" w:space="0" w:color="auto"/>
                                    <w:right w:val="none" w:sz="0" w:space="0" w:color="auto"/>
                                  </w:divBdr>
                                  <w:divsChild>
                                    <w:div w:id="425808331">
                                      <w:marLeft w:val="0"/>
                                      <w:marRight w:val="0"/>
                                      <w:marTop w:val="0"/>
                                      <w:marBottom w:val="0"/>
                                      <w:divBdr>
                                        <w:top w:val="none" w:sz="0" w:space="0" w:color="auto"/>
                                        <w:left w:val="none" w:sz="0" w:space="0" w:color="auto"/>
                                        <w:bottom w:val="none" w:sz="0" w:space="0" w:color="auto"/>
                                        <w:right w:val="none" w:sz="0" w:space="0" w:color="auto"/>
                                      </w:divBdr>
                                      <w:divsChild>
                                        <w:div w:id="144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874963">
      <w:bodyDiv w:val="1"/>
      <w:marLeft w:val="0"/>
      <w:marRight w:val="0"/>
      <w:marTop w:val="0"/>
      <w:marBottom w:val="0"/>
      <w:divBdr>
        <w:top w:val="none" w:sz="0" w:space="0" w:color="auto"/>
        <w:left w:val="none" w:sz="0" w:space="0" w:color="auto"/>
        <w:bottom w:val="none" w:sz="0" w:space="0" w:color="auto"/>
        <w:right w:val="none" w:sz="0" w:space="0" w:color="auto"/>
      </w:divBdr>
    </w:div>
    <w:div w:id="1954556801">
      <w:bodyDiv w:val="1"/>
      <w:marLeft w:val="0"/>
      <w:marRight w:val="0"/>
      <w:marTop w:val="0"/>
      <w:marBottom w:val="0"/>
      <w:divBdr>
        <w:top w:val="none" w:sz="0" w:space="0" w:color="auto"/>
        <w:left w:val="none" w:sz="0" w:space="0" w:color="auto"/>
        <w:bottom w:val="none" w:sz="0" w:space="0" w:color="auto"/>
        <w:right w:val="none" w:sz="0" w:space="0" w:color="auto"/>
      </w:divBdr>
    </w:div>
    <w:div w:id="2066101965">
      <w:bodyDiv w:val="1"/>
      <w:marLeft w:val="0"/>
      <w:marRight w:val="0"/>
      <w:marTop w:val="0"/>
      <w:marBottom w:val="0"/>
      <w:divBdr>
        <w:top w:val="none" w:sz="0" w:space="0" w:color="auto"/>
        <w:left w:val="none" w:sz="0" w:space="0" w:color="auto"/>
        <w:bottom w:val="none" w:sz="0" w:space="0" w:color="auto"/>
        <w:right w:val="none" w:sz="0" w:space="0" w:color="auto"/>
      </w:divBdr>
    </w:div>
    <w:div w:id="2077438677">
      <w:bodyDiv w:val="1"/>
      <w:marLeft w:val="0"/>
      <w:marRight w:val="0"/>
      <w:marTop w:val="0"/>
      <w:marBottom w:val="0"/>
      <w:divBdr>
        <w:top w:val="none" w:sz="0" w:space="0" w:color="auto"/>
        <w:left w:val="none" w:sz="0" w:space="0" w:color="auto"/>
        <w:bottom w:val="none" w:sz="0" w:space="0" w:color="auto"/>
        <w:right w:val="none" w:sz="0" w:space="0" w:color="auto"/>
      </w:divBdr>
    </w:div>
    <w:div w:id="2079211366">
      <w:bodyDiv w:val="1"/>
      <w:marLeft w:val="0"/>
      <w:marRight w:val="0"/>
      <w:marTop w:val="0"/>
      <w:marBottom w:val="0"/>
      <w:divBdr>
        <w:top w:val="none" w:sz="0" w:space="0" w:color="auto"/>
        <w:left w:val="none" w:sz="0" w:space="0" w:color="auto"/>
        <w:bottom w:val="none" w:sz="0" w:space="0" w:color="auto"/>
        <w:right w:val="none" w:sz="0" w:space="0" w:color="auto"/>
      </w:divBdr>
    </w:div>
    <w:div w:id="20908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1929887.1929905" TargetMode="External"/><Relationship Id="rId18" Type="http://schemas.openxmlformats.org/officeDocument/2006/relationships/hyperlink" Target="https://doi.org/10.1177/07356331221081753" TargetMode="External"/><Relationship Id="rId26" Type="http://schemas.openxmlformats.org/officeDocument/2006/relationships/hyperlink" Target="https://doi.org/10.1186/s40594-024-00510-6" TargetMode="External"/><Relationship Id="rId39" Type="http://schemas.openxmlformats.org/officeDocument/2006/relationships/header" Target="header2.xml"/><Relationship Id="rId21" Type="http://schemas.openxmlformats.org/officeDocument/2006/relationships/hyperlink" Target="https://doi.org/10.26803/ijlter.23.1.1" TargetMode="External"/><Relationship Id="rId34" Type="http://schemas.openxmlformats.org/officeDocument/2006/relationships/hyperlink" Target="https://doi.org/10.1145/1118178.1118215" TargetMode="External"/><Relationship Id="rId42"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3828/sei.v31.i2.4" TargetMode="External"/><Relationship Id="rId29" Type="http://schemas.openxmlformats.org/officeDocument/2006/relationships/hyperlink" Target="https://doi.org/10.1016/j.chb.2016.08.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3102/0013189X211057904" TargetMode="External"/><Relationship Id="rId32" Type="http://schemas.openxmlformats.org/officeDocument/2006/relationships/hyperlink" Target="https://doi.org/10.1016/j.compedu.2019.103798" TargetMode="External"/><Relationship Id="rId37" Type="http://schemas.openxmlformats.org/officeDocument/2006/relationships/hyperlink" Target="https://doi.org/10.1007/s11423-023-10231-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639-024-13179-9" TargetMode="External"/><Relationship Id="rId23" Type="http://schemas.openxmlformats.org/officeDocument/2006/relationships/hyperlink" Target="https://k12cs.org/computational-thinking/" TargetMode="External"/><Relationship Id="rId28" Type="http://schemas.openxmlformats.org/officeDocument/2006/relationships/hyperlink" Target="https://doi.org/10.36298/jhm.v7i2.560" TargetMode="External"/><Relationship Id="rId36" Type="http://schemas.openxmlformats.org/officeDocument/2006/relationships/hyperlink" Target="https://doi.org/10.1109/EDUCON45650.2020.9125397" TargetMode="External"/><Relationship Id="rId10" Type="http://schemas.openxmlformats.org/officeDocument/2006/relationships/chart" Target="charts/chart4.xml"/><Relationship Id="rId19" Type="http://schemas.openxmlformats.org/officeDocument/2006/relationships/hyperlink" Target="https://doi.org/10.3102/0013189X12463051" TargetMode="External"/><Relationship Id="rId31" Type="http://schemas.openxmlformats.org/officeDocument/2006/relationships/hyperlink" Target="https://doi.org/10.3389/fpsyt.2022.102230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curriculum-magazine.com/cbse-launches-new-curriculum-on-computational-thinking-and-artificial-intelligence-for-classes-iii-viii/" TargetMode="External"/><Relationship Id="rId22" Type="http://schemas.openxmlformats.org/officeDocument/2006/relationships/hyperlink" Target="https://doi.org/10.1111/jcal.12591" TargetMode="External"/><Relationship Id="rId27" Type="http://schemas.openxmlformats.org/officeDocument/2006/relationships/hyperlink" Target="https://www.education.gov.in/sites/upload_files/mhrd/files/NEP_Final_English_0.pdf" TargetMode="External"/><Relationship Id="rId30" Type="http://schemas.openxmlformats.org/officeDocument/2006/relationships/hyperlink" Target="https://doi.org/10.1007/s40299-019-00494-w" TargetMode="External"/><Relationship Id="rId35" Type="http://schemas.openxmlformats.org/officeDocument/2006/relationships/hyperlink" Target="https://doi.org/10.3390/educsci14070790" TargetMode="External"/><Relationship Id="rId43"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cdn.iste.org/www-root/Computational%20Thinking%20Operational%20Definition\%20ISTE.pdf" TargetMode="External"/><Relationship Id="rId25" Type="http://schemas.openxmlformats.org/officeDocument/2006/relationships/hyperlink" Target="https://doi.org/10.1007/s10639-023-11583-1" TargetMode="External"/><Relationship Id="rId33" Type="http://schemas.openxmlformats.org/officeDocument/2006/relationships/hyperlink" Target="https://doi.org/10.1007/s10763-021-10227-5" TargetMode="External"/><Relationship Id="rId38" Type="http://schemas.openxmlformats.org/officeDocument/2006/relationships/header" Target="header1.xml"/><Relationship Id="rId20" Type="http://schemas.openxmlformats.org/officeDocument/2006/relationships/hyperlink" Target="https://doi.org/10.1177/07356331241240670"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Overall Distribution</a:t>
            </a:r>
            <a:r>
              <a:rPr lang="en-US" baseline="0"/>
              <a:t> of CT Level </a:t>
            </a:r>
            <a:endParaRPr lang="en-US"/>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803149606299214E-2"/>
          <c:y val="0.16245370370370371"/>
          <c:w val="0.89019685039370078"/>
          <c:h val="0.45689851268591425"/>
        </c:manualLayout>
      </c:layout>
      <c:lineChart>
        <c:grouping val="stacked"/>
        <c:varyColors val="0"/>
        <c:ser>
          <c:idx val="0"/>
          <c:order val="0"/>
          <c:tx>
            <c:strRef>
              <c:f>Sheet2!$D$1</c:f>
              <c:strCache>
                <c:ptCount val="1"/>
                <c:pt idx="0">
                  <c:v>Frequency (n)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Sheet2!$D$2:$D$5</c:f>
              <c:numCache>
                <c:formatCode>General</c:formatCode>
                <c:ptCount val="4"/>
                <c:pt idx="0">
                  <c:v>13</c:v>
                </c:pt>
                <c:pt idx="1">
                  <c:v>17</c:v>
                </c:pt>
                <c:pt idx="2">
                  <c:v>0</c:v>
                </c:pt>
              </c:numCache>
            </c:numRef>
          </c:val>
          <c:smooth val="0"/>
          <c:extLst>
            <c:ext xmlns:c16="http://schemas.microsoft.com/office/drawing/2014/chart" uri="{C3380CC4-5D6E-409C-BE32-E72D297353CC}">
              <c16:uniqueId val="{00000000-1B9C-4B5E-8689-71A4C20409DD}"/>
            </c:ext>
          </c:extLst>
        </c:ser>
        <c:ser>
          <c:idx val="1"/>
          <c:order val="1"/>
          <c:tx>
            <c:strRef>
              <c:f>Sheet2!$E$1</c:f>
              <c:strCache>
                <c:ptCount val="1"/>
                <c:pt idx="0">
                  <c:v>Percentage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Sheet2!$E$2:$E$5</c:f>
              <c:numCache>
                <c:formatCode>General</c:formatCode>
                <c:ptCount val="4"/>
                <c:pt idx="0">
                  <c:v>43.3</c:v>
                </c:pt>
                <c:pt idx="1">
                  <c:v>56.7</c:v>
                </c:pt>
                <c:pt idx="2">
                  <c:v>0</c:v>
                </c:pt>
                <c:pt idx="3">
                  <c:v>100</c:v>
                </c:pt>
              </c:numCache>
            </c:numRef>
          </c:val>
          <c:smooth val="0"/>
          <c:extLst>
            <c:ext xmlns:c16="http://schemas.microsoft.com/office/drawing/2014/chart" uri="{C3380CC4-5D6E-409C-BE32-E72D297353CC}">
              <c16:uniqueId val="{00000001-1B9C-4B5E-8689-71A4C20409DD}"/>
            </c:ext>
          </c:extLst>
        </c:ser>
        <c:ser>
          <c:idx val="2"/>
          <c:order val="2"/>
          <c:tx>
            <c:strRef>
              <c:f>Sheet2!$F$1</c:f>
              <c:strCache>
                <c:ptCount val="1"/>
                <c:pt idx="0">
                  <c:v>Cumulative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Sheet2!$F$2:$F$5</c:f>
              <c:numCache>
                <c:formatCode>General</c:formatCode>
                <c:ptCount val="4"/>
                <c:pt idx="0">
                  <c:v>43.3</c:v>
                </c:pt>
                <c:pt idx="1">
                  <c:v>100</c:v>
                </c:pt>
                <c:pt idx="3">
                  <c:v>100</c:v>
                </c:pt>
              </c:numCache>
            </c:numRef>
          </c:val>
          <c:smooth val="0"/>
          <c:extLst>
            <c:ext xmlns:c16="http://schemas.microsoft.com/office/drawing/2014/chart" uri="{C3380CC4-5D6E-409C-BE32-E72D297353CC}">
              <c16:uniqueId val="{00000002-1B9C-4B5E-8689-71A4C20409DD}"/>
            </c:ext>
          </c:extLst>
        </c:ser>
        <c:dLbls>
          <c:showLegendKey val="0"/>
          <c:showVal val="0"/>
          <c:showCatName val="0"/>
          <c:showSerName val="0"/>
          <c:showPercent val="0"/>
          <c:showBubbleSize val="0"/>
        </c:dLbls>
        <c:marker val="1"/>
        <c:smooth val="0"/>
        <c:axId val="1777750143"/>
        <c:axId val="1777763583"/>
      </c:lineChart>
      <c:catAx>
        <c:axId val="177775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63583"/>
        <c:crosses val="autoZero"/>
        <c:auto val="1"/>
        <c:lblAlgn val="ctr"/>
        <c:lblOffset val="100"/>
        <c:noMultiLvlLbl val="0"/>
      </c:catAx>
      <c:valAx>
        <c:axId val="1777763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50143"/>
        <c:crosses val="autoZero"/>
        <c:crossBetween val="between"/>
      </c:valAx>
      <c:spPr>
        <a:noFill/>
        <a:ln>
          <a:noFill/>
        </a:ln>
        <a:effectLst/>
      </c:spPr>
    </c:plotArea>
    <c:legend>
      <c:legendPos val="b"/>
      <c:layout>
        <c:manualLayout>
          <c:xMode val="edge"/>
          <c:yMode val="edge"/>
          <c:x val="0.11139063867016623"/>
          <c:y val="0.85966185208444035"/>
          <c:w val="0.77721850393700787"/>
          <c:h val="0.140338147915559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Gender</a:t>
            </a:r>
            <a:r>
              <a:rPr lang="en-US" sz="1200" baseline="0"/>
              <a:t> Wise Distribution of CT Levels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Sheet2!$D$24:$E$24</c:f>
              <c:strCache>
                <c:ptCount val="2"/>
                <c:pt idx="0">
                  <c:v>Low</c:v>
                </c:pt>
                <c:pt idx="1">
                  <c:v>0–26</c:v>
                </c:pt>
              </c:strCache>
            </c:strRef>
          </c:tx>
          <c:spPr>
            <a:solidFill>
              <a:schemeClr val="accent1"/>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Sheet2!$F$24:$J$24</c:f>
              <c:numCache>
                <c:formatCode>General</c:formatCode>
                <c:ptCount val="5"/>
                <c:pt idx="0">
                  <c:v>7</c:v>
                </c:pt>
                <c:pt idx="1">
                  <c:v>53.8</c:v>
                </c:pt>
                <c:pt idx="2">
                  <c:v>6</c:v>
                </c:pt>
                <c:pt idx="3">
                  <c:v>46.2</c:v>
                </c:pt>
                <c:pt idx="4">
                  <c:v>0</c:v>
                </c:pt>
              </c:numCache>
            </c:numRef>
          </c:val>
          <c:extLst>
            <c:ext xmlns:c16="http://schemas.microsoft.com/office/drawing/2014/chart" uri="{C3380CC4-5D6E-409C-BE32-E72D297353CC}">
              <c16:uniqueId val="{00000000-645D-4883-BBD2-F1ACB9285EE4}"/>
            </c:ext>
          </c:extLst>
        </c:ser>
        <c:ser>
          <c:idx val="1"/>
          <c:order val="1"/>
          <c:tx>
            <c:strRef>
              <c:f>Sheet2!$D$25:$E$25</c:f>
              <c:strCache>
                <c:ptCount val="2"/>
                <c:pt idx="0">
                  <c:v>Medium</c:v>
                </c:pt>
                <c:pt idx="1">
                  <c:v>27–53</c:v>
                </c:pt>
              </c:strCache>
            </c:strRef>
          </c:tx>
          <c:spPr>
            <a:solidFill>
              <a:schemeClr val="accent2"/>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Sheet2!$F$25:$J$25</c:f>
              <c:numCache>
                <c:formatCode>General</c:formatCode>
                <c:ptCount val="5"/>
                <c:pt idx="0">
                  <c:v>6</c:v>
                </c:pt>
                <c:pt idx="1">
                  <c:v>35.299999999999997</c:v>
                </c:pt>
                <c:pt idx="2">
                  <c:v>11</c:v>
                </c:pt>
                <c:pt idx="3">
                  <c:v>64.7</c:v>
                </c:pt>
                <c:pt idx="4">
                  <c:v>0</c:v>
                </c:pt>
              </c:numCache>
            </c:numRef>
          </c:val>
          <c:extLst>
            <c:ext xmlns:c16="http://schemas.microsoft.com/office/drawing/2014/chart" uri="{C3380CC4-5D6E-409C-BE32-E72D297353CC}">
              <c16:uniqueId val="{00000001-645D-4883-BBD2-F1ACB9285EE4}"/>
            </c:ext>
          </c:extLst>
        </c:ser>
        <c:ser>
          <c:idx val="2"/>
          <c:order val="2"/>
          <c:tx>
            <c:strRef>
              <c:f>Sheet2!$D$26:$E$26</c:f>
              <c:strCache>
                <c:ptCount val="2"/>
                <c:pt idx="0">
                  <c:v>High</c:v>
                </c:pt>
                <c:pt idx="1">
                  <c:v>54–80</c:v>
                </c:pt>
              </c:strCache>
            </c:strRef>
          </c:tx>
          <c:spPr>
            <a:solidFill>
              <a:schemeClr val="accent3"/>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Sheet2!$F$26:$J$26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645D-4883-BBD2-F1ACB9285EE4}"/>
            </c:ext>
          </c:extLst>
        </c:ser>
        <c:ser>
          <c:idx val="3"/>
          <c:order val="3"/>
          <c:tx>
            <c:strRef>
              <c:f>Sheet2!$D$27:$E$27</c:f>
              <c:strCache>
                <c:ptCount val="2"/>
                <c:pt idx="0">
                  <c:v>Total</c:v>
                </c:pt>
              </c:strCache>
            </c:strRef>
          </c:tx>
          <c:spPr>
            <a:solidFill>
              <a:schemeClr val="accent4"/>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Sheet2!$F$27:$J$27</c:f>
              <c:numCache>
                <c:formatCode>General</c:formatCode>
                <c:ptCount val="5"/>
                <c:pt idx="0">
                  <c:v>13</c:v>
                </c:pt>
                <c:pt idx="1">
                  <c:v>100</c:v>
                </c:pt>
                <c:pt idx="2">
                  <c:v>17</c:v>
                </c:pt>
                <c:pt idx="3">
                  <c:v>100</c:v>
                </c:pt>
                <c:pt idx="4">
                  <c:v>0</c:v>
                </c:pt>
              </c:numCache>
            </c:numRef>
          </c:val>
          <c:extLst>
            <c:ext xmlns:c16="http://schemas.microsoft.com/office/drawing/2014/chart" uri="{C3380CC4-5D6E-409C-BE32-E72D297353CC}">
              <c16:uniqueId val="{00000003-645D-4883-BBD2-F1ACB9285EE4}"/>
            </c:ext>
          </c:extLst>
        </c:ser>
        <c:dLbls>
          <c:showLegendKey val="0"/>
          <c:showVal val="0"/>
          <c:showCatName val="0"/>
          <c:showSerName val="0"/>
          <c:showPercent val="0"/>
          <c:showBubbleSize val="0"/>
        </c:dLbls>
        <c:gapWidth val="219"/>
        <c:overlap val="-27"/>
        <c:axId val="1829472895"/>
        <c:axId val="1829473375"/>
      </c:barChart>
      <c:catAx>
        <c:axId val="182947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473375"/>
        <c:crosses val="autoZero"/>
        <c:auto val="1"/>
        <c:lblAlgn val="ctr"/>
        <c:lblOffset val="100"/>
        <c:noMultiLvlLbl val="0"/>
      </c:catAx>
      <c:valAx>
        <c:axId val="1829473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47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Wsie Mean</a:t>
            </a:r>
            <a:r>
              <a:rPr lang="en-US" baseline="0"/>
              <a:t> CT Scores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Sheet2!$G$42</c:f>
              <c:strCache>
                <c:ptCount val="1"/>
                <c:pt idx="0">
                  <c:v>Boys</c:v>
                </c:pt>
              </c:strCache>
            </c:strRef>
          </c:tx>
          <c:spPr>
            <a:solidFill>
              <a:schemeClr val="accent1"/>
            </a:solidFill>
            <a:ln>
              <a:noFill/>
            </a:ln>
            <a:effectLst/>
          </c:spPr>
          <c:invertIfNegative val="0"/>
          <c:cat>
            <c:strRef>
              <c:f>Sheet2!$H$41:$K$41</c:f>
              <c:strCache>
                <c:ptCount val="4"/>
                <c:pt idx="0">
                  <c:v>n</c:v>
                </c:pt>
                <c:pt idx="1">
                  <c:v>Mean Score (out of 80)</c:v>
                </c:pt>
                <c:pt idx="2">
                  <c:v>Mean %</c:v>
                </c:pt>
                <c:pt idx="3">
                  <c:v>SD</c:v>
                </c:pt>
              </c:strCache>
            </c:strRef>
          </c:cat>
          <c:val>
            <c:numRef>
              <c:f>Sheet2!$H$42:$K$42</c:f>
              <c:numCache>
                <c:formatCode>General</c:formatCode>
                <c:ptCount val="4"/>
                <c:pt idx="0">
                  <c:v>13</c:v>
                </c:pt>
                <c:pt idx="1">
                  <c:v>27.38</c:v>
                </c:pt>
                <c:pt idx="2">
                  <c:v>34.229999999999997</c:v>
                </c:pt>
                <c:pt idx="3">
                  <c:v>6.93</c:v>
                </c:pt>
              </c:numCache>
            </c:numRef>
          </c:val>
          <c:extLst>
            <c:ext xmlns:c16="http://schemas.microsoft.com/office/drawing/2014/chart" uri="{C3380CC4-5D6E-409C-BE32-E72D297353CC}">
              <c16:uniqueId val="{00000000-3E14-4204-B9B7-AEB97890F299}"/>
            </c:ext>
          </c:extLst>
        </c:ser>
        <c:ser>
          <c:idx val="1"/>
          <c:order val="1"/>
          <c:tx>
            <c:strRef>
              <c:f>Sheet2!$G$43</c:f>
              <c:strCache>
                <c:ptCount val="1"/>
                <c:pt idx="0">
                  <c:v>Girls</c:v>
                </c:pt>
              </c:strCache>
            </c:strRef>
          </c:tx>
          <c:spPr>
            <a:solidFill>
              <a:schemeClr val="accent2"/>
            </a:solidFill>
            <a:ln>
              <a:noFill/>
            </a:ln>
            <a:effectLst/>
          </c:spPr>
          <c:invertIfNegative val="0"/>
          <c:cat>
            <c:strRef>
              <c:f>Sheet2!$H$41:$K$41</c:f>
              <c:strCache>
                <c:ptCount val="4"/>
                <c:pt idx="0">
                  <c:v>n</c:v>
                </c:pt>
                <c:pt idx="1">
                  <c:v>Mean Score (out of 80)</c:v>
                </c:pt>
                <c:pt idx="2">
                  <c:v>Mean %</c:v>
                </c:pt>
                <c:pt idx="3">
                  <c:v>SD</c:v>
                </c:pt>
              </c:strCache>
            </c:strRef>
          </c:cat>
          <c:val>
            <c:numRef>
              <c:f>Sheet2!$H$43:$K$43</c:f>
              <c:numCache>
                <c:formatCode>General</c:formatCode>
                <c:ptCount val="4"/>
                <c:pt idx="0">
                  <c:v>17</c:v>
                </c:pt>
                <c:pt idx="1">
                  <c:v>28.59</c:v>
                </c:pt>
                <c:pt idx="2">
                  <c:v>35.74</c:v>
                </c:pt>
                <c:pt idx="3">
                  <c:v>6.27</c:v>
                </c:pt>
              </c:numCache>
            </c:numRef>
          </c:val>
          <c:extLst>
            <c:ext xmlns:c16="http://schemas.microsoft.com/office/drawing/2014/chart" uri="{C3380CC4-5D6E-409C-BE32-E72D297353CC}">
              <c16:uniqueId val="{00000001-3E14-4204-B9B7-AEB97890F299}"/>
            </c:ext>
          </c:extLst>
        </c:ser>
        <c:ser>
          <c:idx val="2"/>
          <c:order val="2"/>
          <c:tx>
            <c:strRef>
              <c:f>Sheet2!$G$44</c:f>
              <c:strCache>
                <c:ptCount val="1"/>
                <c:pt idx="0">
                  <c:v>Total</c:v>
                </c:pt>
              </c:strCache>
            </c:strRef>
          </c:tx>
          <c:spPr>
            <a:solidFill>
              <a:schemeClr val="accent3"/>
            </a:solidFill>
            <a:ln>
              <a:noFill/>
            </a:ln>
            <a:effectLst/>
          </c:spPr>
          <c:invertIfNegative val="0"/>
          <c:cat>
            <c:strRef>
              <c:f>Sheet2!$H$41:$K$41</c:f>
              <c:strCache>
                <c:ptCount val="4"/>
                <c:pt idx="0">
                  <c:v>n</c:v>
                </c:pt>
                <c:pt idx="1">
                  <c:v>Mean Score (out of 80)</c:v>
                </c:pt>
                <c:pt idx="2">
                  <c:v>Mean %</c:v>
                </c:pt>
                <c:pt idx="3">
                  <c:v>SD</c:v>
                </c:pt>
              </c:strCache>
            </c:strRef>
          </c:cat>
          <c:val>
            <c:numRef>
              <c:f>Sheet2!$H$44:$K$44</c:f>
              <c:numCache>
                <c:formatCode>General</c:formatCode>
                <c:ptCount val="4"/>
                <c:pt idx="0">
                  <c:v>30</c:v>
                </c:pt>
                <c:pt idx="1">
                  <c:v>28.07</c:v>
                </c:pt>
                <c:pt idx="2">
                  <c:v>35.08</c:v>
                </c:pt>
                <c:pt idx="3">
                  <c:v>6.48</c:v>
                </c:pt>
              </c:numCache>
            </c:numRef>
          </c:val>
          <c:extLst>
            <c:ext xmlns:c16="http://schemas.microsoft.com/office/drawing/2014/chart" uri="{C3380CC4-5D6E-409C-BE32-E72D297353CC}">
              <c16:uniqueId val="{00000002-3E14-4204-B9B7-AEB97890F299}"/>
            </c:ext>
          </c:extLst>
        </c:ser>
        <c:dLbls>
          <c:showLegendKey val="0"/>
          <c:showVal val="0"/>
          <c:showCatName val="0"/>
          <c:showSerName val="0"/>
          <c:showPercent val="0"/>
          <c:showBubbleSize val="0"/>
        </c:dLbls>
        <c:gapWidth val="182"/>
        <c:axId val="1779873615"/>
        <c:axId val="1779858735"/>
      </c:barChart>
      <c:catAx>
        <c:axId val="1779873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58735"/>
        <c:crosses val="autoZero"/>
        <c:auto val="1"/>
        <c:lblAlgn val="ctr"/>
        <c:lblOffset val="100"/>
        <c:noMultiLvlLbl val="0"/>
      </c:catAx>
      <c:valAx>
        <c:axId val="1779858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7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wise Distribution of CT Levels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Sheet2!$E$53:$E$54</c:f>
              <c:strCache>
                <c:ptCount val="2"/>
                <c:pt idx="0">
                  <c:v>13 yrs</c:v>
                </c:pt>
                <c:pt idx="1">
                  <c:v>n=13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Sheet2!$E$55:$E$58</c:f>
              <c:numCache>
                <c:formatCode>General</c:formatCode>
                <c:ptCount val="4"/>
                <c:pt idx="0">
                  <c:v>6</c:v>
                </c:pt>
                <c:pt idx="1">
                  <c:v>7</c:v>
                </c:pt>
                <c:pt idx="2">
                  <c:v>0</c:v>
                </c:pt>
                <c:pt idx="3">
                  <c:v>13</c:v>
                </c:pt>
              </c:numCache>
            </c:numRef>
          </c:val>
          <c:smooth val="0"/>
          <c:extLst>
            <c:ext xmlns:c16="http://schemas.microsoft.com/office/drawing/2014/chart" uri="{C3380CC4-5D6E-409C-BE32-E72D297353CC}">
              <c16:uniqueId val="{00000000-3402-4C3C-8159-ABDDD397047A}"/>
            </c:ext>
          </c:extLst>
        </c:ser>
        <c:ser>
          <c:idx val="1"/>
          <c:order val="1"/>
          <c:tx>
            <c:strRef>
              <c:f>Sheet2!$F$53:$F$54</c:f>
              <c:strCache>
                <c:ptCount val="2"/>
                <c:pt idx="0">
                  <c:v>13 yrs</c:v>
                </c:pt>
                <c:pt idx="1">
                  <c: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Sheet2!$F$55:$F$58</c:f>
              <c:numCache>
                <c:formatCode>General</c:formatCode>
                <c:ptCount val="4"/>
                <c:pt idx="0">
                  <c:v>46.2</c:v>
                </c:pt>
                <c:pt idx="1">
                  <c:v>41.2</c:v>
                </c:pt>
                <c:pt idx="2">
                  <c:v>0</c:v>
                </c:pt>
                <c:pt idx="3">
                  <c:v>43.3</c:v>
                </c:pt>
              </c:numCache>
            </c:numRef>
          </c:val>
          <c:smooth val="0"/>
          <c:extLst>
            <c:ext xmlns:c16="http://schemas.microsoft.com/office/drawing/2014/chart" uri="{C3380CC4-5D6E-409C-BE32-E72D297353CC}">
              <c16:uniqueId val="{00000001-3402-4C3C-8159-ABDDD397047A}"/>
            </c:ext>
          </c:extLst>
        </c:ser>
        <c:ser>
          <c:idx val="2"/>
          <c:order val="2"/>
          <c:tx>
            <c:strRef>
              <c:f>Sheet2!$G$53:$G$54</c:f>
              <c:strCache>
                <c:ptCount val="2"/>
                <c:pt idx="0">
                  <c:v>14 yrs</c:v>
                </c:pt>
                <c:pt idx="1">
                  <c:v>n=12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Sheet2!$G$55:$G$58</c:f>
              <c:numCache>
                <c:formatCode>General</c:formatCode>
                <c:ptCount val="4"/>
                <c:pt idx="0">
                  <c:v>6</c:v>
                </c:pt>
                <c:pt idx="1">
                  <c:v>6</c:v>
                </c:pt>
                <c:pt idx="2">
                  <c:v>0</c:v>
                </c:pt>
                <c:pt idx="3">
                  <c:v>12</c:v>
                </c:pt>
              </c:numCache>
            </c:numRef>
          </c:val>
          <c:smooth val="0"/>
          <c:extLst>
            <c:ext xmlns:c16="http://schemas.microsoft.com/office/drawing/2014/chart" uri="{C3380CC4-5D6E-409C-BE32-E72D297353CC}">
              <c16:uniqueId val="{00000002-3402-4C3C-8159-ABDDD397047A}"/>
            </c:ext>
          </c:extLst>
        </c:ser>
        <c:ser>
          <c:idx val="3"/>
          <c:order val="3"/>
          <c:tx>
            <c:strRef>
              <c:f>Sheet2!$H$53:$H$54</c:f>
              <c:strCache>
                <c:ptCount val="2"/>
                <c:pt idx="0">
                  <c:v>14 yrs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Sheet2!$H$55:$H$58</c:f>
              <c:numCache>
                <c:formatCode>General</c:formatCode>
                <c:ptCount val="4"/>
                <c:pt idx="0">
                  <c:v>46.2</c:v>
                </c:pt>
                <c:pt idx="1">
                  <c:v>35.299999999999997</c:v>
                </c:pt>
                <c:pt idx="2">
                  <c:v>0</c:v>
                </c:pt>
                <c:pt idx="3">
                  <c:v>40</c:v>
                </c:pt>
              </c:numCache>
            </c:numRef>
          </c:val>
          <c:smooth val="0"/>
          <c:extLst>
            <c:ext xmlns:c16="http://schemas.microsoft.com/office/drawing/2014/chart" uri="{C3380CC4-5D6E-409C-BE32-E72D297353CC}">
              <c16:uniqueId val="{00000003-3402-4C3C-8159-ABDDD397047A}"/>
            </c:ext>
          </c:extLst>
        </c:ser>
        <c:ser>
          <c:idx val="4"/>
          <c:order val="4"/>
          <c:tx>
            <c:strRef>
              <c:f>Sheet2!$I$53:$I$54</c:f>
              <c:strCache>
                <c:ptCount val="2"/>
                <c:pt idx="0">
                  <c:v>15 yrs</c:v>
                </c:pt>
                <c:pt idx="1">
                  <c:v>n=05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Sheet2!$I$55:$I$58</c:f>
              <c:numCache>
                <c:formatCode>General</c:formatCode>
                <c:ptCount val="4"/>
                <c:pt idx="0">
                  <c:v>1</c:v>
                </c:pt>
                <c:pt idx="1">
                  <c:v>4</c:v>
                </c:pt>
                <c:pt idx="2">
                  <c:v>0</c:v>
                </c:pt>
                <c:pt idx="3">
                  <c:v>5</c:v>
                </c:pt>
              </c:numCache>
            </c:numRef>
          </c:val>
          <c:smooth val="0"/>
          <c:extLst>
            <c:ext xmlns:c16="http://schemas.microsoft.com/office/drawing/2014/chart" uri="{C3380CC4-5D6E-409C-BE32-E72D297353CC}">
              <c16:uniqueId val="{00000004-3402-4C3C-8159-ABDDD397047A}"/>
            </c:ext>
          </c:extLst>
        </c:ser>
        <c:ser>
          <c:idx val="5"/>
          <c:order val="5"/>
          <c:tx>
            <c:strRef>
              <c:f>Sheet2!$J$53:$J$54</c:f>
              <c:strCache>
                <c:ptCount val="2"/>
                <c:pt idx="0">
                  <c:v>15 yrs</c:v>
                </c:pt>
                <c:pt idx="1">
                  <c:v>(%)</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Sheet2!$J$55:$J$58</c:f>
              <c:numCache>
                <c:formatCode>General</c:formatCode>
                <c:ptCount val="4"/>
                <c:pt idx="0">
                  <c:v>7.7</c:v>
                </c:pt>
                <c:pt idx="1">
                  <c:v>23.5</c:v>
                </c:pt>
                <c:pt idx="2">
                  <c:v>0</c:v>
                </c:pt>
                <c:pt idx="3">
                  <c:v>16.7</c:v>
                </c:pt>
              </c:numCache>
            </c:numRef>
          </c:val>
          <c:smooth val="0"/>
          <c:extLst>
            <c:ext xmlns:c16="http://schemas.microsoft.com/office/drawing/2014/chart" uri="{C3380CC4-5D6E-409C-BE32-E72D297353CC}">
              <c16:uniqueId val="{00000005-3402-4C3C-8159-ABDDD397047A}"/>
            </c:ext>
          </c:extLst>
        </c:ser>
        <c:ser>
          <c:idx val="6"/>
          <c:order val="6"/>
          <c:tx>
            <c:strRef>
              <c:f>Sheet2!$K$53:$K$54</c:f>
              <c:strCache>
                <c:ptCount val="2"/>
                <c:pt idx="0">
                  <c:v>Total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Sheet2!$K$55:$K$58</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6-3402-4C3C-8159-ABDDD397047A}"/>
            </c:ext>
          </c:extLst>
        </c:ser>
        <c:dLbls>
          <c:showLegendKey val="0"/>
          <c:showVal val="0"/>
          <c:showCatName val="0"/>
          <c:showSerName val="0"/>
          <c:showPercent val="0"/>
          <c:showBubbleSize val="0"/>
        </c:dLbls>
        <c:marker val="1"/>
        <c:smooth val="0"/>
        <c:axId val="1777752063"/>
        <c:axId val="1777764063"/>
      </c:lineChart>
      <c:catAx>
        <c:axId val="1777752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64063"/>
        <c:crosses val="autoZero"/>
        <c:auto val="1"/>
        <c:lblAlgn val="ctr"/>
        <c:lblOffset val="100"/>
        <c:noMultiLvlLbl val="0"/>
      </c:catAx>
      <c:valAx>
        <c:axId val="1777764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52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wise Mean</a:t>
            </a:r>
            <a:r>
              <a:rPr lang="en-US" baseline="0"/>
              <a:t> CT Scores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Sheet2!$I$75</c:f>
              <c:strCache>
                <c:ptCount val="1"/>
                <c:pt idx="0">
                  <c:v>n</c:v>
                </c:pt>
              </c:strCache>
            </c:strRef>
          </c:tx>
          <c:spPr>
            <a:solidFill>
              <a:schemeClr val="accent1"/>
            </a:solidFill>
            <a:ln>
              <a:noFill/>
            </a:ln>
            <a:effectLst/>
          </c:spPr>
          <c:invertIfNegative val="0"/>
          <c:cat>
            <c:strRef>
              <c:f>Sheet2!$H$76:$H$79</c:f>
              <c:strCache>
                <c:ptCount val="4"/>
                <c:pt idx="0">
                  <c:v>13 years </c:v>
                </c:pt>
                <c:pt idx="1">
                  <c:v>14 Years </c:v>
                </c:pt>
                <c:pt idx="2">
                  <c:v>15 years </c:v>
                </c:pt>
                <c:pt idx="3">
                  <c:v>Total</c:v>
                </c:pt>
              </c:strCache>
            </c:strRef>
          </c:cat>
          <c:val>
            <c:numRef>
              <c:f>Sheet2!$I$76:$I$79</c:f>
              <c:numCache>
                <c:formatCode>General</c:formatCode>
                <c:ptCount val="4"/>
                <c:pt idx="0">
                  <c:v>13</c:v>
                </c:pt>
                <c:pt idx="1">
                  <c:v>12</c:v>
                </c:pt>
                <c:pt idx="2">
                  <c:v>5</c:v>
                </c:pt>
                <c:pt idx="3">
                  <c:v>30</c:v>
                </c:pt>
              </c:numCache>
            </c:numRef>
          </c:val>
          <c:extLst>
            <c:ext xmlns:c16="http://schemas.microsoft.com/office/drawing/2014/chart" uri="{C3380CC4-5D6E-409C-BE32-E72D297353CC}">
              <c16:uniqueId val="{00000000-73C7-4ECB-9693-DBAEF9596E67}"/>
            </c:ext>
          </c:extLst>
        </c:ser>
        <c:ser>
          <c:idx val="1"/>
          <c:order val="1"/>
          <c:tx>
            <c:strRef>
              <c:f>Sheet2!$J$75</c:f>
              <c:strCache>
                <c:ptCount val="1"/>
                <c:pt idx="0">
                  <c:v>Mean Score (out of 80)</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Sheet2!$H$76:$H$79</c:f>
              <c:strCache>
                <c:ptCount val="4"/>
                <c:pt idx="0">
                  <c:v>13 years </c:v>
                </c:pt>
                <c:pt idx="1">
                  <c:v>14 Years </c:v>
                </c:pt>
                <c:pt idx="2">
                  <c:v>15 years </c:v>
                </c:pt>
                <c:pt idx="3">
                  <c:v>Total</c:v>
                </c:pt>
              </c:strCache>
            </c:strRef>
          </c:cat>
          <c:val>
            <c:numRef>
              <c:f>Sheet2!$J$76:$J$79</c:f>
              <c:numCache>
                <c:formatCode>General</c:formatCode>
                <c:ptCount val="4"/>
                <c:pt idx="0">
                  <c:v>27.69</c:v>
                </c:pt>
                <c:pt idx="1">
                  <c:v>27.5</c:v>
                </c:pt>
                <c:pt idx="2">
                  <c:v>30.4</c:v>
                </c:pt>
                <c:pt idx="3">
                  <c:v>28.06</c:v>
                </c:pt>
              </c:numCache>
            </c:numRef>
          </c:val>
          <c:extLst>
            <c:ext xmlns:c16="http://schemas.microsoft.com/office/drawing/2014/chart" uri="{C3380CC4-5D6E-409C-BE32-E72D297353CC}">
              <c16:uniqueId val="{00000002-73C7-4ECB-9693-DBAEF9596E67}"/>
            </c:ext>
          </c:extLst>
        </c:ser>
        <c:ser>
          <c:idx val="2"/>
          <c:order val="2"/>
          <c:tx>
            <c:strRef>
              <c:f>Sheet2!$K$75</c:f>
              <c:strCache>
                <c:ptCount val="1"/>
                <c:pt idx="0">
                  <c:v>Mean %</c:v>
                </c:pt>
              </c:strCache>
            </c:strRef>
          </c:tx>
          <c:spPr>
            <a:solidFill>
              <a:schemeClr val="accent3"/>
            </a:solidFill>
            <a:ln>
              <a:noFill/>
            </a:ln>
            <a:effectLst/>
          </c:spPr>
          <c:invertIfNegative val="0"/>
          <c:trendline>
            <c:spPr>
              <a:ln w="19050" cap="rnd">
                <a:solidFill>
                  <a:schemeClr val="accent3"/>
                </a:solidFill>
                <a:prstDash val="sysDot"/>
              </a:ln>
              <a:effectLst/>
            </c:spPr>
            <c:trendlineType val="linear"/>
            <c:dispRSqr val="0"/>
            <c:dispEq val="0"/>
          </c:trendline>
          <c:cat>
            <c:strRef>
              <c:f>Sheet2!$H$76:$H$79</c:f>
              <c:strCache>
                <c:ptCount val="4"/>
                <c:pt idx="0">
                  <c:v>13 years </c:v>
                </c:pt>
                <c:pt idx="1">
                  <c:v>14 Years </c:v>
                </c:pt>
                <c:pt idx="2">
                  <c:v>15 years </c:v>
                </c:pt>
                <c:pt idx="3">
                  <c:v>Total</c:v>
                </c:pt>
              </c:strCache>
            </c:strRef>
          </c:cat>
          <c:val>
            <c:numRef>
              <c:f>Sheet2!$K$76:$K$79</c:f>
              <c:numCache>
                <c:formatCode>General</c:formatCode>
                <c:ptCount val="4"/>
                <c:pt idx="0">
                  <c:v>34.61</c:v>
                </c:pt>
                <c:pt idx="1">
                  <c:v>34.369999999999997</c:v>
                </c:pt>
                <c:pt idx="2">
                  <c:v>38</c:v>
                </c:pt>
                <c:pt idx="3">
                  <c:v>35.07</c:v>
                </c:pt>
              </c:numCache>
            </c:numRef>
          </c:val>
          <c:extLst>
            <c:ext xmlns:c16="http://schemas.microsoft.com/office/drawing/2014/chart" uri="{C3380CC4-5D6E-409C-BE32-E72D297353CC}">
              <c16:uniqueId val="{00000004-73C7-4ECB-9693-DBAEF9596E67}"/>
            </c:ext>
          </c:extLst>
        </c:ser>
        <c:ser>
          <c:idx val="3"/>
          <c:order val="3"/>
          <c:tx>
            <c:strRef>
              <c:f>Sheet2!$L$75</c:f>
              <c:strCache>
                <c:ptCount val="1"/>
                <c:pt idx="0">
                  <c:v>SD</c:v>
                </c:pt>
              </c:strCache>
            </c:strRef>
          </c:tx>
          <c:spPr>
            <a:solidFill>
              <a:schemeClr val="accent4"/>
            </a:solidFill>
            <a:ln>
              <a:noFill/>
            </a:ln>
            <a:effectLst/>
          </c:spPr>
          <c:invertIfNegative val="0"/>
          <c:cat>
            <c:strRef>
              <c:f>Sheet2!$H$76:$H$79</c:f>
              <c:strCache>
                <c:ptCount val="4"/>
                <c:pt idx="0">
                  <c:v>13 years </c:v>
                </c:pt>
                <c:pt idx="1">
                  <c:v>14 Years </c:v>
                </c:pt>
                <c:pt idx="2">
                  <c:v>15 years </c:v>
                </c:pt>
                <c:pt idx="3">
                  <c:v>Total</c:v>
                </c:pt>
              </c:strCache>
            </c:strRef>
          </c:cat>
          <c:val>
            <c:numRef>
              <c:f>Sheet2!$L$76:$L$79</c:f>
              <c:numCache>
                <c:formatCode>General</c:formatCode>
                <c:ptCount val="4"/>
                <c:pt idx="0">
                  <c:v>7.55</c:v>
                </c:pt>
                <c:pt idx="1">
                  <c:v>6.24</c:v>
                </c:pt>
                <c:pt idx="2">
                  <c:v>4.1500000000000004</c:v>
                </c:pt>
                <c:pt idx="3">
                  <c:v>6.47</c:v>
                </c:pt>
              </c:numCache>
            </c:numRef>
          </c:val>
          <c:extLst>
            <c:ext xmlns:c16="http://schemas.microsoft.com/office/drawing/2014/chart" uri="{C3380CC4-5D6E-409C-BE32-E72D297353CC}">
              <c16:uniqueId val="{00000005-73C7-4ECB-9693-DBAEF9596E67}"/>
            </c:ext>
          </c:extLst>
        </c:ser>
        <c:dLbls>
          <c:showLegendKey val="0"/>
          <c:showVal val="0"/>
          <c:showCatName val="0"/>
          <c:showSerName val="0"/>
          <c:showPercent val="0"/>
          <c:showBubbleSize val="0"/>
        </c:dLbls>
        <c:gapWidth val="219"/>
        <c:overlap val="-27"/>
        <c:axId val="1779855375"/>
        <c:axId val="1779875535"/>
      </c:barChart>
      <c:catAx>
        <c:axId val="177985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75535"/>
        <c:crosses val="autoZero"/>
        <c:auto val="1"/>
        <c:lblAlgn val="ctr"/>
        <c:lblOffset val="100"/>
        <c:noMultiLvlLbl val="0"/>
      </c:catAx>
      <c:valAx>
        <c:axId val="177987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5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Dimension</a:t>
            </a:r>
            <a:r>
              <a:rPr lang="en-US" baseline="0"/>
              <a:t> wise Mean scores of CT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Sheet2!$F$89:$G$89</c:f>
              <c:strCache>
                <c:ptCount val="2"/>
                <c:pt idx="0">
                  <c:v>Decomposition</c:v>
                </c:pt>
                <c:pt idx="1">
                  <c:v>1–10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Sheet2!$H$88:$L$88</c:f>
              <c:strCache>
                <c:ptCount val="5"/>
                <c:pt idx="0">
                  <c:v>Max Score</c:v>
                </c:pt>
                <c:pt idx="1">
                  <c:v>Mean Score</c:v>
                </c:pt>
                <c:pt idx="2">
                  <c:v>Mean %</c:v>
                </c:pt>
                <c:pt idx="3">
                  <c:v>SD</c:v>
                </c:pt>
                <c:pt idx="4">
                  <c:v>CT Level</c:v>
                </c:pt>
              </c:strCache>
            </c:strRef>
          </c:cat>
          <c:val>
            <c:numRef>
              <c:f>Sheet2!$H$89:$L$89</c:f>
              <c:numCache>
                <c:formatCode>General</c:formatCode>
                <c:ptCount val="5"/>
                <c:pt idx="0">
                  <c:v>20</c:v>
                </c:pt>
                <c:pt idx="1">
                  <c:v>8.3000000000000007</c:v>
                </c:pt>
                <c:pt idx="2">
                  <c:v>41.5</c:v>
                </c:pt>
                <c:pt idx="3">
                  <c:v>3.66</c:v>
                </c:pt>
                <c:pt idx="4">
                  <c:v>0</c:v>
                </c:pt>
              </c:numCache>
            </c:numRef>
          </c:val>
          <c:smooth val="0"/>
          <c:extLst>
            <c:ext xmlns:c16="http://schemas.microsoft.com/office/drawing/2014/chart" uri="{C3380CC4-5D6E-409C-BE32-E72D297353CC}">
              <c16:uniqueId val="{00000000-3C7C-47EC-A1AE-70B7BFC72CCD}"/>
            </c:ext>
          </c:extLst>
        </c:ser>
        <c:ser>
          <c:idx val="1"/>
          <c:order val="1"/>
          <c:tx>
            <c:strRef>
              <c:f>Sheet2!$F$90:$G$90</c:f>
              <c:strCache>
                <c:ptCount val="2"/>
                <c:pt idx="0">
                  <c:v>Pattern Recognition</c:v>
                </c:pt>
                <c:pt idx="1">
                  <c:v>11–20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Sheet2!$H$88:$L$88</c:f>
              <c:strCache>
                <c:ptCount val="5"/>
                <c:pt idx="0">
                  <c:v>Max Score</c:v>
                </c:pt>
                <c:pt idx="1">
                  <c:v>Mean Score</c:v>
                </c:pt>
                <c:pt idx="2">
                  <c:v>Mean %</c:v>
                </c:pt>
                <c:pt idx="3">
                  <c:v>SD</c:v>
                </c:pt>
                <c:pt idx="4">
                  <c:v>CT Level</c:v>
                </c:pt>
              </c:strCache>
            </c:strRef>
          </c:cat>
          <c:val>
            <c:numRef>
              <c:f>Sheet2!$H$90:$L$90</c:f>
              <c:numCache>
                <c:formatCode>General</c:formatCode>
                <c:ptCount val="5"/>
                <c:pt idx="0">
                  <c:v>20</c:v>
                </c:pt>
                <c:pt idx="1">
                  <c:v>7.37</c:v>
                </c:pt>
                <c:pt idx="2">
                  <c:v>36.85</c:v>
                </c:pt>
                <c:pt idx="3">
                  <c:v>2.41</c:v>
                </c:pt>
                <c:pt idx="4">
                  <c:v>0</c:v>
                </c:pt>
              </c:numCache>
            </c:numRef>
          </c:val>
          <c:smooth val="0"/>
          <c:extLst>
            <c:ext xmlns:c16="http://schemas.microsoft.com/office/drawing/2014/chart" uri="{C3380CC4-5D6E-409C-BE32-E72D297353CC}">
              <c16:uniqueId val="{00000001-3C7C-47EC-A1AE-70B7BFC72CCD}"/>
            </c:ext>
          </c:extLst>
        </c:ser>
        <c:ser>
          <c:idx val="2"/>
          <c:order val="2"/>
          <c:tx>
            <c:strRef>
              <c:f>Sheet2!$F$91:$G$91</c:f>
              <c:strCache>
                <c:ptCount val="2"/>
                <c:pt idx="0">
                  <c:v>Abstraction</c:v>
                </c:pt>
                <c:pt idx="1">
                  <c:v>21–30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Sheet2!$H$88:$L$88</c:f>
              <c:strCache>
                <c:ptCount val="5"/>
                <c:pt idx="0">
                  <c:v>Max Score</c:v>
                </c:pt>
                <c:pt idx="1">
                  <c:v>Mean Score</c:v>
                </c:pt>
                <c:pt idx="2">
                  <c:v>Mean %</c:v>
                </c:pt>
                <c:pt idx="3">
                  <c:v>SD</c:v>
                </c:pt>
                <c:pt idx="4">
                  <c:v>CT Level</c:v>
                </c:pt>
              </c:strCache>
            </c:strRef>
          </c:cat>
          <c:val>
            <c:numRef>
              <c:f>Sheet2!$H$91:$L$91</c:f>
              <c:numCache>
                <c:formatCode>General</c:formatCode>
                <c:ptCount val="5"/>
                <c:pt idx="0">
                  <c:v>20</c:v>
                </c:pt>
                <c:pt idx="1">
                  <c:v>6.23</c:v>
                </c:pt>
                <c:pt idx="2">
                  <c:v>31.15</c:v>
                </c:pt>
                <c:pt idx="3">
                  <c:v>2.2999999999999998</c:v>
                </c:pt>
                <c:pt idx="4">
                  <c:v>0</c:v>
                </c:pt>
              </c:numCache>
            </c:numRef>
          </c:val>
          <c:smooth val="0"/>
          <c:extLst>
            <c:ext xmlns:c16="http://schemas.microsoft.com/office/drawing/2014/chart" uri="{C3380CC4-5D6E-409C-BE32-E72D297353CC}">
              <c16:uniqueId val="{00000002-3C7C-47EC-A1AE-70B7BFC72CCD}"/>
            </c:ext>
          </c:extLst>
        </c:ser>
        <c:ser>
          <c:idx val="3"/>
          <c:order val="3"/>
          <c:tx>
            <c:strRef>
              <c:f>Sheet2!$F$92:$G$92</c:f>
              <c:strCache>
                <c:ptCount val="2"/>
                <c:pt idx="0">
                  <c:v>Algorithmic Thinking</c:v>
                </c:pt>
                <c:pt idx="1">
                  <c:v>31–40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Sheet2!$H$88:$L$88</c:f>
              <c:strCache>
                <c:ptCount val="5"/>
                <c:pt idx="0">
                  <c:v>Max Score</c:v>
                </c:pt>
                <c:pt idx="1">
                  <c:v>Mean Score</c:v>
                </c:pt>
                <c:pt idx="2">
                  <c:v>Mean %</c:v>
                </c:pt>
                <c:pt idx="3">
                  <c:v>SD</c:v>
                </c:pt>
                <c:pt idx="4">
                  <c:v>CT Level</c:v>
                </c:pt>
              </c:strCache>
            </c:strRef>
          </c:cat>
          <c:val>
            <c:numRef>
              <c:f>Sheet2!$H$92:$L$92</c:f>
              <c:numCache>
                <c:formatCode>General</c:formatCode>
                <c:ptCount val="5"/>
                <c:pt idx="0">
                  <c:v>20</c:v>
                </c:pt>
                <c:pt idx="1">
                  <c:v>6.17</c:v>
                </c:pt>
                <c:pt idx="2">
                  <c:v>30.85</c:v>
                </c:pt>
                <c:pt idx="3">
                  <c:v>1.78</c:v>
                </c:pt>
                <c:pt idx="4">
                  <c:v>0</c:v>
                </c:pt>
              </c:numCache>
            </c:numRef>
          </c:val>
          <c:smooth val="0"/>
          <c:extLst>
            <c:ext xmlns:c16="http://schemas.microsoft.com/office/drawing/2014/chart" uri="{C3380CC4-5D6E-409C-BE32-E72D297353CC}">
              <c16:uniqueId val="{00000003-3C7C-47EC-A1AE-70B7BFC72CCD}"/>
            </c:ext>
          </c:extLst>
        </c:ser>
        <c:ser>
          <c:idx val="4"/>
          <c:order val="4"/>
          <c:tx>
            <c:strRef>
              <c:f>Sheet2!$F$93:$G$93</c:f>
              <c:strCache>
                <c:ptCount val="2"/>
                <c:pt idx="0">
                  <c:v>Overall CT</c:v>
                </c:pt>
                <c:pt idx="1">
                  <c:v>1–40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Sheet2!$H$88:$L$88</c:f>
              <c:strCache>
                <c:ptCount val="5"/>
                <c:pt idx="0">
                  <c:v>Max Score</c:v>
                </c:pt>
                <c:pt idx="1">
                  <c:v>Mean Score</c:v>
                </c:pt>
                <c:pt idx="2">
                  <c:v>Mean %</c:v>
                </c:pt>
                <c:pt idx="3">
                  <c:v>SD</c:v>
                </c:pt>
                <c:pt idx="4">
                  <c:v>CT Level</c:v>
                </c:pt>
              </c:strCache>
            </c:strRef>
          </c:cat>
          <c:val>
            <c:numRef>
              <c:f>Sheet2!$H$93:$L$93</c:f>
              <c:numCache>
                <c:formatCode>General</c:formatCode>
                <c:ptCount val="5"/>
                <c:pt idx="0">
                  <c:v>80</c:v>
                </c:pt>
                <c:pt idx="1">
                  <c:v>28.06</c:v>
                </c:pt>
                <c:pt idx="2">
                  <c:v>35.07</c:v>
                </c:pt>
                <c:pt idx="3">
                  <c:v>6.47</c:v>
                </c:pt>
                <c:pt idx="4">
                  <c:v>0</c:v>
                </c:pt>
              </c:numCache>
            </c:numRef>
          </c:val>
          <c:smooth val="0"/>
          <c:extLst>
            <c:ext xmlns:c16="http://schemas.microsoft.com/office/drawing/2014/chart" uri="{C3380CC4-5D6E-409C-BE32-E72D297353CC}">
              <c16:uniqueId val="{00000004-3C7C-47EC-A1AE-70B7BFC72CCD}"/>
            </c:ext>
          </c:extLst>
        </c:ser>
        <c:dLbls>
          <c:showLegendKey val="0"/>
          <c:showVal val="0"/>
          <c:showCatName val="0"/>
          <c:showSerName val="0"/>
          <c:showPercent val="0"/>
          <c:showBubbleSize val="0"/>
        </c:dLbls>
        <c:marker val="1"/>
        <c:smooth val="0"/>
        <c:axId val="1843729519"/>
        <c:axId val="1843745839"/>
      </c:lineChart>
      <c:catAx>
        <c:axId val="1843729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745839"/>
        <c:crosses val="autoZero"/>
        <c:auto val="1"/>
        <c:lblAlgn val="ctr"/>
        <c:lblOffset val="100"/>
        <c:noMultiLvlLbl val="0"/>
      </c:catAx>
      <c:valAx>
        <c:axId val="1843745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72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6674</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MANU</dc:creator>
  <cp:keywords/>
  <dc:description/>
  <cp:lastModifiedBy>SDI 1166</cp:lastModifiedBy>
  <cp:revision>34</cp:revision>
  <dcterms:created xsi:type="dcterms:W3CDTF">2026-05-17T07:45:00Z</dcterms:created>
  <dcterms:modified xsi:type="dcterms:W3CDTF">2026-05-18T11:36:00Z</dcterms:modified>
</cp:coreProperties>
</file>