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AAA5A" w14:textId="77777777" w:rsidR="00ED1461" w:rsidRPr="00C0377A" w:rsidRDefault="00C435D9">
      <w:pPr>
        <w:spacing w:after="240" w:line="288" w:lineRule="auto"/>
        <w:jc w:val="center"/>
      </w:pPr>
      <w:r w:rsidRPr="00C0377A">
        <w:rPr>
          <w:b/>
          <w:sz w:val="28"/>
        </w:rPr>
        <w:t>Primary Teachers’ Perceptions of the 2023</w:t>
      </w:r>
      <w:r w:rsidR="005860B9" w:rsidRPr="00C0377A">
        <w:rPr>
          <w:b/>
          <w:sz w:val="28"/>
        </w:rPr>
        <w:t xml:space="preserve"> Curriculum Reform in </w:t>
      </w:r>
      <w:r w:rsidR="00A04508" w:rsidRPr="00C0377A">
        <w:rPr>
          <w:b/>
          <w:sz w:val="28"/>
        </w:rPr>
        <w:t>Tanzania: A</w:t>
      </w:r>
      <w:r w:rsidRPr="00C0377A">
        <w:rPr>
          <w:b/>
          <w:sz w:val="28"/>
        </w:rPr>
        <w:t xml:space="preserve"> Case Study of the Lindi Region</w:t>
      </w:r>
    </w:p>
    <w:p w14:paraId="2A3A2DFD" w14:textId="77777777" w:rsidR="00F72C73" w:rsidRDefault="00F72C73">
      <w:pPr>
        <w:pStyle w:val="Heading1"/>
        <w:rPr>
          <w:rFonts w:ascii="Times New Roman" w:eastAsia="Times New Roman" w:hAnsi="Times New Roman"/>
        </w:rPr>
      </w:pPr>
    </w:p>
    <w:p w14:paraId="3092E488" w14:textId="77777777" w:rsidR="00F72C73" w:rsidRDefault="00F72C73">
      <w:pPr>
        <w:pStyle w:val="Heading1"/>
        <w:rPr>
          <w:rFonts w:ascii="Times New Roman" w:eastAsia="Times New Roman" w:hAnsi="Times New Roman"/>
        </w:rPr>
      </w:pPr>
    </w:p>
    <w:p w14:paraId="6158B91D" w14:textId="15030992" w:rsidR="00ED1461" w:rsidRPr="00C0377A" w:rsidRDefault="00C435D9">
      <w:pPr>
        <w:pStyle w:val="Heading1"/>
      </w:pPr>
      <w:r w:rsidRPr="00C0377A">
        <w:rPr>
          <w:rFonts w:ascii="Times New Roman" w:eastAsia="Times New Roman" w:hAnsi="Times New Roman"/>
        </w:rPr>
        <w:t>Abstract</w:t>
      </w:r>
    </w:p>
    <w:p w14:paraId="23C265F4" w14:textId="77777777" w:rsidR="00ED1461" w:rsidRPr="00C0377A" w:rsidRDefault="00C435D9">
      <w:pPr>
        <w:jc w:val="both"/>
      </w:pPr>
      <w:r w:rsidRPr="00C0377A">
        <w:rPr>
          <w:b/>
        </w:rPr>
        <w:t xml:space="preserve">Aims: </w:t>
      </w:r>
      <w:r w:rsidRPr="00C0377A">
        <w:t>This study examined primary school teachers’ perceptions and experiences of the 2023 curriculum reform in Tanzania, focusing on how teachers understand the reform, the challenges they face, and the strategies they use to adapt implementation in classroom practice.</w:t>
      </w:r>
    </w:p>
    <w:p w14:paraId="73CE0200" w14:textId="77777777" w:rsidR="00ED1461" w:rsidRPr="00C0377A" w:rsidRDefault="00C435D9">
      <w:pPr>
        <w:jc w:val="both"/>
      </w:pPr>
      <w:r w:rsidRPr="00C0377A">
        <w:rPr>
          <w:b/>
        </w:rPr>
        <w:t xml:space="preserve">Study Design: </w:t>
      </w:r>
      <w:r w:rsidRPr="00C0377A">
        <w:t>The study employed a qualitative case study design guided by the Concerns-Based Adoption Model (CBAM).</w:t>
      </w:r>
    </w:p>
    <w:p w14:paraId="412FBB54" w14:textId="77777777" w:rsidR="00ED1461" w:rsidRPr="00C0377A" w:rsidRDefault="00C435D9">
      <w:pPr>
        <w:jc w:val="both"/>
      </w:pPr>
      <w:r w:rsidRPr="00C0377A">
        <w:rPr>
          <w:b/>
        </w:rPr>
        <w:t xml:space="preserve">Place and Duration of Study: </w:t>
      </w:r>
      <w:r w:rsidRPr="00C0377A">
        <w:t xml:space="preserve">The study was conducted in six public primary schools in </w:t>
      </w:r>
      <w:r w:rsidR="004C1856" w:rsidRPr="00C0377A">
        <w:t xml:space="preserve">the </w:t>
      </w:r>
      <w:proofErr w:type="spellStart"/>
      <w:r w:rsidR="004C1856" w:rsidRPr="00C0377A">
        <w:t>Liwale</w:t>
      </w:r>
      <w:proofErr w:type="spellEnd"/>
      <w:r w:rsidR="004C1856" w:rsidRPr="00C0377A">
        <w:t xml:space="preserve">, </w:t>
      </w:r>
      <w:proofErr w:type="spellStart"/>
      <w:r w:rsidR="004C1856" w:rsidRPr="00C0377A">
        <w:t>Kilwa</w:t>
      </w:r>
      <w:proofErr w:type="spellEnd"/>
      <w:r w:rsidR="004C1856" w:rsidRPr="00C0377A">
        <w:t xml:space="preserve">, and </w:t>
      </w:r>
      <w:proofErr w:type="spellStart"/>
      <w:r w:rsidR="004C1856" w:rsidRPr="00C0377A">
        <w:t>Nachingwea</w:t>
      </w:r>
      <w:proofErr w:type="spellEnd"/>
      <w:r w:rsidR="004C1856" w:rsidRPr="00C0377A">
        <w:t xml:space="preserve"> districts of</w:t>
      </w:r>
      <w:r w:rsidR="00305185" w:rsidRPr="00C0377A">
        <w:t xml:space="preserve"> Lindi Region, Tanzania. </w:t>
      </w:r>
      <w:r w:rsidR="00C87D0A" w:rsidRPr="00C0377A">
        <w:t xml:space="preserve">Data were collected </w:t>
      </w:r>
      <w:r w:rsidR="00C8715F" w:rsidRPr="00C0377A">
        <w:t xml:space="preserve">for a duration of one month </w:t>
      </w:r>
      <w:r w:rsidR="00C87D0A" w:rsidRPr="00C0377A">
        <w:t xml:space="preserve">between </w:t>
      </w:r>
      <w:r w:rsidR="00C8715F" w:rsidRPr="00C0377A">
        <w:t xml:space="preserve">early </w:t>
      </w:r>
      <w:r w:rsidR="00C87D0A" w:rsidRPr="00C0377A">
        <w:t xml:space="preserve">October </w:t>
      </w:r>
      <w:r w:rsidR="00C8715F" w:rsidRPr="00C0377A">
        <w:t>and early November 2025</w:t>
      </w:r>
      <w:r w:rsidRPr="00C0377A">
        <w:t>.</w:t>
      </w:r>
    </w:p>
    <w:p w14:paraId="5F324CC5" w14:textId="77777777" w:rsidR="00ED1461" w:rsidRPr="00C0377A" w:rsidRDefault="00C435D9">
      <w:pPr>
        <w:jc w:val="both"/>
      </w:pPr>
      <w:r w:rsidRPr="00C0377A">
        <w:rPr>
          <w:b/>
        </w:rPr>
        <w:t xml:space="preserve">Methodology: </w:t>
      </w:r>
      <w:r w:rsidRPr="00C0377A">
        <w:t xml:space="preserve">Data were generated through semi-structured interviews and non-participant classroom observations involving 15 public primary school teachers. The data were </w:t>
      </w:r>
      <w:proofErr w:type="spellStart"/>
      <w:r w:rsidRPr="00C0377A">
        <w:t>analysed</w:t>
      </w:r>
      <w:proofErr w:type="spellEnd"/>
      <w:r w:rsidRPr="00C0377A">
        <w:t xml:space="preserve"> thematically through inductive coding and deductive interpretation using CBAM-informed categories.</w:t>
      </w:r>
    </w:p>
    <w:p w14:paraId="27B817CE" w14:textId="77777777" w:rsidR="00ED1461" w:rsidRPr="00C0377A" w:rsidRDefault="00C435D9">
      <w:pPr>
        <w:jc w:val="both"/>
      </w:pPr>
      <w:r w:rsidRPr="00C0377A">
        <w:rPr>
          <w:b/>
        </w:rPr>
        <w:t xml:space="preserve">Results: </w:t>
      </w:r>
      <w:r w:rsidRPr="00C0377A">
        <w:t>Teachers generally supported the reform’s emphasis on active learning, collaboration and problem solving. However, implementation was uneven because of limited in-service training, overcrowded classrooms, shortages of teaching and learning materials, and weak ICT infrastructure, especially in rural schools. Teachers responded through peer collaboration, improvised teaching aids and informal professional learning networks, including MEWAKA groups.</w:t>
      </w:r>
    </w:p>
    <w:p w14:paraId="5C760570" w14:textId="77777777" w:rsidR="00ED1461" w:rsidRPr="00C0377A" w:rsidRDefault="00C435D9">
      <w:pPr>
        <w:jc w:val="both"/>
      </w:pPr>
      <w:r w:rsidRPr="00C0377A">
        <w:rPr>
          <w:b/>
        </w:rPr>
        <w:t xml:space="preserve">Conclusion: </w:t>
      </w:r>
      <w:r w:rsidRPr="00C0377A">
        <w:t>Positive teacher attitudes alone are insufficient for successful curriculum reform implementation unless they are supported by sustained professional development, context-responsive implementation support and equitable provision of resources.</w:t>
      </w:r>
    </w:p>
    <w:p w14:paraId="36BB7E18" w14:textId="77777777" w:rsidR="00ED1461" w:rsidRPr="00C0377A" w:rsidRDefault="00C435D9">
      <w:pPr>
        <w:jc w:val="both"/>
      </w:pPr>
      <w:r w:rsidRPr="00C0377A">
        <w:rPr>
          <w:b/>
        </w:rPr>
        <w:t xml:space="preserve">Keywords: </w:t>
      </w:r>
      <w:r w:rsidRPr="00C0377A">
        <w:t>curriculum reform; competence-based curriculum; teacher perceptions; professional development; primary education; Tanzania</w:t>
      </w:r>
    </w:p>
    <w:p w14:paraId="51E1217B" w14:textId="77777777" w:rsidR="00ED1461" w:rsidRPr="00C0377A" w:rsidRDefault="00C435D9">
      <w:pPr>
        <w:pStyle w:val="Heading1"/>
      </w:pPr>
      <w:r w:rsidRPr="00C0377A">
        <w:rPr>
          <w:rFonts w:ascii="Times New Roman" w:eastAsia="Times New Roman" w:hAnsi="Times New Roman"/>
        </w:rPr>
        <w:lastRenderedPageBreak/>
        <w:t>1. Introduction</w:t>
      </w:r>
    </w:p>
    <w:p w14:paraId="44CE3F74" w14:textId="77777777" w:rsidR="00ED1461" w:rsidRPr="00C0377A" w:rsidRDefault="00C435D9">
      <w:pPr>
        <w:ind w:firstLine="360"/>
        <w:jc w:val="both"/>
      </w:pPr>
      <w:r w:rsidRPr="00C0377A">
        <w:t xml:space="preserve">Curriculum reform is widely </w:t>
      </w:r>
      <w:proofErr w:type="spellStart"/>
      <w:r w:rsidR="003C112A" w:rsidRPr="00C0377A">
        <w:t>recognised</w:t>
      </w:r>
      <w:proofErr w:type="spellEnd"/>
      <w:r w:rsidRPr="00C0377A">
        <w:t xml:space="preserve"> as a vital strategy for improving education systems by aligning learning with evolving social and cultural needs, technological change, and national and international development goals (Shek et al., 2025). In many countries, reforms have shifted attention from content coverage to competence-based learning. These changes require teachers to move away from transmission-oriented teaching and adopt more interactive methods that place learners at the </w:t>
      </w:r>
      <w:proofErr w:type="spellStart"/>
      <w:r w:rsidR="003C112A" w:rsidRPr="00C0377A">
        <w:t>centre</w:t>
      </w:r>
      <w:proofErr w:type="spellEnd"/>
      <w:r w:rsidRPr="00C0377A">
        <w:t xml:space="preserve"> of classroom activity (Shah et al., 2022; UNESCO, 2021).</w:t>
      </w:r>
    </w:p>
    <w:p w14:paraId="376521D4" w14:textId="77777777" w:rsidR="00ED1461" w:rsidRPr="00C0377A" w:rsidRDefault="00C435D9">
      <w:pPr>
        <w:ind w:firstLine="360"/>
        <w:jc w:val="both"/>
      </w:pPr>
      <w:r w:rsidRPr="00C0377A">
        <w:t>Although curriculum reform is often initiated through policy-driven structural changes, its implementation cannot be assumed to follow automatically. The literature consistently shows that reform outcomes are mediated by multiple interrelated factors, including how teachers understand and interpret new expectations, the extent to which institutions are prepared to support implementation, the contextual realities within which schools operate, and the adequacy of material and professional resources available to sustain change (</w:t>
      </w:r>
      <w:proofErr w:type="spellStart"/>
      <w:r w:rsidRPr="00C0377A">
        <w:t>Gouëdard</w:t>
      </w:r>
      <w:proofErr w:type="spellEnd"/>
      <w:r w:rsidRPr="00C0377A">
        <w:t xml:space="preserve"> et al., 2020). In line with this, studies</w:t>
      </w:r>
      <w:r w:rsidR="00EF1142" w:rsidRPr="00C0377A">
        <w:t xml:space="preserve"> by </w:t>
      </w:r>
      <w:proofErr w:type="spellStart"/>
      <w:r w:rsidR="00EF1142" w:rsidRPr="00C0377A">
        <w:t>Zamista</w:t>
      </w:r>
      <w:proofErr w:type="spellEnd"/>
      <w:r w:rsidR="00EF1142" w:rsidRPr="00C0377A">
        <w:t xml:space="preserve"> and </w:t>
      </w:r>
      <w:proofErr w:type="spellStart"/>
      <w:r w:rsidR="00EF1142" w:rsidRPr="00C0377A">
        <w:t>Deswita</w:t>
      </w:r>
      <w:proofErr w:type="spellEnd"/>
      <w:r w:rsidR="00EF1142" w:rsidRPr="00C0377A">
        <w:t xml:space="preserve"> (2023)</w:t>
      </w:r>
      <w:r w:rsidRPr="00C0377A">
        <w:t xml:space="preserve">, and Shah et al. (2022) demonstrate that teachers may express support for reform initiatives while simultaneously facing significant constraints such as limited training, insufficient resources, time pressures, and uncertainty about how to translate policy expectations into classroom practice. Historically, curriculum reform has largely been </w:t>
      </w:r>
      <w:proofErr w:type="spellStart"/>
      <w:r w:rsidRPr="00C0377A">
        <w:t>conceptualised</w:t>
      </w:r>
      <w:proofErr w:type="spellEnd"/>
      <w:r w:rsidRPr="00C0377A">
        <w:t xml:space="preserve"> from a top-down perspective, in which policy decisions drive change. However, there has been a gradual shift towards a more bottom-up orientation that </w:t>
      </w:r>
      <w:proofErr w:type="spellStart"/>
      <w:r w:rsidRPr="00C0377A">
        <w:t>recognises</w:t>
      </w:r>
      <w:proofErr w:type="spellEnd"/>
      <w:r w:rsidRPr="00C0377A">
        <w:t xml:space="preserve"> teachers as central agents in the implementation process. Despite these advances, existing literature tends to </w:t>
      </w:r>
      <w:proofErr w:type="spellStart"/>
      <w:r w:rsidRPr="00C0377A">
        <w:t>emphasise</w:t>
      </w:r>
      <w:proofErr w:type="spellEnd"/>
      <w:r w:rsidRPr="00C0377A">
        <w:t xml:space="preserve"> structural barriers, while giving comparatively less attention to the everyday strategies through which teachers adapt, improvise, and sustain reform in contexts </w:t>
      </w:r>
      <w:proofErr w:type="spellStart"/>
      <w:r w:rsidRPr="00C0377A">
        <w:t>characterised</w:t>
      </w:r>
      <w:proofErr w:type="spellEnd"/>
      <w:r w:rsidRPr="00C0377A">
        <w:t xml:space="preserve"> by uneven implementation support.</w:t>
      </w:r>
    </w:p>
    <w:p w14:paraId="3DCF8FF1" w14:textId="77777777" w:rsidR="00ED1461" w:rsidRPr="00C0377A" w:rsidRDefault="00C435D9">
      <w:pPr>
        <w:ind w:firstLine="360"/>
        <w:jc w:val="both"/>
      </w:pPr>
      <w:r w:rsidRPr="00C0377A">
        <w:t xml:space="preserve">A similar pattern is evident across African education systems, where curriculum reforms have consistently </w:t>
      </w:r>
      <w:proofErr w:type="spellStart"/>
      <w:r w:rsidRPr="00C0377A">
        <w:t>emphasised</w:t>
      </w:r>
      <w:proofErr w:type="spellEnd"/>
      <w:r w:rsidRPr="00C0377A">
        <w:t xml:space="preserve"> the importance of teacher support, access to learning materials, and opportunities for professional collaboration. </w:t>
      </w:r>
      <w:proofErr w:type="spellStart"/>
      <w:r w:rsidRPr="00C0377A">
        <w:t>Orodho</w:t>
      </w:r>
      <w:proofErr w:type="spellEnd"/>
      <w:r w:rsidRPr="00C0377A">
        <w:t xml:space="preserve"> (2014) highlights that education policy reforms in African countries have been instrumental in expanding access, promoting equity, and advancing national development, particularly through initiatives such as free primary education. However, evidence also indicates that while such reforms have significantly increased enrolment, they do not automatically translate into improved quality or equitable learning outcomes without effective implementation.</w:t>
      </w:r>
    </w:p>
    <w:p w14:paraId="5ED1E6CB" w14:textId="77777777" w:rsidR="00ED1461" w:rsidRPr="00C0377A" w:rsidRDefault="00C435D9">
      <w:pPr>
        <w:ind w:firstLine="360"/>
        <w:jc w:val="both"/>
      </w:pPr>
      <w:r w:rsidRPr="00C0377A">
        <w:lastRenderedPageBreak/>
        <w:t>In the Tanzanian context, the Education and Training Policy (ETP) underscores that the 2023 curriculum reform is intended to strengthen competence-based education and enhance the relevance of schooling (</w:t>
      </w:r>
      <w:proofErr w:type="spellStart"/>
      <w:r w:rsidRPr="00C0377A">
        <w:t>MoEST</w:t>
      </w:r>
      <w:proofErr w:type="spellEnd"/>
      <w:r w:rsidRPr="00C0377A">
        <w:t>, 2023; TIE, 2023). The reform places renewed emphasis on active learning, learner participation, practical competence, and the integration of digital skills. Nevertheless, there remains limited empirical evidence on how this reform is interpreted and enacted in primary schools beyond better-resourced urban settings, where infrastructural constraints and uneven access to professional development may significantly shape implementation. Although curriculum change has received growing attention in Tanzanian research, most empirical work has focused on secondary schools, teacher competence, or teacher education contexts (</w:t>
      </w:r>
      <w:proofErr w:type="spellStart"/>
      <w:r w:rsidRPr="00C0377A">
        <w:t>Nkya</w:t>
      </w:r>
      <w:proofErr w:type="spellEnd"/>
      <w:r w:rsidRPr="00C0377A">
        <w:t xml:space="preserve"> et al., 2021; </w:t>
      </w:r>
      <w:proofErr w:type="spellStart"/>
      <w:r w:rsidRPr="00C0377A">
        <w:t>Mpate</w:t>
      </w:r>
      <w:proofErr w:type="spellEnd"/>
      <w:r w:rsidRPr="00C0377A">
        <w:t xml:space="preserve"> et al., 2023). While </w:t>
      </w:r>
      <w:proofErr w:type="spellStart"/>
      <w:r w:rsidRPr="00C0377A">
        <w:t>Ndimbo</w:t>
      </w:r>
      <w:proofErr w:type="spellEnd"/>
      <w:r w:rsidRPr="00C0377A">
        <w:t xml:space="preserve"> and </w:t>
      </w:r>
      <w:proofErr w:type="spellStart"/>
      <w:r w:rsidRPr="00C0377A">
        <w:t>Kessy</w:t>
      </w:r>
      <w:proofErr w:type="spellEnd"/>
      <w:r w:rsidRPr="00C0377A">
        <w:t xml:space="preserve"> (2023) provide valuable insights into teachers’ instructional competences, the study is limited by its focus on a single district, which constrains the transferability of its findings. Moreover, the study appears to have been conducted in a relatively well-resourced setting, potentially masking deeper implementation challenges in more remote contexts. This underscores the need for further research that adopts a broader, multi-regional, particularly rural and logistically constrained, perspective, and examines how the 2023 curriculum reform shapes and enhances teacher competencies in classroom practice under resource-limited conditions. Less is known about how primary school teachers in under-resourced regions understand, negotiate, and enact the 2023 reform in everyday classroom practice. However, </w:t>
      </w:r>
      <w:proofErr w:type="spellStart"/>
      <w:r w:rsidRPr="00C0377A">
        <w:t>Mgaiwa</w:t>
      </w:r>
      <w:proofErr w:type="spellEnd"/>
      <w:r w:rsidRPr="00C0377A">
        <w:t xml:space="preserve"> (2018) and Mokoro (2020) identified several key issues affecting teacher education, such as the lack of specific policies for teacher education, limited opportunities for continuing professional development, the absence of an autonomous teacher regulatory body, inadequate integration of ICT, and the poor quality of candidates entering teacher education. These factors, while significant, were not examined at the classroom level where meaningful curriculum implementation and real change are expected to occur.</w:t>
      </w:r>
    </w:p>
    <w:p w14:paraId="358FD635" w14:textId="77777777" w:rsidR="00ED1461" w:rsidRPr="00C0377A" w:rsidRDefault="00C435D9">
      <w:pPr>
        <w:ind w:firstLine="360"/>
        <w:jc w:val="both"/>
      </w:pPr>
      <w:r w:rsidRPr="00C0377A">
        <w:t>This study addresses that gap by examining teachers’ perceptions, experiences, and coping strategies in Lindi Region. Its contribution is threefold. Empirically, it provides evidence from a region that is rarely foregrounded in curriculum implementation research.   Methodologically, it combines semi-structured interviews with classroom observations to compare reported experience with enacted practice. Analytically, it uses CBAM to interpret variation in teacher understanding, concern, and classroom enactment, rather than treating implementation as a simple binary of support or resistance.</w:t>
      </w:r>
    </w:p>
    <w:p w14:paraId="6A198EA3" w14:textId="77777777" w:rsidR="00ED1461" w:rsidRPr="00C0377A" w:rsidRDefault="00C435D9">
      <w:pPr>
        <w:pStyle w:val="Heading2"/>
      </w:pPr>
      <w:r w:rsidRPr="00C0377A">
        <w:rPr>
          <w:rFonts w:ascii="Times New Roman" w:eastAsia="Times New Roman" w:hAnsi="Times New Roman"/>
        </w:rPr>
        <w:lastRenderedPageBreak/>
        <w:t>1.1 Research Questions</w:t>
      </w:r>
    </w:p>
    <w:p w14:paraId="7181E5D1" w14:textId="77777777" w:rsidR="00ED1461" w:rsidRPr="00C0377A" w:rsidRDefault="00C435D9">
      <w:pPr>
        <w:ind w:firstLine="360"/>
        <w:jc w:val="both"/>
      </w:pPr>
      <w:r w:rsidRPr="00C0377A">
        <w:t>Three research questions guided the study:</w:t>
      </w:r>
    </w:p>
    <w:p w14:paraId="1F5A84A1" w14:textId="77777777" w:rsidR="00ED1461" w:rsidRPr="00C0377A" w:rsidRDefault="00C435D9">
      <w:pPr>
        <w:spacing w:after="60"/>
        <w:ind w:left="360"/>
      </w:pPr>
      <w:r w:rsidRPr="00C0377A">
        <w:t>1. How do primary school teachers in Lindi Region perceive and understand the implementation of the 2023 curriculum reform?</w:t>
      </w:r>
    </w:p>
    <w:p w14:paraId="6E9ED825" w14:textId="77777777" w:rsidR="00ED1461" w:rsidRPr="00C0377A" w:rsidRDefault="00C435D9">
      <w:pPr>
        <w:spacing w:after="60"/>
        <w:ind w:left="360"/>
      </w:pPr>
      <w:r w:rsidRPr="00C0377A">
        <w:t>2. What challenges do teachers face in implementing the reform?</w:t>
      </w:r>
    </w:p>
    <w:p w14:paraId="5ED70477" w14:textId="77777777" w:rsidR="00ED1461" w:rsidRPr="00C0377A" w:rsidRDefault="00C435D9">
      <w:pPr>
        <w:spacing w:after="60"/>
        <w:ind w:left="360"/>
      </w:pPr>
      <w:r w:rsidRPr="00C0377A">
        <w:t>3. What strategies do teachers use to cope with or adapt to these implementation challenges?</w:t>
      </w:r>
    </w:p>
    <w:p w14:paraId="79D34156" w14:textId="77777777" w:rsidR="00ED1461" w:rsidRPr="00C0377A" w:rsidRDefault="00C435D9">
      <w:pPr>
        <w:pStyle w:val="Heading1"/>
      </w:pPr>
      <w:r w:rsidRPr="00C0377A">
        <w:rPr>
          <w:rFonts w:ascii="Times New Roman" w:eastAsia="Times New Roman" w:hAnsi="Times New Roman"/>
        </w:rPr>
        <w:t>2. Literature Review</w:t>
      </w:r>
    </w:p>
    <w:p w14:paraId="387E86F7" w14:textId="77777777" w:rsidR="00ED1461" w:rsidRPr="00C0377A" w:rsidRDefault="00C435D9">
      <w:pPr>
        <w:ind w:firstLine="360"/>
        <w:jc w:val="both"/>
      </w:pPr>
      <w:r w:rsidRPr="00C0377A">
        <w:t>This section reviews empirical literature on curriculum reform implementation and outlines the theoretical framework guiding the study. It focuses on teachers’ roles in reform, current knowledge about competence-based curriculum implementation in Tanzania, the conditions that shape enactment, and the specific gap addressed by the present study.</w:t>
      </w:r>
    </w:p>
    <w:p w14:paraId="690C7BFB" w14:textId="77777777" w:rsidR="00ED1461" w:rsidRPr="00C0377A" w:rsidRDefault="00C435D9">
      <w:pPr>
        <w:pStyle w:val="Heading2"/>
      </w:pPr>
      <w:r w:rsidRPr="00C0377A">
        <w:rPr>
          <w:rFonts w:ascii="Times New Roman" w:eastAsia="Times New Roman" w:hAnsi="Times New Roman"/>
        </w:rPr>
        <w:t>2.1 Empirical Review</w:t>
      </w:r>
    </w:p>
    <w:p w14:paraId="1EFD4C9D" w14:textId="77777777" w:rsidR="00ED1461" w:rsidRPr="00C0377A" w:rsidRDefault="00C435D9">
      <w:pPr>
        <w:ind w:firstLine="360"/>
        <w:jc w:val="both"/>
      </w:pPr>
      <w:r w:rsidRPr="00C0377A">
        <w:t>Teachers are central to curriculum reform because they do not merely implement policy mechanically; rather, they interpret, mediate, and translate reform intentions into classroom practice through their beliefs, judgments, and day-to-day pedagogical decisions. For this reason, understanding curriculum implementation requires attention not only to policy design, but also to how teachers make sense of reform and respond to its demands in practice.</w:t>
      </w:r>
    </w:p>
    <w:p w14:paraId="7670E33F" w14:textId="77777777" w:rsidR="00ED1461" w:rsidRPr="00C0377A" w:rsidRDefault="00C435D9">
      <w:pPr>
        <w:ind w:firstLine="360"/>
        <w:jc w:val="both"/>
      </w:pPr>
      <w:r w:rsidRPr="00C0377A">
        <w:t>Teachers’ perceptions are a crucial factor in the implementation of any policy, as they shape classroom teaching practices. This largely depends on the extent to which teachers perceive the policy as meaningful and can respond to its demands (Fullan, 2016). Policy implementation can be understood as a process of sense-making, which is strongly influenced by teachers’ prior knowledge and beliefs (Spillane et al., 2002). Across contexts, teachers often support learner-</w:t>
      </w:r>
      <w:proofErr w:type="spellStart"/>
      <w:r w:rsidRPr="00C0377A">
        <w:t>centred</w:t>
      </w:r>
      <w:proofErr w:type="spellEnd"/>
      <w:r w:rsidRPr="00C0377A">
        <w:t xml:space="preserve"> and competence-based reforms because these approaches are associated with active learning, practical skill development, and greater learner participation. However, support for reform in principle does not necessarily imply conceptual clarity or pedagogical readiness. Studies in Tanzania indicate that teachers generally </w:t>
      </w:r>
      <w:proofErr w:type="spellStart"/>
      <w:r w:rsidRPr="00C0377A">
        <w:t>recognise</w:t>
      </w:r>
      <w:proofErr w:type="spellEnd"/>
      <w:r w:rsidRPr="00C0377A">
        <w:t xml:space="preserve"> the value of learner-</w:t>
      </w:r>
      <w:proofErr w:type="spellStart"/>
      <w:r w:rsidRPr="00C0377A">
        <w:t>centred</w:t>
      </w:r>
      <w:proofErr w:type="spellEnd"/>
      <w:r w:rsidRPr="00C0377A">
        <w:t xml:space="preserve"> teaching and competence development, yet their understanding of how these principles should be enacted in classroom practice remains uneven (</w:t>
      </w:r>
      <w:proofErr w:type="spellStart"/>
      <w:r w:rsidRPr="00C0377A">
        <w:t>Nkya</w:t>
      </w:r>
      <w:proofErr w:type="spellEnd"/>
      <w:r w:rsidRPr="00C0377A">
        <w:t xml:space="preserve"> et al., 2021; </w:t>
      </w:r>
      <w:proofErr w:type="spellStart"/>
      <w:r w:rsidRPr="00C0377A">
        <w:t>Ndimbo</w:t>
      </w:r>
      <w:proofErr w:type="spellEnd"/>
      <w:r w:rsidRPr="00C0377A">
        <w:t xml:space="preserve"> &amp; </w:t>
      </w:r>
      <w:proofErr w:type="spellStart"/>
      <w:r w:rsidRPr="00C0377A">
        <w:t>Kessy</w:t>
      </w:r>
      <w:proofErr w:type="spellEnd"/>
      <w:r w:rsidRPr="00C0377A">
        <w:t xml:space="preserve">, 2023; Nyoni, 2018). This suggests that curriculum reform may be positively perceived at the level of </w:t>
      </w:r>
      <w:r w:rsidRPr="00C0377A">
        <w:lastRenderedPageBreak/>
        <w:t>rhetoric, while remaining only partially understood at the level of pedagogical interpretation and practical application.</w:t>
      </w:r>
    </w:p>
    <w:p w14:paraId="63CADB46" w14:textId="77777777" w:rsidR="00ED1461" w:rsidRPr="00C0377A" w:rsidRDefault="00C435D9">
      <w:pPr>
        <w:ind w:firstLine="360"/>
        <w:jc w:val="both"/>
      </w:pPr>
      <w:r w:rsidRPr="00C0377A">
        <w:t>The literature consistently points to a persistent gap between policy aspirations and classroom realities. Teachers may endorse reform principles while simultaneously encountering constraints that limit their ability to enact them meaningfully.  The different literature across nations indicates that learner-</w:t>
      </w:r>
      <w:proofErr w:type="spellStart"/>
      <w:r w:rsidRPr="00C0377A">
        <w:t>centred</w:t>
      </w:r>
      <w:proofErr w:type="spellEnd"/>
      <w:r w:rsidRPr="00C0377A">
        <w:t xml:space="preserve"> and competence-based reforms often place significant demands on teachers’ pedagogical knowledge, classroom </w:t>
      </w:r>
      <w:proofErr w:type="spellStart"/>
      <w:r w:rsidRPr="00C0377A">
        <w:t>organisation</w:t>
      </w:r>
      <w:proofErr w:type="spellEnd"/>
      <w:r w:rsidRPr="00C0377A">
        <w:t xml:space="preserve">, assessment practices, and access to instructional resources (Shah et al., 2022; </w:t>
      </w:r>
      <w:proofErr w:type="spellStart"/>
      <w:r w:rsidRPr="00C0377A">
        <w:t>Zamista</w:t>
      </w:r>
      <w:proofErr w:type="spellEnd"/>
      <w:r w:rsidRPr="00C0377A">
        <w:t xml:space="preserve"> &amp; </w:t>
      </w:r>
      <w:proofErr w:type="spellStart"/>
      <w:r w:rsidRPr="00C0377A">
        <w:t>Deswita</w:t>
      </w:r>
      <w:proofErr w:type="spellEnd"/>
      <w:r w:rsidRPr="00C0377A">
        <w:t>, 2023). Where these enabling conditions are weak, implementation becomes fragmented or superficial. This pattern has been documented in Tanzania and in comparable reform settings, where teachers face obstacles such as limited in-service training, shortages of teaching and learning materials, overcrowded classrooms, and demanding working conditions (Nzima, 2016; Saware, 2021; Nyoni, 2023). These findings indicate that implementation difficulties should not be reduced to teacher resistance alone; rather, they reflect the interaction between reform demands and the structural conditions under which teachers work.</w:t>
      </w:r>
    </w:p>
    <w:p w14:paraId="784B0224" w14:textId="77777777" w:rsidR="006E1499" w:rsidRPr="00C0377A" w:rsidRDefault="00C435D9">
      <w:pPr>
        <w:ind w:firstLine="360"/>
        <w:jc w:val="both"/>
      </w:pPr>
      <w:r w:rsidRPr="00C0377A">
        <w:t>Moreover, literature shows that teachers are not passive recipients of reform but active agents who develop practical responses to institutional and material constraints. Where formal support systems are weak or inconsistent, teachers often rely on peer learning, collaborative lesson planning, and school-based professional support to interpret and manage new curriculum expectations. Such forms of professional collaboration can serve as an important bridge between policy and practice, particularly in contexts where official training is limited or unevenly distributed (</w:t>
      </w:r>
      <w:proofErr w:type="spellStart"/>
      <w:r w:rsidRPr="00C0377A">
        <w:t>Nkya</w:t>
      </w:r>
      <w:proofErr w:type="spellEnd"/>
      <w:r w:rsidRPr="00C0377A">
        <w:t xml:space="preserve"> et al., 2021; </w:t>
      </w:r>
      <w:proofErr w:type="spellStart"/>
      <w:r w:rsidRPr="00C0377A">
        <w:t>Mpate</w:t>
      </w:r>
      <w:proofErr w:type="spellEnd"/>
      <w:r w:rsidRPr="00C0377A">
        <w:t xml:space="preserve"> e</w:t>
      </w:r>
      <w:r w:rsidR="006E1499" w:rsidRPr="00C0377A">
        <w:t>t al., 2023</w:t>
      </w:r>
    </w:p>
    <w:p w14:paraId="709E06A0" w14:textId="77777777" w:rsidR="00ED1461" w:rsidRPr="00C0377A" w:rsidRDefault="00C435D9">
      <w:pPr>
        <w:ind w:firstLine="360"/>
        <w:jc w:val="both"/>
      </w:pPr>
      <w:r w:rsidRPr="00C0377A">
        <w:t>). In under-resourced Tanzanian settings, these collabora</w:t>
      </w:r>
      <w:r w:rsidR="0026594B" w:rsidRPr="00C0377A">
        <w:t>tive practices may be</w:t>
      </w:r>
      <w:r w:rsidRPr="00C0377A">
        <w:t xml:space="preserve"> significant because differences in infrastructure, class size, and access to teaching materials can strongly shape teachers’ capacity to implement reform. However, although the literature acknowledges the importance of collaboration and adaptation, it has given comparatively less attention to the everyday strategies through which teachers improvise, negotiate, and sustain reform under difficult implementation conditions.</w:t>
      </w:r>
    </w:p>
    <w:p w14:paraId="79712986" w14:textId="77777777" w:rsidR="00ED1461" w:rsidRPr="00C0377A" w:rsidRDefault="00C435D9">
      <w:pPr>
        <w:ind w:firstLine="360"/>
        <w:jc w:val="both"/>
      </w:pPr>
      <w:r w:rsidRPr="00C0377A">
        <w:t xml:space="preserve">Overall, the literature demonstrates that curriculum reform is shaped by three closely related dimensions: how teachers understand reform, the challenges they face in enacting it, and the strategies they use to cope with those challenges. However, despite growing scholarship on competence-based curriculum implementation in Tanzania, there is still limited evidence on </w:t>
      </w:r>
      <w:r w:rsidRPr="00C0377A">
        <w:lastRenderedPageBreak/>
        <w:t>how primary school teachers in under-resourced regions experience and enact the 2023 curriculum reform in their daily classroom practice. Most existing studies focus on secondary education, general implementation barriers, or teacher competence in broad terms, with less attention to the lived experiences of primary school teachers in marginal contexts. The present study addresses this gap by focusing on primary teachers in Lindi Region and by combining interview and observation data to examine not only what teachers say about the reform, but also how they interpret and enact it in practice.</w:t>
      </w:r>
    </w:p>
    <w:p w14:paraId="0552EE32" w14:textId="77777777" w:rsidR="00ED1461" w:rsidRPr="00C0377A" w:rsidRDefault="00C435D9">
      <w:pPr>
        <w:pStyle w:val="Heading2"/>
      </w:pPr>
      <w:r w:rsidRPr="00C0377A">
        <w:rPr>
          <w:rFonts w:ascii="Times New Roman" w:eastAsia="Times New Roman" w:hAnsi="Times New Roman"/>
        </w:rPr>
        <w:t>2.2 Theoretical Framework</w:t>
      </w:r>
    </w:p>
    <w:p w14:paraId="5988B906" w14:textId="77777777" w:rsidR="00ED1461" w:rsidRPr="00C0377A" w:rsidRDefault="00C435D9">
      <w:pPr>
        <w:ind w:firstLine="360"/>
        <w:jc w:val="both"/>
      </w:pPr>
      <w:r w:rsidRPr="00C0377A">
        <w:t xml:space="preserve">This study is guided by the Concerns-Based Adoption Model (CBAM), developed by Hall and Hord (1987). CBAM is appropriate because it treats implementation as a developmental process rather than a simple matter of acceptance or rejection. This orientation is useful for curriculum reform research because teachers often differ in how they understand an innovation, the concerns they express about it, and the extent to which they enact it in practice. Two CBAM dimensions are especially relevant. The first is Stages of Concern (SoC), which captures how individuals think about and experience an innovation, ranging from awareness and information to management, collaboration, and refocusing. The second is Levels of Use, </w:t>
      </w:r>
      <w:proofErr w:type="spellStart"/>
      <w:r w:rsidRPr="00C0377A">
        <w:t>LoU</w:t>
      </w:r>
      <w:proofErr w:type="spellEnd"/>
      <w:r w:rsidRPr="00C0377A">
        <w:t xml:space="preserve">, which describes </w:t>
      </w:r>
      <w:proofErr w:type="spellStart"/>
      <w:r w:rsidRPr="00C0377A">
        <w:t>behavioural</w:t>
      </w:r>
      <w:proofErr w:type="spellEnd"/>
      <w:r w:rsidRPr="00C0377A">
        <w:t xml:space="preserve"> engagement, from non-use and orientation to routine use, refinement, integration, and renewal.</w:t>
      </w:r>
    </w:p>
    <w:p w14:paraId="6D2EF23E" w14:textId="77777777" w:rsidR="00ED1461" w:rsidRPr="00C0377A" w:rsidRDefault="00C435D9">
      <w:pPr>
        <w:ind w:firstLine="360"/>
        <w:jc w:val="both"/>
      </w:pPr>
      <w:r w:rsidRPr="00C0377A">
        <w:t xml:space="preserve">CBAM is used here as an interpretive framework rather than a rigid classification tool. It helps the study </w:t>
      </w:r>
      <w:proofErr w:type="spellStart"/>
      <w:r w:rsidRPr="00C0377A">
        <w:t>analyse</w:t>
      </w:r>
      <w:proofErr w:type="spellEnd"/>
      <w:r w:rsidRPr="00C0377A">
        <w:t xml:space="preserve"> variation in teachers’ readiness, concerns, and classroom enactment, while also </w:t>
      </w:r>
      <w:proofErr w:type="spellStart"/>
      <w:r w:rsidRPr="00C0377A">
        <w:t>recognising</w:t>
      </w:r>
      <w:proofErr w:type="spellEnd"/>
      <w:r w:rsidRPr="00C0377A">
        <w:t xml:space="preserve"> that implementation is shaped by training, support, and local conditions. In the context of Lindi Region, where schools face uneven access to resources and professional support, CBAM provides a useful lens for understanding why reform uptake appears uneven across teachers and schools.</w:t>
      </w:r>
    </w:p>
    <w:p w14:paraId="3D103746" w14:textId="77777777" w:rsidR="00ED1461" w:rsidRPr="00C0377A" w:rsidRDefault="00C435D9">
      <w:pPr>
        <w:pStyle w:val="Heading1"/>
      </w:pPr>
      <w:r w:rsidRPr="00C0377A">
        <w:rPr>
          <w:rFonts w:ascii="Times New Roman" w:eastAsia="Times New Roman" w:hAnsi="Times New Roman"/>
        </w:rPr>
        <w:t>3. Methodology</w:t>
      </w:r>
    </w:p>
    <w:p w14:paraId="322550EC" w14:textId="77777777" w:rsidR="00ED1461" w:rsidRPr="00C0377A" w:rsidRDefault="00C435D9">
      <w:pPr>
        <w:pStyle w:val="Heading2"/>
      </w:pPr>
      <w:r w:rsidRPr="00C0377A">
        <w:rPr>
          <w:rFonts w:ascii="Times New Roman" w:eastAsia="Times New Roman" w:hAnsi="Times New Roman"/>
        </w:rPr>
        <w:t>3.1 Research Design and Context</w:t>
      </w:r>
    </w:p>
    <w:p w14:paraId="5C9E3511" w14:textId="77777777" w:rsidR="00ED1461" w:rsidRPr="00C0377A" w:rsidRDefault="00C435D9">
      <w:pPr>
        <w:ind w:firstLine="360"/>
        <w:jc w:val="both"/>
      </w:pPr>
      <w:r w:rsidRPr="00C0377A">
        <w:t>This study employed a qualitative case study design to explore teachers’ experiences, perceptions, and classroom realities in depth. A qualitative case study was appropriate because the aim was to understand how the 2023 curriculum reform was interpreted and implemented within a bounded educational context, rather than to measure implementation through large-</w:t>
      </w:r>
      <w:r w:rsidRPr="00C0377A">
        <w:lastRenderedPageBreak/>
        <w:t>scale survey methods (Yin, 2009). The design allowed close attention to teachers’ lived experiences, school conditions, and district-level variation.</w:t>
      </w:r>
    </w:p>
    <w:p w14:paraId="3C66A405" w14:textId="77777777" w:rsidR="00ED1461" w:rsidRPr="00C0377A" w:rsidRDefault="00C435D9">
      <w:pPr>
        <w:ind w:firstLine="360"/>
        <w:jc w:val="both"/>
      </w:pPr>
      <w:r w:rsidRPr="00C0377A">
        <w:t xml:space="preserve">Lindi Region was selected purposively as an information-rich case for examining curriculum implementation under constrained conditions. The region includes rural and semi-urban districts, limited educational resources, weak ICT infrastructure, and uneven access to professional development opportunities. These characteristics made it a useful setting for understanding how the reform is experienced beyond better-resourced urban </w:t>
      </w:r>
      <w:proofErr w:type="spellStart"/>
      <w:r w:rsidRPr="00C0377A">
        <w:t>centres</w:t>
      </w:r>
      <w:proofErr w:type="spellEnd"/>
      <w:r w:rsidRPr="00C0377A">
        <w:t>. The case was not intended to be statistically representative of Tanzania. Instead, it was selected to generate contextually grounded insight into implementation in under-resourced primary school settings.</w:t>
      </w:r>
    </w:p>
    <w:p w14:paraId="48AF1B4C" w14:textId="77777777" w:rsidR="00ED1461" w:rsidRPr="00C0377A" w:rsidRDefault="00C435D9">
      <w:pPr>
        <w:ind w:firstLine="360"/>
        <w:jc w:val="both"/>
      </w:pPr>
      <w:r w:rsidRPr="00C0377A">
        <w:t xml:space="preserve">Three districts were included in the study: </w:t>
      </w:r>
      <w:proofErr w:type="spellStart"/>
      <w:r w:rsidRPr="00C0377A">
        <w:t>Liwale</w:t>
      </w:r>
      <w:proofErr w:type="spellEnd"/>
      <w:r w:rsidRPr="00C0377A">
        <w:t xml:space="preserve">, </w:t>
      </w:r>
      <w:proofErr w:type="spellStart"/>
      <w:r w:rsidRPr="00C0377A">
        <w:t>Kilwa</w:t>
      </w:r>
      <w:proofErr w:type="spellEnd"/>
      <w:r w:rsidRPr="00C0377A">
        <w:t xml:space="preserve">, and </w:t>
      </w:r>
      <w:proofErr w:type="spellStart"/>
      <w:r w:rsidRPr="00C0377A">
        <w:t>Nachingwea</w:t>
      </w:r>
      <w:proofErr w:type="spellEnd"/>
      <w:r w:rsidRPr="00C0377A">
        <w:t xml:space="preserve">. These districts were selected to reflect variation in geographical setting, school context, and access to curriculum-related support. Within these districts, six public primary schools were purposively identified in consultation with district education offices and school leadership. The selection was guided by the study’s aim of examining teachers’ perceptions of the 2023 curriculum reform in depth, to generate rich, contextually grounded data rather than broad findings intended for statistical </w:t>
      </w:r>
      <w:proofErr w:type="spellStart"/>
      <w:r w:rsidR="003C112A" w:rsidRPr="00C0377A">
        <w:t>generalisation</w:t>
      </w:r>
      <w:proofErr w:type="spellEnd"/>
      <w:r w:rsidRPr="00C0377A">
        <w:t>. Attention was also given to variation in rural and semi-urban locations, teacher experience, and access to collaborative support structures such as MEWAKA groups. Practical considerations, including manageability and logistical feasibility, also informed the final selection of schools.</w:t>
      </w:r>
    </w:p>
    <w:p w14:paraId="00B71764" w14:textId="77777777" w:rsidR="00ED1461" w:rsidRPr="00C0377A" w:rsidRDefault="00C435D9">
      <w:pPr>
        <w:ind w:firstLine="360"/>
        <w:jc w:val="both"/>
      </w:pPr>
      <w:r w:rsidRPr="00C0377A">
        <w:t xml:space="preserve">The researcher’s positionality was considered throughout the study. Because qualitative inquiry relies on interaction, interpretation, and judgement, the researcher </w:t>
      </w:r>
      <w:proofErr w:type="spellStart"/>
      <w:r w:rsidRPr="00C0377A">
        <w:t>recognised</w:t>
      </w:r>
      <w:proofErr w:type="spellEnd"/>
      <w:r w:rsidRPr="00C0377A">
        <w:t xml:space="preserve"> that prior assumptions about curriculum reform and teacher challenges could influence data collection and analysis. To reduce this risk, interview questions were kept open-ended, field notes distinguished observation from interpretation, and analytic decisions were documented throughout the study.</w:t>
      </w:r>
    </w:p>
    <w:p w14:paraId="0B091692" w14:textId="77777777" w:rsidR="00ED1461" w:rsidRPr="00C0377A" w:rsidRDefault="00C435D9">
      <w:pPr>
        <w:pStyle w:val="Heading2"/>
      </w:pPr>
      <w:r w:rsidRPr="00C0377A">
        <w:rPr>
          <w:rFonts w:ascii="Times New Roman" w:eastAsia="Times New Roman" w:hAnsi="Times New Roman"/>
        </w:rPr>
        <w:t>3.2 Participants and Sampling</w:t>
      </w:r>
    </w:p>
    <w:p w14:paraId="76B39E34" w14:textId="77777777" w:rsidR="00ED1461" w:rsidRPr="00C0377A" w:rsidRDefault="00C435D9">
      <w:pPr>
        <w:ind w:firstLine="360"/>
        <w:jc w:val="both"/>
      </w:pPr>
      <w:r w:rsidRPr="00C0377A">
        <w:t xml:space="preserve">The participants were 15 public primary school teachers drawn from the six selected schools across </w:t>
      </w:r>
      <w:proofErr w:type="spellStart"/>
      <w:r w:rsidRPr="00C0377A">
        <w:t>Liwale</w:t>
      </w:r>
      <w:proofErr w:type="spellEnd"/>
      <w:r w:rsidRPr="00C0377A">
        <w:t xml:space="preserve">, </w:t>
      </w:r>
      <w:proofErr w:type="spellStart"/>
      <w:r w:rsidRPr="00C0377A">
        <w:t>Kilwa</w:t>
      </w:r>
      <w:proofErr w:type="spellEnd"/>
      <w:r w:rsidRPr="00C0377A">
        <w:t xml:space="preserve">, and </w:t>
      </w:r>
      <w:proofErr w:type="spellStart"/>
      <w:r w:rsidRPr="00C0377A">
        <w:t>Nachingwea</w:t>
      </w:r>
      <w:proofErr w:type="spellEnd"/>
      <w:r w:rsidRPr="00C0377A">
        <w:t xml:space="preserve"> districts. Purposive sampling was used to capture variation in teaching experience, qualification level, district context, and exposure to curriculum-related support. Eligibility criteria included at least 1 year of experience with the </w:t>
      </w:r>
      <w:r w:rsidRPr="00C0377A">
        <w:lastRenderedPageBreak/>
        <w:t>current curriculum, a minimum of 3 years of overall teaching experience, and a willingness to discuss classroom practice in depth.</w:t>
      </w:r>
    </w:p>
    <w:p w14:paraId="63C91AF3" w14:textId="77777777" w:rsidR="00ED1461" w:rsidRPr="00C0377A" w:rsidRDefault="00C435D9">
      <w:pPr>
        <w:ind w:firstLine="360"/>
        <w:jc w:val="both"/>
      </w:pPr>
      <w:r w:rsidRPr="00C0377A">
        <w:t>Teachers were approached through school leadership after obtaining permission from the relevant district and school authorities. The researcher explained the study's purpose to potential participants and invited those who met the criteria to participate voluntarily. Sampling was iterative rather than fixed from the outset. Initial participants were selected to ensure variation across schools and districts, and later selection was guided by the need to capture a wider range of perspectives on reform implementation.</w:t>
      </w:r>
    </w:p>
    <w:p w14:paraId="351BCDA5" w14:textId="77777777" w:rsidR="00ED1461" w:rsidRPr="00C0377A" w:rsidRDefault="00C435D9">
      <w:pPr>
        <w:ind w:firstLine="360"/>
        <w:jc w:val="both"/>
      </w:pPr>
      <w:r w:rsidRPr="00C0377A">
        <w:t xml:space="preserve">The sample included 10 male teachers (66.7 per cent) and 5 female teachers (33.3 per cent). Five held certificate qualifications, 33.3 per cent, seven held diplomas, 46.7 per cent, and three held bachelor’s degrees, 20.0 per cent. By district, six participants were from </w:t>
      </w:r>
      <w:proofErr w:type="spellStart"/>
      <w:r w:rsidRPr="00C0377A">
        <w:t>Liwale</w:t>
      </w:r>
      <w:proofErr w:type="spellEnd"/>
      <w:r w:rsidRPr="00C0377A">
        <w:t xml:space="preserve"> (40.0 per cent), five from Kilwa (33.3 per cent), and four from </w:t>
      </w:r>
      <w:proofErr w:type="spellStart"/>
      <w:r w:rsidRPr="00C0377A">
        <w:t>Nachingwea</w:t>
      </w:r>
      <w:proofErr w:type="spellEnd"/>
      <w:r w:rsidRPr="00C0377A">
        <w:t xml:space="preserve"> (26.7 per cent). Thirteen teachers reported participation in MEWAKA or a similar collaborative support group, while two reported no such participation.</w:t>
      </w:r>
    </w:p>
    <w:p w14:paraId="06AD05F7" w14:textId="77777777" w:rsidR="00ED1461" w:rsidRPr="00C0377A" w:rsidRDefault="00C435D9">
      <w:pPr>
        <w:ind w:firstLine="360"/>
        <w:jc w:val="both"/>
      </w:pPr>
      <w:r w:rsidRPr="00C0377A">
        <w:t>Sampling, data collection, and preliminary analysis proceeded concurrently until thematic redundancy was reached. In this study, thematic redundancy was considered achieved when subsequent interviews and classroom observations ceased to yield substantively new categories relevant to the research questions. Instead, additional data largely reinforced patterns already identified regarding teachers’ understanding of the reform, training experiences, classroom practice, implementation challenges, and coping strategies. This determination was made through continuous comparison of interview transcripts, observation notes, and emerging codes during the analytic process. By the later stages of data collection, newly gathered data largely confirmed and deepened existing themes rather than generating new analytic insights.</w:t>
      </w:r>
    </w:p>
    <w:p w14:paraId="36CA9219" w14:textId="77777777" w:rsidR="00ED1461" w:rsidRPr="00C0377A" w:rsidRDefault="00C435D9">
      <w:pPr>
        <w:spacing w:after="60" w:line="240" w:lineRule="auto"/>
      </w:pPr>
      <w:r w:rsidRPr="00C0377A">
        <w:rPr>
          <w:b/>
          <w:sz w:val="22"/>
        </w:rPr>
        <w:t>TABLE 1. SAMPLE CHARACTERISTICS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06"/>
        <w:gridCol w:w="3005"/>
      </w:tblGrid>
      <w:tr w:rsidR="00ED1461" w:rsidRPr="00C0377A" w14:paraId="5C89E1AC" w14:textId="77777777">
        <w:trPr>
          <w:jc w:val="center"/>
        </w:trPr>
        <w:tc>
          <w:tcPr>
            <w:tcW w:w="3009" w:type="dxa"/>
            <w:tcMar>
              <w:top w:w="60" w:type="dxa"/>
              <w:left w:w="60" w:type="dxa"/>
              <w:bottom w:w="60" w:type="dxa"/>
              <w:right w:w="60" w:type="dxa"/>
            </w:tcMar>
          </w:tcPr>
          <w:p w14:paraId="145399DC" w14:textId="77777777" w:rsidR="00ED1461" w:rsidRPr="00C0377A" w:rsidRDefault="00C435D9">
            <w:pPr>
              <w:spacing w:after="0" w:line="240" w:lineRule="auto"/>
            </w:pPr>
            <w:r w:rsidRPr="00C0377A">
              <w:rPr>
                <w:b/>
                <w:sz w:val="18"/>
              </w:rPr>
              <w:t>Variable</w:t>
            </w:r>
          </w:p>
        </w:tc>
        <w:tc>
          <w:tcPr>
            <w:tcW w:w="3009" w:type="dxa"/>
            <w:tcMar>
              <w:top w:w="60" w:type="dxa"/>
              <w:left w:w="60" w:type="dxa"/>
              <w:bottom w:w="60" w:type="dxa"/>
              <w:right w:w="60" w:type="dxa"/>
            </w:tcMar>
          </w:tcPr>
          <w:p w14:paraId="6642390D" w14:textId="77777777" w:rsidR="00ED1461" w:rsidRPr="00C0377A" w:rsidRDefault="00C435D9">
            <w:pPr>
              <w:spacing w:after="0" w:line="240" w:lineRule="auto"/>
            </w:pPr>
            <w:r w:rsidRPr="00C0377A">
              <w:rPr>
                <w:b/>
                <w:sz w:val="18"/>
              </w:rPr>
              <w:t>Category</w:t>
            </w:r>
          </w:p>
        </w:tc>
        <w:tc>
          <w:tcPr>
            <w:tcW w:w="3009" w:type="dxa"/>
            <w:tcMar>
              <w:top w:w="60" w:type="dxa"/>
              <w:left w:w="60" w:type="dxa"/>
              <w:bottom w:w="60" w:type="dxa"/>
              <w:right w:w="60" w:type="dxa"/>
            </w:tcMar>
          </w:tcPr>
          <w:p w14:paraId="1593A767" w14:textId="77777777" w:rsidR="00ED1461" w:rsidRPr="00C0377A" w:rsidRDefault="00C435D9">
            <w:pPr>
              <w:spacing w:after="0" w:line="240" w:lineRule="auto"/>
            </w:pPr>
            <w:r w:rsidRPr="00C0377A">
              <w:rPr>
                <w:b/>
                <w:sz w:val="18"/>
              </w:rPr>
              <w:t>n (%)</w:t>
            </w:r>
          </w:p>
        </w:tc>
      </w:tr>
      <w:tr w:rsidR="00ED1461" w:rsidRPr="00C0377A" w14:paraId="1BAAA312" w14:textId="77777777">
        <w:trPr>
          <w:jc w:val="center"/>
        </w:trPr>
        <w:tc>
          <w:tcPr>
            <w:tcW w:w="3009" w:type="dxa"/>
            <w:tcMar>
              <w:top w:w="60" w:type="dxa"/>
              <w:left w:w="60" w:type="dxa"/>
              <w:bottom w:w="60" w:type="dxa"/>
              <w:right w:w="60" w:type="dxa"/>
            </w:tcMar>
          </w:tcPr>
          <w:p w14:paraId="30A379B9" w14:textId="77777777" w:rsidR="00ED1461" w:rsidRPr="00C0377A" w:rsidRDefault="00C435D9">
            <w:pPr>
              <w:spacing w:after="0" w:line="240" w:lineRule="auto"/>
            </w:pPr>
            <w:r w:rsidRPr="00C0377A">
              <w:rPr>
                <w:sz w:val="18"/>
              </w:rPr>
              <w:t>Gender</w:t>
            </w:r>
          </w:p>
        </w:tc>
        <w:tc>
          <w:tcPr>
            <w:tcW w:w="3009" w:type="dxa"/>
            <w:tcMar>
              <w:top w:w="60" w:type="dxa"/>
              <w:left w:w="60" w:type="dxa"/>
              <w:bottom w:w="60" w:type="dxa"/>
              <w:right w:w="60" w:type="dxa"/>
            </w:tcMar>
          </w:tcPr>
          <w:p w14:paraId="0A8179D0" w14:textId="77777777" w:rsidR="00ED1461" w:rsidRPr="00C0377A" w:rsidRDefault="00C435D9">
            <w:pPr>
              <w:spacing w:after="0" w:line="240" w:lineRule="auto"/>
            </w:pPr>
            <w:r w:rsidRPr="00C0377A">
              <w:rPr>
                <w:sz w:val="18"/>
              </w:rPr>
              <w:t>Male</w:t>
            </w:r>
          </w:p>
        </w:tc>
        <w:tc>
          <w:tcPr>
            <w:tcW w:w="3009" w:type="dxa"/>
            <w:tcMar>
              <w:top w:w="60" w:type="dxa"/>
              <w:left w:w="60" w:type="dxa"/>
              <w:bottom w:w="60" w:type="dxa"/>
              <w:right w:w="60" w:type="dxa"/>
            </w:tcMar>
          </w:tcPr>
          <w:p w14:paraId="242ADE9B" w14:textId="77777777" w:rsidR="00ED1461" w:rsidRPr="00C0377A" w:rsidRDefault="00C435D9">
            <w:pPr>
              <w:spacing w:after="0" w:line="240" w:lineRule="auto"/>
            </w:pPr>
            <w:r w:rsidRPr="00C0377A">
              <w:rPr>
                <w:sz w:val="18"/>
              </w:rPr>
              <w:t>10 (66.7)</w:t>
            </w:r>
          </w:p>
        </w:tc>
      </w:tr>
      <w:tr w:rsidR="00ED1461" w:rsidRPr="00C0377A" w14:paraId="55DB53F1" w14:textId="77777777">
        <w:trPr>
          <w:jc w:val="center"/>
        </w:trPr>
        <w:tc>
          <w:tcPr>
            <w:tcW w:w="3009" w:type="dxa"/>
            <w:tcMar>
              <w:top w:w="60" w:type="dxa"/>
              <w:left w:w="60" w:type="dxa"/>
              <w:bottom w:w="60" w:type="dxa"/>
              <w:right w:w="60" w:type="dxa"/>
            </w:tcMar>
          </w:tcPr>
          <w:p w14:paraId="7C3EBD4E" w14:textId="77777777" w:rsidR="00ED1461" w:rsidRPr="00C0377A" w:rsidRDefault="00ED1461">
            <w:pPr>
              <w:spacing w:after="0" w:line="240" w:lineRule="auto"/>
            </w:pPr>
          </w:p>
        </w:tc>
        <w:tc>
          <w:tcPr>
            <w:tcW w:w="3009" w:type="dxa"/>
            <w:tcMar>
              <w:top w:w="60" w:type="dxa"/>
              <w:left w:w="60" w:type="dxa"/>
              <w:bottom w:w="60" w:type="dxa"/>
              <w:right w:w="60" w:type="dxa"/>
            </w:tcMar>
          </w:tcPr>
          <w:p w14:paraId="0DF15C64" w14:textId="77777777" w:rsidR="00ED1461" w:rsidRPr="00C0377A" w:rsidRDefault="00C435D9">
            <w:pPr>
              <w:spacing w:after="0" w:line="240" w:lineRule="auto"/>
            </w:pPr>
            <w:r w:rsidRPr="00C0377A">
              <w:rPr>
                <w:sz w:val="18"/>
              </w:rPr>
              <w:t>Female</w:t>
            </w:r>
          </w:p>
        </w:tc>
        <w:tc>
          <w:tcPr>
            <w:tcW w:w="3009" w:type="dxa"/>
            <w:tcMar>
              <w:top w:w="60" w:type="dxa"/>
              <w:left w:w="60" w:type="dxa"/>
              <w:bottom w:w="60" w:type="dxa"/>
              <w:right w:w="60" w:type="dxa"/>
            </w:tcMar>
          </w:tcPr>
          <w:p w14:paraId="7F720FF6" w14:textId="77777777" w:rsidR="00ED1461" w:rsidRPr="00C0377A" w:rsidRDefault="00C435D9">
            <w:pPr>
              <w:spacing w:after="0" w:line="240" w:lineRule="auto"/>
            </w:pPr>
            <w:r w:rsidRPr="00C0377A">
              <w:rPr>
                <w:sz w:val="18"/>
              </w:rPr>
              <w:t>5 (33.3)</w:t>
            </w:r>
          </w:p>
        </w:tc>
      </w:tr>
      <w:tr w:rsidR="00ED1461" w:rsidRPr="00C0377A" w14:paraId="2B51AF80" w14:textId="77777777">
        <w:trPr>
          <w:jc w:val="center"/>
        </w:trPr>
        <w:tc>
          <w:tcPr>
            <w:tcW w:w="3009" w:type="dxa"/>
            <w:tcMar>
              <w:top w:w="60" w:type="dxa"/>
              <w:left w:w="60" w:type="dxa"/>
              <w:bottom w:w="60" w:type="dxa"/>
              <w:right w:w="60" w:type="dxa"/>
            </w:tcMar>
          </w:tcPr>
          <w:p w14:paraId="5A301CE4" w14:textId="77777777" w:rsidR="00ED1461" w:rsidRPr="00C0377A" w:rsidRDefault="00C435D9">
            <w:pPr>
              <w:spacing w:after="0" w:line="240" w:lineRule="auto"/>
            </w:pPr>
            <w:r w:rsidRPr="00C0377A">
              <w:rPr>
                <w:sz w:val="18"/>
              </w:rPr>
              <w:t>Qualification</w:t>
            </w:r>
          </w:p>
        </w:tc>
        <w:tc>
          <w:tcPr>
            <w:tcW w:w="3009" w:type="dxa"/>
            <w:tcMar>
              <w:top w:w="60" w:type="dxa"/>
              <w:left w:w="60" w:type="dxa"/>
              <w:bottom w:w="60" w:type="dxa"/>
              <w:right w:w="60" w:type="dxa"/>
            </w:tcMar>
          </w:tcPr>
          <w:p w14:paraId="02D13697" w14:textId="77777777" w:rsidR="00ED1461" w:rsidRPr="00C0377A" w:rsidRDefault="00C435D9">
            <w:pPr>
              <w:spacing w:after="0" w:line="240" w:lineRule="auto"/>
            </w:pPr>
            <w:r w:rsidRPr="00C0377A">
              <w:rPr>
                <w:sz w:val="18"/>
              </w:rPr>
              <w:t>Certificate</w:t>
            </w:r>
          </w:p>
        </w:tc>
        <w:tc>
          <w:tcPr>
            <w:tcW w:w="3009" w:type="dxa"/>
            <w:tcMar>
              <w:top w:w="60" w:type="dxa"/>
              <w:left w:w="60" w:type="dxa"/>
              <w:bottom w:w="60" w:type="dxa"/>
              <w:right w:w="60" w:type="dxa"/>
            </w:tcMar>
          </w:tcPr>
          <w:p w14:paraId="2F27F794" w14:textId="77777777" w:rsidR="00ED1461" w:rsidRPr="00C0377A" w:rsidRDefault="00C435D9">
            <w:pPr>
              <w:spacing w:after="0" w:line="240" w:lineRule="auto"/>
            </w:pPr>
            <w:r w:rsidRPr="00C0377A">
              <w:rPr>
                <w:sz w:val="18"/>
              </w:rPr>
              <w:t>5 (33.3)</w:t>
            </w:r>
          </w:p>
        </w:tc>
      </w:tr>
      <w:tr w:rsidR="00ED1461" w:rsidRPr="00C0377A" w14:paraId="66911344" w14:textId="77777777">
        <w:trPr>
          <w:jc w:val="center"/>
        </w:trPr>
        <w:tc>
          <w:tcPr>
            <w:tcW w:w="3009" w:type="dxa"/>
            <w:tcMar>
              <w:top w:w="60" w:type="dxa"/>
              <w:left w:w="60" w:type="dxa"/>
              <w:bottom w:w="60" w:type="dxa"/>
              <w:right w:w="60" w:type="dxa"/>
            </w:tcMar>
          </w:tcPr>
          <w:p w14:paraId="77C69DF5" w14:textId="77777777" w:rsidR="00ED1461" w:rsidRPr="00C0377A" w:rsidRDefault="00ED1461">
            <w:pPr>
              <w:spacing w:after="0" w:line="240" w:lineRule="auto"/>
            </w:pPr>
          </w:p>
        </w:tc>
        <w:tc>
          <w:tcPr>
            <w:tcW w:w="3009" w:type="dxa"/>
            <w:tcMar>
              <w:top w:w="60" w:type="dxa"/>
              <w:left w:w="60" w:type="dxa"/>
              <w:bottom w:w="60" w:type="dxa"/>
              <w:right w:w="60" w:type="dxa"/>
            </w:tcMar>
          </w:tcPr>
          <w:p w14:paraId="19A6C5C1" w14:textId="77777777" w:rsidR="00ED1461" w:rsidRPr="00C0377A" w:rsidRDefault="00C435D9">
            <w:pPr>
              <w:spacing w:after="0" w:line="240" w:lineRule="auto"/>
            </w:pPr>
            <w:r w:rsidRPr="00C0377A">
              <w:rPr>
                <w:sz w:val="18"/>
              </w:rPr>
              <w:t>Diploma</w:t>
            </w:r>
          </w:p>
        </w:tc>
        <w:tc>
          <w:tcPr>
            <w:tcW w:w="3009" w:type="dxa"/>
            <w:tcMar>
              <w:top w:w="60" w:type="dxa"/>
              <w:left w:w="60" w:type="dxa"/>
              <w:bottom w:w="60" w:type="dxa"/>
              <w:right w:w="60" w:type="dxa"/>
            </w:tcMar>
          </w:tcPr>
          <w:p w14:paraId="2DFD396F" w14:textId="77777777" w:rsidR="00ED1461" w:rsidRPr="00C0377A" w:rsidRDefault="00C435D9">
            <w:pPr>
              <w:spacing w:after="0" w:line="240" w:lineRule="auto"/>
            </w:pPr>
            <w:r w:rsidRPr="00C0377A">
              <w:rPr>
                <w:sz w:val="18"/>
              </w:rPr>
              <w:t>7 (46.7)</w:t>
            </w:r>
          </w:p>
        </w:tc>
      </w:tr>
      <w:tr w:rsidR="00ED1461" w:rsidRPr="00C0377A" w14:paraId="1D35ABC3" w14:textId="77777777">
        <w:trPr>
          <w:jc w:val="center"/>
        </w:trPr>
        <w:tc>
          <w:tcPr>
            <w:tcW w:w="3009" w:type="dxa"/>
            <w:tcMar>
              <w:top w:w="60" w:type="dxa"/>
              <w:left w:w="60" w:type="dxa"/>
              <w:bottom w:w="60" w:type="dxa"/>
              <w:right w:w="60" w:type="dxa"/>
            </w:tcMar>
          </w:tcPr>
          <w:p w14:paraId="669CFD87" w14:textId="77777777" w:rsidR="00ED1461" w:rsidRPr="00C0377A" w:rsidRDefault="00ED1461">
            <w:pPr>
              <w:spacing w:after="0" w:line="240" w:lineRule="auto"/>
            </w:pPr>
          </w:p>
        </w:tc>
        <w:tc>
          <w:tcPr>
            <w:tcW w:w="3009" w:type="dxa"/>
            <w:tcMar>
              <w:top w:w="60" w:type="dxa"/>
              <w:left w:w="60" w:type="dxa"/>
              <w:bottom w:w="60" w:type="dxa"/>
              <w:right w:w="60" w:type="dxa"/>
            </w:tcMar>
          </w:tcPr>
          <w:p w14:paraId="2FB71E7A" w14:textId="77777777" w:rsidR="00ED1461" w:rsidRPr="00C0377A" w:rsidRDefault="00C435D9">
            <w:pPr>
              <w:spacing w:after="0" w:line="240" w:lineRule="auto"/>
            </w:pPr>
            <w:r w:rsidRPr="00C0377A">
              <w:rPr>
                <w:sz w:val="18"/>
              </w:rPr>
              <w:t>Bachelor’s</w:t>
            </w:r>
          </w:p>
        </w:tc>
        <w:tc>
          <w:tcPr>
            <w:tcW w:w="3009" w:type="dxa"/>
            <w:tcMar>
              <w:top w:w="60" w:type="dxa"/>
              <w:left w:w="60" w:type="dxa"/>
              <w:bottom w:w="60" w:type="dxa"/>
              <w:right w:w="60" w:type="dxa"/>
            </w:tcMar>
          </w:tcPr>
          <w:p w14:paraId="1F190085" w14:textId="77777777" w:rsidR="00ED1461" w:rsidRPr="00C0377A" w:rsidRDefault="00C435D9">
            <w:pPr>
              <w:spacing w:after="0" w:line="240" w:lineRule="auto"/>
            </w:pPr>
            <w:r w:rsidRPr="00C0377A">
              <w:rPr>
                <w:sz w:val="18"/>
              </w:rPr>
              <w:t>3 (20.0)</w:t>
            </w:r>
          </w:p>
        </w:tc>
      </w:tr>
      <w:tr w:rsidR="00ED1461" w:rsidRPr="00C0377A" w14:paraId="25A5F682" w14:textId="77777777">
        <w:trPr>
          <w:jc w:val="center"/>
        </w:trPr>
        <w:tc>
          <w:tcPr>
            <w:tcW w:w="3009" w:type="dxa"/>
            <w:tcMar>
              <w:top w:w="60" w:type="dxa"/>
              <w:left w:w="60" w:type="dxa"/>
              <w:bottom w:w="60" w:type="dxa"/>
              <w:right w:w="60" w:type="dxa"/>
            </w:tcMar>
          </w:tcPr>
          <w:p w14:paraId="2F0B0938" w14:textId="77777777" w:rsidR="00ED1461" w:rsidRPr="00C0377A" w:rsidRDefault="00C435D9">
            <w:pPr>
              <w:spacing w:after="0" w:line="240" w:lineRule="auto"/>
            </w:pPr>
            <w:r w:rsidRPr="00C0377A">
              <w:rPr>
                <w:sz w:val="18"/>
              </w:rPr>
              <w:t>District</w:t>
            </w:r>
          </w:p>
        </w:tc>
        <w:tc>
          <w:tcPr>
            <w:tcW w:w="3009" w:type="dxa"/>
            <w:tcMar>
              <w:top w:w="60" w:type="dxa"/>
              <w:left w:w="60" w:type="dxa"/>
              <w:bottom w:w="60" w:type="dxa"/>
              <w:right w:w="60" w:type="dxa"/>
            </w:tcMar>
          </w:tcPr>
          <w:p w14:paraId="556D77B8" w14:textId="77777777" w:rsidR="00ED1461" w:rsidRPr="00C0377A" w:rsidRDefault="00C435D9">
            <w:pPr>
              <w:spacing w:after="0" w:line="240" w:lineRule="auto"/>
            </w:pPr>
            <w:proofErr w:type="spellStart"/>
            <w:r w:rsidRPr="00C0377A">
              <w:rPr>
                <w:sz w:val="18"/>
              </w:rPr>
              <w:t>Liwale</w:t>
            </w:r>
            <w:proofErr w:type="spellEnd"/>
          </w:p>
        </w:tc>
        <w:tc>
          <w:tcPr>
            <w:tcW w:w="3009" w:type="dxa"/>
            <w:tcMar>
              <w:top w:w="60" w:type="dxa"/>
              <w:left w:w="60" w:type="dxa"/>
              <w:bottom w:w="60" w:type="dxa"/>
              <w:right w:w="60" w:type="dxa"/>
            </w:tcMar>
          </w:tcPr>
          <w:p w14:paraId="6396A788" w14:textId="77777777" w:rsidR="00ED1461" w:rsidRPr="00C0377A" w:rsidRDefault="00C435D9">
            <w:pPr>
              <w:spacing w:after="0" w:line="240" w:lineRule="auto"/>
            </w:pPr>
            <w:r w:rsidRPr="00C0377A">
              <w:rPr>
                <w:sz w:val="18"/>
              </w:rPr>
              <w:t>6 (40.0)</w:t>
            </w:r>
          </w:p>
        </w:tc>
      </w:tr>
      <w:tr w:rsidR="00ED1461" w:rsidRPr="00C0377A" w14:paraId="0A24EFF3" w14:textId="77777777">
        <w:trPr>
          <w:jc w:val="center"/>
        </w:trPr>
        <w:tc>
          <w:tcPr>
            <w:tcW w:w="3009" w:type="dxa"/>
            <w:tcMar>
              <w:top w:w="60" w:type="dxa"/>
              <w:left w:w="60" w:type="dxa"/>
              <w:bottom w:w="60" w:type="dxa"/>
              <w:right w:w="60" w:type="dxa"/>
            </w:tcMar>
          </w:tcPr>
          <w:p w14:paraId="6AEE947E" w14:textId="77777777" w:rsidR="00ED1461" w:rsidRPr="00C0377A" w:rsidRDefault="00ED1461">
            <w:pPr>
              <w:spacing w:after="0" w:line="240" w:lineRule="auto"/>
            </w:pPr>
          </w:p>
        </w:tc>
        <w:tc>
          <w:tcPr>
            <w:tcW w:w="3009" w:type="dxa"/>
            <w:tcMar>
              <w:top w:w="60" w:type="dxa"/>
              <w:left w:w="60" w:type="dxa"/>
              <w:bottom w:w="60" w:type="dxa"/>
              <w:right w:w="60" w:type="dxa"/>
            </w:tcMar>
          </w:tcPr>
          <w:p w14:paraId="5DC3999C" w14:textId="77777777" w:rsidR="00ED1461" w:rsidRPr="00C0377A" w:rsidRDefault="00C435D9">
            <w:pPr>
              <w:spacing w:after="0" w:line="240" w:lineRule="auto"/>
            </w:pPr>
            <w:r w:rsidRPr="00C0377A">
              <w:rPr>
                <w:sz w:val="18"/>
              </w:rPr>
              <w:t>Kilwa</w:t>
            </w:r>
          </w:p>
        </w:tc>
        <w:tc>
          <w:tcPr>
            <w:tcW w:w="3009" w:type="dxa"/>
            <w:tcMar>
              <w:top w:w="60" w:type="dxa"/>
              <w:left w:w="60" w:type="dxa"/>
              <w:bottom w:w="60" w:type="dxa"/>
              <w:right w:w="60" w:type="dxa"/>
            </w:tcMar>
          </w:tcPr>
          <w:p w14:paraId="33E8EEFB" w14:textId="77777777" w:rsidR="00ED1461" w:rsidRPr="00C0377A" w:rsidRDefault="00C435D9">
            <w:pPr>
              <w:spacing w:after="0" w:line="240" w:lineRule="auto"/>
            </w:pPr>
            <w:r w:rsidRPr="00C0377A">
              <w:rPr>
                <w:sz w:val="18"/>
              </w:rPr>
              <w:t>5 (33.3)</w:t>
            </w:r>
          </w:p>
        </w:tc>
      </w:tr>
      <w:tr w:rsidR="00ED1461" w:rsidRPr="00C0377A" w14:paraId="7A1809FC" w14:textId="77777777">
        <w:trPr>
          <w:jc w:val="center"/>
        </w:trPr>
        <w:tc>
          <w:tcPr>
            <w:tcW w:w="3009" w:type="dxa"/>
            <w:tcMar>
              <w:top w:w="60" w:type="dxa"/>
              <w:left w:w="60" w:type="dxa"/>
              <w:bottom w:w="60" w:type="dxa"/>
              <w:right w:w="60" w:type="dxa"/>
            </w:tcMar>
          </w:tcPr>
          <w:p w14:paraId="4615EBCF" w14:textId="77777777" w:rsidR="00ED1461" w:rsidRPr="00C0377A" w:rsidRDefault="00ED1461">
            <w:pPr>
              <w:spacing w:after="0" w:line="240" w:lineRule="auto"/>
            </w:pPr>
          </w:p>
        </w:tc>
        <w:tc>
          <w:tcPr>
            <w:tcW w:w="3009" w:type="dxa"/>
            <w:tcMar>
              <w:top w:w="60" w:type="dxa"/>
              <w:left w:w="60" w:type="dxa"/>
              <w:bottom w:w="60" w:type="dxa"/>
              <w:right w:w="60" w:type="dxa"/>
            </w:tcMar>
          </w:tcPr>
          <w:p w14:paraId="52043652" w14:textId="77777777" w:rsidR="00ED1461" w:rsidRPr="00C0377A" w:rsidRDefault="00C435D9">
            <w:pPr>
              <w:spacing w:after="0" w:line="240" w:lineRule="auto"/>
            </w:pPr>
            <w:proofErr w:type="spellStart"/>
            <w:r w:rsidRPr="00C0377A">
              <w:rPr>
                <w:sz w:val="18"/>
              </w:rPr>
              <w:t>Nachingwea</w:t>
            </w:r>
            <w:proofErr w:type="spellEnd"/>
          </w:p>
        </w:tc>
        <w:tc>
          <w:tcPr>
            <w:tcW w:w="3009" w:type="dxa"/>
            <w:tcMar>
              <w:top w:w="60" w:type="dxa"/>
              <w:left w:w="60" w:type="dxa"/>
              <w:bottom w:w="60" w:type="dxa"/>
              <w:right w:w="60" w:type="dxa"/>
            </w:tcMar>
          </w:tcPr>
          <w:p w14:paraId="06A4C4A1" w14:textId="77777777" w:rsidR="00ED1461" w:rsidRPr="00C0377A" w:rsidRDefault="00C435D9">
            <w:pPr>
              <w:spacing w:after="0" w:line="240" w:lineRule="auto"/>
            </w:pPr>
            <w:r w:rsidRPr="00C0377A">
              <w:rPr>
                <w:sz w:val="18"/>
              </w:rPr>
              <w:t>4 (26.7)</w:t>
            </w:r>
          </w:p>
        </w:tc>
      </w:tr>
      <w:tr w:rsidR="00ED1461" w:rsidRPr="00C0377A" w14:paraId="3CC45134" w14:textId="77777777">
        <w:trPr>
          <w:jc w:val="center"/>
        </w:trPr>
        <w:tc>
          <w:tcPr>
            <w:tcW w:w="3009" w:type="dxa"/>
            <w:tcMar>
              <w:top w:w="60" w:type="dxa"/>
              <w:left w:w="60" w:type="dxa"/>
              <w:bottom w:w="60" w:type="dxa"/>
              <w:right w:w="60" w:type="dxa"/>
            </w:tcMar>
          </w:tcPr>
          <w:p w14:paraId="0743FCEA" w14:textId="77777777" w:rsidR="00ED1461" w:rsidRPr="00C0377A" w:rsidRDefault="00C435D9">
            <w:pPr>
              <w:spacing w:after="0" w:line="240" w:lineRule="auto"/>
            </w:pPr>
            <w:r w:rsidRPr="00C0377A">
              <w:rPr>
                <w:sz w:val="18"/>
              </w:rPr>
              <w:lastRenderedPageBreak/>
              <w:t>MEWAKA participation</w:t>
            </w:r>
          </w:p>
        </w:tc>
        <w:tc>
          <w:tcPr>
            <w:tcW w:w="3009" w:type="dxa"/>
            <w:tcMar>
              <w:top w:w="60" w:type="dxa"/>
              <w:left w:w="60" w:type="dxa"/>
              <w:bottom w:w="60" w:type="dxa"/>
              <w:right w:w="60" w:type="dxa"/>
            </w:tcMar>
          </w:tcPr>
          <w:p w14:paraId="564A53EE" w14:textId="77777777" w:rsidR="00ED1461" w:rsidRPr="00C0377A" w:rsidRDefault="00C435D9">
            <w:pPr>
              <w:spacing w:after="0" w:line="240" w:lineRule="auto"/>
            </w:pPr>
            <w:r w:rsidRPr="00C0377A">
              <w:rPr>
                <w:sz w:val="18"/>
              </w:rPr>
              <w:t>Yes</w:t>
            </w:r>
          </w:p>
        </w:tc>
        <w:tc>
          <w:tcPr>
            <w:tcW w:w="3009" w:type="dxa"/>
            <w:tcMar>
              <w:top w:w="60" w:type="dxa"/>
              <w:left w:w="60" w:type="dxa"/>
              <w:bottom w:w="60" w:type="dxa"/>
              <w:right w:w="60" w:type="dxa"/>
            </w:tcMar>
          </w:tcPr>
          <w:p w14:paraId="7C82B0C4" w14:textId="77777777" w:rsidR="00ED1461" w:rsidRPr="00C0377A" w:rsidRDefault="00C435D9">
            <w:pPr>
              <w:spacing w:after="0" w:line="240" w:lineRule="auto"/>
            </w:pPr>
            <w:r w:rsidRPr="00C0377A">
              <w:rPr>
                <w:sz w:val="18"/>
              </w:rPr>
              <w:t>13 (86.7)</w:t>
            </w:r>
          </w:p>
        </w:tc>
      </w:tr>
      <w:tr w:rsidR="00ED1461" w:rsidRPr="00C0377A" w14:paraId="3BEC7BAA" w14:textId="77777777">
        <w:trPr>
          <w:jc w:val="center"/>
        </w:trPr>
        <w:tc>
          <w:tcPr>
            <w:tcW w:w="3009" w:type="dxa"/>
            <w:tcMar>
              <w:top w:w="60" w:type="dxa"/>
              <w:left w:w="60" w:type="dxa"/>
              <w:bottom w:w="60" w:type="dxa"/>
              <w:right w:w="60" w:type="dxa"/>
            </w:tcMar>
          </w:tcPr>
          <w:p w14:paraId="526C176C" w14:textId="77777777" w:rsidR="00ED1461" w:rsidRPr="00C0377A" w:rsidRDefault="00ED1461">
            <w:pPr>
              <w:spacing w:after="0" w:line="240" w:lineRule="auto"/>
            </w:pPr>
          </w:p>
        </w:tc>
        <w:tc>
          <w:tcPr>
            <w:tcW w:w="3009" w:type="dxa"/>
            <w:tcMar>
              <w:top w:w="60" w:type="dxa"/>
              <w:left w:w="60" w:type="dxa"/>
              <w:bottom w:w="60" w:type="dxa"/>
              <w:right w:w="60" w:type="dxa"/>
            </w:tcMar>
          </w:tcPr>
          <w:p w14:paraId="17CB7AC8" w14:textId="77777777" w:rsidR="00ED1461" w:rsidRPr="00C0377A" w:rsidRDefault="00C435D9">
            <w:pPr>
              <w:spacing w:after="0" w:line="240" w:lineRule="auto"/>
            </w:pPr>
            <w:r w:rsidRPr="00C0377A">
              <w:rPr>
                <w:sz w:val="18"/>
              </w:rPr>
              <w:t>No</w:t>
            </w:r>
          </w:p>
        </w:tc>
        <w:tc>
          <w:tcPr>
            <w:tcW w:w="3009" w:type="dxa"/>
            <w:tcMar>
              <w:top w:w="60" w:type="dxa"/>
              <w:left w:w="60" w:type="dxa"/>
              <w:bottom w:w="60" w:type="dxa"/>
              <w:right w:w="60" w:type="dxa"/>
            </w:tcMar>
          </w:tcPr>
          <w:p w14:paraId="7431F763" w14:textId="77777777" w:rsidR="00ED1461" w:rsidRPr="00C0377A" w:rsidRDefault="00C435D9">
            <w:pPr>
              <w:spacing w:after="0" w:line="240" w:lineRule="auto"/>
            </w:pPr>
            <w:r w:rsidRPr="00C0377A">
              <w:rPr>
                <w:sz w:val="18"/>
              </w:rPr>
              <w:t>2 (13.3)</w:t>
            </w:r>
          </w:p>
        </w:tc>
      </w:tr>
    </w:tbl>
    <w:p w14:paraId="7A50F568" w14:textId="77777777" w:rsidR="00ED1461" w:rsidRPr="00C0377A" w:rsidRDefault="00ED1461">
      <w:pPr>
        <w:spacing w:line="240" w:lineRule="auto"/>
      </w:pPr>
    </w:p>
    <w:p w14:paraId="0EE39005" w14:textId="77777777" w:rsidR="00ED1461" w:rsidRPr="00C0377A" w:rsidRDefault="00C435D9">
      <w:pPr>
        <w:pStyle w:val="Heading2"/>
      </w:pPr>
      <w:r w:rsidRPr="00C0377A">
        <w:rPr>
          <w:rFonts w:ascii="Times New Roman" w:eastAsia="Times New Roman" w:hAnsi="Times New Roman"/>
        </w:rPr>
        <w:t>3.3 Data Collection</w:t>
      </w:r>
    </w:p>
    <w:p w14:paraId="4B18BF65" w14:textId="77777777" w:rsidR="00ED1461" w:rsidRPr="00C0377A" w:rsidRDefault="00C435D9">
      <w:pPr>
        <w:ind w:firstLine="360"/>
        <w:jc w:val="both"/>
      </w:pPr>
      <w:r w:rsidRPr="00C0377A">
        <w:t>Data were collected through semi-structured interviews and non-participant classroom observations. Using these two methods enabled examination of both teachers’ reported experiences and their observed classroom practices.</w:t>
      </w:r>
    </w:p>
    <w:p w14:paraId="0F736CA5" w14:textId="77777777" w:rsidR="00ED1461" w:rsidRPr="00C0377A" w:rsidRDefault="00C435D9">
      <w:pPr>
        <w:pStyle w:val="Heading3"/>
      </w:pPr>
      <w:r w:rsidRPr="00C0377A">
        <w:rPr>
          <w:rFonts w:ascii="Times New Roman" w:eastAsia="Times New Roman" w:hAnsi="Times New Roman"/>
        </w:rPr>
        <w:t>3.3.1 Interviews</w:t>
      </w:r>
    </w:p>
    <w:p w14:paraId="5A1BBF72" w14:textId="77777777" w:rsidR="00ED1461" w:rsidRPr="00C0377A" w:rsidRDefault="00C435D9">
      <w:pPr>
        <w:ind w:firstLine="360"/>
        <w:jc w:val="both"/>
      </w:pPr>
      <w:r w:rsidRPr="00C0377A">
        <w:t>Semi-structured interviews were conducted face-to-face at school sites and lasted approximately 30 to 45 minutes. All interviews were audio recorded with participants’ consent. The interview guide was developed from the study objectives, research questions, and relevant literature on curriculum reform implementation. It covered teachers’ understanding of the 2023 curriculum reform, training experiences, perceived benefits and challenges, classroom practices, sources of professional support, and suggestions for improving implementation. The guide was reviewed for clarity and sequencing before fieldwork began, and minor adjustments were made during early interviews to improve flow and elicit more concrete classroom examples.</w:t>
      </w:r>
    </w:p>
    <w:p w14:paraId="758C5985" w14:textId="77777777" w:rsidR="00ED1461" w:rsidRPr="00C0377A" w:rsidRDefault="00C435D9">
      <w:pPr>
        <w:ind w:firstLine="360"/>
        <w:jc w:val="both"/>
      </w:pPr>
      <w:r w:rsidRPr="00C0377A">
        <w:t>Interviews were conducted in Kiswahili, English, or a mixture of both, depending on participants’ preferences and ease of expression. This helped participants describe their experiences in the language most natural to them.</w:t>
      </w:r>
    </w:p>
    <w:p w14:paraId="24532CBE" w14:textId="77777777" w:rsidR="00ED1461" w:rsidRPr="00C0377A" w:rsidRDefault="00C435D9">
      <w:pPr>
        <w:pStyle w:val="Heading3"/>
      </w:pPr>
      <w:r w:rsidRPr="00C0377A">
        <w:rPr>
          <w:rFonts w:ascii="Times New Roman" w:eastAsia="Times New Roman" w:hAnsi="Times New Roman"/>
        </w:rPr>
        <w:t>3.3.2 Classroom Observations</w:t>
      </w:r>
    </w:p>
    <w:p w14:paraId="25E83E61" w14:textId="77777777" w:rsidR="00ED1461" w:rsidRPr="00C0377A" w:rsidRDefault="00C435D9">
      <w:pPr>
        <w:ind w:firstLine="360"/>
        <w:jc w:val="both"/>
      </w:pPr>
      <w:r w:rsidRPr="00C0377A">
        <w:t>Non-participant classroom observations were conducted to complement interview data by documenting teaching strategies, classroom interaction, learner participation, the use of teaching aids, and the presence or absence of ICT-related resources. All 15 teachers who took part in the interviews were observed once during a regular lesson. Each observation lasted approximately 35 to 50 minutes, depending on the scheduled lesson period at the school.</w:t>
      </w:r>
    </w:p>
    <w:p w14:paraId="59ADE268" w14:textId="77777777" w:rsidR="00ED1461" w:rsidRPr="00C0377A" w:rsidRDefault="00C435D9">
      <w:pPr>
        <w:ind w:firstLine="360"/>
        <w:jc w:val="both"/>
      </w:pPr>
      <w:r w:rsidRPr="00C0377A">
        <w:t>An observation guide focused on key indicators of reform enactment, including teacher-learner interaction, use of learner-</w:t>
      </w:r>
      <w:proofErr w:type="spellStart"/>
      <w:r w:rsidRPr="00C0377A">
        <w:t>centred</w:t>
      </w:r>
      <w:proofErr w:type="spellEnd"/>
      <w:r w:rsidRPr="00C0377A">
        <w:t xml:space="preserve"> strategies, group work, questioning patterns, use of teaching and learning materials, evidence of competency-oriented activities, classroom management, and the availability or absence of ICT resources. Field notes were written during and immediately after each classroom visit to capture descriptive and contextual details, </w:t>
      </w:r>
      <w:r w:rsidRPr="00C0377A">
        <w:lastRenderedPageBreak/>
        <w:t>including classroom layout, pupil participation patterns, material conditions, and instances in which observed practice supported, qualified, or differed from interview accounts.</w:t>
      </w:r>
    </w:p>
    <w:p w14:paraId="7ED3A172" w14:textId="77777777" w:rsidR="00ED1461" w:rsidRPr="00C0377A" w:rsidRDefault="00C435D9">
      <w:pPr>
        <w:ind w:firstLine="360"/>
        <w:jc w:val="both"/>
      </w:pPr>
      <w:r w:rsidRPr="00C0377A">
        <w:t>Data collection followed a staged schedule. Interviews were typically conducted first to identify teachers’ reported understandings and concerns, followed by classroom observations during the same school visit or shortly afterwards when scheduling allowed. This sequencing enabled probing issues that emerged in interviews and comparing stated practice with enacted practice.</w:t>
      </w:r>
    </w:p>
    <w:p w14:paraId="17E58150" w14:textId="77777777" w:rsidR="00ED1461" w:rsidRPr="00C0377A" w:rsidRDefault="00C435D9">
      <w:pPr>
        <w:pStyle w:val="Heading2"/>
      </w:pPr>
      <w:r w:rsidRPr="00C0377A">
        <w:rPr>
          <w:rFonts w:ascii="Times New Roman" w:eastAsia="Times New Roman" w:hAnsi="Times New Roman"/>
        </w:rPr>
        <w:t>3.4 Data Analysis and Trustworthiness</w:t>
      </w:r>
    </w:p>
    <w:p w14:paraId="5A9E86F1" w14:textId="77777777" w:rsidR="00ED1461" w:rsidRPr="00C0377A" w:rsidRDefault="00C435D9">
      <w:pPr>
        <w:ind w:firstLine="360"/>
        <w:jc w:val="both"/>
      </w:pPr>
      <w:r w:rsidRPr="00C0377A">
        <w:t>Data analysis was conducted through thematic analysis by Braun &amp; Clarke (2006). Interview recordings were transcribed verbatim. Where interviews were conducted partly or wholly in Kiswahili, they were translated into English during transcription. To enhance translation accuracy, the researcher reviewed translated transcripts against the original audio recordings and checked selected excerpts several times to preserve the meaning of key educational terms and participants’ expressions as closely as possible.</w:t>
      </w:r>
    </w:p>
    <w:p w14:paraId="0EABC430" w14:textId="77777777" w:rsidR="00ED1461" w:rsidRPr="00C0377A" w:rsidRDefault="00C435D9">
      <w:pPr>
        <w:ind w:firstLine="360"/>
        <w:jc w:val="both"/>
      </w:pPr>
      <w:r w:rsidRPr="00C0377A">
        <w:t>Data analysis was conducted by a single researcher, who carried out transcription, translation, coding, and thematic interpretation. Because one researcher conducted the coding, an explicit audit trail was maintained to strengthen transparency and consistency. This audit trail included dated analytic notes, code definitions, records of theme development, and written reflections on analytic decisions.</w:t>
      </w:r>
    </w:p>
    <w:p w14:paraId="6E9229D8" w14:textId="77777777" w:rsidR="00ED1461" w:rsidRPr="00C0377A" w:rsidRDefault="00C435D9">
      <w:pPr>
        <w:ind w:firstLine="360"/>
        <w:jc w:val="both"/>
      </w:pPr>
      <w:r w:rsidRPr="00C0377A">
        <w:t>The analysis combined inductive and deductive thematic approaches. First, interview transcripts and observation notes were read repeatedly to build familiarity with the data. Second, initial open coding was conducted line by line to identify recurring ideas, concerns, practices, and contextual issues emerging from participants’ accounts and observed lessons. Third, related codes were grouped into broader categories through constant comparison across interviews and observations. Fourth, these categories were refined into themes by examining patterns, contrasts, and relationships across cases.</w:t>
      </w:r>
    </w:p>
    <w:p w14:paraId="785C3D73" w14:textId="77777777" w:rsidR="00ED1461" w:rsidRPr="00C0377A" w:rsidRDefault="00C435D9">
      <w:pPr>
        <w:ind w:firstLine="360"/>
        <w:jc w:val="both"/>
      </w:pPr>
      <w:r w:rsidRPr="00C0377A">
        <w:t>Finally, selected themes were interpreted deductively using CBAM concepts, particularly Stages of Concern and Levels of Use, to understand differences in teachers’ readiness, concerns, and the enactment of the reform.</w:t>
      </w:r>
    </w:p>
    <w:p w14:paraId="05AE59E5" w14:textId="77777777" w:rsidR="00ED1461" w:rsidRPr="00C0377A" w:rsidRDefault="00C435D9">
      <w:pPr>
        <w:ind w:firstLine="360"/>
        <w:jc w:val="both"/>
      </w:pPr>
      <w:r w:rsidRPr="00C0377A">
        <w:t xml:space="preserve">Six final themes were developed: teachers’ understanding of the reform; training and professional support; pedagogical shifts in classroom practice; integration of ICT and </w:t>
      </w:r>
      <w:r w:rsidRPr="00C0377A">
        <w:lastRenderedPageBreak/>
        <w:t>instructional resources; structural implementation challenges; and coping strategies and professional resilience.</w:t>
      </w:r>
    </w:p>
    <w:p w14:paraId="0CBB5613" w14:textId="77777777" w:rsidR="00ED1461" w:rsidRPr="00C0377A" w:rsidRDefault="00C435D9">
      <w:pPr>
        <w:ind w:firstLine="360"/>
        <w:jc w:val="both"/>
      </w:pPr>
      <w:r w:rsidRPr="00C0377A">
        <w:t>Several procedures were used to strengthen trustworthiness. First, triangulation was achieved by comparing interview accounts with classroom observations and contextual field notes. Second, member checking was conducted with a subset of participants by sharing summaries of emerging interpretations and asking whether these accurately reflected their views and experiences. Third, analytic memo writing was used throughout the analysis to document emerging ideas, comparisons, and coding decisions. Fourth, attention was given to negative or inconsistent cases, especially where reported practice did not fully match observed practice. Fifth, the study maintained a transparent record of sampling, data collection, and coding decisions to support dependability and confirmability.</w:t>
      </w:r>
    </w:p>
    <w:p w14:paraId="09E1CD01" w14:textId="77777777" w:rsidR="00ED1461" w:rsidRPr="00C0377A" w:rsidRDefault="00C435D9">
      <w:pPr>
        <w:pStyle w:val="Heading2"/>
      </w:pPr>
      <w:r w:rsidRPr="00C0377A">
        <w:rPr>
          <w:rFonts w:ascii="Times New Roman" w:eastAsia="Times New Roman" w:hAnsi="Times New Roman"/>
        </w:rPr>
        <w:t>3.5 Ethical Considerations</w:t>
      </w:r>
    </w:p>
    <w:p w14:paraId="36825862" w14:textId="77777777" w:rsidR="00ED1461" w:rsidRPr="00C0377A" w:rsidRDefault="00C435D9">
      <w:pPr>
        <w:ind w:firstLine="360"/>
        <w:jc w:val="both"/>
      </w:pPr>
      <w:r w:rsidRPr="00C0377A">
        <w:t>Participants were informed about the study's purpose and volunteered to participate. Permission to conduct the study was obtained from the relevant education authorities and participating schools before fieldwork began. Informed consent was obtained before interviews and classroom observations. Pseudonyms or coded identifiers were used in reporting, and no school or teacher is identified by name in the manuscript. Audio recordings, transcripts, and field notes were treated confidentially and used only for research purposes. Participants were informed of their right to decline to answer any question or to withdraw from the study at any stage without penalty.</w:t>
      </w:r>
    </w:p>
    <w:p w14:paraId="41858A35" w14:textId="77777777" w:rsidR="00ED1461" w:rsidRPr="00C0377A" w:rsidRDefault="00C435D9">
      <w:pPr>
        <w:pStyle w:val="Heading1"/>
      </w:pPr>
      <w:r w:rsidRPr="00C0377A">
        <w:rPr>
          <w:rFonts w:ascii="Times New Roman" w:eastAsia="Times New Roman" w:hAnsi="Times New Roman"/>
        </w:rPr>
        <w:t>4. Results</w:t>
      </w:r>
    </w:p>
    <w:p w14:paraId="3B13EE98" w14:textId="77777777" w:rsidR="00ED1461" w:rsidRPr="00C0377A" w:rsidRDefault="00C435D9">
      <w:pPr>
        <w:pStyle w:val="Heading2"/>
      </w:pPr>
      <w:r w:rsidRPr="00C0377A">
        <w:rPr>
          <w:rFonts w:ascii="Times New Roman" w:eastAsia="Times New Roman" w:hAnsi="Times New Roman"/>
        </w:rPr>
        <w:t xml:space="preserve">4.1 Teachers’ Understanding and </w:t>
      </w:r>
      <w:proofErr w:type="spellStart"/>
      <w:r w:rsidRPr="00C0377A">
        <w:rPr>
          <w:rFonts w:ascii="Times New Roman" w:eastAsia="Times New Roman" w:hAnsi="Times New Roman"/>
        </w:rPr>
        <w:t>Conceptualisation</w:t>
      </w:r>
      <w:proofErr w:type="spellEnd"/>
      <w:r w:rsidRPr="00C0377A">
        <w:rPr>
          <w:rFonts w:ascii="Times New Roman" w:eastAsia="Times New Roman" w:hAnsi="Times New Roman"/>
        </w:rPr>
        <w:t xml:space="preserve"> of the Reform</w:t>
      </w:r>
    </w:p>
    <w:p w14:paraId="06B500CF" w14:textId="77777777" w:rsidR="00ED1461" w:rsidRPr="00C0377A" w:rsidRDefault="00C435D9">
      <w:pPr>
        <w:ind w:firstLine="360"/>
        <w:jc w:val="both"/>
      </w:pPr>
      <w:r w:rsidRPr="00C0377A">
        <w:t>Most teachers demonstrated general awareness of the reform’s competence-based and learner-</w:t>
      </w:r>
      <w:proofErr w:type="spellStart"/>
      <w:r w:rsidRPr="00C0377A">
        <w:t>centred</w:t>
      </w:r>
      <w:proofErr w:type="spellEnd"/>
      <w:r w:rsidRPr="00C0377A">
        <w:t xml:space="preserve"> orientation. They commonly described the reform as encouraging active participation, group work, and the development of practical skills. However, the depth of understanding varied across participants. Some teachers explained the broad aims of the reform clearly but remained uncertain about how to translate them into pedagogical and assessment practices. As one participant explained, ‘I understand that it focuses on student-</w:t>
      </w:r>
      <w:proofErr w:type="spellStart"/>
      <w:r w:rsidRPr="00C0377A">
        <w:t>centred</w:t>
      </w:r>
      <w:proofErr w:type="spellEnd"/>
      <w:r w:rsidRPr="00C0377A">
        <w:t xml:space="preserve"> learning and helping them think more’ (T7).</w:t>
      </w:r>
    </w:p>
    <w:p w14:paraId="68ECB287" w14:textId="77777777" w:rsidR="00ED1461" w:rsidRPr="00C0377A" w:rsidRDefault="00C435D9">
      <w:pPr>
        <w:ind w:firstLine="360"/>
        <w:jc w:val="both"/>
      </w:pPr>
      <w:r w:rsidRPr="00C0377A">
        <w:t xml:space="preserve">Other teachers expressed concern about their own readiness, especially where training had been limited. One teacher noted, ‘We were not trained properly. How are we going to deliver </w:t>
      </w:r>
      <w:r w:rsidRPr="00C0377A">
        <w:lastRenderedPageBreak/>
        <w:t>in a large class?’ (T12). These responses suggest that general support for the reform was present, but conceptual clarity about classroom enactment remained uneven.</w:t>
      </w:r>
    </w:p>
    <w:p w14:paraId="5B89E11F" w14:textId="77777777" w:rsidR="00ED1461" w:rsidRPr="00C0377A" w:rsidRDefault="00C435D9">
      <w:pPr>
        <w:pStyle w:val="Heading2"/>
      </w:pPr>
      <w:r w:rsidRPr="00C0377A">
        <w:rPr>
          <w:rFonts w:ascii="Times New Roman" w:eastAsia="Times New Roman" w:hAnsi="Times New Roman"/>
        </w:rPr>
        <w:t>4.2 Training Experiences and Professional Support</w:t>
      </w:r>
    </w:p>
    <w:p w14:paraId="538E5AAC" w14:textId="77777777" w:rsidR="00ED1461" w:rsidRPr="00C0377A" w:rsidRDefault="00C435D9">
      <w:pPr>
        <w:ind w:firstLine="360"/>
        <w:jc w:val="both"/>
      </w:pPr>
      <w:r w:rsidRPr="00C0377A">
        <w:t>A dominant theme across interviews was limited access to formal in-service training. Only a small number of participants reported attending structured district-level workshops. In many cases, teachers depended on colleagues who had received training to share information informally within the school. One participant explained, “Those who attended training explained it to us. In our MEWAKA group, we discuss what we understand” (T15).</w:t>
      </w:r>
    </w:p>
    <w:p w14:paraId="17394E5B" w14:textId="77777777" w:rsidR="00ED1461" w:rsidRPr="00C0377A" w:rsidRDefault="00C435D9">
      <w:pPr>
        <w:ind w:firstLine="360"/>
        <w:jc w:val="both"/>
      </w:pPr>
      <w:r w:rsidRPr="00C0377A">
        <w:t>Teachers who participated in collaborative learning groups appeared more confident in interpreting the reform and experimenting with new practices. Even so, many participants described the support system as uneven and fragmented. As another teacher stated, ‘Training reached only a few staff members. We depend on each other’ (T14). These accounts indicate that informal professional networks were helping to fill gaps in institutional support.</w:t>
      </w:r>
    </w:p>
    <w:p w14:paraId="0C7FB2AF" w14:textId="77777777" w:rsidR="00ED1461" w:rsidRPr="00C0377A" w:rsidRDefault="00C435D9">
      <w:pPr>
        <w:pStyle w:val="Heading2"/>
      </w:pPr>
      <w:r w:rsidRPr="00C0377A">
        <w:rPr>
          <w:rFonts w:ascii="Times New Roman" w:eastAsia="Times New Roman" w:hAnsi="Times New Roman"/>
        </w:rPr>
        <w:t>4.3 Pedagogical Shifts and Classroom Practice</w:t>
      </w:r>
    </w:p>
    <w:p w14:paraId="19F68AD7" w14:textId="77777777" w:rsidR="00ED1461" w:rsidRPr="00C0377A" w:rsidRDefault="00C435D9">
      <w:pPr>
        <w:ind w:firstLine="360"/>
        <w:jc w:val="both"/>
      </w:pPr>
      <w:r w:rsidRPr="00C0377A">
        <w:t>Teachers reported efforts to move away from lecture-based instruction towards activity-based and learner-</w:t>
      </w:r>
      <w:proofErr w:type="spellStart"/>
      <w:r w:rsidRPr="00C0377A">
        <w:t>centred</w:t>
      </w:r>
      <w:proofErr w:type="spellEnd"/>
      <w:r w:rsidRPr="00C0377A">
        <w:t xml:space="preserve"> approaches. In many classrooms, this shift was visible in the use of group work, questioning, and improvised teaching aids. However, implementation was often tentative and inconsistent. Some observed lessons reflected a procedural use of group work without clear links to competency-focused objectives. One teacher captured this uncertainty by saying, ‘I prepare teaching aids now, but sometimes I am not sure if I am doing it correctly’ (T9).</w:t>
      </w:r>
    </w:p>
    <w:p w14:paraId="2239147A" w14:textId="77777777" w:rsidR="00ED1461" w:rsidRPr="00C0377A" w:rsidRDefault="00C435D9">
      <w:pPr>
        <w:ind w:firstLine="360"/>
        <w:jc w:val="both"/>
      </w:pPr>
      <w:r w:rsidRPr="00C0377A">
        <w:t>A smaller number of teachers showed greater classroom confidence. These teachers adjusted activities to learners’ needs and used familiar examples from local contexts. As T3 explained, “When I saw they did not understand, I adjusted the group activity and used examples from their village.” Classroom observations in such cases showed more purposeful learner participation and clearer alignment between classroom activities and the reform’s intentions.</w:t>
      </w:r>
    </w:p>
    <w:p w14:paraId="02D352E8" w14:textId="77777777" w:rsidR="00ED1461" w:rsidRPr="00C0377A" w:rsidRDefault="00C435D9">
      <w:pPr>
        <w:pStyle w:val="Heading2"/>
      </w:pPr>
      <w:r w:rsidRPr="00C0377A">
        <w:rPr>
          <w:rFonts w:ascii="Times New Roman" w:eastAsia="Times New Roman" w:hAnsi="Times New Roman"/>
        </w:rPr>
        <w:t>4.4 Integration of ICT and Instructional Resources</w:t>
      </w:r>
    </w:p>
    <w:p w14:paraId="002045CF" w14:textId="77777777" w:rsidR="00ED1461" w:rsidRPr="00C0377A" w:rsidRDefault="00C435D9">
      <w:pPr>
        <w:ind w:firstLine="360"/>
        <w:jc w:val="both"/>
      </w:pPr>
      <w:r w:rsidRPr="00C0377A">
        <w:t xml:space="preserve">Although the reform </w:t>
      </w:r>
      <w:proofErr w:type="spellStart"/>
      <w:r w:rsidRPr="00C0377A">
        <w:t>emphasises</w:t>
      </w:r>
      <w:proofErr w:type="spellEnd"/>
      <w:r w:rsidRPr="00C0377A">
        <w:t xml:space="preserve"> digital literacy and innovation, teachers consistently reported that ICT implementation was constrained by infrastructure. Rural schools in particular </w:t>
      </w:r>
      <w:r w:rsidRPr="00C0377A">
        <w:lastRenderedPageBreak/>
        <w:t>lacked projectors, internet access, and other digital tools. One participant stated, ‘We do not have a projector or internet. We use drawings and locally available materials instead’ (T1).</w:t>
      </w:r>
    </w:p>
    <w:p w14:paraId="7122BA2A" w14:textId="77777777" w:rsidR="00ED1461" w:rsidRPr="00C0377A" w:rsidRDefault="00C435D9">
      <w:pPr>
        <w:ind w:firstLine="360"/>
        <w:jc w:val="both"/>
      </w:pPr>
      <w:r w:rsidRPr="00C0377A">
        <w:t>Observation data supported these accounts. Digital technologies were rarely present in classrooms, and teachers instead relied on charts, flashcards, and other improvised materials. These adaptations reflected commitment and creativity, but they also highlighted a mismatch between policy expectations and school-level realities.</w:t>
      </w:r>
    </w:p>
    <w:p w14:paraId="5C4CD549" w14:textId="77777777" w:rsidR="00ED1461" w:rsidRPr="00C0377A" w:rsidRDefault="00C435D9">
      <w:pPr>
        <w:pStyle w:val="Heading2"/>
      </w:pPr>
      <w:r w:rsidRPr="00C0377A">
        <w:rPr>
          <w:rFonts w:ascii="Times New Roman" w:eastAsia="Times New Roman" w:hAnsi="Times New Roman"/>
        </w:rPr>
        <w:t>4.5 Structural Implementation Challenges</w:t>
      </w:r>
    </w:p>
    <w:p w14:paraId="0A9F4117" w14:textId="77777777" w:rsidR="00ED1461" w:rsidRPr="00C0377A" w:rsidRDefault="00C435D9">
      <w:pPr>
        <w:ind w:firstLine="360"/>
        <w:jc w:val="both"/>
      </w:pPr>
      <w:r w:rsidRPr="00C0377A">
        <w:t xml:space="preserve">Across the dataset, structural conditions emerged as a central barrier to effective implementation. Teachers repeatedly described overcrowded classrooms, shortages of textbooks and teaching aids, and limited institutional support. Large class sizes made it difficult to </w:t>
      </w:r>
      <w:proofErr w:type="spellStart"/>
      <w:r w:rsidRPr="00C0377A">
        <w:t>organise</w:t>
      </w:r>
      <w:proofErr w:type="spellEnd"/>
      <w:r w:rsidRPr="00C0377A">
        <w:t xml:space="preserve"> meaningful learner-</w:t>
      </w:r>
      <w:proofErr w:type="spellStart"/>
      <w:r w:rsidRPr="00C0377A">
        <w:t>centred</w:t>
      </w:r>
      <w:proofErr w:type="spellEnd"/>
      <w:r w:rsidRPr="00C0377A">
        <w:t xml:space="preserve"> activities, monitor group work, and provide feedback. As one teacher put it, ‘The classroom is too full. Group work becomes noise, and monitoring is difficult’ (T8).</w:t>
      </w:r>
    </w:p>
    <w:p w14:paraId="1A90D498" w14:textId="77777777" w:rsidR="00ED1461" w:rsidRPr="00C0377A" w:rsidRDefault="00C435D9">
      <w:pPr>
        <w:ind w:firstLine="360"/>
        <w:jc w:val="both"/>
      </w:pPr>
      <w:r w:rsidRPr="00C0377A">
        <w:t>Similarly, material shortages limited opportunities for practical activities and competence-based assessment. T6 explained, “We are told to use practical activities, but we lack enough materials.” These findings indicate that implementation challenges were not peripheral obstacles. They were core conditions shaping what teachers could realistically do.</w:t>
      </w:r>
    </w:p>
    <w:p w14:paraId="41387867" w14:textId="77777777" w:rsidR="00ED1461" w:rsidRPr="00C0377A" w:rsidRDefault="00C435D9">
      <w:pPr>
        <w:pStyle w:val="Heading2"/>
      </w:pPr>
      <w:r w:rsidRPr="00C0377A">
        <w:rPr>
          <w:rFonts w:ascii="Times New Roman" w:eastAsia="Times New Roman" w:hAnsi="Times New Roman"/>
        </w:rPr>
        <w:t>4.6 Coping Strategies and Professional Resilience</w:t>
      </w:r>
    </w:p>
    <w:p w14:paraId="2E6FCF33" w14:textId="77777777" w:rsidR="00ED1461" w:rsidRPr="00C0377A" w:rsidRDefault="00C435D9">
      <w:pPr>
        <w:ind w:firstLine="360"/>
        <w:jc w:val="both"/>
      </w:pPr>
      <w:r w:rsidRPr="00C0377A">
        <w:t>Despite these constraints, teachers showed notable resilience. Peer collaboration was one of the most visible coping strategies. MEWAKA groups functioned as informal professional learning communities in which teachers discussed lesson planning, shared ideas, and solved implementation problems together. T10 explained, “We plan lessons together and solve problems when the curriculum is difficult.”</w:t>
      </w:r>
    </w:p>
    <w:p w14:paraId="126CB1D2" w14:textId="77777777" w:rsidR="00ED1461" w:rsidRPr="00C0377A" w:rsidRDefault="00C435D9">
      <w:pPr>
        <w:ind w:firstLine="360"/>
        <w:jc w:val="both"/>
      </w:pPr>
      <w:r w:rsidRPr="00C0377A">
        <w:t>Teachers also improvised teaching aids using locally available materials and drew on local examples to make lessons more accessible. In addition, several teachers framed the reform positively despite the challenges. One teacher remarked, ‘Even if it is challenging, it is good for students’ future’ (T4). These responses suggest that teachers were not passive recipients of reform, but active agents working to sustain it under difficult conditions.</w:t>
      </w:r>
    </w:p>
    <w:p w14:paraId="6EEE740B" w14:textId="77777777" w:rsidR="00ED1461" w:rsidRPr="00C0377A" w:rsidRDefault="00C435D9">
      <w:pPr>
        <w:pStyle w:val="Heading2"/>
      </w:pPr>
      <w:r w:rsidRPr="00C0377A">
        <w:rPr>
          <w:rFonts w:ascii="Times New Roman" w:eastAsia="Times New Roman" w:hAnsi="Times New Roman"/>
        </w:rPr>
        <w:lastRenderedPageBreak/>
        <w:t>4.7 Cross-Case Pattern</w:t>
      </w:r>
    </w:p>
    <w:p w14:paraId="4CE6B106" w14:textId="77777777" w:rsidR="00ED1461" w:rsidRPr="00C0377A" w:rsidRDefault="00C435D9">
      <w:pPr>
        <w:ind w:firstLine="360"/>
        <w:jc w:val="both"/>
      </w:pPr>
      <w:r w:rsidRPr="00C0377A">
        <w:t>Across cases, three broad implementation profiles were evident. A first group was still trying to understand the reform and had made only limited changes to classroom practice. A second group was attempting implementation more actively, but remained constrained by uncertainty, workload, and material limitations. A third, smaller group showed more collaborative and reflective engagement, especially where peer support networks were strong. Overall, the findings suggest that implementation in Lindi Region is underway, but remains fragile and uneven.</w:t>
      </w:r>
    </w:p>
    <w:p w14:paraId="492203BA" w14:textId="77777777" w:rsidR="00ED1461" w:rsidRPr="00C0377A" w:rsidRDefault="00C435D9">
      <w:pPr>
        <w:spacing w:after="60" w:line="240" w:lineRule="auto"/>
      </w:pPr>
      <w:r w:rsidRPr="00C0377A">
        <w:rPr>
          <w:b/>
          <w:sz w:val="22"/>
        </w:rPr>
        <w:t>TABLE 2. SUMMARY OF MAJOR THEMES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803"/>
        <w:gridCol w:w="1803"/>
        <w:gridCol w:w="1803"/>
        <w:gridCol w:w="1803"/>
      </w:tblGrid>
      <w:tr w:rsidR="00ED1461" w:rsidRPr="00C0377A" w14:paraId="1C464ABC" w14:textId="77777777">
        <w:trPr>
          <w:jc w:val="center"/>
        </w:trPr>
        <w:tc>
          <w:tcPr>
            <w:tcW w:w="1805" w:type="dxa"/>
            <w:tcMar>
              <w:top w:w="60" w:type="dxa"/>
              <w:left w:w="60" w:type="dxa"/>
              <w:bottom w:w="60" w:type="dxa"/>
              <w:right w:w="60" w:type="dxa"/>
            </w:tcMar>
          </w:tcPr>
          <w:p w14:paraId="38F5DA87" w14:textId="77777777" w:rsidR="00ED1461" w:rsidRPr="00C0377A" w:rsidRDefault="00C435D9">
            <w:pPr>
              <w:spacing w:after="0" w:line="240" w:lineRule="auto"/>
            </w:pPr>
            <w:r w:rsidRPr="00C0377A">
              <w:rPr>
                <w:b/>
                <w:sz w:val="16"/>
              </w:rPr>
              <w:t>Theme</w:t>
            </w:r>
          </w:p>
        </w:tc>
        <w:tc>
          <w:tcPr>
            <w:tcW w:w="1805" w:type="dxa"/>
            <w:tcMar>
              <w:top w:w="60" w:type="dxa"/>
              <w:left w:w="60" w:type="dxa"/>
              <w:bottom w:w="60" w:type="dxa"/>
              <w:right w:w="60" w:type="dxa"/>
            </w:tcMar>
          </w:tcPr>
          <w:p w14:paraId="4ACD2C5B" w14:textId="77777777" w:rsidR="00ED1461" w:rsidRPr="00C0377A" w:rsidRDefault="00C435D9">
            <w:pPr>
              <w:spacing w:after="0" w:line="240" w:lineRule="auto"/>
            </w:pPr>
            <w:r w:rsidRPr="00C0377A">
              <w:rPr>
                <w:b/>
                <w:sz w:val="16"/>
              </w:rPr>
              <w:t>Main point</w:t>
            </w:r>
          </w:p>
        </w:tc>
        <w:tc>
          <w:tcPr>
            <w:tcW w:w="1805" w:type="dxa"/>
            <w:tcMar>
              <w:top w:w="60" w:type="dxa"/>
              <w:left w:w="60" w:type="dxa"/>
              <w:bottom w:w="60" w:type="dxa"/>
              <w:right w:w="60" w:type="dxa"/>
            </w:tcMar>
          </w:tcPr>
          <w:p w14:paraId="3C2B8B8E" w14:textId="77777777" w:rsidR="00ED1461" w:rsidRPr="00C0377A" w:rsidRDefault="00C435D9">
            <w:pPr>
              <w:spacing w:after="0" w:line="240" w:lineRule="auto"/>
            </w:pPr>
            <w:r w:rsidRPr="00C0377A">
              <w:rPr>
                <w:b/>
                <w:sz w:val="16"/>
              </w:rPr>
              <w:t>Predominant CBAM interpretation</w:t>
            </w:r>
          </w:p>
        </w:tc>
        <w:tc>
          <w:tcPr>
            <w:tcW w:w="1805" w:type="dxa"/>
            <w:tcMar>
              <w:top w:w="60" w:type="dxa"/>
              <w:left w:w="60" w:type="dxa"/>
              <w:bottom w:w="60" w:type="dxa"/>
              <w:right w:w="60" w:type="dxa"/>
            </w:tcMar>
          </w:tcPr>
          <w:p w14:paraId="6D95A106" w14:textId="77777777" w:rsidR="00ED1461" w:rsidRPr="00C0377A" w:rsidRDefault="00C435D9">
            <w:pPr>
              <w:spacing w:after="0" w:line="240" w:lineRule="auto"/>
            </w:pPr>
            <w:r w:rsidRPr="00C0377A">
              <w:rPr>
                <w:b/>
                <w:sz w:val="16"/>
              </w:rPr>
              <w:t>Illustrative evidence</w:t>
            </w:r>
          </w:p>
        </w:tc>
        <w:tc>
          <w:tcPr>
            <w:tcW w:w="1805" w:type="dxa"/>
            <w:tcMar>
              <w:top w:w="60" w:type="dxa"/>
              <w:left w:w="60" w:type="dxa"/>
              <w:bottom w:w="60" w:type="dxa"/>
              <w:right w:w="60" w:type="dxa"/>
            </w:tcMar>
          </w:tcPr>
          <w:p w14:paraId="204F463D" w14:textId="77777777" w:rsidR="00ED1461" w:rsidRPr="00C0377A" w:rsidRDefault="00C435D9">
            <w:pPr>
              <w:spacing w:after="0" w:line="240" w:lineRule="auto"/>
            </w:pPr>
            <w:r w:rsidRPr="00C0377A">
              <w:rPr>
                <w:b/>
                <w:sz w:val="16"/>
              </w:rPr>
              <w:t>Interview–observation link</w:t>
            </w:r>
          </w:p>
        </w:tc>
      </w:tr>
      <w:tr w:rsidR="00ED1461" w:rsidRPr="00C0377A" w14:paraId="4A764FAB" w14:textId="77777777">
        <w:trPr>
          <w:jc w:val="center"/>
        </w:trPr>
        <w:tc>
          <w:tcPr>
            <w:tcW w:w="1805" w:type="dxa"/>
            <w:tcMar>
              <w:top w:w="60" w:type="dxa"/>
              <w:left w:w="60" w:type="dxa"/>
              <w:bottom w:w="60" w:type="dxa"/>
              <w:right w:w="60" w:type="dxa"/>
            </w:tcMar>
          </w:tcPr>
          <w:p w14:paraId="4FADC718" w14:textId="77777777" w:rsidR="00ED1461" w:rsidRPr="00C0377A" w:rsidRDefault="00C435D9">
            <w:pPr>
              <w:spacing w:after="0" w:line="240" w:lineRule="auto"/>
            </w:pPr>
            <w:r w:rsidRPr="00C0377A">
              <w:rPr>
                <w:sz w:val="16"/>
              </w:rPr>
              <w:t>Understanding of the reform</w:t>
            </w:r>
          </w:p>
        </w:tc>
        <w:tc>
          <w:tcPr>
            <w:tcW w:w="1805" w:type="dxa"/>
            <w:tcMar>
              <w:top w:w="60" w:type="dxa"/>
              <w:left w:w="60" w:type="dxa"/>
              <w:bottom w:w="60" w:type="dxa"/>
              <w:right w:w="60" w:type="dxa"/>
            </w:tcMar>
          </w:tcPr>
          <w:p w14:paraId="58BBB16B" w14:textId="77777777" w:rsidR="00ED1461" w:rsidRPr="00C0377A" w:rsidRDefault="00C435D9">
            <w:pPr>
              <w:spacing w:after="0" w:line="240" w:lineRule="auto"/>
            </w:pPr>
            <w:r w:rsidRPr="00C0377A">
              <w:rPr>
                <w:sz w:val="16"/>
              </w:rPr>
              <w:t>Teachers generally supported learner-</w:t>
            </w:r>
            <w:proofErr w:type="spellStart"/>
            <w:r w:rsidRPr="00C0377A">
              <w:rPr>
                <w:sz w:val="16"/>
              </w:rPr>
              <w:t>centred</w:t>
            </w:r>
            <w:proofErr w:type="spellEnd"/>
            <w:r w:rsidRPr="00C0377A">
              <w:rPr>
                <w:sz w:val="16"/>
              </w:rPr>
              <w:t xml:space="preserve"> goals, but differed in how far they could translate them into practice.</w:t>
            </w:r>
          </w:p>
        </w:tc>
        <w:tc>
          <w:tcPr>
            <w:tcW w:w="1805" w:type="dxa"/>
            <w:tcMar>
              <w:top w:w="60" w:type="dxa"/>
              <w:left w:w="60" w:type="dxa"/>
              <w:bottom w:w="60" w:type="dxa"/>
              <w:right w:w="60" w:type="dxa"/>
            </w:tcMar>
          </w:tcPr>
          <w:p w14:paraId="33923D93" w14:textId="77777777" w:rsidR="00ED1461" w:rsidRPr="00C0377A" w:rsidRDefault="00C435D9">
            <w:pPr>
              <w:spacing w:after="0" w:line="240" w:lineRule="auto"/>
            </w:pPr>
            <w:r w:rsidRPr="00C0377A">
              <w:rPr>
                <w:sz w:val="16"/>
              </w:rPr>
              <w:t>SoC: personal and management concerns</w:t>
            </w:r>
          </w:p>
        </w:tc>
        <w:tc>
          <w:tcPr>
            <w:tcW w:w="1805" w:type="dxa"/>
            <w:tcMar>
              <w:top w:w="60" w:type="dxa"/>
              <w:left w:w="60" w:type="dxa"/>
              <w:bottom w:w="60" w:type="dxa"/>
              <w:right w:w="60" w:type="dxa"/>
            </w:tcMar>
          </w:tcPr>
          <w:p w14:paraId="0C50F2DE" w14:textId="77777777" w:rsidR="00ED1461" w:rsidRPr="00C0377A" w:rsidRDefault="00C435D9">
            <w:pPr>
              <w:spacing w:after="0" w:line="240" w:lineRule="auto"/>
            </w:pPr>
            <w:r w:rsidRPr="00C0377A">
              <w:rPr>
                <w:sz w:val="16"/>
              </w:rPr>
              <w:t>“I understand that it focuses on student-</w:t>
            </w:r>
            <w:proofErr w:type="spellStart"/>
            <w:r w:rsidRPr="00C0377A">
              <w:rPr>
                <w:sz w:val="16"/>
              </w:rPr>
              <w:t>centred</w:t>
            </w:r>
            <w:proofErr w:type="spellEnd"/>
            <w:r w:rsidRPr="00C0377A">
              <w:rPr>
                <w:sz w:val="16"/>
              </w:rPr>
              <w:t xml:space="preserve"> learning …” (T7); “We were not trained properly …” (T12).</w:t>
            </w:r>
          </w:p>
        </w:tc>
        <w:tc>
          <w:tcPr>
            <w:tcW w:w="1805" w:type="dxa"/>
            <w:tcMar>
              <w:top w:w="60" w:type="dxa"/>
              <w:left w:w="60" w:type="dxa"/>
              <w:bottom w:w="60" w:type="dxa"/>
              <w:right w:w="60" w:type="dxa"/>
            </w:tcMar>
          </w:tcPr>
          <w:p w14:paraId="1881E68C" w14:textId="77777777" w:rsidR="00ED1461" w:rsidRPr="00C0377A" w:rsidRDefault="00C435D9">
            <w:pPr>
              <w:spacing w:after="0" w:line="240" w:lineRule="auto"/>
            </w:pPr>
            <w:r w:rsidRPr="00C0377A">
              <w:rPr>
                <w:sz w:val="16"/>
              </w:rPr>
              <w:t>Some teachers endorsed learner-</w:t>
            </w:r>
            <w:proofErr w:type="spellStart"/>
            <w:r w:rsidRPr="00C0377A">
              <w:rPr>
                <w:sz w:val="16"/>
              </w:rPr>
              <w:t>centred</w:t>
            </w:r>
            <w:proofErr w:type="spellEnd"/>
            <w:r w:rsidRPr="00C0377A">
              <w:rPr>
                <w:sz w:val="16"/>
              </w:rPr>
              <w:t xml:space="preserve"> teaching in interviews, yet observed lessons remained largely teacher-led.</w:t>
            </w:r>
          </w:p>
        </w:tc>
      </w:tr>
      <w:tr w:rsidR="00ED1461" w:rsidRPr="00C0377A" w14:paraId="4A89486D" w14:textId="77777777">
        <w:trPr>
          <w:jc w:val="center"/>
        </w:trPr>
        <w:tc>
          <w:tcPr>
            <w:tcW w:w="1805" w:type="dxa"/>
            <w:tcMar>
              <w:top w:w="60" w:type="dxa"/>
              <w:left w:w="60" w:type="dxa"/>
              <w:bottom w:w="60" w:type="dxa"/>
              <w:right w:w="60" w:type="dxa"/>
            </w:tcMar>
          </w:tcPr>
          <w:p w14:paraId="37DB1F8C" w14:textId="77777777" w:rsidR="00ED1461" w:rsidRPr="00C0377A" w:rsidRDefault="00C435D9">
            <w:pPr>
              <w:spacing w:after="0" w:line="240" w:lineRule="auto"/>
            </w:pPr>
            <w:r w:rsidRPr="00C0377A">
              <w:rPr>
                <w:sz w:val="16"/>
              </w:rPr>
              <w:t>Training and support</w:t>
            </w:r>
          </w:p>
        </w:tc>
        <w:tc>
          <w:tcPr>
            <w:tcW w:w="1805" w:type="dxa"/>
            <w:tcMar>
              <w:top w:w="60" w:type="dxa"/>
              <w:left w:w="60" w:type="dxa"/>
              <w:bottom w:w="60" w:type="dxa"/>
              <w:right w:w="60" w:type="dxa"/>
            </w:tcMar>
          </w:tcPr>
          <w:p w14:paraId="6C562230" w14:textId="77777777" w:rsidR="00ED1461" w:rsidRPr="00C0377A" w:rsidRDefault="00C435D9">
            <w:pPr>
              <w:spacing w:after="0" w:line="240" w:lineRule="auto"/>
            </w:pPr>
            <w:r w:rsidRPr="00C0377A">
              <w:rPr>
                <w:sz w:val="16"/>
              </w:rPr>
              <w:t>Formal training was limited, so teachers relied heavily on peer support.</w:t>
            </w:r>
          </w:p>
        </w:tc>
        <w:tc>
          <w:tcPr>
            <w:tcW w:w="1805" w:type="dxa"/>
            <w:tcMar>
              <w:top w:w="60" w:type="dxa"/>
              <w:left w:w="60" w:type="dxa"/>
              <w:bottom w:w="60" w:type="dxa"/>
              <w:right w:w="60" w:type="dxa"/>
            </w:tcMar>
          </w:tcPr>
          <w:p w14:paraId="3F6A6D98" w14:textId="77777777" w:rsidR="00ED1461" w:rsidRPr="00C0377A" w:rsidRDefault="00C435D9">
            <w:pPr>
              <w:spacing w:after="0" w:line="240" w:lineRule="auto"/>
            </w:pPr>
            <w:r w:rsidRPr="00C0377A">
              <w:rPr>
                <w:sz w:val="16"/>
              </w:rPr>
              <w:t>SoC: information, personal, and management concerns</w:t>
            </w:r>
          </w:p>
        </w:tc>
        <w:tc>
          <w:tcPr>
            <w:tcW w:w="1805" w:type="dxa"/>
            <w:tcMar>
              <w:top w:w="60" w:type="dxa"/>
              <w:left w:w="60" w:type="dxa"/>
              <w:bottom w:w="60" w:type="dxa"/>
              <w:right w:w="60" w:type="dxa"/>
            </w:tcMar>
          </w:tcPr>
          <w:p w14:paraId="70FB3842" w14:textId="77777777" w:rsidR="00ED1461" w:rsidRPr="00C0377A" w:rsidRDefault="00C435D9">
            <w:pPr>
              <w:spacing w:after="0" w:line="240" w:lineRule="auto"/>
            </w:pPr>
            <w:r w:rsidRPr="00C0377A">
              <w:rPr>
                <w:sz w:val="16"/>
              </w:rPr>
              <w:t>“Those who attended training explained it to us …” (T15); “We depend on each other” (T14).</w:t>
            </w:r>
          </w:p>
        </w:tc>
        <w:tc>
          <w:tcPr>
            <w:tcW w:w="1805" w:type="dxa"/>
            <w:tcMar>
              <w:top w:w="60" w:type="dxa"/>
              <w:left w:w="60" w:type="dxa"/>
              <w:bottom w:w="60" w:type="dxa"/>
              <w:right w:w="60" w:type="dxa"/>
            </w:tcMar>
          </w:tcPr>
          <w:p w14:paraId="70AA2639" w14:textId="77777777" w:rsidR="00ED1461" w:rsidRPr="00C0377A" w:rsidRDefault="00C435D9">
            <w:pPr>
              <w:spacing w:after="0" w:line="240" w:lineRule="auto"/>
            </w:pPr>
            <w:r w:rsidRPr="00C0377A">
              <w:rPr>
                <w:sz w:val="16"/>
              </w:rPr>
              <w:t>Teachers who reported collaborative support were more likely to demonstrate visible experimentation in class.</w:t>
            </w:r>
          </w:p>
        </w:tc>
      </w:tr>
      <w:tr w:rsidR="00ED1461" w:rsidRPr="00C0377A" w14:paraId="6B1827FF" w14:textId="77777777">
        <w:trPr>
          <w:jc w:val="center"/>
        </w:trPr>
        <w:tc>
          <w:tcPr>
            <w:tcW w:w="1805" w:type="dxa"/>
            <w:tcMar>
              <w:top w:w="60" w:type="dxa"/>
              <w:left w:w="60" w:type="dxa"/>
              <w:bottom w:w="60" w:type="dxa"/>
              <w:right w:w="60" w:type="dxa"/>
            </w:tcMar>
          </w:tcPr>
          <w:p w14:paraId="0FAC50D9" w14:textId="77777777" w:rsidR="00ED1461" w:rsidRPr="00C0377A" w:rsidRDefault="00C435D9">
            <w:pPr>
              <w:spacing w:after="0" w:line="240" w:lineRule="auto"/>
            </w:pPr>
            <w:r w:rsidRPr="00C0377A">
              <w:rPr>
                <w:sz w:val="16"/>
              </w:rPr>
              <w:t>Classroom practice</w:t>
            </w:r>
          </w:p>
        </w:tc>
        <w:tc>
          <w:tcPr>
            <w:tcW w:w="1805" w:type="dxa"/>
            <w:tcMar>
              <w:top w:w="60" w:type="dxa"/>
              <w:left w:w="60" w:type="dxa"/>
              <w:bottom w:w="60" w:type="dxa"/>
              <w:right w:w="60" w:type="dxa"/>
            </w:tcMar>
          </w:tcPr>
          <w:p w14:paraId="60A640BD" w14:textId="77777777" w:rsidR="00ED1461" w:rsidRPr="00C0377A" w:rsidRDefault="00C435D9">
            <w:pPr>
              <w:spacing w:after="0" w:line="240" w:lineRule="auto"/>
            </w:pPr>
            <w:r w:rsidRPr="00C0377A">
              <w:rPr>
                <w:sz w:val="16"/>
              </w:rPr>
              <w:t>Teachers were attempting learner-</w:t>
            </w:r>
            <w:proofErr w:type="spellStart"/>
            <w:r w:rsidRPr="00C0377A">
              <w:rPr>
                <w:sz w:val="16"/>
              </w:rPr>
              <w:t>centred</w:t>
            </w:r>
            <w:proofErr w:type="spellEnd"/>
            <w:r w:rsidRPr="00C0377A">
              <w:rPr>
                <w:sz w:val="16"/>
              </w:rPr>
              <w:t xml:space="preserve"> strategies, but their enactment ranged from procedural to more reflective.</w:t>
            </w:r>
          </w:p>
        </w:tc>
        <w:tc>
          <w:tcPr>
            <w:tcW w:w="1805" w:type="dxa"/>
            <w:tcMar>
              <w:top w:w="60" w:type="dxa"/>
              <w:left w:w="60" w:type="dxa"/>
              <w:bottom w:w="60" w:type="dxa"/>
              <w:right w:w="60" w:type="dxa"/>
            </w:tcMar>
          </w:tcPr>
          <w:p w14:paraId="650E7D6E" w14:textId="77777777" w:rsidR="00ED1461" w:rsidRPr="00C0377A" w:rsidRDefault="00C435D9">
            <w:pPr>
              <w:spacing w:after="0" w:line="240" w:lineRule="auto"/>
            </w:pPr>
            <w:proofErr w:type="spellStart"/>
            <w:r w:rsidRPr="00C0377A">
              <w:rPr>
                <w:sz w:val="16"/>
              </w:rPr>
              <w:t>LoU</w:t>
            </w:r>
            <w:proofErr w:type="spellEnd"/>
            <w:r w:rsidRPr="00C0377A">
              <w:rPr>
                <w:sz w:val="16"/>
              </w:rPr>
              <w:t>: preparation for mechanical use, with isolated movement towards refinement</w:t>
            </w:r>
          </w:p>
        </w:tc>
        <w:tc>
          <w:tcPr>
            <w:tcW w:w="1805" w:type="dxa"/>
            <w:tcMar>
              <w:top w:w="60" w:type="dxa"/>
              <w:left w:w="60" w:type="dxa"/>
              <w:bottom w:w="60" w:type="dxa"/>
              <w:right w:w="60" w:type="dxa"/>
            </w:tcMar>
          </w:tcPr>
          <w:p w14:paraId="77EEDEF1" w14:textId="77777777" w:rsidR="00ED1461" w:rsidRPr="00C0377A" w:rsidRDefault="00C435D9">
            <w:pPr>
              <w:spacing w:after="0" w:line="240" w:lineRule="auto"/>
            </w:pPr>
            <w:r w:rsidRPr="00C0377A">
              <w:rPr>
                <w:sz w:val="16"/>
              </w:rPr>
              <w:t>“I prepare teaching aids now, but sometimes I am not sure …” (T9); “I adjusted the group activity …” (T3).</w:t>
            </w:r>
          </w:p>
        </w:tc>
        <w:tc>
          <w:tcPr>
            <w:tcW w:w="1805" w:type="dxa"/>
            <w:tcMar>
              <w:top w:w="60" w:type="dxa"/>
              <w:left w:w="60" w:type="dxa"/>
              <w:bottom w:w="60" w:type="dxa"/>
              <w:right w:w="60" w:type="dxa"/>
            </w:tcMar>
          </w:tcPr>
          <w:p w14:paraId="21EBB8AA" w14:textId="77777777" w:rsidR="00ED1461" w:rsidRPr="00C0377A" w:rsidRDefault="00C435D9">
            <w:pPr>
              <w:spacing w:after="0" w:line="240" w:lineRule="auto"/>
            </w:pPr>
            <w:r w:rsidRPr="00C0377A">
              <w:rPr>
                <w:sz w:val="16"/>
              </w:rPr>
              <w:t>Some lessons used group work mechanically, while others showed clearer task structure and learner engagement.</w:t>
            </w:r>
          </w:p>
        </w:tc>
      </w:tr>
      <w:tr w:rsidR="00ED1461" w:rsidRPr="00C0377A" w14:paraId="50764183" w14:textId="77777777">
        <w:trPr>
          <w:jc w:val="center"/>
        </w:trPr>
        <w:tc>
          <w:tcPr>
            <w:tcW w:w="1805" w:type="dxa"/>
            <w:tcMar>
              <w:top w:w="60" w:type="dxa"/>
              <w:left w:w="60" w:type="dxa"/>
              <w:bottom w:w="60" w:type="dxa"/>
              <w:right w:w="60" w:type="dxa"/>
            </w:tcMar>
          </w:tcPr>
          <w:p w14:paraId="18C36477" w14:textId="77777777" w:rsidR="00ED1461" w:rsidRPr="00C0377A" w:rsidRDefault="00C435D9">
            <w:pPr>
              <w:spacing w:after="0" w:line="240" w:lineRule="auto"/>
            </w:pPr>
            <w:r w:rsidRPr="00C0377A">
              <w:rPr>
                <w:sz w:val="16"/>
              </w:rPr>
              <w:t>ICT and materials</w:t>
            </w:r>
          </w:p>
        </w:tc>
        <w:tc>
          <w:tcPr>
            <w:tcW w:w="1805" w:type="dxa"/>
            <w:tcMar>
              <w:top w:w="60" w:type="dxa"/>
              <w:left w:w="60" w:type="dxa"/>
              <w:bottom w:w="60" w:type="dxa"/>
              <w:right w:w="60" w:type="dxa"/>
            </w:tcMar>
          </w:tcPr>
          <w:p w14:paraId="1AF1E267" w14:textId="77777777" w:rsidR="00ED1461" w:rsidRPr="00C0377A" w:rsidRDefault="00C435D9">
            <w:pPr>
              <w:spacing w:after="0" w:line="240" w:lineRule="auto"/>
            </w:pPr>
            <w:r w:rsidRPr="00C0377A">
              <w:rPr>
                <w:sz w:val="16"/>
              </w:rPr>
              <w:t>Digital and instructional resources were inadequate, especially in rural schools.</w:t>
            </w:r>
          </w:p>
        </w:tc>
        <w:tc>
          <w:tcPr>
            <w:tcW w:w="1805" w:type="dxa"/>
            <w:tcMar>
              <w:top w:w="60" w:type="dxa"/>
              <w:left w:w="60" w:type="dxa"/>
              <w:bottom w:w="60" w:type="dxa"/>
              <w:right w:w="60" w:type="dxa"/>
            </w:tcMar>
          </w:tcPr>
          <w:p w14:paraId="4C875399" w14:textId="77777777" w:rsidR="00ED1461" w:rsidRPr="00C0377A" w:rsidRDefault="00C435D9">
            <w:pPr>
              <w:spacing w:after="0" w:line="240" w:lineRule="auto"/>
            </w:pPr>
            <w:proofErr w:type="spellStart"/>
            <w:r w:rsidRPr="00C0377A">
              <w:rPr>
                <w:sz w:val="16"/>
              </w:rPr>
              <w:t>LoU</w:t>
            </w:r>
            <w:proofErr w:type="spellEnd"/>
            <w:r w:rsidRPr="00C0377A">
              <w:rPr>
                <w:sz w:val="16"/>
              </w:rPr>
              <w:t>: orientation constrained by resource limitations</w:t>
            </w:r>
          </w:p>
        </w:tc>
        <w:tc>
          <w:tcPr>
            <w:tcW w:w="1805" w:type="dxa"/>
            <w:tcMar>
              <w:top w:w="60" w:type="dxa"/>
              <w:left w:w="60" w:type="dxa"/>
              <w:bottom w:w="60" w:type="dxa"/>
              <w:right w:w="60" w:type="dxa"/>
            </w:tcMar>
          </w:tcPr>
          <w:p w14:paraId="7E9EE7AD" w14:textId="77777777" w:rsidR="00ED1461" w:rsidRPr="00C0377A" w:rsidRDefault="00C435D9">
            <w:pPr>
              <w:spacing w:after="0" w:line="240" w:lineRule="auto"/>
            </w:pPr>
            <w:r w:rsidRPr="00C0377A">
              <w:rPr>
                <w:sz w:val="16"/>
              </w:rPr>
              <w:t>“We do not have a projector or internet …” (T1).</w:t>
            </w:r>
          </w:p>
        </w:tc>
        <w:tc>
          <w:tcPr>
            <w:tcW w:w="1805" w:type="dxa"/>
            <w:tcMar>
              <w:top w:w="60" w:type="dxa"/>
              <w:left w:w="60" w:type="dxa"/>
              <w:bottom w:w="60" w:type="dxa"/>
              <w:right w:w="60" w:type="dxa"/>
            </w:tcMar>
          </w:tcPr>
          <w:p w14:paraId="312AC28C" w14:textId="77777777" w:rsidR="00ED1461" w:rsidRPr="00C0377A" w:rsidRDefault="00C435D9">
            <w:pPr>
              <w:spacing w:after="0" w:line="240" w:lineRule="auto"/>
            </w:pPr>
            <w:r w:rsidRPr="00C0377A">
              <w:rPr>
                <w:sz w:val="16"/>
              </w:rPr>
              <w:t>Observations confirmed the near absence of ICT and reliance on improvised materials.</w:t>
            </w:r>
          </w:p>
        </w:tc>
      </w:tr>
      <w:tr w:rsidR="00ED1461" w:rsidRPr="00C0377A" w14:paraId="100D0C8B" w14:textId="77777777">
        <w:trPr>
          <w:jc w:val="center"/>
        </w:trPr>
        <w:tc>
          <w:tcPr>
            <w:tcW w:w="1805" w:type="dxa"/>
            <w:tcMar>
              <w:top w:w="60" w:type="dxa"/>
              <w:left w:w="60" w:type="dxa"/>
              <w:bottom w:w="60" w:type="dxa"/>
              <w:right w:w="60" w:type="dxa"/>
            </w:tcMar>
          </w:tcPr>
          <w:p w14:paraId="63BC1175" w14:textId="77777777" w:rsidR="00ED1461" w:rsidRPr="00C0377A" w:rsidRDefault="00C435D9">
            <w:pPr>
              <w:spacing w:after="0" w:line="240" w:lineRule="auto"/>
            </w:pPr>
            <w:r w:rsidRPr="00C0377A">
              <w:rPr>
                <w:sz w:val="16"/>
              </w:rPr>
              <w:t>Structural challenges</w:t>
            </w:r>
          </w:p>
        </w:tc>
        <w:tc>
          <w:tcPr>
            <w:tcW w:w="1805" w:type="dxa"/>
            <w:tcMar>
              <w:top w:w="60" w:type="dxa"/>
              <w:left w:w="60" w:type="dxa"/>
              <w:bottom w:w="60" w:type="dxa"/>
              <w:right w:w="60" w:type="dxa"/>
            </w:tcMar>
          </w:tcPr>
          <w:p w14:paraId="40F6B1A9" w14:textId="77777777" w:rsidR="00ED1461" w:rsidRPr="00C0377A" w:rsidRDefault="00C435D9">
            <w:pPr>
              <w:spacing w:after="0" w:line="240" w:lineRule="auto"/>
            </w:pPr>
            <w:r w:rsidRPr="00C0377A">
              <w:rPr>
                <w:sz w:val="16"/>
              </w:rPr>
              <w:t>Overcrowding and shortages shaped what teachers could realistically implement.</w:t>
            </w:r>
          </w:p>
        </w:tc>
        <w:tc>
          <w:tcPr>
            <w:tcW w:w="1805" w:type="dxa"/>
            <w:tcMar>
              <w:top w:w="60" w:type="dxa"/>
              <w:left w:w="60" w:type="dxa"/>
              <w:bottom w:w="60" w:type="dxa"/>
              <w:right w:w="60" w:type="dxa"/>
            </w:tcMar>
          </w:tcPr>
          <w:p w14:paraId="530A7969" w14:textId="77777777" w:rsidR="00ED1461" w:rsidRPr="00C0377A" w:rsidRDefault="00C435D9">
            <w:pPr>
              <w:spacing w:after="0" w:line="240" w:lineRule="auto"/>
            </w:pPr>
            <w:r w:rsidRPr="00C0377A">
              <w:rPr>
                <w:sz w:val="16"/>
              </w:rPr>
              <w:t>SoC: management concerns</w:t>
            </w:r>
          </w:p>
        </w:tc>
        <w:tc>
          <w:tcPr>
            <w:tcW w:w="1805" w:type="dxa"/>
            <w:tcMar>
              <w:top w:w="60" w:type="dxa"/>
              <w:left w:w="60" w:type="dxa"/>
              <w:bottom w:w="60" w:type="dxa"/>
              <w:right w:w="60" w:type="dxa"/>
            </w:tcMar>
          </w:tcPr>
          <w:p w14:paraId="53E082E4" w14:textId="77777777" w:rsidR="00ED1461" w:rsidRPr="00C0377A" w:rsidRDefault="00C435D9">
            <w:pPr>
              <w:spacing w:after="0" w:line="240" w:lineRule="auto"/>
            </w:pPr>
            <w:r w:rsidRPr="00C0377A">
              <w:rPr>
                <w:sz w:val="16"/>
              </w:rPr>
              <w:t>“The classroom is too full …” (T8); “We lack enough materials” (T6).</w:t>
            </w:r>
          </w:p>
        </w:tc>
        <w:tc>
          <w:tcPr>
            <w:tcW w:w="1805" w:type="dxa"/>
            <w:tcMar>
              <w:top w:w="60" w:type="dxa"/>
              <w:left w:w="60" w:type="dxa"/>
              <w:bottom w:w="60" w:type="dxa"/>
              <w:right w:w="60" w:type="dxa"/>
            </w:tcMar>
          </w:tcPr>
          <w:p w14:paraId="670A452F" w14:textId="77777777" w:rsidR="00ED1461" w:rsidRPr="00C0377A" w:rsidRDefault="00C435D9">
            <w:pPr>
              <w:spacing w:after="0" w:line="240" w:lineRule="auto"/>
            </w:pPr>
            <w:r w:rsidRPr="00C0377A">
              <w:rPr>
                <w:sz w:val="16"/>
              </w:rPr>
              <w:t>Large classes limited monitoring, feedback, and meaningful group activity.</w:t>
            </w:r>
          </w:p>
        </w:tc>
      </w:tr>
      <w:tr w:rsidR="00ED1461" w:rsidRPr="00C0377A" w14:paraId="31F1DABF" w14:textId="77777777">
        <w:trPr>
          <w:jc w:val="center"/>
        </w:trPr>
        <w:tc>
          <w:tcPr>
            <w:tcW w:w="1805" w:type="dxa"/>
            <w:tcMar>
              <w:top w:w="60" w:type="dxa"/>
              <w:left w:w="60" w:type="dxa"/>
              <w:bottom w:w="60" w:type="dxa"/>
              <w:right w:w="60" w:type="dxa"/>
            </w:tcMar>
          </w:tcPr>
          <w:p w14:paraId="5FA6FC9F" w14:textId="77777777" w:rsidR="00ED1461" w:rsidRPr="00C0377A" w:rsidRDefault="00C435D9">
            <w:pPr>
              <w:spacing w:after="0" w:line="240" w:lineRule="auto"/>
            </w:pPr>
            <w:r w:rsidRPr="00C0377A">
              <w:rPr>
                <w:sz w:val="16"/>
              </w:rPr>
              <w:t>Resilience and coping</w:t>
            </w:r>
          </w:p>
        </w:tc>
        <w:tc>
          <w:tcPr>
            <w:tcW w:w="1805" w:type="dxa"/>
            <w:tcMar>
              <w:top w:w="60" w:type="dxa"/>
              <w:left w:w="60" w:type="dxa"/>
              <w:bottom w:w="60" w:type="dxa"/>
              <w:right w:w="60" w:type="dxa"/>
            </w:tcMar>
          </w:tcPr>
          <w:p w14:paraId="24364E95" w14:textId="77777777" w:rsidR="00ED1461" w:rsidRPr="00C0377A" w:rsidRDefault="00C435D9">
            <w:pPr>
              <w:spacing w:after="0" w:line="240" w:lineRule="auto"/>
            </w:pPr>
            <w:r w:rsidRPr="00C0377A">
              <w:rPr>
                <w:sz w:val="16"/>
              </w:rPr>
              <w:t>Teachers collaborated, improvised, and remained committed to reform goals.</w:t>
            </w:r>
          </w:p>
        </w:tc>
        <w:tc>
          <w:tcPr>
            <w:tcW w:w="1805" w:type="dxa"/>
            <w:tcMar>
              <w:top w:w="60" w:type="dxa"/>
              <w:left w:w="60" w:type="dxa"/>
              <w:bottom w:w="60" w:type="dxa"/>
              <w:right w:w="60" w:type="dxa"/>
            </w:tcMar>
          </w:tcPr>
          <w:p w14:paraId="52717668" w14:textId="77777777" w:rsidR="00ED1461" w:rsidRPr="00C0377A" w:rsidRDefault="00C435D9">
            <w:pPr>
              <w:spacing w:after="0" w:line="240" w:lineRule="auto"/>
            </w:pPr>
            <w:r w:rsidRPr="00C0377A">
              <w:rPr>
                <w:sz w:val="16"/>
              </w:rPr>
              <w:t xml:space="preserve">SoC: collaboration; </w:t>
            </w:r>
            <w:proofErr w:type="spellStart"/>
            <w:r w:rsidRPr="00C0377A">
              <w:rPr>
                <w:sz w:val="16"/>
              </w:rPr>
              <w:t>LoU</w:t>
            </w:r>
            <w:proofErr w:type="spellEnd"/>
            <w:r w:rsidRPr="00C0377A">
              <w:rPr>
                <w:sz w:val="16"/>
              </w:rPr>
              <w:t>: routine use in selected practices</w:t>
            </w:r>
          </w:p>
        </w:tc>
        <w:tc>
          <w:tcPr>
            <w:tcW w:w="1805" w:type="dxa"/>
            <w:tcMar>
              <w:top w:w="60" w:type="dxa"/>
              <w:left w:w="60" w:type="dxa"/>
              <w:bottom w:w="60" w:type="dxa"/>
              <w:right w:w="60" w:type="dxa"/>
            </w:tcMar>
          </w:tcPr>
          <w:p w14:paraId="65D84A2C" w14:textId="77777777" w:rsidR="00ED1461" w:rsidRPr="00C0377A" w:rsidRDefault="00C435D9">
            <w:pPr>
              <w:spacing w:after="0" w:line="240" w:lineRule="auto"/>
            </w:pPr>
            <w:r w:rsidRPr="00C0377A">
              <w:rPr>
                <w:sz w:val="16"/>
              </w:rPr>
              <w:t>“We plan lessons together …” (T10); “It is good for students’ future” (T4).</w:t>
            </w:r>
          </w:p>
        </w:tc>
        <w:tc>
          <w:tcPr>
            <w:tcW w:w="1805" w:type="dxa"/>
            <w:tcMar>
              <w:top w:w="60" w:type="dxa"/>
              <w:left w:w="60" w:type="dxa"/>
              <w:bottom w:w="60" w:type="dxa"/>
              <w:right w:w="60" w:type="dxa"/>
            </w:tcMar>
          </w:tcPr>
          <w:p w14:paraId="35A26462" w14:textId="77777777" w:rsidR="00ED1461" w:rsidRPr="00C0377A" w:rsidRDefault="00C435D9">
            <w:pPr>
              <w:spacing w:after="0" w:line="240" w:lineRule="auto"/>
            </w:pPr>
            <w:r w:rsidRPr="00C0377A">
              <w:rPr>
                <w:sz w:val="16"/>
              </w:rPr>
              <w:t>Observations revealed the use of improvised materials and locally adapted teaching strategies.</w:t>
            </w:r>
          </w:p>
        </w:tc>
      </w:tr>
    </w:tbl>
    <w:p w14:paraId="26618E61" w14:textId="77777777" w:rsidR="00ED1461" w:rsidRPr="00C0377A" w:rsidRDefault="00ED1461">
      <w:pPr>
        <w:spacing w:line="240" w:lineRule="auto"/>
      </w:pPr>
    </w:p>
    <w:p w14:paraId="079FF389" w14:textId="77777777" w:rsidR="00ED1461" w:rsidRPr="00C0377A" w:rsidRDefault="00C435D9">
      <w:pPr>
        <w:pStyle w:val="Heading1"/>
      </w:pPr>
      <w:r w:rsidRPr="00C0377A">
        <w:rPr>
          <w:rFonts w:ascii="Times New Roman" w:eastAsia="Times New Roman" w:hAnsi="Times New Roman"/>
        </w:rPr>
        <w:t>5. Discussion</w:t>
      </w:r>
    </w:p>
    <w:p w14:paraId="1E4E8F83" w14:textId="77777777" w:rsidR="00ED1461" w:rsidRPr="00C0377A" w:rsidRDefault="00C435D9">
      <w:pPr>
        <w:ind w:firstLine="360"/>
        <w:jc w:val="both"/>
      </w:pPr>
      <w:r w:rsidRPr="00C0377A">
        <w:t>The findings reinforce earlier Tanzanian studies showing that teachers often support learner-</w:t>
      </w:r>
      <w:proofErr w:type="spellStart"/>
      <w:r w:rsidRPr="00C0377A">
        <w:t>centred</w:t>
      </w:r>
      <w:proofErr w:type="spellEnd"/>
      <w:r w:rsidRPr="00C0377A">
        <w:t xml:space="preserve"> and competence-based reforms in principle while struggling to implement them consistently under constrained school conditions (</w:t>
      </w:r>
      <w:proofErr w:type="spellStart"/>
      <w:r w:rsidRPr="00C0377A">
        <w:t>Nkya</w:t>
      </w:r>
      <w:proofErr w:type="spellEnd"/>
      <w:r w:rsidRPr="00C0377A">
        <w:t xml:space="preserve"> et al., 2021; </w:t>
      </w:r>
      <w:proofErr w:type="spellStart"/>
      <w:r w:rsidRPr="00C0377A">
        <w:t>Ndimbo</w:t>
      </w:r>
      <w:proofErr w:type="spellEnd"/>
      <w:r w:rsidRPr="00C0377A">
        <w:t xml:space="preserve"> &amp; </w:t>
      </w:r>
      <w:proofErr w:type="spellStart"/>
      <w:r w:rsidRPr="00C0377A">
        <w:t>Kessy</w:t>
      </w:r>
      <w:proofErr w:type="spellEnd"/>
      <w:r w:rsidRPr="00C0377A">
        <w:t xml:space="preserve">, 2023; Nyoni, 2018). Similar to previous research, this study found that insufficient training, shortages of teaching and learning materials, overcrowded classrooms, and weak ICT infrastructure hinder implementation (Nsengimana, 2020). In this respect, the Lindi findings support the view </w:t>
      </w:r>
      <w:r w:rsidRPr="00C0377A">
        <w:lastRenderedPageBreak/>
        <w:t>that the main challenge is not teacher rejection of reform, but the difficulty of translating policy expectations into workable classroom practice (</w:t>
      </w:r>
      <w:proofErr w:type="spellStart"/>
      <w:r w:rsidRPr="00C0377A">
        <w:t>Mpate</w:t>
      </w:r>
      <w:proofErr w:type="spellEnd"/>
      <w:r w:rsidRPr="00C0377A">
        <w:t xml:space="preserve"> e</w:t>
      </w:r>
      <w:r w:rsidR="006E1499" w:rsidRPr="00C0377A">
        <w:t>t al., 2023</w:t>
      </w:r>
      <w:r w:rsidRPr="00C0377A">
        <w:t>).</w:t>
      </w:r>
    </w:p>
    <w:p w14:paraId="46E445AB" w14:textId="77777777" w:rsidR="00ED1461" w:rsidRPr="00C0377A" w:rsidRDefault="00C435D9">
      <w:pPr>
        <w:ind w:firstLine="360"/>
        <w:jc w:val="both"/>
      </w:pPr>
      <w:r w:rsidRPr="00C0377A">
        <w:t>At the same time, the study adds nuance to the literature in three ways. First, rather than treating implementation as either successful or unsuccessful, the findings show variation in enactment across teachers, from broad awareness of reform goals to tentative procedural use, to more confident and adaptive classroom practice. This interpretation is consistent with CBAM’s developmental view of change and helps explain why support for reform can coexist with uneven implementation.</w:t>
      </w:r>
    </w:p>
    <w:p w14:paraId="3E5189FD" w14:textId="77777777" w:rsidR="00ED1461" w:rsidRPr="00C0377A" w:rsidRDefault="00C435D9">
      <w:pPr>
        <w:ind w:firstLine="360"/>
        <w:jc w:val="both"/>
      </w:pPr>
      <w:r w:rsidRPr="00C0377A">
        <w:t>Second, the study highlights the practical importance of local professional support. Earlier studies note the value of peer learning, mentoring, and school-based support (</w:t>
      </w:r>
      <w:proofErr w:type="spellStart"/>
      <w:r w:rsidRPr="00C0377A">
        <w:t>Nkya</w:t>
      </w:r>
      <w:proofErr w:type="spellEnd"/>
      <w:r w:rsidRPr="00C0377A">
        <w:t xml:space="preserve"> et al., 2021; </w:t>
      </w:r>
      <w:proofErr w:type="spellStart"/>
      <w:r w:rsidRPr="00C0377A">
        <w:t>Mpate</w:t>
      </w:r>
      <w:proofErr w:type="spellEnd"/>
      <w:r w:rsidRPr="00C0377A">
        <w:t xml:space="preserve"> e</w:t>
      </w:r>
      <w:r w:rsidR="006E1499" w:rsidRPr="00C0377A">
        <w:t>t al., 2023</w:t>
      </w:r>
      <w:r w:rsidRPr="00C0377A">
        <w:t>), but the present findings show, more specifically, how collaborative structures such as MEWAKA groups can help teachers move from uncertainty to more context-responsive enactment. In this sense, peer support does more than compensate for weak formal training. It actively shapes how teachers interpret the reform, test new practices, and sustain implementation in challenging conditions.</w:t>
      </w:r>
    </w:p>
    <w:p w14:paraId="592772B8" w14:textId="77777777" w:rsidR="00ED1461" w:rsidRPr="00C0377A" w:rsidRDefault="00C435D9">
      <w:pPr>
        <w:ind w:firstLine="360"/>
        <w:jc w:val="both"/>
      </w:pPr>
      <w:r w:rsidRPr="00C0377A">
        <w:t>Third, the findings show that reform in under-resourced settings is shaped not only by material deficits but also by teachers’ adaptive responses to them. This perspective adds to the literature, which often frames such contexts primarily in terms of barriers. Viewed through CBAM, many teachers appeared to operate at early or transitional stages of concern and use, especially where training and resources were limited. A smaller group, often supported by collaborative networks, showed signs of movement towards more confident adaptation and routine enactment.</w:t>
      </w:r>
    </w:p>
    <w:p w14:paraId="5968E571" w14:textId="77777777" w:rsidR="00ED1461" w:rsidRPr="00C0377A" w:rsidRDefault="00C435D9">
      <w:pPr>
        <w:ind w:firstLine="360"/>
        <w:jc w:val="both"/>
      </w:pPr>
      <w:r w:rsidRPr="00C0377A">
        <w:t>Overall, the study suggests that positive teacher perceptions are necessary, but not sufficient, for implementation success. Reform outcomes depend on how policy expectations interact with local conditions, institutional support, and teacher agency. The paper, therefore, contributes a more context-sensitive understanding of curriculum reform by shifting attention from whether teachers support reform to how reform is enacted differently under everyday constraints.</w:t>
      </w:r>
    </w:p>
    <w:p w14:paraId="28370FC5" w14:textId="77777777" w:rsidR="00ED1461" w:rsidRPr="00C0377A" w:rsidRDefault="00C435D9">
      <w:pPr>
        <w:pStyle w:val="Heading2"/>
      </w:pPr>
      <w:r w:rsidRPr="00C0377A">
        <w:rPr>
          <w:rFonts w:ascii="Times New Roman" w:eastAsia="Times New Roman" w:hAnsi="Times New Roman"/>
        </w:rPr>
        <w:t>5.1 Limitations</w:t>
      </w:r>
    </w:p>
    <w:p w14:paraId="6364CBBC" w14:textId="77777777" w:rsidR="00ED1461" w:rsidRPr="00C0377A" w:rsidRDefault="00C435D9">
      <w:pPr>
        <w:ind w:firstLine="360"/>
        <w:jc w:val="both"/>
      </w:pPr>
      <w:r w:rsidRPr="00C0377A">
        <w:t xml:space="preserve">This study is based on a small qualitative sample drawn from a single region and therefore does not aim for statistical </w:t>
      </w:r>
      <w:proofErr w:type="spellStart"/>
      <w:r w:rsidRPr="00C0377A">
        <w:t>generalisation</w:t>
      </w:r>
      <w:proofErr w:type="spellEnd"/>
      <w:r w:rsidRPr="00C0377A">
        <w:t xml:space="preserve">. Teachers’ interview responses may also have been influenced by social desirability, and observation data were limited to a bounded number of </w:t>
      </w:r>
      <w:r w:rsidRPr="00C0377A">
        <w:lastRenderedPageBreak/>
        <w:t>classroom encounters. In addition, where interviews were translated from Kiswahili into English, some nuance may have been lost despite efforts to preserve conceptual meaning. The value of the study lies in its contextual depth and in its contribution to understanding how reform is experienced and negotiated in under-resourced primary school settings.</w:t>
      </w:r>
    </w:p>
    <w:p w14:paraId="2CE8DCF7" w14:textId="77777777" w:rsidR="00ED1461" w:rsidRPr="00C0377A" w:rsidRDefault="00C435D9">
      <w:pPr>
        <w:pStyle w:val="Heading1"/>
      </w:pPr>
      <w:r w:rsidRPr="00C0377A">
        <w:rPr>
          <w:rFonts w:ascii="Times New Roman" w:eastAsia="Times New Roman" w:hAnsi="Times New Roman"/>
        </w:rPr>
        <w:t>6. Conclusion</w:t>
      </w:r>
    </w:p>
    <w:p w14:paraId="7C71B842" w14:textId="77777777" w:rsidR="00ED1461" w:rsidRPr="00C0377A" w:rsidRDefault="00C435D9">
      <w:pPr>
        <w:ind w:firstLine="360"/>
        <w:jc w:val="both"/>
      </w:pPr>
      <w:r w:rsidRPr="00C0377A">
        <w:t xml:space="preserve">This study examined primary school teachers’ perceptions and experiences of the 2023 curriculum reform in Lindi Region, Tanzania. The findings indicate that teachers generally value the reform and </w:t>
      </w:r>
      <w:proofErr w:type="spellStart"/>
      <w:r w:rsidRPr="00C0377A">
        <w:t>recognise</w:t>
      </w:r>
      <w:proofErr w:type="spellEnd"/>
      <w:r w:rsidRPr="00C0377A">
        <w:t xml:space="preserve"> its potential to support active, learner-</w:t>
      </w:r>
      <w:proofErr w:type="spellStart"/>
      <w:r w:rsidRPr="00C0377A">
        <w:t>centred</w:t>
      </w:r>
      <w:proofErr w:type="spellEnd"/>
      <w:r w:rsidRPr="00C0377A">
        <w:t xml:space="preserve"> education. However, implementation remains constrained by limited in-service training, weak ICT infrastructure, shortages of teaching and learning materials, and overcrowded classrooms.</w:t>
      </w:r>
    </w:p>
    <w:p w14:paraId="13926911" w14:textId="5164FBCC" w:rsidR="00EF1142" w:rsidRPr="00C0377A" w:rsidRDefault="00C435D9" w:rsidP="0035687A">
      <w:pPr>
        <w:ind w:firstLine="360"/>
        <w:jc w:val="both"/>
      </w:pPr>
      <w:r w:rsidRPr="00C0377A">
        <w:t>The study also shows that teachers respond to these constraints with resilience. Through peer collaboration, improvised resources, and school-based professional support, they attempt to translate reform goals into practice. These efforts deserve institutional recognition and sustained support.</w:t>
      </w:r>
      <w:bookmarkStart w:id="0" w:name="_GoBack"/>
      <w:bookmarkEnd w:id="0"/>
    </w:p>
    <w:p w14:paraId="72D57582" w14:textId="77777777" w:rsidR="00ED1461" w:rsidRPr="00C0377A" w:rsidRDefault="00C435D9">
      <w:pPr>
        <w:pStyle w:val="Heading1"/>
      </w:pPr>
      <w:r w:rsidRPr="00C0377A">
        <w:rPr>
          <w:rFonts w:ascii="Times New Roman" w:eastAsia="Times New Roman" w:hAnsi="Times New Roman"/>
        </w:rPr>
        <w:t>References</w:t>
      </w:r>
    </w:p>
    <w:p w14:paraId="0209EF3F" w14:textId="77777777" w:rsidR="00EF1142" w:rsidRPr="00C0377A" w:rsidRDefault="00C435D9">
      <w:pPr>
        <w:spacing w:line="240" w:lineRule="auto"/>
        <w:ind w:left="360" w:hanging="360"/>
        <w:rPr>
          <w:rFonts w:cs="Times New Roman"/>
          <w:color w:val="222222"/>
          <w:szCs w:val="24"/>
          <w:shd w:val="clear" w:color="auto" w:fill="FFFFFF"/>
        </w:rPr>
      </w:pPr>
      <w:r w:rsidRPr="00C0377A">
        <w:t xml:space="preserve">1. </w:t>
      </w:r>
      <w:r w:rsidR="00EF1142" w:rsidRPr="00C0377A">
        <w:rPr>
          <w:rFonts w:cs="Times New Roman"/>
          <w:color w:val="222222"/>
          <w:szCs w:val="24"/>
          <w:shd w:val="clear" w:color="auto" w:fill="FFFFFF"/>
        </w:rPr>
        <w:t xml:space="preserve">Askary, F., </w:t>
      </w:r>
      <w:proofErr w:type="spellStart"/>
      <w:r w:rsidR="00EF1142" w:rsidRPr="00C0377A">
        <w:rPr>
          <w:rFonts w:cs="Times New Roman"/>
          <w:color w:val="222222"/>
          <w:szCs w:val="24"/>
          <w:shd w:val="clear" w:color="auto" w:fill="FFFFFF"/>
        </w:rPr>
        <w:t>Javadipoor</w:t>
      </w:r>
      <w:proofErr w:type="spellEnd"/>
      <w:r w:rsidR="00EF1142" w:rsidRPr="00C0377A">
        <w:rPr>
          <w:rFonts w:cs="Times New Roman"/>
          <w:color w:val="222222"/>
          <w:szCs w:val="24"/>
          <w:shd w:val="clear" w:color="auto" w:fill="FFFFFF"/>
        </w:rPr>
        <w:t>, M., Hakimzadeh, R., &amp; Salehi, K. (2024). A Comparative Study of Strategies and Challenges Related to Overloaded Curriculum in Primary School in Australia and Ireland: Lessons for Iran. </w:t>
      </w:r>
      <w:r w:rsidR="00EF1142" w:rsidRPr="00C0377A">
        <w:rPr>
          <w:rFonts w:cs="Times New Roman"/>
          <w:i/>
          <w:iCs/>
          <w:color w:val="222222"/>
          <w:szCs w:val="24"/>
          <w:shd w:val="clear" w:color="auto" w:fill="FFFFFF"/>
        </w:rPr>
        <w:t>Iranian Journal of Comparative Education</w:t>
      </w:r>
      <w:r w:rsidR="00EF1142" w:rsidRPr="00C0377A">
        <w:rPr>
          <w:rFonts w:cs="Times New Roman"/>
          <w:color w:val="222222"/>
          <w:szCs w:val="24"/>
          <w:shd w:val="clear" w:color="auto" w:fill="FFFFFF"/>
        </w:rPr>
        <w:t>, </w:t>
      </w:r>
      <w:r w:rsidR="00EF1142" w:rsidRPr="00C0377A">
        <w:rPr>
          <w:rFonts w:cs="Times New Roman"/>
          <w:i/>
          <w:iCs/>
          <w:color w:val="222222"/>
          <w:szCs w:val="24"/>
          <w:shd w:val="clear" w:color="auto" w:fill="FFFFFF"/>
        </w:rPr>
        <w:t>7</w:t>
      </w:r>
      <w:r w:rsidR="00EF1142" w:rsidRPr="00C0377A">
        <w:rPr>
          <w:rFonts w:cs="Times New Roman"/>
          <w:color w:val="222222"/>
          <w:szCs w:val="24"/>
          <w:shd w:val="clear" w:color="auto" w:fill="FFFFFF"/>
        </w:rPr>
        <w:t>(4), 3178-3204.</w:t>
      </w:r>
    </w:p>
    <w:p w14:paraId="522BF078" w14:textId="77777777" w:rsidR="00ED1461" w:rsidRPr="00C0377A" w:rsidRDefault="00C435D9">
      <w:pPr>
        <w:spacing w:line="240" w:lineRule="auto"/>
        <w:ind w:left="360" w:hanging="360"/>
      </w:pPr>
      <w:r w:rsidRPr="00C0377A">
        <w:t>2. Braun, V., &amp; Clarke, V. (2006). Using thematic analysis in psychology. Qualitative Research in Psychology, 3(2), 77–101.</w:t>
      </w:r>
    </w:p>
    <w:p w14:paraId="7AB5085B" w14:textId="77777777" w:rsidR="00ED1461" w:rsidRPr="00C0377A" w:rsidRDefault="00C435D9">
      <w:pPr>
        <w:spacing w:line="240" w:lineRule="auto"/>
        <w:ind w:left="360" w:hanging="360"/>
      </w:pPr>
      <w:r w:rsidRPr="00C0377A">
        <w:t>3. Fullan, M. (2016). The new meaning of educational change. Teachers College Press.</w:t>
      </w:r>
    </w:p>
    <w:p w14:paraId="0E0E76F5" w14:textId="77777777" w:rsidR="00ED1461" w:rsidRPr="00C0377A" w:rsidRDefault="00C435D9">
      <w:pPr>
        <w:spacing w:line="240" w:lineRule="auto"/>
        <w:ind w:left="360" w:hanging="360"/>
      </w:pPr>
      <w:r w:rsidRPr="00C0377A">
        <w:rPr>
          <w:lang w:val="fr-FR"/>
        </w:rPr>
        <w:t xml:space="preserve">4. </w:t>
      </w:r>
      <w:proofErr w:type="spellStart"/>
      <w:r w:rsidRPr="00C0377A">
        <w:rPr>
          <w:lang w:val="fr-FR"/>
        </w:rPr>
        <w:t>Gouëdard</w:t>
      </w:r>
      <w:proofErr w:type="spellEnd"/>
      <w:r w:rsidRPr="00C0377A">
        <w:rPr>
          <w:lang w:val="fr-FR"/>
        </w:rPr>
        <w:t xml:space="preserve">, P., Pont, B., Hyttinen, S., &amp; Huang, P. (2020). </w:t>
      </w:r>
      <w:r w:rsidRPr="00C0377A">
        <w:t xml:space="preserve">Curriculum reform: A literature </w:t>
      </w:r>
      <w:r w:rsidR="00EF1142" w:rsidRPr="00C0377A">
        <w:t>reviews</w:t>
      </w:r>
      <w:r w:rsidRPr="00C0377A">
        <w:t xml:space="preserve"> to support effective implementation. OECD Education Working Papers, No. 239. OECD Publishing. https://doi.org/10.1787/efe8a48c-en</w:t>
      </w:r>
    </w:p>
    <w:p w14:paraId="5BF65E0F" w14:textId="77777777" w:rsidR="00ED1461" w:rsidRPr="00C0377A" w:rsidRDefault="00C435D9" w:rsidP="006E1499">
      <w:pPr>
        <w:spacing w:line="240" w:lineRule="auto"/>
        <w:ind w:left="360" w:hanging="360"/>
      </w:pPr>
      <w:r w:rsidRPr="00C0377A">
        <w:t>5. Hall, G. E., &amp; Hord, S. M. (1987). Change in schools: Facilitating the process. SUNY Press.</w:t>
      </w:r>
    </w:p>
    <w:p w14:paraId="1583431D" w14:textId="77777777" w:rsidR="00ED1461" w:rsidRPr="00C0377A" w:rsidRDefault="00C435D9">
      <w:pPr>
        <w:spacing w:line="240" w:lineRule="auto"/>
        <w:ind w:left="360" w:hanging="360"/>
      </w:pPr>
      <w:r w:rsidRPr="00C0377A">
        <w:t>7. Ministry of Education, Science and Technology. (2023). Education and training policy 2014, 2023 edition. Government of Tanzania.</w:t>
      </w:r>
    </w:p>
    <w:p w14:paraId="67B264F5" w14:textId="77777777" w:rsidR="00ED1461" w:rsidRPr="00C0377A" w:rsidRDefault="00C435D9">
      <w:pPr>
        <w:spacing w:line="240" w:lineRule="auto"/>
        <w:ind w:left="360" w:hanging="360"/>
      </w:pPr>
      <w:r w:rsidRPr="00C0377A">
        <w:t xml:space="preserve">8. Mokoro, D. K. (2020). Perception of teachers on their preparedness for implementation of the competence-based curriculum among secondary schools in </w:t>
      </w:r>
      <w:proofErr w:type="spellStart"/>
      <w:r w:rsidRPr="00C0377A">
        <w:t>Arumeru</w:t>
      </w:r>
      <w:proofErr w:type="spellEnd"/>
      <w:r w:rsidRPr="00C0377A">
        <w:t xml:space="preserve"> district, Tanzania. East African Journal of Education and Social Sciences, 1(2), 109–117. https://doi.org/10.46606/eajess2020v01i02.0026</w:t>
      </w:r>
    </w:p>
    <w:p w14:paraId="41D7F866" w14:textId="77777777" w:rsidR="00ED1461" w:rsidRPr="00C0377A" w:rsidRDefault="00C435D9">
      <w:pPr>
        <w:spacing w:line="240" w:lineRule="auto"/>
        <w:ind w:left="360" w:hanging="360"/>
      </w:pPr>
      <w:r w:rsidRPr="00C0377A">
        <w:t xml:space="preserve">9. </w:t>
      </w:r>
      <w:proofErr w:type="spellStart"/>
      <w:r w:rsidRPr="00C0377A">
        <w:t>Mpate</w:t>
      </w:r>
      <w:proofErr w:type="spellEnd"/>
      <w:r w:rsidRPr="00C0377A">
        <w:t>, H., Campbell-Evans, G., &amp; Gray, J. (2023). Pre-service teachers’ preparedness to teach during teaching practice in Tanzania. African Journal of Teacher Education, 12(1), 95–120.</w:t>
      </w:r>
    </w:p>
    <w:p w14:paraId="15614264" w14:textId="77777777" w:rsidR="00ED1461" w:rsidRPr="00C0377A" w:rsidRDefault="00C435D9">
      <w:pPr>
        <w:spacing w:line="240" w:lineRule="auto"/>
        <w:ind w:left="360" w:hanging="360"/>
      </w:pPr>
      <w:r w:rsidRPr="00C0377A">
        <w:lastRenderedPageBreak/>
        <w:t xml:space="preserve">10. </w:t>
      </w:r>
      <w:proofErr w:type="spellStart"/>
      <w:r w:rsidRPr="00C0377A">
        <w:t>Ndimbo</w:t>
      </w:r>
      <w:proofErr w:type="spellEnd"/>
      <w:r w:rsidRPr="00C0377A">
        <w:t xml:space="preserve">, W. H., &amp; Kessy, H. (2023). Primary school teachers’ instructional competences in the implementation of competence-based curriculum: A case study of </w:t>
      </w:r>
      <w:proofErr w:type="spellStart"/>
      <w:r w:rsidRPr="00C0377A">
        <w:t>Mpwapwa</w:t>
      </w:r>
      <w:proofErr w:type="spellEnd"/>
      <w:r w:rsidRPr="00C0377A">
        <w:t xml:space="preserve"> District Council. Journal of Education, Society and </w:t>
      </w:r>
      <w:proofErr w:type="spellStart"/>
      <w:r w:rsidRPr="00C0377A">
        <w:t>Behavioural</w:t>
      </w:r>
      <w:proofErr w:type="spellEnd"/>
      <w:r w:rsidRPr="00C0377A">
        <w:t xml:space="preserve"> Science, 36(5), 24–43.</w:t>
      </w:r>
    </w:p>
    <w:p w14:paraId="4F3CA7EE" w14:textId="77777777" w:rsidR="00ED1461" w:rsidRPr="00C0377A" w:rsidRDefault="00C435D9">
      <w:pPr>
        <w:spacing w:line="240" w:lineRule="auto"/>
        <w:ind w:left="360" w:hanging="360"/>
      </w:pPr>
      <w:r w:rsidRPr="00C0377A">
        <w:t xml:space="preserve">11. </w:t>
      </w:r>
      <w:proofErr w:type="spellStart"/>
      <w:r w:rsidRPr="00C0377A">
        <w:t>Nkya</w:t>
      </w:r>
      <w:proofErr w:type="spellEnd"/>
      <w:r w:rsidRPr="00C0377A">
        <w:t xml:space="preserve">, H. E., Huang, F., &amp; </w:t>
      </w:r>
      <w:proofErr w:type="spellStart"/>
      <w:r w:rsidRPr="00C0377A">
        <w:t>Mwakabungu</w:t>
      </w:r>
      <w:proofErr w:type="spellEnd"/>
      <w:r w:rsidRPr="00C0377A">
        <w:t>, F. (2021). Implementation of competence-based curriculum in Tanzania: Perceptions, challenges, and prospects: A case of secondary school teachers in Arusha Region. Journal of Education and Practice, 12(19), 34–41.</w:t>
      </w:r>
    </w:p>
    <w:p w14:paraId="650338BD" w14:textId="77777777" w:rsidR="00ED1461" w:rsidRPr="00C0377A" w:rsidRDefault="00C435D9">
      <w:pPr>
        <w:spacing w:line="240" w:lineRule="auto"/>
        <w:ind w:left="360" w:hanging="360"/>
      </w:pPr>
      <w:r w:rsidRPr="00C0377A">
        <w:t>12. Nsengimana, V. (2021). Implementation of competence-based curriculum in Rwanda: Opportunities and challenges. Rwandan Journal of Education, 5(1), 129–138. https://www.ajol.info/index.php/rje/article/view/202582</w:t>
      </w:r>
    </w:p>
    <w:p w14:paraId="47A49E59" w14:textId="77777777" w:rsidR="00ED1461" w:rsidRPr="00C0377A" w:rsidRDefault="00C435D9">
      <w:pPr>
        <w:spacing w:line="240" w:lineRule="auto"/>
        <w:ind w:left="360" w:hanging="360"/>
      </w:pPr>
      <w:r w:rsidRPr="00C0377A">
        <w:t>13. Nyoni, C. (2023). Challenges facing teachers in the implementation of competence-based curriculum in secondary schools in Iringa Municipal, Tanzania. Asian Journal of Education and Social Studies, 49(3), 47–52.</w:t>
      </w:r>
    </w:p>
    <w:p w14:paraId="115BA78F" w14:textId="77777777" w:rsidR="00ED1461" w:rsidRPr="00C0377A" w:rsidRDefault="00C435D9">
      <w:pPr>
        <w:spacing w:line="240" w:lineRule="auto"/>
        <w:ind w:left="360" w:hanging="360"/>
      </w:pPr>
      <w:r w:rsidRPr="00C0377A">
        <w:t xml:space="preserve">14. Nyoni, K. Z. (2018). Challenges facing teachers in Tanzania: Implementing the paradigm shift towards a competence-based curriculum in ordinary-level secondary schools in Iringa Municipality. </w:t>
      </w:r>
      <w:proofErr w:type="spellStart"/>
      <w:r w:rsidRPr="00C0377A">
        <w:t>Kervan</w:t>
      </w:r>
      <w:proofErr w:type="spellEnd"/>
      <w:r w:rsidRPr="00C0377A">
        <w:t>: International Journal of African and Asian Studies, 22.</w:t>
      </w:r>
    </w:p>
    <w:p w14:paraId="0437C9A8" w14:textId="77777777" w:rsidR="00ED1461" w:rsidRPr="00C0377A" w:rsidRDefault="00C435D9">
      <w:pPr>
        <w:spacing w:line="240" w:lineRule="auto"/>
        <w:ind w:left="360" w:hanging="360"/>
      </w:pPr>
      <w:r w:rsidRPr="00C0377A">
        <w:t>15. Nzima, I. (2016). Tutors’ interpretations of competence-based curriculum in Tanzania: Implications for practice in teacher education. Papers in Education and Development, 36. https://journals.udsm.ac.tz/index.php/ped/article/view/2520</w:t>
      </w:r>
    </w:p>
    <w:p w14:paraId="6B3FE80D" w14:textId="77777777" w:rsidR="00ED1461" w:rsidRPr="00C0377A" w:rsidRDefault="00C435D9">
      <w:pPr>
        <w:spacing w:line="240" w:lineRule="auto"/>
        <w:ind w:left="360" w:hanging="360"/>
      </w:pPr>
      <w:r w:rsidRPr="00C0377A">
        <w:t xml:space="preserve">16. </w:t>
      </w:r>
      <w:proofErr w:type="spellStart"/>
      <w:r w:rsidRPr="00C0377A">
        <w:t>Orodho</w:t>
      </w:r>
      <w:proofErr w:type="spellEnd"/>
      <w:r w:rsidRPr="00C0377A">
        <w:t>, J. A. (2014). Policies on free primary and secondary education in East Africa: Are Kenya and Tanzania on course to attain Education for All (EFA) goals by 2015</w:t>
      </w:r>
      <w:r w:rsidR="00305185" w:rsidRPr="00C0377A">
        <w:t>?</w:t>
      </w:r>
      <w:r w:rsidRPr="00C0377A">
        <w:t xml:space="preserve"> IOSR Journal of Humanities and Social Science, 19(1), 11–20.</w:t>
      </w:r>
    </w:p>
    <w:p w14:paraId="0DB63981" w14:textId="77777777" w:rsidR="00ED1461" w:rsidRPr="00C0377A" w:rsidRDefault="00C435D9">
      <w:pPr>
        <w:spacing w:line="240" w:lineRule="auto"/>
        <w:ind w:left="360" w:hanging="360"/>
      </w:pPr>
      <w:r w:rsidRPr="00C0377A">
        <w:t>17. Saware, G. M. (2021). Teachers’ conceptions of competence-based curriculum and its implementation challenges in selected secondary schools in Ilala Municipality, Dar es Salaam, Tanzania [Master’s dissertation, Sokoine University of Agriculture]. https://www.suaire.sua.ac.tz/items/8cd35e06-7a13-41c3-ac0b-4e9d1f768b97</w:t>
      </w:r>
    </w:p>
    <w:p w14:paraId="22C8CA3B" w14:textId="77777777" w:rsidR="00ED1461" w:rsidRPr="00C0377A" w:rsidRDefault="00C435D9">
      <w:pPr>
        <w:spacing w:line="240" w:lineRule="auto"/>
        <w:ind w:left="360" w:hanging="360"/>
      </w:pPr>
      <w:r w:rsidRPr="00C0377A">
        <w:t>18. Shah, F., Khan, S., &amp; Ahmad, I. (2022). Teachers’ perceptions of curriculum change and implementation challenges in secondary education. International Journal of Educational Development, 92, 102–118.</w:t>
      </w:r>
    </w:p>
    <w:p w14:paraId="0C02EE09" w14:textId="77777777" w:rsidR="00ED1461" w:rsidRPr="00C0377A" w:rsidRDefault="00C435D9">
      <w:pPr>
        <w:spacing w:line="240" w:lineRule="auto"/>
        <w:ind w:left="360" w:hanging="360"/>
      </w:pPr>
      <w:r w:rsidRPr="00C0377A">
        <w:t xml:space="preserve">19. Shek, D. T., Chau, G. C., &amp; Lee, B. M. (2025). Development of 21st-century skills: A comprehensive analysis based on the OECD </w:t>
      </w:r>
      <w:r w:rsidR="00305185" w:rsidRPr="00C0377A">
        <w:t>Learning Compass</w:t>
      </w:r>
      <w:r w:rsidRPr="00C0377A">
        <w:t xml:space="preserve"> 2030. In Promoting holistic development in university students (pp. 89–118). Springer Nature Singapore.</w:t>
      </w:r>
    </w:p>
    <w:p w14:paraId="67729660" w14:textId="77777777" w:rsidR="00ED1461" w:rsidRPr="00C0377A" w:rsidRDefault="00EF1142">
      <w:pPr>
        <w:spacing w:line="240" w:lineRule="auto"/>
        <w:ind w:left="360" w:hanging="360"/>
      </w:pPr>
      <w:r w:rsidRPr="00C0377A">
        <w:t>20</w:t>
      </w:r>
      <w:r w:rsidR="00C435D9" w:rsidRPr="00C0377A">
        <w:t>. Spillane, J. P., Reiser, B. J., &amp; Reimer, T. (2002). Policy implementation and cognition: Reframing and refocusing implementation research. Review of Educational Research, 72(3), 387–431.</w:t>
      </w:r>
    </w:p>
    <w:p w14:paraId="31FFC92D" w14:textId="77777777" w:rsidR="00ED1461" w:rsidRPr="00C0377A" w:rsidRDefault="00EF1142">
      <w:pPr>
        <w:spacing w:line="240" w:lineRule="auto"/>
        <w:ind w:left="360" w:hanging="360"/>
      </w:pPr>
      <w:r w:rsidRPr="00C0377A">
        <w:t>21</w:t>
      </w:r>
      <w:r w:rsidR="00C435D9" w:rsidRPr="00C0377A">
        <w:t xml:space="preserve">. </w:t>
      </w:r>
      <w:proofErr w:type="spellStart"/>
      <w:r w:rsidR="00C435D9" w:rsidRPr="00C0377A">
        <w:t>Taasisi</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Elimu</w:t>
      </w:r>
      <w:proofErr w:type="spellEnd"/>
      <w:r w:rsidR="00C435D9" w:rsidRPr="00C0377A">
        <w:t xml:space="preserve"> Tanzania. (2023). </w:t>
      </w:r>
      <w:proofErr w:type="spellStart"/>
      <w:r w:rsidR="00C435D9" w:rsidRPr="00C0377A">
        <w:t>Mtaala</w:t>
      </w:r>
      <w:proofErr w:type="spellEnd"/>
      <w:r w:rsidR="00C435D9" w:rsidRPr="00C0377A">
        <w:t xml:space="preserve"> </w:t>
      </w:r>
      <w:proofErr w:type="spellStart"/>
      <w:r w:rsidR="00C435D9" w:rsidRPr="00C0377A">
        <w:t>wa</w:t>
      </w:r>
      <w:proofErr w:type="spellEnd"/>
      <w:r w:rsidR="00C435D9" w:rsidRPr="00C0377A">
        <w:t xml:space="preserve"> </w:t>
      </w:r>
      <w:proofErr w:type="spellStart"/>
      <w:r w:rsidR="00C435D9" w:rsidRPr="00C0377A">
        <w:t>elimu</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msingi</w:t>
      </w:r>
      <w:proofErr w:type="spellEnd"/>
      <w:r w:rsidR="00C435D9" w:rsidRPr="00C0377A">
        <w:t xml:space="preserve"> </w:t>
      </w:r>
      <w:proofErr w:type="spellStart"/>
      <w:r w:rsidR="00C435D9" w:rsidRPr="00C0377A">
        <w:t>darasa</w:t>
      </w:r>
      <w:proofErr w:type="spellEnd"/>
      <w:r w:rsidR="00C435D9" w:rsidRPr="00C0377A">
        <w:t xml:space="preserve"> la I–VI. </w:t>
      </w:r>
      <w:proofErr w:type="spellStart"/>
      <w:r w:rsidR="00C435D9" w:rsidRPr="00C0377A">
        <w:t>Taasisi</w:t>
      </w:r>
      <w:proofErr w:type="spellEnd"/>
      <w:r w:rsidR="00C435D9" w:rsidRPr="00C0377A">
        <w:t xml:space="preserve"> </w:t>
      </w:r>
      <w:proofErr w:type="spellStart"/>
      <w:r w:rsidR="00C435D9" w:rsidRPr="00C0377A">
        <w:t>ya</w:t>
      </w:r>
      <w:proofErr w:type="spellEnd"/>
      <w:r w:rsidR="00C435D9" w:rsidRPr="00C0377A">
        <w:t xml:space="preserve"> </w:t>
      </w:r>
      <w:proofErr w:type="spellStart"/>
      <w:r w:rsidR="00C435D9" w:rsidRPr="00C0377A">
        <w:t>Elimu</w:t>
      </w:r>
      <w:proofErr w:type="spellEnd"/>
      <w:r w:rsidR="00C435D9" w:rsidRPr="00C0377A">
        <w:t xml:space="preserve"> Tanzania.</w:t>
      </w:r>
    </w:p>
    <w:p w14:paraId="3CD59731" w14:textId="77777777" w:rsidR="00ED1461" w:rsidRPr="00C0377A" w:rsidRDefault="00EF1142">
      <w:pPr>
        <w:spacing w:line="240" w:lineRule="auto"/>
        <w:ind w:left="360" w:hanging="360"/>
      </w:pPr>
      <w:r w:rsidRPr="00C0377A">
        <w:t>22</w:t>
      </w:r>
      <w:r w:rsidR="00C435D9" w:rsidRPr="00C0377A">
        <w:t>. UNESCO. (2021). Reimagining our futures together: A new social contract for education. UNESCO Publishing.</w:t>
      </w:r>
    </w:p>
    <w:p w14:paraId="69161674" w14:textId="77777777" w:rsidR="00ED1461" w:rsidRPr="00C0377A" w:rsidRDefault="00EF1142">
      <w:pPr>
        <w:spacing w:line="240" w:lineRule="auto"/>
        <w:ind w:left="360" w:hanging="360"/>
      </w:pPr>
      <w:r w:rsidRPr="00C0377A">
        <w:t>23</w:t>
      </w:r>
      <w:r w:rsidR="00C435D9" w:rsidRPr="00C0377A">
        <w:t>. Yin, R. K. (2009). Case study research: Design and methods (Vol. 5). Sage.</w:t>
      </w:r>
    </w:p>
    <w:p w14:paraId="0F685050" w14:textId="77777777" w:rsidR="00ED1461" w:rsidRDefault="00EF1142">
      <w:pPr>
        <w:spacing w:line="240" w:lineRule="auto"/>
        <w:ind w:left="360" w:hanging="360"/>
      </w:pPr>
      <w:r w:rsidRPr="00C0377A">
        <w:rPr>
          <w:lang w:val="fr-FR"/>
        </w:rPr>
        <w:t>24</w:t>
      </w:r>
      <w:r w:rsidR="00C435D9" w:rsidRPr="00C0377A">
        <w:rPr>
          <w:lang w:val="fr-FR"/>
        </w:rPr>
        <w:t xml:space="preserve">. </w:t>
      </w:r>
      <w:proofErr w:type="spellStart"/>
      <w:r w:rsidR="00C435D9" w:rsidRPr="00C0377A">
        <w:rPr>
          <w:lang w:val="fr-FR"/>
        </w:rPr>
        <w:t>Zamista</w:t>
      </w:r>
      <w:proofErr w:type="spellEnd"/>
      <w:r w:rsidR="00C435D9" w:rsidRPr="00C0377A">
        <w:rPr>
          <w:lang w:val="fr-FR"/>
        </w:rPr>
        <w:t xml:space="preserve">, A. A., &amp; </w:t>
      </w:r>
      <w:proofErr w:type="spellStart"/>
      <w:r w:rsidR="00C435D9" w:rsidRPr="00C0377A">
        <w:rPr>
          <w:lang w:val="fr-FR"/>
        </w:rPr>
        <w:t>Deswita</w:t>
      </w:r>
      <w:proofErr w:type="spellEnd"/>
      <w:r w:rsidR="00C435D9" w:rsidRPr="00C0377A">
        <w:rPr>
          <w:lang w:val="fr-FR"/>
        </w:rPr>
        <w:t xml:space="preserve">, P. (2023). </w:t>
      </w:r>
      <w:r w:rsidR="00C435D9" w:rsidRPr="00C0377A">
        <w:t xml:space="preserve">Perceptions of Indonesian teachers on the implementation of the Merdeka curriculum. </w:t>
      </w:r>
      <w:proofErr w:type="spellStart"/>
      <w:r w:rsidR="00C435D9" w:rsidRPr="00C0377A">
        <w:t>Wiyata</w:t>
      </w:r>
      <w:proofErr w:type="spellEnd"/>
      <w:r w:rsidR="00C435D9" w:rsidRPr="00C0377A">
        <w:t xml:space="preserve"> Dharma: </w:t>
      </w:r>
      <w:proofErr w:type="spellStart"/>
      <w:r w:rsidR="00C435D9" w:rsidRPr="00C0377A">
        <w:t>Jurnal</w:t>
      </w:r>
      <w:proofErr w:type="spellEnd"/>
      <w:r w:rsidR="00C435D9" w:rsidRPr="00C0377A">
        <w:t xml:space="preserve"> </w:t>
      </w:r>
      <w:proofErr w:type="spellStart"/>
      <w:r w:rsidR="00C435D9" w:rsidRPr="00C0377A">
        <w:t>Penelitian</w:t>
      </w:r>
      <w:proofErr w:type="spellEnd"/>
      <w:r w:rsidR="00C435D9" w:rsidRPr="00C0377A">
        <w:t xml:space="preserve"> dan </w:t>
      </w:r>
      <w:proofErr w:type="spellStart"/>
      <w:r w:rsidR="00C435D9" w:rsidRPr="00C0377A">
        <w:t>Evaluasi</w:t>
      </w:r>
      <w:proofErr w:type="spellEnd"/>
      <w:r w:rsidR="00C435D9" w:rsidRPr="00C0377A">
        <w:t xml:space="preserve"> Pendidikan, 11(1), 13–25.</w:t>
      </w:r>
    </w:p>
    <w:sectPr w:rsidR="00ED1461" w:rsidSect="00034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B789" w14:textId="77777777" w:rsidR="00B702DC" w:rsidRDefault="00B702DC">
      <w:pPr>
        <w:spacing w:after="0" w:line="240" w:lineRule="auto"/>
      </w:pPr>
      <w:r>
        <w:separator/>
      </w:r>
    </w:p>
  </w:endnote>
  <w:endnote w:type="continuationSeparator" w:id="0">
    <w:p w14:paraId="5C84CD88" w14:textId="77777777" w:rsidR="00B702DC" w:rsidRDefault="00B7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AD59" w14:textId="77777777" w:rsidR="00DF33FD" w:rsidRDefault="00DF3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3298" w14:textId="77777777" w:rsidR="00A04508" w:rsidRDefault="00A04508">
    <w:pPr>
      <w:pStyle w:val="Footer"/>
      <w:jc w:val="center"/>
    </w:pPr>
    <w:r>
      <w:fldChar w:fldCharType="begin"/>
    </w:r>
    <w:r>
      <w:instrText>PAGE</w:instrText>
    </w:r>
    <w:r>
      <w:fldChar w:fldCharType="separate"/>
    </w:r>
    <w:r w:rsidR="004C1856">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90B8" w14:textId="77777777" w:rsidR="00DF33FD" w:rsidRDefault="00DF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CC048" w14:textId="77777777" w:rsidR="00B702DC" w:rsidRDefault="00B702DC">
      <w:pPr>
        <w:spacing w:after="0" w:line="240" w:lineRule="auto"/>
      </w:pPr>
      <w:r>
        <w:separator/>
      </w:r>
    </w:p>
  </w:footnote>
  <w:footnote w:type="continuationSeparator" w:id="0">
    <w:p w14:paraId="723EF41C" w14:textId="77777777" w:rsidR="00B702DC" w:rsidRDefault="00B70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0A9B" w14:textId="58798B73" w:rsidR="00DF33FD" w:rsidRDefault="00DF33FD">
    <w:pPr>
      <w:pStyle w:val="Header"/>
    </w:pPr>
    <w:r>
      <w:rPr>
        <w:noProof/>
      </w:rPr>
      <w:pict w14:anchorId="7A779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93F9" w14:textId="62712F30" w:rsidR="00DF33FD" w:rsidRDefault="00DF33FD">
    <w:pPr>
      <w:pStyle w:val="Header"/>
    </w:pPr>
    <w:r>
      <w:rPr>
        <w:noProof/>
      </w:rPr>
      <w:pict w14:anchorId="669AF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FE70" w14:textId="64AE2676" w:rsidR="00DF33FD" w:rsidRDefault="00DF33FD">
    <w:pPr>
      <w:pStyle w:val="Header"/>
    </w:pPr>
    <w:r>
      <w:rPr>
        <w:noProof/>
      </w:rPr>
      <w:pict w14:anchorId="451C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735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1B2F"/>
    <w:rsid w:val="0006063C"/>
    <w:rsid w:val="000C5E9C"/>
    <w:rsid w:val="0015074B"/>
    <w:rsid w:val="00165478"/>
    <w:rsid w:val="00181927"/>
    <w:rsid w:val="0026594B"/>
    <w:rsid w:val="0029639D"/>
    <w:rsid w:val="002A383F"/>
    <w:rsid w:val="00305185"/>
    <w:rsid w:val="00326F90"/>
    <w:rsid w:val="0034733C"/>
    <w:rsid w:val="0035687A"/>
    <w:rsid w:val="0039262C"/>
    <w:rsid w:val="003C112A"/>
    <w:rsid w:val="003D5F35"/>
    <w:rsid w:val="004C1856"/>
    <w:rsid w:val="005860B9"/>
    <w:rsid w:val="006E1499"/>
    <w:rsid w:val="00756A5D"/>
    <w:rsid w:val="0085534D"/>
    <w:rsid w:val="009A0C31"/>
    <w:rsid w:val="00A04508"/>
    <w:rsid w:val="00AA1D8D"/>
    <w:rsid w:val="00AB54D7"/>
    <w:rsid w:val="00AF4C8A"/>
    <w:rsid w:val="00B47730"/>
    <w:rsid w:val="00B702DC"/>
    <w:rsid w:val="00BD658F"/>
    <w:rsid w:val="00C0377A"/>
    <w:rsid w:val="00C435D9"/>
    <w:rsid w:val="00C44B21"/>
    <w:rsid w:val="00C74C91"/>
    <w:rsid w:val="00C8715F"/>
    <w:rsid w:val="00C87D0A"/>
    <w:rsid w:val="00CB0664"/>
    <w:rsid w:val="00CE2533"/>
    <w:rsid w:val="00D41FCC"/>
    <w:rsid w:val="00DF33FD"/>
    <w:rsid w:val="00EA4CCC"/>
    <w:rsid w:val="00ED1461"/>
    <w:rsid w:val="00EF1142"/>
    <w:rsid w:val="00F72C73"/>
    <w:rsid w:val="00FC19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C5DA25"/>
  <w14:defaultImageDpi w14:val="300"/>
  <w15:docId w15:val="{044E933D-5C9C-426A-BE0F-E7F1FBE5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4C8A"/>
    <w:rPr>
      <w:color w:val="0000FF" w:themeColor="hyperlink"/>
      <w:u w:val="single"/>
    </w:rPr>
  </w:style>
  <w:style w:type="character" w:styleId="UnresolvedMention">
    <w:name w:val="Unresolved Mention"/>
    <w:basedOn w:val="DefaultParagraphFont"/>
    <w:uiPriority w:val="99"/>
    <w:semiHidden/>
    <w:unhideWhenUsed/>
    <w:rsid w:val="00AF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C43B-321A-4E5E-AA85-156DDD4F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17</Pages>
  <Words>6420</Words>
  <Characters>36596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36</cp:revision>
  <dcterms:created xsi:type="dcterms:W3CDTF">2026-05-03T12:40:00Z</dcterms:created>
  <dcterms:modified xsi:type="dcterms:W3CDTF">2026-05-16T08:44:00Z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2cb66c35-5b9a-4b5d-b469-a1c64fefb774</vt:lpwstr>
  </property>
</Properties>
</file>