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C65C0" w14:textId="55B8645B" w:rsidR="003B4778" w:rsidRPr="003B4778" w:rsidRDefault="003B4778" w:rsidP="003B4778">
      <w:pPr>
        <w:spacing w:before="240" w:after="0" w:line="240" w:lineRule="auto"/>
        <w:rPr>
          <w:rFonts w:ascii="Arial" w:eastAsia="Calibri" w:hAnsi="Arial" w:cs="Arial"/>
          <w:b/>
          <w:sz w:val="32"/>
          <w:szCs w:val="32"/>
          <w:u w:val="single"/>
          <w:lang w:eastAsia="en-IN" w:bidi="hi-IN"/>
        </w:rPr>
      </w:pPr>
      <w:r w:rsidRPr="003B4778">
        <w:rPr>
          <w:rFonts w:ascii="Arial" w:eastAsia="Calibri" w:hAnsi="Arial" w:cs="Arial"/>
          <w:b/>
          <w:sz w:val="32"/>
          <w:szCs w:val="32"/>
          <w:u w:val="single"/>
          <w:lang w:eastAsia="en-IN" w:bidi="hi-IN"/>
        </w:rPr>
        <w:t>Original Research Article</w:t>
      </w:r>
    </w:p>
    <w:p w14:paraId="290064E5" w14:textId="56A0CAAE" w:rsidR="008B0143" w:rsidRDefault="007E5721" w:rsidP="001A6EF9">
      <w:pPr>
        <w:spacing w:before="240" w:after="0" w:line="240" w:lineRule="auto"/>
        <w:jc w:val="right"/>
        <w:rPr>
          <w:rFonts w:ascii="Arial" w:eastAsia="Calibri" w:hAnsi="Arial" w:cs="Arial"/>
          <w:b/>
          <w:sz w:val="36"/>
          <w:szCs w:val="36"/>
          <w:lang w:eastAsia="en-IN" w:bidi="hi-IN"/>
        </w:rPr>
      </w:pPr>
      <w:r w:rsidRPr="001A6EF9">
        <w:rPr>
          <w:rFonts w:ascii="Arial" w:eastAsia="Calibri" w:hAnsi="Arial" w:cs="Arial"/>
          <w:b/>
          <w:sz w:val="36"/>
          <w:szCs w:val="36"/>
          <w:lang w:eastAsia="en-IN" w:bidi="hi-IN"/>
        </w:rPr>
        <w:t>Effectiveness of online learning strategies as perceived by teachers and students of Senior Secondary Schools</w:t>
      </w:r>
    </w:p>
    <w:p w14:paraId="0C167573" w14:textId="77777777" w:rsidR="00D0496B" w:rsidRDefault="00D0496B" w:rsidP="001A6EF9">
      <w:pPr>
        <w:spacing w:before="240" w:after="0" w:line="240" w:lineRule="auto"/>
        <w:jc w:val="right"/>
        <w:rPr>
          <w:rFonts w:ascii="Arial" w:eastAsia="Calibri" w:hAnsi="Arial" w:cs="Arial"/>
          <w:b/>
          <w:sz w:val="36"/>
          <w:szCs w:val="36"/>
          <w:lang w:eastAsia="en-IN" w:bidi="hi-IN"/>
        </w:rPr>
      </w:pPr>
    </w:p>
    <w:p w14:paraId="732D0549" w14:textId="77777777" w:rsidR="003B4778" w:rsidRDefault="003B4778" w:rsidP="009A2EF3">
      <w:pPr>
        <w:pStyle w:val="NormalWeb"/>
        <w:spacing w:before="240" w:beforeAutospacing="0" w:after="0" w:afterAutospacing="0"/>
        <w:rPr>
          <w:b/>
          <w:bCs/>
        </w:rPr>
      </w:pPr>
      <w:bookmarkStart w:id="0" w:name="_GoBack"/>
      <w:bookmarkEnd w:id="0"/>
    </w:p>
    <w:p w14:paraId="6D37C795" w14:textId="4C81F578" w:rsidR="002044CE" w:rsidRPr="0097488B" w:rsidRDefault="0097488B" w:rsidP="009A2EF3">
      <w:pPr>
        <w:pStyle w:val="NormalWeb"/>
        <w:spacing w:before="240" w:beforeAutospacing="0" w:after="0" w:afterAutospacing="0"/>
        <w:rPr>
          <w:rFonts w:ascii="Arial" w:hAnsi="Arial" w:cs="Arial"/>
          <w:b/>
          <w:bCs/>
          <w:sz w:val="22"/>
          <w:szCs w:val="22"/>
        </w:rPr>
      </w:pPr>
      <w:r w:rsidRPr="0097488B">
        <w:rPr>
          <w:rFonts w:ascii="Arial" w:hAnsi="Arial" w:cs="Arial"/>
          <w:b/>
          <w:bCs/>
          <w:sz w:val="22"/>
          <w:szCs w:val="22"/>
        </w:rPr>
        <w:t>ABSTRACT</w:t>
      </w:r>
    </w:p>
    <w:p w14:paraId="33727204" w14:textId="77777777" w:rsidR="00BF2F23" w:rsidRPr="000463C4" w:rsidRDefault="00BF2F23" w:rsidP="00BF2F23">
      <w:pPr>
        <w:pStyle w:val="NormalWeb"/>
        <w:spacing w:before="240" w:after="0"/>
        <w:jc w:val="both"/>
        <w:rPr>
          <w:rFonts w:ascii="Arial" w:hAnsi="Arial" w:cs="Arial"/>
          <w:sz w:val="20"/>
          <w:szCs w:val="20"/>
        </w:rPr>
      </w:pPr>
      <w:r w:rsidRPr="000463C4">
        <w:rPr>
          <w:rFonts w:ascii="Arial" w:hAnsi="Arial" w:cs="Arial"/>
          <w:sz w:val="20"/>
          <w:szCs w:val="20"/>
        </w:rPr>
        <w:t>This article examines the effectiveness of online learning strategies as perceived by teachers and students in government and private senior secondary schools of Bhilwara city, Rajasthan. It contributes to the empirical understanding of teacher readiness and stakeholder perceptions within India’s evolving digital education landscape, offering valuable insights for policy formulation and school-level capacity building. The study also aligns with the objectives of the National Education Policy 2020, which emphasises the integration of technology in teaching–learning processes across school systems. A descriptive survey research design was adopted for the study. A purposive sampling technique was used to select 10 government and 10 private senior secondary schools. Subsequently, simple random sampling was employed to select teachers and students actively engaged in senior secondary education, including those with experience in online teaching and learning. The final sample comprised 81 teachers and 510 students from the selected 20 schools. A structured questionnaire, adapted to suit the objectives of the study, was used to examine the effectiveness of fully online and web-supported learning strategies as perceived by respondents. Data were collected through both online and offline modes, depending on accessibility and respondent preference, and were analysed using descriptive and inferential statistical techniques. The findings reveal that stakeholders from government schools reported relatively higher perceptions of online learning effectiveness, which may be attributed to a combination of institutional support mechanisms and exposure to digital initiatives. The study also found no significant gender differences in perceptions of online learning effectiveness, indicating a broad-based acceptance of digital pedagogies across male and female respondents. Similarly, contrary to common assumptions regarding age-related resistance to technology, no significant differences were observed between younger (20–40 years) and older (41–60 years) teachers in both government and private schools. An important finding relates to the differential influence of academic streams on perceptions of online learning effectiveness, which varied between teachers and students. Overall, the results suggest that senior secondary school teachers in India are reasonably prepared to adopt technology-enabled pedagogies, consistent with the vision of NEP 2020 and supported by national digital platforms such as SWAYAM and DIKSHA.</w:t>
      </w:r>
    </w:p>
    <w:p w14:paraId="4A4B308A" w14:textId="426EE5CB" w:rsidR="0032037C" w:rsidRPr="000277F8" w:rsidRDefault="0032037C" w:rsidP="00BF2F23">
      <w:pPr>
        <w:pStyle w:val="NormalWeb"/>
        <w:spacing w:before="240" w:after="0"/>
        <w:jc w:val="both"/>
        <w:rPr>
          <w:rFonts w:ascii="Arial" w:hAnsi="Arial" w:cs="Arial"/>
          <w:sz w:val="20"/>
          <w:szCs w:val="20"/>
        </w:rPr>
      </w:pPr>
      <w:r w:rsidRPr="000277F8">
        <w:rPr>
          <w:rStyle w:val="Strong"/>
          <w:rFonts w:ascii="Arial" w:eastAsiaTheme="majorEastAsia" w:hAnsi="Arial" w:cs="Arial"/>
          <w:sz w:val="20"/>
          <w:szCs w:val="20"/>
        </w:rPr>
        <w:t>Keywords</w:t>
      </w:r>
      <w:r w:rsidRPr="000277F8">
        <w:rPr>
          <w:rFonts w:ascii="Arial" w:hAnsi="Arial" w:cs="Arial"/>
          <w:sz w:val="20"/>
          <w:szCs w:val="20"/>
        </w:rPr>
        <w:t>:</w:t>
      </w:r>
      <w:r w:rsidR="00C14115" w:rsidRPr="000277F8">
        <w:rPr>
          <w:rFonts w:ascii="Arial" w:hAnsi="Arial" w:cs="Arial"/>
          <w:sz w:val="20"/>
          <w:szCs w:val="20"/>
        </w:rPr>
        <w:t xml:space="preserve"> Access to Learning, </w:t>
      </w:r>
      <w:r w:rsidR="00FF464C" w:rsidRPr="000277F8">
        <w:rPr>
          <w:rFonts w:ascii="Arial" w:hAnsi="Arial" w:cs="Arial"/>
          <w:sz w:val="20"/>
          <w:szCs w:val="20"/>
        </w:rPr>
        <w:t>DI</w:t>
      </w:r>
      <w:r w:rsidR="00C40CDF" w:rsidRPr="000277F8">
        <w:rPr>
          <w:rFonts w:ascii="Arial" w:hAnsi="Arial" w:cs="Arial"/>
          <w:sz w:val="20"/>
          <w:szCs w:val="20"/>
        </w:rPr>
        <w:t xml:space="preserve">KSHA, SWAYAM, NEP-2020, Online Learning, </w:t>
      </w:r>
      <w:r w:rsidR="001A5EBA" w:rsidRPr="000277F8">
        <w:rPr>
          <w:rFonts w:ascii="Arial" w:hAnsi="Arial" w:cs="Arial"/>
          <w:sz w:val="20"/>
          <w:szCs w:val="20"/>
        </w:rPr>
        <w:t>Secondary School Teachers</w:t>
      </w:r>
      <w:r w:rsidRPr="000277F8">
        <w:rPr>
          <w:rFonts w:ascii="Arial" w:hAnsi="Arial" w:cs="Arial"/>
          <w:sz w:val="20"/>
          <w:szCs w:val="20"/>
        </w:rPr>
        <w:t>.</w:t>
      </w:r>
    </w:p>
    <w:p w14:paraId="7BC31C1E" w14:textId="77777777" w:rsidR="00A71C4B" w:rsidRPr="009A2EF3" w:rsidRDefault="00A71C4B" w:rsidP="009A2EF3">
      <w:pPr>
        <w:spacing w:before="240" w:after="0" w:line="240" w:lineRule="auto"/>
        <w:jc w:val="both"/>
        <w:rPr>
          <w:rFonts w:ascii="Times New Roman" w:eastAsia="Calibri" w:hAnsi="Times New Roman" w:cs="Times New Roman"/>
          <w:b/>
          <w:sz w:val="24"/>
          <w:szCs w:val="24"/>
          <w:lang w:eastAsia="en-IN" w:bidi="hi-IN"/>
        </w:rPr>
      </w:pPr>
    </w:p>
    <w:p w14:paraId="7A400BBB" w14:textId="77777777" w:rsidR="000277F8" w:rsidRDefault="000277F8" w:rsidP="009A2EF3">
      <w:pPr>
        <w:spacing w:before="240" w:after="0" w:line="240" w:lineRule="auto"/>
        <w:jc w:val="both"/>
        <w:rPr>
          <w:rFonts w:ascii="Times New Roman" w:eastAsia="Calibri" w:hAnsi="Times New Roman" w:cs="Times New Roman"/>
          <w:b/>
          <w:sz w:val="24"/>
          <w:szCs w:val="24"/>
          <w:lang w:eastAsia="en-IN" w:bidi="hi-IN"/>
        </w:rPr>
      </w:pPr>
    </w:p>
    <w:p w14:paraId="3A4D4D6E" w14:textId="7DA9E841" w:rsidR="0065597E" w:rsidRPr="003874D4" w:rsidRDefault="005A36ED" w:rsidP="009A2EF3">
      <w:pPr>
        <w:spacing w:before="240" w:after="0" w:line="240" w:lineRule="auto"/>
        <w:jc w:val="both"/>
        <w:rPr>
          <w:rFonts w:ascii="Arial" w:eastAsia="Calibri" w:hAnsi="Arial" w:cs="Arial"/>
          <w:b/>
          <w:lang w:eastAsia="en-IN" w:bidi="hi-IN"/>
        </w:rPr>
      </w:pPr>
      <w:r w:rsidRPr="003874D4">
        <w:rPr>
          <w:rFonts w:ascii="Arial" w:eastAsia="Calibri" w:hAnsi="Arial" w:cs="Arial"/>
          <w:b/>
          <w:lang w:eastAsia="en-IN" w:bidi="hi-IN"/>
        </w:rPr>
        <w:t>INTRODUCTION</w:t>
      </w:r>
    </w:p>
    <w:p w14:paraId="605927FE" w14:textId="6C00C031"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In the technology-enabled era, online learning has emerged as a prominent modality for both teaching and learning, transforming the traditional classroom into a virtual, 24/7 accessible environment. The development of e-content and its availability on digital platforms reflects the growing significance of technology-based learning, enabling learners and teachers to transcend time and place constraints. In India’s school education context, online learning holds the potential to broaden the educational horizon, offering flexible access, personalised pace, and multimedia-rich interaction.</w:t>
      </w:r>
    </w:p>
    <w:p w14:paraId="5FE18860" w14:textId="07C70365"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lastRenderedPageBreak/>
        <w:t>India’s education system has been evolving towards a “digital pedagogical system” in recent years, with the use of technology becoming increasingly critical in both policy and practice. The National Education Policy 2020 (NEP 2020) underscores this shift by emphasising “wide use of technology in teaching &amp; learning, removal of linguistic barriers, increased access, and education planning and management”</w:t>
      </w:r>
      <w:r w:rsidR="00257E8C" w:rsidRPr="001254BF">
        <w:rPr>
          <w:rFonts w:ascii="Arial" w:eastAsia="Calibri" w:hAnsi="Arial" w:cs="Arial"/>
          <w:bCs/>
          <w:sz w:val="20"/>
          <w:szCs w:val="20"/>
          <w:lang w:eastAsia="en-IN" w:bidi="hi-IN"/>
        </w:rPr>
        <w:t>.</w:t>
      </w:r>
      <w:r w:rsidR="00565793"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 xml:space="preserve">Further, the policy explicitly recommends pilot studies for online education and the use of online learning platforms such as SWAYAM and DIKSHA to enhance reach and effectiveness. </w:t>
      </w:r>
    </w:p>
    <w:p w14:paraId="4DD07EE1" w14:textId="34EC8428"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In the Indian school sector, boards such as the Central Board of Secondary Education (CBSE), the Council for the Indian School Certificate Examinations (CISCE) and </w:t>
      </w:r>
      <w:r w:rsidR="00257E8C" w:rsidRPr="001254BF">
        <w:rPr>
          <w:rFonts w:ascii="Arial" w:eastAsia="Calibri" w:hAnsi="Arial" w:cs="Arial"/>
          <w:bCs/>
          <w:sz w:val="20"/>
          <w:szCs w:val="20"/>
          <w:lang w:eastAsia="en-IN" w:bidi="hi-IN"/>
        </w:rPr>
        <w:t>state boards</w:t>
      </w:r>
      <w:r w:rsidRPr="001254BF">
        <w:rPr>
          <w:rFonts w:ascii="Arial" w:eastAsia="Calibri" w:hAnsi="Arial" w:cs="Arial"/>
          <w:bCs/>
          <w:sz w:val="20"/>
          <w:szCs w:val="20"/>
          <w:lang w:eastAsia="en-IN" w:bidi="hi-IN"/>
        </w:rPr>
        <w:t xml:space="preserve"> are increasingly integrating online modalities. For instance, CBSE has notified its affiliated schools about NCERT-based online courses for classes 11 and 12 available through SWAYAM. The National Council of Educational Research and Training (NCERT) has also made strides in providing digital resources via its CIET (Central Institute of Educational Technology) division, supporting e-resources, teacher training in ICT, and development of multimedia packages for school education. </w:t>
      </w:r>
    </w:p>
    <w:p w14:paraId="00E852E6" w14:textId="6888593C"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Nevertheless, despite the policy impetus and platform availability, the shift from traditional face-to-face instruction to online learning poses significant challenges. Teachers and student-teachers must re-imagine pedagogical practices, adapt to new technology-mediated modes, and manage issues of engagement, accessibility, and effectiveness. The role of school teachers</w:t>
      </w:r>
      <w:r w:rsidR="00AF4402"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especially at the senior secondary level</w:t>
      </w:r>
      <w:r w:rsidR="00AF4402"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becomes crucial in this transformation. Their attitudes toward online learning (including perceived benefits, drawbacks, and their readiness) largely determine how effectively online environments are used, accepted, and sustained.</w:t>
      </w:r>
    </w:p>
    <w:p w14:paraId="61C1E564" w14:textId="77777777" w:rsidR="001B437F"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Therefore, focusing on the attitude of senior secondary school teachers towards online learning becomes critically important. Since senior secondary (classes 11-12) often involves more subject-specialised teaching, higher demands of content depth, and preparation for board examinations, understanding how teachers view, engage with, and adapt to online learning is pivotal. Moreover, given the diversity of school governance (government vs private), teacher demographic variables (gender, age), and subject streams (Science, Arts, Commerce, Agriculture) in the Indian context, a nuanced investigation is warranted.</w:t>
      </w:r>
    </w:p>
    <w:p w14:paraId="65D3E471" w14:textId="77777777" w:rsidR="00565793" w:rsidRPr="001254BF" w:rsidRDefault="001B437F"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This article aims to explore the attitudes of senior secondary school teachers towards online learning, examining how these attitudes differ (if at all) by school sector (government vs private), gender, age, and stream of teaching. By doing so, it contributes to the empirical understanding of teacher readiness and perceptions in India’s evolving online education landscape, offers insights for policy and school-level training, and aligns with the NEP 2020’s goal of strengthening technology-based teaching and learning across school systems.</w:t>
      </w:r>
    </w:p>
    <w:p w14:paraId="1FB1B38B" w14:textId="6B38319A" w:rsidR="009065D1" w:rsidRPr="003874D4" w:rsidRDefault="005A36ED" w:rsidP="009A2EF3">
      <w:pPr>
        <w:spacing w:before="240" w:after="0" w:line="240" w:lineRule="auto"/>
        <w:jc w:val="both"/>
        <w:rPr>
          <w:rFonts w:ascii="Arial" w:eastAsia="Calibri" w:hAnsi="Arial" w:cs="Arial"/>
          <w:b/>
          <w:lang w:eastAsia="en-IN" w:bidi="hi-IN"/>
        </w:rPr>
      </w:pPr>
      <w:r w:rsidRPr="003874D4">
        <w:rPr>
          <w:rFonts w:ascii="Arial" w:eastAsia="Calibri" w:hAnsi="Arial" w:cs="Arial"/>
          <w:b/>
          <w:lang w:eastAsia="en-IN" w:bidi="hi-IN"/>
        </w:rPr>
        <w:t xml:space="preserve">REVIEW OF </w:t>
      </w:r>
      <w:r w:rsidR="0084239B" w:rsidRPr="003874D4">
        <w:rPr>
          <w:rFonts w:ascii="Arial" w:eastAsia="Calibri" w:hAnsi="Arial" w:cs="Arial"/>
          <w:b/>
          <w:lang w:eastAsia="en-IN" w:bidi="hi-IN"/>
        </w:rPr>
        <w:t>L</w:t>
      </w:r>
      <w:r w:rsidRPr="003874D4">
        <w:rPr>
          <w:rFonts w:ascii="Arial" w:eastAsia="Calibri" w:hAnsi="Arial" w:cs="Arial"/>
          <w:b/>
          <w:lang w:eastAsia="en-IN" w:bidi="hi-IN"/>
        </w:rPr>
        <w:t>ITERATURE</w:t>
      </w:r>
    </w:p>
    <w:p w14:paraId="06037AE4" w14:textId="6E4ED64C" w:rsidR="009D66A8" w:rsidRPr="001254BF" w:rsidRDefault="009D66A8" w:rsidP="009A2EF3">
      <w:pPr>
        <w:pStyle w:val="NormalWeb"/>
        <w:spacing w:before="240" w:after="0"/>
        <w:jc w:val="both"/>
        <w:rPr>
          <w:rFonts w:ascii="Arial" w:hAnsi="Arial" w:cs="Arial"/>
          <w:sz w:val="20"/>
          <w:szCs w:val="20"/>
        </w:rPr>
      </w:pPr>
      <w:r w:rsidRPr="001254BF">
        <w:rPr>
          <w:rFonts w:ascii="Arial" w:hAnsi="Arial" w:cs="Arial"/>
          <w:sz w:val="20"/>
          <w:szCs w:val="20"/>
        </w:rPr>
        <w:t>Understanding the attitudes of school teachers toward online learning is critical for assessing their adaptability, readiness, and the acceptability of digital instructional modes. Several key determinants emerge repeatedly across the literature: technological infrastructure, institutional policies, professional training and support, and prior experience in online teaching and learning. These factors shape teacher-educators’ and student-teachers’ attitudes</w:t>
      </w:r>
      <w:r w:rsidR="00CE0F8A" w:rsidRPr="001254BF">
        <w:rPr>
          <w:rFonts w:ascii="Arial" w:hAnsi="Arial" w:cs="Arial"/>
          <w:sz w:val="20"/>
          <w:szCs w:val="20"/>
        </w:rPr>
        <w:t xml:space="preserve"> </w:t>
      </w:r>
      <w:r w:rsidRPr="001254BF">
        <w:rPr>
          <w:rFonts w:ascii="Arial" w:hAnsi="Arial" w:cs="Arial"/>
          <w:sz w:val="20"/>
          <w:szCs w:val="20"/>
        </w:rPr>
        <w:t xml:space="preserve">and hence their willingness to adopt and sustain online learning (Farooqui et al., 2021; Laksmi, Das &amp; Majid, 2021; </w:t>
      </w:r>
      <w:proofErr w:type="spellStart"/>
      <w:r w:rsidRPr="001254BF">
        <w:rPr>
          <w:rFonts w:ascii="Arial" w:hAnsi="Arial" w:cs="Arial"/>
          <w:sz w:val="20"/>
          <w:szCs w:val="20"/>
        </w:rPr>
        <w:t>Nachimuthu</w:t>
      </w:r>
      <w:proofErr w:type="spellEnd"/>
      <w:r w:rsidRPr="001254BF">
        <w:rPr>
          <w:rFonts w:ascii="Arial" w:hAnsi="Arial" w:cs="Arial"/>
          <w:sz w:val="20"/>
          <w:szCs w:val="20"/>
        </w:rPr>
        <w:t>, 2020).</w:t>
      </w:r>
      <w:r w:rsidR="0020371E" w:rsidRPr="001254BF">
        <w:rPr>
          <w:rFonts w:ascii="Arial" w:hAnsi="Arial" w:cs="Arial"/>
          <w:sz w:val="20"/>
          <w:szCs w:val="20"/>
        </w:rPr>
        <w:t xml:space="preserve"> </w:t>
      </w:r>
      <w:r w:rsidRPr="001254BF">
        <w:rPr>
          <w:rFonts w:ascii="Arial" w:hAnsi="Arial" w:cs="Arial"/>
          <w:sz w:val="20"/>
          <w:szCs w:val="20"/>
        </w:rPr>
        <w:t>Earlier research in teacher education settings found generally favourable attitudes when self-efficacy for computer/internet use, self-directed learning and online communication were strong (Farooqui et al., 2021). For instance, working B.Ed. student-teachers reported higher attitudes toward online learning pedagogy than non-working counterparts. Their attitudinal gains were tied to computer/Internet self-efficacy and online-communication self-efficacy rather than gender or marital status.</w:t>
      </w:r>
    </w:p>
    <w:p w14:paraId="40FF6513" w14:textId="70052524" w:rsidR="009D66A8" w:rsidRPr="001254BF" w:rsidRDefault="009D66A8" w:rsidP="009A2EF3">
      <w:pPr>
        <w:pStyle w:val="NormalWeb"/>
        <w:spacing w:before="240" w:after="0"/>
        <w:jc w:val="both"/>
        <w:rPr>
          <w:rFonts w:ascii="Arial" w:hAnsi="Arial" w:cs="Arial"/>
          <w:sz w:val="20"/>
          <w:szCs w:val="20"/>
        </w:rPr>
      </w:pPr>
      <w:r w:rsidRPr="001254BF">
        <w:rPr>
          <w:rFonts w:ascii="Arial" w:hAnsi="Arial" w:cs="Arial"/>
          <w:sz w:val="20"/>
          <w:szCs w:val="20"/>
        </w:rPr>
        <w:t>In secondary and higher-education settings, Laksmi et al. (2021) found that while stakeholders held positive views of e-learning, they nonetheless raised concerns about interactivity, face-to-face contact and transparency. Unreliable technology and low faculty confidence were the major barriers.</w:t>
      </w:r>
      <w:r w:rsidR="00154940" w:rsidRPr="001254BF">
        <w:rPr>
          <w:rFonts w:ascii="Arial" w:hAnsi="Arial" w:cs="Arial"/>
          <w:sz w:val="20"/>
          <w:szCs w:val="20"/>
        </w:rPr>
        <w:t xml:space="preserve"> </w:t>
      </w:r>
      <w:proofErr w:type="spellStart"/>
      <w:r w:rsidRPr="001254BF">
        <w:rPr>
          <w:rFonts w:ascii="Arial" w:hAnsi="Arial" w:cs="Arial"/>
          <w:sz w:val="20"/>
          <w:szCs w:val="20"/>
        </w:rPr>
        <w:t>Nachimuthu</w:t>
      </w:r>
      <w:proofErr w:type="spellEnd"/>
      <w:r w:rsidRPr="001254BF">
        <w:rPr>
          <w:rFonts w:ascii="Arial" w:hAnsi="Arial" w:cs="Arial"/>
          <w:sz w:val="20"/>
          <w:szCs w:val="20"/>
        </w:rPr>
        <w:t xml:space="preserve"> (2020) reported that student-teachers’ attitudes to online learning were not significantly influenced by gender, and that traditional classroom practice </w:t>
      </w:r>
      <w:r w:rsidR="00B2126F" w:rsidRPr="001254BF">
        <w:rPr>
          <w:rFonts w:ascii="Arial" w:hAnsi="Arial" w:cs="Arial"/>
          <w:sz w:val="20"/>
          <w:szCs w:val="20"/>
        </w:rPr>
        <w:t>did not affect</w:t>
      </w:r>
      <w:r w:rsidRPr="001254BF">
        <w:rPr>
          <w:rFonts w:ascii="Arial" w:hAnsi="Arial" w:cs="Arial"/>
          <w:sz w:val="20"/>
          <w:szCs w:val="20"/>
        </w:rPr>
        <w:t xml:space="preserve"> their attitudes. Doley (2020) observed no male/female or married/unmarried differences in attitudes among B.Ed. trainees, although rural versus urban location showed significance</w:t>
      </w:r>
      <w:r w:rsidR="00B2126F" w:rsidRPr="001254BF">
        <w:rPr>
          <w:rFonts w:ascii="Arial" w:hAnsi="Arial" w:cs="Arial"/>
          <w:sz w:val="20"/>
          <w:szCs w:val="20"/>
        </w:rPr>
        <w:t xml:space="preserve">, </w:t>
      </w:r>
      <w:r w:rsidRPr="001254BF">
        <w:rPr>
          <w:rFonts w:ascii="Arial" w:hAnsi="Arial" w:cs="Arial"/>
          <w:sz w:val="20"/>
          <w:szCs w:val="20"/>
        </w:rPr>
        <w:t xml:space="preserve">suggesting that access/infrastructure might mediate </w:t>
      </w:r>
      <w:r w:rsidRPr="001254BF">
        <w:rPr>
          <w:rFonts w:ascii="Arial" w:hAnsi="Arial" w:cs="Arial"/>
          <w:sz w:val="20"/>
          <w:szCs w:val="20"/>
        </w:rPr>
        <w:lastRenderedPageBreak/>
        <w:t>seemingly demographic differences. Obeidat (2020) likewise found no gender or residence-based differences in perceptions of online learning among undergraduates but did find variation by discipline. Claudiu et al. (2020) investigating Romanian universities reported that institutions were poorly prepared for fully online delivery; consequently, the previously noted benefits of online learning diminished and disadvantages became more salient.</w:t>
      </w:r>
    </w:p>
    <w:p w14:paraId="6A7BB073" w14:textId="14683D70" w:rsidR="001658AE" w:rsidRPr="001254BF" w:rsidRDefault="009D66A8" w:rsidP="009A2EF3">
      <w:pPr>
        <w:pStyle w:val="NormalWeb"/>
        <w:spacing w:before="240" w:beforeAutospacing="0" w:after="0" w:afterAutospacing="0"/>
        <w:jc w:val="both"/>
        <w:rPr>
          <w:rFonts w:ascii="Arial" w:hAnsi="Arial" w:cs="Arial"/>
          <w:sz w:val="20"/>
          <w:szCs w:val="20"/>
        </w:rPr>
      </w:pPr>
      <w:r w:rsidRPr="001254BF">
        <w:rPr>
          <w:rFonts w:ascii="Arial" w:hAnsi="Arial" w:cs="Arial"/>
          <w:sz w:val="20"/>
          <w:szCs w:val="20"/>
        </w:rPr>
        <w:t xml:space="preserve">Recent studies </w:t>
      </w:r>
      <w:r w:rsidR="002565EB" w:rsidRPr="001254BF">
        <w:rPr>
          <w:rFonts w:ascii="Arial" w:hAnsi="Arial" w:cs="Arial"/>
          <w:sz w:val="20"/>
          <w:szCs w:val="20"/>
        </w:rPr>
        <w:t>conducted during the years</w:t>
      </w:r>
      <w:r w:rsidRPr="001254BF">
        <w:rPr>
          <w:rFonts w:ascii="Arial" w:hAnsi="Arial" w:cs="Arial"/>
          <w:sz w:val="20"/>
          <w:szCs w:val="20"/>
        </w:rPr>
        <w:t xml:space="preserve"> 2023–2025 extend and deepen these findings. Ahmed et al. (2023) in a faculty survey found that lack of teacher training, pedagogical redesign for online modes, and student</w:t>
      </w:r>
      <w:r w:rsidR="002565EB" w:rsidRPr="001254BF">
        <w:rPr>
          <w:rFonts w:ascii="Arial" w:hAnsi="Arial" w:cs="Arial"/>
          <w:sz w:val="20"/>
          <w:szCs w:val="20"/>
        </w:rPr>
        <w:t xml:space="preserve"> </w:t>
      </w:r>
      <w:r w:rsidRPr="001254BF">
        <w:rPr>
          <w:rFonts w:ascii="Arial" w:hAnsi="Arial" w:cs="Arial"/>
          <w:sz w:val="20"/>
          <w:szCs w:val="20"/>
        </w:rPr>
        <w:t xml:space="preserve">engagement concerns had </w:t>
      </w:r>
      <w:r w:rsidR="002565EB" w:rsidRPr="001254BF">
        <w:rPr>
          <w:rFonts w:ascii="Arial" w:hAnsi="Arial" w:cs="Arial"/>
          <w:sz w:val="20"/>
          <w:szCs w:val="20"/>
        </w:rPr>
        <w:t xml:space="preserve">a </w:t>
      </w:r>
      <w:r w:rsidRPr="001254BF">
        <w:rPr>
          <w:rFonts w:ascii="Arial" w:hAnsi="Arial" w:cs="Arial"/>
          <w:sz w:val="20"/>
          <w:szCs w:val="20"/>
        </w:rPr>
        <w:t>strong influence on teacher attitudes. Rao et al. (2024) reported in Indian professional/health disciplines that teachers preferred online modes for theory but less so for hands-on/practical components</w:t>
      </w:r>
      <w:r w:rsidR="002565EB" w:rsidRPr="001254BF">
        <w:rPr>
          <w:rFonts w:ascii="Arial" w:hAnsi="Arial" w:cs="Arial"/>
          <w:sz w:val="20"/>
          <w:szCs w:val="20"/>
        </w:rPr>
        <w:t xml:space="preserve">, </w:t>
      </w:r>
      <w:r w:rsidRPr="001254BF">
        <w:rPr>
          <w:rFonts w:ascii="Arial" w:hAnsi="Arial" w:cs="Arial"/>
          <w:sz w:val="20"/>
          <w:szCs w:val="20"/>
        </w:rPr>
        <w:t xml:space="preserve">implying that stream or subject domain can affect attitude. Scherer et al. (2023) found that gender differences in teacher readiness were small and largely mediated by prior online-teaching experience rather than intrinsic gender effects. Panda </w:t>
      </w:r>
      <w:r w:rsidR="0013069D" w:rsidRPr="001254BF">
        <w:rPr>
          <w:rFonts w:ascii="Arial" w:hAnsi="Arial" w:cs="Arial"/>
          <w:sz w:val="20"/>
          <w:szCs w:val="20"/>
        </w:rPr>
        <w:t xml:space="preserve">&amp; Neha </w:t>
      </w:r>
      <w:r w:rsidRPr="001254BF">
        <w:rPr>
          <w:rFonts w:ascii="Arial" w:hAnsi="Arial" w:cs="Arial"/>
          <w:sz w:val="20"/>
          <w:szCs w:val="20"/>
        </w:rPr>
        <w:t>(2024) in a study of secondary-school teachers found that when infrastructure and training were adequate, attitudes were neutral to positive, and that age differences became insignificant after controlling for experience and training.</w:t>
      </w:r>
    </w:p>
    <w:p w14:paraId="363F10BB" w14:textId="27FE436D" w:rsidR="00EB215F" w:rsidRPr="001254BF" w:rsidRDefault="00CE0F8A" w:rsidP="009A2EF3">
      <w:pPr>
        <w:pStyle w:val="NormalWeb"/>
        <w:spacing w:before="240" w:beforeAutospacing="0" w:after="0" w:afterAutospacing="0"/>
        <w:jc w:val="both"/>
        <w:rPr>
          <w:rFonts w:ascii="Arial" w:hAnsi="Arial" w:cs="Arial"/>
          <w:sz w:val="20"/>
          <w:szCs w:val="20"/>
        </w:rPr>
      </w:pPr>
      <w:r w:rsidRPr="001254BF">
        <w:rPr>
          <w:rFonts w:ascii="Arial" w:hAnsi="Arial" w:cs="Arial"/>
          <w:sz w:val="20"/>
          <w:szCs w:val="20"/>
        </w:rPr>
        <w:t>While abundant research exists for higher education and teacher</w:t>
      </w:r>
      <w:r w:rsidR="00E2686B" w:rsidRPr="001254BF">
        <w:rPr>
          <w:rFonts w:ascii="Arial" w:hAnsi="Arial" w:cs="Arial"/>
          <w:sz w:val="20"/>
          <w:szCs w:val="20"/>
        </w:rPr>
        <w:t xml:space="preserve"> </w:t>
      </w:r>
      <w:r w:rsidRPr="001254BF">
        <w:rPr>
          <w:rFonts w:ascii="Arial" w:hAnsi="Arial" w:cs="Arial"/>
          <w:sz w:val="20"/>
          <w:szCs w:val="20"/>
        </w:rPr>
        <w:t xml:space="preserve">education programmes, there </w:t>
      </w:r>
      <w:r w:rsidR="00E2686B" w:rsidRPr="001254BF">
        <w:rPr>
          <w:rFonts w:ascii="Arial" w:hAnsi="Arial" w:cs="Arial"/>
          <w:sz w:val="20"/>
          <w:szCs w:val="20"/>
        </w:rPr>
        <w:t>are</w:t>
      </w:r>
      <w:r w:rsidRPr="001254BF">
        <w:rPr>
          <w:rFonts w:ascii="Arial" w:hAnsi="Arial" w:cs="Arial"/>
          <w:sz w:val="20"/>
          <w:szCs w:val="20"/>
        </w:rPr>
        <w:t xml:space="preserve"> fewer studies explicitly comparing government vs private </w:t>
      </w:r>
      <w:r w:rsidR="00E2686B" w:rsidRPr="001254BF">
        <w:rPr>
          <w:rFonts w:ascii="Arial" w:hAnsi="Arial" w:cs="Arial"/>
          <w:sz w:val="20"/>
          <w:szCs w:val="20"/>
        </w:rPr>
        <w:t xml:space="preserve">senior secondary </w:t>
      </w:r>
      <w:r w:rsidRPr="001254BF">
        <w:rPr>
          <w:rFonts w:ascii="Arial" w:hAnsi="Arial" w:cs="Arial"/>
          <w:sz w:val="20"/>
          <w:szCs w:val="20"/>
        </w:rPr>
        <w:t>school teachers, or stream-wise differences in the senior</w:t>
      </w:r>
      <w:r w:rsidR="00EF5668" w:rsidRPr="001254BF">
        <w:rPr>
          <w:rFonts w:ascii="Arial" w:hAnsi="Arial" w:cs="Arial"/>
          <w:sz w:val="20"/>
          <w:szCs w:val="20"/>
        </w:rPr>
        <w:t xml:space="preserve"> </w:t>
      </w:r>
      <w:r w:rsidRPr="001254BF">
        <w:rPr>
          <w:rFonts w:ascii="Arial" w:hAnsi="Arial" w:cs="Arial"/>
          <w:sz w:val="20"/>
          <w:szCs w:val="20"/>
        </w:rPr>
        <w:t>secondary context. Also</w:t>
      </w:r>
      <w:r w:rsidR="00EF5668" w:rsidRPr="001254BF">
        <w:rPr>
          <w:rFonts w:ascii="Arial" w:hAnsi="Arial" w:cs="Arial"/>
          <w:sz w:val="20"/>
          <w:szCs w:val="20"/>
        </w:rPr>
        <w:t>,</w:t>
      </w:r>
      <w:r w:rsidRPr="001254BF">
        <w:rPr>
          <w:rFonts w:ascii="Arial" w:hAnsi="Arial" w:cs="Arial"/>
          <w:sz w:val="20"/>
          <w:szCs w:val="20"/>
        </w:rPr>
        <w:t xml:space="preserve"> many studies utilise generic attitude scales rather than subject</w:t>
      </w:r>
      <w:r w:rsidR="00EF5668" w:rsidRPr="001254BF">
        <w:rPr>
          <w:rFonts w:ascii="Arial" w:hAnsi="Arial" w:cs="Arial"/>
          <w:sz w:val="20"/>
          <w:szCs w:val="20"/>
        </w:rPr>
        <w:t xml:space="preserve"> </w:t>
      </w:r>
      <w:r w:rsidRPr="001254BF">
        <w:rPr>
          <w:rFonts w:ascii="Arial" w:hAnsi="Arial" w:cs="Arial"/>
          <w:sz w:val="20"/>
          <w:szCs w:val="20"/>
        </w:rPr>
        <w:t xml:space="preserve">or stream-specific measures (e.g., practical-oriented vs theory-oriented). For </w:t>
      </w:r>
      <w:r w:rsidR="004D7A08" w:rsidRPr="001254BF">
        <w:rPr>
          <w:rFonts w:ascii="Arial" w:hAnsi="Arial" w:cs="Arial"/>
          <w:sz w:val="20"/>
          <w:szCs w:val="20"/>
        </w:rPr>
        <w:t>this</w:t>
      </w:r>
      <w:r w:rsidRPr="001254BF">
        <w:rPr>
          <w:rFonts w:ascii="Arial" w:hAnsi="Arial" w:cs="Arial"/>
          <w:sz w:val="20"/>
          <w:szCs w:val="20"/>
        </w:rPr>
        <w:t xml:space="preserve"> study, controlling for prior online-teaching experience, infrastructure access, and subject domain (stream) will enhance </w:t>
      </w:r>
      <w:r w:rsidR="004D7A08" w:rsidRPr="001254BF">
        <w:rPr>
          <w:rFonts w:ascii="Arial" w:hAnsi="Arial" w:cs="Arial"/>
          <w:sz w:val="20"/>
          <w:szCs w:val="20"/>
        </w:rPr>
        <w:t xml:space="preserve">the </w:t>
      </w:r>
      <w:r w:rsidRPr="001254BF">
        <w:rPr>
          <w:rFonts w:ascii="Arial" w:hAnsi="Arial" w:cs="Arial"/>
          <w:sz w:val="20"/>
          <w:szCs w:val="20"/>
        </w:rPr>
        <w:t>interpretability of demographic splits (gender, age, stream). The literature suggests that to foster positive attitudes, institutional training, support systems, and infrastructure must be addressed holistically.</w:t>
      </w:r>
    </w:p>
    <w:p w14:paraId="3B4DED7B" w14:textId="3F02E17C" w:rsidR="009065D1" w:rsidRPr="00386CF0" w:rsidRDefault="006C3E3E"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OBJECTIVES</w:t>
      </w:r>
    </w:p>
    <w:p w14:paraId="1A092417" w14:textId="5DACBFAC" w:rsidR="008A4265" w:rsidRPr="001254BF" w:rsidRDefault="00D42D55" w:rsidP="009A2EF3">
      <w:pPr>
        <w:pStyle w:val="ListParagraph"/>
        <w:numPr>
          <w:ilvl w:val="0"/>
          <w:numId w:val="1"/>
        </w:num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To </w:t>
      </w:r>
      <w:r w:rsidR="00207896" w:rsidRPr="001254BF">
        <w:rPr>
          <w:rFonts w:ascii="Arial" w:eastAsia="Calibri" w:hAnsi="Arial" w:cs="Arial"/>
          <w:bCs/>
          <w:sz w:val="20"/>
          <w:szCs w:val="20"/>
          <w:lang w:eastAsia="en-IN" w:bidi="hi-IN"/>
        </w:rPr>
        <w:t xml:space="preserve">study the </w:t>
      </w:r>
      <w:bookmarkStart w:id="1" w:name="_Hlk218093120"/>
      <w:r w:rsidR="00207896" w:rsidRPr="001254BF">
        <w:rPr>
          <w:rFonts w:ascii="Arial" w:eastAsia="Calibri" w:hAnsi="Arial" w:cs="Arial"/>
          <w:bCs/>
          <w:sz w:val="20"/>
          <w:szCs w:val="20"/>
          <w:lang w:eastAsia="en-IN" w:bidi="hi-IN"/>
        </w:rPr>
        <w:t>effectiveness of online learning strategies as perceived by teachers teaching at Government and Private Senior Secondary Schools</w:t>
      </w:r>
      <w:r w:rsidR="005C49B0" w:rsidRPr="001254BF">
        <w:rPr>
          <w:rFonts w:ascii="Arial" w:eastAsia="Calibri" w:hAnsi="Arial" w:cs="Arial"/>
          <w:bCs/>
          <w:sz w:val="20"/>
          <w:szCs w:val="20"/>
          <w:lang w:eastAsia="en-IN" w:bidi="hi-IN"/>
        </w:rPr>
        <w:t>.</w:t>
      </w:r>
    </w:p>
    <w:bookmarkEnd w:id="1"/>
    <w:p w14:paraId="06120991" w14:textId="0FB6D2FC" w:rsidR="00D42D55" w:rsidRPr="001254BF" w:rsidRDefault="00207896" w:rsidP="009A2EF3">
      <w:pPr>
        <w:pStyle w:val="ListParagraph"/>
        <w:numPr>
          <w:ilvl w:val="0"/>
          <w:numId w:val="1"/>
        </w:num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To study the effectiveness of online learning strategies as perceived by students of Government and Private Senior Secondary Schools</w:t>
      </w:r>
      <w:r w:rsidR="00A205C7" w:rsidRPr="001254BF">
        <w:rPr>
          <w:rFonts w:ascii="Arial" w:eastAsia="Calibri" w:hAnsi="Arial" w:cs="Arial"/>
          <w:bCs/>
          <w:sz w:val="20"/>
          <w:szCs w:val="20"/>
          <w:lang w:eastAsia="en-IN" w:bidi="hi-IN"/>
        </w:rPr>
        <w:t>.</w:t>
      </w:r>
    </w:p>
    <w:p w14:paraId="69D3A755" w14:textId="15A59F0A" w:rsidR="00256266" w:rsidRPr="001254BF" w:rsidRDefault="003C1954" w:rsidP="009A2EF3">
      <w:pPr>
        <w:spacing w:before="240" w:after="0" w:line="240" w:lineRule="auto"/>
        <w:jc w:val="both"/>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METHODOLOGY</w:t>
      </w:r>
    </w:p>
    <w:p w14:paraId="370EEB98" w14:textId="73F18401" w:rsidR="005E3BA0" w:rsidRPr="00386CF0" w:rsidRDefault="005E3BA0"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Research Design</w:t>
      </w:r>
    </w:p>
    <w:p w14:paraId="5C116C1F" w14:textId="7735884C" w:rsidR="00BF37F8" w:rsidRPr="001254BF" w:rsidRDefault="00264874"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study employed a descriptive survey research design to examine the </w:t>
      </w:r>
      <w:r w:rsidR="004D55A2" w:rsidRPr="001254BF">
        <w:rPr>
          <w:rFonts w:ascii="Arial" w:eastAsia="Calibri" w:hAnsi="Arial" w:cs="Arial"/>
          <w:bCs/>
          <w:sz w:val="20"/>
          <w:szCs w:val="20"/>
          <w:lang w:eastAsia="en-IN" w:bidi="hi-IN"/>
        </w:rPr>
        <w:t>effectiveness of online learning strategies as perceived by teachers and students</w:t>
      </w:r>
      <w:r w:rsidR="00CF1BC8" w:rsidRPr="001254BF">
        <w:rPr>
          <w:rFonts w:ascii="Arial" w:eastAsia="Calibri" w:hAnsi="Arial" w:cs="Arial"/>
          <w:bCs/>
          <w:sz w:val="20"/>
          <w:szCs w:val="20"/>
          <w:lang w:eastAsia="en-IN" w:bidi="hi-IN"/>
        </w:rPr>
        <w:t xml:space="preserve"> of</w:t>
      </w:r>
      <w:r w:rsidR="004D55A2" w:rsidRPr="001254BF">
        <w:rPr>
          <w:rFonts w:ascii="Arial" w:eastAsia="Calibri" w:hAnsi="Arial" w:cs="Arial"/>
          <w:bCs/>
          <w:sz w:val="20"/>
          <w:szCs w:val="20"/>
          <w:lang w:eastAsia="en-IN" w:bidi="hi-IN"/>
        </w:rPr>
        <w:t xml:space="preserve"> Government and Private Senior Secondary Schools </w:t>
      </w:r>
      <w:r w:rsidR="00B02C6E" w:rsidRPr="001254BF">
        <w:rPr>
          <w:rFonts w:ascii="Arial" w:eastAsia="Calibri" w:hAnsi="Arial" w:cs="Arial"/>
          <w:bCs/>
          <w:sz w:val="20"/>
          <w:szCs w:val="20"/>
          <w:lang w:eastAsia="en-IN" w:bidi="hi-IN"/>
        </w:rPr>
        <w:t xml:space="preserve">of </w:t>
      </w:r>
      <w:r w:rsidR="008F0DB0" w:rsidRPr="001254BF">
        <w:rPr>
          <w:rFonts w:ascii="Arial" w:eastAsia="Calibri" w:hAnsi="Arial" w:cs="Arial"/>
          <w:bCs/>
          <w:sz w:val="20"/>
          <w:szCs w:val="20"/>
          <w:lang w:eastAsia="en-IN" w:bidi="hi-IN"/>
        </w:rPr>
        <w:t>Bhilwara city of Rajasthan</w:t>
      </w:r>
      <w:r w:rsidR="004D55A2" w:rsidRPr="001254BF">
        <w:rPr>
          <w:rFonts w:ascii="Arial" w:eastAsia="Calibri" w:hAnsi="Arial" w:cs="Arial"/>
          <w:bCs/>
          <w:sz w:val="20"/>
          <w:szCs w:val="20"/>
          <w:lang w:eastAsia="en-IN" w:bidi="hi-IN"/>
        </w:rPr>
        <w:t>.</w:t>
      </w:r>
      <w:r w:rsidR="008F0DB0" w:rsidRPr="001254BF">
        <w:rPr>
          <w:rFonts w:ascii="Arial" w:eastAsia="Calibri" w:hAnsi="Arial" w:cs="Arial"/>
          <w:bCs/>
          <w:sz w:val="20"/>
          <w:szCs w:val="20"/>
          <w:lang w:eastAsia="en-IN" w:bidi="hi-IN"/>
        </w:rPr>
        <w:t xml:space="preserve"> </w:t>
      </w:r>
      <w:r w:rsidR="003B3DEF" w:rsidRPr="001254BF">
        <w:rPr>
          <w:rFonts w:ascii="Arial" w:eastAsia="Calibri" w:hAnsi="Arial" w:cs="Arial"/>
          <w:bCs/>
          <w:sz w:val="20"/>
          <w:szCs w:val="20"/>
          <w:lang w:eastAsia="en-IN" w:bidi="hi-IN"/>
        </w:rPr>
        <w:t>The descriptive survey method was chosen because it allows for systematic collection and analysis of teachers’ perceptions and attitudes, and it enables comparison across demographic and professional categories. This design is suitable for studies aiming to provide empirical evidence to inform policy, teacher training, and the implementation of technology-enhanced teaching practices in senior secondary schools.</w:t>
      </w:r>
      <w:r w:rsidR="00F77A81" w:rsidRPr="001254BF">
        <w:rPr>
          <w:rFonts w:ascii="Arial" w:eastAsia="Calibri" w:hAnsi="Arial" w:cs="Arial"/>
          <w:bCs/>
          <w:sz w:val="20"/>
          <w:szCs w:val="20"/>
          <w:lang w:eastAsia="en-IN" w:bidi="hi-IN"/>
        </w:rPr>
        <w:t xml:space="preserve"> </w:t>
      </w:r>
    </w:p>
    <w:p w14:paraId="44C67993" w14:textId="6B18A9B6" w:rsidR="00BF37F8" w:rsidRPr="00386CF0" w:rsidRDefault="00BF37F8"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Sample and Sampling Techniques</w:t>
      </w:r>
    </w:p>
    <w:p w14:paraId="25A2A742" w14:textId="77777777" w:rsidR="004D55A2" w:rsidRPr="001254BF" w:rsidRDefault="00887302"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study population comprised senior secondary school teachers working in both government and private schools in Bhilwara city, Rajasthan. A purposive sampling technique was employed to select 10 government and 10 private senior secondary schools. Subsequently, simple random sampling was used to select teachers and students who were actively engaged in teaching and learning at the senior secondary level, including those with experience in online teaching and learning. The final sample included 81 teachers and 510 students drawn from the selected 20 schools.</w:t>
      </w:r>
    </w:p>
    <w:p w14:paraId="3891A4CB" w14:textId="77CA4414" w:rsidR="00837012" w:rsidRPr="00386CF0" w:rsidRDefault="00837012"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 xml:space="preserve">Data Collection </w:t>
      </w:r>
      <w:r w:rsidR="005D3E1B" w:rsidRPr="00386CF0">
        <w:rPr>
          <w:rFonts w:ascii="Arial" w:eastAsia="Calibri" w:hAnsi="Arial" w:cs="Arial"/>
          <w:b/>
          <w:lang w:eastAsia="en-IN" w:bidi="hi-IN"/>
        </w:rPr>
        <w:t>Instrument</w:t>
      </w:r>
    </w:p>
    <w:p w14:paraId="0735E91B" w14:textId="789A80C8" w:rsidR="003033EE" w:rsidRPr="001254BF" w:rsidRDefault="004F6BD9"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A structured questionnaire was </w:t>
      </w:r>
      <w:r w:rsidR="000F21A2" w:rsidRPr="001254BF">
        <w:rPr>
          <w:rFonts w:ascii="Arial" w:eastAsia="Calibri" w:hAnsi="Arial" w:cs="Arial"/>
          <w:bCs/>
          <w:sz w:val="20"/>
          <w:szCs w:val="20"/>
          <w:lang w:eastAsia="en-IN" w:bidi="hi-IN"/>
        </w:rPr>
        <w:t xml:space="preserve">adapted </w:t>
      </w:r>
      <w:r w:rsidR="006F2866" w:rsidRPr="001254BF">
        <w:rPr>
          <w:rFonts w:ascii="Arial" w:eastAsia="Calibri" w:hAnsi="Arial" w:cs="Arial"/>
          <w:bCs/>
          <w:sz w:val="20"/>
          <w:szCs w:val="20"/>
          <w:lang w:eastAsia="en-IN" w:bidi="hi-IN"/>
        </w:rPr>
        <w:t>to meet the study's criteria to investigate the effectiveness of fully online and web-supported learning strategies in teacher education institutions,</w:t>
      </w:r>
      <w:r w:rsidR="000F21A2" w:rsidRPr="001254BF">
        <w:rPr>
          <w:rFonts w:ascii="Arial" w:eastAsia="Calibri" w:hAnsi="Arial" w:cs="Arial"/>
          <w:bCs/>
          <w:sz w:val="20"/>
          <w:szCs w:val="20"/>
          <w:lang w:eastAsia="en-IN" w:bidi="hi-IN"/>
        </w:rPr>
        <w:t xml:space="preserve"> as perceived by teacher-educators and student-teachers. The instrument had 12 items containing questions on learning </w:t>
      </w:r>
      <w:r w:rsidR="000F21A2" w:rsidRPr="001254BF">
        <w:rPr>
          <w:rFonts w:ascii="Arial" w:eastAsia="Calibri" w:hAnsi="Arial" w:cs="Arial"/>
          <w:bCs/>
          <w:sz w:val="20"/>
          <w:szCs w:val="20"/>
          <w:lang w:eastAsia="en-IN" w:bidi="hi-IN"/>
        </w:rPr>
        <w:lastRenderedPageBreak/>
        <w:t xml:space="preserve">outcomes and experiences. Responses from teacher educators and student-teachers were compiled on a 4-point Likert scale ranging from "not at all" to "to large extent," 11 of the 12 statements were positive, while 1 was </w:t>
      </w:r>
      <w:r w:rsidR="006F2866" w:rsidRPr="001254BF">
        <w:rPr>
          <w:rFonts w:ascii="Arial" w:eastAsia="Calibri" w:hAnsi="Arial" w:cs="Arial"/>
          <w:bCs/>
          <w:sz w:val="20"/>
          <w:szCs w:val="20"/>
          <w:lang w:eastAsia="en-IN" w:bidi="hi-IN"/>
        </w:rPr>
        <w:t xml:space="preserve">a </w:t>
      </w:r>
      <w:r w:rsidR="000F21A2" w:rsidRPr="001254BF">
        <w:rPr>
          <w:rFonts w:ascii="Arial" w:eastAsia="Calibri" w:hAnsi="Arial" w:cs="Arial"/>
          <w:bCs/>
          <w:sz w:val="20"/>
          <w:szCs w:val="20"/>
          <w:lang w:eastAsia="en-IN" w:bidi="hi-IN"/>
        </w:rPr>
        <w:t xml:space="preserve">negative statement. Table </w:t>
      </w:r>
      <w:r w:rsidR="007B3D03">
        <w:rPr>
          <w:rFonts w:ascii="Arial" w:eastAsia="Calibri" w:hAnsi="Arial" w:cs="Arial"/>
          <w:bCs/>
          <w:sz w:val="20"/>
          <w:szCs w:val="20"/>
          <w:lang w:eastAsia="en-IN" w:bidi="hi-IN"/>
        </w:rPr>
        <w:t>1</w:t>
      </w:r>
      <w:r w:rsidR="000F21A2" w:rsidRPr="001254BF">
        <w:rPr>
          <w:rFonts w:ascii="Arial" w:eastAsia="Calibri" w:hAnsi="Arial" w:cs="Arial"/>
          <w:bCs/>
          <w:sz w:val="20"/>
          <w:szCs w:val="20"/>
          <w:lang w:eastAsia="en-IN" w:bidi="hi-IN"/>
        </w:rPr>
        <w:t xml:space="preserve"> lists the items by dimension.</w:t>
      </w:r>
      <w:r w:rsidRPr="001254BF">
        <w:rPr>
          <w:rFonts w:ascii="Arial" w:eastAsia="Calibri" w:hAnsi="Arial" w:cs="Arial"/>
          <w:bCs/>
          <w:sz w:val="20"/>
          <w:szCs w:val="20"/>
          <w:lang w:eastAsia="en-IN" w:bidi="hi-IN"/>
        </w:rPr>
        <w:t xml:space="preserve"> The tool was validated by experts in teacher education and educational technology and had demonstrated adequate reliability (Cronbach’s alpha ≥ 0.</w:t>
      </w:r>
      <w:r w:rsidR="00F96CA9" w:rsidRPr="001254BF">
        <w:rPr>
          <w:rFonts w:ascii="Arial" w:eastAsia="Calibri" w:hAnsi="Arial" w:cs="Arial"/>
          <w:bCs/>
          <w:sz w:val="20"/>
          <w:szCs w:val="20"/>
          <w:lang w:eastAsia="en-IN" w:bidi="hi-IN"/>
        </w:rPr>
        <w:t>89</w:t>
      </w:r>
      <w:r w:rsidRPr="001254BF">
        <w:rPr>
          <w:rFonts w:ascii="Arial" w:eastAsia="Calibri" w:hAnsi="Arial" w:cs="Arial"/>
          <w:bCs/>
          <w:sz w:val="20"/>
          <w:szCs w:val="20"/>
          <w:lang w:eastAsia="en-IN" w:bidi="hi-IN"/>
        </w:rPr>
        <w:t>) in pilot testing.</w:t>
      </w:r>
      <w:r w:rsidR="0050409D" w:rsidRPr="001254BF">
        <w:rPr>
          <w:rFonts w:ascii="Arial" w:eastAsia="Calibri" w:hAnsi="Arial" w:cs="Arial"/>
          <w:bCs/>
          <w:sz w:val="20"/>
          <w:szCs w:val="20"/>
          <w:lang w:eastAsia="en-IN" w:bidi="hi-IN"/>
        </w:rPr>
        <w:t xml:space="preserve"> </w:t>
      </w:r>
    </w:p>
    <w:p w14:paraId="4F32BD26" w14:textId="5CD6BEC3" w:rsidR="008F6CD6" w:rsidRPr="00386CF0" w:rsidRDefault="008F6CD6"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 xml:space="preserve">Data Collection and </w:t>
      </w:r>
      <w:r w:rsidR="00427E6D" w:rsidRPr="00386CF0">
        <w:rPr>
          <w:rFonts w:ascii="Arial" w:eastAsia="Calibri" w:hAnsi="Arial" w:cs="Arial"/>
          <w:b/>
          <w:lang w:eastAsia="en-IN" w:bidi="hi-IN"/>
        </w:rPr>
        <w:t>Analysis Procedure</w:t>
      </w:r>
    </w:p>
    <w:p w14:paraId="47C1444E" w14:textId="6CFEF2CB" w:rsidR="00427E6D" w:rsidRPr="001254BF" w:rsidRDefault="00427E6D"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Data were collected through online and offline modes, depending on teachers’ accessibility and preference. Prior consent was obtained from the teachers, and confidentiality of responses was assured. Clear instructions were provided to ensure consistency in understanding the questionnaire items.</w:t>
      </w:r>
    </w:p>
    <w:p w14:paraId="6B36554A" w14:textId="13539872" w:rsidR="00427E6D" w:rsidRPr="001254BF" w:rsidRDefault="00C85C84" w:rsidP="009A2EF3">
      <w:pPr>
        <w:spacing w:before="240"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collected data were analysed using descriptive and inferential statistical techniques:</w:t>
      </w:r>
      <w:r w:rsidR="00D811D5"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Mean and Standard Deviation to describe the general attitude of teachers.</w:t>
      </w:r>
      <w:r w:rsidR="00D811D5"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Independent sample t-tests to compare attitude scores between school types, gender, and age groups.</w:t>
      </w:r>
      <w:r w:rsidR="00D811D5"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One-way ANOVA to compare attitude scores across different teaching streams.</w:t>
      </w:r>
      <w:r w:rsidR="00D811D5" w:rsidRPr="001254BF">
        <w:rPr>
          <w:rFonts w:ascii="Arial" w:eastAsia="Calibri" w:hAnsi="Arial" w:cs="Arial"/>
          <w:bCs/>
          <w:sz w:val="20"/>
          <w:szCs w:val="20"/>
          <w:lang w:eastAsia="en-IN" w:bidi="hi-IN"/>
        </w:rPr>
        <w:t xml:space="preserve"> </w:t>
      </w:r>
      <w:r w:rsidRPr="001254BF">
        <w:rPr>
          <w:rFonts w:ascii="Arial" w:eastAsia="Calibri" w:hAnsi="Arial" w:cs="Arial"/>
          <w:bCs/>
          <w:sz w:val="20"/>
          <w:szCs w:val="20"/>
          <w:lang w:eastAsia="en-IN" w:bidi="hi-IN"/>
        </w:rPr>
        <w:t>The level of significance was set at 0.05 for all inferential analyses to determine whether observed differences were statistically meaningful.</w:t>
      </w:r>
    </w:p>
    <w:p w14:paraId="16CF8879" w14:textId="7A20A554" w:rsidR="008F5181" w:rsidRPr="00386CF0" w:rsidRDefault="001645FE" w:rsidP="009A2EF3">
      <w:pPr>
        <w:spacing w:before="240" w:after="0" w:line="240" w:lineRule="auto"/>
        <w:jc w:val="both"/>
        <w:rPr>
          <w:rFonts w:ascii="Arial" w:eastAsia="Calibri" w:hAnsi="Arial" w:cs="Arial"/>
          <w:b/>
          <w:lang w:eastAsia="en-IN" w:bidi="hi-IN"/>
        </w:rPr>
      </w:pPr>
      <w:r w:rsidRPr="00386CF0">
        <w:rPr>
          <w:rFonts w:ascii="Arial" w:eastAsia="Calibri" w:hAnsi="Arial" w:cs="Arial"/>
          <w:b/>
          <w:lang w:eastAsia="en-IN" w:bidi="hi-IN"/>
        </w:rPr>
        <w:t>ANALYSIS AND INTERPRETATION</w:t>
      </w:r>
    </w:p>
    <w:p w14:paraId="4630E2EE" w14:textId="467264EB" w:rsidR="00DE6AF1" w:rsidRPr="001254BF" w:rsidRDefault="00DE6AF1" w:rsidP="00DE6AF1">
      <w:pPr>
        <w:spacing w:before="240" w:line="240" w:lineRule="auto"/>
        <w:jc w:val="both"/>
        <w:rPr>
          <w:rFonts w:ascii="Arial" w:eastAsia="Calibri" w:hAnsi="Arial" w:cs="Arial"/>
          <w:b/>
          <w:sz w:val="20"/>
          <w:szCs w:val="20"/>
          <w:lang w:eastAsia="en-IN" w:bidi="hi-IN"/>
        </w:rPr>
      </w:pPr>
      <w:r w:rsidRPr="001254BF">
        <w:rPr>
          <w:rFonts w:ascii="Arial" w:eastAsia="Calibri" w:hAnsi="Arial" w:cs="Arial"/>
          <w:b/>
          <w:sz w:val="20"/>
          <w:szCs w:val="20"/>
          <w:lang w:eastAsia="en-IN" w:bidi="hi-IN"/>
        </w:rPr>
        <w:t>Objective 3: To study the effectiveness of online learning strategies as perceived by teachers teaching at Senior Secondary level</w:t>
      </w:r>
    </w:p>
    <w:p w14:paraId="667711F1" w14:textId="5038D32E"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1</w:t>
      </w:r>
      <w:r w:rsidRPr="001254BF">
        <w:rPr>
          <w:rFonts w:ascii="Arial" w:eastAsia="Calibri" w:hAnsi="Arial" w:cs="Arial"/>
          <w:bCs/>
          <w:sz w:val="20"/>
          <w:szCs w:val="20"/>
          <w:lang w:eastAsia="en-IN" w:bidi="hi-IN"/>
        </w:rPr>
        <w:t>: Effectiveness of online learning strategies as perceived by teachers teaching at Govt and Private Senior Secondary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205"/>
        <w:gridCol w:w="1252"/>
        <w:gridCol w:w="1223"/>
        <w:gridCol w:w="1249"/>
        <w:gridCol w:w="1254"/>
        <w:gridCol w:w="1416"/>
      </w:tblGrid>
      <w:tr w:rsidR="00DE6AF1" w:rsidRPr="001254BF" w14:paraId="26824B39" w14:textId="77777777" w:rsidTr="007A4E3A">
        <w:tc>
          <w:tcPr>
            <w:tcW w:w="1417" w:type="dxa"/>
            <w:tcBorders>
              <w:top w:val="single" w:sz="4" w:space="0" w:color="auto"/>
              <w:bottom w:val="nil"/>
            </w:tcBorders>
          </w:tcPr>
          <w:p w14:paraId="00F8291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Sr. Sec. School</w:t>
            </w:r>
          </w:p>
        </w:tc>
        <w:tc>
          <w:tcPr>
            <w:tcW w:w="1205" w:type="dxa"/>
            <w:tcBorders>
              <w:top w:val="single" w:sz="4" w:space="0" w:color="auto"/>
              <w:bottom w:val="nil"/>
            </w:tcBorders>
          </w:tcPr>
          <w:p w14:paraId="4B4DF9D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2" w:type="dxa"/>
            <w:tcBorders>
              <w:top w:val="single" w:sz="4" w:space="0" w:color="auto"/>
              <w:bottom w:val="nil"/>
            </w:tcBorders>
          </w:tcPr>
          <w:p w14:paraId="0977028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3" w:type="dxa"/>
            <w:tcBorders>
              <w:top w:val="single" w:sz="4" w:space="0" w:color="auto"/>
              <w:bottom w:val="nil"/>
            </w:tcBorders>
          </w:tcPr>
          <w:p w14:paraId="35A7D9C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49" w:type="dxa"/>
            <w:tcBorders>
              <w:top w:val="single" w:sz="4" w:space="0" w:color="auto"/>
              <w:bottom w:val="nil"/>
            </w:tcBorders>
          </w:tcPr>
          <w:p w14:paraId="035B0CC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Borders>
              <w:top w:val="single" w:sz="4" w:space="0" w:color="auto"/>
              <w:bottom w:val="nil"/>
            </w:tcBorders>
          </w:tcPr>
          <w:p w14:paraId="5706D5F5"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16" w:type="dxa"/>
            <w:tcBorders>
              <w:top w:val="single" w:sz="4" w:space="0" w:color="auto"/>
              <w:bottom w:val="nil"/>
            </w:tcBorders>
          </w:tcPr>
          <w:p w14:paraId="3C4B0EC4"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256E57D6" w14:textId="77777777" w:rsidTr="007A4E3A">
        <w:tc>
          <w:tcPr>
            <w:tcW w:w="1417" w:type="dxa"/>
            <w:tcBorders>
              <w:top w:val="nil"/>
              <w:bottom w:val="nil"/>
            </w:tcBorders>
          </w:tcPr>
          <w:p w14:paraId="6F8C914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Government</w:t>
            </w:r>
          </w:p>
        </w:tc>
        <w:tc>
          <w:tcPr>
            <w:tcW w:w="1205" w:type="dxa"/>
            <w:tcBorders>
              <w:top w:val="nil"/>
              <w:bottom w:val="nil"/>
            </w:tcBorders>
          </w:tcPr>
          <w:p w14:paraId="7EADA31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33</w:t>
            </w:r>
          </w:p>
        </w:tc>
        <w:tc>
          <w:tcPr>
            <w:tcW w:w="1252" w:type="dxa"/>
            <w:tcBorders>
              <w:top w:val="nil"/>
              <w:bottom w:val="nil"/>
            </w:tcBorders>
          </w:tcPr>
          <w:p w14:paraId="6656649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64.91</w:t>
            </w:r>
          </w:p>
        </w:tc>
        <w:tc>
          <w:tcPr>
            <w:tcW w:w="1223" w:type="dxa"/>
            <w:tcBorders>
              <w:top w:val="nil"/>
              <w:bottom w:val="nil"/>
            </w:tcBorders>
          </w:tcPr>
          <w:p w14:paraId="1B5F1BA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7.64</w:t>
            </w:r>
          </w:p>
        </w:tc>
        <w:tc>
          <w:tcPr>
            <w:tcW w:w="1249" w:type="dxa"/>
            <w:vMerge w:val="restart"/>
            <w:tcBorders>
              <w:top w:val="nil"/>
              <w:bottom w:val="nil"/>
            </w:tcBorders>
          </w:tcPr>
          <w:p w14:paraId="2AB5959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6.44</w:t>
            </w:r>
          </w:p>
        </w:tc>
        <w:tc>
          <w:tcPr>
            <w:tcW w:w="1254" w:type="dxa"/>
            <w:vMerge w:val="restart"/>
            <w:tcBorders>
              <w:top w:val="nil"/>
              <w:bottom w:val="nil"/>
            </w:tcBorders>
          </w:tcPr>
          <w:p w14:paraId="133972BE"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&lt; 0.001</w:t>
            </w:r>
          </w:p>
        </w:tc>
        <w:tc>
          <w:tcPr>
            <w:tcW w:w="1416" w:type="dxa"/>
            <w:vMerge w:val="restart"/>
            <w:tcBorders>
              <w:top w:val="nil"/>
              <w:bottom w:val="nil"/>
            </w:tcBorders>
          </w:tcPr>
          <w:p w14:paraId="1DF39A2C"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Significant</w:t>
            </w:r>
          </w:p>
        </w:tc>
      </w:tr>
      <w:tr w:rsidR="00DE6AF1" w:rsidRPr="001254BF" w14:paraId="23FCF479" w14:textId="77777777" w:rsidTr="007A4E3A">
        <w:tc>
          <w:tcPr>
            <w:tcW w:w="1417" w:type="dxa"/>
            <w:tcBorders>
              <w:top w:val="nil"/>
            </w:tcBorders>
          </w:tcPr>
          <w:p w14:paraId="152C7C0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Private</w:t>
            </w:r>
          </w:p>
        </w:tc>
        <w:tc>
          <w:tcPr>
            <w:tcW w:w="1205" w:type="dxa"/>
            <w:tcBorders>
              <w:top w:val="nil"/>
            </w:tcBorders>
          </w:tcPr>
          <w:p w14:paraId="669E860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44</w:t>
            </w:r>
          </w:p>
        </w:tc>
        <w:tc>
          <w:tcPr>
            <w:tcW w:w="1252" w:type="dxa"/>
            <w:tcBorders>
              <w:top w:val="nil"/>
            </w:tcBorders>
          </w:tcPr>
          <w:p w14:paraId="6A88E64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53.68</w:t>
            </w:r>
          </w:p>
        </w:tc>
        <w:tc>
          <w:tcPr>
            <w:tcW w:w="1223" w:type="dxa"/>
            <w:tcBorders>
              <w:top w:val="nil"/>
            </w:tcBorders>
          </w:tcPr>
          <w:p w14:paraId="20F717E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7.95</w:t>
            </w:r>
          </w:p>
        </w:tc>
        <w:tc>
          <w:tcPr>
            <w:tcW w:w="1249" w:type="dxa"/>
            <w:vMerge/>
            <w:tcBorders>
              <w:top w:val="nil"/>
            </w:tcBorders>
          </w:tcPr>
          <w:p w14:paraId="425D8250"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Borders>
              <w:top w:val="nil"/>
            </w:tcBorders>
          </w:tcPr>
          <w:p w14:paraId="185D1F24" w14:textId="77777777" w:rsidR="00DE6AF1" w:rsidRPr="001254BF" w:rsidRDefault="00DE6AF1" w:rsidP="00047128">
            <w:pPr>
              <w:jc w:val="both"/>
              <w:rPr>
                <w:rFonts w:ascii="Arial" w:eastAsia="Calibri" w:hAnsi="Arial" w:cs="Arial"/>
                <w:bCs/>
                <w:sz w:val="20"/>
                <w:szCs w:val="20"/>
                <w:lang w:eastAsia="en-IN" w:bidi="hi-IN"/>
              </w:rPr>
            </w:pPr>
          </w:p>
        </w:tc>
        <w:tc>
          <w:tcPr>
            <w:tcW w:w="1416" w:type="dxa"/>
            <w:vMerge/>
            <w:tcBorders>
              <w:top w:val="nil"/>
            </w:tcBorders>
          </w:tcPr>
          <w:p w14:paraId="47806705" w14:textId="77777777" w:rsidR="00DE6AF1" w:rsidRPr="001254BF" w:rsidRDefault="00DE6AF1" w:rsidP="00047128">
            <w:pPr>
              <w:jc w:val="both"/>
              <w:rPr>
                <w:rFonts w:ascii="Arial" w:eastAsia="Calibri" w:hAnsi="Arial" w:cs="Arial"/>
                <w:bCs/>
                <w:sz w:val="20"/>
                <w:szCs w:val="20"/>
                <w:lang w:eastAsia="en-IN" w:bidi="hi-IN"/>
              </w:rPr>
            </w:pPr>
          </w:p>
        </w:tc>
      </w:tr>
    </w:tbl>
    <w:p w14:paraId="3A3B8EA3"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33+44 - 2= 75</w:t>
      </w:r>
    </w:p>
    <w:p w14:paraId="19DBE466"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Teachers (N=33) is 64.91 with a Standard Deviation of 7.64, whereas the mean score of the Private Senior Secondary School Teachers (N=44) is 53.68 with a standard deviation of 7.95. This indicates that, on average, the Government school teachers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Private school teachers. To determine whether the difference in the mean score is statistically significant, an independent sample t-test was applied. The obtained t-value is 6.44 at 75 degrees of freedom, P-value at 0.05 significance level is 0.001. Since the obtained p-value is less than the significance level (α = 0.05), the difference in effectiveness between the two groups is statistically significant at the 0.05 level.</w:t>
      </w:r>
    </w:p>
    <w:p w14:paraId="23D5E716"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government school teachers' effectiveness showed slightly higher mean scores, the difference was statistically significant. The null hypothesis is rejected. This means that government school teachers perceive online learning strategies to be significantly more effective than their private school counterparts. Both government and private school teachers show statistically different levels of acceptance and perception of online learning. This shows continuous adaptation of technology-enabled education in different school sectors and education streams.</w:t>
      </w:r>
    </w:p>
    <w:p w14:paraId="600EFC26" w14:textId="2F0A639A"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2</w:t>
      </w:r>
      <w:r w:rsidRPr="001254BF">
        <w:rPr>
          <w:rFonts w:ascii="Arial" w:eastAsia="Calibri" w:hAnsi="Arial" w:cs="Arial"/>
          <w:bCs/>
          <w:sz w:val="20"/>
          <w:szCs w:val="20"/>
          <w:lang w:eastAsia="en-IN" w:bidi="hi-IN"/>
        </w:rPr>
        <w:t>: Effectiveness of online learning strategies as perceived by Male and Female teachers teaching at Govt Senior Secondary School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216"/>
        <w:gridCol w:w="1259"/>
        <w:gridCol w:w="1233"/>
        <w:gridCol w:w="1256"/>
        <w:gridCol w:w="1261"/>
        <w:gridCol w:w="1416"/>
      </w:tblGrid>
      <w:tr w:rsidR="00DE6AF1" w:rsidRPr="001254BF" w14:paraId="4B2A25F6" w14:textId="77777777" w:rsidTr="00283804">
        <w:tc>
          <w:tcPr>
            <w:tcW w:w="1375" w:type="dxa"/>
          </w:tcPr>
          <w:p w14:paraId="39EC30B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Gender</w:t>
            </w:r>
          </w:p>
        </w:tc>
        <w:tc>
          <w:tcPr>
            <w:tcW w:w="1216" w:type="dxa"/>
          </w:tcPr>
          <w:p w14:paraId="3516DB4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9" w:type="dxa"/>
          </w:tcPr>
          <w:p w14:paraId="48E77FC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33" w:type="dxa"/>
          </w:tcPr>
          <w:p w14:paraId="741E8DB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6" w:type="dxa"/>
          </w:tcPr>
          <w:p w14:paraId="5330D404"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61" w:type="dxa"/>
          </w:tcPr>
          <w:p w14:paraId="1342929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16" w:type="dxa"/>
          </w:tcPr>
          <w:p w14:paraId="7BFD9AD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3BD1EE07" w14:textId="77777777" w:rsidTr="00283804">
        <w:tc>
          <w:tcPr>
            <w:tcW w:w="1375" w:type="dxa"/>
          </w:tcPr>
          <w:p w14:paraId="2AFF31F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Male</w:t>
            </w:r>
          </w:p>
        </w:tc>
        <w:tc>
          <w:tcPr>
            <w:tcW w:w="1216" w:type="dxa"/>
          </w:tcPr>
          <w:p w14:paraId="1B2BFA1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17</w:t>
            </w:r>
          </w:p>
        </w:tc>
        <w:tc>
          <w:tcPr>
            <w:tcW w:w="1259" w:type="dxa"/>
          </w:tcPr>
          <w:p w14:paraId="0127054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63.65</w:t>
            </w:r>
          </w:p>
        </w:tc>
        <w:tc>
          <w:tcPr>
            <w:tcW w:w="1233" w:type="dxa"/>
          </w:tcPr>
          <w:p w14:paraId="510226F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8.44</w:t>
            </w:r>
          </w:p>
        </w:tc>
        <w:tc>
          <w:tcPr>
            <w:tcW w:w="1256" w:type="dxa"/>
            <w:vMerge w:val="restart"/>
          </w:tcPr>
          <w:p w14:paraId="5A9ED2F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1.14</w:t>
            </w:r>
          </w:p>
        </w:tc>
        <w:tc>
          <w:tcPr>
            <w:tcW w:w="1261" w:type="dxa"/>
            <w:vMerge w:val="restart"/>
          </w:tcPr>
          <w:p w14:paraId="1A0F1F6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0.2638</w:t>
            </w:r>
          </w:p>
        </w:tc>
        <w:tc>
          <w:tcPr>
            <w:tcW w:w="1416" w:type="dxa"/>
            <w:vMerge w:val="restart"/>
          </w:tcPr>
          <w:p w14:paraId="513365B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08F3DCDD" w14:textId="77777777" w:rsidTr="00283804">
        <w:tc>
          <w:tcPr>
            <w:tcW w:w="1375" w:type="dxa"/>
          </w:tcPr>
          <w:p w14:paraId="7FA5667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Female</w:t>
            </w:r>
          </w:p>
        </w:tc>
        <w:tc>
          <w:tcPr>
            <w:tcW w:w="1216" w:type="dxa"/>
          </w:tcPr>
          <w:p w14:paraId="0759FBD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15</w:t>
            </w:r>
          </w:p>
        </w:tc>
        <w:tc>
          <w:tcPr>
            <w:tcW w:w="1259" w:type="dxa"/>
          </w:tcPr>
          <w:p w14:paraId="221E472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66.53</w:t>
            </w:r>
          </w:p>
        </w:tc>
        <w:tc>
          <w:tcPr>
            <w:tcW w:w="1233" w:type="dxa"/>
          </w:tcPr>
          <w:p w14:paraId="7E9BC4C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6.27</w:t>
            </w:r>
          </w:p>
        </w:tc>
        <w:tc>
          <w:tcPr>
            <w:tcW w:w="1256" w:type="dxa"/>
            <w:vMerge/>
          </w:tcPr>
          <w:p w14:paraId="38D82569" w14:textId="77777777" w:rsidR="00DE6AF1" w:rsidRPr="001254BF" w:rsidRDefault="00DE6AF1" w:rsidP="00047128">
            <w:pPr>
              <w:jc w:val="both"/>
              <w:rPr>
                <w:rFonts w:ascii="Arial" w:eastAsia="Calibri" w:hAnsi="Arial" w:cs="Arial"/>
                <w:bCs/>
                <w:sz w:val="20"/>
                <w:szCs w:val="20"/>
                <w:lang w:eastAsia="en-IN" w:bidi="hi-IN"/>
              </w:rPr>
            </w:pPr>
          </w:p>
        </w:tc>
        <w:tc>
          <w:tcPr>
            <w:tcW w:w="1261" w:type="dxa"/>
            <w:vMerge/>
          </w:tcPr>
          <w:p w14:paraId="57200C61" w14:textId="77777777" w:rsidR="00DE6AF1" w:rsidRPr="001254BF" w:rsidRDefault="00DE6AF1" w:rsidP="00047128">
            <w:pPr>
              <w:jc w:val="both"/>
              <w:rPr>
                <w:rFonts w:ascii="Arial" w:eastAsia="Calibri" w:hAnsi="Arial" w:cs="Arial"/>
                <w:bCs/>
                <w:sz w:val="20"/>
                <w:szCs w:val="20"/>
                <w:lang w:eastAsia="en-IN" w:bidi="hi-IN"/>
              </w:rPr>
            </w:pPr>
          </w:p>
        </w:tc>
        <w:tc>
          <w:tcPr>
            <w:tcW w:w="1416" w:type="dxa"/>
            <w:vMerge/>
          </w:tcPr>
          <w:p w14:paraId="0387B9E9" w14:textId="77777777" w:rsidR="00DE6AF1" w:rsidRPr="001254BF" w:rsidRDefault="00DE6AF1" w:rsidP="00047128">
            <w:pPr>
              <w:jc w:val="both"/>
              <w:rPr>
                <w:rFonts w:ascii="Arial" w:eastAsia="Calibri" w:hAnsi="Arial" w:cs="Arial"/>
                <w:bCs/>
                <w:sz w:val="20"/>
                <w:szCs w:val="20"/>
                <w:lang w:eastAsia="en-IN" w:bidi="hi-IN"/>
              </w:rPr>
            </w:pPr>
          </w:p>
        </w:tc>
      </w:tr>
    </w:tbl>
    <w:p w14:paraId="0E6CCD20"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17+15-2=30</w:t>
      </w:r>
    </w:p>
    <w:p w14:paraId="7F05F8FF"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Male Teachers (N=17) is 63.65 with a Standard Deviation of 8.44, whereas the mean score of the Govt Senior Secondary School </w:t>
      </w:r>
      <w:r w:rsidRPr="001254BF">
        <w:rPr>
          <w:rFonts w:ascii="Arial" w:eastAsia="Calibri" w:hAnsi="Arial" w:cs="Arial"/>
          <w:bCs/>
          <w:sz w:val="20"/>
          <w:szCs w:val="20"/>
          <w:lang w:eastAsia="en-IN" w:bidi="hi-IN"/>
        </w:rPr>
        <w:lastRenderedPageBreak/>
        <w:t xml:space="preserve">Female Teachers (N=15) is 66.53 with a standard deviation of 6.27. This indicates that, on average, the Government school Female teachers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Government school Male teachers. To determine whether the difference in the mean score is statistically significant, an independent sample t-test was applied. The obtained t-value is 1.14 at 30 degrees of freedom, P-value at 0.05 significance level is 0.2638. Since the obtained p-value is greater than the significance level (α = 0.05), the difference in effectiveness between the two groups is not statistically significant at the 0.05 level.</w:t>
      </w:r>
    </w:p>
    <w:p w14:paraId="232E4D91"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government school female teachers' effectiveness showed slightly higher mean scores, the difference was not statistically significant. The null hypothesis is accepted. This indicates that the school teacher type (Male vs Female) does not significantly influence male and female teachers' effectiveness towards online learning strategies. Both male and female school teachers show statistically similar levels of acceptance and perception of online learning strategies. This shows continuous adaptation of technology-enabled education in different school sectors and education streams.</w:t>
      </w:r>
    </w:p>
    <w:p w14:paraId="42628220" w14:textId="5A2E3A15"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3</w:t>
      </w:r>
      <w:r w:rsidRPr="001254BF">
        <w:rPr>
          <w:rFonts w:ascii="Arial" w:eastAsia="Calibri" w:hAnsi="Arial" w:cs="Arial"/>
          <w:bCs/>
          <w:sz w:val="20"/>
          <w:szCs w:val="20"/>
          <w:lang w:eastAsia="en-IN" w:bidi="hi-IN"/>
        </w:rPr>
        <w:t>: Effectiveness of online learning strategies as perceived by Male and Female teachers teaching at Private Senior Secondary School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07"/>
        <w:gridCol w:w="1254"/>
        <w:gridCol w:w="1225"/>
        <w:gridCol w:w="1251"/>
        <w:gridCol w:w="1254"/>
        <w:gridCol w:w="1456"/>
      </w:tblGrid>
      <w:tr w:rsidR="00DE6AF1" w:rsidRPr="001254BF" w14:paraId="10750360" w14:textId="77777777" w:rsidTr="00283804">
        <w:tc>
          <w:tcPr>
            <w:tcW w:w="1369" w:type="dxa"/>
          </w:tcPr>
          <w:p w14:paraId="5826E64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Gender</w:t>
            </w:r>
          </w:p>
        </w:tc>
        <w:tc>
          <w:tcPr>
            <w:tcW w:w="1207" w:type="dxa"/>
          </w:tcPr>
          <w:p w14:paraId="675D3E2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4" w:type="dxa"/>
          </w:tcPr>
          <w:p w14:paraId="7F25805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5" w:type="dxa"/>
          </w:tcPr>
          <w:p w14:paraId="5CBA136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1" w:type="dxa"/>
          </w:tcPr>
          <w:p w14:paraId="69862E8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5BB2E28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56" w:type="dxa"/>
          </w:tcPr>
          <w:p w14:paraId="78A942C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5EF5654C" w14:textId="77777777" w:rsidTr="00283804">
        <w:tc>
          <w:tcPr>
            <w:tcW w:w="1369" w:type="dxa"/>
          </w:tcPr>
          <w:p w14:paraId="740F3D3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Male</w:t>
            </w:r>
          </w:p>
        </w:tc>
        <w:tc>
          <w:tcPr>
            <w:tcW w:w="1207" w:type="dxa"/>
          </w:tcPr>
          <w:p w14:paraId="07AD0BF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23</w:t>
            </w:r>
          </w:p>
        </w:tc>
        <w:tc>
          <w:tcPr>
            <w:tcW w:w="1254" w:type="dxa"/>
          </w:tcPr>
          <w:p w14:paraId="14B04B8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54.17</w:t>
            </w:r>
          </w:p>
        </w:tc>
        <w:tc>
          <w:tcPr>
            <w:tcW w:w="1225" w:type="dxa"/>
          </w:tcPr>
          <w:p w14:paraId="4A4D991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8.91</w:t>
            </w:r>
          </w:p>
        </w:tc>
        <w:tc>
          <w:tcPr>
            <w:tcW w:w="1251" w:type="dxa"/>
            <w:vMerge w:val="restart"/>
          </w:tcPr>
          <w:p w14:paraId="1DF6B92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0.41</w:t>
            </w:r>
          </w:p>
        </w:tc>
        <w:tc>
          <w:tcPr>
            <w:tcW w:w="1254" w:type="dxa"/>
            <w:vMerge w:val="restart"/>
          </w:tcPr>
          <w:p w14:paraId="1D2B11E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0.6865</w:t>
            </w:r>
          </w:p>
        </w:tc>
        <w:tc>
          <w:tcPr>
            <w:tcW w:w="1456" w:type="dxa"/>
            <w:vMerge w:val="restart"/>
          </w:tcPr>
          <w:p w14:paraId="185A658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0363D629" w14:textId="77777777" w:rsidTr="00283804">
        <w:tc>
          <w:tcPr>
            <w:tcW w:w="1369" w:type="dxa"/>
          </w:tcPr>
          <w:p w14:paraId="073C077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Female</w:t>
            </w:r>
          </w:p>
        </w:tc>
        <w:tc>
          <w:tcPr>
            <w:tcW w:w="1207" w:type="dxa"/>
          </w:tcPr>
          <w:p w14:paraId="24F7984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21</w:t>
            </w:r>
          </w:p>
        </w:tc>
        <w:tc>
          <w:tcPr>
            <w:tcW w:w="1254" w:type="dxa"/>
          </w:tcPr>
          <w:p w14:paraId="4998D3A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53.19</w:t>
            </w:r>
          </w:p>
        </w:tc>
        <w:tc>
          <w:tcPr>
            <w:tcW w:w="1225" w:type="dxa"/>
          </w:tcPr>
          <w:p w14:paraId="06FC5F9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6.89</w:t>
            </w:r>
          </w:p>
        </w:tc>
        <w:tc>
          <w:tcPr>
            <w:tcW w:w="1251" w:type="dxa"/>
            <w:vMerge/>
          </w:tcPr>
          <w:p w14:paraId="1AEB3CD5"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4D897438" w14:textId="77777777" w:rsidR="00DE6AF1" w:rsidRPr="001254BF" w:rsidRDefault="00DE6AF1" w:rsidP="00047128">
            <w:pPr>
              <w:jc w:val="both"/>
              <w:rPr>
                <w:rFonts w:ascii="Arial" w:eastAsia="Calibri" w:hAnsi="Arial" w:cs="Arial"/>
                <w:bCs/>
                <w:sz w:val="20"/>
                <w:szCs w:val="20"/>
                <w:lang w:eastAsia="en-IN" w:bidi="hi-IN"/>
              </w:rPr>
            </w:pPr>
          </w:p>
        </w:tc>
        <w:tc>
          <w:tcPr>
            <w:tcW w:w="1456" w:type="dxa"/>
            <w:vMerge/>
          </w:tcPr>
          <w:p w14:paraId="2D3C7511" w14:textId="77777777" w:rsidR="00DE6AF1" w:rsidRPr="001254BF" w:rsidRDefault="00DE6AF1" w:rsidP="00047128">
            <w:pPr>
              <w:jc w:val="both"/>
              <w:rPr>
                <w:rFonts w:ascii="Arial" w:eastAsia="Calibri" w:hAnsi="Arial" w:cs="Arial"/>
                <w:bCs/>
                <w:sz w:val="20"/>
                <w:szCs w:val="20"/>
                <w:lang w:eastAsia="en-IN" w:bidi="hi-IN"/>
              </w:rPr>
            </w:pPr>
          </w:p>
        </w:tc>
      </w:tr>
    </w:tbl>
    <w:p w14:paraId="281B933A"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23+21-2=42</w:t>
      </w:r>
    </w:p>
    <w:p w14:paraId="44EBD19E"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Private Senior Secondary School Male Teachers (N=23) is 54.17 with a Standard Deviation of 8.91, whereas the mean score of the Private Senior Secondary School Female Teachers (N=21) is 53.19 with a standard deviation of 6.89. This indicates that, on average, the Private school Male teachers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Private school Female teachers. To determine whether the difference in the mean score is statistically significant, an independent sample t-test was applied. The obtained t-value is 0.41 at 42 degrees of freedom, P-value at 0.05 significance level is 0.6865. Since the obtained p-value is greater than the significance level (α = 0.05), the difference in effectiveness between the two groups is not statistically significant at the 0.05 level.</w:t>
      </w:r>
    </w:p>
    <w:p w14:paraId="25D5610F"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private school Male teachers' effectiveness showed slightly higher mean scores, the difference was not statistically significant. The null hypothesis is accepted. This indicates that school teacher type (Male vs Female) does not significantly influence male and female teachers' effectiveness towards online learning strategies. Both male and female school teachers show statistically similar levels of acceptance and perception of online learning strategies. This shows continuous adaptation of technology-enabled education in different school sectors and education streams.</w:t>
      </w:r>
    </w:p>
    <w:p w14:paraId="05F93AF1" w14:textId="0502B8FA" w:rsidR="00DE6AF1" w:rsidRPr="001254BF" w:rsidRDefault="00DE6AF1" w:rsidP="00DE6AF1">
      <w:pPr>
        <w:rPr>
          <w:rFonts w:ascii="Arial" w:hAnsi="Arial" w:cs="Arial"/>
          <w:sz w:val="20"/>
          <w:szCs w:val="20"/>
        </w:rPr>
      </w:pPr>
      <w:r w:rsidRPr="001254BF">
        <w:rPr>
          <w:rFonts w:ascii="Arial" w:hAnsi="Arial" w:cs="Arial"/>
          <w:sz w:val="20"/>
          <w:szCs w:val="20"/>
          <w:lang w:val="en-US"/>
        </w:rPr>
        <w:t>Table</w:t>
      </w:r>
      <w:r w:rsidR="007B3D03">
        <w:rPr>
          <w:rFonts w:ascii="Arial" w:hAnsi="Arial" w:cs="Arial"/>
          <w:sz w:val="20"/>
          <w:szCs w:val="20"/>
          <w:lang w:val="en-US"/>
        </w:rPr>
        <w:t xml:space="preserve"> 4</w:t>
      </w:r>
      <w:r w:rsidRPr="001254BF">
        <w:rPr>
          <w:rFonts w:ascii="Arial" w:hAnsi="Arial" w:cs="Arial"/>
          <w:sz w:val="20"/>
          <w:szCs w:val="20"/>
          <w:lang w:val="en-US"/>
        </w:rPr>
        <w:t xml:space="preserve">: </w:t>
      </w:r>
      <w:r w:rsidRPr="001254BF">
        <w:rPr>
          <w:rFonts w:ascii="Arial" w:hAnsi="Arial" w:cs="Arial"/>
          <w:sz w:val="20"/>
          <w:szCs w:val="20"/>
        </w:rPr>
        <w:t>Effectiveness of Online Learning Strategies as Perceived by Govt. Teachers of different age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07"/>
        <w:gridCol w:w="1254"/>
        <w:gridCol w:w="1225"/>
        <w:gridCol w:w="1251"/>
        <w:gridCol w:w="1254"/>
        <w:gridCol w:w="1456"/>
      </w:tblGrid>
      <w:tr w:rsidR="00DE6AF1" w:rsidRPr="001254BF" w14:paraId="49EED4C1" w14:textId="77777777" w:rsidTr="00284EED">
        <w:tc>
          <w:tcPr>
            <w:tcW w:w="1369" w:type="dxa"/>
          </w:tcPr>
          <w:p w14:paraId="4556F5C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Age</w:t>
            </w:r>
          </w:p>
        </w:tc>
        <w:tc>
          <w:tcPr>
            <w:tcW w:w="1207" w:type="dxa"/>
          </w:tcPr>
          <w:p w14:paraId="341EF4E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4" w:type="dxa"/>
          </w:tcPr>
          <w:p w14:paraId="22A5610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5" w:type="dxa"/>
          </w:tcPr>
          <w:p w14:paraId="3D88756E"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1" w:type="dxa"/>
          </w:tcPr>
          <w:p w14:paraId="370DCAA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27249D19"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56" w:type="dxa"/>
          </w:tcPr>
          <w:p w14:paraId="42AB8A8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62535095" w14:textId="77777777" w:rsidTr="00284EED">
        <w:tc>
          <w:tcPr>
            <w:tcW w:w="1369" w:type="dxa"/>
          </w:tcPr>
          <w:p w14:paraId="6A64DD4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20-40 years</w:t>
            </w:r>
          </w:p>
        </w:tc>
        <w:tc>
          <w:tcPr>
            <w:tcW w:w="1207" w:type="dxa"/>
          </w:tcPr>
          <w:p w14:paraId="3A8A05F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13</w:t>
            </w:r>
          </w:p>
        </w:tc>
        <w:tc>
          <w:tcPr>
            <w:tcW w:w="1254" w:type="dxa"/>
          </w:tcPr>
          <w:p w14:paraId="5C12F93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64.08</w:t>
            </w:r>
          </w:p>
        </w:tc>
        <w:tc>
          <w:tcPr>
            <w:tcW w:w="1225" w:type="dxa"/>
          </w:tcPr>
          <w:p w14:paraId="5EF0A1A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7.96</w:t>
            </w:r>
          </w:p>
        </w:tc>
        <w:tc>
          <w:tcPr>
            <w:tcW w:w="1251" w:type="dxa"/>
            <w:vMerge w:val="restart"/>
          </w:tcPr>
          <w:p w14:paraId="5077681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0.62</w:t>
            </w:r>
          </w:p>
        </w:tc>
        <w:tc>
          <w:tcPr>
            <w:tcW w:w="1254" w:type="dxa"/>
            <w:vMerge w:val="restart"/>
          </w:tcPr>
          <w:p w14:paraId="0FE189C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0.5401</w:t>
            </w:r>
          </w:p>
        </w:tc>
        <w:tc>
          <w:tcPr>
            <w:tcW w:w="1456" w:type="dxa"/>
            <w:vMerge w:val="restart"/>
          </w:tcPr>
          <w:p w14:paraId="5A6EA8E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41F5886A" w14:textId="77777777" w:rsidTr="00284EED">
        <w:tc>
          <w:tcPr>
            <w:tcW w:w="1369" w:type="dxa"/>
          </w:tcPr>
          <w:p w14:paraId="31473EB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41-60 years</w:t>
            </w:r>
          </w:p>
        </w:tc>
        <w:tc>
          <w:tcPr>
            <w:tcW w:w="1207" w:type="dxa"/>
          </w:tcPr>
          <w:p w14:paraId="153DE37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20</w:t>
            </w:r>
          </w:p>
        </w:tc>
        <w:tc>
          <w:tcPr>
            <w:tcW w:w="1254" w:type="dxa"/>
          </w:tcPr>
          <w:p w14:paraId="024C6F8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65.45</w:t>
            </w:r>
          </w:p>
        </w:tc>
        <w:tc>
          <w:tcPr>
            <w:tcW w:w="1225" w:type="dxa"/>
          </w:tcPr>
          <w:p w14:paraId="495E537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7.56</w:t>
            </w:r>
          </w:p>
        </w:tc>
        <w:tc>
          <w:tcPr>
            <w:tcW w:w="1251" w:type="dxa"/>
            <w:vMerge/>
          </w:tcPr>
          <w:p w14:paraId="42B517DC"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386127AB" w14:textId="77777777" w:rsidR="00DE6AF1" w:rsidRPr="001254BF" w:rsidRDefault="00DE6AF1" w:rsidP="00047128">
            <w:pPr>
              <w:jc w:val="both"/>
              <w:rPr>
                <w:rFonts w:ascii="Arial" w:eastAsia="Calibri" w:hAnsi="Arial" w:cs="Arial"/>
                <w:bCs/>
                <w:sz w:val="20"/>
                <w:szCs w:val="20"/>
                <w:lang w:eastAsia="en-IN" w:bidi="hi-IN"/>
              </w:rPr>
            </w:pPr>
          </w:p>
        </w:tc>
        <w:tc>
          <w:tcPr>
            <w:tcW w:w="1456" w:type="dxa"/>
            <w:vMerge/>
          </w:tcPr>
          <w:p w14:paraId="023B8F4F" w14:textId="77777777" w:rsidR="00DE6AF1" w:rsidRPr="001254BF" w:rsidRDefault="00DE6AF1" w:rsidP="00047128">
            <w:pPr>
              <w:jc w:val="both"/>
              <w:rPr>
                <w:rFonts w:ascii="Arial" w:eastAsia="Calibri" w:hAnsi="Arial" w:cs="Arial"/>
                <w:bCs/>
                <w:sz w:val="20"/>
                <w:szCs w:val="20"/>
                <w:lang w:eastAsia="en-IN" w:bidi="hi-IN"/>
              </w:rPr>
            </w:pPr>
          </w:p>
        </w:tc>
      </w:tr>
    </w:tbl>
    <w:p w14:paraId="037F25A1" w14:textId="77777777" w:rsidR="00DE6AF1" w:rsidRPr="001254BF" w:rsidRDefault="00DE6AF1" w:rsidP="00DE6AF1">
      <w:pPr>
        <w:rPr>
          <w:rFonts w:ascii="Arial" w:hAnsi="Arial" w:cs="Arial"/>
          <w:b/>
          <w:bCs/>
          <w:sz w:val="20"/>
          <w:szCs w:val="20"/>
          <w:lang w:val="en-US"/>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13+20 - 2= 31</w:t>
      </w:r>
    </w:p>
    <w:p w14:paraId="3FD330CF" w14:textId="77777777" w:rsidR="00DE6AF1" w:rsidRPr="001254BF" w:rsidRDefault="00DE6AF1" w:rsidP="00DE6AF1">
      <w:pPr>
        <w:rPr>
          <w:rFonts w:ascii="Arial" w:hAnsi="Arial" w:cs="Arial"/>
          <w:sz w:val="20"/>
          <w:szCs w:val="20"/>
        </w:rPr>
      </w:pPr>
    </w:p>
    <w:p w14:paraId="24044C31"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Teachers of age 20-40 years(N=13) is 64.08 with a Standard Deviation of 7.96, whereas the mean score of the Government Senior Secondary School Teachers of age 41-60 years (N=20) is 65.45 with a standard deviation of 7.56. This indicates that, on average, the Government school teachers of age 41-60 years exhibit a comparatively more favourable effectiveness towards online learning than the Government Senior Secondary teachers of age 20-40 years. To determine whether the difference in the mean score is statistically significant, an independent sample t-test was applied. The obtained t-value is 0.62 at 31 degrees of freedom, P-value at 0.05 significance level is 0.5401. Since the obtained p-value is greater </w:t>
      </w:r>
      <w:r w:rsidRPr="001254BF">
        <w:rPr>
          <w:rFonts w:ascii="Arial" w:eastAsia="Calibri" w:hAnsi="Arial" w:cs="Arial"/>
          <w:bCs/>
          <w:sz w:val="20"/>
          <w:szCs w:val="20"/>
          <w:lang w:eastAsia="en-IN" w:bidi="hi-IN"/>
        </w:rPr>
        <w:lastRenderedPageBreak/>
        <w:t>than the significance level (α = 0.05), the difference in effectiveness between the two groups is not statistically significant at the 0.05 level.</w:t>
      </w:r>
    </w:p>
    <w:p w14:paraId="53EBC938" w14:textId="39ADF3EC" w:rsidR="00DE6AF1" w:rsidRPr="001254BF" w:rsidRDefault="00DE6AF1" w:rsidP="00DE6AF1">
      <w:pPr>
        <w:jc w:val="both"/>
        <w:rPr>
          <w:rFonts w:ascii="Arial" w:hAnsi="Arial" w:cs="Arial"/>
          <w:sz w:val="20"/>
          <w:szCs w:val="20"/>
        </w:rPr>
      </w:pPr>
      <w:r w:rsidRPr="001254BF">
        <w:rPr>
          <w:rFonts w:ascii="Arial" w:eastAsia="Calibri" w:hAnsi="Arial" w:cs="Arial"/>
          <w:bCs/>
          <w:sz w:val="20"/>
          <w:szCs w:val="20"/>
          <w:lang w:eastAsia="en-IN" w:bidi="hi-IN"/>
        </w:rPr>
        <w:br/>
        <w:t xml:space="preserve">Although government school teachers of age 41-60 years effectiveness showed slightly higher mean scores, the difference was not statistically significant. The null hypothesis is accepted. This indicate that Govt school teacher type (20-40 years vs 41-60 years) does not significantly influence </w:t>
      </w:r>
      <w:r w:rsidR="005E17C0" w:rsidRPr="001254BF">
        <w:rPr>
          <w:rFonts w:ascii="Arial" w:eastAsia="Calibri" w:hAnsi="Arial" w:cs="Arial"/>
          <w:bCs/>
          <w:sz w:val="20"/>
          <w:szCs w:val="20"/>
          <w:lang w:eastAsia="en-IN" w:bidi="hi-IN"/>
        </w:rPr>
        <w:t>teachers’</w:t>
      </w:r>
      <w:r w:rsidRPr="001254BF">
        <w:rPr>
          <w:rFonts w:ascii="Arial" w:eastAsia="Calibri" w:hAnsi="Arial" w:cs="Arial"/>
          <w:bCs/>
          <w:sz w:val="20"/>
          <w:szCs w:val="20"/>
          <w:lang w:eastAsia="en-IN" w:bidi="hi-IN"/>
        </w:rPr>
        <w:t xml:space="preserve"> effectiveness towards online learning strategies. Both government 20-40 years and 41-60 years teachers show statistically similar levels of acceptance and perception of online learning strategies. This shows continuous adaptation of technology-enabled education in different school sectors and education streams.</w:t>
      </w:r>
    </w:p>
    <w:p w14:paraId="179345E2" w14:textId="270974F9" w:rsidR="00DE6AF1" w:rsidRPr="001254BF" w:rsidRDefault="00DE6AF1" w:rsidP="00DE6AF1">
      <w:pPr>
        <w:rPr>
          <w:rFonts w:ascii="Arial" w:hAnsi="Arial" w:cs="Arial"/>
          <w:sz w:val="20"/>
          <w:szCs w:val="20"/>
        </w:rPr>
      </w:pPr>
      <w:r w:rsidRPr="001254BF">
        <w:rPr>
          <w:rFonts w:ascii="Arial" w:hAnsi="Arial" w:cs="Arial"/>
          <w:sz w:val="20"/>
          <w:szCs w:val="20"/>
          <w:lang w:val="en-US"/>
        </w:rPr>
        <w:t>Table</w:t>
      </w:r>
      <w:r w:rsidR="007B3D03">
        <w:rPr>
          <w:rFonts w:ascii="Arial" w:hAnsi="Arial" w:cs="Arial"/>
          <w:sz w:val="20"/>
          <w:szCs w:val="20"/>
          <w:lang w:val="en-US"/>
        </w:rPr>
        <w:t xml:space="preserve"> 5</w:t>
      </w:r>
      <w:r w:rsidRPr="001254BF">
        <w:rPr>
          <w:rFonts w:ascii="Arial" w:hAnsi="Arial" w:cs="Arial"/>
          <w:sz w:val="20"/>
          <w:szCs w:val="20"/>
          <w:lang w:val="en-US"/>
        </w:rPr>
        <w:t xml:space="preserve">: </w:t>
      </w:r>
      <w:r w:rsidRPr="001254BF">
        <w:rPr>
          <w:rFonts w:ascii="Arial" w:hAnsi="Arial" w:cs="Arial"/>
          <w:sz w:val="20"/>
          <w:szCs w:val="20"/>
        </w:rPr>
        <w:t>Effectiveness of Online Learning Strategies as Perceived by Private Teachers of different age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07"/>
        <w:gridCol w:w="1254"/>
        <w:gridCol w:w="1225"/>
        <w:gridCol w:w="1251"/>
        <w:gridCol w:w="1254"/>
        <w:gridCol w:w="1456"/>
      </w:tblGrid>
      <w:tr w:rsidR="00DE6AF1" w:rsidRPr="001254BF" w14:paraId="584BD17C" w14:textId="77777777" w:rsidTr="00284EED">
        <w:tc>
          <w:tcPr>
            <w:tcW w:w="1369" w:type="dxa"/>
          </w:tcPr>
          <w:p w14:paraId="07ECAF1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Age</w:t>
            </w:r>
          </w:p>
        </w:tc>
        <w:tc>
          <w:tcPr>
            <w:tcW w:w="1207" w:type="dxa"/>
          </w:tcPr>
          <w:p w14:paraId="1E05E3D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4" w:type="dxa"/>
          </w:tcPr>
          <w:p w14:paraId="63028AD1"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5" w:type="dxa"/>
          </w:tcPr>
          <w:p w14:paraId="73945A5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1" w:type="dxa"/>
          </w:tcPr>
          <w:p w14:paraId="1D5B142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4A20CD8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56" w:type="dxa"/>
          </w:tcPr>
          <w:p w14:paraId="677A423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13390524" w14:textId="77777777" w:rsidTr="00284EED">
        <w:tc>
          <w:tcPr>
            <w:tcW w:w="1369" w:type="dxa"/>
          </w:tcPr>
          <w:p w14:paraId="6FB06C2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20-40 years</w:t>
            </w:r>
          </w:p>
        </w:tc>
        <w:tc>
          <w:tcPr>
            <w:tcW w:w="1207" w:type="dxa"/>
          </w:tcPr>
          <w:p w14:paraId="5E31A91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26</w:t>
            </w:r>
          </w:p>
        </w:tc>
        <w:tc>
          <w:tcPr>
            <w:tcW w:w="1254" w:type="dxa"/>
          </w:tcPr>
          <w:p w14:paraId="32300B7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54.46</w:t>
            </w:r>
          </w:p>
        </w:tc>
        <w:tc>
          <w:tcPr>
            <w:tcW w:w="1225" w:type="dxa"/>
          </w:tcPr>
          <w:p w14:paraId="78343AE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9.09</w:t>
            </w:r>
          </w:p>
        </w:tc>
        <w:tc>
          <w:tcPr>
            <w:tcW w:w="1251" w:type="dxa"/>
            <w:vMerge w:val="restart"/>
          </w:tcPr>
          <w:p w14:paraId="06C4A0F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0.82</w:t>
            </w:r>
          </w:p>
        </w:tc>
        <w:tc>
          <w:tcPr>
            <w:tcW w:w="1254" w:type="dxa"/>
            <w:vMerge w:val="restart"/>
          </w:tcPr>
          <w:p w14:paraId="4060C12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0.4159</w:t>
            </w:r>
          </w:p>
        </w:tc>
        <w:tc>
          <w:tcPr>
            <w:tcW w:w="1456" w:type="dxa"/>
            <w:vMerge w:val="restart"/>
          </w:tcPr>
          <w:p w14:paraId="5ADE0A2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3656502F" w14:textId="77777777" w:rsidTr="00284EED">
        <w:tc>
          <w:tcPr>
            <w:tcW w:w="1369" w:type="dxa"/>
          </w:tcPr>
          <w:p w14:paraId="0D86F0A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41-60 years</w:t>
            </w:r>
          </w:p>
        </w:tc>
        <w:tc>
          <w:tcPr>
            <w:tcW w:w="1207" w:type="dxa"/>
          </w:tcPr>
          <w:p w14:paraId="0CCBD1F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18</w:t>
            </w:r>
          </w:p>
        </w:tc>
        <w:tc>
          <w:tcPr>
            <w:tcW w:w="1254" w:type="dxa"/>
          </w:tcPr>
          <w:p w14:paraId="02430EF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52.83</w:t>
            </w:r>
          </w:p>
        </w:tc>
        <w:tc>
          <w:tcPr>
            <w:tcW w:w="1225" w:type="dxa"/>
          </w:tcPr>
          <w:p w14:paraId="61A27EA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6.47</w:t>
            </w:r>
          </w:p>
        </w:tc>
        <w:tc>
          <w:tcPr>
            <w:tcW w:w="1251" w:type="dxa"/>
            <w:vMerge/>
          </w:tcPr>
          <w:p w14:paraId="31E109B0"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213D6095" w14:textId="77777777" w:rsidR="00DE6AF1" w:rsidRPr="001254BF" w:rsidRDefault="00DE6AF1" w:rsidP="00047128">
            <w:pPr>
              <w:jc w:val="both"/>
              <w:rPr>
                <w:rFonts w:ascii="Arial" w:eastAsia="Calibri" w:hAnsi="Arial" w:cs="Arial"/>
                <w:bCs/>
                <w:sz w:val="20"/>
                <w:szCs w:val="20"/>
                <w:lang w:eastAsia="en-IN" w:bidi="hi-IN"/>
              </w:rPr>
            </w:pPr>
          </w:p>
        </w:tc>
        <w:tc>
          <w:tcPr>
            <w:tcW w:w="1456" w:type="dxa"/>
            <w:vMerge/>
          </w:tcPr>
          <w:p w14:paraId="4AAEFE15" w14:textId="77777777" w:rsidR="00DE6AF1" w:rsidRPr="001254BF" w:rsidRDefault="00DE6AF1" w:rsidP="00047128">
            <w:pPr>
              <w:jc w:val="both"/>
              <w:rPr>
                <w:rFonts w:ascii="Arial" w:eastAsia="Calibri" w:hAnsi="Arial" w:cs="Arial"/>
                <w:bCs/>
                <w:sz w:val="20"/>
                <w:szCs w:val="20"/>
                <w:lang w:eastAsia="en-IN" w:bidi="hi-IN"/>
              </w:rPr>
            </w:pPr>
          </w:p>
        </w:tc>
      </w:tr>
    </w:tbl>
    <w:p w14:paraId="284EEBC6" w14:textId="77777777" w:rsidR="00DE6AF1" w:rsidRPr="001254BF" w:rsidRDefault="00DE6AF1" w:rsidP="00DE6AF1">
      <w:pPr>
        <w:rPr>
          <w:rFonts w:ascii="Arial" w:hAnsi="Arial" w:cs="Arial"/>
          <w:b/>
          <w:bCs/>
          <w:sz w:val="20"/>
          <w:szCs w:val="20"/>
          <w:lang w:val="en-US"/>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26+18 - 2= 42</w:t>
      </w:r>
    </w:p>
    <w:p w14:paraId="76B7D674"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mean effectiveness score of the Private Senior Secondary School Teachers of age 20-40 years(N=26) is 54.46 with a Standard Deviation of 9.09, whereas the mean score of the Private Senior Secondary School Teachers of age 41-60 years (N=18) is 52.83 with a standard deviation of 6.47. This indicates that, on average, the Private school teachers of age 20-40 years exhibit a comparatively more favourable effectiveness towards online learning than the Private Senior Secondary teachers of age 41-60 years. To determine whether the difference in the mean score is statistically significant, an independent sample t-test was applied. The obtained t-value is 0.82 at 42 degrees of freedom, P-value at 0.05 significance level is 0.4159. Since the obtained p-value is greater than the significance level (α = 0.05), the difference in effectiveness between the two groups is not statistically significant at the 0.05 level.</w:t>
      </w:r>
    </w:p>
    <w:p w14:paraId="05AB23F2" w14:textId="77777777" w:rsidR="00DE6AF1" w:rsidRPr="001254BF" w:rsidRDefault="00DE6AF1" w:rsidP="00DE6AF1">
      <w:pPr>
        <w:jc w:val="both"/>
        <w:rPr>
          <w:rFonts w:ascii="Arial" w:hAnsi="Arial" w:cs="Arial"/>
          <w:sz w:val="20"/>
          <w:szCs w:val="20"/>
        </w:rPr>
      </w:pPr>
      <w:r w:rsidRPr="001254BF">
        <w:rPr>
          <w:rFonts w:ascii="Arial" w:eastAsia="Calibri" w:hAnsi="Arial" w:cs="Arial"/>
          <w:bCs/>
          <w:sz w:val="20"/>
          <w:szCs w:val="20"/>
          <w:lang w:eastAsia="en-IN" w:bidi="hi-IN"/>
        </w:rPr>
        <w:br/>
        <w:t>Although private school teachers of age 20-40 years effectiveness showed slightly higher mean scores, the difference was not statistically significant. The null hypothesis is accepted. This indicate that Private school teacher type (20-40 years vs 41-60 years) does not significantly influence teacher’s effectiveness towards online learning strategies. Both private 20-40 years and 41-60 years teachers show statistically similar levels of acceptance and perception of online learning strategies. This shows continuous adaptation of technology-enabled education in different school sectors and education streams.</w:t>
      </w:r>
    </w:p>
    <w:p w14:paraId="118E9B83" w14:textId="19F9DE2A" w:rsidR="00DE6AF1" w:rsidRPr="001254BF" w:rsidRDefault="00DE6AF1" w:rsidP="00DE6AF1">
      <w:pPr>
        <w:rPr>
          <w:rFonts w:ascii="Arial" w:hAnsi="Arial" w:cs="Arial"/>
          <w:sz w:val="20"/>
          <w:szCs w:val="20"/>
        </w:rPr>
      </w:pPr>
      <w:r w:rsidRPr="001254BF">
        <w:rPr>
          <w:rFonts w:ascii="Arial" w:hAnsi="Arial" w:cs="Arial"/>
          <w:sz w:val="20"/>
          <w:szCs w:val="20"/>
        </w:rPr>
        <w:t>Table</w:t>
      </w:r>
      <w:r w:rsidR="007B3D03">
        <w:rPr>
          <w:rFonts w:ascii="Arial" w:hAnsi="Arial" w:cs="Arial"/>
          <w:sz w:val="20"/>
          <w:szCs w:val="20"/>
        </w:rPr>
        <w:t xml:space="preserve"> 6</w:t>
      </w:r>
      <w:r w:rsidRPr="001254BF">
        <w:rPr>
          <w:rFonts w:ascii="Arial" w:hAnsi="Arial" w:cs="Arial"/>
          <w:sz w:val="20"/>
          <w:szCs w:val="20"/>
        </w:rPr>
        <w:t xml:space="preserve">: Effectiveness of Senior Secondary School Teachers from different streams towards Online Learning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1159"/>
        <w:gridCol w:w="952"/>
        <w:gridCol w:w="1123"/>
        <w:gridCol w:w="1257"/>
        <w:gridCol w:w="1123"/>
        <w:gridCol w:w="1078"/>
      </w:tblGrid>
      <w:tr w:rsidR="00DE6AF1" w:rsidRPr="001254BF" w14:paraId="1D3C9C44" w14:textId="77777777" w:rsidTr="00284EED">
        <w:trPr>
          <w:trHeight w:val="288"/>
          <w:jc w:val="center"/>
        </w:trPr>
        <w:tc>
          <w:tcPr>
            <w:tcW w:w="2340" w:type="dxa"/>
            <w:noWrap/>
            <w:hideMark/>
          </w:tcPr>
          <w:p w14:paraId="26F0A49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Sr. Sec. School Teachers</w:t>
            </w:r>
          </w:p>
        </w:tc>
        <w:tc>
          <w:tcPr>
            <w:tcW w:w="1116" w:type="dxa"/>
            <w:noWrap/>
            <w:hideMark/>
          </w:tcPr>
          <w:p w14:paraId="78E710F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954" w:type="dxa"/>
            <w:noWrap/>
            <w:hideMark/>
          </w:tcPr>
          <w:p w14:paraId="5381D075"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Sum</w:t>
            </w:r>
          </w:p>
        </w:tc>
        <w:tc>
          <w:tcPr>
            <w:tcW w:w="1125" w:type="dxa"/>
            <w:noWrap/>
            <w:hideMark/>
          </w:tcPr>
          <w:p w14:paraId="3626E95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60" w:type="dxa"/>
            <w:noWrap/>
            <w:hideMark/>
          </w:tcPr>
          <w:p w14:paraId="0DD2FB2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Variance</w:t>
            </w:r>
          </w:p>
        </w:tc>
        <w:tc>
          <w:tcPr>
            <w:tcW w:w="1125" w:type="dxa"/>
            <w:noWrap/>
            <w:hideMark/>
          </w:tcPr>
          <w:p w14:paraId="71FA2916"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25071EFD"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22D9F291" w14:textId="77777777" w:rsidTr="00284EED">
        <w:trPr>
          <w:trHeight w:val="288"/>
          <w:jc w:val="center"/>
        </w:trPr>
        <w:tc>
          <w:tcPr>
            <w:tcW w:w="2340" w:type="dxa"/>
            <w:noWrap/>
            <w:hideMark/>
          </w:tcPr>
          <w:p w14:paraId="394393B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Science</w:t>
            </w:r>
          </w:p>
        </w:tc>
        <w:tc>
          <w:tcPr>
            <w:tcW w:w="1116" w:type="dxa"/>
            <w:noWrap/>
          </w:tcPr>
          <w:p w14:paraId="7086204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20</w:t>
            </w:r>
          </w:p>
        </w:tc>
        <w:tc>
          <w:tcPr>
            <w:tcW w:w="954" w:type="dxa"/>
            <w:noWrap/>
          </w:tcPr>
          <w:p w14:paraId="649227D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1173</w:t>
            </w:r>
          </w:p>
        </w:tc>
        <w:tc>
          <w:tcPr>
            <w:tcW w:w="1125" w:type="dxa"/>
            <w:noWrap/>
          </w:tcPr>
          <w:p w14:paraId="560FB60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58.65</w:t>
            </w:r>
          </w:p>
        </w:tc>
        <w:tc>
          <w:tcPr>
            <w:tcW w:w="1260" w:type="dxa"/>
            <w:noWrap/>
          </w:tcPr>
          <w:p w14:paraId="33C7109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189.61</w:t>
            </w:r>
          </w:p>
        </w:tc>
        <w:tc>
          <w:tcPr>
            <w:tcW w:w="1125" w:type="dxa"/>
            <w:noWrap/>
            <w:hideMark/>
          </w:tcPr>
          <w:p w14:paraId="76D48031"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5146C3FF"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0983223C" w14:textId="77777777" w:rsidTr="00284EED">
        <w:trPr>
          <w:trHeight w:val="288"/>
          <w:jc w:val="center"/>
        </w:trPr>
        <w:tc>
          <w:tcPr>
            <w:tcW w:w="2340" w:type="dxa"/>
            <w:noWrap/>
            <w:hideMark/>
          </w:tcPr>
          <w:p w14:paraId="1E3B71D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Arts</w:t>
            </w:r>
          </w:p>
        </w:tc>
        <w:tc>
          <w:tcPr>
            <w:tcW w:w="1116" w:type="dxa"/>
            <w:noWrap/>
          </w:tcPr>
          <w:p w14:paraId="698B957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32</w:t>
            </w:r>
          </w:p>
        </w:tc>
        <w:tc>
          <w:tcPr>
            <w:tcW w:w="954" w:type="dxa"/>
            <w:noWrap/>
          </w:tcPr>
          <w:p w14:paraId="2AF26EF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1847</w:t>
            </w:r>
          </w:p>
        </w:tc>
        <w:tc>
          <w:tcPr>
            <w:tcW w:w="1125" w:type="dxa"/>
            <w:noWrap/>
          </w:tcPr>
          <w:p w14:paraId="3198E1E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57.72</w:t>
            </w:r>
          </w:p>
        </w:tc>
        <w:tc>
          <w:tcPr>
            <w:tcW w:w="1260" w:type="dxa"/>
            <w:noWrap/>
          </w:tcPr>
          <w:p w14:paraId="511F871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193.43</w:t>
            </w:r>
          </w:p>
        </w:tc>
        <w:tc>
          <w:tcPr>
            <w:tcW w:w="1125" w:type="dxa"/>
            <w:noWrap/>
            <w:hideMark/>
          </w:tcPr>
          <w:p w14:paraId="418EDA05"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204EC909"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3CAE9111" w14:textId="77777777" w:rsidTr="00284EED">
        <w:trPr>
          <w:trHeight w:val="288"/>
          <w:jc w:val="center"/>
        </w:trPr>
        <w:tc>
          <w:tcPr>
            <w:tcW w:w="2340" w:type="dxa"/>
            <w:noWrap/>
            <w:hideMark/>
          </w:tcPr>
          <w:p w14:paraId="06C5019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Commerce</w:t>
            </w:r>
          </w:p>
        </w:tc>
        <w:tc>
          <w:tcPr>
            <w:tcW w:w="1116" w:type="dxa"/>
            <w:noWrap/>
          </w:tcPr>
          <w:p w14:paraId="4EDB7EC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19</w:t>
            </w:r>
          </w:p>
        </w:tc>
        <w:tc>
          <w:tcPr>
            <w:tcW w:w="954" w:type="dxa"/>
            <w:noWrap/>
          </w:tcPr>
          <w:p w14:paraId="559BB8F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1055</w:t>
            </w:r>
          </w:p>
        </w:tc>
        <w:tc>
          <w:tcPr>
            <w:tcW w:w="1125" w:type="dxa"/>
            <w:noWrap/>
          </w:tcPr>
          <w:p w14:paraId="5212B9C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55.53</w:t>
            </w:r>
          </w:p>
        </w:tc>
        <w:tc>
          <w:tcPr>
            <w:tcW w:w="1260" w:type="dxa"/>
            <w:noWrap/>
          </w:tcPr>
          <w:p w14:paraId="336F263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315.93</w:t>
            </w:r>
          </w:p>
        </w:tc>
        <w:tc>
          <w:tcPr>
            <w:tcW w:w="1125" w:type="dxa"/>
            <w:noWrap/>
            <w:hideMark/>
          </w:tcPr>
          <w:p w14:paraId="4A1B15E1"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0C232E29"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4D09C6E4" w14:textId="77777777" w:rsidTr="00284EED">
        <w:trPr>
          <w:trHeight w:val="300"/>
          <w:jc w:val="center"/>
        </w:trPr>
        <w:tc>
          <w:tcPr>
            <w:tcW w:w="2340" w:type="dxa"/>
            <w:noWrap/>
            <w:hideMark/>
          </w:tcPr>
          <w:p w14:paraId="10001F8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Agriculture</w:t>
            </w:r>
          </w:p>
        </w:tc>
        <w:tc>
          <w:tcPr>
            <w:tcW w:w="1116" w:type="dxa"/>
            <w:noWrap/>
            <w:hideMark/>
          </w:tcPr>
          <w:p w14:paraId="6FC65C8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w:t>
            </w:r>
          </w:p>
        </w:tc>
        <w:tc>
          <w:tcPr>
            <w:tcW w:w="954" w:type="dxa"/>
            <w:noWrap/>
            <w:hideMark/>
          </w:tcPr>
          <w:p w14:paraId="27D882C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562</w:t>
            </w:r>
          </w:p>
        </w:tc>
        <w:tc>
          <w:tcPr>
            <w:tcW w:w="1125" w:type="dxa"/>
            <w:noWrap/>
            <w:hideMark/>
          </w:tcPr>
          <w:p w14:paraId="381D0C8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56.20</w:t>
            </w:r>
          </w:p>
        </w:tc>
        <w:tc>
          <w:tcPr>
            <w:tcW w:w="1260" w:type="dxa"/>
            <w:noWrap/>
            <w:hideMark/>
          </w:tcPr>
          <w:p w14:paraId="4D76EF9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145.29</w:t>
            </w:r>
          </w:p>
        </w:tc>
        <w:tc>
          <w:tcPr>
            <w:tcW w:w="1125" w:type="dxa"/>
            <w:noWrap/>
            <w:hideMark/>
          </w:tcPr>
          <w:p w14:paraId="66D22515"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26E57D6F"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099EAD85" w14:textId="77777777" w:rsidTr="00284EED">
        <w:trPr>
          <w:trHeight w:val="288"/>
          <w:jc w:val="center"/>
        </w:trPr>
        <w:tc>
          <w:tcPr>
            <w:tcW w:w="2340" w:type="dxa"/>
            <w:noWrap/>
            <w:hideMark/>
          </w:tcPr>
          <w:p w14:paraId="0B20022E" w14:textId="77777777" w:rsidR="00DE6AF1" w:rsidRPr="001254BF" w:rsidRDefault="00DE6AF1" w:rsidP="00047128">
            <w:pPr>
              <w:jc w:val="both"/>
              <w:rPr>
                <w:rFonts w:ascii="Arial" w:eastAsia="Calibri" w:hAnsi="Arial" w:cs="Arial"/>
                <w:b/>
                <w:sz w:val="20"/>
                <w:szCs w:val="20"/>
                <w:lang w:eastAsia="en-IN" w:bidi="hi-IN"/>
              </w:rPr>
            </w:pPr>
          </w:p>
        </w:tc>
        <w:tc>
          <w:tcPr>
            <w:tcW w:w="1116" w:type="dxa"/>
            <w:noWrap/>
            <w:hideMark/>
          </w:tcPr>
          <w:p w14:paraId="66006105"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954" w:type="dxa"/>
            <w:noWrap/>
            <w:hideMark/>
          </w:tcPr>
          <w:p w14:paraId="3796F381"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125" w:type="dxa"/>
            <w:noWrap/>
            <w:hideMark/>
          </w:tcPr>
          <w:p w14:paraId="35086AEA"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260" w:type="dxa"/>
            <w:noWrap/>
            <w:hideMark/>
          </w:tcPr>
          <w:p w14:paraId="1EFA5EB0"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125" w:type="dxa"/>
            <w:noWrap/>
            <w:hideMark/>
          </w:tcPr>
          <w:p w14:paraId="060F4AF3"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080" w:type="dxa"/>
            <w:noWrap/>
            <w:hideMark/>
          </w:tcPr>
          <w:p w14:paraId="13BB0AEC" w14:textId="77777777" w:rsidR="00DE6AF1" w:rsidRPr="001254BF" w:rsidRDefault="00DE6AF1" w:rsidP="00047128">
            <w:pPr>
              <w:spacing w:before="240"/>
              <w:jc w:val="both"/>
              <w:rPr>
                <w:rFonts w:ascii="Arial" w:eastAsia="Calibri" w:hAnsi="Arial" w:cs="Arial"/>
                <w:b/>
                <w:sz w:val="20"/>
                <w:szCs w:val="20"/>
                <w:lang w:eastAsia="en-IN" w:bidi="hi-IN"/>
              </w:rPr>
            </w:pPr>
          </w:p>
        </w:tc>
      </w:tr>
      <w:tr w:rsidR="00DE6AF1" w:rsidRPr="001254BF" w14:paraId="5ACDA488" w14:textId="77777777" w:rsidTr="00284EED">
        <w:trPr>
          <w:trHeight w:val="288"/>
          <w:jc w:val="center"/>
        </w:trPr>
        <w:tc>
          <w:tcPr>
            <w:tcW w:w="2340" w:type="dxa"/>
            <w:noWrap/>
            <w:hideMark/>
          </w:tcPr>
          <w:p w14:paraId="27737A1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Source of Variation</w:t>
            </w:r>
          </w:p>
        </w:tc>
        <w:tc>
          <w:tcPr>
            <w:tcW w:w="1116" w:type="dxa"/>
            <w:noWrap/>
            <w:hideMark/>
          </w:tcPr>
          <w:p w14:paraId="1420B096"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SS</w:t>
            </w:r>
          </w:p>
        </w:tc>
        <w:tc>
          <w:tcPr>
            <w:tcW w:w="954" w:type="dxa"/>
            <w:noWrap/>
            <w:hideMark/>
          </w:tcPr>
          <w:p w14:paraId="45231C3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df</w:t>
            </w:r>
          </w:p>
        </w:tc>
        <w:tc>
          <w:tcPr>
            <w:tcW w:w="1125" w:type="dxa"/>
            <w:noWrap/>
            <w:hideMark/>
          </w:tcPr>
          <w:p w14:paraId="6EFF67B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MS</w:t>
            </w:r>
          </w:p>
        </w:tc>
        <w:tc>
          <w:tcPr>
            <w:tcW w:w="1260" w:type="dxa"/>
            <w:noWrap/>
            <w:hideMark/>
          </w:tcPr>
          <w:p w14:paraId="573BA91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F</w:t>
            </w:r>
          </w:p>
        </w:tc>
        <w:tc>
          <w:tcPr>
            <w:tcW w:w="1125" w:type="dxa"/>
            <w:noWrap/>
            <w:hideMark/>
          </w:tcPr>
          <w:p w14:paraId="26D35CE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080" w:type="dxa"/>
            <w:noWrap/>
            <w:hideMark/>
          </w:tcPr>
          <w:p w14:paraId="15A0F46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F crit</w:t>
            </w:r>
          </w:p>
        </w:tc>
      </w:tr>
      <w:tr w:rsidR="00DE6AF1" w:rsidRPr="001254BF" w14:paraId="361BC8B8" w14:textId="77777777" w:rsidTr="00284EED">
        <w:trPr>
          <w:trHeight w:val="288"/>
          <w:jc w:val="center"/>
        </w:trPr>
        <w:tc>
          <w:tcPr>
            <w:tcW w:w="2340" w:type="dxa"/>
            <w:noWrap/>
            <w:hideMark/>
          </w:tcPr>
          <w:p w14:paraId="1E2DD25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Between Groups</w:t>
            </w:r>
          </w:p>
        </w:tc>
        <w:tc>
          <w:tcPr>
            <w:tcW w:w="1116" w:type="dxa"/>
            <w:noWrap/>
          </w:tcPr>
          <w:p w14:paraId="5EEA504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113.706</w:t>
            </w:r>
          </w:p>
        </w:tc>
        <w:tc>
          <w:tcPr>
            <w:tcW w:w="954" w:type="dxa"/>
            <w:noWrap/>
          </w:tcPr>
          <w:p w14:paraId="5E15BDD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w:t>
            </w:r>
          </w:p>
        </w:tc>
        <w:tc>
          <w:tcPr>
            <w:tcW w:w="1125" w:type="dxa"/>
            <w:noWrap/>
          </w:tcPr>
          <w:p w14:paraId="0321582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37.902</w:t>
            </w:r>
          </w:p>
        </w:tc>
        <w:tc>
          <w:tcPr>
            <w:tcW w:w="1260" w:type="dxa"/>
            <w:noWrap/>
          </w:tcPr>
          <w:p w14:paraId="313F584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0.1759</w:t>
            </w:r>
          </w:p>
        </w:tc>
        <w:tc>
          <w:tcPr>
            <w:tcW w:w="1125" w:type="dxa"/>
            <w:noWrap/>
          </w:tcPr>
          <w:p w14:paraId="6629CD7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0.9124</w:t>
            </w:r>
          </w:p>
        </w:tc>
        <w:tc>
          <w:tcPr>
            <w:tcW w:w="1080" w:type="dxa"/>
            <w:noWrap/>
          </w:tcPr>
          <w:p w14:paraId="6CBD52B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2.723</w:t>
            </w:r>
          </w:p>
        </w:tc>
      </w:tr>
      <w:tr w:rsidR="00DE6AF1" w:rsidRPr="001254BF" w14:paraId="1A645487" w14:textId="77777777" w:rsidTr="00284EED">
        <w:trPr>
          <w:trHeight w:val="288"/>
          <w:jc w:val="center"/>
        </w:trPr>
        <w:tc>
          <w:tcPr>
            <w:tcW w:w="2340" w:type="dxa"/>
            <w:noWrap/>
            <w:hideMark/>
          </w:tcPr>
          <w:p w14:paraId="62F00D3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Within Groups</w:t>
            </w:r>
          </w:p>
        </w:tc>
        <w:tc>
          <w:tcPr>
            <w:tcW w:w="1116" w:type="dxa"/>
            <w:noWrap/>
          </w:tcPr>
          <w:p w14:paraId="2E36DC2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16593.400</w:t>
            </w:r>
          </w:p>
        </w:tc>
        <w:tc>
          <w:tcPr>
            <w:tcW w:w="954" w:type="dxa"/>
            <w:noWrap/>
          </w:tcPr>
          <w:p w14:paraId="09A9A03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77</w:t>
            </w:r>
          </w:p>
        </w:tc>
        <w:tc>
          <w:tcPr>
            <w:tcW w:w="1125" w:type="dxa"/>
            <w:noWrap/>
          </w:tcPr>
          <w:p w14:paraId="4B7406B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215.498</w:t>
            </w:r>
          </w:p>
        </w:tc>
        <w:tc>
          <w:tcPr>
            <w:tcW w:w="1260" w:type="dxa"/>
            <w:noWrap/>
            <w:hideMark/>
          </w:tcPr>
          <w:p w14:paraId="3D3379AB" w14:textId="77777777" w:rsidR="00DE6AF1" w:rsidRPr="001254BF" w:rsidRDefault="00DE6AF1" w:rsidP="00047128">
            <w:pPr>
              <w:jc w:val="center"/>
              <w:rPr>
                <w:rFonts w:ascii="Arial" w:eastAsia="Calibri" w:hAnsi="Arial" w:cs="Arial"/>
                <w:bCs/>
                <w:sz w:val="20"/>
                <w:szCs w:val="20"/>
                <w:lang w:eastAsia="en-IN" w:bidi="hi-IN"/>
              </w:rPr>
            </w:pPr>
          </w:p>
        </w:tc>
        <w:tc>
          <w:tcPr>
            <w:tcW w:w="1125" w:type="dxa"/>
            <w:noWrap/>
            <w:hideMark/>
          </w:tcPr>
          <w:p w14:paraId="7ACF7C5E" w14:textId="77777777" w:rsidR="00DE6AF1" w:rsidRPr="001254BF" w:rsidRDefault="00DE6AF1" w:rsidP="00047128">
            <w:pPr>
              <w:jc w:val="center"/>
              <w:rPr>
                <w:rFonts w:ascii="Arial" w:eastAsia="Calibri" w:hAnsi="Arial" w:cs="Arial"/>
                <w:bCs/>
                <w:sz w:val="20"/>
                <w:szCs w:val="20"/>
                <w:lang w:eastAsia="en-IN" w:bidi="hi-IN"/>
              </w:rPr>
            </w:pPr>
          </w:p>
        </w:tc>
        <w:tc>
          <w:tcPr>
            <w:tcW w:w="1080" w:type="dxa"/>
            <w:noWrap/>
            <w:hideMark/>
          </w:tcPr>
          <w:p w14:paraId="04E32DE5" w14:textId="77777777" w:rsidR="00DE6AF1" w:rsidRPr="001254BF" w:rsidRDefault="00DE6AF1" w:rsidP="00047128">
            <w:pPr>
              <w:jc w:val="center"/>
              <w:rPr>
                <w:rFonts w:ascii="Arial" w:eastAsia="Calibri" w:hAnsi="Arial" w:cs="Arial"/>
                <w:bCs/>
                <w:sz w:val="20"/>
                <w:szCs w:val="20"/>
                <w:lang w:eastAsia="en-IN" w:bidi="hi-IN"/>
              </w:rPr>
            </w:pPr>
          </w:p>
        </w:tc>
      </w:tr>
      <w:tr w:rsidR="00DE6AF1" w:rsidRPr="001254BF" w14:paraId="5F5F71A1" w14:textId="77777777" w:rsidTr="00284EED">
        <w:trPr>
          <w:trHeight w:val="288"/>
          <w:jc w:val="center"/>
        </w:trPr>
        <w:tc>
          <w:tcPr>
            <w:tcW w:w="2340" w:type="dxa"/>
            <w:noWrap/>
            <w:hideMark/>
          </w:tcPr>
          <w:p w14:paraId="160B8A9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Total</w:t>
            </w:r>
          </w:p>
        </w:tc>
        <w:tc>
          <w:tcPr>
            <w:tcW w:w="1116" w:type="dxa"/>
            <w:noWrap/>
            <w:hideMark/>
          </w:tcPr>
          <w:p w14:paraId="53CFE07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16707.106</w:t>
            </w:r>
          </w:p>
        </w:tc>
        <w:tc>
          <w:tcPr>
            <w:tcW w:w="954" w:type="dxa"/>
            <w:noWrap/>
            <w:hideMark/>
          </w:tcPr>
          <w:p w14:paraId="68E36F3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80</w:t>
            </w:r>
          </w:p>
        </w:tc>
        <w:tc>
          <w:tcPr>
            <w:tcW w:w="1125" w:type="dxa"/>
            <w:noWrap/>
            <w:hideMark/>
          </w:tcPr>
          <w:p w14:paraId="782DF148" w14:textId="77777777" w:rsidR="00DE6AF1" w:rsidRPr="001254BF" w:rsidRDefault="00DE6AF1" w:rsidP="00047128">
            <w:pPr>
              <w:jc w:val="center"/>
              <w:rPr>
                <w:rFonts w:ascii="Arial" w:eastAsia="Calibri" w:hAnsi="Arial" w:cs="Arial"/>
                <w:bCs/>
                <w:sz w:val="20"/>
                <w:szCs w:val="20"/>
                <w:lang w:eastAsia="en-IN" w:bidi="hi-IN"/>
              </w:rPr>
            </w:pPr>
          </w:p>
        </w:tc>
        <w:tc>
          <w:tcPr>
            <w:tcW w:w="1260" w:type="dxa"/>
            <w:noWrap/>
            <w:hideMark/>
          </w:tcPr>
          <w:p w14:paraId="158E5DBB" w14:textId="77777777" w:rsidR="00DE6AF1" w:rsidRPr="001254BF" w:rsidRDefault="00DE6AF1" w:rsidP="00047128">
            <w:pPr>
              <w:jc w:val="both"/>
              <w:rPr>
                <w:rFonts w:ascii="Arial" w:eastAsia="Calibri" w:hAnsi="Arial" w:cs="Arial"/>
                <w:bCs/>
                <w:sz w:val="20"/>
                <w:szCs w:val="20"/>
                <w:lang w:eastAsia="en-IN" w:bidi="hi-IN"/>
              </w:rPr>
            </w:pPr>
          </w:p>
        </w:tc>
        <w:tc>
          <w:tcPr>
            <w:tcW w:w="1125" w:type="dxa"/>
            <w:noWrap/>
            <w:hideMark/>
          </w:tcPr>
          <w:p w14:paraId="11AE8B1B" w14:textId="77777777" w:rsidR="00DE6AF1" w:rsidRPr="001254BF" w:rsidRDefault="00DE6AF1" w:rsidP="00047128">
            <w:pPr>
              <w:jc w:val="both"/>
              <w:rPr>
                <w:rFonts w:ascii="Arial" w:eastAsia="Calibri" w:hAnsi="Arial" w:cs="Arial"/>
                <w:bCs/>
                <w:sz w:val="20"/>
                <w:szCs w:val="20"/>
                <w:lang w:eastAsia="en-IN" w:bidi="hi-IN"/>
              </w:rPr>
            </w:pPr>
          </w:p>
        </w:tc>
        <w:tc>
          <w:tcPr>
            <w:tcW w:w="1080" w:type="dxa"/>
            <w:noWrap/>
            <w:hideMark/>
          </w:tcPr>
          <w:p w14:paraId="701B38D0" w14:textId="77777777" w:rsidR="00DE6AF1" w:rsidRPr="001254BF" w:rsidRDefault="00DE6AF1" w:rsidP="00047128">
            <w:pPr>
              <w:jc w:val="both"/>
              <w:rPr>
                <w:rFonts w:ascii="Arial" w:eastAsia="Calibri" w:hAnsi="Arial" w:cs="Arial"/>
                <w:bCs/>
                <w:sz w:val="20"/>
                <w:szCs w:val="20"/>
                <w:lang w:eastAsia="en-IN" w:bidi="hi-IN"/>
              </w:rPr>
            </w:pPr>
          </w:p>
        </w:tc>
      </w:tr>
    </w:tbl>
    <w:p w14:paraId="6B97273F" w14:textId="77777777" w:rsidR="00DE6AF1" w:rsidRPr="001254BF" w:rsidRDefault="00DE6AF1" w:rsidP="00DE6AF1">
      <w:pPr>
        <w:rPr>
          <w:rFonts w:ascii="Arial" w:hAnsi="Arial" w:cs="Arial"/>
          <w:sz w:val="20"/>
          <w:szCs w:val="20"/>
          <w:lang w:val="en-US"/>
        </w:rPr>
      </w:pPr>
    </w:p>
    <w:p w14:paraId="20C97C19"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scores across streams for teachers (Science: 58.65, Arts: 57.72, Commerce: 55.53, Agriculture: 56.20) showed some variation. The overall results from the segregated analyses indicate </w:t>
      </w:r>
      <w:r w:rsidRPr="001254BF">
        <w:rPr>
          <w:rFonts w:ascii="Arial" w:eastAsia="Calibri" w:hAnsi="Arial" w:cs="Arial"/>
          <w:bCs/>
          <w:sz w:val="20"/>
          <w:szCs w:val="20"/>
          <w:lang w:eastAsia="en-IN" w:bidi="hi-IN"/>
        </w:rPr>
        <w:lastRenderedPageBreak/>
        <w:t>that there is no significant difference in the effectiveness towards online learning based on the teaching stream for the combined teacher group.</w:t>
      </w:r>
    </w:p>
    <w:p w14:paraId="6CAA873F"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separate ANOVA tests for teachers (F=0.1759, </w:t>
      </w:r>
      <w:r w:rsidRPr="001254BF">
        <w:rPr>
          <w:rFonts w:ascii="Arial" w:eastAsia="Calibri" w:hAnsi="Arial" w:cs="Arial"/>
          <w:sz w:val="20"/>
          <w:szCs w:val="20"/>
          <w:lang w:eastAsia="en-IN" w:bidi="hi-IN"/>
        </w:rPr>
        <w:t>P-Value 0.9124) yielded P-Value greater than the significance level of 0.05. Consequently, the null hypothesis is accepted. This collective finding confirms that the stream of study a teacher belongs to (Arts, Science, Commerce, or Agriculture) does not significantly influence</w:t>
      </w:r>
      <w:r w:rsidRPr="001254BF">
        <w:rPr>
          <w:rFonts w:ascii="Arial" w:eastAsia="Calibri" w:hAnsi="Arial" w:cs="Arial"/>
          <w:bCs/>
          <w:sz w:val="20"/>
          <w:szCs w:val="20"/>
          <w:lang w:eastAsia="en-IN" w:bidi="hi-IN"/>
        </w:rPr>
        <w:t xml:space="preserve"> their overall effectiveness towards online learning.</w:t>
      </w:r>
    </w:p>
    <w:p w14:paraId="6513769E" w14:textId="77777777" w:rsidR="00DE6AF1" w:rsidRPr="001254BF" w:rsidRDefault="00DE6AF1" w:rsidP="00DE6AF1">
      <w:pPr>
        <w:jc w:val="both"/>
        <w:rPr>
          <w:rFonts w:ascii="Arial" w:hAnsi="Arial" w:cs="Arial"/>
          <w:b/>
          <w:bCs/>
          <w:sz w:val="20"/>
          <w:szCs w:val="20"/>
          <w:lang w:val="en-US"/>
        </w:rPr>
      </w:pPr>
      <w:r w:rsidRPr="001254BF">
        <w:rPr>
          <w:rFonts w:ascii="Arial" w:hAnsi="Arial" w:cs="Arial"/>
          <w:b/>
          <w:bCs/>
          <w:sz w:val="20"/>
          <w:szCs w:val="20"/>
          <w:lang w:val="en-US"/>
        </w:rPr>
        <w:t>Objective 4: To study the effectiveness of online learning strategies as perceived by students of Senior Secondary level</w:t>
      </w:r>
    </w:p>
    <w:p w14:paraId="36BA799E" w14:textId="21CCBE83"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7</w:t>
      </w:r>
      <w:r w:rsidRPr="001254BF">
        <w:rPr>
          <w:rFonts w:ascii="Arial" w:eastAsia="Calibri" w:hAnsi="Arial" w:cs="Arial"/>
          <w:bCs/>
          <w:sz w:val="20"/>
          <w:szCs w:val="20"/>
          <w:lang w:eastAsia="en-IN" w:bidi="hi-IN"/>
        </w:rPr>
        <w:t>: Effectiveness of online learning strategies as perceived by students of at Govt and Private Senior Secondary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205"/>
        <w:gridCol w:w="1252"/>
        <w:gridCol w:w="1223"/>
        <w:gridCol w:w="1249"/>
        <w:gridCol w:w="1254"/>
        <w:gridCol w:w="1416"/>
      </w:tblGrid>
      <w:tr w:rsidR="00DE6AF1" w:rsidRPr="001254BF" w14:paraId="169910CD" w14:textId="77777777" w:rsidTr="0014377D">
        <w:tc>
          <w:tcPr>
            <w:tcW w:w="1417" w:type="dxa"/>
          </w:tcPr>
          <w:p w14:paraId="2AD883A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Sr. Sec. School</w:t>
            </w:r>
          </w:p>
        </w:tc>
        <w:tc>
          <w:tcPr>
            <w:tcW w:w="1205" w:type="dxa"/>
          </w:tcPr>
          <w:p w14:paraId="4F3F950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2" w:type="dxa"/>
          </w:tcPr>
          <w:p w14:paraId="554514F1"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3" w:type="dxa"/>
          </w:tcPr>
          <w:p w14:paraId="564154D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49" w:type="dxa"/>
          </w:tcPr>
          <w:p w14:paraId="2361910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7105A536"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16" w:type="dxa"/>
          </w:tcPr>
          <w:p w14:paraId="00A0097F"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04E99D8D" w14:textId="77777777" w:rsidTr="0014377D">
        <w:tc>
          <w:tcPr>
            <w:tcW w:w="1417" w:type="dxa"/>
          </w:tcPr>
          <w:p w14:paraId="09263CC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Government</w:t>
            </w:r>
          </w:p>
        </w:tc>
        <w:tc>
          <w:tcPr>
            <w:tcW w:w="1205" w:type="dxa"/>
          </w:tcPr>
          <w:p w14:paraId="1AF6550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227</w:t>
            </w:r>
          </w:p>
        </w:tc>
        <w:tc>
          <w:tcPr>
            <w:tcW w:w="1252" w:type="dxa"/>
          </w:tcPr>
          <w:p w14:paraId="7728CE9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69.83</w:t>
            </w:r>
          </w:p>
        </w:tc>
        <w:tc>
          <w:tcPr>
            <w:tcW w:w="1223" w:type="dxa"/>
          </w:tcPr>
          <w:p w14:paraId="738B2FC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7.42</w:t>
            </w:r>
          </w:p>
        </w:tc>
        <w:tc>
          <w:tcPr>
            <w:tcW w:w="1249" w:type="dxa"/>
            <w:vMerge w:val="restart"/>
          </w:tcPr>
          <w:p w14:paraId="3DB55D6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3.51</w:t>
            </w:r>
          </w:p>
        </w:tc>
        <w:tc>
          <w:tcPr>
            <w:tcW w:w="1254" w:type="dxa"/>
            <w:vMerge w:val="restart"/>
          </w:tcPr>
          <w:p w14:paraId="71CC3BF6"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&lt; 0.001</w:t>
            </w:r>
          </w:p>
        </w:tc>
        <w:tc>
          <w:tcPr>
            <w:tcW w:w="1416" w:type="dxa"/>
            <w:vMerge w:val="restart"/>
          </w:tcPr>
          <w:p w14:paraId="43253185"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Significant</w:t>
            </w:r>
          </w:p>
        </w:tc>
      </w:tr>
      <w:tr w:rsidR="00DE6AF1" w:rsidRPr="001254BF" w14:paraId="52E4AFB8" w14:textId="77777777" w:rsidTr="0014377D">
        <w:tc>
          <w:tcPr>
            <w:tcW w:w="1417" w:type="dxa"/>
          </w:tcPr>
          <w:p w14:paraId="114DE2B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Private</w:t>
            </w:r>
          </w:p>
        </w:tc>
        <w:tc>
          <w:tcPr>
            <w:tcW w:w="1205" w:type="dxa"/>
          </w:tcPr>
          <w:p w14:paraId="73FF850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283</w:t>
            </w:r>
          </w:p>
        </w:tc>
        <w:tc>
          <w:tcPr>
            <w:tcW w:w="1252" w:type="dxa"/>
          </w:tcPr>
          <w:p w14:paraId="2C9F7C1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67.54</w:t>
            </w:r>
          </w:p>
        </w:tc>
        <w:tc>
          <w:tcPr>
            <w:tcW w:w="1223" w:type="dxa"/>
          </w:tcPr>
          <w:p w14:paraId="7D6865A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7.74</w:t>
            </w:r>
          </w:p>
        </w:tc>
        <w:tc>
          <w:tcPr>
            <w:tcW w:w="1249" w:type="dxa"/>
            <w:vMerge/>
          </w:tcPr>
          <w:p w14:paraId="2911B08F"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26AF2A9A" w14:textId="77777777" w:rsidR="00DE6AF1" w:rsidRPr="001254BF" w:rsidRDefault="00DE6AF1" w:rsidP="00047128">
            <w:pPr>
              <w:jc w:val="both"/>
              <w:rPr>
                <w:rFonts w:ascii="Arial" w:eastAsia="Calibri" w:hAnsi="Arial" w:cs="Arial"/>
                <w:bCs/>
                <w:sz w:val="20"/>
                <w:szCs w:val="20"/>
                <w:lang w:eastAsia="en-IN" w:bidi="hi-IN"/>
              </w:rPr>
            </w:pPr>
          </w:p>
        </w:tc>
        <w:tc>
          <w:tcPr>
            <w:tcW w:w="1416" w:type="dxa"/>
            <w:vMerge/>
          </w:tcPr>
          <w:p w14:paraId="290228D1" w14:textId="77777777" w:rsidR="00DE6AF1" w:rsidRPr="001254BF" w:rsidRDefault="00DE6AF1" w:rsidP="00047128">
            <w:pPr>
              <w:jc w:val="both"/>
              <w:rPr>
                <w:rFonts w:ascii="Arial" w:eastAsia="Calibri" w:hAnsi="Arial" w:cs="Arial"/>
                <w:bCs/>
                <w:sz w:val="20"/>
                <w:szCs w:val="20"/>
                <w:lang w:eastAsia="en-IN" w:bidi="hi-IN"/>
              </w:rPr>
            </w:pPr>
          </w:p>
        </w:tc>
      </w:tr>
    </w:tbl>
    <w:p w14:paraId="2A35FEDC"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227+283-2=508</w:t>
      </w:r>
    </w:p>
    <w:p w14:paraId="747F0FAA"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Students (N=227) is 69.83 with a Standard Deviation of 7.42, whereas the mean score of the Private Senior Secondary School Students (N=283) is 67.54 with a standard deviation of 7.74. This indicates that, on average, the Government school students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Private school students. To determine whether the difference in the mean score is statistically significant, an independent sample t-test was applied. The obtained t-value is 3.51 at 508 degrees of freedom, P-value at 0.05 significance level is 0.001. Since the obtained p-value is less than the significance level (α = 0.05), the difference in effectiveness between the two groups is statistically significant at the 0.05 level.</w:t>
      </w:r>
    </w:p>
    <w:p w14:paraId="4988F37B"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Although government school students' effectiveness showed slightly higher mean scores, the difference was statistically significant. The null hypothesis is rejected. This means that government school students perceive online learning strategies to be significantly more effective than their private school counterparts. Both government and private school students show statistically different levels of acceptance and perception of online learning. This shows continuous adaptation of technology-enabled education in different school sectors and education streams.</w:t>
      </w:r>
    </w:p>
    <w:p w14:paraId="25F17FF0" w14:textId="46B5657B"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Table </w:t>
      </w:r>
      <w:r w:rsidR="007B3D03">
        <w:rPr>
          <w:rFonts w:ascii="Arial" w:eastAsia="Calibri" w:hAnsi="Arial" w:cs="Arial"/>
          <w:bCs/>
          <w:sz w:val="20"/>
          <w:szCs w:val="20"/>
          <w:lang w:eastAsia="en-IN" w:bidi="hi-IN"/>
        </w:rPr>
        <w:t>8</w:t>
      </w:r>
      <w:r w:rsidRPr="001254BF">
        <w:rPr>
          <w:rFonts w:ascii="Arial" w:eastAsia="Calibri" w:hAnsi="Arial" w:cs="Arial"/>
          <w:bCs/>
          <w:sz w:val="20"/>
          <w:szCs w:val="20"/>
          <w:lang w:eastAsia="en-IN" w:bidi="hi-IN"/>
        </w:rPr>
        <w:t>: Effectiveness of online learning strategies as perceived by Male and Female students of at Govt Senior Secondary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216"/>
        <w:gridCol w:w="1259"/>
        <w:gridCol w:w="1233"/>
        <w:gridCol w:w="1256"/>
        <w:gridCol w:w="1261"/>
        <w:gridCol w:w="1416"/>
      </w:tblGrid>
      <w:tr w:rsidR="00DE6AF1" w:rsidRPr="001254BF" w14:paraId="702A61BF" w14:textId="77777777" w:rsidTr="0014377D">
        <w:tc>
          <w:tcPr>
            <w:tcW w:w="1375" w:type="dxa"/>
          </w:tcPr>
          <w:p w14:paraId="3CC5F44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Gender</w:t>
            </w:r>
          </w:p>
        </w:tc>
        <w:tc>
          <w:tcPr>
            <w:tcW w:w="1216" w:type="dxa"/>
          </w:tcPr>
          <w:p w14:paraId="113821D4"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9" w:type="dxa"/>
          </w:tcPr>
          <w:p w14:paraId="31768F0B"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33" w:type="dxa"/>
          </w:tcPr>
          <w:p w14:paraId="2C5A6859"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6" w:type="dxa"/>
          </w:tcPr>
          <w:p w14:paraId="2361DF86"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61" w:type="dxa"/>
          </w:tcPr>
          <w:p w14:paraId="7CC8CC33"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16" w:type="dxa"/>
          </w:tcPr>
          <w:p w14:paraId="3E4ECD65"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768DF4A2" w14:textId="77777777" w:rsidTr="0014377D">
        <w:tc>
          <w:tcPr>
            <w:tcW w:w="1375" w:type="dxa"/>
          </w:tcPr>
          <w:p w14:paraId="24F4D63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Male</w:t>
            </w:r>
          </w:p>
        </w:tc>
        <w:tc>
          <w:tcPr>
            <w:tcW w:w="1216" w:type="dxa"/>
          </w:tcPr>
          <w:p w14:paraId="5FCB09A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110</w:t>
            </w:r>
          </w:p>
        </w:tc>
        <w:tc>
          <w:tcPr>
            <w:tcW w:w="1259" w:type="dxa"/>
          </w:tcPr>
          <w:p w14:paraId="0B3ED17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69.30</w:t>
            </w:r>
          </w:p>
        </w:tc>
        <w:tc>
          <w:tcPr>
            <w:tcW w:w="1233" w:type="dxa"/>
          </w:tcPr>
          <w:p w14:paraId="03F6B51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7.74</w:t>
            </w:r>
          </w:p>
        </w:tc>
        <w:tc>
          <w:tcPr>
            <w:tcW w:w="1256" w:type="dxa"/>
            <w:vMerge w:val="restart"/>
          </w:tcPr>
          <w:p w14:paraId="2A8E450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1.04</w:t>
            </w:r>
          </w:p>
        </w:tc>
        <w:tc>
          <w:tcPr>
            <w:tcW w:w="1261" w:type="dxa"/>
            <w:vMerge w:val="restart"/>
          </w:tcPr>
          <w:p w14:paraId="2EFA887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0.2982</w:t>
            </w:r>
          </w:p>
        </w:tc>
        <w:tc>
          <w:tcPr>
            <w:tcW w:w="1416" w:type="dxa"/>
            <w:vMerge w:val="restart"/>
          </w:tcPr>
          <w:p w14:paraId="5C52FBA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36FBE5AE" w14:textId="77777777" w:rsidTr="0014377D">
        <w:tc>
          <w:tcPr>
            <w:tcW w:w="1375" w:type="dxa"/>
          </w:tcPr>
          <w:p w14:paraId="3EEEF46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Female</w:t>
            </w:r>
          </w:p>
        </w:tc>
        <w:tc>
          <w:tcPr>
            <w:tcW w:w="1216" w:type="dxa"/>
          </w:tcPr>
          <w:p w14:paraId="70239997"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117</w:t>
            </w:r>
          </w:p>
        </w:tc>
        <w:tc>
          <w:tcPr>
            <w:tcW w:w="1259" w:type="dxa"/>
          </w:tcPr>
          <w:p w14:paraId="20C8253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70.32</w:t>
            </w:r>
          </w:p>
        </w:tc>
        <w:tc>
          <w:tcPr>
            <w:tcW w:w="1233" w:type="dxa"/>
          </w:tcPr>
          <w:p w14:paraId="3947EC5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7.07</w:t>
            </w:r>
          </w:p>
        </w:tc>
        <w:tc>
          <w:tcPr>
            <w:tcW w:w="1256" w:type="dxa"/>
            <w:vMerge/>
          </w:tcPr>
          <w:p w14:paraId="1743BFFF" w14:textId="77777777" w:rsidR="00DE6AF1" w:rsidRPr="001254BF" w:rsidRDefault="00DE6AF1" w:rsidP="00047128">
            <w:pPr>
              <w:jc w:val="both"/>
              <w:rPr>
                <w:rFonts w:ascii="Arial" w:eastAsia="Calibri" w:hAnsi="Arial" w:cs="Arial"/>
                <w:bCs/>
                <w:sz w:val="20"/>
                <w:szCs w:val="20"/>
                <w:lang w:eastAsia="en-IN" w:bidi="hi-IN"/>
              </w:rPr>
            </w:pPr>
          </w:p>
        </w:tc>
        <w:tc>
          <w:tcPr>
            <w:tcW w:w="1261" w:type="dxa"/>
            <w:vMerge/>
          </w:tcPr>
          <w:p w14:paraId="1D29580E" w14:textId="77777777" w:rsidR="00DE6AF1" w:rsidRPr="001254BF" w:rsidRDefault="00DE6AF1" w:rsidP="00047128">
            <w:pPr>
              <w:jc w:val="both"/>
              <w:rPr>
                <w:rFonts w:ascii="Arial" w:eastAsia="Calibri" w:hAnsi="Arial" w:cs="Arial"/>
                <w:bCs/>
                <w:sz w:val="20"/>
                <w:szCs w:val="20"/>
                <w:lang w:eastAsia="en-IN" w:bidi="hi-IN"/>
              </w:rPr>
            </w:pPr>
          </w:p>
        </w:tc>
        <w:tc>
          <w:tcPr>
            <w:tcW w:w="1416" w:type="dxa"/>
            <w:vMerge/>
          </w:tcPr>
          <w:p w14:paraId="5623D053" w14:textId="77777777" w:rsidR="00DE6AF1" w:rsidRPr="001254BF" w:rsidRDefault="00DE6AF1" w:rsidP="00047128">
            <w:pPr>
              <w:jc w:val="both"/>
              <w:rPr>
                <w:rFonts w:ascii="Arial" w:eastAsia="Calibri" w:hAnsi="Arial" w:cs="Arial"/>
                <w:bCs/>
                <w:sz w:val="20"/>
                <w:szCs w:val="20"/>
                <w:lang w:eastAsia="en-IN" w:bidi="hi-IN"/>
              </w:rPr>
            </w:pPr>
          </w:p>
        </w:tc>
      </w:tr>
    </w:tbl>
    <w:p w14:paraId="78A722C4" w14:textId="77777777" w:rsidR="00DE6AF1" w:rsidRPr="001254BF" w:rsidRDefault="00DE6AF1" w:rsidP="00DE6AF1">
      <w:pPr>
        <w:rPr>
          <w:rFonts w:ascii="Arial" w:eastAsia="Calibri" w:hAnsi="Arial" w:cs="Arial"/>
          <w:bCs/>
          <w:sz w:val="20"/>
          <w:szCs w:val="20"/>
          <w:lang w:eastAsia="en-IN" w:bidi="hi-IN"/>
        </w:rPr>
      </w:pPr>
      <w:proofErr w:type="gramStart"/>
      <w:r w:rsidRPr="001254BF">
        <w:rPr>
          <w:rFonts w:ascii="Arial" w:eastAsia="Calibri" w:hAnsi="Arial" w:cs="Arial"/>
          <w:bCs/>
          <w:sz w:val="20"/>
          <w:szCs w:val="20"/>
          <w:lang w:eastAsia="en-IN" w:bidi="hi-IN"/>
        </w:rPr>
        <w:t>df :</w:t>
      </w:r>
      <w:proofErr w:type="gramEnd"/>
      <w:r w:rsidRPr="001254BF">
        <w:rPr>
          <w:rFonts w:ascii="Arial" w:eastAsia="Calibri" w:hAnsi="Arial" w:cs="Arial"/>
          <w:bCs/>
          <w:sz w:val="20"/>
          <w:szCs w:val="20"/>
          <w:lang w:eastAsia="en-IN" w:bidi="hi-IN"/>
        </w:rPr>
        <w:t xml:space="preserve">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110+117-2= 225</w:t>
      </w:r>
    </w:p>
    <w:p w14:paraId="3EEDC23F"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 xml:space="preserve">The mean effectiveness score of the Government Senior Secondary School Male Students (N=110) is 69.30 with a Standard Deviation of 7.74, whereas the mean score of the Govt Senior Secondary School Female Students (N=117) is 70.32 with a standard deviation of 7.07. This indicates that, on average, the Government school Female students exhibit a comparatively more </w:t>
      </w:r>
      <w:proofErr w:type="spellStart"/>
      <w:r w:rsidRPr="001254BF">
        <w:rPr>
          <w:rFonts w:ascii="Arial" w:eastAsia="Calibri" w:hAnsi="Arial" w:cs="Arial"/>
          <w:bCs/>
          <w:sz w:val="20"/>
          <w:szCs w:val="20"/>
          <w:lang w:eastAsia="en-IN" w:bidi="hi-IN"/>
        </w:rPr>
        <w:t>favorable</w:t>
      </w:r>
      <w:proofErr w:type="spellEnd"/>
      <w:r w:rsidRPr="001254BF">
        <w:rPr>
          <w:rFonts w:ascii="Arial" w:eastAsia="Calibri" w:hAnsi="Arial" w:cs="Arial"/>
          <w:bCs/>
          <w:sz w:val="20"/>
          <w:szCs w:val="20"/>
          <w:lang w:eastAsia="en-IN" w:bidi="hi-IN"/>
        </w:rPr>
        <w:t xml:space="preserve"> effectiveness towards online learning than the Government school Male students. To determine whether the difference in the mean score is statistically significant, an independent sample t-test was applied. The obtained t-value is 1.04 at 225 degrees of freedom, P-value at 0.05 significance level is 0.2982. Since the obtained p-value is greater than the significance level (α = 0.05), the difference in effectiveness between the two groups is not statistically significant at the 0.05 level.</w:t>
      </w:r>
    </w:p>
    <w:p w14:paraId="4241CD45"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 xml:space="preserve">Although government school female teachers' effectiveness showed slightly higher mean scores, the difference was not statistically significant. The null hypothesis is accepted. This indicates that school student type (Male vs Female) does not significantly influence male and female students' effectiveness towards online learning strategies. Both male and female students of government schools show statistically similar levels of acceptance and perception of online learning strategies. This shows </w:t>
      </w:r>
      <w:r w:rsidRPr="001254BF">
        <w:rPr>
          <w:rFonts w:ascii="Arial" w:eastAsia="Calibri" w:hAnsi="Arial" w:cs="Arial"/>
          <w:bCs/>
          <w:sz w:val="20"/>
          <w:szCs w:val="20"/>
          <w:lang w:eastAsia="en-IN" w:bidi="hi-IN"/>
        </w:rPr>
        <w:lastRenderedPageBreak/>
        <w:t>continuous adaptation of technology-enabled education in different school sectors and education streams.</w:t>
      </w:r>
    </w:p>
    <w:p w14:paraId="716C967F" w14:textId="0C4FD71F" w:rsidR="00DE6AF1" w:rsidRPr="001254BF" w:rsidRDefault="00DE6AF1" w:rsidP="00DE6AF1">
      <w:pPr>
        <w:spacing w:before="24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Table</w:t>
      </w:r>
      <w:r w:rsidR="007B3D03">
        <w:rPr>
          <w:rFonts w:ascii="Arial" w:eastAsia="Calibri" w:hAnsi="Arial" w:cs="Arial"/>
          <w:bCs/>
          <w:sz w:val="20"/>
          <w:szCs w:val="20"/>
          <w:lang w:eastAsia="en-IN" w:bidi="hi-IN"/>
        </w:rPr>
        <w:t xml:space="preserve"> 9</w:t>
      </w:r>
      <w:r w:rsidRPr="001254BF">
        <w:rPr>
          <w:rFonts w:ascii="Arial" w:eastAsia="Calibri" w:hAnsi="Arial" w:cs="Arial"/>
          <w:bCs/>
          <w:sz w:val="20"/>
          <w:szCs w:val="20"/>
          <w:lang w:eastAsia="en-IN" w:bidi="hi-IN"/>
        </w:rPr>
        <w:t>: Effectiveness of online learning strategies as perceived by Male and Female students of Private Senior Secondary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207"/>
        <w:gridCol w:w="1254"/>
        <w:gridCol w:w="1225"/>
        <w:gridCol w:w="1251"/>
        <w:gridCol w:w="1254"/>
        <w:gridCol w:w="1456"/>
      </w:tblGrid>
      <w:tr w:rsidR="00DE6AF1" w:rsidRPr="001254BF" w14:paraId="39E3E4C1" w14:textId="77777777" w:rsidTr="0014377D">
        <w:tc>
          <w:tcPr>
            <w:tcW w:w="1369" w:type="dxa"/>
          </w:tcPr>
          <w:p w14:paraId="6DD67C7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Gender</w:t>
            </w:r>
          </w:p>
        </w:tc>
        <w:tc>
          <w:tcPr>
            <w:tcW w:w="1207" w:type="dxa"/>
          </w:tcPr>
          <w:p w14:paraId="58711A6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1254" w:type="dxa"/>
          </w:tcPr>
          <w:p w14:paraId="060F889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25" w:type="dxa"/>
          </w:tcPr>
          <w:p w14:paraId="1CF6C24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SD</w:t>
            </w:r>
          </w:p>
        </w:tc>
        <w:tc>
          <w:tcPr>
            <w:tcW w:w="1251" w:type="dxa"/>
          </w:tcPr>
          <w:p w14:paraId="4188AA1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t-value</w:t>
            </w:r>
          </w:p>
        </w:tc>
        <w:tc>
          <w:tcPr>
            <w:tcW w:w="1254" w:type="dxa"/>
          </w:tcPr>
          <w:p w14:paraId="32F2DF78"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456" w:type="dxa"/>
          </w:tcPr>
          <w:p w14:paraId="2A73DCA1"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Significance (α=0.05)</w:t>
            </w:r>
          </w:p>
        </w:tc>
      </w:tr>
      <w:tr w:rsidR="00DE6AF1" w:rsidRPr="001254BF" w14:paraId="66EB7CDD" w14:textId="77777777" w:rsidTr="0014377D">
        <w:tc>
          <w:tcPr>
            <w:tcW w:w="1369" w:type="dxa"/>
          </w:tcPr>
          <w:p w14:paraId="76CB98E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Male</w:t>
            </w:r>
          </w:p>
        </w:tc>
        <w:tc>
          <w:tcPr>
            <w:tcW w:w="1207" w:type="dxa"/>
          </w:tcPr>
          <w:p w14:paraId="7BB5B91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143</w:t>
            </w:r>
          </w:p>
        </w:tc>
        <w:tc>
          <w:tcPr>
            <w:tcW w:w="1254" w:type="dxa"/>
          </w:tcPr>
          <w:p w14:paraId="058BC6F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67.89</w:t>
            </w:r>
          </w:p>
        </w:tc>
        <w:tc>
          <w:tcPr>
            <w:tcW w:w="1225" w:type="dxa"/>
          </w:tcPr>
          <w:p w14:paraId="5E5D7A9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7.82</w:t>
            </w:r>
          </w:p>
        </w:tc>
        <w:tc>
          <w:tcPr>
            <w:tcW w:w="1251" w:type="dxa"/>
            <w:vMerge w:val="restart"/>
            <w:vAlign w:val="center"/>
          </w:tcPr>
          <w:p w14:paraId="4335439B"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0.77</w:t>
            </w:r>
          </w:p>
        </w:tc>
        <w:tc>
          <w:tcPr>
            <w:tcW w:w="1254" w:type="dxa"/>
            <w:vMerge w:val="restart"/>
          </w:tcPr>
          <w:p w14:paraId="6D6F6D1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0.4418</w:t>
            </w:r>
          </w:p>
        </w:tc>
        <w:tc>
          <w:tcPr>
            <w:tcW w:w="1456" w:type="dxa"/>
            <w:vMerge w:val="restart"/>
          </w:tcPr>
          <w:p w14:paraId="66B91F1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Not Significant</w:t>
            </w:r>
          </w:p>
        </w:tc>
      </w:tr>
      <w:tr w:rsidR="00DE6AF1" w:rsidRPr="001254BF" w14:paraId="06D76B63" w14:textId="77777777" w:rsidTr="0014377D">
        <w:tc>
          <w:tcPr>
            <w:tcW w:w="1369" w:type="dxa"/>
          </w:tcPr>
          <w:p w14:paraId="7322289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Female</w:t>
            </w:r>
          </w:p>
        </w:tc>
        <w:tc>
          <w:tcPr>
            <w:tcW w:w="1207" w:type="dxa"/>
          </w:tcPr>
          <w:p w14:paraId="007CF25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140</w:t>
            </w:r>
          </w:p>
        </w:tc>
        <w:tc>
          <w:tcPr>
            <w:tcW w:w="1254" w:type="dxa"/>
          </w:tcPr>
          <w:p w14:paraId="5468DAD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67.19</w:t>
            </w:r>
          </w:p>
        </w:tc>
        <w:tc>
          <w:tcPr>
            <w:tcW w:w="1225" w:type="dxa"/>
          </w:tcPr>
          <w:p w14:paraId="559FC2D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7.65</w:t>
            </w:r>
          </w:p>
        </w:tc>
        <w:tc>
          <w:tcPr>
            <w:tcW w:w="1251" w:type="dxa"/>
            <w:vMerge/>
          </w:tcPr>
          <w:p w14:paraId="6D02B6E0" w14:textId="77777777" w:rsidR="00DE6AF1" w:rsidRPr="001254BF" w:rsidRDefault="00DE6AF1" w:rsidP="00047128">
            <w:pPr>
              <w:jc w:val="both"/>
              <w:rPr>
                <w:rFonts w:ascii="Arial" w:eastAsia="Calibri" w:hAnsi="Arial" w:cs="Arial"/>
                <w:bCs/>
                <w:sz w:val="20"/>
                <w:szCs w:val="20"/>
                <w:lang w:eastAsia="en-IN" w:bidi="hi-IN"/>
              </w:rPr>
            </w:pPr>
          </w:p>
        </w:tc>
        <w:tc>
          <w:tcPr>
            <w:tcW w:w="1254" w:type="dxa"/>
            <w:vMerge/>
          </w:tcPr>
          <w:p w14:paraId="1C2EAA7C" w14:textId="77777777" w:rsidR="00DE6AF1" w:rsidRPr="001254BF" w:rsidRDefault="00DE6AF1" w:rsidP="00047128">
            <w:pPr>
              <w:jc w:val="both"/>
              <w:rPr>
                <w:rFonts w:ascii="Arial" w:eastAsia="Calibri" w:hAnsi="Arial" w:cs="Arial"/>
                <w:bCs/>
                <w:sz w:val="20"/>
                <w:szCs w:val="20"/>
                <w:lang w:eastAsia="en-IN" w:bidi="hi-IN"/>
              </w:rPr>
            </w:pPr>
          </w:p>
        </w:tc>
        <w:tc>
          <w:tcPr>
            <w:tcW w:w="1456" w:type="dxa"/>
            <w:vMerge/>
          </w:tcPr>
          <w:p w14:paraId="454F1B4E" w14:textId="77777777" w:rsidR="00DE6AF1" w:rsidRPr="001254BF" w:rsidRDefault="00DE6AF1" w:rsidP="00047128">
            <w:pPr>
              <w:jc w:val="both"/>
              <w:rPr>
                <w:rFonts w:ascii="Arial" w:eastAsia="Calibri" w:hAnsi="Arial" w:cs="Arial"/>
                <w:bCs/>
                <w:sz w:val="20"/>
                <w:szCs w:val="20"/>
                <w:lang w:eastAsia="en-IN" w:bidi="hi-IN"/>
              </w:rPr>
            </w:pPr>
          </w:p>
        </w:tc>
      </w:tr>
    </w:tbl>
    <w:p w14:paraId="113F6599" w14:textId="77777777"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df: N</w:t>
      </w:r>
      <w:r w:rsidRPr="001254BF">
        <w:rPr>
          <w:rFonts w:ascii="Arial" w:eastAsia="Calibri" w:hAnsi="Arial" w:cs="Arial"/>
          <w:bCs/>
          <w:sz w:val="20"/>
          <w:szCs w:val="20"/>
          <w:vertAlign w:val="subscript"/>
          <w:lang w:eastAsia="en-IN" w:bidi="hi-IN"/>
        </w:rPr>
        <w:t>1</w:t>
      </w:r>
      <w:r w:rsidRPr="001254BF">
        <w:rPr>
          <w:rFonts w:ascii="Arial" w:eastAsia="Calibri" w:hAnsi="Arial" w:cs="Arial"/>
          <w:bCs/>
          <w:sz w:val="20"/>
          <w:szCs w:val="20"/>
          <w:lang w:eastAsia="en-IN" w:bidi="hi-IN"/>
        </w:rPr>
        <w:t>+N</w:t>
      </w:r>
      <w:r w:rsidRPr="001254BF">
        <w:rPr>
          <w:rFonts w:ascii="Arial" w:eastAsia="Calibri" w:hAnsi="Arial" w:cs="Arial"/>
          <w:bCs/>
          <w:sz w:val="20"/>
          <w:szCs w:val="20"/>
          <w:vertAlign w:val="subscript"/>
          <w:lang w:eastAsia="en-IN" w:bidi="hi-IN"/>
        </w:rPr>
        <w:t>2</w:t>
      </w:r>
      <w:r w:rsidRPr="001254BF">
        <w:rPr>
          <w:rFonts w:ascii="Arial" w:eastAsia="Calibri" w:hAnsi="Arial" w:cs="Arial"/>
          <w:bCs/>
          <w:sz w:val="20"/>
          <w:szCs w:val="20"/>
          <w:lang w:eastAsia="en-IN" w:bidi="hi-IN"/>
        </w:rPr>
        <w:t xml:space="preserve"> - 2 = 143+140 – 2= 281</w:t>
      </w:r>
    </w:p>
    <w:p w14:paraId="48294DA3" w14:textId="5F7D7861" w:rsidR="00DE6AF1" w:rsidRPr="001254BF" w:rsidRDefault="00DE6AF1" w:rsidP="00DE6AF1">
      <w:pPr>
        <w:spacing w:after="0" w:line="240" w:lineRule="auto"/>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 xml:space="preserve">The mean effectiveness score of the Private Senior Secondary School Male Students (N=143) is 67.89 with a Standard Deviation of 7.82, whereas the mean score of the Private Senior Secondary School Female Students (N=140) is 67.19 with a standard deviation of 7.65. This indicates that, on average, the Private school Male students exhibit a comparatively more </w:t>
      </w:r>
      <w:r w:rsidR="002F0B9C">
        <w:rPr>
          <w:rFonts w:ascii="Arial" w:eastAsia="Calibri" w:hAnsi="Arial" w:cs="Arial"/>
          <w:bCs/>
          <w:sz w:val="20"/>
          <w:szCs w:val="20"/>
          <w:lang w:eastAsia="en-IN" w:bidi="hi-IN"/>
        </w:rPr>
        <w:t>favourable</w:t>
      </w:r>
      <w:r w:rsidRPr="001254BF">
        <w:rPr>
          <w:rFonts w:ascii="Arial" w:eastAsia="Calibri" w:hAnsi="Arial" w:cs="Arial"/>
          <w:bCs/>
          <w:sz w:val="20"/>
          <w:szCs w:val="20"/>
          <w:lang w:eastAsia="en-IN" w:bidi="hi-IN"/>
        </w:rPr>
        <w:t xml:space="preserve"> effectiveness towards online learning than the Private school Female students. To determine whether the difference in the mean score is statistically significant, an independent sample t-test was applied. The obtained t-value is 0.77 at 281 degrees of freedom, P-value at 0.05 significance level is 0.4418. Since the obtained p-value is greater than the significance level (α = 0.05), the difference in effectiveness between the two groups is not statistically significant at the 0.05 level.</w:t>
      </w:r>
    </w:p>
    <w:p w14:paraId="739442C0" w14:textId="1DB38983" w:rsidR="00DE6AF1" w:rsidRPr="001254BF" w:rsidRDefault="00DE6AF1" w:rsidP="00DE6AF1">
      <w:pPr>
        <w:tabs>
          <w:tab w:val="left" w:pos="2307"/>
        </w:tabs>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br/>
        <w:t xml:space="preserve">Although private school Male students' effectiveness showed slightly higher mean scores, the difference was not statistically significant. The null hypothesis is accepted. This indicates that school student type (Male vs Female) does not significantly influence male and female students' effectiveness towards online learning strategies. Both male and female students of </w:t>
      </w:r>
      <w:r w:rsidR="002F0B9C">
        <w:rPr>
          <w:rFonts w:ascii="Arial" w:eastAsia="Calibri" w:hAnsi="Arial" w:cs="Arial"/>
          <w:bCs/>
          <w:sz w:val="20"/>
          <w:szCs w:val="20"/>
          <w:lang w:eastAsia="en-IN" w:bidi="hi-IN"/>
        </w:rPr>
        <w:t xml:space="preserve">a </w:t>
      </w:r>
      <w:r w:rsidRPr="001254BF">
        <w:rPr>
          <w:rFonts w:ascii="Arial" w:eastAsia="Calibri" w:hAnsi="Arial" w:cs="Arial"/>
          <w:bCs/>
          <w:sz w:val="20"/>
          <w:szCs w:val="20"/>
          <w:lang w:eastAsia="en-IN" w:bidi="hi-IN"/>
        </w:rPr>
        <w:t>private school show statistically similar levels of acceptance and perception of online learning strategies. This shows continuous adaptation of technology-enabled education in different school sectors and education streams.</w:t>
      </w:r>
    </w:p>
    <w:p w14:paraId="19D1A61B" w14:textId="7FA3694F" w:rsidR="00DE6AF1" w:rsidRPr="001254BF" w:rsidRDefault="00DE6AF1" w:rsidP="00DE6AF1">
      <w:pPr>
        <w:tabs>
          <w:tab w:val="left" w:pos="2307"/>
        </w:tabs>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Table</w:t>
      </w:r>
      <w:r w:rsidR="009174DA">
        <w:rPr>
          <w:rFonts w:ascii="Arial" w:eastAsia="Calibri" w:hAnsi="Arial" w:cs="Arial"/>
          <w:bCs/>
          <w:sz w:val="20"/>
          <w:szCs w:val="20"/>
          <w:lang w:eastAsia="en-IN" w:bidi="hi-IN"/>
        </w:rPr>
        <w:t xml:space="preserve"> 10</w:t>
      </w:r>
      <w:r w:rsidRPr="001254BF">
        <w:rPr>
          <w:rFonts w:ascii="Arial" w:eastAsia="Calibri" w:hAnsi="Arial" w:cs="Arial"/>
          <w:bCs/>
          <w:sz w:val="20"/>
          <w:szCs w:val="20"/>
          <w:lang w:eastAsia="en-IN" w:bidi="hi-IN"/>
        </w:rPr>
        <w:t>: Effectiveness of Senior Secondary School Students Stream-wise Towards Online Learning (ANOVA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1159"/>
        <w:gridCol w:w="952"/>
        <w:gridCol w:w="1123"/>
        <w:gridCol w:w="1257"/>
        <w:gridCol w:w="1123"/>
        <w:gridCol w:w="1078"/>
      </w:tblGrid>
      <w:tr w:rsidR="00DE6AF1" w:rsidRPr="001254BF" w14:paraId="2DAC068D" w14:textId="77777777" w:rsidTr="0014377D">
        <w:trPr>
          <w:trHeight w:val="288"/>
          <w:jc w:val="center"/>
        </w:trPr>
        <w:tc>
          <w:tcPr>
            <w:tcW w:w="2340" w:type="dxa"/>
            <w:noWrap/>
            <w:hideMark/>
          </w:tcPr>
          <w:p w14:paraId="1ADE1215"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Sr. Sec. School Students</w:t>
            </w:r>
          </w:p>
        </w:tc>
        <w:tc>
          <w:tcPr>
            <w:tcW w:w="1116" w:type="dxa"/>
            <w:noWrap/>
            <w:hideMark/>
          </w:tcPr>
          <w:p w14:paraId="546872E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N</w:t>
            </w:r>
          </w:p>
        </w:tc>
        <w:tc>
          <w:tcPr>
            <w:tcW w:w="954" w:type="dxa"/>
            <w:noWrap/>
            <w:hideMark/>
          </w:tcPr>
          <w:p w14:paraId="460D5931"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Sum</w:t>
            </w:r>
          </w:p>
        </w:tc>
        <w:tc>
          <w:tcPr>
            <w:tcW w:w="1125" w:type="dxa"/>
            <w:noWrap/>
            <w:hideMark/>
          </w:tcPr>
          <w:p w14:paraId="09239302"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Mean</w:t>
            </w:r>
          </w:p>
        </w:tc>
        <w:tc>
          <w:tcPr>
            <w:tcW w:w="1260" w:type="dxa"/>
            <w:noWrap/>
            <w:hideMark/>
          </w:tcPr>
          <w:p w14:paraId="34CB5DEA"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Variance</w:t>
            </w:r>
          </w:p>
        </w:tc>
        <w:tc>
          <w:tcPr>
            <w:tcW w:w="1125" w:type="dxa"/>
            <w:noWrap/>
            <w:hideMark/>
          </w:tcPr>
          <w:p w14:paraId="78DE9799"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0E6AAE43"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1A48DC53" w14:textId="77777777" w:rsidTr="0014377D">
        <w:trPr>
          <w:trHeight w:val="288"/>
          <w:jc w:val="center"/>
        </w:trPr>
        <w:tc>
          <w:tcPr>
            <w:tcW w:w="2340" w:type="dxa"/>
            <w:noWrap/>
            <w:hideMark/>
          </w:tcPr>
          <w:p w14:paraId="3B840A4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Science</w:t>
            </w:r>
          </w:p>
        </w:tc>
        <w:tc>
          <w:tcPr>
            <w:tcW w:w="1116" w:type="dxa"/>
            <w:noWrap/>
          </w:tcPr>
          <w:p w14:paraId="538AB1A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132</w:t>
            </w:r>
          </w:p>
        </w:tc>
        <w:tc>
          <w:tcPr>
            <w:tcW w:w="954" w:type="dxa"/>
            <w:noWrap/>
          </w:tcPr>
          <w:p w14:paraId="0ACD996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6996</w:t>
            </w:r>
          </w:p>
        </w:tc>
        <w:tc>
          <w:tcPr>
            <w:tcW w:w="1125" w:type="dxa"/>
            <w:noWrap/>
          </w:tcPr>
          <w:p w14:paraId="0C81C59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53.00</w:t>
            </w:r>
          </w:p>
        </w:tc>
        <w:tc>
          <w:tcPr>
            <w:tcW w:w="1260" w:type="dxa"/>
            <w:noWrap/>
          </w:tcPr>
          <w:p w14:paraId="6985801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164.11</w:t>
            </w:r>
          </w:p>
        </w:tc>
        <w:tc>
          <w:tcPr>
            <w:tcW w:w="1125" w:type="dxa"/>
            <w:noWrap/>
            <w:hideMark/>
          </w:tcPr>
          <w:p w14:paraId="41904E45"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58178B53"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4601C0CE" w14:textId="77777777" w:rsidTr="0014377D">
        <w:trPr>
          <w:trHeight w:val="288"/>
          <w:jc w:val="center"/>
        </w:trPr>
        <w:tc>
          <w:tcPr>
            <w:tcW w:w="2340" w:type="dxa"/>
            <w:noWrap/>
            <w:hideMark/>
          </w:tcPr>
          <w:p w14:paraId="7839289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Arts</w:t>
            </w:r>
          </w:p>
        </w:tc>
        <w:tc>
          <w:tcPr>
            <w:tcW w:w="1116" w:type="dxa"/>
            <w:noWrap/>
          </w:tcPr>
          <w:p w14:paraId="43D69A1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171</w:t>
            </w:r>
          </w:p>
        </w:tc>
        <w:tc>
          <w:tcPr>
            <w:tcW w:w="954" w:type="dxa"/>
            <w:noWrap/>
          </w:tcPr>
          <w:p w14:paraId="1AE26CF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9179</w:t>
            </w:r>
          </w:p>
        </w:tc>
        <w:tc>
          <w:tcPr>
            <w:tcW w:w="1125" w:type="dxa"/>
            <w:noWrap/>
          </w:tcPr>
          <w:p w14:paraId="7B7A852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53.68</w:t>
            </w:r>
          </w:p>
        </w:tc>
        <w:tc>
          <w:tcPr>
            <w:tcW w:w="1260" w:type="dxa"/>
            <w:noWrap/>
          </w:tcPr>
          <w:p w14:paraId="265267E8"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110.70</w:t>
            </w:r>
          </w:p>
        </w:tc>
        <w:tc>
          <w:tcPr>
            <w:tcW w:w="1125" w:type="dxa"/>
            <w:noWrap/>
            <w:hideMark/>
          </w:tcPr>
          <w:p w14:paraId="4269012E"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515F09A4"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02126EB0" w14:textId="77777777" w:rsidTr="0014377D">
        <w:trPr>
          <w:trHeight w:val="288"/>
          <w:jc w:val="center"/>
        </w:trPr>
        <w:tc>
          <w:tcPr>
            <w:tcW w:w="2340" w:type="dxa"/>
            <w:noWrap/>
            <w:hideMark/>
          </w:tcPr>
          <w:p w14:paraId="4C4E6BB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Commerce</w:t>
            </w:r>
          </w:p>
        </w:tc>
        <w:tc>
          <w:tcPr>
            <w:tcW w:w="1116" w:type="dxa"/>
            <w:noWrap/>
          </w:tcPr>
          <w:p w14:paraId="77870CE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107</w:t>
            </w:r>
          </w:p>
        </w:tc>
        <w:tc>
          <w:tcPr>
            <w:tcW w:w="954" w:type="dxa"/>
            <w:noWrap/>
          </w:tcPr>
          <w:p w14:paraId="130676A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5963</w:t>
            </w:r>
          </w:p>
        </w:tc>
        <w:tc>
          <w:tcPr>
            <w:tcW w:w="1125" w:type="dxa"/>
            <w:noWrap/>
          </w:tcPr>
          <w:p w14:paraId="7A018BE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55.73</w:t>
            </w:r>
          </w:p>
        </w:tc>
        <w:tc>
          <w:tcPr>
            <w:tcW w:w="1260" w:type="dxa"/>
            <w:noWrap/>
          </w:tcPr>
          <w:p w14:paraId="2860E41A"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148.41</w:t>
            </w:r>
          </w:p>
        </w:tc>
        <w:tc>
          <w:tcPr>
            <w:tcW w:w="1125" w:type="dxa"/>
            <w:noWrap/>
            <w:hideMark/>
          </w:tcPr>
          <w:p w14:paraId="281B8281"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426A4629"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26F4E4E0" w14:textId="77777777" w:rsidTr="0014377D">
        <w:trPr>
          <w:trHeight w:val="300"/>
          <w:jc w:val="center"/>
        </w:trPr>
        <w:tc>
          <w:tcPr>
            <w:tcW w:w="2340" w:type="dxa"/>
            <w:noWrap/>
            <w:hideMark/>
          </w:tcPr>
          <w:p w14:paraId="182CF69C"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Agriculture</w:t>
            </w:r>
          </w:p>
        </w:tc>
        <w:tc>
          <w:tcPr>
            <w:tcW w:w="1116" w:type="dxa"/>
            <w:noWrap/>
          </w:tcPr>
          <w:p w14:paraId="0FFD79A5"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120</w:t>
            </w:r>
          </w:p>
        </w:tc>
        <w:tc>
          <w:tcPr>
            <w:tcW w:w="954" w:type="dxa"/>
            <w:noWrap/>
          </w:tcPr>
          <w:p w14:paraId="0A30778D"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6785</w:t>
            </w:r>
          </w:p>
        </w:tc>
        <w:tc>
          <w:tcPr>
            <w:tcW w:w="1125" w:type="dxa"/>
            <w:noWrap/>
          </w:tcPr>
          <w:p w14:paraId="0067101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56.54</w:t>
            </w:r>
          </w:p>
        </w:tc>
        <w:tc>
          <w:tcPr>
            <w:tcW w:w="1260" w:type="dxa"/>
            <w:noWrap/>
          </w:tcPr>
          <w:p w14:paraId="0CE0770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90.37</w:t>
            </w:r>
          </w:p>
        </w:tc>
        <w:tc>
          <w:tcPr>
            <w:tcW w:w="1125" w:type="dxa"/>
            <w:noWrap/>
            <w:hideMark/>
          </w:tcPr>
          <w:p w14:paraId="1A4418E0" w14:textId="77777777" w:rsidR="00DE6AF1" w:rsidRPr="001254BF" w:rsidRDefault="00DE6AF1" w:rsidP="00047128">
            <w:pPr>
              <w:jc w:val="both"/>
              <w:rPr>
                <w:rFonts w:ascii="Arial" w:eastAsia="Calibri" w:hAnsi="Arial" w:cs="Arial"/>
                <w:b/>
                <w:sz w:val="20"/>
                <w:szCs w:val="20"/>
                <w:lang w:eastAsia="en-IN" w:bidi="hi-IN"/>
              </w:rPr>
            </w:pPr>
          </w:p>
        </w:tc>
        <w:tc>
          <w:tcPr>
            <w:tcW w:w="1080" w:type="dxa"/>
            <w:noWrap/>
            <w:hideMark/>
          </w:tcPr>
          <w:p w14:paraId="417B017D" w14:textId="77777777" w:rsidR="00DE6AF1" w:rsidRPr="001254BF" w:rsidRDefault="00DE6AF1" w:rsidP="00047128">
            <w:pPr>
              <w:jc w:val="both"/>
              <w:rPr>
                <w:rFonts w:ascii="Arial" w:eastAsia="Calibri" w:hAnsi="Arial" w:cs="Arial"/>
                <w:b/>
                <w:sz w:val="20"/>
                <w:szCs w:val="20"/>
                <w:lang w:eastAsia="en-IN" w:bidi="hi-IN"/>
              </w:rPr>
            </w:pPr>
          </w:p>
        </w:tc>
      </w:tr>
      <w:tr w:rsidR="00DE6AF1" w:rsidRPr="001254BF" w14:paraId="7B7EBA38" w14:textId="77777777" w:rsidTr="0014377D">
        <w:trPr>
          <w:trHeight w:val="288"/>
          <w:jc w:val="center"/>
        </w:trPr>
        <w:tc>
          <w:tcPr>
            <w:tcW w:w="2340" w:type="dxa"/>
            <w:noWrap/>
            <w:hideMark/>
          </w:tcPr>
          <w:p w14:paraId="1BFD3A0C" w14:textId="77777777" w:rsidR="00DE6AF1" w:rsidRPr="001254BF" w:rsidRDefault="00DE6AF1" w:rsidP="00047128">
            <w:pPr>
              <w:jc w:val="both"/>
              <w:rPr>
                <w:rFonts w:ascii="Arial" w:eastAsia="Calibri" w:hAnsi="Arial" w:cs="Arial"/>
                <w:b/>
                <w:sz w:val="20"/>
                <w:szCs w:val="20"/>
                <w:lang w:eastAsia="en-IN" w:bidi="hi-IN"/>
              </w:rPr>
            </w:pPr>
          </w:p>
        </w:tc>
        <w:tc>
          <w:tcPr>
            <w:tcW w:w="1116" w:type="dxa"/>
            <w:noWrap/>
            <w:hideMark/>
          </w:tcPr>
          <w:p w14:paraId="5CA89B93"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954" w:type="dxa"/>
            <w:noWrap/>
            <w:hideMark/>
          </w:tcPr>
          <w:p w14:paraId="4B653F9A"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125" w:type="dxa"/>
            <w:noWrap/>
            <w:hideMark/>
          </w:tcPr>
          <w:p w14:paraId="0645D1B0"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260" w:type="dxa"/>
            <w:noWrap/>
            <w:hideMark/>
          </w:tcPr>
          <w:p w14:paraId="3F89FF24"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125" w:type="dxa"/>
            <w:noWrap/>
            <w:hideMark/>
          </w:tcPr>
          <w:p w14:paraId="2C0DD661" w14:textId="77777777" w:rsidR="00DE6AF1" w:rsidRPr="001254BF" w:rsidRDefault="00DE6AF1" w:rsidP="00047128">
            <w:pPr>
              <w:spacing w:before="240"/>
              <w:jc w:val="both"/>
              <w:rPr>
                <w:rFonts w:ascii="Arial" w:eastAsia="Calibri" w:hAnsi="Arial" w:cs="Arial"/>
                <w:b/>
                <w:sz w:val="20"/>
                <w:szCs w:val="20"/>
                <w:lang w:eastAsia="en-IN" w:bidi="hi-IN"/>
              </w:rPr>
            </w:pPr>
          </w:p>
        </w:tc>
        <w:tc>
          <w:tcPr>
            <w:tcW w:w="1080" w:type="dxa"/>
            <w:noWrap/>
            <w:hideMark/>
          </w:tcPr>
          <w:p w14:paraId="29E619F6" w14:textId="77777777" w:rsidR="00DE6AF1" w:rsidRPr="001254BF" w:rsidRDefault="00DE6AF1" w:rsidP="00047128">
            <w:pPr>
              <w:spacing w:before="240"/>
              <w:jc w:val="both"/>
              <w:rPr>
                <w:rFonts w:ascii="Arial" w:eastAsia="Calibri" w:hAnsi="Arial" w:cs="Arial"/>
                <w:b/>
                <w:sz w:val="20"/>
                <w:szCs w:val="20"/>
                <w:lang w:eastAsia="en-IN" w:bidi="hi-IN"/>
              </w:rPr>
            </w:pPr>
          </w:p>
        </w:tc>
      </w:tr>
      <w:tr w:rsidR="00DE6AF1" w:rsidRPr="001254BF" w14:paraId="2AD6A953" w14:textId="77777777" w:rsidTr="0014377D">
        <w:trPr>
          <w:trHeight w:val="288"/>
          <w:jc w:val="center"/>
        </w:trPr>
        <w:tc>
          <w:tcPr>
            <w:tcW w:w="2340" w:type="dxa"/>
            <w:noWrap/>
            <w:hideMark/>
          </w:tcPr>
          <w:p w14:paraId="47BAFDF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Source of Variation</w:t>
            </w:r>
          </w:p>
        </w:tc>
        <w:tc>
          <w:tcPr>
            <w:tcW w:w="1116" w:type="dxa"/>
            <w:noWrap/>
            <w:hideMark/>
          </w:tcPr>
          <w:p w14:paraId="6BADBDE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SS</w:t>
            </w:r>
          </w:p>
        </w:tc>
        <w:tc>
          <w:tcPr>
            <w:tcW w:w="954" w:type="dxa"/>
            <w:noWrap/>
            <w:hideMark/>
          </w:tcPr>
          <w:p w14:paraId="035A2FB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df</w:t>
            </w:r>
          </w:p>
        </w:tc>
        <w:tc>
          <w:tcPr>
            <w:tcW w:w="1125" w:type="dxa"/>
            <w:noWrap/>
            <w:hideMark/>
          </w:tcPr>
          <w:p w14:paraId="35E54457"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MS</w:t>
            </w:r>
          </w:p>
        </w:tc>
        <w:tc>
          <w:tcPr>
            <w:tcW w:w="1260" w:type="dxa"/>
            <w:noWrap/>
            <w:hideMark/>
          </w:tcPr>
          <w:p w14:paraId="377B94AC"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F</w:t>
            </w:r>
          </w:p>
        </w:tc>
        <w:tc>
          <w:tcPr>
            <w:tcW w:w="1125" w:type="dxa"/>
            <w:noWrap/>
            <w:hideMark/>
          </w:tcPr>
          <w:p w14:paraId="1B0366E0"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P-value</w:t>
            </w:r>
          </w:p>
        </w:tc>
        <w:tc>
          <w:tcPr>
            <w:tcW w:w="1080" w:type="dxa"/>
            <w:noWrap/>
            <w:hideMark/>
          </w:tcPr>
          <w:p w14:paraId="6C8E516D" w14:textId="77777777" w:rsidR="00DE6AF1" w:rsidRPr="001254BF" w:rsidRDefault="00DE6AF1" w:rsidP="00047128">
            <w:pPr>
              <w:jc w:val="center"/>
              <w:rPr>
                <w:rFonts w:ascii="Arial" w:eastAsia="Calibri" w:hAnsi="Arial" w:cs="Arial"/>
                <w:b/>
                <w:sz w:val="20"/>
                <w:szCs w:val="20"/>
                <w:lang w:eastAsia="en-IN" w:bidi="hi-IN"/>
              </w:rPr>
            </w:pPr>
            <w:r w:rsidRPr="001254BF">
              <w:rPr>
                <w:rFonts w:ascii="Arial" w:eastAsia="Calibri" w:hAnsi="Arial" w:cs="Arial"/>
                <w:b/>
                <w:sz w:val="20"/>
                <w:szCs w:val="20"/>
                <w:lang w:eastAsia="en-IN" w:bidi="hi-IN"/>
              </w:rPr>
              <w:t>F crit</w:t>
            </w:r>
          </w:p>
        </w:tc>
      </w:tr>
      <w:tr w:rsidR="00DE6AF1" w:rsidRPr="001254BF" w14:paraId="0F6BB904" w14:textId="77777777" w:rsidTr="0014377D">
        <w:trPr>
          <w:trHeight w:val="288"/>
          <w:jc w:val="center"/>
        </w:trPr>
        <w:tc>
          <w:tcPr>
            <w:tcW w:w="2340" w:type="dxa"/>
            <w:noWrap/>
            <w:hideMark/>
          </w:tcPr>
          <w:p w14:paraId="082AB032"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Between Groups</w:t>
            </w:r>
          </w:p>
        </w:tc>
        <w:tc>
          <w:tcPr>
            <w:tcW w:w="1116" w:type="dxa"/>
            <w:noWrap/>
          </w:tcPr>
          <w:p w14:paraId="68B615E0"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1071.530</w:t>
            </w:r>
          </w:p>
        </w:tc>
        <w:tc>
          <w:tcPr>
            <w:tcW w:w="954" w:type="dxa"/>
            <w:noWrap/>
          </w:tcPr>
          <w:p w14:paraId="2C72168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w:t>
            </w:r>
          </w:p>
        </w:tc>
        <w:tc>
          <w:tcPr>
            <w:tcW w:w="1125" w:type="dxa"/>
            <w:noWrap/>
          </w:tcPr>
          <w:p w14:paraId="2FD819C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357.178</w:t>
            </w:r>
          </w:p>
        </w:tc>
        <w:tc>
          <w:tcPr>
            <w:tcW w:w="1260" w:type="dxa"/>
            <w:noWrap/>
          </w:tcPr>
          <w:p w14:paraId="1062D3F9"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2.8124</w:t>
            </w:r>
          </w:p>
        </w:tc>
        <w:tc>
          <w:tcPr>
            <w:tcW w:w="1125" w:type="dxa"/>
            <w:noWrap/>
          </w:tcPr>
          <w:p w14:paraId="3A6AACA8" w14:textId="77777777" w:rsidR="00DE6AF1" w:rsidRPr="001254BF" w:rsidRDefault="00DE6AF1" w:rsidP="00047128">
            <w:pPr>
              <w:jc w:val="center"/>
              <w:rPr>
                <w:rFonts w:ascii="Arial" w:eastAsia="Calibri" w:hAnsi="Arial" w:cs="Arial"/>
                <w:sz w:val="20"/>
                <w:szCs w:val="20"/>
                <w:lang w:eastAsia="en-IN" w:bidi="hi-IN"/>
              </w:rPr>
            </w:pPr>
            <w:r w:rsidRPr="001254BF">
              <w:rPr>
                <w:rFonts w:ascii="Arial" w:eastAsia="Calibri" w:hAnsi="Arial" w:cs="Arial"/>
                <w:sz w:val="20"/>
                <w:szCs w:val="20"/>
                <w:lang w:eastAsia="en-IN" w:bidi="hi-IN"/>
              </w:rPr>
              <w:t>0.0388</w:t>
            </w:r>
          </w:p>
        </w:tc>
        <w:tc>
          <w:tcPr>
            <w:tcW w:w="1080" w:type="dxa"/>
            <w:noWrap/>
          </w:tcPr>
          <w:p w14:paraId="296E8186"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2.622</w:t>
            </w:r>
          </w:p>
        </w:tc>
      </w:tr>
      <w:tr w:rsidR="00DE6AF1" w:rsidRPr="001254BF" w14:paraId="6F294301" w14:textId="77777777" w:rsidTr="0014377D">
        <w:trPr>
          <w:trHeight w:val="288"/>
          <w:jc w:val="center"/>
        </w:trPr>
        <w:tc>
          <w:tcPr>
            <w:tcW w:w="2340" w:type="dxa"/>
            <w:noWrap/>
            <w:hideMark/>
          </w:tcPr>
          <w:p w14:paraId="32A57EE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Within Groups</w:t>
            </w:r>
          </w:p>
        </w:tc>
        <w:tc>
          <w:tcPr>
            <w:tcW w:w="1116" w:type="dxa"/>
            <w:noWrap/>
          </w:tcPr>
          <w:p w14:paraId="12035E4F"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66802.200</w:t>
            </w:r>
          </w:p>
        </w:tc>
        <w:tc>
          <w:tcPr>
            <w:tcW w:w="954" w:type="dxa"/>
            <w:noWrap/>
          </w:tcPr>
          <w:p w14:paraId="2645BB1E"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526</w:t>
            </w:r>
          </w:p>
        </w:tc>
        <w:tc>
          <w:tcPr>
            <w:tcW w:w="1125" w:type="dxa"/>
            <w:noWrap/>
          </w:tcPr>
          <w:p w14:paraId="5C282D2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127.000</w:t>
            </w:r>
          </w:p>
        </w:tc>
        <w:tc>
          <w:tcPr>
            <w:tcW w:w="1260" w:type="dxa"/>
            <w:noWrap/>
            <w:hideMark/>
          </w:tcPr>
          <w:p w14:paraId="0C587D3F" w14:textId="77777777" w:rsidR="00DE6AF1" w:rsidRPr="001254BF" w:rsidRDefault="00DE6AF1" w:rsidP="00047128">
            <w:pPr>
              <w:jc w:val="center"/>
              <w:rPr>
                <w:rFonts w:ascii="Arial" w:eastAsia="Calibri" w:hAnsi="Arial" w:cs="Arial"/>
                <w:bCs/>
                <w:sz w:val="20"/>
                <w:szCs w:val="20"/>
                <w:lang w:eastAsia="en-IN" w:bidi="hi-IN"/>
              </w:rPr>
            </w:pPr>
          </w:p>
        </w:tc>
        <w:tc>
          <w:tcPr>
            <w:tcW w:w="1125" w:type="dxa"/>
            <w:noWrap/>
            <w:hideMark/>
          </w:tcPr>
          <w:p w14:paraId="39C99215" w14:textId="77777777" w:rsidR="00DE6AF1" w:rsidRPr="001254BF" w:rsidRDefault="00DE6AF1" w:rsidP="00047128">
            <w:pPr>
              <w:jc w:val="center"/>
              <w:rPr>
                <w:rFonts w:ascii="Arial" w:eastAsia="Calibri" w:hAnsi="Arial" w:cs="Arial"/>
                <w:bCs/>
                <w:sz w:val="20"/>
                <w:szCs w:val="20"/>
                <w:lang w:eastAsia="en-IN" w:bidi="hi-IN"/>
              </w:rPr>
            </w:pPr>
          </w:p>
        </w:tc>
        <w:tc>
          <w:tcPr>
            <w:tcW w:w="1080" w:type="dxa"/>
            <w:noWrap/>
            <w:hideMark/>
          </w:tcPr>
          <w:p w14:paraId="04F61250" w14:textId="77777777" w:rsidR="00DE6AF1" w:rsidRPr="001254BF" w:rsidRDefault="00DE6AF1" w:rsidP="00047128">
            <w:pPr>
              <w:jc w:val="center"/>
              <w:rPr>
                <w:rFonts w:ascii="Arial" w:eastAsia="Calibri" w:hAnsi="Arial" w:cs="Arial"/>
                <w:bCs/>
                <w:sz w:val="20"/>
                <w:szCs w:val="20"/>
                <w:lang w:eastAsia="en-IN" w:bidi="hi-IN"/>
              </w:rPr>
            </w:pPr>
          </w:p>
        </w:tc>
      </w:tr>
      <w:tr w:rsidR="00DE6AF1" w:rsidRPr="001254BF" w14:paraId="6C6D3485" w14:textId="77777777" w:rsidTr="0014377D">
        <w:trPr>
          <w:trHeight w:val="288"/>
          <w:jc w:val="center"/>
        </w:trPr>
        <w:tc>
          <w:tcPr>
            <w:tcW w:w="2340" w:type="dxa"/>
            <w:noWrap/>
            <w:hideMark/>
          </w:tcPr>
          <w:p w14:paraId="1CFC6331"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Total</w:t>
            </w:r>
          </w:p>
        </w:tc>
        <w:tc>
          <w:tcPr>
            <w:tcW w:w="1116" w:type="dxa"/>
            <w:noWrap/>
            <w:hideMark/>
          </w:tcPr>
          <w:p w14:paraId="197622F3"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67873.730</w:t>
            </w:r>
          </w:p>
        </w:tc>
        <w:tc>
          <w:tcPr>
            <w:tcW w:w="954" w:type="dxa"/>
            <w:noWrap/>
            <w:hideMark/>
          </w:tcPr>
          <w:p w14:paraId="64277714" w14:textId="77777777" w:rsidR="00DE6AF1" w:rsidRPr="001254BF" w:rsidRDefault="00DE6AF1" w:rsidP="00047128">
            <w:pPr>
              <w:jc w:val="center"/>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529</w:t>
            </w:r>
          </w:p>
        </w:tc>
        <w:tc>
          <w:tcPr>
            <w:tcW w:w="1125" w:type="dxa"/>
            <w:noWrap/>
            <w:hideMark/>
          </w:tcPr>
          <w:p w14:paraId="591019F3" w14:textId="77777777" w:rsidR="00DE6AF1" w:rsidRPr="001254BF" w:rsidRDefault="00DE6AF1" w:rsidP="00047128">
            <w:pPr>
              <w:jc w:val="center"/>
              <w:rPr>
                <w:rFonts w:ascii="Arial" w:eastAsia="Calibri" w:hAnsi="Arial" w:cs="Arial"/>
                <w:bCs/>
                <w:sz w:val="20"/>
                <w:szCs w:val="20"/>
                <w:lang w:eastAsia="en-IN" w:bidi="hi-IN"/>
              </w:rPr>
            </w:pPr>
          </w:p>
        </w:tc>
        <w:tc>
          <w:tcPr>
            <w:tcW w:w="1260" w:type="dxa"/>
            <w:noWrap/>
            <w:hideMark/>
          </w:tcPr>
          <w:p w14:paraId="59C05764" w14:textId="77777777" w:rsidR="00DE6AF1" w:rsidRPr="001254BF" w:rsidRDefault="00DE6AF1" w:rsidP="00047128">
            <w:pPr>
              <w:jc w:val="both"/>
              <w:rPr>
                <w:rFonts w:ascii="Arial" w:eastAsia="Calibri" w:hAnsi="Arial" w:cs="Arial"/>
                <w:bCs/>
                <w:sz w:val="20"/>
                <w:szCs w:val="20"/>
                <w:lang w:eastAsia="en-IN" w:bidi="hi-IN"/>
              </w:rPr>
            </w:pPr>
          </w:p>
        </w:tc>
        <w:tc>
          <w:tcPr>
            <w:tcW w:w="1125" w:type="dxa"/>
            <w:noWrap/>
            <w:hideMark/>
          </w:tcPr>
          <w:p w14:paraId="42E5888B" w14:textId="77777777" w:rsidR="00DE6AF1" w:rsidRPr="001254BF" w:rsidRDefault="00DE6AF1" w:rsidP="00047128">
            <w:pPr>
              <w:jc w:val="both"/>
              <w:rPr>
                <w:rFonts w:ascii="Arial" w:eastAsia="Calibri" w:hAnsi="Arial" w:cs="Arial"/>
                <w:bCs/>
                <w:sz w:val="20"/>
                <w:szCs w:val="20"/>
                <w:lang w:eastAsia="en-IN" w:bidi="hi-IN"/>
              </w:rPr>
            </w:pPr>
          </w:p>
        </w:tc>
        <w:tc>
          <w:tcPr>
            <w:tcW w:w="1080" w:type="dxa"/>
            <w:noWrap/>
            <w:hideMark/>
          </w:tcPr>
          <w:p w14:paraId="7AB427F1" w14:textId="77777777" w:rsidR="00DE6AF1" w:rsidRPr="001254BF" w:rsidRDefault="00DE6AF1" w:rsidP="00047128">
            <w:pPr>
              <w:jc w:val="both"/>
              <w:rPr>
                <w:rFonts w:ascii="Arial" w:eastAsia="Calibri" w:hAnsi="Arial" w:cs="Arial"/>
                <w:bCs/>
                <w:sz w:val="20"/>
                <w:szCs w:val="20"/>
                <w:lang w:eastAsia="en-IN" w:bidi="hi-IN"/>
              </w:rPr>
            </w:pPr>
          </w:p>
        </w:tc>
      </w:tr>
    </w:tbl>
    <w:p w14:paraId="3484C8C7" w14:textId="77777777" w:rsidR="00DE6AF1" w:rsidRPr="001254BF" w:rsidRDefault="00DE6AF1" w:rsidP="00DE6AF1">
      <w:pPr>
        <w:rPr>
          <w:rFonts w:ascii="Arial" w:hAnsi="Arial" w:cs="Arial"/>
          <w:sz w:val="20"/>
          <w:szCs w:val="20"/>
        </w:rPr>
      </w:pPr>
    </w:p>
    <w:p w14:paraId="65175AE0" w14:textId="77777777" w:rsidR="00DE6AF1" w:rsidRPr="001254BF" w:rsidRDefault="00DE6AF1" w:rsidP="002F0B9C">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mean scores across streams for students (Science: 53.00, Arts: 53.68, Commerce: 55.73, Agriculture: 56.54) showed some variation. The overall results from the segregated analyses indicate that there is significant difference in the effectiveness towards online learning based on the teaching stream for the combined student group.</w:t>
      </w:r>
    </w:p>
    <w:p w14:paraId="4C062262" w14:textId="77777777" w:rsidR="00DE6AF1" w:rsidRPr="001254BF" w:rsidRDefault="00DE6AF1" w:rsidP="00DE6AF1">
      <w:pPr>
        <w:jc w:val="both"/>
        <w:rPr>
          <w:rFonts w:ascii="Arial" w:eastAsia="Calibri" w:hAnsi="Arial" w:cs="Arial"/>
          <w:bCs/>
          <w:sz w:val="20"/>
          <w:szCs w:val="20"/>
          <w:lang w:eastAsia="en-IN" w:bidi="hi-IN"/>
        </w:rPr>
      </w:pPr>
      <w:r w:rsidRPr="001254BF">
        <w:rPr>
          <w:rFonts w:ascii="Arial" w:eastAsia="Calibri" w:hAnsi="Arial" w:cs="Arial"/>
          <w:bCs/>
          <w:sz w:val="20"/>
          <w:szCs w:val="20"/>
          <w:lang w:eastAsia="en-IN" w:bidi="hi-IN"/>
        </w:rPr>
        <w:t>The separate ANOVA tests for students (F=2.8124, P-Value 0.0388) yielded P-Value less than the significance level of 0.05. Consequently, the null hypothesis is rejected. This collective finding confirms that the stream of study a student belongs to (Arts, Science, Commerce, or Agriculture) does significantly influence their overall effectiveness towards online learning.</w:t>
      </w:r>
    </w:p>
    <w:p w14:paraId="3AE422AF" w14:textId="61719A33" w:rsidR="00795516" w:rsidRPr="002F0B9C" w:rsidRDefault="00172031" w:rsidP="009A2EF3">
      <w:pPr>
        <w:spacing w:before="240" w:after="0" w:line="240" w:lineRule="auto"/>
        <w:jc w:val="both"/>
        <w:rPr>
          <w:rFonts w:ascii="Arial" w:eastAsia="Calibri" w:hAnsi="Arial" w:cs="Arial"/>
          <w:b/>
          <w:lang w:eastAsia="en-IN" w:bidi="hi-IN"/>
        </w:rPr>
      </w:pPr>
      <w:r w:rsidRPr="002F0B9C">
        <w:rPr>
          <w:rFonts w:ascii="Arial" w:eastAsia="Calibri" w:hAnsi="Arial" w:cs="Arial"/>
          <w:b/>
          <w:lang w:eastAsia="en-IN" w:bidi="hi-IN"/>
        </w:rPr>
        <w:t>DISCUSSION</w:t>
      </w:r>
    </w:p>
    <w:p w14:paraId="31D2A905" w14:textId="77777777" w:rsidR="00625E60" w:rsidRPr="002F0B9C" w:rsidRDefault="00625E60" w:rsidP="00625E60">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lastRenderedPageBreak/>
        <w:t>Institutional Differences in Perceived Effectiveness of Online Learning</w:t>
      </w:r>
    </w:p>
    <w:p w14:paraId="79AAE494"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present investigation revealed significant institutional disparities in how online learning strategies are perceived by both teachers and students at the senior secondary level. Government school teachers demonstrated markedly higher effectiveness scores (M=64.91, SD=7.64) compared to their private school counterparts (M=53.68, SD=7.95), with this difference being statistically significant (t=6.44, p&lt;0.001). Similarly, government school students reported significantly higher effectiveness perceptions (M=69.83, SD=7.42) than private school students (M=67.54, SD=7.74; t=3.51, p&lt;0.001). These findings align with Kumar and Singh (2021), who observed that government institutions often demonstrate stronger institutional support for technology integration during crisis periods, potentially due to centralized policy implementation and standardized resource allocation mechanisms.</w:t>
      </w:r>
    </w:p>
    <w:p w14:paraId="7AB894FA"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superior perception of online learning effectiveness among government school stakeholders may be attributed to several interconnected factors. Government institutions typically benefit from uniform technological infrastructure investments mandated through national educational policies, ensuring baseline digital access across schools (Dhawan, 2020). Additionally, government teachers often receive structured professional development programs coordinated at state or national levels, fostering greater confidence and competence in deploying online pedagogical strategies (Mishra et al., 2020). The finding contradicts conventional assumptions that private institutions, with their greater financial autonomy, would demonstrate superior technology adoption outcomes. This suggests that systematic policy implementation and coordinated training initiatives may outweigh resource advantages in determining effective online learning integration.</w:t>
      </w:r>
    </w:p>
    <w:p w14:paraId="044BDD61"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However, the institutional advantage observed in government schools does not necessarily imply universal success. Both institutional types face challenges related to digital divide issues, student engagement in virtual environments, and the need for pedagogical redesign (Ferri et al., 2020). The relatively modest mean scores across both institutional types (government: 64.91 out of potentially 100; private: 53.68) indicate considerable room for improvement in online learning strategy implementation across the educational landscape.</w:t>
      </w:r>
    </w:p>
    <w:p w14:paraId="434FB36C" w14:textId="77777777" w:rsidR="00625E60" w:rsidRPr="002F0B9C" w:rsidRDefault="00625E60" w:rsidP="00625E60">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Gender Neutrality in Online Learning Effectiveness Perceptions</w:t>
      </w:r>
    </w:p>
    <w:p w14:paraId="63A2FE3D"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A particularly noteworthy finding of this study is the consistent absence of significant gender differences in perceived online learning effectiveness across multiple contexts. Among government school teachers, despite female teachers showing slightly higher mean effectiveness scores (M=66.53, SD=6.27) compared to male teachers (M=63.65, SD=8.44), this difference was not statistically significant (t=1.14, p=0.2638). Similar patterns emerged among private school teachers (Male: M=54.17, SD=8.91; Female: M=53.19, SD=6.89; t=0.41, p=0.6865), government school students (Male: M=69.30, SD=7.74; Female: M=70.32, SD=7.07; t=1.04, p=0.2982), and private school students (Male: M=67.89, SD=7.82; Female: M=67.19, SD=7.65; t=0.77, p=0.4418).</w:t>
      </w:r>
    </w:p>
    <w:p w14:paraId="4B70C0D0"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These findings resonate with recent literature suggesting that the digital gender gap in educational technology adoption has narrowed considerably in recent years (Verma &amp; Priyamvada, 2020). Sullivan and Bers (2019) similarly found no significant gender differences in technology self-efficacy among educators who received adequate training and institutional support. The gender parity observed in this study may reflect successful implementation of inclusive digital literacy initiatives and equitable access policies that have characterized Indian educational reforms over the past decade (National Education Policy, 2020).</w:t>
      </w:r>
    </w:p>
    <w:p w14:paraId="3E46B942"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Furthermore, the gender-neutral findings challenge earlier technological determinism perspectives that suggested inherent gender differences in technology adoption and usage patterns (Venkatesh et al., 2003). Contemporary research increasingly recognizes that when systemic barriers are addressed through appropriate training, resource allocation, and institutional support, gender ceases to be a significant predictor of technology integration success (</w:t>
      </w:r>
      <w:proofErr w:type="spellStart"/>
      <w:r w:rsidRPr="001254BF">
        <w:rPr>
          <w:rFonts w:ascii="Arial" w:eastAsia="Times New Roman" w:hAnsi="Arial" w:cs="Arial"/>
          <w:sz w:val="20"/>
          <w:szCs w:val="20"/>
          <w:lang w:eastAsia="en-IN" w:bidi="hi-IN"/>
        </w:rPr>
        <w:t>Alenezi</w:t>
      </w:r>
      <w:proofErr w:type="spellEnd"/>
      <w:r w:rsidRPr="001254BF">
        <w:rPr>
          <w:rFonts w:ascii="Arial" w:eastAsia="Times New Roman" w:hAnsi="Arial" w:cs="Arial"/>
          <w:sz w:val="20"/>
          <w:szCs w:val="20"/>
          <w:lang w:eastAsia="en-IN" w:bidi="hi-IN"/>
        </w:rPr>
        <w:t>, 2023). The current findings support this evolving understanding and suggest that focused interventions targeting structural inequalities rather than assumed gender differences may be more productive in enhancing online learning effectiveness.</w:t>
      </w:r>
    </w:p>
    <w:p w14:paraId="77AFB58A" w14:textId="77777777" w:rsidR="00625E60" w:rsidRPr="002F0B9C" w:rsidRDefault="00625E60" w:rsidP="00625E60">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Age as a Non-Significant Factor in Teacher Perceptions</w:t>
      </w:r>
    </w:p>
    <w:p w14:paraId="2AD46FA3"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lastRenderedPageBreak/>
        <w:t>Contrary to stereotypical assumptions about age-related technological resistance, this study found no significant differences in online learning effectiveness perceptions between younger (20-40 years) and older (41-60 years) teachers in both government (t=0.62, p=0.5401) and private (t=0.82, p=0.4159) institutional contexts. In government schools, older teachers actually demonstrated marginally higher effectiveness scores (M=65.45, SD=7.56) compared to younger colleagues (M=64.08, SD=7.96), though this difference was not statistically significant.</w:t>
      </w:r>
    </w:p>
    <w:p w14:paraId="4518FCD5"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These findings challenge the prevalent "digital native/digital immigrant" dichotomy popularized by Prensky (2001), which suggests generational divides in technology adoption. Recent empirical evidence increasingly questions this binary framework, demonstrating that age becomes less relevant when educators receive adequate professional development and ongoing technical support (</w:t>
      </w:r>
      <w:proofErr w:type="spellStart"/>
      <w:r w:rsidRPr="001254BF">
        <w:rPr>
          <w:rFonts w:ascii="Arial" w:eastAsia="Times New Roman" w:hAnsi="Arial" w:cs="Arial"/>
          <w:sz w:val="20"/>
          <w:szCs w:val="20"/>
          <w:lang w:eastAsia="en-IN" w:bidi="hi-IN"/>
        </w:rPr>
        <w:t>Guillén-Gámez</w:t>
      </w:r>
      <w:proofErr w:type="spellEnd"/>
      <w:r w:rsidRPr="001254BF">
        <w:rPr>
          <w:rFonts w:ascii="Arial" w:eastAsia="Times New Roman" w:hAnsi="Arial" w:cs="Arial"/>
          <w:sz w:val="20"/>
          <w:szCs w:val="20"/>
          <w:lang w:eastAsia="en-IN" w:bidi="hi-IN"/>
        </w:rPr>
        <w:t xml:space="preserve"> et al., 2021). König et al. (2020) found that pedagogical training in digital technologies was a far stronger predictor of effective online teaching than chronological age, supporting the present study's findings.</w:t>
      </w:r>
    </w:p>
    <w:p w14:paraId="541E7B96"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age-neutral results may also reflect the unprecedented nature of the pandemic-driven shift to online learning, which necessitated rapid adaptation across all demographic groups regardless of prior technological preferences (Mishra et al., 2020). When institutional support systems and professional development opportunities are universally accessible, age-related differences in technology adoption diminish substantially (</w:t>
      </w:r>
      <w:proofErr w:type="spellStart"/>
      <w:r w:rsidRPr="001254BF">
        <w:rPr>
          <w:rFonts w:ascii="Arial" w:eastAsia="Times New Roman" w:hAnsi="Arial" w:cs="Arial"/>
          <w:sz w:val="20"/>
          <w:szCs w:val="20"/>
          <w:lang w:eastAsia="en-IN" w:bidi="hi-IN"/>
        </w:rPr>
        <w:t>Tondeur</w:t>
      </w:r>
      <w:proofErr w:type="spellEnd"/>
      <w:r w:rsidRPr="001254BF">
        <w:rPr>
          <w:rFonts w:ascii="Arial" w:eastAsia="Times New Roman" w:hAnsi="Arial" w:cs="Arial"/>
          <w:sz w:val="20"/>
          <w:szCs w:val="20"/>
          <w:lang w:eastAsia="en-IN" w:bidi="hi-IN"/>
        </w:rPr>
        <w:t xml:space="preserve"> et al., 2017). This suggests that educational policy should prioritize creating supportive ecosystems for technology integration rather than focusing on age-targeted interventions.</w:t>
      </w:r>
    </w:p>
    <w:p w14:paraId="096F0B2C"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Nevertheless, it is important to note that the age categories employed in this study (20-40 years and 41-60 years) represent relatively broad groupings. More granular age-cohort analysis might reveal nuanced differences in specific technological competencies or pedagogical approaches that were not captured in overall effectiveness perceptions (Hatlevik, 2017).</w:t>
      </w:r>
    </w:p>
    <w:p w14:paraId="66FE9D9F" w14:textId="77777777" w:rsidR="00625E60" w:rsidRPr="002F0B9C" w:rsidRDefault="00625E60" w:rsidP="00625E60">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Academic Stream Differences: Divergent Patterns Among Teachers and Students</w:t>
      </w:r>
    </w:p>
    <w:p w14:paraId="50F1D95E"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One of the most intriguing findings of this investigation concerns the differential impact of academic streams on perceived online learning effectiveness between teachers and students. Among teachers across all streams (Science: M=58.65; Arts: M=57.72; Commerce: M=55.53; Agriculture: M=56.20), ANOVA results indicated no significant differences (F=0.1759, p=0.9124). This homogeneity suggests that pedagogical adaptation to online environments transcends disciplinary boundaries among educators, possibly reflecting shared challenges in translating face-to-face instruction to digital formats regardless of subject matter (Hodges et al., 2020).</w:t>
      </w:r>
    </w:p>
    <w:p w14:paraId="75F28B0D"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In stark contrast, students exhibited significant stream-based differences in online learning effectiveness perceptions (F=2.8124, p=0.0388), with agriculture stream students reporting the highest effectiveness scores (M=56.54), followed by commerce (M=55.73), arts (M=53.68), and science (M=53.00). This finding warrants careful interpretation, as it diverges from common assumptions that theoretical or discussion-based disciplines (arts, commerce) would adapt more readily to online formats than practical or laboratory-intensive fields (science, agriculture).</w:t>
      </w:r>
    </w:p>
    <w:p w14:paraId="09E8B3A4"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relatively higher effectiveness perceptions among agriculture and commerce students may reflect several factors. Agriculture education at the senior secondary level often incorporates field-based practical components that were already supplemented with theoretical instruction, potentially making the transition to predominantly online delivery less disruptive (Mukherjee, 2020). Similarly, commerce education's emphasis on conceptual understanding, case studies, and numerical problem-solving may translate effectively to digital platforms without substantial loss of pedagogical fidelity (Adnan &amp; Anwar, 2020).</w:t>
      </w:r>
    </w:p>
    <w:p w14:paraId="236C24D3"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Conversely, the lower effectiveness scores among science students may reflect the challenges of conducting laboratory experiments, hands-on investigations, and experiential learning activities in virtual environments (Radha et al., 2020). Traditional science pedagogy at the senior secondary level relies heavily on practical work, direct observation, and manipulative activities that are difficult to replicate authentically online (Koh et al., 2021). While virtual laboratories and simulation tools exist, </w:t>
      </w:r>
      <w:r w:rsidRPr="001254BF">
        <w:rPr>
          <w:rFonts w:ascii="Arial" w:eastAsia="Times New Roman" w:hAnsi="Arial" w:cs="Arial"/>
          <w:sz w:val="20"/>
          <w:szCs w:val="20"/>
          <w:lang w:eastAsia="en-IN" w:bidi="hi-IN"/>
        </w:rPr>
        <w:lastRenderedPageBreak/>
        <w:t xml:space="preserve">their limited availability, technical requirements, and reduced haptic feedback may have contributed to science students' lower effectiveness perceptions (Zacharia &amp; </w:t>
      </w:r>
      <w:proofErr w:type="spellStart"/>
      <w:r w:rsidRPr="001254BF">
        <w:rPr>
          <w:rFonts w:ascii="Arial" w:eastAsia="Times New Roman" w:hAnsi="Arial" w:cs="Arial"/>
          <w:sz w:val="20"/>
          <w:szCs w:val="20"/>
          <w:lang w:eastAsia="en-IN" w:bidi="hi-IN"/>
        </w:rPr>
        <w:t>Olympiou</w:t>
      </w:r>
      <w:proofErr w:type="spellEnd"/>
      <w:r w:rsidRPr="001254BF">
        <w:rPr>
          <w:rFonts w:ascii="Arial" w:eastAsia="Times New Roman" w:hAnsi="Arial" w:cs="Arial"/>
          <w:sz w:val="20"/>
          <w:szCs w:val="20"/>
          <w:lang w:eastAsia="en-IN" w:bidi="hi-IN"/>
        </w:rPr>
        <w:t>, 2011).</w:t>
      </w:r>
    </w:p>
    <w:p w14:paraId="15575DAD" w14:textId="77777777" w:rsidR="00625E60" w:rsidRPr="001254BF" w:rsidRDefault="00625E60" w:rsidP="00625E60">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divergence between teacher and student perceptions across streams is particularly significant. While teachers report uniform effectiveness across disciplines, students differentiate significantly based on stream. This disconnect may indicate a gap between teachers' perceptions of their instructional effectiveness and students' actual learning experiences (Bao, 2020). Teachers may perceive their online pedagogical strategies as uniformly effective across subjects, while students recognize discipline-specific variations in how well online delivery meets their learning needs. This finding underscores the importance of incorporating student feedback in evaluating and refining online instructional approaches, particularly in practical and laboratory-based disciplines (Selvaraj et al., 2021).</w:t>
      </w:r>
    </w:p>
    <w:p w14:paraId="0298C2CC" w14:textId="60ABD26F" w:rsidR="00281CE8" w:rsidRPr="009E40DF" w:rsidRDefault="00172031" w:rsidP="009A2EF3">
      <w:pPr>
        <w:spacing w:before="100" w:beforeAutospacing="1" w:after="0" w:line="240" w:lineRule="auto"/>
        <w:jc w:val="both"/>
        <w:outlineLvl w:val="2"/>
        <w:rPr>
          <w:rFonts w:ascii="Arial" w:eastAsia="Times New Roman" w:hAnsi="Arial" w:cs="Arial"/>
          <w:b/>
          <w:bCs/>
          <w:lang w:eastAsia="en-IN" w:bidi="hi-IN"/>
        </w:rPr>
      </w:pPr>
      <w:r w:rsidRPr="009E40DF">
        <w:rPr>
          <w:rFonts w:ascii="Arial" w:eastAsia="Times New Roman" w:hAnsi="Arial" w:cs="Arial"/>
          <w:b/>
          <w:bCs/>
          <w:lang w:eastAsia="en-IN" w:bidi="hi-IN"/>
        </w:rPr>
        <w:t>CONCLUSION</w:t>
      </w:r>
    </w:p>
    <w:p w14:paraId="0E3190C7" w14:textId="77777777" w:rsidR="00DF1763" w:rsidRPr="00AC6BA3" w:rsidRDefault="00DF1763" w:rsidP="00DF1763">
      <w:pPr>
        <w:spacing w:before="100" w:beforeAutospacing="1" w:after="0" w:line="240" w:lineRule="auto"/>
        <w:jc w:val="both"/>
        <w:outlineLvl w:val="2"/>
        <w:rPr>
          <w:rFonts w:ascii="Arial" w:eastAsia="Times New Roman" w:hAnsi="Arial" w:cs="Arial"/>
          <w:sz w:val="20"/>
          <w:szCs w:val="20"/>
          <w:lang w:eastAsia="en-IN" w:bidi="hi-IN"/>
        </w:rPr>
      </w:pPr>
      <w:r w:rsidRPr="00AC6BA3">
        <w:rPr>
          <w:rFonts w:ascii="Arial" w:eastAsia="Times New Roman" w:hAnsi="Arial" w:cs="Arial"/>
          <w:sz w:val="20"/>
          <w:szCs w:val="20"/>
          <w:lang w:eastAsia="en-IN" w:bidi="hi-IN"/>
        </w:rPr>
        <w:t>In conclusion, the findings of the study point toward several important implications for educational stakeholders seeking to strengthen the effectiveness of online learning. The observed institutional differences, with government schools demonstrating relatively higher effectiveness, underscore the need for systematic and coordinated approaches to technology integration. Rather than relying on isolated, institution-level efforts, there is a clear case for fostering collaborative frameworks, including public–private partnerships, through which private schools can benefit from the successful practices and resource-sharing models evident in government institutions (Jena, 2020).</w:t>
      </w:r>
    </w:p>
    <w:p w14:paraId="78D9329A" w14:textId="77777777" w:rsidR="00DF1763" w:rsidRPr="00AC6BA3" w:rsidRDefault="00DF1763" w:rsidP="00DF1763">
      <w:pPr>
        <w:spacing w:before="100" w:beforeAutospacing="1" w:after="0" w:line="240" w:lineRule="auto"/>
        <w:jc w:val="both"/>
        <w:outlineLvl w:val="2"/>
        <w:rPr>
          <w:rFonts w:ascii="Arial" w:eastAsia="Times New Roman" w:hAnsi="Arial" w:cs="Arial"/>
          <w:sz w:val="20"/>
          <w:szCs w:val="20"/>
          <w:lang w:eastAsia="en-IN" w:bidi="hi-IN"/>
        </w:rPr>
      </w:pPr>
      <w:r w:rsidRPr="00AC6BA3">
        <w:rPr>
          <w:rFonts w:ascii="Arial" w:eastAsia="Times New Roman" w:hAnsi="Arial" w:cs="Arial"/>
          <w:sz w:val="20"/>
          <w:szCs w:val="20"/>
          <w:lang w:eastAsia="en-IN" w:bidi="hi-IN"/>
        </w:rPr>
        <w:t>The absence of significant gender and age-related differences in perceptions of online learning effectiveness further reinforces the relevance of inclusive and universal strategies in professional development. These findings suggest that educators, irrespective of demographic variations, are equally capable of adapting to digital pedagogies. Therefore, investments should prioritise comprehensive training programmes that are accessible to all teachers, aligning well with frameworks such as Technological Pedagogical Content Knowledge, which emphasise the integrated development of technological, pedagogical, and content competencies (Mishra &amp; Koehler, 2006).</w:t>
      </w:r>
    </w:p>
    <w:p w14:paraId="5B087B74" w14:textId="53069ABF" w:rsidR="00DF1763" w:rsidRPr="00AC6BA3" w:rsidRDefault="00DF1763" w:rsidP="00DF1763">
      <w:pPr>
        <w:spacing w:before="100" w:beforeAutospacing="1" w:after="0" w:line="240" w:lineRule="auto"/>
        <w:jc w:val="both"/>
        <w:outlineLvl w:val="2"/>
        <w:rPr>
          <w:rFonts w:ascii="Arial" w:eastAsia="Times New Roman" w:hAnsi="Arial" w:cs="Arial"/>
          <w:sz w:val="20"/>
          <w:szCs w:val="20"/>
          <w:lang w:eastAsia="en-IN" w:bidi="hi-IN"/>
        </w:rPr>
      </w:pPr>
      <w:r w:rsidRPr="00AC6BA3">
        <w:rPr>
          <w:rFonts w:ascii="Arial" w:eastAsia="Times New Roman" w:hAnsi="Arial" w:cs="Arial"/>
          <w:sz w:val="20"/>
          <w:szCs w:val="20"/>
          <w:lang w:eastAsia="en-IN" w:bidi="hi-IN"/>
        </w:rPr>
        <w:t>At the same time, the stream-specific variations in student perceptions</w:t>
      </w:r>
      <w:r w:rsidR="00EE6F4A" w:rsidRPr="00AC6BA3">
        <w:rPr>
          <w:rFonts w:ascii="Arial" w:eastAsia="Times New Roman" w:hAnsi="Arial" w:cs="Arial"/>
          <w:sz w:val="20"/>
          <w:szCs w:val="20"/>
          <w:lang w:eastAsia="en-IN" w:bidi="hi-IN"/>
        </w:rPr>
        <w:t xml:space="preserve">, </w:t>
      </w:r>
      <w:r w:rsidRPr="00AC6BA3">
        <w:rPr>
          <w:rFonts w:ascii="Arial" w:eastAsia="Times New Roman" w:hAnsi="Arial" w:cs="Arial"/>
          <w:sz w:val="20"/>
          <w:szCs w:val="20"/>
          <w:lang w:eastAsia="en-IN" w:bidi="hi-IN"/>
        </w:rPr>
        <w:t>particularly the relatively lower effectiveness reported in science education</w:t>
      </w:r>
      <w:r w:rsidR="00EE6F4A" w:rsidRPr="00AC6BA3">
        <w:rPr>
          <w:rFonts w:ascii="Arial" w:eastAsia="Times New Roman" w:hAnsi="Arial" w:cs="Arial"/>
          <w:sz w:val="20"/>
          <w:szCs w:val="20"/>
          <w:lang w:eastAsia="en-IN" w:bidi="hi-IN"/>
        </w:rPr>
        <w:t xml:space="preserve">, </w:t>
      </w:r>
      <w:r w:rsidRPr="00AC6BA3">
        <w:rPr>
          <w:rFonts w:ascii="Arial" w:eastAsia="Times New Roman" w:hAnsi="Arial" w:cs="Arial"/>
          <w:sz w:val="20"/>
          <w:szCs w:val="20"/>
          <w:lang w:eastAsia="en-IN" w:bidi="hi-IN"/>
        </w:rPr>
        <w:t>highlight the urgent need for discipline-sensitive pedagogical innovations. Institutions must invest in advanced digital tools such as virtual laboratories, simulation software, and immersive technologies to replicate experiential learning environments. Blended approaches, as conceptualised in Blended Learning (Graham, 2006), may offer a practical solution by combining online theoretical instruction with periodic in-person practical sessions, especially for laboratory-intensive subjects (</w:t>
      </w:r>
      <w:proofErr w:type="spellStart"/>
      <w:r w:rsidRPr="00AC6BA3">
        <w:rPr>
          <w:rFonts w:ascii="Arial" w:eastAsia="Times New Roman" w:hAnsi="Arial" w:cs="Arial"/>
          <w:sz w:val="20"/>
          <w:szCs w:val="20"/>
          <w:lang w:eastAsia="en-IN" w:bidi="hi-IN"/>
        </w:rPr>
        <w:t>Potkonjak</w:t>
      </w:r>
      <w:proofErr w:type="spellEnd"/>
      <w:r w:rsidRPr="00AC6BA3">
        <w:rPr>
          <w:rFonts w:ascii="Arial" w:eastAsia="Times New Roman" w:hAnsi="Arial" w:cs="Arial"/>
          <w:sz w:val="20"/>
          <w:szCs w:val="20"/>
          <w:lang w:eastAsia="en-IN" w:bidi="hi-IN"/>
        </w:rPr>
        <w:t xml:space="preserve"> et al., 2016).</w:t>
      </w:r>
    </w:p>
    <w:p w14:paraId="0E8DCBE4" w14:textId="103E7E33" w:rsidR="00C84047" w:rsidRDefault="00DF1763" w:rsidP="00DF1763">
      <w:pPr>
        <w:spacing w:before="100" w:beforeAutospacing="1" w:after="0" w:line="240" w:lineRule="auto"/>
        <w:jc w:val="both"/>
        <w:outlineLvl w:val="2"/>
        <w:rPr>
          <w:rFonts w:ascii="Arial" w:eastAsia="Times New Roman" w:hAnsi="Arial" w:cs="Arial"/>
          <w:sz w:val="20"/>
          <w:szCs w:val="20"/>
          <w:lang w:eastAsia="en-IN" w:bidi="hi-IN"/>
        </w:rPr>
      </w:pPr>
      <w:r w:rsidRPr="00AC6BA3">
        <w:rPr>
          <w:rFonts w:ascii="Arial" w:eastAsia="Times New Roman" w:hAnsi="Arial" w:cs="Arial"/>
          <w:sz w:val="20"/>
          <w:szCs w:val="20"/>
          <w:lang w:eastAsia="en-IN" w:bidi="hi-IN"/>
        </w:rPr>
        <w:t>Finally, the divergence between teacher and student perceptions across academic streams signals the importance of strengthening feedback mechanisms within the teaching–learning process. Establishing regular and structured channels for student feedback can enable educators to refine instructional strategies and enhance learning experiences. Such practices resonate with principles of Feedback for Learning (Boud &amp; Molloy, 2013), which advocate continuous dialogue between teachers and learners as a means of improving educational outcomes.</w:t>
      </w:r>
      <w:r w:rsidR="00EE6F4A" w:rsidRPr="00AC6BA3">
        <w:rPr>
          <w:rFonts w:ascii="Arial" w:eastAsia="Times New Roman" w:hAnsi="Arial" w:cs="Arial"/>
          <w:sz w:val="20"/>
          <w:szCs w:val="20"/>
          <w:lang w:eastAsia="en-IN" w:bidi="hi-IN"/>
        </w:rPr>
        <w:t xml:space="preserve"> </w:t>
      </w:r>
      <w:r w:rsidRPr="00AC6BA3">
        <w:rPr>
          <w:rFonts w:ascii="Arial" w:eastAsia="Times New Roman" w:hAnsi="Arial" w:cs="Arial"/>
          <w:sz w:val="20"/>
          <w:szCs w:val="20"/>
          <w:lang w:eastAsia="en-IN" w:bidi="hi-IN"/>
        </w:rPr>
        <w:t>Overall, the study highlights the necessity of a balanced approach that integrates systemic planning, inclusive capacity-building, discipline-specific innovation, and responsive feedback systems to maximise the effectiveness of online learning in the school education context.</w:t>
      </w:r>
    </w:p>
    <w:p w14:paraId="7B3A3A4A" w14:textId="77777777" w:rsidR="00A9058D" w:rsidRDefault="00A9058D" w:rsidP="00DF1763">
      <w:pPr>
        <w:spacing w:before="100" w:beforeAutospacing="1" w:after="0" w:line="240" w:lineRule="auto"/>
        <w:jc w:val="both"/>
        <w:outlineLvl w:val="2"/>
        <w:rPr>
          <w:rFonts w:ascii="Arial" w:eastAsia="Times New Roman" w:hAnsi="Arial" w:cs="Arial"/>
          <w:sz w:val="20"/>
          <w:szCs w:val="20"/>
          <w:lang w:eastAsia="en-IN" w:bidi="hi-IN"/>
        </w:rPr>
      </w:pPr>
    </w:p>
    <w:p w14:paraId="310CA9F0" w14:textId="77777777" w:rsidR="00A9058D" w:rsidRPr="002F0B9C" w:rsidRDefault="00A9058D" w:rsidP="00A9058D">
      <w:pPr>
        <w:spacing w:before="100" w:beforeAutospacing="1" w:after="0" w:line="240" w:lineRule="auto"/>
        <w:jc w:val="both"/>
        <w:outlineLvl w:val="2"/>
        <w:rPr>
          <w:rFonts w:ascii="Arial" w:eastAsia="Times New Roman" w:hAnsi="Arial" w:cs="Arial"/>
          <w:b/>
          <w:bCs/>
          <w:lang w:eastAsia="en-IN" w:bidi="hi-IN"/>
        </w:rPr>
      </w:pPr>
      <w:r w:rsidRPr="002F0B9C">
        <w:rPr>
          <w:rFonts w:ascii="Arial" w:eastAsia="Times New Roman" w:hAnsi="Arial" w:cs="Arial"/>
          <w:b/>
          <w:bCs/>
          <w:lang w:eastAsia="en-IN" w:bidi="hi-IN"/>
        </w:rPr>
        <w:t>Limitations and Future Research Directions</w:t>
      </w:r>
    </w:p>
    <w:p w14:paraId="4DE01941" w14:textId="77777777" w:rsidR="00A9058D" w:rsidRPr="001254BF" w:rsidRDefault="00A9058D" w:rsidP="00A9058D">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While this study provides valuable insights into online learning effectiveness perceptions, several limitations warrant </w:t>
      </w:r>
      <w:r>
        <w:rPr>
          <w:rFonts w:ascii="Arial" w:eastAsia="Times New Roman" w:hAnsi="Arial" w:cs="Arial"/>
          <w:sz w:val="20"/>
          <w:szCs w:val="20"/>
          <w:lang w:eastAsia="en-IN" w:bidi="hi-IN"/>
        </w:rPr>
        <w:t>acknowledgement</w:t>
      </w:r>
      <w:r w:rsidRPr="001254BF">
        <w:rPr>
          <w:rFonts w:ascii="Arial" w:eastAsia="Times New Roman" w:hAnsi="Arial" w:cs="Arial"/>
          <w:sz w:val="20"/>
          <w:szCs w:val="20"/>
          <w:lang w:eastAsia="en-IN" w:bidi="hi-IN"/>
        </w:rPr>
        <w:t xml:space="preserve">. The research was conducted within a specific geographical and cultural context, potentially limiting generalizability to other educational systems with different technological infrastructure, policy environments, and cultural attitudes toward online learning. Future </w:t>
      </w:r>
      <w:r w:rsidRPr="001254BF">
        <w:rPr>
          <w:rFonts w:ascii="Arial" w:eastAsia="Times New Roman" w:hAnsi="Arial" w:cs="Arial"/>
          <w:sz w:val="20"/>
          <w:szCs w:val="20"/>
          <w:lang w:eastAsia="en-IN" w:bidi="hi-IN"/>
        </w:rPr>
        <w:lastRenderedPageBreak/>
        <w:t>research should employ longitudinal designs to examine whether the observed patterns persist beyond initial pandemic-driven adaptations as online learning becomes normalized within educational systems.</w:t>
      </w:r>
    </w:p>
    <w:p w14:paraId="2935ADE1" w14:textId="77777777" w:rsidR="00A9058D" w:rsidRPr="001254BF" w:rsidRDefault="00A9058D" w:rsidP="00A9058D">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Additionally, the study relied on self-reported effectiveness perceptions rather than objective learning outcome measures. While perceptions significantly influence engagement and persistence in online learning environments (Chung et al., 2020), they may not perfectly correlate with actual achievement gains. Subsequent investigations should triangulate perception data with academic performance metrics, engagement analytics, and qualitative explorations of stakeholder experiences to develop more comprehensive understandings of online learning effectiveness.</w:t>
      </w:r>
    </w:p>
    <w:p w14:paraId="0B5C4D5C" w14:textId="77777777" w:rsidR="00A9058D" w:rsidRPr="001254BF" w:rsidRDefault="00A9058D" w:rsidP="00A9058D">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The broad age categories employed may have masked more subtle generational differences in specific technological competencies or pedagogical approaches. Future research utilizing more granular age cohorts and investigating specific dimensions of technological pedagogical content knowledge (TPACK) could provide deeper insights into how age intersects with disciplinary expertise and pedagogical orientation in shaping online teaching effectiveness (Koehler &amp; Mishra, 2009).</w:t>
      </w:r>
    </w:p>
    <w:p w14:paraId="6F1073DF" w14:textId="77777777" w:rsidR="00A9058D" w:rsidRPr="001254BF" w:rsidRDefault="00A9058D" w:rsidP="00A9058D">
      <w:pPr>
        <w:spacing w:before="100" w:beforeAutospacing="1" w:after="0" w:line="240" w:lineRule="auto"/>
        <w:jc w:val="both"/>
        <w:outlineLvl w:val="2"/>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Finally, the significant stream-based differences among students merit deeper qualitative investigation to understand the underlying mechanisms driving these variations. Case studies examining specific pedagogical approaches, technological tools, and learning activities within different academic streams could illuminate effective practices and persistent challenges unique to each disciplinary context (Creswell &amp; Plano Clark, 2017).</w:t>
      </w:r>
    </w:p>
    <w:p w14:paraId="11E7B04C" w14:textId="77777777" w:rsidR="00FE2478" w:rsidRPr="00FE2478" w:rsidRDefault="00FE2478" w:rsidP="00FE2478">
      <w:pPr>
        <w:spacing w:before="100" w:beforeAutospacing="1" w:after="0" w:line="240" w:lineRule="auto"/>
        <w:jc w:val="both"/>
        <w:outlineLvl w:val="2"/>
        <w:rPr>
          <w:rFonts w:ascii="Arial" w:eastAsia="Times New Roman" w:hAnsi="Arial" w:cs="Arial"/>
          <w:sz w:val="20"/>
          <w:szCs w:val="20"/>
          <w:lang w:eastAsia="en-IN" w:bidi="hi-IN"/>
        </w:rPr>
      </w:pPr>
      <w:r w:rsidRPr="00FE2478">
        <w:rPr>
          <w:rFonts w:ascii="Arial" w:eastAsia="Times New Roman" w:hAnsi="Arial" w:cs="Arial"/>
          <w:sz w:val="20"/>
          <w:szCs w:val="20"/>
          <w:lang w:eastAsia="en-IN" w:bidi="hi-IN"/>
        </w:rPr>
        <w:t>COMPETING INTERESTS DISCLAIMER:</w:t>
      </w:r>
    </w:p>
    <w:p w14:paraId="09904512" w14:textId="00631EC4" w:rsidR="00A9058D" w:rsidRPr="00AC6BA3" w:rsidRDefault="00FE2478" w:rsidP="00FE2478">
      <w:pPr>
        <w:spacing w:before="100" w:beforeAutospacing="1" w:after="0" w:line="240" w:lineRule="auto"/>
        <w:jc w:val="both"/>
        <w:outlineLvl w:val="2"/>
        <w:rPr>
          <w:rFonts w:ascii="Arial" w:eastAsia="Times New Roman" w:hAnsi="Arial" w:cs="Arial"/>
          <w:sz w:val="20"/>
          <w:szCs w:val="20"/>
          <w:lang w:eastAsia="en-IN" w:bidi="hi-IN"/>
        </w:rPr>
      </w:pPr>
      <w:r w:rsidRPr="00FE2478">
        <w:rPr>
          <w:rFonts w:ascii="Arial" w:eastAsia="Times New Roman" w:hAnsi="Arial" w:cs="Arial"/>
          <w:sz w:val="20"/>
          <w:szCs w:val="20"/>
          <w:lang w:eastAsia="en-IN" w:bidi="hi-IN"/>
        </w:rPr>
        <w:t>Authors have declared that they have no known competing financial interests OR non-financial interests OR personal relationships that could have appeared to influence the work reported in this paper.</w:t>
      </w:r>
    </w:p>
    <w:p w14:paraId="6DB88C4B" w14:textId="775C2143" w:rsidR="00281CE8" w:rsidRPr="00AC6BA3" w:rsidRDefault="00E723A5" w:rsidP="009A2EF3">
      <w:pPr>
        <w:spacing w:before="100" w:beforeAutospacing="1" w:line="240" w:lineRule="auto"/>
        <w:jc w:val="both"/>
        <w:rPr>
          <w:rFonts w:ascii="Arial" w:eastAsia="Times New Roman" w:hAnsi="Arial" w:cs="Arial"/>
          <w:lang w:eastAsia="en-IN" w:bidi="hi-IN"/>
        </w:rPr>
      </w:pPr>
      <w:r w:rsidRPr="00AC6BA3">
        <w:rPr>
          <w:rFonts w:ascii="Arial" w:eastAsia="Times New Roman" w:hAnsi="Arial" w:cs="Arial"/>
          <w:b/>
          <w:bCs/>
          <w:lang w:eastAsia="en-IN" w:bidi="hi-IN"/>
        </w:rPr>
        <w:t>REFERENCES</w:t>
      </w:r>
    </w:p>
    <w:p w14:paraId="0182B84D"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Adnan, M., &amp; Anwar, K. (2020). Online learning amid the COVID-19 pandemic: Students' perspectives. </w:t>
      </w:r>
      <w:r w:rsidRPr="001254BF">
        <w:rPr>
          <w:rFonts w:ascii="Arial" w:eastAsia="Times New Roman" w:hAnsi="Arial" w:cs="Arial"/>
          <w:i/>
          <w:iCs/>
          <w:sz w:val="20"/>
          <w:szCs w:val="20"/>
          <w:lang w:eastAsia="en-IN" w:bidi="hi-IN"/>
        </w:rPr>
        <w:t>Journal of Pedagogical Sociology and Psychology</w:t>
      </w:r>
      <w:r w:rsidRPr="001254BF">
        <w:rPr>
          <w:rFonts w:ascii="Arial" w:eastAsia="Times New Roman" w:hAnsi="Arial" w:cs="Arial"/>
          <w:sz w:val="20"/>
          <w:szCs w:val="20"/>
          <w:lang w:eastAsia="en-IN" w:bidi="hi-IN"/>
        </w:rPr>
        <w:t>, 2(1), 45-51. </w:t>
      </w:r>
      <w:hyperlink r:id="rId7" w:tgtFrame="_blank" w:history="1">
        <w:r w:rsidRPr="001254BF">
          <w:rPr>
            <w:rStyle w:val="Hyperlink"/>
            <w:rFonts w:ascii="Arial" w:eastAsia="Times New Roman" w:hAnsi="Arial" w:cs="Arial"/>
            <w:sz w:val="20"/>
            <w:szCs w:val="20"/>
            <w:lang w:eastAsia="en-IN" w:bidi="hi-IN"/>
          </w:rPr>
          <w:t>https://doi.org/10.33902/JPSP.2020261309</w:t>
        </w:r>
      </w:hyperlink>
    </w:p>
    <w:p w14:paraId="0EE516E0"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Alenezi</w:t>
      </w:r>
      <w:proofErr w:type="spellEnd"/>
      <w:r w:rsidRPr="001254BF">
        <w:rPr>
          <w:rFonts w:ascii="Arial" w:eastAsia="Times New Roman" w:hAnsi="Arial" w:cs="Arial"/>
          <w:sz w:val="20"/>
          <w:szCs w:val="20"/>
          <w:lang w:eastAsia="en-IN" w:bidi="hi-IN"/>
        </w:rPr>
        <w:t>, M. (2023). Digital learning and digital institution in higher education. </w:t>
      </w:r>
      <w:r w:rsidRPr="001254BF">
        <w:rPr>
          <w:rFonts w:ascii="Arial" w:eastAsia="Times New Roman" w:hAnsi="Arial" w:cs="Arial"/>
          <w:i/>
          <w:iCs/>
          <w:sz w:val="20"/>
          <w:szCs w:val="20"/>
          <w:lang w:eastAsia="en-IN" w:bidi="hi-IN"/>
        </w:rPr>
        <w:t>Education Sciences</w:t>
      </w:r>
      <w:r w:rsidRPr="001254BF">
        <w:rPr>
          <w:rFonts w:ascii="Arial" w:eastAsia="Times New Roman" w:hAnsi="Arial" w:cs="Arial"/>
          <w:sz w:val="20"/>
          <w:szCs w:val="20"/>
          <w:lang w:eastAsia="en-IN" w:bidi="hi-IN"/>
        </w:rPr>
        <w:t>, 13(1), 88. </w:t>
      </w:r>
      <w:hyperlink r:id="rId8" w:tgtFrame="_blank" w:history="1">
        <w:r w:rsidRPr="001254BF">
          <w:rPr>
            <w:rStyle w:val="Hyperlink"/>
            <w:rFonts w:ascii="Arial" w:eastAsia="Times New Roman" w:hAnsi="Arial" w:cs="Arial"/>
            <w:sz w:val="20"/>
            <w:szCs w:val="20"/>
            <w:lang w:eastAsia="en-IN" w:bidi="hi-IN"/>
          </w:rPr>
          <w:t>https://doi.org/10.3390/educsci13010088</w:t>
        </w:r>
      </w:hyperlink>
    </w:p>
    <w:p w14:paraId="05AB4BF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Bao, W. (2020). COVID-19 and online teaching in higher education: A case study of Peking University. </w:t>
      </w:r>
      <w:r w:rsidRPr="001254BF">
        <w:rPr>
          <w:rFonts w:ascii="Arial" w:eastAsia="Times New Roman" w:hAnsi="Arial" w:cs="Arial"/>
          <w:i/>
          <w:iCs/>
          <w:sz w:val="20"/>
          <w:szCs w:val="20"/>
          <w:lang w:eastAsia="en-IN" w:bidi="hi-IN"/>
        </w:rPr>
        <w:t xml:space="preserve">Human </w:t>
      </w:r>
      <w:proofErr w:type="spellStart"/>
      <w:r w:rsidRPr="001254BF">
        <w:rPr>
          <w:rFonts w:ascii="Arial" w:eastAsia="Times New Roman" w:hAnsi="Arial" w:cs="Arial"/>
          <w:i/>
          <w:iCs/>
          <w:sz w:val="20"/>
          <w:szCs w:val="20"/>
          <w:lang w:eastAsia="en-IN" w:bidi="hi-IN"/>
        </w:rPr>
        <w:t>Behavior</w:t>
      </w:r>
      <w:proofErr w:type="spellEnd"/>
      <w:r w:rsidRPr="001254BF">
        <w:rPr>
          <w:rFonts w:ascii="Arial" w:eastAsia="Times New Roman" w:hAnsi="Arial" w:cs="Arial"/>
          <w:i/>
          <w:iCs/>
          <w:sz w:val="20"/>
          <w:szCs w:val="20"/>
          <w:lang w:eastAsia="en-IN" w:bidi="hi-IN"/>
        </w:rPr>
        <w:t xml:space="preserve"> and Emerging Technologies</w:t>
      </w:r>
      <w:r w:rsidRPr="001254BF">
        <w:rPr>
          <w:rFonts w:ascii="Arial" w:eastAsia="Times New Roman" w:hAnsi="Arial" w:cs="Arial"/>
          <w:sz w:val="20"/>
          <w:szCs w:val="20"/>
          <w:lang w:eastAsia="en-IN" w:bidi="hi-IN"/>
        </w:rPr>
        <w:t>, 2(2), 113-115. </w:t>
      </w:r>
      <w:hyperlink r:id="rId9" w:tgtFrame="_blank" w:history="1">
        <w:r w:rsidRPr="001254BF">
          <w:rPr>
            <w:rStyle w:val="Hyperlink"/>
            <w:rFonts w:ascii="Arial" w:eastAsia="Times New Roman" w:hAnsi="Arial" w:cs="Arial"/>
            <w:sz w:val="20"/>
            <w:szCs w:val="20"/>
            <w:lang w:eastAsia="en-IN" w:bidi="hi-IN"/>
          </w:rPr>
          <w:t>https://doi.org/10.1002/hbe2.191</w:t>
        </w:r>
      </w:hyperlink>
    </w:p>
    <w:p w14:paraId="178F3298"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Boud, D., &amp; Molloy, E. (2013). </w:t>
      </w:r>
      <w:r w:rsidRPr="001254BF">
        <w:rPr>
          <w:rFonts w:ascii="Arial" w:eastAsia="Times New Roman" w:hAnsi="Arial" w:cs="Arial"/>
          <w:i/>
          <w:iCs/>
          <w:sz w:val="20"/>
          <w:szCs w:val="20"/>
          <w:lang w:eastAsia="en-IN" w:bidi="hi-IN"/>
        </w:rPr>
        <w:t>Feedback in higher and professional education: Understanding it and doing it well</w:t>
      </w:r>
      <w:r w:rsidRPr="001254BF">
        <w:rPr>
          <w:rFonts w:ascii="Arial" w:eastAsia="Times New Roman" w:hAnsi="Arial" w:cs="Arial"/>
          <w:sz w:val="20"/>
          <w:szCs w:val="20"/>
          <w:lang w:eastAsia="en-IN" w:bidi="hi-IN"/>
        </w:rPr>
        <w:t>. Routledge. </w:t>
      </w:r>
      <w:hyperlink r:id="rId10" w:tgtFrame="_blank" w:history="1">
        <w:r w:rsidRPr="001254BF">
          <w:rPr>
            <w:rStyle w:val="Hyperlink"/>
            <w:rFonts w:ascii="Arial" w:eastAsia="Times New Roman" w:hAnsi="Arial" w:cs="Arial"/>
            <w:sz w:val="20"/>
            <w:szCs w:val="20"/>
            <w:lang w:eastAsia="en-IN" w:bidi="hi-IN"/>
          </w:rPr>
          <w:t>https://doi.org/10.4324/9780203074336</w:t>
        </w:r>
      </w:hyperlink>
    </w:p>
    <w:p w14:paraId="6B94AED8"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Chung, E., Subramaniam, G., &amp; Dass, L. C. (2020). Online learning readiness among university students in Malaysia amidst COVID-19. </w:t>
      </w:r>
      <w:r w:rsidRPr="001254BF">
        <w:rPr>
          <w:rFonts w:ascii="Arial" w:eastAsia="Times New Roman" w:hAnsi="Arial" w:cs="Arial"/>
          <w:i/>
          <w:iCs/>
          <w:sz w:val="20"/>
          <w:szCs w:val="20"/>
          <w:lang w:eastAsia="en-IN" w:bidi="hi-IN"/>
        </w:rPr>
        <w:t>Asian Journal of University Education</w:t>
      </w:r>
      <w:r w:rsidRPr="001254BF">
        <w:rPr>
          <w:rFonts w:ascii="Arial" w:eastAsia="Times New Roman" w:hAnsi="Arial" w:cs="Arial"/>
          <w:sz w:val="20"/>
          <w:szCs w:val="20"/>
          <w:lang w:eastAsia="en-IN" w:bidi="hi-IN"/>
        </w:rPr>
        <w:t>, 16(2), 46-58. </w:t>
      </w:r>
      <w:hyperlink r:id="rId11" w:tgtFrame="_blank" w:history="1">
        <w:r w:rsidRPr="001254BF">
          <w:rPr>
            <w:rStyle w:val="Hyperlink"/>
            <w:rFonts w:ascii="Arial" w:eastAsia="Times New Roman" w:hAnsi="Arial" w:cs="Arial"/>
            <w:sz w:val="20"/>
            <w:szCs w:val="20"/>
            <w:lang w:eastAsia="en-IN" w:bidi="hi-IN"/>
          </w:rPr>
          <w:t>https://doi.org/10.24191/ajue.v16i2.10294</w:t>
        </w:r>
      </w:hyperlink>
    </w:p>
    <w:p w14:paraId="420490D0"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Creswell, J. W., &amp; Plano Clark, V. L. (2017). </w:t>
      </w:r>
      <w:r w:rsidRPr="001254BF">
        <w:rPr>
          <w:rFonts w:ascii="Arial" w:eastAsia="Times New Roman" w:hAnsi="Arial" w:cs="Arial"/>
          <w:i/>
          <w:iCs/>
          <w:sz w:val="20"/>
          <w:szCs w:val="20"/>
          <w:lang w:eastAsia="en-IN" w:bidi="hi-IN"/>
        </w:rPr>
        <w:t>Designing and conducting mixed methods research</w:t>
      </w:r>
      <w:r w:rsidRPr="001254BF">
        <w:rPr>
          <w:rFonts w:ascii="Arial" w:eastAsia="Times New Roman" w:hAnsi="Arial" w:cs="Arial"/>
          <w:sz w:val="20"/>
          <w:szCs w:val="20"/>
          <w:lang w:eastAsia="en-IN" w:bidi="hi-IN"/>
        </w:rPr>
        <w:t> (3rd ed.). SAGE Publications.</w:t>
      </w:r>
    </w:p>
    <w:p w14:paraId="443452DB"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Dhawan, S. (2020). Online learning: A panacea in the time of COVID-19 crisis. </w:t>
      </w:r>
      <w:r w:rsidRPr="001254BF">
        <w:rPr>
          <w:rFonts w:ascii="Arial" w:eastAsia="Times New Roman" w:hAnsi="Arial" w:cs="Arial"/>
          <w:i/>
          <w:iCs/>
          <w:sz w:val="20"/>
          <w:szCs w:val="20"/>
          <w:lang w:eastAsia="en-IN" w:bidi="hi-IN"/>
        </w:rPr>
        <w:t>Journal of Educational Technology Systems</w:t>
      </w:r>
      <w:r w:rsidRPr="001254BF">
        <w:rPr>
          <w:rFonts w:ascii="Arial" w:eastAsia="Times New Roman" w:hAnsi="Arial" w:cs="Arial"/>
          <w:sz w:val="20"/>
          <w:szCs w:val="20"/>
          <w:lang w:eastAsia="en-IN" w:bidi="hi-IN"/>
        </w:rPr>
        <w:t>, 49(1), 5-22. </w:t>
      </w:r>
      <w:hyperlink r:id="rId12" w:tgtFrame="_blank" w:history="1">
        <w:r w:rsidRPr="001254BF">
          <w:rPr>
            <w:rStyle w:val="Hyperlink"/>
            <w:rFonts w:ascii="Arial" w:eastAsia="Times New Roman" w:hAnsi="Arial" w:cs="Arial"/>
            <w:sz w:val="20"/>
            <w:szCs w:val="20"/>
            <w:lang w:eastAsia="en-IN" w:bidi="hi-IN"/>
          </w:rPr>
          <w:t>https://doi.org/10.1177/0047239520934018</w:t>
        </w:r>
      </w:hyperlink>
    </w:p>
    <w:p w14:paraId="265B667D"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Ferri, F., Grifoni, P., &amp; Guzzo, T. (2020). Online learning and emergency remote teaching: Opportunities and challenges in emergency situations. </w:t>
      </w:r>
      <w:r w:rsidRPr="001254BF">
        <w:rPr>
          <w:rFonts w:ascii="Arial" w:eastAsia="Times New Roman" w:hAnsi="Arial" w:cs="Arial"/>
          <w:i/>
          <w:iCs/>
          <w:sz w:val="20"/>
          <w:szCs w:val="20"/>
          <w:lang w:eastAsia="en-IN" w:bidi="hi-IN"/>
        </w:rPr>
        <w:t>Societies</w:t>
      </w:r>
      <w:r w:rsidRPr="001254BF">
        <w:rPr>
          <w:rFonts w:ascii="Arial" w:eastAsia="Times New Roman" w:hAnsi="Arial" w:cs="Arial"/>
          <w:sz w:val="20"/>
          <w:szCs w:val="20"/>
          <w:lang w:eastAsia="en-IN" w:bidi="hi-IN"/>
        </w:rPr>
        <w:t>, 10(4), 86. </w:t>
      </w:r>
      <w:hyperlink r:id="rId13" w:tgtFrame="_blank" w:history="1">
        <w:r w:rsidRPr="001254BF">
          <w:rPr>
            <w:rStyle w:val="Hyperlink"/>
            <w:rFonts w:ascii="Arial" w:eastAsia="Times New Roman" w:hAnsi="Arial" w:cs="Arial"/>
            <w:sz w:val="20"/>
            <w:szCs w:val="20"/>
            <w:lang w:eastAsia="en-IN" w:bidi="hi-IN"/>
          </w:rPr>
          <w:t>https://doi.org/10.3390/soc10040086</w:t>
        </w:r>
      </w:hyperlink>
    </w:p>
    <w:p w14:paraId="1B779577"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Graham, C. R. (2006). Blended learning systems: Definition, current trends, and future directions. In C. J. Bonk &amp; C. R. Graham (Eds.), </w:t>
      </w:r>
      <w:r w:rsidRPr="001254BF">
        <w:rPr>
          <w:rFonts w:ascii="Arial" w:eastAsia="Times New Roman" w:hAnsi="Arial" w:cs="Arial"/>
          <w:i/>
          <w:iCs/>
          <w:sz w:val="20"/>
          <w:szCs w:val="20"/>
          <w:lang w:eastAsia="en-IN" w:bidi="hi-IN"/>
        </w:rPr>
        <w:t>The handbook of blended learning: Global perspectives, local designs</w:t>
      </w:r>
      <w:r w:rsidRPr="001254BF">
        <w:rPr>
          <w:rFonts w:ascii="Arial" w:eastAsia="Times New Roman" w:hAnsi="Arial" w:cs="Arial"/>
          <w:sz w:val="20"/>
          <w:szCs w:val="20"/>
          <w:lang w:eastAsia="en-IN" w:bidi="hi-IN"/>
        </w:rPr>
        <w:t> (pp. 3-21). Pfeiffer.</w:t>
      </w:r>
    </w:p>
    <w:p w14:paraId="55ADB7B8"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Guillén-Gámez</w:t>
      </w:r>
      <w:proofErr w:type="spellEnd"/>
      <w:r w:rsidRPr="001254BF">
        <w:rPr>
          <w:rFonts w:ascii="Arial" w:eastAsia="Times New Roman" w:hAnsi="Arial" w:cs="Arial"/>
          <w:sz w:val="20"/>
          <w:szCs w:val="20"/>
          <w:lang w:eastAsia="en-IN" w:bidi="hi-IN"/>
        </w:rPr>
        <w:t xml:space="preserve">, F. D., Ruiz-Palmero, J., Sánchez-Rivas, E., &amp; Colomo-Magaña, E. (2021). ICT resources for research: An ANOVA analysis on the digital research skills of higher education teachers </w:t>
      </w:r>
      <w:r w:rsidRPr="001254BF">
        <w:rPr>
          <w:rFonts w:ascii="Arial" w:eastAsia="Times New Roman" w:hAnsi="Arial" w:cs="Arial"/>
          <w:sz w:val="20"/>
          <w:szCs w:val="20"/>
          <w:lang w:eastAsia="en-IN" w:bidi="hi-IN"/>
        </w:rPr>
        <w:lastRenderedPageBreak/>
        <w:t>comparing the areas of knowledge within each gender. </w:t>
      </w:r>
      <w:r w:rsidRPr="001254BF">
        <w:rPr>
          <w:rFonts w:ascii="Arial" w:eastAsia="Times New Roman" w:hAnsi="Arial" w:cs="Arial"/>
          <w:i/>
          <w:iCs/>
          <w:sz w:val="20"/>
          <w:szCs w:val="20"/>
          <w:lang w:eastAsia="en-IN" w:bidi="hi-IN"/>
        </w:rPr>
        <w:t>Education and Information Technologies</w:t>
      </w:r>
      <w:r w:rsidRPr="001254BF">
        <w:rPr>
          <w:rFonts w:ascii="Arial" w:eastAsia="Times New Roman" w:hAnsi="Arial" w:cs="Arial"/>
          <w:sz w:val="20"/>
          <w:szCs w:val="20"/>
          <w:lang w:eastAsia="en-IN" w:bidi="hi-IN"/>
        </w:rPr>
        <w:t>, 26(4), 4575-4589. </w:t>
      </w:r>
      <w:hyperlink r:id="rId14" w:tgtFrame="_blank" w:history="1">
        <w:r w:rsidRPr="001254BF">
          <w:rPr>
            <w:rStyle w:val="Hyperlink"/>
            <w:rFonts w:ascii="Arial" w:eastAsia="Times New Roman" w:hAnsi="Arial" w:cs="Arial"/>
            <w:sz w:val="20"/>
            <w:szCs w:val="20"/>
            <w:lang w:eastAsia="en-IN" w:bidi="hi-IN"/>
          </w:rPr>
          <w:t>https://doi.org/10.1007/s10639-020-10176-6</w:t>
        </w:r>
      </w:hyperlink>
    </w:p>
    <w:p w14:paraId="046DDE3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Hatlevik, O. E. (2017). Examining the relationship between teachers' self-efficacy, their digital competence, strategies to evaluate information, and use of ICT at school. </w:t>
      </w:r>
      <w:r w:rsidRPr="001254BF">
        <w:rPr>
          <w:rFonts w:ascii="Arial" w:eastAsia="Times New Roman" w:hAnsi="Arial" w:cs="Arial"/>
          <w:i/>
          <w:iCs/>
          <w:sz w:val="20"/>
          <w:szCs w:val="20"/>
          <w:lang w:eastAsia="en-IN" w:bidi="hi-IN"/>
        </w:rPr>
        <w:t>Scandinavian Journal of Educational Research</w:t>
      </w:r>
      <w:r w:rsidRPr="001254BF">
        <w:rPr>
          <w:rFonts w:ascii="Arial" w:eastAsia="Times New Roman" w:hAnsi="Arial" w:cs="Arial"/>
          <w:sz w:val="20"/>
          <w:szCs w:val="20"/>
          <w:lang w:eastAsia="en-IN" w:bidi="hi-IN"/>
        </w:rPr>
        <w:t>, 61(5), 555-567. </w:t>
      </w:r>
      <w:hyperlink r:id="rId15" w:tgtFrame="_blank" w:history="1">
        <w:r w:rsidRPr="001254BF">
          <w:rPr>
            <w:rStyle w:val="Hyperlink"/>
            <w:rFonts w:ascii="Arial" w:eastAsia="Times New Roman" w:hAnsi="Arial" w:cs="Arial"/>
            <w:sz w:val="20"/>
            <w:szCs w:val="20"/>
            <w:lang w:eastAsia="en-IN" w:bidi="hi-IN"/>
          </w:rPr>
          <w:t>https://doi.org/10.1080/00313831.2016.1172501</w:t>
        </w:r>
      </w:hyperlink>
    </w:p>
    <w:p w14:paraId="05F3C68C"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Hodges, C., Moore, S., Lockee, B., Trust, T., &amp; Bond, A. (2020). The difference between emergency remote teaching and online learning. </w:t>
      </w:r>
      <w:r w:rsidRPr="001254BF">
        <w:rPr>
          <w:rFonts w:ascii="Arial" w:eastAsia="Times New Roman" w:hAnsi="Arial" w:cs="Arial"/>
          <w:i/>
          <w:iCs/>
          <w:sz w:val="20"/>
          <w:szCs w:val="20"/>
          <w:lang w:eastAsia="en-IN" w:bidi="hi-IN"/>
        </w:rPr>
        <w:t>EDUCAUSE Review</w:t>
      </w:r>
      <w:r w:rsidRPr="001254BF">
        <w:rPr>
          <w:rFonts w:ascii="Arial" w:eastAsia="Times New Roman" w:hAnsi="Arial" w:cs="Arial"/>
          <w:sz w:val="20"/>
          <w:szCs w:val="20"/>
          <w:lang w:eastAsia="en-IN" w:bidi="hi-IN"/>
        </w:rPr>
        <w:t>. </w:t>
      </w:r>
      <w:hyperlink r:id="rId16" w:tgtFrame="_blank" w:history="1">
        <w:r w:rsidRPr="001254BF">
          <w:rPr>
            <w:rStyle w:val="Hyperlink"/>
            <w:rFonts w:ascii="Arial" w:eastAsia="Times New Roman" w:hAnsi="Arial" w:cs="Arial"/>
            <w:sz w:val="20"/>
            <w:szCs w:val="20"/>
            <w:lang w:eastAsia="en-IN" w:bidi="hi-IN"/>
          </w:rPr>
          <w:t>https://er.educause.edu/articles/2020/3/the-difference-between-emergency-remote-teaching-and-online-learning</w:t>
        </w:r>
      </w:hyperlink>
    </w:p>
    <w:p w14:paraId="74148A0D"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Jena, P. K. (2020). Impact of pandemic COVID-19 on education in India. </w:t>
      </w:r>
      <w:r w:rsidRPr="001254BF">
        <w:rPr>
          <w:rFonts w:ascii="Arial" w:eastAsia="Times New Roman" w:hAnsi="Arial" w:cs="Arial"/>
          <w:i/>
          <w:iCs/>
          <w:sz w:val="20"/>
          <w:szCs w:val="20"/>
          <w:lang w:eastAsia="en-IN" w:bidi="hi-IN"/>
        </w:rPr>
        <w:t>International Journal of Current Research</w:t>
      </w:r>
      <w:r w:rsidRPr="001254BF">
        <w:rPr>
          <w:rFonts w:ascii="Arial" w:eastAsia="Times New Roman" w:hAnsi="Arial" w:cs="Arial"/>
          <w:sz w:val="20"/>
          <w:szCs w:val="20"/>
          <w:lang w:eastAsia="en-IN" w:bidi="hi-IN"/>
        </w:rPr>
        <w:t>, 12(7), 12582-12586.</w:t>
      </w:r>
    </w:p>
    <w:p w14:paraId="53010078"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Koehler, M. J., &amp; Mishra, P. (2009). What is technological pedagogical content knowledge? </w:t>
      </w:r>
      <w:r w:rsidRPr="001254BF">
        <w:rPr>
          <w:rFonts w:ascii="Arial" w:eastAsia="Times New Roman" w:hAnsi="Arial" w:cs="Arial"/>
          <w:i/>
          <w:iCs/>
          <w:sz w:val="20"/>
          <w:szCs w:val="20"/>
          <w:lang w:eastAsia="en-IN" w:bidi="hi-IN"/>
        </w:rPr>
        <w:t>Contemporary Issues in Technology and Teacher Education</w:t>
      </w:r>
      <w:r w:rsidRPr="001254BF">
        <w:rPr>
          <w:rFonts w:ascii="Arial" w:eastAsia="Times New Roman" w:hAnsi="Arial" w:cs="Arial"/>
          <w:sz w:val="20"/>
          <w:szCs w:val="20"/>
          <w:lang w:eastAsia="en-IN" w:bidi="hi-IN"/>
        </w:rPr>
        <w:t>, 9(1), 60-70. </w:t>
      </w:r>
      <w:hyperlink r:id="rId17" w:tgtFrame="_blank" w:history="1">
        <w:r w:rsidRPr="001254BF">
          <w:rPr>
            <w:rStyle w:val="Hyperlink"/>
            <w:rFonts w:ascii="Arial" w:eastAsia="Times New Roman" w:hAnsi="Arial" w:cs="Arial"/>
            <w:sz w:val="20"/>
            <w:szCs w:val="20"/>
            <w:lang w:eastAsia="en-IN" w:bidi="hi-IN"/>
          </w:rPr>
          <w:t>https://citejournal.org/volume-9/issue-1-09/general/what-is-technological-pedagogicalcontent-knowledge</w:t>
        </w:r>
      </w:hyperlink>
    </w:p>
    <w:p w14:paraId="687BDD39"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Koh, J. H. L., Chai, C. S., &amp; Lim, W. Y. (2017). Teacher professional development for TPACK-21CL: Effects on teacher ICT integration and student outcomes. </w:t>
      </w:r>
      <w:r w:rsidRPr="001254BF">
        <w:rPr>
          <w:rFonts w:ascii="Arial" w:eastAsia="Times New Roman" w:hAnsi="Arial" w:cs="Arial"/>
          <w:i/>
          <w:iCs/>
          <w:sz w:val="20"/>
          <w:szCs w:val="20"/>
          <w:lang w:eastAsia="en-IN" w:bidi="hi-IN"/>
        </w:rPr>
        <w:t>Journal of Educational Computing Research</w:t>
      </w:r>
      <w:r w:rsidRPr="001254BF">
        <w:rPr>
          <w:rFonts w:ascii="Arial" w:eastAsia="Times New Roman" w:hAnsi="Arial" w:cs="Arial"/>
          <w:sz w:val="20"/>
          <w:szCs w:val="20"/>
          <w:lang w:eastAsia="en-IN" w:bidi="hi-IN"/>
        </w:rPr>
        <w:t>, 55(2), 172-196. </w:t>
      </w:r>
      <w:hyperlink r:id="rId18" w:tgtFrame="_blank" w:history="1">
        <w:r w:rsidRPr="001254BF">
          <w:rPr>
            <w:rStyle w:val="Hyperlink"/>
            <w:rFonts w:ascii="Arial" w:eastAsia="Times New Roman" w:hAnsi="Arial" w:cs="Arial"/>
            <w:sz w:val="20"/>
            <w:szCs w:val="20"/>
            <w:lang w:eastAsia="en-IN" w:bidi="hi-IN"/>
          </w:rPr>
          <w:t>https://doi.org/10.1177/0735633116656848</w:t>
        </w:r>
      </w:hyperlink>
    </w:p>
    <w:p w14:paraId="72E2C78B"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König, J., Jäger-Biela, D. J., &amp; </w:t>
      </w:r>
      <w:proofErr w:type="spellStart"/>
      <w:r w:rsidRPr="001254BF">
        <w:rPr>
          <w:rFonts w:ascii="Arial" w:eastAsia="Times New Roman" w:hAnsi="Arial" w:cs="Arial"/>
          <w:sz w:val="20"/>
          <w:szCs w:val="20"/>
          <w:lang w:eastAsia="en-IN" w:bidi="hi-IN"/>
        </w:rPr>
        <w:t>Glutsch</w:t>
      </w:r>
      <w:proofErr w:type="spellEnd"/>
      <w:r w:rsidRPr="001254BF">
        <w:rPr>
          <w:rFonts w:ascii="Arial" w:eastAsia="Times New Roman" w:hAnsi="Arial" w:cs="Arial"/>
          <w:sz w:val="20"/>
          <w:szCs w:val="20"/>
          <w:lang w:eastAsia="en-IN" w:bidi="hi-IN"/>
        </w:rPr>
        <w:t>, N. (2020). Adapting to online teaching during COVID-19 school closure: Teacher education and teacher competence effects among early career teachers in Germany. </w:t>
      </w:r>
      <w:r w:rsidRPr="001254BF">
        <w:rPr>
          <w:rFonts w:ascii="Arial" w:eastAsia="Times New Roman" w:hAnsi="Arial" w:cs="Arial"/>
          <w:i/>
          <w:iCs/>
          <w:sz w:val="20"/>
          <w:szCs w:val="20"/>
          <w:lang w:eastAsia="en-IN" w:bidi="hi-IN"/>
        </w:rPr>
        <w:t>European Journal of Teacher Education</w:t>
      </w:r>
      <w:r w:rsidRPr="001254BF">
        <w:rPr>
          <w:rFonts w:ascii="Arial" w:eastAsia="Times New Roman" w:hAnsi="Arial" w:cs="Arial"/>
          <w:sz w:val="20"/>
          <w:szCs w:val="20"/>
          <w:lang w:eastAsia="en-IN" w:bidi="hi-IN"/>
        </w:rPr>
        <w:t>, 43(4), 608-622. </w:t>
      </w:r>
      <w:hyperlink r:id="rId19" w:tgtFrame="_blank" w:history="1">
        <w:r w:rsidRPr="001254BF">
          <w:rPr>
            <w:rStyle w:val="Hyperlink"/>
            <w:rFonts w:ascii="Arial" w:eastAsia="Times New Roman" w:hAnsi="Arial" w:cs="Arial"/>
            <w:sz w:val="20"/>
            <w:szCs w:val="20"/>
            <w:lang w:eastAsia="en-IN" w:bidi="hi-IN"/>
          </w:rPr>
          <w:t>https://doi.org/10.1080/02619768.2020.1809650</w:t>
        </w:r>
      </w:hyperlink>
    </w:p>
    <w:p w14:paraId="010E18A9"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Kumar, A., &amp; Singh, R. (2021). Impact of COVID-19 on higher education system in India. In R. Sharma &amp; S. Gupta (Eds.), </w:t>
      </w:r>
      <w:r w:rsidRPr="001254BF">
        <w:rPr>
          <w:rFonts w:ascii="Arial" w:eastAsia="Times New Roman" w:hAnsi="Arial" w:cs="Arial"/>
          <w:i/>
          <w:iCs/>
          <w:sz w:val="20"/>
          <w:szCs w:val="20"/>
          <w:lang w:eastAsia="en-IN" w:bidi="hi-IN"/>
        </w:rPr>
        <w:t>COVID-19 and education: Learning from the pandemic</w:t>
      </w:r>
      <w:r w:rsidRPr="001254BF">
        <w:rPr>
          <w:rFonts w:ascii="Arial" w:eastAsia="Times New Roman" w:hAnsi="Arial" w:cs="Arial"/>
          <w:sz w:val="20"/>
          <w:szCs w:val="20"/>
          <w:lang w:eastAsia="en-IN" w:bidi="hi-IN"/>
        </w:rPr>
        <w:t> (pp. 89-104). Academic Press.</w:t>
      </w:r>
    </w:p>
    <w:p w14:paraId="14D4B3E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Mishra, L., Gupta, T., &amp; Shree, A. (2020). Online teaching-learning in higher education during lockdown period of COVID-19 pandemic. </w:t>
      </w:r>
      <w:r w:rsidRPr="001254BF">
        <w:rPr>
          <w:rFonts w:ascii="Arial" w:eastAsia="Times New Roman" w:hAnsi="Arial" w:cs="Arial"/>
          <w:i/>
          <w:iCs/>
          <w:sz w:val="20"/>
          <w:szCs w:val="20"/>
          <w:lang w:eastAsia="en-IN" w:bidi="hi-IN"/>
        </w:rPr>
        <w:t>International Journal of Educational Research Open</w:t>
      </w:r>
      <w:r w:rsidRPr="001254BF">
        <w:rPr>
          <w:rFonts w:ascii="Arial" w:eastAsia="Times New Roman" w:hAnsi="Arial" w:cs="Arial"/>
          <w:sz w:val="20"/>
          <w:szCs w:val="20"/>
          <w:lang w:eastAsia="en-IN" w:bidi="hi-IN"/>
        </w:rPr>
        <w:t>, 1, 100012. </w:t>
      </w:r>
      <w:hyperlink r:id="rId20" w:tgtFrame="_blank" w:history="1">
        <w:r w:rsidRPr="001254BF">
          <w:rPr>
            <w:rStyle w:val="Hyperlink"/>
            <w:rFonts w:ascii="Arial" w:eastAsia="Times New Roman" w:hAnsi="Arial" w:cs="Arial"/>
            <w:sz w:val="20"/>
            <w:szCs w:val="20"/>
            <w:lang w:eastAsia="en-IN" w:bidi="hi-IN"/>
          </w:rPr>
          <w:t>https://doi.org/10.1016/j.ijedro.2020.100012</w:t>
        </w:r>
      </w:hyperlink>
    </w:p>
    <w:p w14:paraId="3F079591"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Mishra, P., &amp; Koehler, M. J. (2006). Technological pedagogical content knowledge: A framework for teacher knowledge. </w:t>
      </w:r>
      <w:r w:rsidRPr="001254BF">
        <w:rPr>
          <w:rFonts w:ascii="Arial" w:eastAsia="Times New Roman" w:hAnsi="Arial" w:cs="Arial"/>
          <w:i/>
          <w:iCs/>
          <w:sz w:val="20"/>
          <w:szCs w:val="20"/>
          <w:lang w:eastAsia="en-IN" w:bidi="hi-IN"/>
        </w:rPr>
        <w:t>Teachers College Record</w:t>
      </w:r>
      <w:r w:rsidRPr="001254BF">
        <w:rPr>
          <w:rFonts w:ascii="Arial" w:eastAsia="Times New Roman" w:hAnsi="Arial" w:cs="Arial"/>
          <w:sz w:val="20"/>
          <w:szCs w:val="20"/>
          <w:lang w:eastAsia="en-IN" w:bidi="hi-IN"/>
        </w:rPr>
        <w:t>, 108(6), 1017-1054. </w:t>
      </w:r>
      <w:hyperlink r:id="rId21" w:tgtFrame="_blank" w:history="1">
        <w:r w:rsidRPr="001254BF">
          <w:rPr>
            <w:rStyle w:val="Hyperlink"/>
            <w:rFonts w:ascii="Arial" w:eastAsia="Times New Roman" w:hAnsi="Arial" w:cs="Arial"/>
            <w:sz w:val="20"/>
            <w:szCs w:val="20"/>
            <w:lang w:eastAsia="en-IN" w:bidi="hi-IN"/>
          </w:rPr>
          <w:t>https://doi.org/10.1111/j.1467-9620.2006.00684.x</w:t>
        </w:r>
      </w:hyperlink>
    </w:p>
    <w:p w14:paraId="2101B46E"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Mukherjee, D. (2020). Impact of COVID-19 on agricultural education in India. </w:t>
      </w:r>
      <w:r w:rsidRPr="001254BF">
        <w:rPr>
          <w:rFonts w:ascii="Arial" w:eastAsia="Times New Roman" w:hAnsi="Arial" w:cs="Arial"/>
          <w:i/>
          <w:iCs/>
          <w:sz w:val="20"/>
          <w:szCs w:val="20"/>
          <w:lang w:eastAsia="en-IN" w:bidi="hi-IN"/>
        </w:rPr>
        <w:t>Journal of Agricultural Education</w:t>
      </w:r>
      <w:r w:rsidRPr="001254BF">
        <w:rPr>
          <w:rFonts w:ascii="Arial" w:eastAsia="Times New Roman" w:hAnsi="Arial" w:cs="Arial"/>
          <w:sz w:val="20"/>
          <w:szCs w:val="20"/>
          <w:lang w:eastAsia="en-IN" w:bidi="hi-IN"/>
        </w:rPr>
        <w:t>, 15(2), 234-245.</w:t>
      </w:r>
    </w:p>
    <w:p w14:paraId="5973AC89"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National Education Policy. (2020). </w:t>
      </w:r>
      <w:r w:rsidRPr="001254BF">
        <w:rPr>
          <w:rFonts w:ascii="Arial" w:eastAsia="Times New Roman" w:hAnsi="Arial" w:cs="Arial"/>
          <w:i/>
          <w:iCs/>
          <w:sz w:val="20"/>
          <w:szCs w:val="20"/>
          <w:lang w:eastAsia="en-IN" w:bidi="hi-IN"/>
        </w:rPr>
        <w:t>National Education Policy 2020</w:t>
      </w:r>
      <w:r w:rsidRPr="001254BF">
        <w:rPr>
          <w:rFonts w:ascii="Arial" w:eastAsia="Times New Roman" w:hAnsi="Arial" w:cs="Arial"/>
          <w:sz w:val="20"/>
          <w:szCs w:val="20"/>
          <w:lang w:eastAsia="en-IN" w:bidi="hi-IN"/>
        </w:rPr>
        <w:t>. Ministry of Human Resource Development, Government of India. </w:t>
      </w:r>
      <w:hyperlink r:id="rId22" w:tgtFrame="_blank" w:history="1">
        <w:r w:rsidRPr="001254BF">
          <w:rPr>
            <w:rStyle w:val="Hyperlink"/>
            <w:rFonts w:ascii="Arial" w:eastAsia="Times New Roman" w:hAnsi="Arial" w:cs="Arial"/>
            <w:sz w:val="20"/>
            <w:szCs w:val="20"/>
            <w:lang w:eastAsia="en-IN" w:bidi="hi-IN"/>
          </w:rPr>
          <w:t>https://www.education.gov.in/sites/upload_files/mhrd/files/NEP_Final_English_0.pdf</w:t>
        </w:r>
      </w:hyperlink>
    </w:p>
    <w:p w14:paraId="45AEF609"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t>Potkonjak</w:t>
      </w:r>
      <w:proofErr w:type="spellEnd"/>
      <w:r w:rsidRPr="001254BF">
        <w:rPr>
          <w:rFonts w:ascii="Arial" w:eastAsia="Times New Roman" w:hAnsi="Arial" w:cs="Arial"/>
          <w:sz w:val="20"/>
          <w:szCs w:val="20"/>
          <w:lang w:eastAsia="en-IN" w:bidi="hi-IN"/>
        </w:rPr>
        <w:t>, V., Gardner, M., Callaghan, V., Mattila, P., Guetl, C., Petrović, V. M., &amp; Jovanović, K. (2016). Virtual laboratories for education in science, technology, and engineering: A review. </w:t>
      </w:r>
      <w:r w:rsidRPr="001254BF">
        <w:rPr>
          <w:rFonts w:ascii="Arial" w:eastAsia="Times New Roman" w:hAnsi="Arial" w:cs="Arial"/>
          <w:i/>
          <w:iCs/>
          <w:sz w:val="20"/>
          <w:szCs w:val="20"/>
          <w:lang w:eastAsia="en-IN" w:bidi="hi-IN"/>
        </w:rPr>
        <w:t>Computers &amp; Education</w:t>
      </w:r>
      <w:r w:rsidRPr="001254BF">
        <w:rPr>
          <w:rFonts w:ascii="Arial" w:eastAsia="Times New Roman" w:hAnsi="Arial" w:cs="Arial"/>
          <w:sz w:val="20"/>
          <w:szCs w:val="20"/>
          <w:lang w:eastAsia="en-IN" w:bidi="hi-IN"/>
        </w:rPr>
        <w:t>, 95, 309-327. </w:t>
      </w:r>
      <w:hyperlink r:id="rId23" w:tgtFrame="_blank" w:history="1">
        <w:r w:rsidRPr="001254BF">
          <w:rPr>
            <w:rStyle w:val="Hyperlink"/>
            <w:rFonts w:ascii="Arial" w:eastAsia="Times New Roman" w:hAnsi="Arial" w:cs="Arial"/>
            <w:sz w:val="20"/>
            <w:szCs w:val="20"/>
            <w:lang w:eastAsia="en-IN" w:bidi="hi-IN"/>
          </w:rPr>
          <w:t>https://doi.org/10.1016/j.compedu.2016.02.002</w:t>
        </w:r>
      </w:hyperlink>
    </w:p>
    <w:p w14:paraId="6421912E"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Prensky, M. (2001). Digital natives, digital immigrants Part 1. </w:t>
      </w:r>
      <w:r w:rsidRPr="001254BF">
        <w:rPr>
          <w:rFonts w:ascii="Arial" w:eastAsia="Times New Roman" w:hAnsi="Arial" w:cs="Arial"/>
          <w:i/>
          <w:iCs/>
          <w:sz w:val="20"/>
          <w:szCs w:val="20"/>
          <w:lang w:eastAsia="en-IN" w:bidi="hi-IN"/>
        </w:rPr>
        <w:t>On the Horizon</w:t>
      </w:r>
      <w:r w:rsidRPr="001254BF">
        <w:rPr>
          <w:rFonts w:ascii="Arial" w:eastAsia="Times New Roman" w:hAnsi="Arial" w:cs="Arial"/>
          <w:sz w:val="20"/>
          <w:szCs w:val="20"/>
          <w:lang w:eastAsia="en-IN" w:bidi="hi-IN"/>
        </w:rPr>
        <w:t>, 9(5), 1-6. </w:t>
      </w:r>
      <w:hyperlink r:id="rId24" w:tgtFrame="_blank" w:history="1">
        <w:r w:rsidRPr="001254BF">
          <w:rPr>
            <w:rStyle w:val="Hyperlink"/>
            <w:rFonts w:ascii="Arial" w:eastAsia="Times New Roman" w:hAnsi="Arial" w:cs="Arial"/>
            <w:sz w:val="20"/>
            <w:szCs w:val="20"/>
            <w:lang w:eastAsia="en-IN" w:bidi="hi-IN"/>
          </w:rPr>
          <w:t>https://doi.org/10.1108/10748120110424816</w:t>
        </w:r>
      </w:hyperlink>
    </w:p>
    <w:p w14:paraId="76CB90B6"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Radha, R., Mahalakshmi, K., Kumar, V. S., &amp; Saravanakumar, A. R. (2020). E-learning during lockdown of COVID-19 pandemic: A global perspective. </w:t>
      </w:r>
      <w:r w:rsidRPr="001254BF">
        <w:rPr>
          <w:rFonts w:ascii="Arial" w:eastAsia="Times New Roman" w:hAnsi="Arial" w:cs="Arial"/>
          <w:i/>
          <w:iCs/>
          <w:sz w:val="20"/>
          <w:szCs w:val="20"/>
          <w:lang w:eastAsia="en-IN" w:bidi="hi-IN"/>
        </w:rPr>
        <w:t>International Journal of Control and Automation</w:t>
      </w:r>
      <w:r w:rsidRPr="001254BF">
        <w:rPr>
          <w:rFonts w:ascii="Arial" w:eastAsia="Times New Roman" w:hAnsi="Arial" w:cs="Arial"/>
          <w:sz w:val="20"/>
          <w:szCs w:val="20"/>
          <w:lang w:eastAsia="en-IN" w:bidi="hi-IN"/>
        </w:rPr>
        <w:t>, 13(4), 1088-1099.</w:t>
      </w:r>
    </w:p>
    <w:p w14:paraId="7A7B91B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Selvaraj, A., </w:t>
      </w:r>
      <w:proofErr w:type="spellStart"/>
      <w:r w:rsidRPr="001254BF">
        <w:rPr>
          <w:rFonts w:ascii="Arial" w:eastAsia="Times New Roman" w:hAnsi="Arial" w:cs="Arial"/>
          <w:sz w:val="20"/>
          <w:szCs w:val="20"/>
          <w:lang w:eastAsia="en-IN" w:bidi="hi-IN"/>
        </w:rPr>
        <w:t>Radhin</w:t>
      </w:r>
      <w:proofErr w:type="spellEnd"/>
      <w:r w:rsidRPr="001254BF">
        <w:rPr>
          <w:rFonts w:ascii="Arial" w:eastAsia="Times New Roman" w:hAnsi="Arial" w:cs="Arial"/>
          <w:sz w:val="20"/>
          <w:szCs w:val="20"/>
          <w:lang w:eastAsia="en-IN" w:bidi="hi-IN"/>
        </w:rPr>
        <w:t>, V., Ka, N., Benson, N., &amp; Mathew, A. J. (2021). Effect of pandemic based online education on teaching and learning system. </w:t>
      </w:r>
      <w:r w:rsidRPr="001254BF">
        <w:rPr>
          <w:rFonts w:ascii="Arial" w:eastAsia="Times New Roman" w:hAnsi="Arial" w:cs="Arial"/>
          <w:i/>
          <w:iCs/>
          <w:sz w:val="20"/>
          <w:szCs w:val="20"/>
          <w:lang w:eastAsia="en-IN" w:bidi="hi-IN"/>
        </w:rPr>
        <w:t>International Journal of Educational Development</w:t>
      </w:r>
      <w:r w:rsidRPr="001254BF">
        <w:rPr>
          <w:rFonts w:ascii="Arial" w:eastAsia="Times New Roman" w:hAnsi="Arial" w:cs="Arial"/>
          <w:sz w:val="20"/>
          <w:szCs w:val="20"/>
          <w:lang w:eastAsia="en-IN" w:bidi="hi-IN"/>
        </w:rPr>
        <w:t>, 85, 102444. </w:t>
      </w:r>
      <w:hyperlink r:id="rId25" w:tgtFrame="_blank" w:history="1">
        <w:r w:rsidRPr="001254BF">
          <w:rPr>
            <w:rStyle w:val="Hyperlink"/>
            <w:rFonts w:ascii="Arial" w:eastAsia="Times New Roman" w:hAnsi="Arial" w:cs="Arial"/>
            <w:sz w:val="20"/>
            <w:szCs w:val="20"/>
            <w:lang w:eastAsia="en-IN" w:bidi="hi-IN"/>
          </w:rPr>
          <w:t>https://doi.org/10.1016/j.ijedudev.2021.102444</w:t>
        </w:r>
      </w:hyperlink>
    </w:p>
    <w:p w14:paraId="7193417F"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Sullivan, A., &amp; Bers, M. U. (2016). Girls, boys, and bots: Gender differences in young children's performance on robotics and programming tasks. </w:t>
      </w:r>
      <w:r w:rsidRPr="001254BF">
        <w:rPr>
          <w:rFonts w:ascii="Arial" w:eastAsia="Times New Roman" w:hAnsi="Arial" w:cs="Arial"/>
          <w:i/>
          <w:iCs/>
          <w:sz w:val="20"/>
          <w:szCs w:val="20"/>
          <w:lang w:eastAsia="en-IN" w:bidi="hi-IN"/>
        </w:rPr>
        <w:t>Journal of Information Technology Education: Innovations in Practice</w:t>
      </w:r>
      <w:r w:rsidRPr="001254BF">
        <w:rPr>
          <w:rFonts w:ascii="Arial" w:eastAsia="Times New Roman" w:hAnsi="Arial" w:cs="Arial"/>
          <w:sz w:val="20"/>
          <w:szCs w:val="20"/>
          <w:lang w:eastAsia="en-IN" w:bidi="hi-IN"/>
        </w:rPr>
        <w:t>, 15, 145-162. </w:t>
      </w:r>
      <w:hyperlink r:id="rId26" w:tgtFrame="_blank" w:history="1">
        <w:r w:rsidRPr="001254BF">
          <w:rPr>
            <w:rStyle w:val="Hyperlink"/>
            <w:rFonts w:ascii="Arial" w:eastAsia="Times New Roman" w:hAnsi="Arial" w:cs="Arial"/>
            <w:sz w:val="20"/>
            <w:szCs w:val="20"/>
            <w:lang w:eastAsia="en-IN" w:bidi="hi-IN"/>
          </w:rPr>
          <w:t>https://doi.org/10.28945/3547</w:t>
        </w:r>
      </w:hyperlink>
    </w:p>
    <w:p w14:paraId="3944A1BE" w14:textId="77777777" w:rsidR="006A0365" w:rsidRPr="001254BF" w:rsidRDefault="006A0365" w:rsidP="006A0365">
      <w:pPr>
        <w:spacing w:line="240" w:lineRule="auto"/>
        <w:jc w:val="both"/>
        <w:rPr>
          <w:rFonts w:ascii="Arial" w:eastAsia="Times New Roman" w:hAnsi="Arial" w:cs="Arial"/>
          <w:sz w:val="20"/>
          <w:szCs w:val="20"/>
          <w:lang w:eastAsia="en-IN" w:bidi="hi-IN"/>
        </w:rPr>
      </w:pPr>
      <w:proofErr w:type="spellStart"/>
      <w:r w:rsidRPr="001254BF">
        <w:rPr>
          <w:rFonts w:ascii="Arial" w:eastAsia="Times New Roman" w:hAnsi="Arial" w:cs="Arial"/>
          <w:sz w:val="20"/>
          <w:szCs w:val="20"/>
          <w:lang w:eastAsia="en-IN" w:bidi="hi-IN"/>
        </w:rPr>
        <w:lastRenderedPageBreak/>
        <w:t>Tondeur</w:t>
      </w:r>
      <w:proofErr w:type="spellEnd"/>
      <w:r w:rsidRPr="001254BF">
        <w:rPr>
          <w:rFonts w:ascii="Arial" w:eastAsia="Times New Roman" w:hAnsi="Arial" w:cs="Arial"/>
          <w:sz w:val="20"/>
          <w:szCs w:val="20"/>
          <w:lang w:eastAsia="en-IN" w:bidi="hi-IN"/>
        </w:rPr>
        <w:t>, J., Van Braak, J., Ertmer, P. A., &amp; Ottenbreit-Leftwich, A. (2017). Understanding the relationship between teachers' pedagogical beliefs and technology use in education: A systematic review of qualitative evidence. </w:t>
      </w:r>
      <w:r w:rsidRPr="001254BF">
        <w:rPr>
          <w:rFonts w:ascii="Arial" w:eastAsia="Times New Roman" w:hAnsi="Arial" w:cs="Arial"/>
          <w:i/>
          <w:iCs/>
          <w:sz w:val="20"/>
          <w:szCs w:val="20"/>
          <w:lang w:eastAsia="en-IN" w:bidi="hi-IN"/>
        </w:rPr>
        <w:t>Educational Technology Research and Development</w:t>
      </w:r>
      <w:r w:rsidRPr="001254BF">
        <w:rPr>
          <w:rFonts w:ascii="Arial" w:eastAsia="Times New Roman" w:hAnsi="Arial" w:cs="Arial"/>
          <w:sz w:val="20"/>
          <w:szCs w:val="20"/>
          <w:lang w:eastAsia="en-IN" w:bidi="hi-IN"/>
        </w:rPr>
        <w:t>, 65(3), 555-575. </w:t>
      </w:r>
      <w:hyperlink r:id="rId27" w:tgtFrame="_blank" w:history="1">
        <w:r w:rsidRPr="001254BF">
          <w:rPr>
            <w:rStyle w:val="Hyperlink"/>
            <w:rFonts w:ascii="Arial" w:eastAsia="Times New Roman" w:hAnsi="Arial" w:cs="Arial"/>
            <w:sz w:val="20"/>
            <w:szCs w:val="20"/>
            <w:lang w:eastAsia="en-IN" w:bidi="hi-IN"/>
          </w:rPr>
          <w:t>https://doi.org/10.1007/s11423-016-9481-2</w:t>
        </w:r>
      </w:hyperlink>
    </w:p>
    <w:p w14:paraId="18FDD290"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Venkatesh, V., Morris, M. G., Davis, G. B., &amp; Davis, F. D. (2003). User acceptance of information technology: Toward a unified view. </w:t>
      </w:r>
      <w:r w:rsidRPr="001254BF">
        <w:rPr>
          <w:rFonts w:ascii="Arial" w:eastAsia="Times New Roman" w:hAnsi="Arial" w:cs="Arial"/>
          <w:i/>
          <w:iCs/>
          <w:sz w:val="20"/>
          <w:szCs w:val="20"/>
          <w:lang w:eastAsia="en-IN" w:bidi="hi-IN"/>
        </w:rPr>
        <w:t>MIS Quarterly</w:t>
      </w:r>
      <w:r w:rsidRPr="001254BF">
        <w:rPr>
          <w:rFonts w:ascii="Arial" w:eastAsia="Times New Roman" w:hAnsi="Arial" w:cs="Arial"/>
          <w:sz w:val="20"/>
          <w:szCs w:val="20"/>
          <w:lang w:eastAsia="en-IN" w:bidi="hi-IN"/>
        </w:rPr>
        <w:t>, 27(3), 425-478. </w:t>
      </w:r>
      <w:hyperlink r:id="rId28" w:tgtFrame="_blank" w:history="1">
        <w:r w:rsidRPr="001254BF">
          <w:rPr>
            <w:rStyle w:val="Hyperlink"/>
            <w:rFonts w:ascii="Arial" w:eastAsia="Times New Roman" w:hAnsi="Arial" w:cs="Arial"/>
            <w:sz w:val="20"/>
            <w:szCs w:val="20"/>
            <w:lang w:eastAsia="en-IN" w:bidi="hi-IN"/>
          </w:rPr>
          <w:t>https://doi.org/10.2307/30036540</w:t>
        </w:r>
      </w:hyperlink>
    </w:p>
    <w:p w14:paraId="5C839E4D"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Verma, A., &amp; Priyamvada, P. (2020). Gender difference in online learning: A study of Indian universities. </w:t>
      </w:r>
      <w:r w:rsidRPr="001254BF">
        <w:rPr>
          <w:rFonts w:ascii="Arial" w:eastAsia="Times New Roman" w:hAnsi="Arial" w:cs="Arial"/>
          <w:i/>
          <w:iCs/>
          <w:sz w:val="20"/>
          <w:szCs w:val="20"/>
          <w:lang w:eastAsia="en-IN" w:bidi="hi-IN"/>
        </w:rPr>
        <w:t>International Journal of Educational Technology in Higher Education</w:t>
      </w:r>
      <w:r w:rsidRPr="001254BF">
        <w:rPr>
          <w:rFonts w:ascii="Arial" w:eastAsia="Times New Roman" w:hAnsi="Arial" w:cs="Arial"/>
          <w:sz w:val="20"/>
          <w:szCs w:val="20"/>
          <w:lang w:eastAsia="en-IN" w:bidi="hi-IN"/>
        </w:rPr>
        <w:t>, 17, 48. </w:t>
      </w:r>
      <w:hyperlink r:id="rId29" w:tgtFrame="_blank" w:history="1">
        <w:r w:rsidRPr="001254BF">
          <w:rPr>
            <w:rStyle w:val="Hyperlink"/>
            <w:rFonts w:ascii="Arial" w:eastAsia="Times New Roman" w:hAnsi="Arial" w:cs="Arial"/>
            <w:sz w:val="20"/>
            <w:szCs w:val="20"/>
            <w:lang w:eastAsia="en-IN" w:bidi="hi-IN"/>
          </w:rPr>
          <w:t>https://doi.org/10.1186/s41239-020-00234-3</w:t>
        </w:r>
      </w:hyperlink>
    </w:p>
    <w:p w14:paraId="405CCE75" w14:textId="77777777" w:rsidR="006A0365" w:rsidRPr="001254BF" w:rsidRDefault="006A0365" w:rsidP="006A0365">
      <w:pPr>
        <w:spacing w:line="240" w:lineRule="auto"/>
        <w:jc w:val="both"/>
        <w:rPr>
          <w:rFonts w:ascii="Arial" w:eastAsia="Times New Roman" w:hAnsi="Arial" w:cs="Arial"/>
          <w:sz w:val="20"/>
          <w:szCs w:val="20"/>
          <w:lang w:eastAsia="en-IN" w:bidi="hi-IN"/>
        </w:rPr>
      </w:pPr>
      <w:r w:rsidRPr="001254BF">
        <w:rPr>
          <w:rFonts w:ascii="Arial" w:eastAsia="Times New Roman" w:hAnsi="Arial" w:cs="Arial"/>
          <w:sz w:val="20"/>
          <w:szCs w:val="20"/>
          <w:lang w:eastAsia="en-IN" w:bidi="hi-IN"/>
        </w:rPr>
        <w:t xml:space="preserve">Zacharia, Z. C., &amp; </w:t>
      </w:r>
      <w:proofErr w:type="spellStart"/>
      <w:r w:rsidRPr="001254BF">
        <w:rPr>
          <w:rFonts w:ascii="Arial" w:eastAsia="Times New Roman" w:hAnsi="Arial" w:cs="Arial"/>
          <w:sz w:val="20"/>
          <w:szCs w:val="20"/>
          <w:lang w:eastAsia="en-IN" w:bidi="hi-IN"/>
        </w:rPr>
        <w:t>Olympiou</w:t>
      </w:r>
      <w:proofErr w:type="spellEnd"/>
      <w:r w:rsidRPr="001254BF">
        <w:rPr>
          <w:rFonts w:ascii="Arial" w:eastAsia="Times New Roman" w:hAnsi="Arial" w:cs="Arial"/>
          <w:sz w:val="20"/>
          <w:szCs w:val="20"/>
          <w:lang w:eastAsia="en-IN" w:bidi="hi-IN"/>
        </w:rPr>
        <w:t>, G. (2011). Physical versus virtual manipulative experimentation in physics learning. </w:t>
      </w:r>
      <w:r w:rsidRPr="001254BF">
        <w:rPr>
          <w:rFonts w:ascii="Arial" w:eastAsia="Times New Roman" w:hAnsi="Arial" w:cs="Arial"/>
          <w:i/>
          <w:iCs/>
          <w:sz w:val="20"/>
          <w:szCs w:val="20"/>
          <w:lang w:eastAsia="en-IN" w:bidi="hi-IN"/>
        </w:rPr>
        <w:t>Learning and Instruction</w:t>
      </w:r>
      <w:r w:rsidRPr="001254BF">
        <w:rPr>
          <w:rFonts w:ascii="Arial" w:eastAsia="Times New Roman" w:hAnsi="Arial" w:cs="Arial"/>
          <w:sz w:val="20"/>
          <w:szCs w:val="20"/>
          <w:lang w:eastAsia="en-IN" w:bidi="hi-IN"/>
        </w:rPr>
        <w:t>, 21(3), 317-331. </w:t>
      </w:r>
      <w:hyperlink r:id="rId30" w:tgtFrame="_blank" w:history="1">
        <w:r w:rsidRPr="001254BF">
          <w:rPr>
            <w:rStyle w:val="Hyperlink"/>
            <w:rFonts w:ascii="Arial" w:eastAsia="Times New Roman" w:hAnsi="Arial" w:cs="Arial"/>
            <w:sz w:val="20"/>
            <w:szCs w:val="20"/>
            <w:lang w:eastAsia="en-IN" w:bidi="hi-IN"/>
          </w:rPr>
          <w:t>https://doi.org/10.1016/j.learninstruc.2010.03.001</w:t>
        </w:r>
      </w:hyperlink>
    </w:p>
    <w:p w14:paraId="4B9D5F0F" w14:textId="57877778" w:rsidR="009A10BC" w:rsidRDefault="009A10BC" w:rsidP="009A2EF3">
      <w:pPr>
        <w:spacing w:line="240" w:lineRule="auto"/>
        <w:jc w:val="both"/>
        <w:rPr>
          <w:rFonts w:ascii="Times New Roman" w:eastAsia="Times New Roman" w:hAnsi="Times New Roman" w:cs="Times New Roman"/>
          <w:sz w:val="24"/>
          <w:szCs w:val="24"/>
          <w:lang w:eastAsia="en-IN" w:bidi="hi-IN"/>
        </w:rPr>
      </w:pPr>
    </w:p>
    <w:p w14:paraId="0E1DA463" w14:textId="77777777" w:rsidR="0060084B" w:rsidRPr="009A2EF3" w:rsidRDefault="0060084B" w:rsidP="009A2EF3">
      <w:pPr>
        <w:spacing w:line="240" w:lineRule="auto"/>
        <w:jc w:val="both"/>
        <w:rPr>
          <w:rFonts w:ascii="Times New Roman" w:eastAsia="Times New Roman" w:hAnsi="Times New Roman" w:cs="Times New Roman"/>
          <w:sz w:val="24"/>
          <w:szCs w:val="24"/>
          <w:lang w:eastAsia="en-IN" w:bidi="hi-IN"/>
        </w:rPr>
      </w:pPr>
    </w:p>
    <w:sectPr w:rsidR="0060084B" w:rsidRPr="009A2EF3" w:rsidSect="00B7045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05D3A" w14:textId="77777777" w:rsidR="00093705" w:rsidRDefault="00093705" w:rsidP="0024367E">
      <w:pPr>
        <w:spacing w:after="0" w:line="240" w:lineRule="auto"/>
      </w:pPr>
      <w:r>
        <w:separator/>
      </w:r>
    </w:p>
  </w:endnote>
  <w:endnote w:type="continuationSeparator" w:id="0">
    <w:p w14:paraId="4663F4D9" w14:textId="77777777" w:rsidR="00093705" w:rsidRDefault="00093705" w:rsidP="0024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6D4E4" w14:textId="77777777" w:rsidR="00C8248E" w:rsidRDefault="00C82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766597"/>
      <w:docPartObj>
        <w:docPartGallery w:val="Page Numbers (Bottom of Page)"/>
        <w:docPartUnique/>
      </w:docPartObj>
    </w:sdtPr>
    <w:sdtEndPr>
      <w:rPr>
        <w:noProof/>
      </w:rPr>
    </w:sdtEndPr>
    <w:sdtContent>
      <w:p w14:paraId="05E566AC" w14:textId="4CBBEE69" w:rsidR="00F16063" w:rsidRDefault="00F160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6F5032" w14:textId="77777777" w:rsidR="00F16063" w:rsidRDefault="00F1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1268" w14:textId="77777777" w:rsidR="00C8248E" w:rsidRDefault="00C8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45492" w14:textId="77777777" w:rsidR="00093705" w:rsidRDefault="00093705" w:rsidP="0024367E">
      <w:pPr>
        <w:spacing w:after="0" w:line="240" w:lineRule="auto"/>
      </w:pPr>
      <w:r>
        <w:separator/>
      </w:r>
    </w:p>
  </w:footnote>
  <w:footnote w:type="continuationSeparator" w:id="0">
    <w:p w14:paraId="2382753C" w14:textId="77777777" w:rsidR="00093705" w:rsidRDefault="00093705" w:rsidP="0024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DFE5" w14:textId="01B0F447" w:rsidR="00C8248E" w:rsidRDefault="00C8248E">
    <w:pPr>
      <w:pStyle w:val="Header"/>
    </w:pPr>
    <w:r>
      <w:rPr>
        <w:noProof/>
      </w:rPr>
      <w:pict w14:anchorId="6A741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72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EE6B" w14:textId="2F548927" w:rsidR="00C8248E" w:rsidRDefault="00C8248E">
    <w:pPr>
      <w:pStyle w:val="Header"/>
    </w:pPr>
    <w:r>
      <w:rPr>
        <w:noProof/>
      </w:rPr>
      <w:pict w14:anchorId="3836F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72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4D61" w14:textId="6D5308EA" w:rsidR="00C8248E" w:rsidRDefault="00C8248E">
    <w:pPr>
      <w:pStyle w:val="Header"/>
    </w:pPr>
    <w:r>
      <w:rPr>
        <w:noProof/>
      </w:rPr>
      <w:pict w14:anchorId="206F6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72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E41"/>
    <w:multiLevelType w:val="hybridMultilevel"/>
    <w:tmpl w:val="752EDA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070FF2"/>
    <w:multiLevelType w:val="multilevel"/>
    <w:tmpl w:val="E6E6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72CC1"/>
    <w:multiLevelType w:val="hybridMultilevel"/>
    <w:tmpl w:val="EC24B7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2C051A"/>
    <w:multiLevelType w:val="multilevel"/>
    <w:tmpl w:val="E488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109F7"/>
    <w:multiLevelType w:val="multilevel"/>
    <w:tmpl w:val="EC40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D7B32"/>
    <w:multiLevelType w:val="hybridMultilevel"/>
    <w:tmpl w:val="EC24B7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F063F8"/>
    <w:multiLevelType w:val="multilevel"/>
    <w:tmpl w:val="DE6A466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145E06"/>
    <w:multiLevelType w:val="hybridMultilevel"/>
    <w:tmpl w:val="3A30A8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134528"/>
    <w:multiLevelType w:val="multilevel"/>
    <w:tmpl w:val="C12E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C473E"/>
    <w:multiLevelType w:val="hybridMultilevel"/>
    <w:tmpl w:val="14BE193A"/>
    <w:lvl w:ilvl="0" w:tplc="15FCE5A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AA76748"/>
    <w:multiLevelType w:val="multilevel"/>
    <w:tmpl w:val="FFDE9C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AB5C3F"/>
    <w:multiLevelType w:val="multilevel"/>
    <w:tmpl w:val="30D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F71E2"/>
    <w:multiLevelType w:val="multilevel"/>
    <w:tmpl w:val="7FE28314"/>
    <w:styleLink w:val="WWNum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7E3B779C"/>
    <w:multiLevelType w:val="hybridMultilevel"/>
    <w:tmpl w:val="E2821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F6216E3"/>
    <w:multiLevelType w:val="multilevel"/>
    <w:tmpl w:val="882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2"/>
  </w:num>
  <w:num w:numId="4">
    <w:abstractNumId w:val="6"/>
  </w:num>
  <w:num w:numId="5">
    <w:abstractNumId w:val="10"/>
  </w:num>
  <w:num w:numId="6">
    <w:abstractNumId w:val="1"/>
  </w:num>
  <w:num w:numId="7">
    <w:abstractNumId w:val="4"/>
  </w:num>
  <w:num w:numId="8">
    <w:abstractNumId w:val="7"/>
  </w:num>
  <w:num w:numId="9">
    <w:abstractNumId w:val="14"/>
  </w:num>
  <w:num w:numId="10">
    <w:abstractNumId w:val="11"/>
  </w:num>
  <w:num w:numId="11">
    <w:abstractNumId w:val="3"/>
  </w:num>
  <w:num w:numId="12">
    <w:abstractNumId w:val="8"/>
  </w:num>
  <w:num w:numId="13">
    <w:abstractNumId w:val="0"/>
  </w:num>
  <w:num w:numId="14">
    <w:abstractNumId w:val="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50"/>
    <w:rsid w:val="00000CDC"/>
    <w:rsid w:val="000037CC"/>
    <w:rsid w:val="00011B5E"/>
    <w:rsid w:val="00013328"/>
    <w:rsid w:val="000254E7"/>
    <w:rsid w:val="000277F8"/>
    <w:rsid w:val="00031738"/>
    <w:rsid w:val="00037B9F"/>
    <w:rsid w:val="00042C2F"/>
    <w:rsid w:val="0004548E"/>
    <w:rsid w:val="000463C4"/>
    <w:rsid w:val="0004765D"/>
    <w:rsid w:val="00050FFB"/>
    <w:rsid w:val="00051D4B"/>
    <w:rsid w:val="00054025"/>
    <w:rsid w:val="000549C6"/>
    <w:rsid w:val="0006114E"/>
    <w:rsid w:val="0006260C"/>
    <w:rsid w:val="000627E8"/>
    <w:rsid w:val="00064952"/>
    <w:rsid w:val="00064DF5"/>
    <w:rsid w:val="0006777B"/>
    <w:rsid w:val="0007029A"/>
    <w:rsid w:val="0007336A"/>
    <w:rsid w:val="00074C89"/>
    <w:rsid w:val="0008024E"/>
    <w:rsid w:val="00081775"/>
    <w:rsid w:val="00083133"/>
    <w:rsid w:val="00085A75"/>
    <w:rsid w:val="00093705"/>
    <w:rsid w:val="000A127A"/>
    <w:rsid w:val="000A1E09"/>
    <w:rsid w:val="000A6395"/>
    <w:rsid w:val="000C2179"/>
    <w:rsid w:val="000C4FA2"/>
    <w:rsid w:val="000D2F9F"/>
    <w:rsid w:val="000D7C42"/>
    <w:rsid w:val="000E39A8"/>
    <w:rsid w:val="000E4C0E"/>
    <w:rsid w:val="000F21A2"/>
    <w:rsid w:val="000F2632"/>
    <w:rsid w:val="000F2E40"/>
    <w:rsid w:val="000F48D7"/>
    <w:rsid w:val="000F48F9"/>
    <w:rsid w:val="00103918"/>
    <w:rsid w:val="00111E59"/>
    <w:rsid w:val="00113D72"/>
    <w:rsid w:val="001155EB"/>
    <w:rsid w:val="00117A50"/>
    <w:rsid w:val="001201C3"/>
    <w:rsid w:val="001207DB"/>
    <w:rsid w:val="001254BF"/>
    <w:rsid w:val="0013069D"/>
    <w:rsid w:val="00131DF2"/>
    <w:rsid w:val="0013374D"/>
    <w:rsid w:val="00140FA1"/>
    <w:rsid w:val="0014377D"/>
    <w:rsid w:val="001540CE"/>
    <w:rsid w:val="00154940"/>
    <w:rsid w:val="00160DCB"/>
    <w:rsid w:val="00163D16"/>
    <w:rsid w:val="001645FE"/>
    <w:rsid w:val="001658AE"/>
    <w:rsid w:val="00165F68"/>
    <w:rsid w:val="00170B0B"/>
    <w:rsid w:val="00172031"/>
    <w:rsid w:val="001739AD"/>
    <w:rsid w:val="0017471E"/>
    <w:rsid w:val="00180D28"/>
    <w:rsid w:val="00181684"/>
    <w:rsid w:val="00184393"/>
    <w:rsid w:val="00192515"/>
    <w:rsid w:val="001A2496"/>
    <w:rsid w:val="001A3324"/>
    <w:rsid w:val="001A35D3"/>
    <w:rsid w:val="001A5EBA"/>
    <w:rsid w:val="001A6EF9"/>
    <w:rsid w:val="001B1312"/>
    <w:rsid w:val="001B437F"/>
    <w:rsid w:val="001B721F"/>
    <w:rsid w:val="001C5898"/>
    <w:rsid w:val="001D3AD6"/>
    <w:rsid w:val="001D73CC"/>
    <w:rsid w:val="001D74C5"/>
    <w:rsid w:val="001E336A"/>
    <w:rsid w:val="001E51BD"/>
    <w:rsid w:val="001E66C2"/>
    <w:rsid w:val="001E7C45"/>
    <w:rsid w:val="001F25AC"/>
    <w:rsid w:val="001F73E9"/>
    <w:rsid w:val="002023D8"/>
    <w:rsid w:val="0020371E"/>
    <w:rsid w:val="002044CE"/>
    <w:rsid w:val="00207896"/>
    <w:rsid w:val="00213EFC"/>
    <w:rsid w:val="00216CF3"/>
    <w:rsid w:val="00222683"/>
    <w:rsid w:val="002228B1"/>
    <w:rsid w:val="00224CFD"/>
    <w:rsid w:val="00230F4E"/>
    <w:rsid w:val="00241E70"/>
    <w:rsid w:val="0024209E"/>
    <w:rsid w:val="00242BE0"/>
    <w:rsid w:val="00242EB9"/>
    <w:rsid w:val="0024367E"/>
    <w:rsid w:val="002501E2"/>
    <w:rsid w:val="00250401"/>
    <w:rsid w:val="00253161"/>
    <w:rsid w:val="0025595B"/>
    <w:rsid w:val="00256266"/>
    <w:rsid w:val="002565EB"/>
    <w:rsid w:val="00257CC1"/>
    <w:rsid w:val="00257E8C"/>
    <w:rsid w:val="0026080A"/>
    <w:rsid w:val="00264874"/>
    <w:rsid w:val="00264DC6"/>
    <w:rsid w:val="00276371"/>
    <w:rsid w:val="00281CE8"/>
    <w:rsid w:val="00283804"/>
    <w:rsid w:val="00283D63"/>
    <w:rsid w:val="00284EED"/>
    <w:rsid w:val="00286D6E"/>
    <w:rsid w:val="00286FF3"/>
    <w:rsid w:val="002968BF"/>
    <w:rsid w:val="00296EFB"/>
    <w:rsid w:val="002979E1"/>
    <w:rsid w:val="002A34E7"/>
    <w:rsid w:val="002A698A"/>
    <w:rsid w:val="002B25D3"/>
    <w:rsid w:val="002B300C"/>
    <w:rsid w:val="002B36CA"/>
    <w:rsid w:val="002B471E"/>
    <w:rsid w:val="002C45FB"/>
    <w:rsid w:val="002D2668"/>
    <w:rsid w:val="002D2B47"/>
    <w:rsid w:val="002D425D"/>
    <w:rsid w:val="002D6624"/>
    <w:rsid w:val="002E5408"/>
    <w:rsid w:val="002E5EE1"/>
    <w:rsid w:val="002F0B9C"/>
    <w:rsid w:val="002F2099"/>
    <w:rsid w:val="002F2C55"/>
    <w:rsid w:val="002F331C"/>
    <w:rsid w:val="002F3DCA"/>
    <w:rsid w:val="002F5A56"/>
    <w:rsid w:val="002F6FCF"/>
    <w:rsid w:val="003033EE"/>
    <w:rsid w:val="00304700"/>
    <w:rsid w:val="00310614"/>
    <w:rsid w:val="00310CD9"/>
    <w:rsid w:val="003141FC"/>
    <w:rsid w:val="00315647"/>
    <w:rsid w:val="0032037C"/>
    <w:rsid w:val="00321271"/>
    <w:rsid w:val="00340029"/>
    <w:rsid w:val="003467A5"/>
    <w:rsid w:val="0034700E"/>
    <w:rsid w:val="00351F20"/>
    <w:rsid w:val="0036466E"/>
    <w:rsid w:val="00365B3A"/>
    <w:rsid w:val="0037543F"/>
    <w:rsid w:val="00386CF0"/>
    <w:rsid w:val="003874D4"/>
    <w:rsid w:val="00392764"/>
    <w:rsid w:val="00394C38"/>
    <w:rsid w:val="003B0BE4"/>
    <w:rsid w:val="003B2838"/>
    <w:rsid w:val="003B3DEF"/>
    <w:rsid w:val="003B4778"/>
    <w:rsid w:val="003B5805"/>
    <w:rsid w:val="003C0778"/>
    <w:rsid w:val="003C1954"/>
    <w:rsid w:val="003C1BA9"/>
    <w:rsid w:val="003D5213"/>
    <w:rsid w:val="003E0022"/>
    <w:rsid w:val="003E5138"/>
    <w:rsid w:val="003F4618"/>
    <w:rsid w:val="00400311"/>
    <w:rsid w:val="00400EC1"/>
    <w:rsid w:val="00415491"/>
    <w:rsid w:val="00415830"/>
    <w:rsid w:val="00417110"/>
    <w:rsid w:val="00427E6D"/>
    <w:rsid w:val="00430CDC"/>
    <w:rsid w:val="004318DB"/>
    <w:rsid w:val="00433FC2"/>
    <w:rsid w:val="00434499"/>
    <w:rsid w:val="00441D6C"/>
    <w:rsid w:val="00446B41"/>
    <w:rsid w:val="00447A35"/>
    <w:rsid w:val="00452144"/>
    <w:rsid w:val="00452C48"/>
    <w:rsid w:val="00453EFB"/>
    <w:rsid w:val="00460E8B"/>
    <w:rsid w:val="00470C78"/>
    <w:rsid w:val="00477829"/>
    <w:rsid w:val="00480BD9"/>
    <w:rsid w:val="00481404"/>
    <w:rsid w:val="0048650B"/>
    <w:rsid w:val="00486EC0"/>
    <w:rsid w:val="00487A49"/>
    <w:rsid w:val="004921B5"/>
    <w:rsid w:val="00492D21"/>
    <w:rsid w:val="004967A8"/>
    <w:rsid w:val="004A31A5"/>
    <w:rsid w:val="004B1304"/>
    <w:rsid w:val="004B5728"/>
    <w:rsid w:val="004B5BD3"/>
    <w:rsid w:val="004D19AB"/>
    <w:rsid w:val="004D484C"/>
    <w:rsid w:val="004D520E"/>
    <w:rsid w:val="004D55A2"/>
    <w:rsid w:val="004D7A08"/>
    <w:rsid w:val="004E457A"/>
    <w:rsid w:val="004E4C4F"/>
    <w:rsid w:val="004E5ACF"/>
    <w:rsid w:val="004F29AC"/>
    <w:rsid w:val="004F39BC"/>
    <w:rsid w:val="004F3A38"/>
    <w:rsid w:val="004F685A"/>
    <w:rsid w:val="004F6BD9"/>
    <w:rsid w:val="00500F5A"/>
    <w:rsid w:val="00501AA7"/>
    <w:rsid w:val="0050409D"/>
    <w:rsid w:val="00504AE1"/>
    <w:rsid w:val="00507EF2"/>
    <w:rsid w:val="00514A9C"/>
    <w:rsid w:val="00520ABB"/>
    <w:rsid w:val="00522524"/>
    <w:rsid w:val="00526135"/>
    <w:rsid w:val="00531545"/>
    <w:rsid w:val="00531E0B"/>
    <w:rsid w:val="005328B0"/>
    <w:rsid w:val="005428B8"/>
    <w:rsid w:val="00544400"/>
    <w:rsid w:val="00545264"/>
    <w:rsid w:val="0054551A"/>
    <w:rsid w:val="005466E9"/>
    <w:rsid w:val="005468F7"/>
    <w:rsid w:val="00546DF6"/>
    <w:rsid w:val="0054729C"/>
    <w:rsid w:val="00550486"/>
    <w:rsid w:val="00557222"/>
    <w:rsid w:val="005640E4"/>
    <w:rsid w:val="00565793"/>
    <w:rsid w:val="00566FEA"/>
    <w:rsid w:val="00570C35"/>
    <w:rsid w:val="00570D95"/>
    <w:rsid w:val="00572CEF"/>
    <w:rsid w:val="005731B7"/>
    <w:rsid w:val="005747C1"/>
    <w:rsid w:val="00574A9C"/>
    <w:rsid w:val="005776BC"/>
    <w:rsid w:val="00580429"/>
    <w:rsid w:val="00581AA5"/>
    <w:rsid w:val="00583A00"/>
    <w:rsid w:val="00583ECA"/>
    <w:rsid w:val="005855BE"/>
    <w:rsid w:val="00596DB2"/>
    <w:rsid w:val="00597633"/>
    <w:rsid w:val="005A36ED"/>
    <w:rsid w:val="005B2195"/>
    <w:rsid w:val="005C22CD"/>
    <w:rsid w:val="005C49B0"/>
    <w:rsid w:val="005C6D4C"/>
    <w:rsid w:val="005D014A"/>
    <w:rsid w:val="005D2C24"/>
    <w:rsid w:val="005D2FB0"/>
    <w:rsid w:val="005D3E1B"/>
    <w:rsid w:val="005D4FE3"/>
    <w:rsid w:val="005E17C0"/>
    <w:rsid w:val="005E2F60"/>
    <w:rsid w:val="005E3BA0"/>
    <w:rsid w:val="005F0A99"/>
    <w:rsid w:val="005F4E4D"/>
    <w:rsid w:val="005F64C3"/>
    <w:rsid w:val="005F65C7"/>
    <w:rsid w:val="006001B3"/>
    <w:rsid w:val="0060084B"/>
    <w:rsid w:val="0060477C"/>
    <w:rsid w:val="00605BD0"/>
    <w:rsid w:val="00607E7A"/>
    <w:rsid w:val="00612C37"/>
    <w:rsid w:val="00612D2E"/>
    <w:rsid w:val="00621118"/>
    <w:rsid w:val="006223F6"/>
    <w:rsid w:val="00623387"/>
    <w:rsid w:val="00625143"/>
    <w:rsid w:val="00625E60"/>
    <w:rsid w:val="00630CDB"/>
    <w:rsid w:val="00633222"/>
    <w:rsid w:val="0063403D"/>
    <w:rsid w:val="006378EB"/>
    <w:rsid w:val="006379B2"/>
    <w:rsid w:val="00645513"/>
    <w:rsid w:val="00646364"/>
    <w:rsid w:val="00646DFE"/>
    <w:rsid w:val="00650411"/>
    <w:rsid w:val="006509B5"/>
    <w:rsid w:val="006519AF"/>
    <w:rsid w:val="0065597E"/>
    <w:rsid w:val="00656C68"/>
    <w:rsid w:val="00661C7E"/>
    <w:rsid w:val="00662F9B"/>
    <w:rsid w:val="0066343D"/>
    <w:rsid w:val="00664CE7"/>
    <w:rsid w:val="006664C5"/>
    <w:rsid w:val="00666AC6"/>
    <w:rsid w:val="0067116A"/>
    <w:rsid w:val="006770C3"/>
    <w:rsid w:val="0067734D"/>
    <w:rsid w:val="006775C1"/>
    <w:rsid w:val="00677979"/>
    <w:rsid w:val="0068348D"/>
    <w:rsid w:val="00685CA6"/>
    <w:rsid w:val="006925E6"/>
    <w:rsid w:val="006927D0"/>
    <w:rsid w:val="006945B7"/>
    <w:rsid w:val="006A0365"/>
    <w:rsid w:val="006A13A3"/>
    <w:rsid w:val="006A430E"/>
    <w:rsid w:val="006B0AD4"/>
    <w:rsid w:val="006B1042"/>
    <w:rsid w:val="006B3B3A"/>
    <w:rsid w:val="006B7928"/>
    <w:rsid w:val="006C14BA"/>
    <w:rsid w:val="006C3E3E"/>
    <w:rsid w:val="006C3FC3"/>
    <w:rsid w:val="006D1A8C"/>
    <w:rsid w:val="006D3A3E"/>
    <w:rsid w:val="006E2A1E"/>
    <w:rsid w:val="006F2866"/>
    <w:rsid w:val="00707717"/>
    <w:rsid w:val="00710B43"/>
    <w:rsid w:val="00712C55"/>
    <w:rsid w:val="0071580D"/>
    <w:rsid w:val="007179E1"/>
    <w:rsid w:val="00720C29"/>
    <w:rsid w:val="00721C03"/>
    <w:rsid w:val="0073449B"/>
    <w:rsid w:val="00735BD1"/>
    <w:rsid w:val="007506C3"/>
    <w:rsid w:val="00751EC0"/>
    <w:rsid w:val="00757BF8"/>
    <w:rsid w:val="0076025A"/>
    <w:rsid w:val="00760822"/>
    <w:rsid w:val="007627E6"/>
    <w:rsid w:val="00766A18"/>
    <w:rsid w:val="00767E51"/>
    <w:rsid w:val="007744AC"/>
    <w:rsid w:val="00780427"/>
    <w:rsid w:val="007860AE"/>
    <w:rsid w:val="0078755E"/>
    <w:rsid w:val="00791AA0"/>
    <w:rsid w:val="00795516"/>
    <w:rsid w:val="00795C74"/>
    <w:rsid w:val="007A071B"/>
    <w:rsid w:val="007A4E3A"/>
    <w:rsid w:val="007A7581"/>
    <w:rsid w:val="007B3D03"/>
    <w:rsid w:val="007C4C21"/>
    <w:rsid w:val="007D51D4"/>
    <w:rsid w:val="007D6075"/>
    <w:rsid w:val="007D7B49"/>
    <w:rsid w:val="007E2A7C"/>
    <w:rsid w:val="007E4037"/>
    <w:rsid w:val="007E54FF"/>
    <w:rsid w:val="007E5721"/>
    <w:rsid w:val="007F1F9D"/>
    <w:rsid w:val="007F463E"/>
    <w:rsid w:val="0080000E"/>
    <w:rsid w:val="0080369E"/>
    <w:rsid w:val="0081438C"/>
    <w:rsid w:val="008214DC"/>
    <w:rsid w:val="00821D04"/>
    <w:rsid w:val="008251A6"/>
    <w:rsid w:val="00825763"/>
    <w:rsid w:val="0083053B"/>
    <w:rsid w:val="00830611"/>
    <w:rsid w:val="00837012"/>
    <w:rsid w:val="0084239B"/>
    <w:rsid w:val="00843AE2"/>
    <w:rsid w:val="00845FB1"/>
    <w:rsid w:val="0084661E"/>
    <w:rsid w:val="00847692"/>
    <w:rsid w:val="00847EAD"/>
    <w:rsid w:val="008507B8"/>
    <w:rsid w:val="00855EA9"/>
    <w:rsid w:val="00856F96"/>
    <w:rsid w:val="00860027"/>
    <w:rsid w:val="00861491"/>
    <w:rsid w:val="00861E7D"/>
    <w:rsid w:val="008638B3"/>
    <w:rsid w:val="00863DA7"/>
    <w:rsid w:val="00865704"/>
    <w:rsid w:val="008700AD"/>
    <w:rsid w:val="00870BF2"/>
    <w:rsid w:val="0087490A"/>
    <w:rsid w:val="00875617"/>
    <w:rsid w:val="00875E27"/>
    <w:rsid w:val="008770F9"/>
    <w:rsid w:val="00880C89"/>
    <w:rsid w:val="00882239"/>
    <w:rsid w:val="00886183"/>
    <w:rsid w:val="008863D4"/>
    <w:rsid w:val="00886FB4"/>
    <w:rsid w:val="00887302"/>
    <w:rsid w:val="00896DC3"/>
    <w:rsid w:val="008A2348"/>
    <w:rsid w:val="008A4265"/>
    <w:rsid w:val="008A5494"/>
    <w:rsid w:val="008A7B65"/>
    <w:rsid w:val="008B0143"/>
    <w:rsid w:val="008B2605"/>
    <w:rsid w:val="008B2E04"/>
    <w:rsid w:val="008B7A11"/>
    <w:rsid w:val="008C5D42"/>
    <w:rsid w:val="008C73F6"/>
    <w:rsid w:val="008D0F4B"/>
    <w:rsid w:val="008D45B9"/>
    <w:rsid w:val="008E0799"/>
    <w:rsid w:val="008E2AF4"/>
    <w:rsid w:val="008E3B66"/>
    <w:rsid w:val="008E43BC"/>
    <w:rsid w:val="008E5069"/>
    <w:rsid w:val="008F0B7A"/>
    <w:rsid w:val="008F0DB0"/>
    <w:rsid w:val="008F5181"/>
    <w:rsid w:val="008F6CD6"/>
    <w:rsid w:val="008F6D75"/>
    <w:rsid w:val="009035A4"/>
    <w:rsid w:val="0090448F"/>
    <w:rsid w:val="009065D1"/>
    <w:rsid w:val="00911446"/>
    <w:rsid w:val="009114F8"/>
    <w:rsid w:val="009174DA"/>
    <w:rsid w:val="009303A1"/>
    <w:rsid w:val="00930E8C"/>
    <w:rsid w:val="00940149"/>
    <w:rsid w:val="00942112"/>
    <w:rsid w:val="00942EAB"/>
    <w:rsid w:val="00944140"/>
    <w:rsid w:val="0094529B"/>
    <w:rsid w:val="0096298C"/>
    <w:rsid w:val="009640B1"/>
    <w:rsid w:val="00965EFC"/>
    <w:rsid w:val="009720AD"/>
    <w:rsid w:val="0097488B"/>
    <w:rsid w:val="0097590B"/>
    <w:rsid w:val="00976E6B"/>
    <w:rsid w:val="00980314"/>
    <w:rsid w:val="00984437"/>
    <w:rsid w:val="00984A68"/>
    <w:rsid w:val="009856E7"/>
    <w:rsid w:val="00992EBF"/>
    <w:rsid w:val="009947ED"/>
    <w:rsid w:val="0099731A"/>
    <w:rsid w:val="009A084E"/>
    <w:rsid w:val="009A1010"/>
    <w:rsid w:val="009A10BC"/>
    <w:rsid w:val="009A1250"/>
    <w:rsid w:val="009A2EF3"/>
    <w:rsid w:val="009A5228"/>
    <w:rsid w:val="009A6D8D"/>
    <w:rsid w:val="009B41F9"/>
    <w:rsid w:val="009B56A7"/>
    <w:rsid w:val="009C03BC"/>
    <w:rsid w:val="009C5663"/>
    <w:rsid w:val="009C6D83"/>
    <w:rsid w:val="009C6E69"/>
    <w:rsid w:val="009D53B8"/>
    <w:rsid w:val="009D565D"/>
    <w:rsid w:val="009D66A8"/>
    <w:rsid w:val="009D7C9B"/>
    <w:rsid w:val="009E1227"/>
    <w:rsid w:val="009E40DF"/>
    <w:rsid w:val="009F1306"/>
    <w:rsid w:val="009F16A9"/>
    <w:rsid w:val="009F6DCB"/>
    <w:rsid w:val="00A003F4"/>
    <w:rsid w:val="00A0757C"/>
    <w:rsid w:val="00A162E6"/>
    <w:rsid w:val="00A202AA"/>
    <w:rsid w:val="00A205C7"/>
    <w:rsid w:val="00A21F02"/>
    <w:rsid w:val="00A2310F"/>
    <w:rsid w:val="00A23A1D"/>
    <w:rsid w:val="00A253CA"/>
    <w:rsid w:val="00A27CAB"/>
    <w:rsid w:val="00A27D1E"/>
    <w:rsid w:val="00A428BF"/>
    <w:rsid w:val="00A43A2E"/>
    <w:rsid w:val="00A45AA5"/>
    <w:rsid w:val="00A45CF9"/>
    <w:rsid w:val="00A533A5"/>
    <w:rsid w:val="00A53F31"/>
    <w:rsid w:val="00A54B7A"/>
    <w:rsid w:val="00A71C4B"/>
    <w:rsid w:val="00A736C0"/>
    <w:rsid w:val="00A73748"/>
    <w:rsid w:val="00A73751"/>
    <w:rsid w:val="00A76A26"/>
    <w:rsid w:val="00A84C33"/>
    <w:rsid w:val="00A90541"/>
    <w:rsid w:val="00A9058D"/>
    <w:rsid w:val="00A93BE5"/>
    <w:rsid w:val="00A95B6B"/>
    <w:rsid w:val="00A9718E"/>
    <w:rsid w:val="00AA2848"/>
    <w:rsid w:val="00AA626B"/>
    <w:rsid w:val="00AB05A4"/>
    <w:rsid w:val="00AB05B5"/>
    <w:rsid w:val="00AB3B3F"/>
    <w:rsid w:val="00AB5495"/>
    <w:rsid w:val="00AC13DD"/>
    <w:rsid w:val="00AC143C"/>
    <w:rsid w:val="00AC201A"/>
    <w:rsid w:val="00AC6BA3"/>
    <w:rsid w:val="00AD21E9"/>
    <w:rsid w:val="00AD7AE4"/>
    <w:rsid w:val="00AE054B"/>
    <w:rsid w:val="00AE36F5"/>
    <w:rsid w:val="00AE3D49"/>
    <w:rsid w:val="00AE5899"/>
    <w:rsid w:val="00AF3230"/>
    <w:rsid w:val="00AF4402"/>
    <w:rsid w:val="00B020A0"/>
    <w:rsid w:val="00B021AE"/>
    <w:rsid w:val="00B02C6E"/>
    <w:rsid w:val="00B175D8"/>
    <w:rsid w:val="00B2126F"/>
    <w:rsid w:val="00B2247A"/>
    <w:rsid w:val="00B27E4A"/>
    <w:rsid w:val="00B319B5"/>
    <w:rsid w:val="00B324DB"/>
    <w:rsid w:val="00B36441"/>
    <w:rsid w:val="00B42191"/>
    <w:rsid w:val="00B440B3"/>
    <w:rsid w:val="00B475DD"/>
    <w:rsid w:val="00B50E6A"/>
    <w:rsid w:val="00B529AA"/>
    <w:rsid w:val="00B534EC"/>
    <w:rsid w:val="00B554BA"/>
    <w:rsid w:val="00B564E1"/>
    <w:rsid w:val="00B61BE3"/>
    <w:rsid w:val="00B63493"/>
    <w:rsid w:val="00B65E91"/>
    <w:rsid w:val="00B70451"/>
    <w:rsid w:val="00B7312A"/>
    <w:rsid w:val="00B756FE"/>
    <w:rsid w:val="00B7621A"/>
    <w:rsid w:val="00B871B6"/>
    <w:rsid w:val="00B87873"/>
    <w:rsid w:val="00B910D3"/>
    <w:rsid w:val="00B94C5B"/>
    <w:rsid w:val="00B96708"/>
    <w:rsid w:val="00B9790D"/>
    <w:rsid w:val="00BA0FCC"/>
    <w:rsid w:val="00BA78F3"/>
    <w:rsid w:val="00BB060E"/>
    <w:rsid w:val="00BB4DFA"/>
    <w:rsid w:val="00BC4C76"/>
    <w:rsid w:val="00BC5947"/>
    <w:rsid w:val="00BD28D0"/>
    <w:rsid w:val="00BD739A"/>
    <w:rsid w:val="00BE3483"/>
    <w:rsid w:val="00BE648F"/>
    <w:rsid w:val="00BF0277"/>
    <w:rsid w:val="00BF08E4"/>
    <w:rsid w:val="00BF21AB"/>
    <w:rsid w:val="00BF2F23"/>
    <w:rsid w:val="00BF37F8"/>
    <w:rsid w:val="00BF3F09"/>
    <w:rsid w:val="00BF7410"/>
    <w:rsid w:val="00C0085A"/>
    <w:rsid w:val="00C00B4A"/>
    <w:rsid w:val="00C10009"/>
    <w:rsid w:val="00C14080"/>
    <w:rsid w:val="00C14115"/>
    <w:rsid w:val="00C2022C"/>
    <w:rsid w:val="00C214FD"/>
    <w:rsid w:val="00C31A71"/>
    <w:rsid w:val="00C40CDF"/>
    <w:rsid w:val="00C419D1"/>
    <w:rsid w:val="00C54AE8"/>
    <w:rsid w:val="00C55D28"/>
    <w:rsid w:val="00C56963"/>
    <w:rsid w:val="00C6030C"/>
    <w:rsid w:val="00C61A14"/>
    <w:rsid w:val="00C667F9"/>
    <w:rsid w:val="00C7025D"/>
    <w:rsid w:val="00C71A2F"/>
    <w:rsid w:val="00C80D69"/>
    <w:rsid w:val="00C8248E"/>
    <w:rsid w:val="00C83CAC"/>
    <w:rsid w:val="00C84047"/>
    <w:rsid w:val="00C85C84"/>
    <w:rsid w:val="00C913D4"/>
    <w:rsid w:val="00C94770"/>
    <w:rsid w:val="00C95991"/>
    <w:rsid w:val="00C96101"/>
    <w:rsid w:val="00C97272"/>
    <w:rsid w:val="00CA0F8D"/>
    <w:rsid w:val="00CB1EB9"/>
    <w:rsid w:val="00CB33E3"/>
    <w:rsid w:val="00CB4983"/>
    <w:rsid w:val="00CB67CF"/>
    <w:rsid w:val="00CB693F"/>
    <w:rsid w:val="00CC261E"/>
    <w:rsid w:val="00CC4DF5"/>
    <w:rsid w:val="00CC601C"/>
    <w:rsid w:val="00CC6BCB"/>
    <w:rsid w:val="00CD0BA2"/>
    <w:rsid w:val="00CD321B"/>
    <w:rsid w:val="00CD3C55"/>
    <w:rsid w:val="00CD5C64"/>
    <w:rsid w:val="00CD78E9"/>
    <w:rsid w:val="00CE0F8A"/>
    <w:rsid w:val="00CE120A"/>
    <w:rsid w:val="00CE140C"/>
    <w:rsid w:val="00CE209C"/>
    <w:rsid w:val="00CE2C98"/>
    <w:rsid w:val="00CE608E"/>
    <w:rsid w:val="00CE688A"/>
    <w:rsid w:val="00CF1BC8"/>
    <w:rsid w:val="00CF37CD"/>
    <w:rsid w:val="00CF3BA8"/>
    <w:rsid w:val="00CF7BFC"/>
    <w:rsid w:val="00D022F2"/>
    <w:rsid w:val="00D03C03"/>
    <w:rsid w:val="00D0496B"/>
    <w:rsid w:val="00D05F5E"/>
    <w:rsid w:val="00D076AA"/>
    <w:rsid w:val="00D1145D"/>
    <w:rsid w:val="00D1379E"/>
    <w:rsid w:val="00D14FBD"/>
    <w:rsid w:val="00D16AE8"/>
    <w:rsid w:val="00D20126"/>
    <w:rsid w:val="00D3253B"/>
    <w:rsid w:val="00D36D67"/>
    <w:rsid w:val="00D36EA3"/>
    <w:rsid w:val="00D42563"/>
    <w:rsid w:val="00D42D55"/>
    <w:rsid w:val="00D475F8"/>
    <w:rsid w:val="00D53E62"/>
    <w:rsid w:val="00D56908"/>
    <w:rsid w:val="00D602CF"/>
    <w:rsid w:val="00D674CE"/>
    <w:rsid w:val="00D70F58"/>
    <w:rsid w:val="00D76DF2"/>
    <w:rsid w:val="00D802CA"/>
    <w:rsid w:val="00D811D5"/>
    <w:rsid w:val="00D877A3"/>
    <w:rsid w:val="00D87995"/>
    <w:rsid w:val="00D94449"/>
    <w:rsid w:val="00D9555A"/>
    <w:rsid w:val="00D957BB"/>
    <w:rsid w:val="00D9589F"/>
    <w:rsid w:val="00D964C4"/>
    <w:rsid w:val="00D97FFC"/>
    <w:rsid w:val="00DA10E1"/>
    <w:rsid w:val="00DA24EB"/>
    <w:rsid w:val="00DA7F1B"/>
    <w:rsid w:val="00DB4A10"/>
    <w:rsid w:val="00DC0992"/>
    <w:rsid w:val="00DC0CF1"/>
    <w:rsid w:val="00DC10E7"/>
    <w:rsid w:val="00DC2917"/>
    <w:rsid w:val="00DD0800"/>
    <w:rsid w:val="00DD1167"/>
    <w:rsid w:val="00DD5B57"/>
    <w:rsid w:val="00DD65BA"/>
    <w:rsid w:val="00DE36E1"/>
    <w:rsid w:val="00DE6339"/>
    <w:rsid w:val="00DE6654"/>
    <w:rsid w:val="00DE6AF1"/>
    <w:rsid w:val="00DF1763"/>
    <w:rsid w:val="00DF1C01"/>
    <w:rsid w:val="00DF2D50"/>
    <w:rsid w:val="00E0028C"/>
    <w:rsid w:val="00E106E5"/>
    <w:rsid w:val="00E13585"/>
    <w:rsid w:val="00E14DEF"/>
    <w:rsid w:val="00E229BC"/>
    <w:rsid w:val="00E258AA"/>
    <w:rsid w:val="00E2686B"/>
    <w:rsid w:val="00E27AE8"/>
    <w:rsid w:val="00E41356"/>
    <w:rsid w:val="00E42474"/>
    <w:rsid w:val="00E44AB1"/>
    <w:rsid w:val="00E45FD5"/>
    <w:rsid w:val="00E4741B"/>
    <w:rsid w:val="00E52C94"/>
    <w:rsid w:val="00E54C48"/>
    <w:rsid w:val="00E67E02"/>
    <w:rsid w:val="00E723A5"/>
    <w:rsid w:val="00E74DD2"/>
    <w:rsid w:val="00E75138"/>
    <w:rsid w:val="00E75ABF"/>
    <w:rsid w:val="00E763E9"/>
    <w:rsid w:val="00E772E9"/>
    <w:rsid w:val="00E8263E"/>
    <w:rsid w:val="00E91AC8"/>
    <w:rsid w:val="00E94AA4"/>
    <w:rsid w:val="00E96655"/>
    <w:rsid w:val="00E96B4B"/>
    <w:rsid w:val="00EA025F"/>
    <w:rsid w:val="00EA55D0"/>
    <w:rsid w:val="00EB215F"/>
    <w:rsid w:val="00EB244D"/>
    <w:rsid w:val="00EB7975"/>
    <w:rsid w:val="00EC125C"/>
    <w:rsid w:val="00ED09AE"/>
    <w:rsid w:val="00ED5C81"/>
    <w:rsid w:val="00ED61FA"/>
    <w:rsid w:val="00EE082A"/>
    <w:rsid w:val="00EE1A6E"/>
    <w:rsid w:val="00EE2AD2"/>
    <w:rsid w:val="00EE6F4A"/>
    <w:rsid w:val="00EF5668"/>
    <w:rsid w:val="00EF6687"/>
    <w:rsid w:val="00F0285F"/>
    <w:rsid w:val="00F037CD"/>
    <w:rsid w:val="00F068F4"/>
    <w:rsid w:val="00F16063"/>
    <w:rsid w:val="00F1692B"/>
    <w:rsid w:val="00F1786B"/>
    <w:rsid w:val="00F21795"/>
    <w:rsid w:val="00F279DD"/>
    <w:rsid w:val="00F34F5C"/>
    <w:rsid w:val="00F35E0E"/>
    <w:rsid w:val="00F35FBF"/>
    <w:rsid w:val="00F40F02"/>
    <w:rsid w:val="00F46C5D"/>
    <w:rsid w:val="00F54F57"/>
    <w:rsid w:val="00F56F9D"/>
    <w:rsid w:val="00F570C3"/>
    <w:rsid w:val="00F57900"/>
    <w:rsid w:val="00F57DEC"/>
    <w:rsid w:val="00F61260"/>
    <w:rsid w:val="00F62183"/>
    <w:rsid w:val="00F6254A"/>
    <w:rsid w:val="00F77A81"/>
    <w:rsid w:val="00F840E0"/>
    <w:rsid w:val="00F90DB5"/>
    <w:rsid w:val="00F946A4"/>
    <w:rsid w:val="00F96CA9"/>
    <w:rsid w:val="00F973DF"/>
    <w:rsid w:val="00FA0164"/>
    <w:rsid w:val="00FA46BD"/>
    <w:rsid w:val="00FA71E2"/>
    <w:rsid w:val="00FB0A8C"/>
    <w:rsid w:val="00FB14DD"/>
    <w:rsid w:val="00FB7B12"/>
    <w:rsid w:val="00FC334A"/>
    <w:rsid w:val="00FE2478"/>
    <w:rsid w:val="00FE29CE"/>
    <w:rsid w:val="00FE56DA"/>
    <w:rsid w:val="00FE5AAB"/>
    <w:rsid w:val="00FE7F48"/>
    <w:rsid w:val="00FF18F1"/>
    <w:rsid w:val="00FF464C"/>
    <w:rsid w:val="00FF5282"/>
    <w:rsid w:val="00FF654E"/>
    <w:rsid w:val="00FF6AE8"/>
    <w:rsid w:val="00FF6EC4"/>
    <w:rsid w:val="00FF7B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22411E"/>
  <w15:chartTrackingRefBased/>
  <w15:docId w15:val="{C3AEFC6B-7191-401F-A05C-07D8992F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250"/>
    <w:rPr>
      <w:rFonts w:eastAsiaTheme="majorEastAsia" w:cstheme="majorBidi"/>
      <w:color w:val="272727" w:themeColor="text1" w:themeTint="D8"/>
    </w:rPr>
  </w:style>
  <w:style w:type="paragraph" w:styleId="Title">
    <w:name w:val="Title"/>
    <w:basedOn w:val="Normal"/>
    <w:next w:val="Normal"/>
    <w:link w:val="TitleChar"/>
    <w:uiPriority w:val="10"/>
    <w:qFormat/>
    <w:rsid w:val="009A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250"/>
    <w:pPr>
      <w:spacing w:before="160"/>
      <w:jc w:val="center"/>
    </w:pPr>
    <w:rPr>
      <w:i/>
      <w:iCs/>
      <w:color w:val="404040" w:themeColor="text1" w:themeTint="BF"/>
    </w:rPr>
  </w:style>
  <w:style w:type="character" w:customStyle="1" w:styleId="QuoteChar">
    <w:name w:val="Quote Char"/>
    <w:basedOn w:val="DefaultParagraphFont"/>
    <w:link w:val="Quote"/>
    <w:uiPriority w:val="29"/>
    <w:rsid w:val="009A1250"/>
    <w:rPr>
      <w:i/>
      <w:iCs/>
      <w:color w:val="404040" w:themeColor="text1" w:themeTint="BF"/>
    </w:rPr>
  </w:style>
  <w:style w:type="paragraph" w:styleId="ListParagraph">
    <w:name w:val="List Paragraph"/>
    <w:basedOn w:val="Normal"/>
    <w:uiPriority w:val="34"/>
    <w:qFormat/>
    <w:rsid w:val="009A1250"/>
    <w:pPr>
      <w:ind w:left="720"/>
      <w:contextualSpacing/>
    </w:pPr>
  </w:style>
  <w:style w:type="character" w:styleId="IntenseEmphasis">
    <w:name w:val="Intense Emphasis"/>
    <w:basedOn w:val="DefaultParagraphFont"/>
    <w:uiPriority w:val="21"/>
    <w:qFormat/>
    <w:rsid w:val="009A1250"/>
    <w:rPr>
      <w:i/>
      <w:iCs/>
      <w:color w:val="2F5496" w:themeColor="accent1" w:themeShade="BF"/>
    </w:rPr>
  </w:style>
  <w:style w:type="paragraph" w:styleId="IntenseQuote">
    <w:name w:val="Intense Quote"/>
    <w:basedOn w:val="Normal"/>
    <w:next w:val="Normal"/>
    <w:link w:val="IntenseQuoteChar"/>
    <w:uiPriority w:val="30"/>
    <w:qFormat/>
    <w:rsid w:val="009A1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250"/>
    <w:rPr>
      <w:i/>
      <w:iCs/>
      <w:color w:val="2F5496" w:themeColor="accent1" w:themeShade="BF"/>
    </w:rPr>
  </w:style>
  <w:style w:type="character" w:styleId="IntenseReference">
    <w:name w:val="Intense Reference"/>
    <w:basedOn w:val="DefaultParagraphFont"/>
    <w:uiPriority w:val="32"/>
    <w:qFormat/>
    <w:rsid w:val="009A1250"/>
    <w:rPr>
      <w:b/>
      <w:bCs/>
      <w:smallCaps/>
      <w:color w:val="2F5496" w:themeColor="accent1" w:themeShade="BF"/>
      <w:spacing w:val="5"/>
    </w:rPr>
  </w:style>
  <w:style w:type="paragraph" w:styleId="Header">
    <w:name w:val="header"/>
    <w:basedOn w:val="Normal"/>
    <w:link w:val="HeaderChar"/>
    <w:uiPriority w:val="99"/>
    <w:unhideWhenUsed/>
    <w:rsid w:val="00243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67E"/>
  </w:style>
  <w:style w:type="paragraph" w:styleId="Footer">
    <w:name w:val="footer"/>
    <w:basedOn w:val="Normal"/>
    <w:link w:val="FooterChar"/>
    <w:uiPriority w:val="99"/>
    <w:unhideWhenUsed/>
    <w:rsid w:val="00243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7E"/>
  </w:style>
  <w:style w:type="numbering" w:customStyle="1" w:styleId="WWNum10">
    <w:name w:val="WWNum10"/>
    <w:basedOn w:val="NoList"/>
    <w:rsid w:val="001A35D3"/>
    <w:pPr>
      <w:numPr>
        <w:numId w:val="2"/>
      </w:numPr>
    </w:pPr>
  </w:style>
  <w:style w:type="paragraph" w:styleId="NormalWeb">
    <w:name w:val="Normal (Web)"/>
    <w:basedOn w:val="Normal"/>
    <w:uiPriority w:val="99"/>
    <w:semiHidden/>
    <w:unhideWhenUsed/>
    <w:rsid w:val="001658A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1658AE"/>
    <w:rPr>
      <w:i/>
      <w:iCs/>
    </w:rPr>
  </w:style>
  <w:style w:type="character" w:styleId="Strong">
    <w:name w:val="Strong"/>
    <w:basedOn w:val="DefaultParagraphFont"/>
    <w:uiPriority w:val="22"/>
    <w:qFormat/>
    <w:rsid w:val="001658AE"/>
    <w:rPr>
      <w:b/>
      <w:bCs/>
    </w:rPr>
  </w:style>
  <w:style w:type="character" w:styleId="Hyperlink">
    <w:name w:val="Hyperlink"/>
    <w:basedOn w:val="DefaultParagraphFont"/>
    <w:unhideWhenUsed/>
    <w:rsid w:val="00FB7B12"/>
    <w:rPr>
      <w:color w:val="0563C1"/>
      <w:u w:val="single" w:color="000000"/>
    </w:rPr>
  </w:style>
  <w:style w:type="paragraph" w:customStyle="1" w:styleId="Standard">
    <w:name w:val="Standard"/>
    <w:rsid w:val="00FB7B12"/>
    <w:pPr>
      <w:suppressAutoHyphens/>
      <w:autoSpaceDN w:val="0"/>
      <w:spacing w:line="240" w:lineRule="auto"/>
    </w:pPr>
    <w:rPr>
      <w:rFonts w:ascii="Calibri" w:eastAsia="SimSun" w:hAnsi="Calibri" w:cs="Calibri"/>
      <w:kern w:val="3"/>
    </w:rPr>
  </w:style>
  <w:style w:type="character" w:styleId="UnresolvedMention">
    <w:name w:val="Unresolved Mention"/>
    <w:basedOn w:val="DefaultParagraphFont"/>
    <w:uiPriority w:val="99"/>
    <w:semiHidden/>
    <w:unhideWhenUsed/>
    <w:rsid w:val="00D957BB"/>
    <w:rPr>
      <w:color w:val="605E5C"/>
      <w:shd w:val="clear" w:color="auto" w:fill="E1DFDD"/>
    </w:rPr>
  </w:style>
  <w:style w:type="table" w:styleId="TableGrid">
    <w:name w:val="Table Grid"/>
    <w:basedOn w:val="TableNormal"/>
    <w:uiPriority w:val="39"/>
    <w:rsid w:val="00DB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89157">
      <w:bodyDiv w:val="1"/>
      <w:marLeft w:val="0"/>
      <w:marRight w:val="0"/>
      <w:marTop w:val="0"/>
      <w:marBottom w:val="0"/>
      <w:divBdr>
        <w:top w:val="none" w:sz="0" w:space="0" w:color="auto"/>
        <w:left w:val="none" w:sz="0" w:space="0" w:color="auto"/>
        <w:bottom w:val="none" w:sz="0" w:space="0" w:color="auto"/>
        <w:right w:val="none" w:sz="0" w:space="0" w:color="auto"/>
      </w:divBdr>
    </w:div>
    <w:div w:id="917598917">
      <w:bodyDiv w:val="1"/>
      <w:marLeft w:val="0"/>
      <w:marRight w:val="0"/>
      <w:marTop w:val="0"/>
      <w:marBottom w:val="0"/>
      <w:divBdr>
        <w:top w:val="none" w:sz="0" w:space="0" w:color="auto"/>
        <w:left w:val="none" w:sz="0" w:space="0" w:color="auto"/>
        <w:bottom w:val="none" w:sz="0" w:space="0" w:color="auto"/>
        <w:right w:val="none" w:sz="0" w:space="0" w:color="auto"/>
      </w:divBdr>
    </w:div>
    <w:div w:id="944459551">
      <w:bodyDiv w:val="1"/>
      <w:marLeft w:val="0"/>
      <w:marRight w:val="0"/>
      <w:marTop w:val="0"/>
      <w:marBottom w:val="0"/>
      <w:divBdr>
        <w:top w:val="none" w:sz="0" w:space="0" w:color="auto"/>
        <w:left w:val="none" w:sz="0" w:space="0" w:color="auto"/>
        <w:bottom w:val="none" w:sz="0" w:space="0" w:color="auto"/>
        <w:right w:val="none" w:sz="0" w:space="0" w:color="auto"/>
      </w:divBdr>
    </w:div>
    <w:div w:id="1459446048">
      <w:bodyDiv w:val="1"/>
      <w:marLeft w:val="0"/>
      <w:marRight w:val="0"/>
      <w:marTop w:val="0"/>
      <w:marBottom w:val="0"/>
      <w:divBdr>
        <w:top w:val="none" w:sz="0" w:space="0" w:color="auto"/>
        <w:left w:val="none" w:sz="0" w:space="0" w:color="auto"/>
        <w:bottom w:val="none" w:sz="0" w:space="0" w:color="auto"/>
        <w:right w:val="none" w:sz="0" w:space="0" w:color="auto"/>
      </w:divBdr>
    </w:div>
    <w:div w:id="1791388023">
      <w:bodyDiv w:val="1"/>
      <w:marLeft w:val="0"/>
      <w:marRight w:val="0"/>
      <w:marTop w:val="0"/>
      <w:marBottom w:val="0"/>
      <w:divBdr>
        <w:top w:val="none" w:sz="0" w:space="0" w:color="auto"/>
        <w:left w:val="none" w:sz="0" w:space="0" w:color="auto"/>
        <w:bottom w:val="none" w:sz="0" w:space="0" w:color="auto"/>
        <w:right w:val="none" w:sz="0" w:space="0" w:color="auto"/>
      </w:divBdr>
      <w:divsChild>
        <w:div w:id="336732652">
          <w:marLeft w:val="0"/>
          <w:marRight w:val="0"/>
          <w:marTop w:val="0"/>
          <w:marBottom w:val="0"/>
          <w:divBdr>
            <w:top w:val="none" w:sz="0" w:space="0" w:color="auto"/>
            <w:left w:val="none" w:sz="0" w:space="0" w:color="auto"/>
            <w:bottom w:val="none" w:sz="0" w:space="0" w:color="auto"/>
            <w:right w:val="none" w:sz="0" w:space="0" w:color="auto"/>
          </w:divBdr>
          <w:divsChild>
            <w:div w:id="1948389007">
              <w:marLeft w:val="0"/>
              <w:marRight w:val="0"/>
              <w:marTop w:val="0"/>
              <w:marBottom w:val="0"/>
              <w:divBdr>
                <w:top w:val="none" w:sz="0" w:space="0" w:color="auto"/>
                <w:left w:val="none" w:sz="0" w:space="0" w:color="auto"/>
                <w:bottom w:val="none" w:sz="0" w:space="0" w:color="auto"/>
                <w:right w:val="none" w:sz="0" w:space="0" w:color="auto"/>
              </w:divBdr>
              <w:divsChild>
                <w:div w:id="43723298">
                  <w:marLeft w:val="0"/>
                  <w:marRight w:val="0"/>
                  <w:marTop w:val="0"/>
                  <w:marBottom w:val="0"/>
                  <w:divBdr>
                    <w:top w:val="none" w:sz="0" w:space="0" w:color="auto"/>
                    <w:left w:val="none" w:sz="0" w:space="0" w:color="auto"/>
                    <w:bottom w:val="none" w:sz="0" w:space="0" w:color="auto"/>
                    <w:right w:val="none" w:sz="0" w:space="0" w:color="auto"/>
                  </w:divBdr>
                  <w:divsChild>
                    <w:div w:id="355618194">
                      <w:marLeft w:val="0"/>
                      <w:marRight w:val="0"/>
                      <w:marTop w:val="0"/>
                      <w:marBottom w:val="0"/>
                      <w:divBdr>
                        <w:top w:val="none" w:sz="0" w:space="0" w:color="auto"/>
                        <w:left w:val="none" w:sz="0" w:space="0" w:color="auto"/>
                        <w:bottom w:val="none" w:sz="0" w:space="0" w:color="auto"/>
                        <w:right w:val="none" w:sz="0" w:space="0" w:color="auto"/>
                      </w:divBdr>
                      <w:divsChild>
                        <w:div w:id="867721717">
                          <w:marLeft w:val="0"/>
                          <w:marRight w:val="0"/>
                          <w:marTop w:val="0"/>
                          <w:marBottom w:val="0"/>
                          <w:divBdr>
                            <w:top w:val="none" w:sz="0" w:space="0" w:color="auto"/>
                            <w:left w:val="none" w:sz="0" w:space="0" w:color="auto"/>
                            <w:bottom w:val="none" w:sz="0" w:space="0" w:color="auto"/>
                            <w:right w:val="none" w:sz="0" w:space="0" w:color="auto"/>
                          </w:divBdr>
                          <w:divsChild>
                            <w:div w:id="3033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29552">
                  <w:marLeft w:val="0"/>
                  <w:marRight w:val="0"/>
                  <w:marTop w:val="0"/>
                  <w:marBottom w:val="0"/>
                  <w:divBdr>
                    <w:top w:val="none" w:sz="0" w:space="0" w:color="auto"/>
                    <w:left w:val="none" w:sz="0" w:space="0" w:color="auto"/>
                    <w:bottom w:val="none" w:sz="0" w:space="0" w:color="auto"/>
                    <w:right w:val="none" w:sz="0" w:space="0" w:color="auto"/>
                  </w:divBdr>
                  <w:divsChild>
                    <w:div w:id="2027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21537">
      <w:bodyDiv w:val="1"/>
      <w:marLeft w:val="0"/>
      <w:marRight w:val="0"/>
      <w:marTop w:val="0"/>
      <w:marBottom w:val="0"/>
      <w:divBdr>
        <w:top w:val="none" w:sz="0" w:space="0" w:color="auto"/>
        <w:left w:val="none" w:sz="0" w:space="0" w:color="auto"/>
        <w:bottom w:val="none" w:sz="0" w:space="0" w:color="auto"/>
        <w:right w:val="none" w:sz="0" w:space="0" w:color="auto"/>
      </w:divBdr>
    </w:div>
    <w:div w:id="2017996898">
      <w:bodyDiv w:val="1"/>
      <w:marLeft w:val="0"/>
      <w:marRight w:val="0"/>
      <w:marTop w:val="0"/>
      <w:marBottom w:val="0"/>
      <w:divBdr>
        <w:top w:val="none" w:sz="0" w:space="0" w:color="auto"/>
        <w:left w:val="none" w:sz="0" w:space="0" w:color="auto"/>
        <w:bottom w:val="none" w:sz="0" w:space="0" w:color="auto"/>
        <w:right w:val="none" w:sz="0" w:space="0" w:color="auto"/>
      </w:divBdr>
    </w:div>
    <w:div w:id="2059550642">
      <w:bodyDiv w:val="1"/>
      <w:marLeft w:val="0"/>
      <w:marRight w:val="0"/>
      <w:marTop w:val="0"/>
      <w:marBottom w:val="0"/>
      <w:divBdr>
        <w:top w:val="none" w:sz="0" w:space="0" w:color="auto"/>
        <w:left w:val="none" w:sz="0" w:space="0" w:color="auto"/>
        <w:bottom w:val="none" w:sz="0" w:space="0" w:color="auto"/>
        <w:right w:val="none" w:sz="0" w:space="0" w:color="auto"/>
      </w:divBdr>
    </w:div>
    <w:div w:id="21450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oc10040086" TargetMode="External"/><Relationship Id="rId18" Type="http://schemas.openxmlformats.org/officeDocument/2006/relationships/hyperlink" Target="https://doi.org/10.1177/0735633116656848" TargetMode="External"/><Relationship Id="rId26" Type="http://schemas.openxmlformats.org/officeDocument/2006/relationships/hyperlink" Target="https://doi.org/10.28945/3547" TargetMode="External"/><Relationship Id="rId21" Type="http://schemas.openxmlformats.org/officeDocument/2006/relationships/hyperlink" Target="https://doi.org/10.1111/j.1467-9620.2006.00684.x" TargetMode="External"/><Relationship Id="rId34" Type="http://schemas.openxmlformats.org/officeDocument/2006/relationships/footer" Target="footer2.xml"/><Relationship Id="rId7" Type="http://schemas.openxmlformats.org/officeDocument/2006/relationships/hyperlink" Target="https://doi.org/10.33902/JPSP.2020261309" TargetMode="External"/><Relationship Id="rId12" Type="http://schemas.openxmlformats.org/officeDocument/2006/relationships/hyperlink" Target="https://doi.org/10.1177/0047239520934018" TargetMode="External"/><Relationship Id="rId17" Type="http://schemas.openxmlformats.org/officeDocument/2006/relationships/hyperlink" Target="https://citejournal.org/volume-9/issue-1-09/general/what-is-technological-pedagogicalcontent-knowledge" TargetMode="External"/><Relationship Id="rId25" Type="http://schemas.openxmlformats.org/officeDocument/2006/relationships/hyperlink" Target="https://doi.org/10.1016/j.ijedudev.2021.10244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r.educause.edu/articles/2020/3/the-difference-between-emergency-remote-teaching-and-online-learning" TargetMode="External"/><Relationship Id="rId20" Type="http://schemas.openxmlformats.org/officeDocument/2006/relationships/hyperlink" Target="https://doi.org/10.1016/j.ijedro.2020.100012" TargetMode="External"/><Relationship Id="rId29" Type="http://schemas.openxmlformats.org/officeDocument/2006/relationships/hyperlink" Target="https://doi.org/10.1186/s41239-020-0023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191/ajue.v16i2.10294" TargetMode="External"/><Relationship Id="rId24" Type="http://schemas.openxmlformats.org/officeDocument/2006/relationships/hyperlink" Target="https://doi.org/10.1108/1074812011042481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0313831.2016.1172501" TargetMode="External"/><Relationship Id="rId23" Type="http://schemas.openxmlformats.org/officeDocument/2006/relationships/hyperlink" Target="https://doi.org/10.1016/j.compedu.2016.02.002" TargetMode="External"/><Relationship Id="rId28" Type="http://schemas.openxmlformats.org/officeDocument/2006/relationships/hyperlink" Target="https://doi.org/10.2307/30036540" TargetMode="External"/><Relationship Id="rId36" Type="http://schemas.openxmlformats.org/officeDocument/2006/relationships/footer" Target="footer3.xml"/><Relationship Id="rId10" Type="http://schemas.openxmlformats.org/officeDocument/2006/relationships/hyperlink" Target="https://doi.org/10.4324/9780203074336" TargetMode="External"/><Relationship Id="rId19" Type="http://schemas.openxmlformats.org/officeDocument/2006/relationships/hyperlink" Target="https://doi.org/10.1080/02619768.2020.180965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2/hbe2.191" TargetMode="External"/><Relationship Id="rId14" Type="http://schemas.openxmlformats.org/officeDocument/2006/relationships/hyperlink" Target="https://doi.org/10.1007/s10639-020-10176-6" TargetMode="External"/><Relationship Id="rId22" Type="http://schemas.openxmlformats.org/officeDocument/2006/relationships/hyperlink" Target="https://www.education.gov.in/sites/upload_files/mhrd/files/NEP_Final_English_0.pdf" TargetMode="External"/><Relationship Id="rId27" Type="http://schemas.openxmlformats.org/officeDocument/2006/relationships/hyperlink" Target="https://doi.org/10.1007/s11423-016-9481-2" TargetMode="External"/><Relationship Id="rId30" Type="http://schemas.openxmlformats.org/officeDocument/2006/relationships/hyperlink" Target="https://doi.org/10.1016/j.learninstruc.2010.03.001" TargetMode="External"/><Relationship Id="rId35" Type="http://schemas.openxmlformats.org/officeDocument/2006/relationships/header" Target="header3.xml"/><Relationship Id="rId8" Type="http://schemas.openxmlformats.org/officeDocument/2006/relationships/hyperlink" Target="https://doi.org/10.3390/educsci1301008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3618</TotalTime>
  <Pages>14</Pages>
  <Words>8070</Words>
  <Characters>46001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systemadmin sangamuniversity</dc:creator>
  <cp:keywords/>
  <dc:description/>
  <cp:lastModifiedBy>SDI 1084</cp:lastModifiedBy>
  <cp:revision>727</cp:revision>
  <dcterms:created xsi:type="dcterms:W3CDTF">2025-06-19T05:05:00Z</dcterms:created>
  <dcterms:modified xsi:type="dcterms:W3CDTF">2026-04-25T13:54:00Z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a74a7222-c75d-44e2-9007-c95fa6574d64</vt:lpwstr>
  </property>
</Properties>
</file>