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8E09" w14:textId="26055A77" w:rsidR="007563ED" w:rsidRDefault="00E7509C" w:rsidP="00EE25F8">
      <w:pPr>
        <w:tabs>
          <w:tab w:val="left" w:pos="1356"/>
        </w:tabs>
        <w:contextualSpacing/>
        <w:jc w:val="center"/>
        <w:rPr>
          <w:rFonts w:asciiTheme="majorBidi" w:hAnsiTheme="majorBidi" w:cstheme="majorBidi"/>
          <w:b/>
          <w:bCs/>
          <w:sz w:val="24"/>
          <w:szCs w:val="24"/>
        </w:rPr>
      </w:pPr>
      <w:r>
        <w:rPr>
          <w:rFonts w:asciiTheme="majorBidi" w:hAnsiTheme="majorBidi" w:cstheme="majorBidi"/>
          <w:b/>
          <w:bCs/>
          <w:sz w:val="24"/>
          <w:szCs w:val="24"/>
        </w:rPr>
        <w:t>Developing Individualized Education Programs</w:t>
      </w:r>
      <w:r w:rsidR="007563ED">
        <w:rPr>
          <w:rFonts w:asciiTheme="majorBidi" w:hAnsiTheme="majorBidi" w:cstheme="majorBidi"/>
          <w:b/>
          <w:bCs/>
          <w:sz w:val="24"/>
          <w:szCs w:val="24"/>
        </w:rPr>
        <w:t xml:space="preserve"> for </w:t>
      </w:r>
      <w:r>
        <w:rPr>
          <w:rFonts w:asciiTheme="majorBidi" w:hAnsiTheme="majorBidi" w:cstheme="majorBidi"/>
          <w:b/>
          <w:bCs/>
          <w:sz w:val="24"/>
          <w:szCs w:val="24"/>
        </w:rPr>
        <w:t>Students</w:t>
      </w:r>
      <w:r w:rsidR="007563ED">
        <w:rPr>
          <w:rFonts w:asciiTheme="majorBidi" w:hAnsiTheme="majorBidi" w:cstheme="majorBidi"/>
          <w:b/>
          <w:bCs/>
          <w:sz w:val="24"/>
          <w:szCs w:val="24"/>
        </w:rPr>
        <w:t xml:space="preserve"> with </w:t>
      </w:r>
      <w:r>
        <w:rPr>
          <w:rFonts w:asciiTheme="majorBidi" w:hAnsiTheme="majorBidi" w:cstheme="majorBidi"/>
          <w:b/>
          <w:bCs/>
          <w:sz w:val="24"/>
          <w:szCs w:val="24"/>
        </w:rPr>
        <w:t>Multiple Disabilities</w:t>
      </w:r>
    </w:p>
    <w:p w14:paraId="31690C30" w14:textId="77777777" w:rsidR="00EE25F8" w:rsidRDefault="00EE25F8" w:rsidP="007563ED">
      <w:pPr>
        <w:tabs>
          <w:tab w:val="left" w:pos="1356"/>
        </w:tabs>
        <w:contextualSpacing/>
        <w:jc w:val="center"/>
        <w:rPr>
          <w:rFonts w:asciiTheme="majorBidi" w:hAnsiTheme="majorBidi" w:cstheme="majorBidi"/>
          <w:b/>
          <w:bCs/>
          <w:sz w:val="24"/>
          <w:szCs w:val="24"/>
        </w:rPr>
      </w:pPr>
    </w:p>
    <w:p w14:paraId="4675156C" w14:textId="77777777" w:rsidR="00B344D7" w:rsidRDefault="00B344D7" w:rsidP="00B344D7">
      <w:pPr>
        <w:contextualSpacing/>
        <w:rPr>
          <w:rFonts w:asciiTheme="majorBidi" w:hAnsiTheme="majorBidi" w:cstheme="majorBidi"/>
          <w:i/>
          <w:iCs/>
          <w:sz w:val="24"/>
          <w:szCs w:val="24"/>
        </w:rPr>
      </w:pPr>
      <w:bookmarkStart w:id="0" w:name="_GoBack"/>
      <w:bookmarkEnd w:id="0"/>
    </w:p>
    <w:p w14:paraId="24F98768" w14:textId="77777777" w:rsidR="00EE25F8" w:rsidRDefault="00EE25F8" w:rsidP="00B344D7">
      <w:pPr>
        <w:contextualSpacing/>
        <w:rPr>
          <w:rFonts w:asciiTheme="majorBidi" w:hAnsiTheme="majorBidi" w:cstheme="majorBidi"/>
          <w:i/>
          <w:iCs/>
          <w:sz w:val="24"/>
          <w:szCs w:val="24"/>
        </w:rPr>
        <w:sectPr w:rsidR="00EE25F8" w:rsidSect="00C010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08"/>
          <w:docGrid w:linePitch="299"/>
        </w:sectPr>
      </w:pPr>
    </w:p>
    <w:p w14:paraId="12B6B007" w14:textId="55A130CE" w:rsidR="00B344D7" w:rsidRDefault="00D0266C" w:rsidP="002C753E">
      <w:pPr>
        <w:contextualSpacing/>
        <w:jc w:val="center"/>
        <w:rPr>
          <w:rFonts w:asciiTheme="majorBidi" w:hAnsiTheme="majorBidi" w:cstheme="majorBidi"/>
          <w:sz w:val="24"/>
          <w:szCs w:val="24"/>
        </w:rPr>
      </w:pPr>
      <w:r>
        <w:rPr>
          <w:rFonts w:asciiTheme="majorBidi" w:hAnsiTheme="majorBidi" w:cstheme="majorBidi"/>
          <w:sz w:val="24"/>
          <w:szCs w:val="24"/>
        </w:rPr>
        <w:t>Abstract</w:t>
      </w:r>
    </w:p>
    <w:p w14:paraId="4353D4E9" w14:textId="77777777" w:rsidR="001748ED" w:rsidRDefault="001748ED" w:rsidP="001748ED">
      <w:pPr>
        <w:contextualSpacing/>
        <w:rPr>
          <w:rFonts w:asciiTheme="majorBidi" w:hAnsiTheme="majorBidi" w:cstheme="majorBidi"/>
          <w:sz w:val="24"/>
          <w:szCs w:val="24"/>
        </w:rPr>
        <w:sectPr w:rsidR="001748ED" w:rsidSect="00C01032">
          <w:type w:val="continuous"/>
          <w:pgSz w:w="12240" w:h="15840" w:code="1"/>
          <w:pgMar w:top="1440" w:right="1440" w:bottom="1440" w:left="1440" w:header="720" w:footer="720" w:gutter="0"/>
          <w:cols w:space="708"/>
          <w:docGrid w:linePitch="299"/>
        </w:sectPr>
      </w:pPr>
    </w:p>
    <w:p w14:paraId="7E1D4701"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This study examined how Individualized Education Programs (IEPs) are developed and implemented for students with multiple disabilities, with particular attention to the gap between academic instruction and the functional life skills needed for transition readiness. A qualitative case study approach was used to explore how IEPs address academic, behavioral, social, and functional domains.</w:t>
      </w:r>
    </w:p>
    <w:p w14:paraId="4439F071"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The study involved two elementary students in a specialized school in Saudi Arabia, along with key stakeholders, including parents, teachers, therapists, and administrators. Data were gathered through interviews, classroom and therapy observations, and document analysis, and were analyzed using thematic analysis.</w:t>
      </w:r>
    </w:p>
    <w:p w14:paraId="7DC9FB49"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The findings indicate that IEPs tend to focus heavily on academic goals, with limited attention to functional life skills and transition planning. A noticeable disconnect between classroom instruction and therapy-based interventions further constrained students’ preparation for independent living.</w:t>
      </w:r>
    </w:p>
    <w:p w14:paraId="48BA105D" w14:textId="7777777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These findings highlight the need for a more holistic and collaborative approach to IEP development. Integrating functional life skills and strengthening coordination among stakeholders can improve the relevance and effectiveness of IEPs and better support students’ independence and transition outcomes.</w:t>
      </w:r>
    </w:p>
    <w:p w14:paraId="39AFC770" w14:textId="77777777" w:rsidR="009E4D75"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b/>
          <w:bCs/>
          <w:sz w:val="24"/>
          <w:szCs w:val="24"/>
        </w:rPr>
        <w:t>Keywords:</w:t>
      </w:r>
      <w:r w:rsidRPr="001748ED">
        <w:rPr>
          <w:rFonts w:asciiTheme="majorBidi" w:hAnsiTheme="majorBidi" w:cstheme="majorBidi"/>
          <w:sz w:val="24"/>
          <w:szCs w:val="24"/>
        </w:rPr>
        <w:t xml:space="preserve"> individualized education programs, multiple disabilities, transition readiness, functional life skills</w:t>
      </w:r>
      <w:r w:rsidR="007563ED">
        <w:rPr>
          <w:rFonts w:asciiTheme="majorBidi" w:hAnsiTheme="majorBidi" w:cstheme="majorBidi"/>
          <w:sz w:val="24"/>
          <w:szCs w:val="24"/>
        </w:rPr>
        <w:t xml:space="preserve">, </w:t>
      </w:r>
      <w:r w:rsidR="007563ED" w:rsidRPr="007563ED">
        <w:rPr>
          <w:rFonts w:asciiTheme="majorBidi" w:hAnsiTheme="majorBidi" w:cstheme="majorBidi"/>
          <w:sz w:val="24"/>
          <w:szCs w:val="24"/>
        </w:rPr>
        <w:t>special education</w:t>
      </w:r>
      <w:r w:rsidR="009E4D75">
        <w:rPr>
          <w:rFonts w:asciiTheme="majorBidi" w:hAnsiTheme="majorBidi" w:cstheme="majorBidi"/>
          <w:sz w:val="24"/>
          <w:szCs w:val="24"/>
        </w:rPr>
        <w:t>, inclusive education</w:t>
      </w:r>
    </w:p>
    <w:p w14:paraId="28295260" w14:textId="77777777" w:rsidR="00C30343" w:rsidRDefault="00C30343" w:rsidP="009E4D75">
      <w:pPr>
        <w:ind w:firstLine="720"/>
        <w:contextualSpacing/>
        <w:jc w:val="both"/>
        <w:rPr>
          <w:rFonts w:asciiTheme="majorBidi" w:hAnsiTheme="majorBidi" w:cstheme="majorBidi"/>
          <w:sz w:val="24"/>
          <w:szCs w:val="24"/>
        </w:rPr>
      </w:pPr>
    </w:p>
    <w:p w14:paraId="327E1F5E" w14:textId="54EFCA36" w:rsidR="00C30343" w:rsidRPr="00C30343" w:rsidRDefault="00C30343" w:rsidP="009E4D75">
      <w:pPr>
        <w:ind w:firstLine="720"/>
        <w:contextualSpacing/>
        <w:jc w:val="both"/>
        <w:rPr>
          <w:rFonts w:asciiTheme="majorBidi" w:hAnsiTheme="majorBidi" w:cstheme="majorBidi"/>
          <w:b/>
          <w:bCs/>
          <w:sz w:val="24"/>
          <w:szCs w:val="24"/>
        </w:rPr>
      </w:pPr>
      <w:r w:rsidRPr="00C30343">
        <w:rPr>
          <w:rFonts w:asciiTheme="majorBidi" w:hAnsiTheme="majorBidi" w:cstheme="majorBidi"/>
          <w:b/>
          <w:bCs/>
          <w:sz w:val="24"/>
          <w:szCs w:val="24"/>
        </w:rPr>
        <w:t>Introduction</w:t>
      </w:r>
    </w:p>
    <w:p w14:paraId="2FA1A1EE" w14:textId="0923B3A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Education plays a critical role in promoting inclusion, particularly for learners with disabilities. Individualized Education Programs (IEPs) are designed to provide tailored instruction that responds to the unique needs of each student. For students with multiple disabilities, this goes beyond academic achievement and includes the development of behavioral, social, and functional skills necessary for independence.</w:t>
      </w:r>
    </w:p>
    <w:p w14:paraId="66CE062B" w14:textId="2AEFED62" w:rsidR="001748ED" w:rsidRPr="001748ED" w:rsidRDefault="00AE76C6" w:rsidP="004368DD">
      <w:pPr>
        <w:contextualSpacing/>
        <w:jc w:val="both"/>
        <w:rPr>
          <w:rFonts w:asciiTheme="majorBidi" w:hAnsiTheme="majorBidi" w:cstheme="majorBidi"/>
          <w:sz w:val="24"/>
          <w:szCs w:val="24"/>
        </w:rPr>
      </w:pPr>
      <w:r>
        <w:rPr>
          <w:rFonts w:asciiTheme="majorBidi" w:hAnsiTheme="majorBidi" w:cstheme="majorBidi"/>
          <w:sz w:val="24"/>
          <w:szCs w:val="24"/>
        </w:rPr>
        <w:lastRenderedPageBreak/>
        <w:tab/>
      </w:r>
      <w:r w:rsidR="001748ED" w:rsidRPr="001748ED">
        <w:rPr>
          <w:rFonts w:asciiTheme="majorBidi" w:hAnsiTheme="majorBidi" w:cstheme="majorBidi"/>
          <w:sz w:val="24"/>
          <w:szCs w:val="24"/>
        </w:rPr>
        <w:t>Despite this intention, IEP implementation often places greater emphasis on academic goals while giving less attention to functional life skills, such as Activities of Daily Living (ADLs) and transition-related competencies. As a result, students may demonstrate academic progress but remain unprepared for independent living and meaningful participation in their communities.</w:t>
      </w:r>
    </w:p>
    <w:p w14:paraId="08CF903E" w14:textId="19445597" w:rsidR="001748ED" w:rsidRPr="001748ED" w:rsidRDefault="001748ED" w:rsidP="009E4D75">
      <w:pPr>
        <w:ind w:firstLine="720"/>
        <w:contextualSpacing/>
        <w:jc w:val="both"/>
        <w:rPr>
          <w:rFonts w:asciiTheme="majorBidi" w:hAnsiTheme="majorBidi" w:cstheme="majorBidi"/>
          <w:sz w:val="24"/>
          <w:szCs w:val="24"/>
        </w:rPr>
      </w:pPr>
      <w:r w:rsidRPr="001748ED">
        <w:rPr>
          <w:rFonts w:asciiTheme="majorBidi" w:hAnsiTheme="majorBidi" w:cstheme="majorBidi"/>
          <w:sz w:val="24"/>
          <w:szCs w:val="24"/>
        </w:rPr>
        <w:t>In Saudi Arabia, IEPs are mandated within special education programs. However, challenges persist, including limited collaboration among stakeholders, inconsistencies in documentation, and a lack of alignment between classroom instruction and therapy-based interventions. These concerns point to the need for a more coordinated and integrated approach to IEP development.</w:t>
      </w:r>
    </w:p>
    <w:p w14:paraId="634B704B" w14:textId="19BCC5FF" w:rsidR="00127F38" w:rsidRDefault="00127F38" w:rsidP="009E4D75">
      <w:pPr>
        <w:ind w:firstLine="720"/>
        <w:contextualSpacing/>
        <w:jc w:val="both"/>
        <w:rPr>
          <w:rFonts w:asciiTheme="majorBidi" w:hAnsiTheme="majorBidi" w:cstheme="majorBidi"/>
          <w:sz w:val="24"/>
          <w:szCs w:val="24"/>
        </w:rPr>
      </w:pPr>
      <w:r w:rsidRPr="00127F38">
        <w:rPr>
          <w:rFonts w:asciiTheme="majorBidi" w:hAnsiTheme="majorBidi" w:cstheme="majorBidi"/>
          <w:sz w:val="24"/>
          <w:szCs w:val="24"/>
        </w:rPr>
        <w:t>This study aims to examine how Individualized Education Programs (IEPs) for students with multiple disabilities are developed and implemented, with particular focus on the integration of functional life skills</w:t>
      </w:r>
      <w:r w:rsidR="004945CC">
        <w:rPr>
          <w:rFonts w:asciiTheme="majorBidi" w:hAnsiTheme="majorBidi" w:cstheme="majorBidi"/>
          <w:sz w:val="24"/>
          <w:szCs w:val="24"/>
        </w:rPr>
        <w:t xml:space="preserve">, </w:t>
      </w:r>
      <w:r w:rsidRPr="00127F38">
        <w:rPr>
          <w:rFonts w:asciiTheme="majorBidi" w:hAnsiTheme="majorBidi" w:cstheme="majorBidi"/>
          <w:sz w:val="24"/>
          <w:szCs w:val="24"/>
        </w:rPr>
        <w:t>and transition readiness. Specifically, it seeks to: (1) examine the profiles and aspirations of students with multiple disabilities; (2) assess the extent to which existing IEPs address students’ academic, behavioral, and social needs; and (3) propose functional life skills and Activities of Daily Living (ADL)-focused goals to support independence and transition outcomes</w:t>
      </w:r>
      <w:r w:rsidR="00BD59E7">
        <w:rPr>
          <w:rFonts w:asciiTheme="majorBidi" w:hAnsiTheme="majorBidi" w:cstheme="majorBidi"/>
          <w:sz w:val="24"/>
          <w:szCs w:val="24"/>
        </w:rPr>
        <w:t>.</w:t>
      </w:r>
    </w:p>
    <w:p w14:paraId="73121398" w14:textId="7C3A4A90" w:rsidR="001748ED" w:rsidRDefault="001748ED" w:rsidP="004368DD">
      <w:pPr>
        <w:contextualSpacing/>
        <w:jc w:val="both"/>
        <w:rPr>
          <w:rFonts w:asciiTheme="majorBidi" w:hAnsiTheme="majorBidi" w:cstheme="majorBidi"/>
          <w:b/>
          <w:bCs/>
          <w:sz w:val="24"/>
          <w:szCs w:val="24"/>
        </w:rPr>
      </w:pPr>
      <w:r w:rsidRPr="001748ED">
        <w:rPr>
          <w:rFonts w:asciiTheme="majorBidi" w:hAnsiTheme="majorBidi" w:cstheme="majorBidi"/>
          <w:b/>
          <w:bCs/>
          <w:sz w:val="24"/>
          <w:szCs w:val="24"/>
        </w:rPr>
        <w:t>Related Literature</w:t>
      </w:r>
      <w:r w:rsidR="00E549BA">
        <w:rPr>
          <w:rFonts w:asciiTheme="majorBidi" w:hAnsiTheme="majorBidi" w:cstheme="majorBidi"/>
          <w:b/>
          <w:bCs/>
          <w:sz w:val="24"/>
          <w:szCs w:val="24"/>
        </w:rPr>
        <w:t xml:space="preserve"> and Theoretical Framework</w:t>
      </w:r>
    </w:p>
    <w:p w14:paraId="7DA489A8" w14:textId="1655495D" w:rsidR="00F97D23" w:rsidRPr="00F97D23" w:rsidRDefault="00F97D23" w:rsidP="009E4D75">
      <w:pPr>
        <w:ind w:firstLine="720"/>
        <w:jc w:val="both"/>
        <w:rPr>
          <w:rFonts w:ascii="Times New Roman" w:eastAsia="Times New Roman" w:hAnsi="Times New Roman" w:cs="Times New Roman"/>
          <w:sz w:val="24"/>
          <w:szCs w:val="24"/>
          <w:lang w:val="en-US"/>
        </w:rPr>
      </w:pPr>
      <w:r w:rsidRPr="00F97D23">
        <w:rPr>
          <w:rFonts w:ascii="Times New Roman" w:eastAsia="Times New Roman" w:hAnsi="Times New Roman" w:cs="Times New Roman"/>
          <w:sz w:val="24"/>
          <w:szCs w:val="24"/>
          <w:lang w:val="en-US"/>
        </w:rPr>
        <w:t>Individualized Education Programs (IEPs) are designed to support the holistic development of students with disabilities, addressing academic, behavioral, social, and functional domains. However, existing studies indicate that IEPs are often implemented with a stronger emphasis on academic achievement, while functional life skills essential for independence receive less attention (Li et al., 2025; McSparron et al., 2019). This imbalance may limit students’ ability to apply learned skills in real-life contexts, a concern also raised in discussions on IEP quality and meaningful educational benefit for learner</w:t>
      </w:r>
      <w:r w:rsidR="009E4D75">
        <w:rPr>
          <w:rFonts w:ascii="Times New Roman" w:eastAsia="Times New Roman" w:hAnsi="Times New Roman" w:cs="Times New Roman"/>
          <w:sz w:val="24"/>
          <w:szCs w:val="24"/>
          <w:lang w:val="en-US"/>
        </w:rPr>
        <w:t>s with significant disabilities.</w:t>
      </w:r>
    </w:p>
    <w:p w14:paraId="2C41F755" w14:textId="0B1AB32B" w:rsidR="00F97D23" w:rsidRPr="00F97D23" w:rsidRDefault="00F97D23" w:rsidP="00423271">
      <w:pPr>
        <w:ind w:firstLine="720"/>
        <w:jc w:val="both"/>
        <w:rPr>
          <w:rFonts w:ascii="Times New Roman" w:eastAsia="Times New Roman" w:hAnsi="Times New Roman" w:cs="Times New Roman"/>
          <w:sz w:val="24"/>
          <w:szCs w:val="24"/>
          <w:lang w:val="en-US"/>
        </w:rPr>
      </w:pPr>
      <w:r w:rsidRPr="00F97D23">
        <w:rPr>
          <w:rFonts w:ascii="Times New Roman" w:eastAsia="Times New Roman" w:hAnsi="Times New Roman" w:cs="Times New Roman"/>
          <w:sz w:val="24"/>
          <w:szCs w:val="24"/>
          <w:lang w:val="en-US"/>
        </w:rPr>
        <w:t xml:space="preserve">The importance of functional life skills, including Activities of Daily Living (ADLs), is widely recognized in both policy and research. Frameworks such as the Individuals with Disabilities Education Act (IDEA, 2004) and life skills education emphasize preparing students for independent living and meaningful participation in society (Ranbir, 2024). Research on instructional practices for students with moderate and severe disabilities further stresses that independence in ADLs must be intentionally taught and embedded into educational planning rather than treated as </w:t>
      </w:r>
      <w:r w:rsidR="009E4D75">
        <w:rPr>
          <w:rFonts w:ascii="Times New Roman" w:eastAsia="Times New Roman" w:hAnsi="Times New Roman" w:cs="Times New Roman"/>
          <w:sz w:val="24"/>
          <w:szCs w:val="24"/>
          <w:lang w:val="en-US"/>
        </w:rPr>
        <w:t xml:space="preserve">a </w:t>
      </w:r>
      <w:r w:rsidR="00423271">
        <w:rPr>
          <w:rFonts w:ascii="Times New Roman" w:eastAsia="Times New Roman" w:hAnsi="Times New Roman" w:cs="Times New Roman"/>
          <w:sz w:val="24"/>
          <w:szCs w:val="24"/>
          <w:lang w:val="en-US"/>
        </w:rPr>
        <w:t xml:space="preserve">supplementary intervention. </w:t>
      </w:r>
      <w:r w:rsidRPr="00F97D23">
        <w:rPr>
          <w:rFonts w:ascii="Times New Roman" w:eastAsia="Times New Roman" w:hAnsi="Times New Roman" w:cs="Times New Roman"/>
          <w:sz w:val="24"/>
          <w:szCs w:val="24"/>
          <w:lang w:val="en-US"/>
        </w:rPr>
        <w:t xml:space="preserve">Transition readiness, therefore, becomes a critical </w:t>
      </w:r>
      <w:r w:rsidRPr="00F97D23">
        <w:rPr>
          <w:rFonts w:ascii="Times New Roman" w:eastAsia="Times New Roman" w:hAnsi="Times New Roman" w:cs="Times New Roman"/>
          <w:sz w:val="24"/>
          <w:szCs w:val="24"/>
          <w:lang w:val="en-US"/>
        </w:rPr>
        <w:lastRenderedPageBreak/>
        <w:t>goal of special education, requiring a balance between academic instruction and real-world skill development (Morningstar et al., 2018).</w:t>
      </w:r>
    </w:p>
    <w:p w14:paraId="79BA30BF" w14:textId="77777777" w:rsidR="00F97D23" w:rsidRPr="00F97D23" w:rsidRDefault="00F97D23" w:rsidP="004368DD">
      <w:pPr>
        <w:ind w:firstLine="720"/>
        <w:jc w:val="both"/>
        <w:rPr>
          <w:rFonts w:ascii="Times New Roman" w:eastAsia="Times New Roman" w:hAnsi="Times New Roman" w:cs="Times New Roman"/>
          <w:sz w:val="24"/>
          <w:szCs w:val="24"/>
          <w:lang w:val="en-US"/>
        </w:rPr>
      </w:pPr>
      <w:r w:rsidRPr="00F97D23">
        <w:rPr>
          <w:rFonts w:ascii="Times New Roman" w:eastAsia="Times New Roman" w:hAnsi="Times New Roman" w:cs="Times New Roman"/>
          <w:sz w:val="24"/>
          <w:szCs w:val="24"/>
          <w:lang w:val="en-US"/>
        </w:rPr>
        <w:t>From a theoretical perspective, Vygotsky’s concept of the Zone of Proximal Development highlights the role of guided support in helping learners achieve tasks beyond their independent ability. This is particularly relevant in IEP implementation, where scaffolding from teachers, therapists, and caregivers supports the gradual development of both academic and functional skills (as cited in Wibowo et al., 2025). This perspective is closely linked to the principle of self-determination and student-directed learning, which emphasizes the importance of structured support in promoting independence among learners with disabilities (Wehmeyer &amp; Shogren, 2017).</w:t>
      </w:r>
    </w:p>
    <w:p w14:paraId="76ED0A6A" w14:textId="27D4C609" w:rsidR="00F97D23" w:rsidRPr="00F97D23" w:rsidRDefault="00F97D23" w:rsidP="00423271">
      <w:pPr>
        <w:ind w:firstLine="720"/>
        <w:jc w:val="both"/>
        <w:rPr>
          <w:rFonts w:ascii="Times New Roman" w:eastAsia="Times New Roman" w:hAnsi="Times New Roman" w:cs="Times New Roman"/>
          <w:sz w:val="24"/>
          <w:szCs w:val="24"/>
          <w:lang w:val="en-US"/>
        </w:rPr>
      </w:pPr>
      <w:r w:rsidRPr="00F97D23">
        <w:rPr>
          <w:rFonts w:ascii="Times New Roman" w:eastAsia="Times New Roman" w:hAnsi="Times New Roman" w:cs="Times New Roman"/>
          <w:sz w:val="24"/>
          <w:szCs w:val="24"/>
          <w:lang w:val="en-US"/>
        </w:rPr>
        <w:t>Similarly, Bronfenbrenner’s ecological systems theory underscores the influence of family, school, and community environments in shaping student development, reinforcing the need for collaboration among stakeholders in the IEP process (as cited in Guy-Evans, 2024). This ecological view aligns with the understanding that supports and instructional planning should be guided by the intensity of the learner’s needs across environments, not solely by curriculum demands.</w:t>
      </w:r>
    </w:p>
    <w:p w14:paraId="7EB58E99" w14:textId="77777777" w:rsidR="00F97D23" w:rsidRPr="00F97D23" w:rsidRDefault="00F97D23" w:rsidP="004368DD">
      <w:pPr>
        <w:ind w:firstLine="720"/>
        <w:jc w:val="both"/>
        <w:rPr>
          <w:rFonts w:ascii="Times New Roman" w:eastAsia="Times New Roman" w:hAnsi="Times New Roman" w:cs="Times New Roman"/>
          <w:sz w:val="24"/>
          <w:szCs w:val="24"/>
          <w:lang w:val="en-US"/>
        </w:rPr>
      </w:pPr>
      <w:r w:rsidRPr="00F97D23">
        <w:rPr>
          <w:rFonts w:ascii="Times New Roman" w:eastAsia="Times New Roman" w:hAnsi="Times New Roman" w:cs="Times New Roman"/>
          <w:sz w:val="24"/>
          <w:szCs w:val="24"/>
          <w:lang w:val="en-US"/>
        </w:rPr>
        <w:t xml:space="preserve">In addition, </w:t>
      </w:r>
      <w:proofErr w:type="spellStart"/>
      <w:r w:rsidRPr="00F97D23">
        <w:rPr>
          <w:rFonts w:ascii="Times New Roman" w:eastAsia="Times New Roman" w:hAnsi="Times New Roman" w:cs="Times New Roman"/>
          <w:sz w:val="24"/>
          <w:szCs w:val="24"/>
          <w:lang w:val="en-US"/>
        </w:rPr>
        <w:t>Gagné’s</w:t>
      </w:r>
      <w:proofErr w:type="spellEnd"/>
      <w:r w:rsidRPr="00F97D23">
        <w:rPr>
          <w:rFonts w:ascii="Times New Roman" w:eastAsia="Times New Roman" w:hAnsi="Times New Roman" w:cs="Times New Roman"/>
          <w:sz w:val="24"/>
          <w:szCs w:val="24"/>
          <w:lang w:val="en-US"/>
        </w:rPr>
        <w:t xml:space="preserve"> instructional model provides a structured approach to teaching that supports attention, retention, and meaningful learning (Li et al., 2025; McSparron et al., 2019), while the CAST Universal Design for Learning framework promotes flexible instructional strategies that accommodate diverse learning needs (CAST, 2018). These theoretical perspectives collectively support the integration of academic, behavioral, social, and functional goals within IEPs, guided by ethical and professional standards for special educators (Council for Exceptional Children, 2015).</w:t>
      </w:r>
    </w:p>
    <w:p w14:paraId="162C7ACC" w14:textId="77777777" w:rsidR="00F97D23" w:rsidRPr="00F97D23" w:rsidRDefault="00F97D23" w:rsidP="004368DD">
      <w:pPr>
        <w:ind w:firstLine="720"/>
        <w:contextualSpacing/>
        <w:jc w:val="both"/>
        <w:rPr>
          <w:rFonts w:ascii="Times New Roman" w:eastAsia="Times New Roman" w:hAnsi="Times New Roman" w:cs="Times New Roman"/>
          <w:sz w:val="24"/>
          <w:szCs w:val="24"/>
          <w:lang w:val="en-US"/>
        </w:rPr>
      </w:pPr>
      <w:r w:rsidRPr="00F97D23">
        <w:rPr>
          <w:rFonts w:ascii="Times New Roman" w:eastAsia="Times New Roman" w:hAnsi="Times New Roman" w:cs="Times New Roman"/>
          <w:sz w:val="24"/>
          <w:szCs w:val="24"/>
          <w:lang w:val="en-US"/>
        </w:rPr>
        <w:t xml:space="preserve">Despite these theoretical and empirical foundations, there remains a gap in how IEPs for students with multiple disabilities integrate functional life skills and transition readiness in practice. Many programs continue to operate within an academically driven framework, with limited alignment between classroom instruction and real-life application. This gap highlights the need for a more holistic, ethically grounded, and collaborative approach to IEP development that </w:t>
      </w:r>
      <w:r w:rsidRPr="00F97D23">
        <w:rPr>
          <w:rFonts w:ascii="Times New Roman" w:eastAsia="Times New Roman" w:hAnsi="Times New Roman" w:cs="Times New Roman"/>
          <w:sz w:val="24"/>
          <w:szCs w:val="24"/>
          <w:lang w:val="en-US"/>
        </w:rPr>
        <w:lastRenderedPageBreak/>
        <w:t>better supports independence, self-determination, and long-term outcomes for learners with complex needs.</w:t>
      </w:r>
    </w:p>
    <w:p w14:paraId="144A53BF" w14:textId="721CD836" w:rsidR="00F44726" w:rsidRDefault="00F44726" w:rsidP="004368DD">
      <w:pPr>
        <w:contextualSpacing/>
        <w:jc w:val="both"/>
        <w:rPr>
          <w:rFonts w:asciiTheme="majorBidi" w:hAnsiTheme="majorBidi" w:cstheme="majorBidi"/>
          <w:b/>
          <w:bCs/>
          <w:sz w:val="24"/>
          <w:szCs w:val="24"/>
        </w:rPr>
      </w:pPr>
      <w:r w:rsidRPr="00F44726">
        <w:rPr>
          <w:rFonts w:asciiTheme="majorBidi" w:hAnsiTheme="majorBidi" w:cstheme="majorBidi"/>
          <w:b/>
          <w:bCs/>
          <w:sz w:val="24"/>
          <w:szCs w:val="24"/>
        </w:rPr>
        <w:t>Conceptual Framework</w:t>
      </w:r>
    </w:p>
    <w:p w14:paraId="02807532" w14:textId="5436211A" w:rsidR="00F44726" w:rsidRDefault="00F44726" w:rsidP="009E4D75">
      <w:pPr>
        <w:ind w:firstLine="720"/>
        <w:contextualSpacing/>
        <w:jc w:val="both"/>
        <w:rPr>
          <w:rFonts w:asciiTheme="majorBidi" w:hAnsiTheme="majorBidi" w:cstheme="majorBidi"/>
          <w:sz w:val="24"/>
          <w:szCs w:val="24"/>
        </w:rPr>
      </w:pPr>
      <w:r w:rsidRPr="00F44726">
        <w:rPr>
          <w:rFonts w:asciiTheme="majorBidi" w:hAnsiTheme="majorBidi" w:cstheme="majorBidi"/>
          <w:sz w:val="24"/>
          <w:szCs w:val="24"/>
        </w:rPr>
        <w:t>This study is guided by a conceptual framework that illustrates the relationship between student characteristics, IEP development processes, and student outcomes.</w:t>
      </w:r>
    </w:p>
    <w:p w14:paraId="0AA24F85" w14:textId="56FCFD33" w:rsidR="00F44726" w:rsidRDefault="00F44726" w:rsidP="004368DD">
      <w:pPr>
        <w:contextualSpacing/>
        <w:jc w:val="both"/>
        <w:rPr>
          <w:rFonts w:asciiTheme="majorBidi" w:hAnsiTheme="majorBidi" w:cstheme="majorBidi"/>
          <w:sz w:val="24"/>
          <w:szCs w:val="24"/>
        </w:rPr>
      </w:pPr>
      <w:r w:rsidRPr="00F44726">
        <w:rPr>
          <w:rFonts w:asciiTheme="majorBidi" w:hAnsiTheme="majorBidi" w:cstheme="majorBidi"/>
          <w:sz w:val="24"/>
          <w:szCs w:val="24"/>
        </w:rPr>
        <w:t>The input of the study includes the profiles of students with multiple disabilities, their aspirations, and the roles of key stakeholders such as parents, teachers, therapists, and administrators. These inputs provide the foundational data needed to understand the learners’ needs and the context in which IEPs are developed.</w:t>
      </w:r>
    </w:p>
    <w:p w14:paraId="543CFFC0" w14:textId="385D65F0" w:rsidR="00F44726" w:rsidRDefault="00F44726" w:rsidP="009E4D75">
      <w:pPr>
        <w:ind w:firstLine="720"/>
        <w:contextualSpacing/>
        <w:jc w:val="both"/>
        <w:rPr>
          <w:rFonts w:asciiTheme="majorBidi" w:hAnsiTheme="majorBidi" w:cstheme="majorBidi"/>
          <w:sz w:val="24"/>
          <w:szCs w:val="24"/>
        </w:rPr>
      </w:pPr>
      <w:r w:rsidRPr="00F44726">
        <w:rPr>
          <w:rFonts w:asciiTheme="majorBidi" w:hAnsiTheme="majorBidi" w:cstheme="majorBidi"/>
          <w:sz w:val="24"/>
          <w:szCs w:val="24"/>
        </w:rPr>
        <w:t>The process involves the development and implementation of Individualized Education Programs (IEPs), focusing on the integration of academic, behavioral, social, and functional domains. It also includes the interaction between classroom instruction and therapy-based interventions, as well as the level of collaboration among stakeholders in planning and implementation.</w:t>
      </w:r>
    </w:p>
    <w:p w14:paraId="686B9B55" w14:textId="77777777" w:rsidR="00F44726" w:rsidRDefault="00F44726" w:rsidP="009E4D75">
      <w:pPr>
        <w:ind w:firstLine="720"/>
        <w:contextualSpacing/>
        <w:jc w:val="both"/>
        <w:rPr>
          <w:rFonts w:asciiTheme="majorBidi" w:hAnsiTheme="majorBidi" w:cstheme="majorBidi"/>
          <w:sz w:val="24"/>
          <w:szCs w:val="24"/>
        </w:rPr>
      </w:pPr>
      <w:r w:rsidRPr="00F44726">
        <w:rPr>
          <w:rFonts w:asciiTheme="majorBidi" w:hAnsiTheme="majorBidi" w:cstheme="majorBidi"/>
          <w:sz w:val="24"/>
          <w:szCs w:val="24"/>
        </w:rPr>
        <w:t>The output of the study is the enhancement of IEP effectiveness through improved integration of functional life skills and transition-focused goals. This leads to better support for students’ independence and readiness for life beyond school.</w:t>
      </w:r>
    </w:p>
    <w:p w14:paraId="0552DF6B" w14:textId="4670975D" w:rsidR="00F44726" w:rsidRDefault="00F44726" w:rsidP="004368DD">
      <w:pPr>
        <w:contextualSpacing/>
        <w:jc w:val="both"/>
        <w:rPr>
          <w:rFonts w:asciiTheme="majorBidi" w:hAnsiTheme="majorBidi" w:cstheme="majorBidi"/>
          <w:sz w:val="24"/>
          <w:szCs w:val="24"/>
        </w:rPr>
      </w:pPr>
      <w:r w:rsidRPr="00F44726">
        <w:rPr>
          <w:rFonts w:asciiTheme="majorBidi" w:hAnsiTheme="majorBidi" w:cstheme="majorBidi"/>
          <w:sz w:val="24"/>
          <w:szCs w:val="24"/>
        </w:rPr>
        <w:t>This framework highlights that effective IEP development is not solely dependent on academic instruction but requires a holistic and collaborative approach that integrates multiple domains of student development.</w:t>
      </w:r>
    </w:p>
    <w:p w14:paraId="35A13FD7" w14:textId="329B859C" w:rsidR="00637FC4" w:rsidRDefault="00637FC4" w:rsidP="004368DD">
      <w:pPr>
        <w:contextualSpacing/>
        <w:jc w:val="both"/>
        <w:rPr>
          <w:rFonts w:asciiTheme="majorBidi" w:hAnsiTheme="majorBidi" w:cstheme="majorBidi"/>
          <w:b/>
          <w:bCs/>
          <w:sz w:val="24"/>
          <w:szCs w:val="24"/>
        </w:rPr>
      </w:pPr>
      <w:r w:rsidRPr="00637FC4">
        <w:rPr>
          <w:rFonts w:asciiTheme="majorBidi" w:hAnsiTheme="majorBidi" w:cstheme="majorBidi"/>
          <w:b/>
          <w:bCs/>
          <w:sz w:val="24"/>
          <w:szCs w:val="24"/>
        </w:rPr>
        <w:t>Methodol</w:t>
      </w:r>
      <w:r>
        <w:rPr>
          <w:rFonts w:asciiTheme="majorBidi" w:hAnsiTheme="majorBidi" w:cstheme="majorBidi"/>
          <w:b/>
          <w:bCs/>
          <w:sz w:val="24"/>
          <w:szCs w:val="24"/>
        </w:rPr>
        <w:t>o</w:t>
      </w:r>
      <w:r w:rsidRPr="00637FC4">
        <w:rPr>
          <w:rFonts w:asciiTheme="majorBidi" w:hAnsiTheme="majorBidi" w:cstheme="majorBidi"/>
          <w:b/>
          <w:bCs/>
          <w:sz w:val="24"/>
          <w:szCs w:val="24"/>
        </w:rPr>
        <w:t>gy</w:t>
      </w:r>
    </w:p>
    <w:p w14:paraId="27F24FC6" w14:textId="77777777" w:rsidR="00637FC4" w:rsidRDefault="00637FC4" w:rsidP="004368DD">
      <w:pPr>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Research Design </w:t>
      </w:r>
    </w:p>
    <w:p w14:paraId="676D67D3" w14:textId="5D81C8B0" w:rsidR="00637FC4" w:rsidRPr="009066AE" w:rsidRDefault="00637FC4" w:rsidP="009E4D75">
      <w:pPr>
        <w:ind w:firstLine="720"/>
        <w:contextualSpacing/>
        <w:jc w:val="both"/>
        <w:rPr>
          <w:rFonts w:asciiTheme="majorBidi" w:hAnsiTheme="majorBidi" w:cstheme="majorBidi"/>
          <w:sz w:val="28"/>
          <w:szCs w:val="28"/>
        </w:rPr>
      </w:pPr>
      <w:r w:rsidRPr="009066AE">
        <w:rPr>
          <w:rFonts w:asciiTheme="majorBidi" w:hAnsiTheme="majorBidi" w:cstheme="majorBidi"/>
          <w:sz w:val="24"/>
          <w:szCs w:val="24"/>
        </w:rPr>
        <w:t>This study employed a qualitative case study design to examine the development and implementation of Individualized Education Programs (IEPs) for students with multiple disabilities. A qualitative approach was appropriate, as it enabled an in-depth exploration of participants’ experiences within their natural educational context.</w:t>
      </w:r>
    </w:p>
    <w:p w14:paraId="6B34FA58" w14:textId="572F5541" w:rsidR="00637FC4" w:rsidRPr="00637FC4" w:rsidRDefault="00637FC4" w:rsidP="009E4D75">
      <w:pPr>
        <w:ind w:firstLine="720"/>
        <w:contextualSpacing/>
        <w:jc w:val="both"/>
        <w:rPr>
          <w:rFonts w:asciiTheme="majorBidi" w:hAnsiTheme="majorBidi" w:cstheme="majorBidi"/>
          <w:sz w:val="24"/>
          <w:szCs w:val="24"/>
        </w:rPr>
      </w:pPr>
      <w:r w:rsidRPr="00637FC4">
        <w:rPr>
          <w:rFonts w:asciiTheme="majorBidi" w:hAnsiTheme="majorBidi" w:cstheme="majorBidi"/>
          <w:sz w:val="24"/>
          <w:szCs w:val="24"/>
        </w:rPr>
        <w:t xml:space="preserve">The case study focused on two students in a specialized school, </w:t>
      </w:r>
      <w:r w:rsidR="009066AE">
        <w:rPr>
          <w:rFonts w:asciiTheme="majorBidi" w:hAnsiTheme="majorBidi" w:cstheme="majorBidi"/>
          <w:sz w:val="24"/>
          <w:szCs w:val="24"/>
        </w:rPr>
        <w:t>enabling a detailed,</w:t>
      </w:r>
      <w:r w:rsidRPr="00637FC4">
        <w:rPr>
          <w:rFonts w:asciiTheme="majorBidi" w:hAnsiTheme="majorBidi" w:cstheme="majorBidi"/>
          <w:sz w:val="24"/>
          <w:szCs w:val="24"/>
        </w:rPr>
        <w:t xml:space="preserve"> contextualized analysis of how IEPs address academic, behavioral, social, and functional domains. This design is particularly suitable for investigating complex phenomena where contextual conditions are integral to understanding the process (</w:t>
      </w:r>
      <w:proofErr w:type="spellStart"/>
      <w:r w:rsidR="00FB2557">
        <w:rPr>
          <w:rFonts w:asciiTheme="majorBidi" w:hAnsiTheme="majorBidi" w:cstheme="majorBidi"/>
          <w:sz w:val="24"/>
          <w:szCs w:val="24"/>
        </w:rPr>
        <w:t>Baskarada</w:t>
      </w:r>
      <w:proofErr w:type="spellEnd"/>
      <w:r w:rsidR="00FB2557">
        <w:rPr>
          <w:rFonts w:asciiTheme="majorBidi" w:hAnsiTheme="majorBidi" w:cstheme="majorBidi"/>
          <w:sz w:val="24"/>
          <w:szCs w:val="24"/>
        </w:rPr>
        <w:t>, 2014</w:t>
      </w:r>
      <w:r w:rsidRPr="00637FC4">
        <w:rPr>
          <w:rFonts w:asciiTheme="majorBidi" w:hAnsiTheme="majorBidi" w:cstheme="majorBidi"/>
          <w:sz w:val="24"/>
          <w:szCs w:val="24"/>
        </w:rPr>
        <w:t>).</w:t>
      </w:r>
    </w:p>
    <w:p w14:paraId="6A74E300" w14:textId="77777777" w:rsidR="00637FC4" w:rsidRPr="00637FC4" w:rsidRDefault="00637FC4" w:rsidP="009E4D75">
      <w:pPr>
        <w:ind w:firstLine="720"/>
        <w:contextualSpacing/>
        <w:jc w:val="both"/>
        <w:rPr>
          <w:rFonts w:asciiTheme="majorBidi" w:hAnsiTheme="majorBidi" w:cstheme="majorBidi"/>
          <w:sz w:val="24"/>
          <w:szCs w:val="24"/>
        </w:rPr>
      </w:pPr>
      <w:r w:rsidRPr="00637FC4">
        <w:rPr>
          <w:rFonts w:asciiTheme="majorBidi" w:hAnsiTheme="majorBidi" w:cstheme="majorBidi"/>
          <w:sz w:val="24"/>
          <w:szCs w:val="24"/>
        </w:rPr>
        <w:lastRenderedPageBreak/>
        <w:t>Data were collected through multiple sources, including semi-structured interviews, classroom and therapy observations, and document analysis. The use of triangulation strengthened the credibility and validity of the findings by allowing cross-verification of data from different perspectives.</w:t>
      </w:r>
    </w:p>
    <w:p w14:paraId="1C35802D" w14:textId="15EB31CE" w:rsidR="00637FC4" w:rsidRDefault="00637FC4" w:rsidP="009E4D75">
      <w:pPr>
        <w:ind w:firstLine="720"/>
        <w:contextualSpacing/>
        <w:jc w:val="both"/>
        <w:rPr>
          <w:rFonts w:asciiTheme="majorBidi" w:hAnsiTheme="majorBidi" w:cstheme="majorBidi"/>
          <w:sz w:val="24"/>
          <w:szCs w:val="24"/>
        </w:rPr>
      </w:pPr>
      <w:r w:rsidRPr="00637FC4">
        <w:rPr>
          <w:rFonts w:asciiTheme="majorBidi" w:hAnsiTheme="majorBidi" w:cstheme="majorBidi"/>
          <w:sz w:val="24"/>
          <w:szCs w:val="24"/>
        </w:rPr>
        <w:t>Overall, the qualitative case study design provided a comprehensive and holistic understanding of IEP implementation and its role in supporting functional life skills and transition readiness among students with multiple disabilities.</w:t>
      </w:r>
    </w:p>
    <w:p w14:paraId="58D418B7" w14:textId="22F08D59" w:rsidR="00637FC4"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 xml:space="preserve">Participants </w:t>
      </w:r>
    </w:p>
    <w:p w14:paraId="35205AFA" w14:textId="6F7B0528" w:rsidR="00083FDD" w:rsidRDefault="00083FDD" w:rsidP="009E4D75">
      <w:pPr>
        <w:ind w:firstLine="720"/>
        <w:contextualSpacing/>
        <w:jc w:val="both"/>
        <w:rPr>
          <w:rFonts w:asciiTheme="majorBidi" w:hAnsiTheme="majorBidi" w:cstheme="majorBidi"/>
          <w:sz w:val="24"/>
          <w:szCs w:val="24"/>
        </w:rPr>
      </w:pPr>
      <w:r w:rsidRPr="00083FDD">
        <w:rPr>
          <w:rFonts w:asciiTheme="majorBidi" w:hAnsiTheme="majorBidi" w:cstheme="majorBidi"/>
          <w:sz w:val="24"/>
          <w:szCs w:val="24"/>
        </w:rPr>
        <w:t xml:space="preserve">The study involved a total of nine (9) participants selected through purposive sampling based on their direct involvement in the development and implementation of Individualized Education Programs (IEPs). The primary participants were two elementary students with multiple disabilities enrolled in a specialized school in the Southern Region of Saudi Arabia: Participant 1 (P1), a 14-year-old male in Grade 4 diagnosed with left spastic hemiplegia, speech and communication disorder, and moderate intellectual disability, with high dependence in Activities of Daily Living (ADLs); and Participant 2 (P2), a 10-year-old female in Grade 2 diagnosed with spastic diplegia cerebral palsy, social difficulties, and mild intellectual disability, with moderate dependence in ADLs. To provide a comprehensive and multidisciplinary perspective, secondary participants included two parents (mothers), two IEP teachers, one occupational therapist, one physical therapist, and one administrative staff member, all of whom were directly involved in the planning, implementation, and monitoring of the students’ IEPs. Participants were selected based on the following eligibility criteria: (a) students diagnosed with multiple disabilities and currently receiving IEP services, and (b) stakeholders actively engaged in the IEP process and willing to provide informed consent. Data were collected within a specialized educational institution under the Saudi Ministry of Education that offers integrated academic and therapeutic services for students with disabilities. The small sample size is consistent with qualitative case study research, which prioritizes depth of understanding and contextualized insights over generalizability. </w:t>
      </w:r>
    </w:p>
    <w:p w14:paraId="3EE27AAC" w14:textId="2EEF071C" w:rsidR="00083FDD"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 xml:space="preserve">Data </w:t>
      </w:r>
      <w:r w:rsidR="004945CC">
        <w:rPr>
          <w:rFonts w:asciiTheme="majorBidi" w:hAnsiTheme="majorBidi" w:cstheme="majorBidi"/>
          <w:b/>
          <w:bCs/>
          <w:sz w:val="24"/>
          <w:szCs w:val="24"/>
        </w:rPr>
        <w:t>Collection</w:t>
      </w:r>
      <w:r w:rsidRPr="00083FDD">
        <w:rPr>
          <w:rFonts w:asciiTheme="majorBidi" w:hAnsiTheme="majorBidi" w:cstheme="majorBidi"/>
          <w:b/>
          <w:bCs/>
          <w:sz w:val="24"/>
          <w:szCs w:val="24"/>
        </w:rPr>
        <w:t xml:space="preserve"> Tools</w:t>
      </w:r>
    </w:p>
    <w:p w14:paraId="3DEAB05D" w14:textId="7E326C8B" w:rsidR="00083FDD" w:rsidRPr="00083FDD" w:rsidRDefault="00083FDD" w:rsidP="009E4D75">
      <w:pPr>
        <w:ind w:firstLine="720"/>
        <w:contextualSpacing/>
        <w:jc w:val="both"/>
        <w:rPr>
          <w:rFonts w:asciiTheme="majorBidi" w:hAnsiTheme="majorBidi" w:cstheme="majorBidi"/>
          <w:sz w:val="24"/>
          <w:szCs w:val="24"/>
        </w:rPr>
      </w:pPr>
      <w:r w:rsidRPr="00083FDD">
        <w:rPr>
          <w:rFonts w:asciiTheme="majorBidi" w:hAnsiTheme="majorBidi" w:cstheme="majorBidi"/>
          <w:sz w:val="24"/>
          <w:szCs w:val="24"/>
        </w:rPr>
        <w:t xml:space="preserve">This study employed multiple data gathering tools to ensure a comprehensive analysis of IEP development and implementation. Semi-structured interviews were conducted with students, parents, teachers, therapists, and administrators to explore their experiences and perspectives. A structured observation checklist was used during classroom and therapy sessions to document </w:t>
      </w:r>
      <w:r w:rsidRPr="00083FDD">
        <w:rPr>
          <w:rFonts w:asciiTheme="majorBidi" w:hAnsiTheme="majorBidi" w:cstheme="majorBidi"/>
          <w:sz w:val="24"/>
          <w:szCs w:val="24"/>
        </w:rPr>
        <w:lastRenderedPageBreak/>
        <w:t>student engagement, instructional strategies, and goal implementation. In addition, a document analysis guide was utilized to review IEPs, assessment reports, therapy notes, and student portfolios. Field notes were also maintained to capture contextual insights. The use of these tools supported triangulation and enhanced the credibility of the findings.</w:t>
      </w:r>
    </w:p>
    <w:p w14:paraId="09FB9241" w14:textId="465089D1" w:rsidR="00083FDD" w:rsidRPr="00083FDD"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Data Gathering Procedure</w:t>
      </w:r>
    </w:p>
    <w:p w14:paraId="2E68DE87" w14:textId="44514E37" w:rsidR="00083FDD" w:rsidRPr="009066AE" w:rsidRDefault="00083FDD" w:rsidP="009E4D75">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Data were collected over a two-week period using a triangulated approach. Prior to data collection, ethical approval and informed consent were secured from all participants. Semi-structured interviews were then conducted with students, parents, teachers, therapists, and administrators to gather insights into the IEP process. This was followed by classroom and therapy session observations using a structured checklist to document student engagement, instructional strategies, and goal implementation.</w:t>
      </w:r>
    </w:p>
    <w:p w14:paraId="082DB38B" w14:textId="77777777" w:rsidR="00083FDD" w:rsidRPr="00083FDD" w:rsidRDefault="00083FDD" w:rsidP="009E4D75">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In addition, relevant documents—</w:t>
      </w:r>
      <w:r w:rsidRPr="00083FDD">
        <w:rPr>
          <w:rFonts w:asciiTheme="majorBidi" w:hAnsiTheme="majorBidi" w:cstheme="majorBidi"/>
          <w:sz w:val="24"/>
          <w:szCs w:val="24"/>
        </w:rPr>
        <w:t>including IEPs, assessment reports, therapy notes, and student portfolios—were reviewed to examine the alignment between planned goals and actual practices. Throughout the process, field notes were recorded to capture contextual details and reflections. Data from these sources were cross-verified through triangulation to ensure accuracy and consistency.</w:t>
      </w:r>
    </w:p>
    <w:p w14:paraId="6965C778" w14:textId="112E2C70" w:rsidR="00083FDD" w:rsidRPr="00083FDD" w:rsidRDefault="00083FDD" w:rsidP="004368DD">
      <w:pPr>
        <w:contextualSpacing/>
        <w:jc w:val="both"/>
        <w:rPr>
          <w:rFonts w:asciiTheme="majorBidi" w:hAnsiTheme="majorBidi" w:cstheme="majorBidi"/>
          <w:b/>
          <w:bCs/>
          <w:sz w:val="24"/>
          <w:szCs w:val="24"/>
        </w:rPr>
      </w:pPr>
      <w:r w:rsidRPr="00083FDD">
        <w:rPr>
          <w:rFonts w:asciiTheme="majorBidi" w:hAnsiTheme="majorBidi" w:cstheme="majorBidi"/>
          <w:b/>
          <w:bCs/>
          <w:sz w:val="24"/>
          <w:szCs w:val="24"/>
        </w:rPr>
        <w:t>Data Analysis Technique</w:t>
      </w:r>
    </w:p>
    <w:p w14:paraId="1F8247DB" w14:textId="3859E9DD" w:rsidR="00083FDD" w:rsidRPr="009066AE" w:rsidRDefault="009066AE" w:rsidP="004368DD">
      <w:pPr>
        <w:contextualSpacing/>
        <w:jc w:val="both"/>
        <w:rPr>
          <w:rFonts w:asciiTheme="majorBidi" w:hAnsiTheme="majorBidi" w:cstheme="majorBidi"/>
          <w:sz w:val="24"/>
          <w:szCs w:val="24"/>
        </w:rPr>
      </w:pPr>
      <w:r>
        <w:rPr>
          <w:rFonts w:asciiTheme="majorBidi" w:hAnsiTheme="majorBidi" w:cstheme="majorBidi"/>
          <w:sz w:val="24"/>
          <w:szCs w:val="24"/>
        </w:rPr>
        <w:tab/>
      </w:r>
      <w:r w:rsidR="00083FDD" w:rsidRPr="009066AE">
        <w:rPr>
          <w:rFonts w:asciiTheme="majorBidi" w:hAnsiTheme="majorBidi" w:cstheme="majorBidi"/>
          <w:sz w:val="24"/>
          <w:szCs w:val="24"/>
        </w:rPr>
        <w:t>Data were analyzed using thematic analysis to identify patterns and key themes related to IEP development and implementation. The process began with familiarization through repeated review of interview transcripts, observation notes, and documents. Relevant data were then coded, and similar codes were grouped into broader themes aligned with the study objectives, particularly academic, behavioral, social, and functional domains.</w:t>
      </w:r>
    </w:p>
    <w:p w14:paraId="640B72A6" w14:textId="77777777" w:rsidR="00083FDD" w:rsidRDefault="00083FDD" w:rsidP="009E4D75">
      <w:pPr>
        <w:ind w:firstLine="720"/>
        <w:contextualSpacing/>
        <w:jc w:val="both"/>
        <w:rPr>
          <w:rFonts w:asciiTheme="majorBidi" w:hAnsiTheme="majorBidi" w:cstheme="majorBidi"/>
          <w:sz w:val="24"/>
          <w:szCs w:val="24"/>
        </w:rPr>
      </w:pPr>
      <w:r w:rsidRPr="00083FDD">
        <w:rPr>
          <w:rFonts w:asciiTheme="majorBidi" w:hAnsiTheme="majorBidi" w:cstheme="majorBidi"/>
          <w:sz w:val="24"/>
          <w:szCs w:val="24"/>
        </w:rPr>
        <w:t>Themes were refined and interpreted to capture meaningful patterns across participants. Triangulation of multiple data sources was employed to enhance the credibility and validity of the findings.</w:t>
      </w:r>
    </w:p>
    <w:p w14:paraId="5BED7A78" w14:textId="181EF09B" w:rsidR="000D7513" w:rsidRPr="000D7513" w:rsidRDefault="000D7513" w:rsidP="004368DD">
      <w:pPr>
        <w:contextualSpacing/>
        <w:jc w:val="both"/>
        <w:rPr>
          <w:rFonts w:asciiTheme="majorBidi" w:hAnsiTheme="majorBidi" w:cstheme="majorBidi"/>
          <w:b/>
          <w:bCs/>
          <w:sz w:val="24"/>
          <w:szCs w:val="24"/>
        </w:rPr>
      </w:pPr>
      <w:r w:rsidRPr="000D7513">
        <w:rPr>
          <w:rFonts w:asciiTheme="majorBidi" w:hAnsiTheme="majorBidi" w:cstheme="majorBidi"/>
          <w:b/>
          <w:bCs/>
          <w:sz w:val="24"/>
          <w:szCs w:val="24"/>
        </w:rPr>
        <w:t>Ethical Consideration</w:t>
      </w:r>
    </w:p>
    <w:p w14:paraId="21A0B165" w14:textId="226CD5C3" w:rsidR="000D7513" w:rsidRPr="009066AE" w:rsidRDefault="000D7513" w:rsidP="009E4D75">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Ethical approval was obtained prior to data collection, and informed consent was secured from all participants. Participation was voluntary, and participants were informed of their right to withdraw at any time. Confidentiality and anonymity were ensured through the use of pseudonyms, and all data were securely stored.</w:t>
      </w:r>
    </w:p>
    <w:p w14:paraId="25112BFC" w14:textId="33745115" w:rsidR="000D7513" w:rsidRDefault="000D7513" w:rsidP="009E4D75">
      <w:pPr>
        <w:ind w:firstLine="720"/>
        <w:contextualSpacing/>
        <w:jc w:val="both"/>
        <w:rPr>
          <w:rFonts w:asciiTheme="majorBidi" w:hAnsiTheme="majorBidi" w:cstheme="majorBidi"/>
          <w:sz w:val="24"/>
          <w:szCs w:val="24"/>
        </w:rPr>
      </w:pPr>
      <w:r w:rsidRPr="000D7513">
        <w:rPr>
          <w:rFonts w:asciiTheme="majorBidi" w:hAnsiTheme="majorBidi" w:cstheme="majorBidi"/>
          <w:sz w:val="24"/>
          <w:szCs w:val="24"/>
        </w:rPr>
        <w:lastRenderedPageBreak/>
        <w:t>Given the researcher’s background as a pediatric therapist, reflexivity was maintained throughout the study. Efforts were made to minimize bias by adopting a holistic, strengths-based perspective and by using triangulation of interviews, observations, and documents to ensure credible and balanced findings.</w:t>
      </w:r>
    </w:p>
    <w:p w14:paraId="42A58EF4" w14:textId="6469F5FD" w:rsidR="004F4C78" w:rsidRDefault="004F4C78" w:rsidP="004368DD">
      <w:pPr>
        <w:contextualSpacing/>
        <w:jc w:val="both"/>
        <w:rPr>
          <w:rFonts w:asciiTheme="majorBidi" w:hAnsiTheme="majorBidi" w:cstheme="majorBidi"/>
          <w:b/>
          <w:bCs/>
          <w:sz w:val="24"/>
          <w:szCs w:val="24"/>
        </w:rPr>
      </w:pPr>
      <w:r w:rsidRPr="004F4C78">
        <w:rPr>
          <w:rFonts w:asciiTheme="majorBidi" w:hAnsiTheme="majorBidi" w:cstheme="majorBidi"/>
          <w:b/>
          <w:bCs/>
          <w:sz w:val="24"/>
          <w:szCs w:val="24"/>
        </w:rPr>
        <w:t>Results and Discussion</w:t>
      </w:r>
    </w:p>
    <w:p w14:paraId="37A40E55" w14:textId="2D83AD3A" w:rsidR="00333338" w:rsidRDefault="00333338" w:rsidP="009E4D75">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study examined how Individualized Education Programs (IEPs) were developed and implemented for students with multiple disabilities, with particular attention to the integration of functional life skills and transition readiness. The findings revealed a consistent pattern across data sources: while IEPs were formally established and implemented, they remained largely curriculum-driven, with limited integration of functional, social, and transition-oriented goals. Seven interrelated themes emerged, including (1) academic-centered IEP structures, (2) underrepresentation of functional life skills, (3) the clinical–educational divide, (4) environmental influence on learner performance, (5) unstructured social and communication development, (6) absence of transition planning, and (7) fragmentation in stakeholder documentation and collaboration. These findings are discussed in relation to existing literature to highlight their implications for IEP development and special education practice.</w:t>
      </w:r>
    </w:p>
    <w:p w14:paraId="44743C8F" w14:textId="18D62AE5" w:rsidR="00423271" w:rsidRDefault="00423271" w:rsidP="00423271">
      <w:pPr>
        <w:pStyle w:val="Heading1"/>
        <w:spacing w:before="100" w:after="100"/>
        <w:contextualSpacing/>
        <w:rPr>
          <w:rFonts w:asciiTheme="majorBidi" w:hAnsiTheme="majorBidi" w:cstheme="majorBidi"/>
          <w:sz w:val="24"/>
          <w:szCs w:val="24"/>
        </w:rPr>
      </w:pPr>
      <w:r w:rsidRPr="00423271">
        <w:rPr>
          <w:rFonts w:asciiTheme="majorBidi" w:hAnsiTheme="majorBidi" w:cstheme="majorBidi"/>
          <w:b/>
          <w:bCs/>
          <w:sz w:val="24"/>
          <w:szCs w:val="24"/>
        </w:rPr>
        <w:t>Table 1</w:t>
      </w:r>
      <w:r w:rsidRPr="00423271">
        <w:rPr>
          <w:rFonts w:asciiTheme="majorBidi" w:hAnsiTheme="majorBidi" w:cstheme="majorBidi"/>
          <w:sz w:val="24"/>
          <w:szCs w:val="24"/>
        </w:rPr>
        <w:t xml:space="preserve"> </w:t>
      </w:r>
    </w:p>
    <w:p w14:paraId="3E1EC36A" w14:textId="6988E98A" w:rsidR="00423271" w:rsidRPr="00423271" w:rsidRDefault="00423271" w:rsidP="00423271">
      <w:pPr>
        <w:pStyle w:val="Heading1"/>
        <w:rPr>
          <w:rFonts w:asciiTheme="majorBidi" w:hAnsiTheme="majorBidi" w:cstheme="majorBidi"/>
          <w:i/>
          <w:iCs/>
          <w:sz w:val="24"/>
          <w:szCs w:val="24"/>
        </w:rPr>
      </w:pPr>
      <w:r w:rsidRPr="00423271">
        <w:rPr>
          <w:rFonts w:asciiTheme="majorBidi" w:hAnsiTheme="majorBidi" w:cstheme="majorBidi"/>
          <w:i/>
          <w:iCs/>
          <w:sz w:val="24"/>
          <w:szCs w:val="24"/>
        </w:rPr>
        <w:t>Distribution of IEP Goals Across Domains and Corresponding Gaps</w:t>
      </w:r>
    </w:p>
    <w:tbl>
      <w:tblPr>
        <w:tblW w:w="0" w:type="auto"/>
        <w:tblLook w:val="04A0" w:firstRow="1" w:lastRow="0" w:firstColumn="1" w:lastColumn="0" w:noHBand="0" w:noVBand="1"/>
      </w:tblPr>
      <w:tblGrid>
        <w:gridCol w:w="2160"/>
        <w:gridCol w:w="2160"/>
        <w:gridCol w:w="2160"/>
        <w:gridCol w:w="2160"/>
      </w:tblGrid>
      <w:tr w:rsidR="00423271" w14:paraId="1CB48A43" w14:textId="77777777" w:rsidTr="00C24C82">
        <w:tc>
          <w:tcPr>
            <w:tcW w:w="2160" w:type="dxa"/>
            <w:tcBorders>
              <w:top w:val="single" w:sz="4" w:space="0" w:color="auto"/>
              <w:bottom w:val="single" w:sz="4" w:space="0" w:color="auto"/>
            </w:tcBorders>
          </w:tcPr>
          <w:p w14:paraId="3D3B9AD7"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Domain</w:t>
            </w:r>
          </w:p>
        </w:tc>
        <w:tc>
          <w:tcPr>
            <w:tcW w:w="2160" w:type="dxa"/>
            <w:tcBorders>
              <w:top w:val="single" w:sz="4" w:space="0" w:color="auto"/>
              <w:bottom w:val="single" w:sz="4" w:space="0" w:color="auto"/>
            </w:tcBorders>
          </w:tcPr>
          <w:p w14:paraId="32B00213"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Representation in IEP</w:t>
            </w:r>
          </w:p>
        </w:tc>
        <w:tc>
          <w:tcPr>
            <w:tcW w:w="2160" w:type="dxa"/>
            <w:tcBorders>
              <w:top w:val="single" w:sz="4" w:space="0" w:color="auto"/>
              <w:bottom w:val="single" w:sz="4" w:space="0" w:color="auto"/>
            </w:tcBorders>
          </w:tcPr>
          <w:p w14:paraId="254C4FD2"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Observed Needs</w:t>
            </w:r>
          </w:p>
        </w:tc>
        <w:tc>
          <w:tcPr>
            <w:tcW w:w="2160" w:type="dxa"/>
            <w:tcBorders>
              <w:top w:val="single" w:sz="4" w:space="0" w:color="auto"/>
              <w:bottom w:val="single" w:sz="4" w:space="0" w:color="auto"/>
            </w:tcBorders>
          </w:tcPr>
          <w:p w14:paraId="7B9EF89D" w14:textId="77777777" w:rsidR="00423271" w:rsidRPr="00974DF6" w:rsidRDefault="00423271" w:rsidP="00423271">
            <w:pPr>
              <w:jc w:val="center"/>
              <w:rPr>
                <w:rFonts w:asciiTheme="majorBidi" w:hAnsiTheme="majorBidi" w:cstheme="majorBidi"/>
                <w:b/>
                <w:bCs/>
                <w:sz w:val="24"/>
                <w:szCs w:val="24"/>
              </w:rPr>
            </w:pPr>
            <w:r w:rsidRPr="00974DF6">
              <w:rPr>
                <w:rFonts w:asciiTheme="majorBidi" w:hAnsiTheme="majorBidi" w:cstheme="majorBidi"/>
                <w:b/>
                <w:bCs/>
                <w:sz w:val="24"/>
                <w:szCs w:val="24"/>
              </w:rPr>
              <w:t>Gap</w:t>
            </w:r>
          </w:p>
        </w:tc>
      </w:tr>
      <w:tr w:rsidR="00423271" w14:paraId="24C1D60B" w14:textId="77777777" w:rsidTr="00C24C82">
        <w:tc>
          <w:tcPr>
            <w:tcW w:w="2160" w:type="dxa"/>
            <w:tcBorders>
              <w:top w:val="single" w:sz="4" w:space="0" w:color="auto"/>
            </w:tcBorders>
          </w:tcPr>
          <w:p w14:paraId="5528DD1E"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Academic</w:t>
            </w:r>
          </w:p>
        </w:tc>
        <w:tc>
          <w:tcPr>
            <w:tcW w:w="2160" w:type="dxa"/>
            <w:tcBorders>
              <w:top w:val="single" w:sz="4" w:space="0" w:color="auto"/>
            </w:tcBorders>
          </w:tcPr>
          <w:p w14:paraId="1BB7AB42"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Borders>
              <w:top w:val="single" w:sz="4" w:space="0" w:color="auto"/>
            </w:tcBorders>
          </w:tcPr>
          <w:p w14:paraId="7031B0E8"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Moderate</w:t>
            </w:r>
          </w:p>
        </w:tc>
        <w:tc>
          <w:tcPr>
            <w:tcW w:w="2160" w:type="dxa"/>
            <w:tcBorders>
              <w:top w:val="single" w:sz="4" w:space="0" w:color="auto"/>
            </w:tcBorders>
          </w:tcPr>
          <w:p w14:paraId="3D5C9B62"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Overemphasized</w:t>
            </w:r>
          </w:p>
        </w:tc>
      </w:tr>
      <w:tr w:rsidR="00423271" w14:paraId="00C9F49E" w14:textId="77777777" w:rsidTr="00017C96">
        <w:tc>
          <w:tcPr>
            <w:tcW w:w="2160" w:type="dxa"/>
          </w:tcPr>
          <w:p w14:paraId="3B3D3CDD"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Functional Skills (ADLs)</w:t>
            </w:r>
          </w:p>
        </w:tc>
        <w:tc>
          <w:tcPr>
            <w:tcW w:w="2160" w:type="dxa"/>
          </w:tcPr>
          <w:p w14:paraId="3754AE19"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Low</w:t>
            </w:r>
          </w:p>
        </w:tc>
        <w:tc>
          <w:tcPr>
            <w:tcW w:w="2160" w:type="dxa"/>
          </w:tcPr>
          <w:p w14:paraId="46A7B752"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Pr>
          <w:p w14:paraId="2B308E25"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Underrepresented</w:t>
            </w:r>
          </w:p>
        </w:tc>
      </w:tr>
      <w:tr w:rsidR="00423271" w14:paraId="3C5A7D56" w14:textId="77777777" w:rsidTr="00017C96">
        <w:tc>
          <w:tcPr>
            <w:tcW w:w="2160" w:type="dxa"/>
          </w:tcPr>
          <w:p w14:paraId="5EB9F656"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Social Skills</w:t>
            </w:r>
          </w:p>
        </w:tc>
        <w:tc>
          <w:tcPr>
            <w:tcW w:w="2160" w:type="dxa"/>
          </w:tcPr>
          <w:p w14:paraId="1F2C3024"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Minimal</w:t>
            </w:r>
          </w:p>
        </w:tc>
        <w:tc>
          <w:tcPr>
            <w:tcW w:w="2160" w:type="dxa"/>
          </w:tcPr>
          <w:p w14:paraId="7D3F8D6C"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Pr>
          <w:p w14:paraId="0A2158DB"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Insufficient</w:t>
            </w:r>
          </w:p>
        </w:tc>
      </w:tr>
      <w:tr w:rsidR="00423271" w14:paraId="05F1C7DB" w14:textId="77777777" w:rsidTr="00017C96">
        <w:tc>
          <w:tcPr>
            <w:tcW w:w="2160" w:type="dxa"/>
          </w:tcPr>
          <w:p w14:paraId="7687136C"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Communication</w:t>
            </w:r>
          </w:p>
        </w:tc>
        <w:tc>
          <w:tcPr>
            <w:tcW w:w="2160" w:type="dxa"/>
          </w:tcPr>
          <w:p w14:paraId="37010581"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Minimal</w:t>
            </w:r>
          </w:p>
        </w:tc>
        <w:tc>
          <w:tcPr>
            <w:tcW w:w="2160" w:type="dxa"/>
          </w:tcPr>
          <w:p w14:paraId="3D3CF5AA"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High</w:t>
            </w:r>
          </w:p>
        </w:tc>
        <w:tc>
          <w:tcPr>
            <w:tcW w:w="2160" w:type="dxa"/>
          </w:tcPr>
          <w:p w14:paraId="66A93F64"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Absent</w:t>
            </w:r>
          </w:p>
        </w:tc>
      </w:tr>
      <w:tr w:rsidR="00423271" w14:paraId="16A52F8E" w14:textId="77777777" w:rsidTr="00C24C82">
        <w:tc>
          <w:tcPr>
            <w:tcW w:w="2160" w:type="dxa"/>
            <w:tcBorders>
              <w:bottom w:val="single" w:sz="4" w:space="0" w:color="auto"/>
            </w:tcBorders>
          </w:tcPr>
          <w:p w14:paraId="278CDEF2" w14:textId="77777777" w:rsidR="00423271" w:rsidRPr="00423271" w:rsidRDefault="00423271" w:rsidP="00423271">
            <w:pPr>
              <w:jc w:val="both"/>
              <w:rPr>
                <w:rFonts w:asciiTheme="majorBidi" w:hAnsiTheme="majorBidi" w:cstheme="majorBidi"/>
                <w:sz w:val="24"/>
                <w:szCs w:val="24"/>
              </w:rPr>
            </w:pPr>
            <w:r w:rsidRPr="00423271">
              <w:rPr>
                <w:rFonts w:asciiTheme="majorBidi" w:hAnsiTheme="majorBidi" w:cstheme="majorBidi"/>
                <w:sz w:val="24"/>
                <w:szCs w:val="24"/>
              </w:rPr>
              <w:t>Transition</w:t>
            </w:r>
          </w:p>
        </w:tc>
        <w:tc>
          <w:tcPr>
            <w:tcW w:w="2160" w:type="dxa"/>
            <w:tcBorders>
              <w:bottom w:val="single" w:sz="4" w:space="0" w:color="auto"/>
            </w:tcBorders>
          </w:tcPr>
          <w:p w14:paraId="6251C134"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None</w:t>
            </w:r>
          </w:p>
        </w:tc>
        <w:tc>
          <w:tcPr>
            <w:tcW w:w="2160" w:type="dxa"/>
            <w:tcBorders>
              <w:bottom w:val="single" w:sz="4" w:space="0" w:color="auto"/>
            </w:tcBorders>
          </w:tcPr>
          <w:p w14:paraId="756DD92E"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Critical</w:t>
            </w:r>
          </w:p>
        </w:tc>
        <w:tc>
          <w:tcPr>
            <w:tcW w:w="2160" w:type="dxa"/>
            <w:tcBorders>
              <w:bottom w:val="single" w:sz="4" w:space="0" w:color="auto"/>
            </w:tcBorders>
          </w:tcPr>
          <w:p w14:paraId="1231AC21" w14:textId="77777777" w:rsidR="00423271" w:rsidRPr="00423271" w:rsidRDefault="00423271" w:rsidP="00423271">
            <w:pPr>
              <w:jc w:val="center"/>
              <w:rPr>
                <w:rFonts w:asciiTheme="majorBidi" w:hAnsiTheme="majorBidi" w:cstheme="majorBidi"/>
                <w:sz w:val="24"/>
                <w:szCs w:val="24"/>
              </w:rPr>
            </w:pPr>
            <w:r w:rsidRPr="00423271">
              <w:rPr>
                <w:rFonts w:asciiTheme="majorBidi" w:hAnsiTheme="majorBidi" w:cstheme="majorBidi"/>
                <w:sz w:val="24"/>
                <w:szCs w:val="24"/>
              </w:rPr>
              <w:t>Absent</w:t>
            </w:r>
          </w:p>
        </w:tc>
      </w:tr>
    </w:tbl>
    <w:p w14:paraId="2F9951A1" w14:textId="77777777" w:rsidR="00423271" w:rsidRDefault="00423271" w:rsidP="009E4D75">
      <w:pPr>
        <w:ind w:firstLine="720"/>
        <w:contextualSpacing/>
        <w:jc w:val="both"/>
        <w:rPr>
          <w:rFonts w:ascii="Times New Roman" w:eastAsia="Times New Roman" w:hAnsi="Times New Roman" w:cs="Times New Roman"/>
          <w:sz w:val="24"/>
          <w:szCs w:val="24"/>
          <w:lang w:val="en-US"/>
        </w:rPr>
      </w:pPr>
    </w:p>
    <w:p w14:paraId="198EBB01" w14:textId="77777777" w:rsidR="00974DF6" w:rsidRDefault="00974DF6" w:rsidP="004368DD">
      <w:pPr>
        <w:contextualSpacing/>
        <w:jc w:val="both"/>
        <w:rPr>
          <w:rFonts w:asciiTheme="majorBidi" w:hAnsiTheme="majorBidi" w:cstheme="majorBidi"/>
          <w:b/>
          <w:bCs/>
          <w:sz w:val="24"/>
          <w:szCs w:val="24"/>
        </w:rPr>
      </w:pPr>
    </w:p>
    <w:p w14:paraId="44FD5451" w14:textId="77777777" w:rsidR="00974DF6" w:rsidRDefault="00974DF6" w:rsidP="004368DD">
      <w:pPr>
        <w:contextualSpacing/>
        <w:jc w:val="both"/>
        <w:rPr>
          <w:rFonts w:asciiTheme="majorBidi" w:hAnsiTheme="majorBidi" w:cstheme="majorBidi"/>
          <w:b/>
          <w:bCs/>
          <w:sz w:val="24"/>
          <w:szCs w:val="24"/>
        </w:rPr>
      </w:pPr>
    </w:p>
    <w:p w14:paraId="790C5A28" w14:textId="676C68CC" w:rsidR="00333338" w:rsidRPr="00333338" w:rsidRDefault="00333338" w:rsidP="004368DD">
      <w:pPr>
        <w:contextualSpacing/>
        <w:jc w:val="both"/>
        <w:rPr>
          <w:rFonts w:asciiTheme="majorBidi" w:eastAsia="Times New Roman" w:hAnsiTheme="majorBidi" w:cstheme="majorBidi"/>
          <w:b/>
          <w:bCs/>
          <w:sz w:val="24"/>
          <w:szCs w:val="24"/>
          <w:lang w:val="en-US"/>
        </w:rPr>
      </w:pPr>
      <w:r w:rsidRPr="00333338">
        <w:rPr>
          <w:rFonts w:asciiTheme="majorBidi" w:hAnsiTheme="majorBidi" w:cstheme="majorBidi"/>
          <w:b/>
          <w:bCs/>
          <w:sz w:val="24"/>
          <w:szCs w:val="24"/>
        </w:rPr>
        <w:lastRenderedPageBreak/>
        <w:t>Academic-Centered IEP Structures</w:t>
      </w:r>
    </w:p>
    <w:p w14:paraId="10640304"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The analysis showed that most IEP goals were centered on academic areas, especially literacy, numeracy, and classroom participation. This suggests that schools tend to prioritize outcomes that are easy to measure, with academic performance often used as the main indicator of student progress. While academic growth is clearly important, placing too much emphasis on this area can result in a limited view of what individualized instruction should address.</w:t>
      </w:r>
    </w:p>
    <w:p w14:paraId="67D46CD8"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pattern is consistent with earlier studies, which found that IEPs often focus heavily on academic achievement while giving less attention to other important areas of development (Agran et al., 2020; McSparron et al., 2019). One possible reason for this is the influence of accountability systems that highlight standardized results, shaping how educators plan and implement IEPs. However, for students with multiple disabilities—whose needs go far beyond academics—this imbalance can reduce the overall effectiveness of IEPs in supporting meaningful participation and independence.</w:t>
      </w:r>
    </w:p>
    <w:p w14:paraId="5B6083BE" w14:textId="7CCD2D04" w:rsidR="00333338" w:rsidRDefault="00333338" w:rsidP="00423271">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From a broader perspective, this trend does not align with holistic approaches to education, which emphasize the importance of developing not only cognitive skills but also social and functional abilities. Frameworks such as life skills education and transition-focused models highlight that academic competence alone is not enough to prepare students for everyday life. These findings point to the need to rethink how success is defined in IEP implementation, moving beyond academic outcomes to include functional independence and overall quality of life.</w:t>
      </w:r>
    </w:p>
    <w:p w14:paraId="6644DB0D" w14:textId="0D7150EC" w:rsidR="00C24C82" w:rsidRPr="00C24C82" w:rsidRDefault="00C24C82" w:rsidP="00C24C82">
      <w:pPr>
        <w:ind w:firstLine="720"/>
        <w:contextualSpacing/>
        <w:jc w:val="both"/>
        <w:rPr>
          <w:rFonts w:asciiTheme="majorBidi" w:eastAsia="Times New Roman" w:hAnsiTheme="majorBidi" w:cstheme="majorBidi"/>
          <w:sz w:val="28"/>
          <w:szCs w:val="28"/>
          <w:lang w:val="en-US"/>
        </w:rPr>
      </w:pPr>
      <w:r w:rsidRPr="00C24C82">
        <w:rPr>
          <w:rFonts w:asciiTheme="majorBidi" w:hAnsiTheme="majorBidi" w:cstheme="majorBidi"/>
          <w:sz w:val="24"/>
          <w:szCs w:val="24"/>
        </w:rPr>
        <w:t xml:space="preserve">This imbalance is further demonstrated in </w:t>
      </w:r>
      <w:r>
        <w:rPr>
          <w:rStyle w:val="Strong"/>
          <w:rFonts w:asciiTheme="majorBidi" w:hAnsiTheme="majorBidi" w:cstheme="majorBidi"/>
          <w:b w:val="0"/>
          <w:bCs w:val="0"/>
          <w:sz w:val="24"/>
          <w:szCs w:val="24"/>
        </w:rPr>
        <w:t>Table 1</w:t>
      </w:r>
      <w:r w:rsidRPr="00C24C82">
        <w:rPr>
          <w:rFonts w:asciiTheme="majorBidi" w:hAnsiTheme="majorBidi" w:cstheme="majorBidi"/>
          <w:sz w:val="24"/>
          <w:szCs w:val="24"/>
        </w:rPr>
        <w:t>, which compares the representation of IEP goals across domains with the actual needs observed among the participants.</w:t>
      </w:r>
    </w:p>
    <w:p w14:paraId="5BBD91DC" w14:textId="4E6DD674" w:rsidR="00333338" w:rsidRDefault="00333338" w:rsidP="004368DD">
      <w:pPr>
        <w:contextualSpacing/>
        <w:jc w:val="both"/>
        <w:rPr>
          <w:rFonts w:asciiTheme="majorBidi" w:hAnsiTheme="majorBidi" w:cstheme="majorBidi"/>
          <w:b/>
          <w:bCs/>
          <w:sz w:val="24"/>
          <w:szCs w:val="24"/>
        </w:rPr>
      </w:pPr>
      <w:r w:rsidRPr="00333338">
        <w:rPr>
          <w:rFonts w:asciiTheme="majorBidi" w:hAnsiTheme="majorBidi" w:cstheme="majorBidi"/>
          <w:b/>
          <w:bCs/>
          <w:sz w:val="24"/>
          <w:szCs w:val="24"/>
        </w:rPr>
        <w:t>Underrepresentation of Functional Life Skills</w:t>
      </w:r>
    </w:p>
    <w:p w14:paraId="3867D983"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A key finding of the study was that functional life skills were rarely included in IEP goals, even though observations and therapy records clearly showed that these were the students’ most pressing needs. The students consistently struggled with areas such as mobility, self-care, initiating tasks, and communication—skills that are essential for everyday independence but were not consistently reflected in their formal educational plans.</w:t>
      </w:r>
    </w:p>
    <w:p w14:paraId="03105288"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 xml:space="preserve">This gap aligns with existing research highlighting the importance of functional life skills, particularly Activities of Daily Living (ADLs), for students with multiple disabilities (Rowe et al., 2021; Snell &amp; Brown, 2022). When these skills are not explicitly written into IEPs, students may </w:t>
      </w:r>
      <w:r w:rsidRPr="00333338">
        <w:rPr>
          <w:rFonts w:ascii="Times New Roman" w:eastAsia="Times New Roman" w:hAnsi="Times New Roman" w:cs="Times New Roman"/>
          <w:sz w:val="24"/>
          <w:szCs w:val="24"/>
          <w:lang w:val="en-US"/>
        </w:rPr>
        <w:lastRenderedPageBreak/>
        <w:t>learn them only in isolated contexts and struggle to apply them in real-life situations, limiting their readiness for daily functioning outside the classroom.</w:t>
      </w:r>
    </w:p>
    <w:p w14:paraId="243ADA04"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Overall, the findings point to a clear mismatch between students’ functional needs and what is prioritized in their educational planning. While academic goals tend to be well-structured and clearly documented, functional skills are often treated as secondary or as something separate from the IEP process. This separation can weaken the purpose of individualized education, which is supposed to reflect the full range of a learner’s needs.</w:t>
      </w:r>
    </w:p>
    <w:p w14:paraId="00CA7E30" w14:textId="1299AFC4" w:rsidR="00333338" w:rsidRDefault="00333338" w:rsidP="009E4D75">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From the perspective of the International Classification of Functioning (ICF), independence is influenced not only by a person’s abilities but also by the support systems and environment around them. In this context, the lack of functional goals in IEPs suggests not just a planning gap, but also a broader system issue in fully recognizing functional competence as a core part of education.</w:t>
      </w:r>
    </w:p>
    <w:p w14:paraId="2CF8BC62" w14:textId="79D1F33F" w:rsidR="00333338" w:rsidRDefault="00333338" w:rsidP="004368DD">
      <w:pPr>
        <w:contextualSpacing/>
        <w:jc w:val="both"/>
        <w:rPr>
          <w:rFonts w:asciiTheme="majorBidi" w:hAnsiTheme="majorBidi" w:cstheme="majorBidi"/>
          <w:b/>
          <w:bCs/>
          <w:sz w:val="24"/>
          <w:szCs w:val="24"/>
        </w:rPr>
      </w:pPr>
      <w:r w:rsidRPr="00333338">
        <w:rPr>
          <w:rFonts w:asciiTheme="majorBidi" w:hAnsiTheme="majorBidi" w:cstheme="majorBidi"/>
          <w:b/>
          <w:bCs/>
          <w:sz w:val="24"/>
          <w:szCs w:val="24"/>
        </w:rPr>
        <w:t>The Clinical–Educational Divide</w:t>
      </w:r>
    </w:p>
    <w:p w14:paraId="66510925"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Another important theme that emerged was the noticeable disconnect between classroom instruction and therapy-based interventions. Therapy records contained detailed documentation of functional skill development such as feeding, hygiene, positioning, and mobility. However, these gains were not consistently reflected or incorporated into the IEPs. As a result, IEPs tended to focus on academic goals, while therapy records captured students’ functional progress separately.</w:t>
      </w:r>
    </w:p>
    <w:p w14:paraId="4DD8C362" w14:textId="24A8A878" w:rsid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separation aligns with findings in the literature on fragmented service delivery, where limited collaboration among professionals can lead to disjointed implementation of student programs (Nigam &amp; Kumar, 2023). Although multidisciplinary teams are involved in developing IEPs, their inputs are not always effectively combined into one cohesive plan. Instead, services often operate in parallel, with therapy and classroom instruction functioning as separate systems rather than an integrated approach.</w:t>
      </w:r>
    </w:p>
    <w:p w14:paraId="7553DA5C" w14:textId="0795B7BA" w:rsidR="00C24C82" w:rsidRPr="00C24C82" w:rsidRDefault="00C24C82" w:rsidP="00C24C82">
      <w:pPr>
        <w:contextualSpacing/>
        <w:jc w:val="both"/>
        <w:rPr>
          <w:rFonts w:asciiTheme="majorBidi" w:eastAsia="Times New Roman" w:hAnsiTheme="majorBidi" w:cstheme="majorBidi"/>
          <w:sz w:val="24"/>
          <w:szCs w:val="24"/>
          <w:lang w:val="en-US"/>
        </w:rPr>
      </w:pPr>
      <w:r>
        <w:rPr>
          <w:rFonts w:ascii="Times New Roman" w:eastAsia="Times New Roman" w:hAnsi="Times New Roman" w:cs="Times New Roman"/>
          <w:sz w:val="24"/>
          <w:szCs w:val="24"/>
          <w:lang w:val="en-US"/>
        </w:rPr>
        <w:tab/>
      </w:r>
      <w:r w:rsidRPr="00C24C82">
        <w:rPr>
          <w:rFonts w:asciiTheme="majorBidi" w:hAnsiTheme="majorBidi" w:cstheme="majorBidi"/>
          <w:sz w:val="24"/>
          <w:szCs w:val="24"/>
        </w:rPr>
        <w:t xml:space="preserve">This disconnect is further clarified in </w:t>
      </w:r>
      <w:r w:rsidRPr="00C24C82">
        <w:rPr>
          <w:rStyle w:val="Strong"/>
          <w:rFonts w:asciiTheme="majorBidi" w:hAnsiTheme="majorBidi" w:cstheme="majorBidi"/>
          <w:b w:val="0"/>
          <w:bCs w:val="0"/>
          <w:sz w:val="24"/>
          <w:szCs w:val="24"/>
        </w:rPr>
        <w:t>Table 2</w:t>
      </w:r>
      <w:r w:rsidRPr="00C24C82">
        <w:rPr>
          <w:rFonts w:asciiTheme="majorBidi" w:hAnsiTheme="majorBidi" w:cstheme="majorBidi"/>
          <w:sz w:val="24"/>
          <w:szCs w:val="24"/>
        </w:rPr>
        <w:t>, which summarizes the contrasting emphases of classroom instruction and therapy interventions, as well as the resulting gaps in coordination and skill generalization.</w:t>
      </w:r>
    </w:p>
    <w:p w14:paraId="5D0F65BC" w14:textId="77777777" w:rsidR="00974DF6" w:rsidRDefault="00974DF6" w:rsidP="00974DF6">
      <w:pPr>
        <w:pStyle w:val="Heading1"/>
        <w:spacing w:before="100" w:after="100"/>
        <w:contextualSpacing/>
        <w:rPr>
          <w:rFonts w:asciiTheme="majorBidi" w:hAnsiTheme="majorBidi" w:cstheme="majorBidi"/>
          <w:sz w:val="24"/>
          <w:szCs w:val="24"/>
        </w:rPr>
      </w:pPr>
      <w:r w:rsidRPr="00974DF6">
        <w:rPr>
          <w:rFonts w:asciiTheme="majorBidi" w:hAnsiTheme="majorBidi" w:cstheme="majorBidi"/>
          <w:b/>
          <w:bCs/>
          <w:sz w:val="24"/>
          <w:szCs w:val="24"/>
        </w:rPr>
        <w:lastRenderedPageBreak/>
        <w:t>Table 2</w:t>
      </w:r>
      <w:r w:rsidRPr="00974DF6">
        <w:rPr>
          <w:rFonts w:asciiTheme="majorBidi" w:hAnsiTheme="majorBidi" w:cstheme="majorBidi"/>
          <w:sz w:val="24"/>
          <w:szCs w:val="24"/>
        </w:rPr>
        <w:t>.</w:t>
      </w:r>
    </w:p>
    <w:p w14:paraId="4EBDCE8C" w14:textId="1957EC42" w:rsidR="00974DF6" w:rsidRPr="00974DF6" w:rsidRDefault="00974DF6" w:rsidP="00974DF6">
      <w:pPr>
        <w:pStyle w:val="Heading1"/>
        <w:spacing w:before="100" w:after="100"/>
        <w:contextualSpacing/>
        <w:rPr>
          <w:rFonts w:asciiTheme="majorBidi" w:hAnsiTheme="majorBidi" w:cstheme="majorBidi"/>
          <w:sz w:val="24"/>
          <w:szCs w:val="24"/>
        </w:rPr>
      </w:pPr>
      <w:r w:rsidRPr="00974DF6">
        <w:rPr>
          <w:rFonts w:asciiTheme="majorBidi" w:hAnsiTheme="majorBidi" w:cstheme="majorBidi"/>
          <w:sz w:val="24"/>
          <w:szCs w:val="24"/>
        </w:rPr>
        <w:t xml:space="preserve"> Comparison of Educational and Clinical Documentation</w:t>
      </w:r>
    </w:p>
    <w:tbl>
      <w:tblPr>
        <w:tblW w:w="0" w:type="auto"/>
        <w:tblLook w:val="04A0" w:firstRow="1" w:lastRow="0" w:firstColumn="1" w:lastColumn="0" w:noHBand="0" w:noVBand="1"/>
      </w:tblPr>
      <w:tblGrid>
        <w:gridCol w:w="2160"/>
        <w:gridCol w:w="2160"/>
        <w:gridCol w:w="2160"/>
        <w:gridCol w:w="2160"/>
      </w:tblGrid>
      <w:tr w:rsidR="00974DF6" w:rsidRPr="00974DF6" w14:paraId="04AD3AEC" w14:textId="77777777" w:rsidTr="00C24C82">
        <w:tc>
          <w:tcPr>
            <w:tcW w:w="2160" w:type="dxa"/>
            <w:tcBorders>
              <w:top w:val="single" w:sz="4" w:space="0" w:color="auto"/>
              <w:bottom w:val="single" w:sz="4" w:space="0" w:color="auto"/>
            </w:tcBorders>
          </w:tcPr>
          <w:p w14:paraId="62A9BC61" w14:textId="77777777" w:rsidR="00974DF6" w:rsidRPr="00974DF6" w:rsidRDefault="00974DF6" w:rsidP="00974DF6">
            <w:pPr>
              <w:contextualSpacing/>
              <w:jc w:val="center"/>
              <w:rPr>
                <w:rFonts w:asciiTheme="majorBidi" w:hAnsiTheme="majorBidi" w:cstheme="majorBidi"/>
                <w:b/>
                <w:bCs/>
                <w:sz w:val="24"/>
                <w:szCs w:val="24"/>
              </w:rPr>
            </w:pPr>
            <w:r w:rsidRPr="00974DF6">
              <w:rPr>
                <w:rFonts w:asciiTheme="majorBidi" w:hAnsiTheme="majorBidi" w:cstheme="majorBidi"/>
                <w:b/>
                <w:bCs/>
                <w:sz w:val="24"/>
                <w:szCs w:val="24"/>
              </w:rPr>
              <w:t>Aspect</w:t>
            </w:r>
          </w:p>
        </w:tc>
        <w:tc>
          <w:tcPr>
            <w:tcW w:w="2160" w:type="dxa"/>
            <w:tcBorders>
              <w:top w:val="single" w:sz="4" w:space="0" w:color="auto"/>
              <w:bottom w:val="single" w:sz="4" w:space="0" w:color="auto"/>
            </w:tcBorders>
          </w:tcPr>
          <w:p w14:paraId="24ACC82E" w14:textId="77777777" w:rsidR="00974DF6" w:rsidRPr="00974DF6" w:rsidRDefault="00974DF6" w:rsidP="00974DF6">
            <w:pPr>
              <w:jc w:val="center"/>
              <w:rPr>
                <w:rFonts w:asciiTheme="majorBidi" w:hAnsiTheme="majorBidi" w:cstheme="majorBidi"/>
                <w:b/>
                <w:bCs/>
                <w:sz w:val="24"/>
                <w:szCs w:val="24"/>
              </w:rPr>
            </w:pPr>
            <w:r w:rsidRPr="00974DF6">
              <w:rPr>
                <w:rFonts w:asciiTheme="majorBidi" w:hAnsiTheme="majorBidi" w:cstheme="majorBidi"/>
                <w:b/>
                <w:bCs/>
                <w:sz w:val="24"/>
                <w:szCs w:val="24"/>
              </w:rPr>
              <w:t>Teachers</w:t>
            </w:r>
          </w:p>
        </w:tc>
        <w:tc>
          <w:tcPr>
            <w:tcW w:w="2160" w:type="dxa"/>
            <w:tcBorders>
              <w:top w:val="single" w:sz="4" w:space="0" w:color="auto"/>
              <w:bottom w:val="single" w:sz="4" w:space="0" w:color="auto"/>
            </w:tcBorders>
          </w:tcPr>
          <w:p w14:paraId="1388589E" w14:textId="77777777" w:rsidR="00974DF6" w:rsidRPr="00974DF6" w:rsidRDefault="00974DF6" w:rsidP="00974DF6">
            <w:pPr>
              <w:jc w:val="center"/>
              <w:rPr>
                <w:rFonts w:asciiTheme="majorBidi" w:hAnsiTheme="majorBidi" w:cstheme="majorBidi"/>
                <w:b/>
                <w:bCs/>
                <w:sz w:val="24"/>
                <w:szCs w:val="24"/>
              </w:rPr>
            </w:pPr>
            <w:r w:rsidRPr="00974DF6">
              <w:rPr>
                <w:rFonts w:asciiTheme="majorBidi" w:hAnsiTheme="majorBidi" w:cstheme="majorBidi"/>
                <w:b/>
                <w:bCs/>
                <w:sz w:val="24"/>
                <w:szCs w:val="24"/>
              </w:rPr>
              <w:t>Therapists</w:t>
            </w:r>
          </w:p>
        </w:tc>
        <w:tc>
          <w:tcPr>
            <w:tcW w:w="2160" w:type="dxa"/>
            <w:tcBorders>
              <w:top w:val="single" w:sz="4" w:space="0" w:color="auto"/>
              <w:bottom w:val="single" w:sz="4" w:space="0" w:color="auto"/>
            </w:tcBorders>
          </w:tcPr>
          <w:p w14:paraId="70BC58F2" w14:textId="77777777" w:rsidR="00974DF6" w:rsidRPr="00974DF6" w:rsidRDefault="00974DF6" w:rsidP="00974DF6">
            <w:pPr>
              <w:jc w:val="center"/>
              <w:rPr>
                <w:rFonts w:asciiTheme="majorBidi" w:hAnsiTheme="majorBidi" w:cstheme="majorBidi"/>
                <w:b/>
                <w:bCs/>
                <w:sz w:val="24"/>
                <w:szCs w:val="24"/>
              </w:rPr>
            </w:pPr>
            <w:r w:rsidRPr="00974DF6">
              <w:rPr>
                <w:rFonts w:asciiTheme="majorBidi" w:hAnsiTheme="majorBidi" w:cstheme="majorBidi"/>
                <w:b/>
                <w:bCs/>
                <w:sz w:val="24"/>
                <w:szCs w:val="24"/>
              </w:rPr>
              <w:t>Gap</w:t>
            </w:r>
          </w:p>
        </w:tc>
      </w:tr>
      <w:tr w:rsidR="00974DF6" w:rsidRPr="00974DF6" w14:paraId="64862D96" w14:textId="77777777" w:rsidTr="00C24C82">
        <w:tc>
          <w:tcPr>
            <w:tcW w:w="2160" w:type="dxa"/>
            <w:tcBorders>
              <w:top w:val="single" w:sz="4" w:space="0" w:color="auto"/>
            </w:tcBorders>
          </w:tcPr>
          <w:p w14:paraId="04BA1EB8"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Focus</w:t>
            </w:r>
          </w:p>
        </w:tc>
        <w:tc>
          <w:tcPr>
            <w:tcW w:w="2160" w:type="dxa"/>
            <w:tcBorders>
              <w:top w:val="single" w:sz="4" w:space="0" w:color="auto"/>
            </w:tcBorders>
          </w:tcPr>
          <w:p w14:paraId="7339280C"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Academic</w:t>
            </w:r>
          </w:p>
        </w:tc>
        <w:tc>
          <w:tcPr>
            <w:tcW w:w="2160" w:type="dxa"/>
            <w:tcBorders>
              <w:top w:val="single" w:sz="4" w:space="0" w:color="auto"/>
            </w:tcBorders>
          </w:tcPr>
          <w:p w14:paraId="72C23ED4"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Functional</w:t>
            </w:r>
          </w:p>
        </w:tc>
        <w:tc>
          <w:tcPr>
            <w:tcW w:w="2160" w:type="dxa"/>
            <w:tcBorders>
              <w:top w:val="single" w:sz="4" w:space="0" w:color="auto"/>
            </w:tcBorders>
          </w:tcPr>
          <w:p w14:paraId="20F14F91"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Misalignment</w:t>
            </w:r>
          </w:p>
        </w:tc>
      </w:tr>
      <w:tr w:rsidR="00974DF6" w:rsidRPr="00974DF6" w14:paraId="4FB2AC94" w14:textId="77777777" w:rsidTr="00017C96">
        <w:tc>
          <w:tcPr>
            <w:tcW w:w="2160" w:type="dxa"/>
          </w:tcPr>
          <w:p w14:paraId="0A8FD160"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Documentation</w:t>
            </w:r>
          </w:p>
        </w:tc>
        <w:tc>
          <w:tcPr>
            <w:tcW w:w="2160" w:type="dxa"/>
          </w:tcPr>
          <w:p w14:paraId="4A600958"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Lesson-based</w:t>
            </w:r>
          </w:p>
        </w:tc>
        <w:tc>
          <w:tcPr>
            <w:tcW w:w="2160" w:type="dxa"/>
          </w:tcPr>
          <w:p w14:paraId="61535B05"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Progress-based</w:t>
            </w:r>
          </w:p>
        </w:tc>
        <w:tc>
          <w:tcPr>
            <w:tcW w:w="2160" w:type="dxa"/>
          </w:tcPr>
          <w:p w14:paraId="55D7B7CA"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Fragmented</w:t>
            </w:r>
          </w:p>
        </w:tc>
      </w:tr>
      <w:tr w:rsidR="00974DF6" w:rsidRPr="00974DF6" w14:paraId="64957FB9" w14:textId="77777777" w:rsidTr="00017C96">
        <w:tc>
          <w:tcPr>
            <w:tcW w:w="2160" w:type="dxa"/>
          </w:tcPr>
          <w:p w14:paraId="14938EB2"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Application</w:t>
            </w:r>
          </w:p>
        </w:tc>
        <w:tc>
          <w:tcPr>
            <w:tcW w:w="2160" w:type="dxa"/>
          </w:tcPr>
          <w:p w14:paraId="7BD60FD6"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Classroom</w:t>
            </w:r>
          </w:p>
        </w:tc>
        <w:tc>
          <w:tcPr>
            <w:tcW w:w="2160" w:type="dxa"/>
          </w:tcPr>
          <w:p w14:paraId="5E2A8864"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Therapy</w:t>
            </w:r>
          </w:p>
        </w:tc>
        <w:tc>
          <w:tcPr>
            <w:tcW w:w="2160" w:type="dxa"/>
          </w:tcPr>
          <w:p w14:paraId="20BF43B7"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Limited transfer</w:t>
            </w:r>
          </w:p>
        </w:tc>
      </w:tr>
      <w:tr w:rsidR="00974DF6" w:rsidRPr="00974DF6" w14:paraId="655995DF" w14:textId="77777777" w:rsidTr="00C24C82">
        <w:tc>
          <w:tcPr>
            <w:tcW w:w="2160" w:type="dxa"/>
            <w:tcBorders>
              <w:bottom w:val="single" w:sz="4" w:space="0" w:color="auto"/>
            </w:tcBorders>
          </w:tcPr>
          <w:p w14:paraId="5651B78B" w14:textId="77777777" w:rsidR="00974DF6" w:rsidRPr="00974DF6" w:rsidRDefault="00974DF6" w:rsidP="00017C96">
            <w:pPr>
              <w:rPr>
                <w:rFonts w:asciiTheme="majorBidi" w:hAnsiTheme="majorBidi" w:cstheme="majorBidi"/>
                <w:sz w:val="24"/>
                <w:szCs w:val="24"/>
              </w:rPr>
            </w:pPr>
            <w:r w:rsidRPr="00974DF6">
              <w:rPr>
                <w:rFonts w:asciiTheme="majorBidi" w:hAnsiTheme="majorBidi" w:cstheme="majorBidi"/>
                <w:sz w:val="24"/>
                <w:szCs w:val="24"/>
              </w:rPr>
              <w:t>Monitoring</w:t>
            </w:r>
          </w:p>
        </w:tc>
        <w:tc>
          <w:tcPr>
            <w:tcW w:w="2160" w:type="dxa"/>
            <w:tcBorders>
              <w:bottom w:val="single" w:sz="4" w:space="0" w:color="auto"/>
            </w:tcBorders>
          </w:tcPr>
          <w:p w14:paraId="17FB3973"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Curriculum-based</w:t>
            </w:r>
          </w:p>
        </w:tc>
        <w:tc>
          <w:tcPr>
            <w:tcW w:w="2160" w:type="dxa"/>
            <w:tcBorders>
              <w:bottom w:val="single" w:sz="4" w:space="0" w:color="auto"/>
            </w:tcBorders>
          </w:tcPr>
          <w:p w14:paraId="1BD79E1D"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Functional tracking</w:t>
            </w:r>
          </w:p>
        </w:tc>
        <w:tc>
          <w:tcPr>
            <w:tcW w:w="2160" w:type="dxa"/>
            <w:tcBorders>
              <w:bottom w:val="single" w:sz="4" w:space="0" w:color="auto"/>
            </w:tcBorders>
          </w:tcPr>
          <w:p w14:paraId="39D96DE4" w14:textId="77777777" w:rsidR="00974DF6" w:rsidRPr="00974DF6" w:rsidRDefault="00974DF6" w:rsidP="00974DF6">
            <w:pPr>
              <w:jc w:val="center"/>
              <w:rPr>
                <w:rFonts w:asciiTheme="majorBidi" w:hAnsiTheme="majorBidi" w:cstheme="majorBidi"/>
                <w:sz w:val="24"/>
                <w:szCs w:val="24"/>
              </w:rPr>
            </w:pPr>
            <w:r w:rsidRPr="00974DF6">
              <w:rPr>
                <w:rFonts w:asciiTheme="majorBidi" w:hAnsiTheme="majorBidi" w:cstheme="majorBidi"/>
                <w:sz w:val="24"/>
                <w:szCs w:val="24"/>
              </w:rPr>
              <w:t>No unified system</w:t>
            </w:r>
          </w:p>
        </w:tc>
      </w:tr>
    </w:tbl>
    <w:p w14:paraId="0FCC5282" w14:textId="18C7A9B6" w:rsidR="00333338" w:rsidRPr="00333338" w:rsidRDefault="00333338" w:rsidP="00974DF6">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The impact of this gap is meaningful for student learning. When there is little alignment between therapy goals and classroom activities, skills developed in one setting are not consistently reinforced in another. This reduces opportunities for practice and makes it harder for students to apply skills across different environments. Research supports that functional skills are best developed through consistent, contextually meaningful practice across settings (Hansen et al., 2022; Pennington et al., 2023). The observed lack of integration suggests that students may be receiving support that is well-intentioned but not fully coordinated.</w:t>
      </w:r>
    </w:p>
    <w:p w14:paraId="2C85F8C7" w14:textId="112B3E64" w:rsid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Overall, this finding highlights the need for a more transdisciplinary approach in IEP development and implementation, where professionals move beyond working in isolation and instead collaborate to create shared goals and aligned interventions that directly support student independence.</w:t>
      </w:r>
    </w:p>
    <w:p w14:paraId="43054C0F" w14:textId="11506953" w:rsidR="00333338" w:rsidRDefault="00333338" w:rsidP="004368DD">
      <w:pPr>
        <w:contextualSpacing/>
        <w:jc w:val="both"/>
        <w:rPr>
          <w:rFonts w:asciiTheme="majorBidi" w:hAnsiTheme="majorBidi" w:cstheme="majorBidi"/>
          <w:b/>
          <w:bCs/>
          <w:sz w:val="24"/>
          <w:szCs w:val="24"/>
        </w:rPr>
      </w:pPr>
      <w:r w:rsidRPr="00333338">
        <w:rPr>
          <w:rFonts w:asciiTheme="majorBidi" w:hAnsiTheme="majorBidi" w:cstheme="majorBidi"/>
          <w:b/>
          <w:bCs/>
          <w:sz w:val="24"/>
          <w:szCs w:val="24"/>
        </w:rPr>
        <w:t>Environmental Influence and Scaffolding</w:t>
      </w:r>
    </w:p>
    <w:p w14:paraId="00461347"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The study also showed that student performance was strongly shaped by how the learning environment was structured, rather than ability alone. Participant 2 was more engaged and successful when tasks were broken down into smaller, clearer steps with guided support. In contrast, Participant 1 relied heavily on continuous prompting and showed limited independent initiation of tasks.</w:t>
      </w:r>
    </w:p>
    <w:p w14:paraId="1B5E3D72"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 xml:space="preserve">These findings reflect Vygotsky’s concept of the Zone of Proximal Development, which suggests that learning is most effective when students are supported just beyond what they can do independently. In this context, scaffolding strategies—such as step-by-step instruction, prompts, and structured guidance—help </w:t>
      </w:r>
      <w:proofErr w:type="gramStart"/>
      <w:r w:rsidRPr="00333338">
        <w:rPr>
          <w:rFonts w:ascii="Times New Roman" w:eastAsia="Times New Roman" w:hAnsi="Times New Roman" w:cs="Times New Roman"/>
          <w:sz w:val="24"/>
          <w:szCs w:val="24"/>
          <w:lang w:val="en-US"/>
        </w:rPr>
        <w:t>learners</w:t>
      </w:r>
      <w:proofErr w:type="gramEnd"/>
      <w:r w:rsidRPr="00333338">
        <w:rPr>
          <w:rFonts w:ascii="Times New Roman" w:eastAsia="Times New Roman" w:hAnsi="Times New Roman" w:cs="Times New Roman"/>
          <w:sz w:val="24"/>
          <w:szCs w:val="24"/>
          <w:lang w:val="en-US"/>
        </w:rPr>
        <w:t xml:space="preserve"> complete tasks they would not yet manage on their own, while gradually building independence over time.</w:t>
      </w:r>
    </w:p>
    <w:p w14:paraId="0968102A" w14:textId="77777777" w:rsidR="00333338" w:rsidRP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lastRenderedPageBreak/>
        <w:t>This underscores the importance of how instruction is designed within IEP implementation. Rather than viewing student performance as a fixed limitation, the findings suggest that changes in environmental support can significantly improve engagement and learning outcomes. When tasks are structured appropriately, students are better able to participate and succeed.</w:t>
      </w:r>
    </w:p>
    <w:p w14:paraId="7840E3A3" w14:textId="47139439" w:rsidR="00333338" w:rsidRDefault="00333338" w:rsidP="004368DD">
      <w:pPr>
        <w:ind w:firstLine="720"/>
        <w:contextualSpacing/>
        <w:jc w:val="both"/>
        <w:rPr>
          <w:rFonts w:ascii="Times New Roman" w:eastAsia="Times New Roman" w:hAnsi="Times New Roman" w:cs="Times New Roman"/>
          <w:sz w:val="24"/>
          <w:szCs w:val="24"/>
          <w:lang w:val="en-US"/>
        </w:rPr>
      </w:pPr>
      <w:r w:rsidRPr="00333338">
        <w:rPr>
          <w:rFonts w:ascii="Times New Roman" w:eastAsia="Times New Roman" w:hAnsi="Times New Roman" w:cs="Times New Roman"/>
          <w:sz w:val="24"/>
          <w:szCs w:val="24"/>
          <w:lang w:val="en-US"/>
        </w:rPr>
        <w:t>This perspective is also consistent with Universal Design for Learning (UDL), which emphasizes flexible and responsive teaching methods that accommodate diverse learning needs. It highlights that meaningful progress often depends not only on what is taught, but on how learning is supported and organized.</w:t>
      </w:r>
    </w:p>
    <w:p w14:paraId="552A343C" w14:textId="355E5B54"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Unstructured Social and Communication Development</w:t>
      </w:r>
    </w:p>
    <w:p w14:paraId="24347F2B"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Despite clear difficulties in communication and social interaction, these areas were rarely written as formal IEP goals. Instead, social learning tended to happen informally or incidentally, rather than through planned and structured intervention. This points to a broader concern in special education, where communication and social skills are often recognized as important but are not consistently translated into deliberate instructional targets.</w:t>
      </w:r>
    </w:p>
    <w:p w14:paraId="0CFF671F"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Evidence shows that social-emotional learning (SEL) interventions can lead to meaningful improvements in both academic engagement and behavior when they are intentionally designed and implemented (Cipriano et al., 2023; Carter et al., 2022). When these goals are missing from the IEP, students have fewer structured opportunities to practice communication and build relationships, which are essential skills for participation in school, home, and community settings.</w:t>
      </w:r>
    </w:p>
    <w:p w14:paraId="3D23C337" w14:textId="12A6D35A" w:rsid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Overall, this finding suggests a need for IEPs to move beyond assuming that social learning will develop naturally. Instead, communication and interaction skills should be explicitly included as measurable goals, with planned strategies to support consistent development and real-world application.</w:t>
      </w:r>
    </w:p>
    <w:p w14:paraId="2506D620" w14:textId="1E08E889"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Absence of Transition Planning</w:t>
      </w:r>
    </w:p>
    <w:p w14:paraId="54F9F0F9"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One of the most important findings was the absence of transition-focused goals, particularly for Participant 1, who was already in adolescence. The IEP did not include clear objectives related to independence, daily living skills, or preparation for life after school.</w:t>
      </w:r>
    </w:p>
    <w:p w14:paraId="139E5953"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This reflects existing research showing that transition planning is often not fully developed in IEPs for students with complex needs (Morningstar et al., 2021; Test et al., 2020). Although effective transition planning should begin early and include functional and vocational targets, these elements were not evident in the cases examined.</w:t>
      </w:r>
    </w:p>
    <w:p w14:paraId="3CD588F7" w14:textId="77F3E848" w:rsid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lastRenderedPageBreak/>
        <w:t>The lack of transition planning has important implications for students’ long-term outcomes. Without structured preparation for adulthood, students may leave school without the skills needed for independent or supported living. Transition literature consistently highlights the importance of building self-determination, independence, and practical life skills as core outcomes of education (Shogren et al., 2020; Wehmeyer &amp; Zhao, 2020). In this study, the absence of these goals suggests a gap between current IEP practices and the broader aim of preparing students for life beyond school.</w:t>
      </w:r>
    </w:p>
    <w:p w14:paraId="632308D7" w14:textId="31FBDBAE"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Fragmentation in Documentation and Collaboration</w:t>
      </w:r>
    </w:p>
    <w:p w14:paraId="1D9A0661" w14:textId="77777777" w:rsidR="004368DD" w:rsidRP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A key theme that emerged was the fragmentation of documentation among different stakeholders. Teachers, therapists, and parents each recorded valuable information about the student’s development, but these insights were not brought together into a single, coherent IEP.</w:t>
      </w:r>
    </w:p>
    <w:p w14:paraId="38F37D86" w14:textId="4D83D17D" w:rsidR="004368DD" w:rsidRPr="004368DD" w:rsidRDefault="004368DD" w:rsidP="0042327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This lack of coordination reflects broader systemic issues highlighted in the literature, including limited communication, unclear role expectations, and inconsistent monitoring practices. From an ecological perspective, a student’s development is shaped by the interaction of multiple systems, and progress is strongest when these systems are aligned. When alignment is missing, interventions can become disconnected, reducing their overall effectiveness.</w:t>
      </w:r>
    </w:p>
    <w:p w14:paraId="70233FB0" w14:textId="0E11C08F" w:rsidR="004368DD" w:rsidRDefault="004368DD" w:rsidP="004368DD">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Overall, the findings suggest that although multiple stakeholders are actively involved, their contributions often remain separated rather than unified. This reinforces the need for stronger collaborative structures that promote shared responsibility, consistent communication, and integrated goal-setting within the IEP process.</w:t>
      </w:r>
    </w:p>
    <w:p w14:paraId="5A14E685" w14:textId="24061F42" w:rsidR="004368DD" w:rsidRDefault="004368DD" w:rsidP="004368DD">
      <w:pPr>
        <w:contextualSpacing/>
        <w:jc w:val="both"/>
        <w:rPr>
          <w:rFonts w:asciiTheme="majorBidi" w:hAnsiTheme="majorBidi" w:cstheme="majorBidi"/>
          <w:b/>
          <w:bCs/>
          <w:sz w:val="24"/>
          <w:szCs w:val="24"/>
        </w:rPr>
      </w:pPr>
      <w:r w:rsidRPr="004368DD">
        <w:rPr>
          <w:rFonts w:asciiTheme="majorBidi" w:hAnsiTheme="majorBidi" w:cstheme="majorBidi"/>
          <w:b/>
          <w:bCs/>
          <w:sz w:val="24"/>
          <w:szCs w:val="24"/>
        </w:rPr>
        <w:t>Synthesis and Implications</w:t>
      </w:r>
    </w:p>
    <w:p w14:paraId="531384D4" w14:textId="77777777" w:rsidR="00E07D01"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Overall, the findings suggest that the main issue in IEP implementation is not the absence of services, but rather the lack of connection between them. Academic instruction, therapy support, and family involvement are all in place, but they often operate separately instead of being brought together into a coordinated and unified plan.</w:t>
      </w:r>
    </w:p>
    <w:p w14:paraId="0A99383B" w14:textId="473839F0" w:rsidR="004368DD" w:rsidRPr="004368DD"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This study contributes to the literature by highlighting the need for a more function-centered and interdisciplinary approach to IEP development. An effective model would bring together academic, functional, social, and transition goals in a way that reflects the student as a whole, rather than treating each area in isolation. This aligns with current perspectives in special education that emphasize holistic development and the importance of applying skills in real-life contexts.</w:t>
      </w:r>
    </w:p>
    <w:p w14:paraId="330EF87D" w14:textId="77777777" w:rsidR="004368DD" w:rsidRPr="004368DD"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lastRenderedPageBreak/>
        <w:t>In practical terms, the findings point to several important areas for improvement among educators, therapists, and policymakers. These include designing IEPs that clearly incorporate functional and transition goals, strengthening collaboration across disciplines, ensuring that instructional strategies are connected to everyday life skills, and placing greater emphasis on independence as a core outcome of education.</w:t>
      </w:r>
    </w:p>
    <w:p w14:paraId="22732E38" w14:textId="7374C58A" w:rsidR="004F4C78" w:rsidRPr="00E07D01" w:rsidRDefault="004368DD" w:rsidP="00E07D01">
      <w:pPr>
        <w:ind w:firstLine="720"/>
        <w:contextualSpacing/>
        <w:jc w:val="both"/>
        <w:rPr>
          <w:rFonts w:ascii="Times New Roman" w:eastAsia="Times New Roman" w:hAnsi="Times New Roman" w:cs="Times New Roman"/>
          <w:sz w:val="24"/>
          <w:szCs w:val="24"/>
          <w:lang w:val="en-US"/>
        </w:rPr>
      </w:pPr>
      <w:r w:rsidRPr="004368DD">
        <w:rPr>
          <w:rFonts w:ascii="Times New Roman" w:eastAsia="Times New Roman" w:hAnsi="Times New Roman" w:cs="Times New Roman"/>
          <w:sz w:val="24"/>
          <w:szCs w:val="24"/>
          <w:lang w:val="en-US"/>
        </w:rPr>
        <w:t>Addressing these areas can help shift IEPs from being mainly compliance-oriented documents into more meaningful, coordinated tools that genuinely support the long-term development and independence of stud</w:t>
      </w:r>
      <w:r w:rsidR="00E07D01">
        <w:rPr>
          <w:rFonts w:ascii="Times New Roman" w:eastAsia="Times New Roman" w:hAnsi="Times New Roman" w:cs="Times New Roman"/>
          <w:sz w:val="24"/>
          <w:szCs w:val="24"/>
          <w:lang w:val="en-US"/>
        </w:rPr>
        <w:t>ents with multiple disabilities.</w:t>
      </w:r>
    </w:p>
    <w:p w14:paraId="03D324B9" w14:textId="7CB07690" w:rsidR="009C69D7" w:rsidRPr="009C69D7" w:rsidRDefault="009C69D7" w:rsidP="004368DD">
      <w:pPr>
        <w:contextualSpacing/>
        <w:jc w:val="both"/>
        <w:rPr>
          <w:rFonts w:asciiTheme="majorBidi" w:hAnsiTheme="majorBidi" w:cstheme="majorBidi"/>
          <w:b/>
          <w:bCs/>
          <w:sz w:val="24"/>
          <w:szCs w:val="24"/>
        </w:rPr>
      </w:pPr>
      <w:r w:rsidRPr="009C69D7">
        <w:rPr>
          <w:rFonts w:asciiTheme="majorBidi" w:hAnsiTheme="majorBidi" w:cstheme="majorBidi"/>
          <w:b/>
          <w:bCs/>
          <w:sz w:val="24"/>
          <w:szCs w:val="24"/>
        </w:rPr>
        <w:t>Conclusions</w:t>
      </w:r>
    </w:p>
    <w:p w14:paraId="63E99313" w14:textId="77777777" w:rsidR="00B227FB" w:rsidRPr="009066AE" w:rsidRDefault="009C69D7" w:rsidP="00E07D01">
      <w:pPr>
        <w:contextualSpacing/>
        <w:jc w:val="both"/>
        <w:rPr>
          <w:rFonts w:asciiTheme="majorBidi" w:hAnsiTheme="majorBidi" w:cstheme="majorBidi"/>
          <w:sz w:val="24"/>
          <w:szCs w:val="24"/>
        </w:rPr>
      </w:pPr>
      <w:r>
        <w:rPr>
          <w:rFonts w:asciiTheme="majorBidi" w:hAnsiTheme="majorBidi" w:cstheme="majorBidi"/>
          <w:sz w:val="24"/>
          <w:szCs w:val="24"/>
        </w:rPr>
        <w:tab/>
      </w:r>
      <w:r w:rsidR="00B227FB" w:rsidRPr="009066AE">
        <w:rPr>
          <w:rFonts w:asciiTheme="majorBidi" w:hAnsiTheme="majorBidi" w:cstheme="majorBidi"/>
          <w:sz w:val="24"/>
          <w:szCs w:val="24"/>
        </w:rPr>
        <w:t>This study examined how Individualized Education Programs (IEPs) are developed and implemented for students with multiple disabilities, particularly in relation to functional life skills and transition readiness. The findings indicate that while IEPs support the development of basic academic skills, they do not consistently address the broader needs required for independent living.</w:t>
      </w:r>
    </w:p>
    <w:p w14:paraId="12BC3ADD" w14:textId="77777777" w:rsidR="00B227FB" w:rsidRPr="009066AE" w:rsidRDefault="00B227FB" w:rsidP="00E07D01">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Across cases, a clear pattern emerged: students’ engagement, independence, and participation were shaped not only by their abilities but also by the level of structured support, environmental context, and stakeholder involvement. However, the limited integration of functional and transition-focused goals within IEPs highlights a gap between educational planning and real-world outcomes.</w:t>
      </w:r>
    </w:p>
    <w:p w14:paraId="09568E52" w14:textId="77777777" w:rsidR="00127F38" w:rsidRPr="009066AE" w:rsidRDefault="00B227FB" w:rsidP="00E07D01">
      <w:pPr>
        <w:ind w:firstLine="720"/>
        <w:contextualSpacing/>
        <w:jc w:val="both"/>
        <w:rPr>
          <w:rFonts w:asciiTheme="majorBidi" w:hAnsiTheme="majorBidi" w:cstheme="majorBidi"/>
          <w:sz w:val="24"/>
          <w:szCs w:val="24"/>
        </w:rPr>
      </w:pPr>
      <w:r w:rsidRPr="009066AE">
        <w:rPr>
          <w:rFonts w:asciiTheme="majorBidi" w:hAnsiTheme="majorBidi" w:cstheme="majorBidi"/>
          <w:sz w:val="24"/>
          <w:szCs w:val="24"/>
        </w:rPr>
        <w:t>These findings contribute to the understanding of IEP implementation by emphasizing the need for more balanced and context-responsive approaches. Strengthening interdisciplinary collaboration and aligning goals with students’ functional needs and aspirations can improve the relevance of IEPs and better support long-term independence and transition outcomes.</w:t>
      </w:r>
    </w:p>
    <w:p w14:paraId="40D0A8C9" w14:textId="77777777" w:rsidR="00127F38" w:rsidRDefault="00127F38" w:rsidP="00E07D01">
      <w:pPr>
        <w:contextualSpacing/>
        <w:jc w:val="both"/>
        <w:rPr>
          <w:rFonts w:asciiTheme="majorBidi" w:hAnsiTheme="majorBidi" w:cstheme="majorBidi"/>
          <w:b/>
          <w:bCs/>
        </w:rPr>
      </w:pPr>
      <w:r w:rsidRPr="00127F38">
        <w:rPr>
          <w:rFonts w:asciiTheme="majorBidi" w:hAnsiTheme="majorBidi" w:cstheme="majorBidi"/>
          <w:b/>
          <w:bCs/>
        </w:rPr>
        <w:t>Limitations</w:t>
      </w:r>
    </w:p>
    <w:p w14:paraId="0638BEE3" w14:textId="77777777" w:rsidR="00127F38" w:rsidRPr="009066AE" w:rsidRDefault="00127F38" w:rsidP="00E07D01">
      <w:pPr>
        <w:contextualSpacing/>
        <w:jc w:val="both"/>
        <w:rPr>
          <w:rFonts w:asciiTheme="majorBidi" w:hAnsiTheme="majorBidi" w:cstheme="majorBidi"/>
          <w:sz w:val="24"/>
          <w:szCs w:val="24"/>
        </w:rPr>
      </w:pPr>
      <w:r>
        <w:rPr>
          <w:rFonts w:asciiTheme="majorBidi" w:hAnsiTheme="majorBidi" w:cstheme="majorBidi"/>
          <w:b/>
          <w:bCs/>
        </w:rPr>
        <w:tab/>
      </w:r>
      <w:r w:rsidRPr="009066AE">
        <w:rPr>
          <w:rFonts w:asciiTheme="majorBidi" w:hAnsiTheme="majorBidi" w:cstheme="majorBidi"/>
          <w:sz w:val="24"/>
          <w:szCs w:val="24"/>
        </w:rPr>
        <w:t>This study has several limitations that should be considered when interpreting the findings. First, the research involved a small sample size of two participants from a single specialized school in the Southern Region of Saudi Arabia, which limits the generalizability of the results. The use of a qualitative case study design provides in-depth insights but is inherently context-specific.</w:t>
      </w:r>
    </w:p>
    <w:p w14:paraId="49FFB579" w14:textId="77777777" w:rsidR="00127F38" w:rsidRPr="00127F38" w:rsidRDefault="00127F38" w:rsidP="00E07D01">
      <w:pPr>
        <w:ind w:firstLine="720"/>
        <w:contextualSpacing/>
        <w:jc w:val="both"/>
        <w:rPr>
          <w:rFonts w:asciiTheme="majorBidi" w:hAnsiTheme="majorBidi" w:cstheme="majorBidi"/>
          <w:sz w:val="24"/>
          <w:szCs w:val="24"/>
        </w:rPr>
      </w:pPr>
      <w:r w:rsidRPr="00127F38">
        <w:rPr>
          <w:rFonts w:asciiTheme="majorBidi" w:hAnsiTheme="majorBidi" w:cstheme="majorBidi"/>
          <w:sz w:val="24"/>
          <w:szCs w:val="24"/>
        </w:rPr>
        <w:t xml:space="preserve">The study was conducted over a limited time frame of one academic semester, restricting the ability to observe long-term outcomes of IEP implementation and transition readiness. In addition, the findings were based on interviews, observations, and document analysis, which may </w:t>
      </w:r>
      <w:r w:rsidRPr="00127F38">
        <w:rPr>
          <w:rFonts w:asciiTheme="majorBidi" w:hAnsiTheme="majorBidi" w:cstheme="majorBidi"/>
          <w:sz w:val="24"/>
          <w:szCs w:val="24"/>
        </w:rPr>
        <w:lastRenderedPageBreak/>
        <w:t>be influenced by participant responses and researcher interpretation despite efforts to ensure triangulation.</w:t>
      </w:r>
    </w:p>
    <w:p w14:paraId="71E1C6D5" w14:textId="099E8B6B" w:rsidR="00127F38" w:rsidRPr="00127F38" w:rsidRDefault="00127F38" w:rsidP="00E07D01">
      <w:pPr>
        <w:ind w:firstLine="720"/>
        <w:contextualSpacing/>
        <w:jc w:val="both"/>
        <w:rPr>
          <w:rFonts w:asciiTheme="majorBidi" w:hAnsiTheme="majorBidi" w:cstheme="majorBidi"/>
          <w:sz w:val="24"/>
          <w:szCs w:val="24"/>
        </w:rPr>
      </w:pPr>
      <w:r w:rsidRPr="00127F38">
        <w:rPr>
          <w:rFonts w:asciiTheme="majorBidi" w:hAnsiTheme="majorBidi" w:cstheme="majorBidi"/>
          <w:sz w:val="24"/>
          <w:szCs w:val="24"/>
        </w:rPr>
        <w:t>The study focused exclusively on students with multiple disabilities and did not include learners with other disability categories. Furthermore, the IEP framework applied was adapted from the Philippine Department of Education due to the absence of a standardized</w:t>
      </w:r>
      <w:r w:rsidRPr="009066AE">
        <w:rPr>
          <w:rFonts w:asciiTheme="majorBidi" w:hAnsiTheme="majorBidi" w:cstheme="majorBidi"/>
          <w:sz w:val="24"/>
          <w:szCs w:val="24"/>
        </w:rPr>
        <w:t>,</w:t>
      </w:r>
      <w:r w:rsidRPr="00127F38">
        <w:rPr>
          <w:rFonts w:asciiTheme="majorBidi" w:hAnsiTheme="majorBidi" w:cstheme="majorBidi"/>
          <w:sz w:val="24"/>
          <w:szCs w:val="24"/>
        </w:rPr>
        <w:t xml:space="preserve"> publicly available format in the study context. Finally, although reflexivity was maintained, the researcher’s background as a therapist may have influenced data interpretation.</w:t>
      </w:r>
    </w:p>
    <w:p w14:paraId="63ACD3C1" w14:textId="2F3C8BEC" w:rsidR="004F4C78" w:rsidRPr="00127F38" w:rsidRDefault="00B227FB" w:rsidP="00E07D01">
      <w:pPr>
        <w:contextualSpacing/>
        <w:jc w:val="both"/>
        <w:rPr>
          <w:rFonts w:asciiTheme="majorBidi" w:hAnsiTheme="majorBidi" w:cstheme="majorBidi"/>
        </w:rPr>
      </w:pPr>
      <w:r>
        <w:rPr>
          <w:rFonts w:asciiTheme="majorBidi" w:hAnsiTheme="majorBidi" w:cstheme="majorBidi"/>
          <w:b/>
          <w:bCs/>
          <w:sz w:val="24"/>
          <w:szCs w:val="24"/>
        </w:rPr>
        <w:t>Recommendations</w:t>
      </w:r>
    </w:p>
    <w:p w14:paraId="3E268BF1" w14:textId="77777777" w:rsidR="00B227FB" w:rsidRPr="00B227FB"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The findings of this study suggest several practical implications for improving the development and implementation of Individualized Education Programs (IEPs) for students with multiple disabilities. First, IEPs should move beyond a predominantly academic focus by explicitly integrating functional life skills and transition readiness to better support students’ independence and real-life application of learning.</w:t>
      </w:r>
    </w:p>
    <w:p w14:paraId="67D36BBD" w14:textId="77777777" w:rsidR="00B227FB" w:rsidRPr="00B227FB"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An interdisciplinary approach is also recommended, where educators, therapists, and families collaborate more closely to ensure that academic, behavioral, social, and functional domains are addressed in a coordinated and meaningful way. Strengthening this collaboration can enhance the consistency and relevance of interventions across different settings.</w:t>
      </w:r>
    </w:p>
    <w:p w14:paraId="34D9225A" w14:textId="77777777" w:rsidR="00B227FB" w:rsidRPr="00B227FB"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In addition, professional development opportunities should be provided to equip teachers and therapists with effective strategies for embedding functional and context-based skills within daily instruction. Active involvement of parents and caregivers is equally important to align school-based goals with students’ home and community environments.</w:t>
      </w:r>
    </w:p>
    <w:p w14:paraId="7195E19E" w14:textId="43AB5BF7" w:rsidR="00127F38" w:rsidRDefault="00B227FB" w:rsidP="00E07D01">
      <w:pPr>
        <w:ind w:firstLine="720"/>
        <w:contextualSpacing/>
        <w:jc w:val="both"/>
        <w:rPr>
          <w:rFonts w:asciiTheme="majorBidi" w:hAnsiTheme="majorBidi" w:cstheme="majorBidi"/>
          <w:sz w:val="24"/>
          <w:szCs w:val="24"/>
        </w:rPr>
      </w:pPr>
      <w:r w:rsidRPr="00B227FB">
        <w:rPr>
          <w:rFonts w:asciiTheme="majorBidi" w:hAnsiTheme="majorBidi" w:cstheme="majorBidi"/>
          <w:sz w:val="24"/>
          <w:szCs w:val="24"/>
        </w:rPr>
        <w:t>Finally, educational institutions and policymakers should review existing guidelines and provide adequate resources, training, and support systems to promote a more holistic and integrated approach to IEP development. Such efforts can improve the overall effectiveness of IEPs and better prepare students with multiple disabilities for independent living and successful transition beyond the school setting.</w:t>
      </w:r>
    </w:p>
    <w:p w14:paraId="21E074BE" w14:textId="77777777" w:rsidR="00BD32D1" w:rsidRDefault="00BD32D1" w:rsidP="00E07D01">
      <w:pPr>
        <w:ind w:firstLine="720"/>
        <w:contextualSpacing/>
        <w:jc w:val="both"/>
        <w:rPr>
          <w:rFonts w:asciiTheme="majorBidi" w:hAnsiTheme="majorBidi" w:cstheme="majorBidi"/>
          <w:sz w:val="24"/>
          <w:szCs w:val="24"/>
        </w:rPr>
      </w:pPr>
    </w:p>
    <w:p w14:paraId="3C022589" w14:textId="77777777" w:rsidR="00BD32D1" w:rsidRPr="00BD32D1" w:rsidRDefault="00BD32D1" w:rsidP="00BD32D1">
      <w:pPr>
        <w:spacing w:before="0" w:beforeAutospacing="0" w:after="200" w:afterAutospacing="0" w:line="276" w:lineRule="auto"/>
        <w:rPr>
          <w:rFonts w:eastAsia="Times New Roman"/>
          <w:b/>
          <w:bCs/>
          <w:lang w:val="en-GB" w:eastAsia="en-GB"/>
        </w:rPr>
      </w:pPr>
      <w:r w:rsidRPr="00BD32D1">
        <w:rPr>
          <w:rFonts w:eastAsia="Times New Roman"/>
          <w:b/>
          <w:bCs/>
          <w:lang w:val="en-GB" w:eastAsia="en-GB"/>
        </w:rPr>
        <w:t>COMPETING INTERESTS DISCLAIMER:</w:t>
      </w:r>
    </w:p>
    <w:p w14:paraId="3966BA7B" w14:textId="77777777" w:rsidR="00BD32D1" w:rsidRPr="00BD32D1" w:rsidRDefault="00BD32D1" w:rsidP="00BD32D1">
      <w:pPr>
        <w:spacing w:before="0" w:beforeAutospacing="0" w:after="200" w:afterAutospacing="0" w:line="276" w:lineRule="auto"/>
        <w:rPr>
          <w:rFonts w:ascii="Calibri" w:eastAsia="Times New Roman" w:hAnsi="Calibri" w:cs="Times New Roman"/>
          <w:lang w:val="en-GB" w:eastAsia="en-GB"/>
        </w:rPr>
      </w:pPr>
      <w:r w:rsidRPr="00BD32D1">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71FA5EF8" w14:textId="77777777" w:rsidR="00BD32D1" w:rsidRDefault="00BD32D1" w:rsidP="00E07D01">
      <w:pPr>
        <w:ind w:firstLine="720"/>
        <w:contextualSpacing/>
        <w:jc w:val="both"/>
        <w:rPr>
          <w:rFonts w:asciiTheme="majorBidi" w:hAnsiTheme="majorBidi" w:cstheme="majorBidi"/>
          <w:sz w:val="24"/>
          <w:szCs w:val="24"/>
        </w:rPr>
      </w:pPr>
    </w:p>
    <w:p w14:paraId="63CF7937" w14:textId="77777777" w:rsidR="00BD32D1" w:rsidRDefault="00BD32D1" w:rsidP="00E07D01">
      <w:pPr>
        <w:ind w:firstLine="720"/>
        <w:contextualSpacing/>
        <w:jc w:val="both"/>
        <w:rPr>
          <w:rFonts w:asciiTheme="majorBidi" w:hAnsiTheme="majorBidi" w:cstheme="majorBidi"/>
          <w:sz w:val="24"/>
          <w:szCs w:val="24"/>
        </w:rPr>
      </w:pPr>
    </w:p>
    <w:p w14:paraId="690111D7" w14:textId="77777777" w:rsidR="00BD32D1" w:rsidRDefault="00BD32D1" w:rsidP="00E07D01">
      <w:pPr>
        <w:ind w:firstLine="720"/>
        <w:contextualSpacing/>
        <w:jc w:val="both"/>
        <w:rPr>
          <w:rFonts w:asciiTheme="majorBidi" w:hAnsiTheme="majorBidi" w:cstheme="majorBidi"/>
          <w:sz w:val="24"/>
          <w:szCs w:val="24"/>
        </w:rPr>
      </w:pPr>
    </w:p>
    <w:p w14:paraId="197BCD6B" w14:textId="77777777" w:rsidR="00BD32D1" w:rsidRDefault="00BD32D1" w:rsidP="00E07D01">
      <w:pPr>
        <w:ind w:firstLine="720"/>
        <w:contextualSpacing/>
        <w:jc w:val="both"/>
        <w:rPr>
          <w:rFonts w:asciiTheme="majorBidi" w:hAnsiTheme="majorBidi" w:cstheme="majorBidi"/>
          <w:sz w:val="24"/>
          <w:szCs w:val="24"/>
        </w:rPr>
      </w:pPr>
    </w:p>
    <w:p w14:paraId="0F49EA4A" w14:textId="5AFCDDC9" w:rsidR="00454DB0" w:rsidRDefault="00127F38" w:rsidP="00E07D01">
      <w:pPr>
        <w:contextualSpacing/>
        <w:jc w:val="both"/>
        <w:rPr>
          <w:rFonts w:asciiTheme="majorBidi" w:hAnsiTheme="majorBidi" w:cstheme="majorBidi"/>
          <w:b/>
          <w:bCs/>
          <w:sz w:val="24"/>
          <w:szCs w:val="24"/>
        </w:rPr>
      </w:pPr>
      <w:r w:rsidRPr="00127F38">
        <w:rPr>
          <w:rFonts w:asciiTheme="majorBidi" w:hAnsiTheme="majorBidi" w:cstheme="majorBidi"/>
          <w:b/>
          <w:bCs/>
          <w:sz w:val="24"/>
          <w:szCs w:val="24"/>
        </w:rPr>
        <w:t>References</w:t>
      </w:r>
    </w:p>
    <w:p w14:paraId="31D54827" w14:textId="47B32326" w:rsidR="00E07D01" w:rsidRPr="0052635E" w:rsidRDefault="00E07D01" w:rsidP="0052635E">
      <w:pPr>
        <w:spacing w:line="240" w:lineRule="auto"/>
        <w:ind w:left="720" w:hanging="720"/>
        <w:contextualSpacing/>
        <w:jc w:val="both"/>
        <w:rPr>
          <w:rFonts w:asciiTheme="majorBidi" w:hAnsiTheme="majorBidi" w:cstheme="majorBidi"/>
          <w:sz w:val="24"/>
          <w:szCs w:val="24"/>
        </w:rPr>
      </w:pPr>
      <w:r w:rsidRPr="0052635E">
        <w:rPr>
          <w:rFonts w:asciiTheme="majorBidi" w:hAnsiTheme="majorBidi" w:cstheme="majorBidi"/>
          <w:sz w:val="24"/>
          <w:szCs w:val="24"/>
        </w:rPr>
        <w:t xml:space="preserve">Agran, M., Hughes, C., </w:t>
      </w:r>
      <w:proofErr w:type="spellStart"/>
      <w:r w:rsidRPr="0052635E">
        <w:rPr>
          <w:rFonts w:asciiTheme="majorBidi" w:hAnsiTheme="majorBidi" w:cstheme="majorBidi"/>
          <w:sz w:val="24"/>
          <w:szCs w:val="24"/>
        </w:rPr>
        <w:t>Thoma</w:t>
      </w:r>
      <w:proofErr w:type="spellEnd"/>
      <w:r w:rsidRPr="0052635E">
        <w:rPr>
          <w:rFonts w:asciiTheme="majorBidi" w:hAnsiTheme="majorBidi" w:cstheme="majorBidi"/>
          <w:sz w:val="24"/>
          <w:szCs w:val="24"/>
        </w:rPr>
        <w:t xml:space="preserve">, C. A., &amp; Scott, L. A. (2020). Employment social skills: What skills are really valued? </w:t>
      </w:r>
      <w:r w:rsidRPr="0052635E">
        <w:rPr>
          <w:rStyle w:val="Emphasis"/>
          <w:rFonts w:asciiTheme="majorBidi" w:hAnsiTheme="majorBidi" w:cstheme="majorBidi"/>
          <w:sz w:val="24"/>
          <w:szCs w:val="24"/>
        </w:rPr>
        <w:t>Career Development and Transition for Exceptional Individuals, 43</w:t>
      </w:r>
      <w:r w:rsidRPr="0052635E">
        <w:rPr>
          <w:rFonts w:asciiTheme="majorBidi" w:hAnsiTheme="majorBidi" w:cstheme="majorBidi"/>
          <w:sz w:val="24"/>
          <w:szCs w:val="24"/>
        </w:rPr>
        <w:t>(3), 147–158</w:t>
      </w:r>
      <w:r>
        <w:t>.</w:t>
      </w:r>
      <w:r w:rsidR="0052635E">
        <w:t xml:space="preserve"> </w:t>
      </w:r>
      <w:r w:rsidR="0052635E" w:rsidRPr="0052635E">
        <w:rPr>
          <w:rFonts w:asciiTheme="majorBidi" w:hAnsiTheme="majorBidi" w:cstheme="majorBidi"/>
          <w:sz w:val="24"/>
          <w:szCs w:val="24"/>
        </w:rPr>
        <w:t>https://doi.org/10.1177/2165143414546741</w:t>
      </w:r>
    </w:p>
    <w:p w14:paraId="5217C0F6" w14:textId="77777777" w:rsidR="0052635E" w:rsidRDefault="0052635E" w:rsidP="0052635E">
      <w:pPr>
        <w:spacing w:line="240" w:lineRule="auto"/>
        <w:ind w:left="720" w:hanging="720"/>
        <w:contextualSpacing/>
        <w:jc w:val="both"/>
        <w:rPr>
          <w:rFonts w:asciiTheme="majorBidi" w:hAnsiTheme="majorBidi" w:cstheme="majorBidi"/>
          <w:b/>
          <w:bCs/>
          <w:sz w:val="24"/>
          <w:szCs w:val="24"/>
        </w:rPr>
      </w:pPr>
    </w:p>
    <w:p w14:paraId="0FE8E75B" w14:textId="5F972035" w:rsidR="00E07D01" w:rsidRDefault="00FB2557" w:rsidP="00E07D01">
      <w:pPr>
        <w:spacing w:line="240" w:lineRule="auto"/>
        <w:ind w:left="720" w:hanging="720"/>
        <w:contextualSpacing/>
        <w:jc w:val="both"/>
        <w:rPr>
          <w:rStyle w:val="Hyperlink"/>
          <w:rFonts w:asciiTheme="majorBidi" w:hAnsiTheme="majorBidi" w:cstheme="majorBidi"/>
          <w:color w:val="auto"/>
          <w:sz w:val="24"/>
          <w:szCs w:val="24"/>
          <w:u w:val="none"/>
        </w:rPr>
      </w:pPr>
      <w:proofErr w:type="spellStart"/>
      <w:r w:rsidRPr="00FB2557">
        <w:rPr>
          <w:rFonts w:asciiTheme="majorBidi" w:hAnsiTheme="majorBidi" w:cstheme="majorBidi"/>
          <w:sz w:val="24"/>
          <w:szCs w:val="24"/>
        </w:rPr>
        <w:t>Baskarada</w:t>
      </w:r>
      <w:proofErr w:type="spellEnd"/>
      <w:r w:rsidRPr="00FB2557">
        <w:rPr>
          <w:rFonts w:asciiTheme="majorBidi" w:hAnsiTheme="majorBidi" w:cstheme="majorBidi"/>
          <w:sz w:val="24"/>
          <w:szCs w:val="24"/>
        </w:rPr>
        <w:t xml:space="preserve">, S. (2014). Qualitative case study guidelines. </w:t>
      </w:r>
      <w:r w:rsidRPr="00FB2557">
        <w:rPr>
          <w:rFonts w:asciiTheme="majorBidi" w:hAnsiTheme="majorBidi" w:cstheme="majorBidi"/>
          <w:i/>
          <w:iCs/>
          <w:sz w:val="24"/>
          <w:szCs w:val="24"/>
        </w:rPr>
        <w:t>The Qualitative Report, 19</w:t>
      </w:r>
      <w:r w:rsidRPr="00FB2557">
        <w:rPr>
          <w:rFonts w:asciiTheme="majorBidi" w:hAnsiTheme="majorBidi" w:cstheme="majorBidi"/>
          <w:sz w:val="24"/>
          <w:szCs w:val="24"/>
        </w:rPr>
        <w:t>(40), 1-25.</w:t>
      </w:r>
      <w:hyperlink r:id="rId13" w:history="1">
        <w:r w:rsidRPr="00FB2557">
          <w:rPr>
            <w:rStyle w:val="Hyperlink"/>
            <w:rFonts w:asciiTheme="majorBidi" w:hAnsiTheme="majorBidi" w:cstheme="majorBidi"/>
            <w:color w:val="auto"/>
            <w:sz w:val="24"/>
            <w:szCs w:val="24"/>
            <w:u w:val="none"/>
          </w:rPr>
          <w:t xml:space="preserve"> https://papers.ssrn.com/sol3/papers.cfm?abstract_id=2559424</w:t>
        </w:r>
      </w:hyperlink>
    </w:p>
    <w:p w14:paraId="43BB8DC9" w14:textId="77777777" w:rsidR="00323D09" w:rsidRDefault="00323D09" w:rsidP="00323D09">
      <w:pPr>
        <w:ind w:left="720" w:hanging="720"/>
        <w:contextualSpacing/>
        <w:jc w:val="both"/>
        <w:rPr>
          <w:rStyle w:val="Hyperlink"/>
          <w:rFonts w:asciiTheme="majorBidi" w:hAnsiTheme="majorBidi" w:cstheme="majorBidi"/>
          <w:color w:val="auto"/>
          <w:sz w:val="24"/>
          <w:szCs w:val="24"/>
          <w:u w:val="none"/>
        </w:rPr>
      </w:pPr>
    </w:p>
    <w:p w14:paraId="24C62FD3" w14:textId="77777777" w:rsidR="00323D09" w:rsidRPr="009E4D75" w:rsidRDefault="00323D09" w:rsidP="00323D09">
      <w:pPr>
        <w:spacing w:line="240" w:lineRule="auto"/>
        <w:ind w:left="720" w:hanging="720"/>
        <w:contextualSpacing/>
        <w:jc w:val="both"/>
        <w:rPr>
          <w:rFonts w:asciiTheme="majorBidi" w:hAnsiTheme="majorBidi" w:cstheme="majorBidi"/>
          <w:sz w:val="24"/>
          <w:szCs w:val="24"/>
        </w:rPr>
      </w:pPr>
      <w:r w:rsidRPr="00323D09">
        <w:rPr>
          <w:rFonts w:asciiTheme="majorBidi" w:hAnsiTheme="majorBidi" w:cstheme="majorBidi"/>
          <w:sz w:val="24"/>
          <w:szCs w:val="24"/>
        </w:rPr>
        <w:t xml:space="preserve">Carter, E. W., Asmus, J., Moss, C. K., Amirault, K. A., Biggs, E. E., Born, T. L., Brock, M. E., </w:t>
      </w:r>
      <w:proofErr w:type="spellStart"/>
      <w:r w:rsidRPr="00323D09">
        <w:rPr>
          <w:rFonts w:asciiTheme="majorBidi" w:hAnsiTheme="majorBidi" w:cstheme="majorBidi"/>
          <w:sz w:val="24"/>
          <w:szCs w:val="24"/>
        </w:rPr>
        <w:t>Cattey</w:t>
      </w:r>
      <w:proofErr w:type="spellEnd"/>
      <w:r w:rsidRPr="00323D09">
        <w:rPr>
          <w:rFonts w:asciiTheme="majorBidi" w:hAnsiTheme="majorBidi" w:cstheme="majorBidi"/>
          <w:sz w:val="24"/>
          <w:szCs w:val="24"/>
        </w:rPr>
        <w:t>, G. N., Cooney, M., Fesperman, E., Hochman, J. M., Huber, H. B., Lequia, J. L., Lyons, G. L., &amp; Vincent, L. B. (2022</w:t>
      </w:r>
      <w:r w:rsidRPr="009E4D75">
        <w:rPr>
          <w:rFonts w:asciiTheme="majorBidi" w:hAnsiTheme="majorBidi" w:cstheme="majorBidi"/>
          <w:sz w:val="24"/>
          <w:szCs w:val="24"/>
        </w:rPr>
        <w:t xml:space="preserve">). Randomized evaluation of peer support </w:t>
      </w:r>
    </w:p>
    <w:p w14:paraId="4D1973EC" w14:textId="30B29A69" w:rsidR="00323D09" w:rsidRPr="009E4D75" w:rsidRDefault="00323D09" w:rsidP="00323D09">
      <w:pPr>
        <w:spacing w:line="240" w:lineRule="auto"/>
        <w:ind w:left="720"/>
        <w:contextualSpacing/>
        <w:jc w:val="both"/>
        <w:rPr>
          <w:rStyle w:val="Hyperlink"/>
          <w:rFonts w:asciiTheme="majorBidi" w:hAnsiTheme="majorBidi" w:cstheme="majorBidi"/>
          <w:color w:val="auto"/>
          <w:sz w:val="24"/>
          <w:szCs w:val="24"/>
          <w:u w:val="none"/>
        </w:rPr>
      </w:pPr>
      <w:r w:rsidRPr="009E4D75">
        <w:rPr>
          <w:rFonts w:asciiTheme="majorBidi" w:hAnsiTheme="majorBidi" w:cstheme="majorBidi"/>
          <w:sz w:val="24"/>
          <w:szCs w:val="24"/>
        </w:rPr>
        <w:t xml:space="preserve">https://doi.org/10.1177/0741932521989414interventions to support adolescents with severe disabilities. </w:t>
      </w:r>
      <w:r w:rsidRPr="009E4D75">
        <w:rPr>
          <w:rStyle w:val="Emphasis"/>
          <w:rFonts w:asciiTheme="majorBidi" w:hAnsiTheme="majorBidi" w:cstheme="majorBidi"/>
          <w:sz w:val="24"/>
          <w:szCs w:val="24"/>
        </w:rPr>
        <w:t>Exceptional Children, 88</w:t>
      </w:r>
      <w:r w:rsidRPr="009E4D75">
        <w:rPr>
          <w:rFonts w:asciiTheme="majorBidi" w:hAnsiTheme="majorBidi" w:cstheme="majorBidi"/>
          <w:sz w:val="24"/>
          <w:szCs w:val="24"/>
        </w:rPr>
        <w:t>(2), 151–171</w:t>
      </w:r>
    </w:p>
    <w:p w14:paraId="4974E7B7" w14:textId="77777777" w:rsidR="00E07D01" w:rsidRPr="009E4D75" w:rsidRDefault="00E07D01" w:rsidP="00E07D01">
      <w:pPr>
        <w:ind w:left="720" w:hanging="720"/>
        <w:contextualSpacing/>
        <w:jc w:val="both"/>
        <w:rPr>
          <w:rFonts w:asciiTheme="majorBidi" w:hAnsiTheme="majorBidi" w:cstheme="majorBidi"/>
          <w:b/>
          <w:bCs/>
          <w:sz w:val="24"/>
          <w:szCs w:val="24"/>
        </w:rPr>
      </w:pPr>
    </w:p>
    <w:p w14:paraId="2BDD4BEE" w14:textId="1D8BDC0D" w:rsidR="004978CF" w:rsidRDefault="001020E7" w:rsidP="004978CF">
      <w:pPr>
        <w:spacing w:line="240" w:lineRule="auto"/>
        <w:ind w:left="720" w:hanging="720"/>
        <w:contextualSpacing/>
        <w:jc w:val="both"/>
        <w:rPr>
          <w:rStyle w:val="Hyperlink"/>
          <w:rFonts w:asciiTheme="majorBidi" w:hAnsiTheme="majorBidi" w:cstheme="majorBidi"/>
          <w:color w:val="000000" w:themeColor="text1"/>
          <w:sz w:val="24"/>
          <w:szCs w:val="24"/>
          <w:u w:val="none"/>
        </w:rPr>
      </w:pPr>
      <w:r w:rsidRPr="001020E7">
        <w:rPr>
          <w:rFonts w:asciiTheme="majorBidi" w:hAnsiTheme="majorBidi" w:cstheme="majorBidi"/>
          <w:sz w:val="24"/>
          <w:szCs w:val="24"/>
        </w:rPr>
        <w:t xml:space="preserve">CAST. (2018). </w:t>
      </w:r>
      <w:r w:rsidRPr="001020E7">
        <w:rPr>
          <w:rFonts w:asciiTheme="majorBidi" w:hAnsiTheme="majorBidi" w:cstheme="majorBidi"/>
          <w:i/>
          <w:iCs/>
          <w:sz w:val="24"/>
          <w:szCs w:val="24"/>
        </w:rPr>
        <w:t>Universal Design for Learning guidelines version 2.2</w:t>
      </w:r>
      <w:r w:rsidRPr="001020E7">
        <w:rPr>
          <w:rFonts w:asciiTheme="majorBidi" w:hAnsiTheme="majorBidi" w:cstheme="majorBidi"/>
          <w:sz w:val="24"/>
          <w:szCs w:val="24"/>
        </w:rPr>
        <w:t xml:space="preserve">. </w:t>
      </w:r>
      <w:hyperlink r:id="rId14" w:tgtFrame="_new" w:history="1">
        <w:r w:rsidRPr="001020E7">
          <w:rPr>
            <w:rStyle w:val="Hyperlink"/>
            <w:rFonts w:asciiTheme="majorBidi" w:hAnsiTheme="majorBidi" w:cstheme="majorBidi"/>
            <w:color w:val="000000" w:themeColor="text1"/>
            <w:sz w:val="24"/>
            <w:szCs w:val="24"/>
            <w:u w:val="none"/>
          </w:rPr>
          <w:t>http://udlguidelines.cast.org</w:t>
        </w:r>
      </w:hyperlink>
    </w:p>
    <w:p w14:paraId="19859F50" w14:textId="77777777" w:rsidR="004978CF" w:rsidRDefault="004978CF" w:rsidP="009E4D75">
      <w:pPr>
        <w:ind w:left="720" w:hanging="720"/>
        <w:contextualSpacing/>
        <w:jc w:val="both"/>
        <w:rPr>
          <w:rStyle w:val="Hyperlink"/>
          <w:rFonts w:asciiTheme="majorBidi" w:hAnsiTheme="majorBidi" w:cstheme="majorBidi"/>
          <w:color w:val="000000" w:themeColor="text1"/>
          <w:sz w:val="24"/>
          <w:szCs w:val="24"/>
          <w:u w:val="none"/>
        </w:rPr>
      </w:pPr>
    </w:p>
    <w:p w14:paraId="260138CB" w14:textId="71D137C2" w:rsidR="00E07D01" w:rsidRDefault="004978CF" w:rsidP="004978CF">
      <w:pPr>
        <w:spacing w:line="240" w:lineRule="auto"/>
        <w:ind w:left="720" w:hanging="720"/>
        <w:contextualSpacing/>
        <w:jc w:val="both"/>
        <w:rPr>
          <w:rFonts w:asciiTheme="majorBidi" w:hAnsiTheme="majorBidi" w:cstheme="majorBidi"/>
          <w:sz w:val="24"/>
          <w:szCs w:val="24"/>
        </w:rPr>
      </w:pPr>
      <w:r w:rsidRPr="004978CF">
        <w:rPr>
          <w:rFonts w:asciiTheme="majorBidi" w:hAnsiTheme="majorBidi" w:cstheme="majorBidi"/>
          <w:sz w:val="24"/>
          <w:szCs w:val="24"/>
        </w:rPr>
        <w:t xml:space="preserve">Cipriano, C., Strambler, M. J., Naples, L. H., Ha, C., Kirk, M., Wood, M., Sehgal, K., </w:t>
      </w:r>
      <w:proofErr w:type="spellStart"/>
      <w:r w:rsidRPr="004978CF">
        <w:rPr>
          <w:rFonts w:asciiTheme="majorBidi" w:hAnsiTheme="majorBidi" w:cstheme="majorBidi"/>
          <w:sz w:val="24"/>
          <w:szCs w:val="24"/>
        </w:rPr>
        <w:t>Zieher</w:t>
      </w:r>
      <w:proofErr w:type="spellEnd"/>
      <w:r w:rsidRPr="004978CF">
        <w:rPr>
          <w:rFonts w:asciiTheme="majorBidi" w:hAnsiTheme="majorBidi" w:cstheme="majorBidi"/>
          <w:sz w:val="24"/>
          <w:szCs w:val="24"/>
        </w:rPr>
        <w:t xml:space="preserve">, A. K., Eveleigh, A., McCarthy, M., Funaro, M., </w:t>
      </w:r>
      <w:proofErr w:type="spellStart"/>
      <w:r w:rsidRPr="004978CF">
        <w:rPr>
          <w:rFonts w:asciiTheme="majorBidi" w:hAnsiTheme="majorBidi" w:cstheme="majorBidi"/>
          <w:sz w:val="24"/>
          <w:szCs w:val="24"/>
        </w:rPr>
        <w:t>Ponnock</w:t>
      </w:r>
      <w:proofErr w:type="spellEnd"/>
      <w:r w:rsidRPr="004978CF">
        <w:rPr>
          <w:rFonts w:asciiTheme="majorBidi" w:hAnsiTheme="majorBidi" w:cstheme="majorBidi"/>
          <w:sz w:val="24"/>
          <w:szCs w:val="24"/>
        </w:rPr>
        <w:t xml:space="preserve">, A., Chow, J. C., &amp; Durlak, J. (2023). The state of evidence for social and emotional learning: A contemporary meta-analysis of universal school-based SEL interventions. Child Development, 00(0), 1–24. </w:t>
      </w:r>
      <w:hyperlink r:id="rId15" w:history="1">
        <w:r w:rsidRPr="004978CF">
          <w:rPr>
            <w:rStyle w:val="Hyperlink"/>
            <w:rFonts w:asciiTheme="majorBidi" w:hAnsiTheme="majorBidi" w:cstheme="majorBidi"/>
            <w:color w:val="auto"/>
            <w:sz w:val="24"/>
            <w:szCs w:val="24"/>
            <w:u w:val="none"/>
          </w:rPr>
          <w:t>https://doi.org/10.1111/cdev.13968</w:t>
        </w:r>
      </w:hyperlink>
    </w:p>
    <w:p w14:paraId="2D750AC0" w14:textId="77777777" w:rsidR="00423271" w:rsidRDefault="00423271" w:rsidP="00423271">
      <w:pPr>
        <w:ind w:left="720" w:hanging="720"/>
        <w:contextualSpacing/>
        <w:jc w:val="both"/>
        <w:rPr>
          <w:rFonts w:asciiTheme="majorBidi" w:hAnsiTheme="majorBidi" w:cstheme="majorBidi"/>
          <w:sz w:val="24"/>
          <w:szCs w:val="24"/>
        </w:rPr>
      </w:pPr>
    </w:p>
    <w:p w14:paraId="59E06D8A" w14:textId="6488FF0E" w:rsidR="00423271" w:rsidRPr="00423271" w:rsidRDefault="00423271" w:rsidP="00423271">
      <w:pPr>
        <w:spacing w:line="240" w:lineRule="auto"/>
        <w:ind w:left="720" w:hanging="720"/>
        <w:contextualSpacing/>
        <w:jc w:val="both"/>
        <w:rPr>
          <w:rFonts w:asciiTheme="majorBidi" w:hAnsiTheme="majorBidi" w:cstheme="majorBidi"/>
          <w:sz w:val="28"/>
          <w:szCs w:val="28"/>
        </w:rPr>
      </w:pPr>
      <w:r w:rsidRPr="00423271">
        <w:rPr>
          <w:rFonts w:asciiTheme="majorBidi" w:hAnsiTheme="majorBidi" w:cstheme="majorBidi"/>
          <w:sz w:val="24"/>
          <w:szCs w:val="24"/>
        </w:rPr>
        <w:t xml:space="preserve">Council for Exceptional Children. (2015). </w:t>
      </w:r>
      <w:r w:rsidRPr="00423271">
        <w:rPr>
          <w:rStyle w:val="Emphasis"/>
          <w:rFonts w:asciiTheme="majorBidi" w:hAnsiTheme="majorBidi" w:cstheme="majorBidi"/>
          <w:sz w:val="24"/>
          <w:szCs w:val="24"/>
        </w:rPr>
        <w:t>What every special educator must know: Professional ethics and standards</w:t>
      </w:r>
      <w:r w:rsidRPr="00423271">
        <w:rPr>
          <w:rFonts w:asciiTheme="majorBidi" w:hAnsiTheme="majorBidi" w:cstheme="majorBidi"/>
          <w:sz w:val="24"/>
          <w:szCs w:val="24"/>
        </w:rPr>
        <w:t>.</w:t>
      </w:r>
    </w:p>
    <w:p w14:paraId="08490993" w14:textId="77777777" w:rsidR="00423271" w:rsidRDefault="00423271" w:rsidP="004978CF">
      <w:pPr>
        <w:spacing w:line="240" w:lineRule="auto"/>
        <w:ind w:left="720" w:hanging="720"/>
        <w:contextualSpacing/>
        <w:jc w:val="both"/>
        <w:rPr>
          <w:rFonts w:asciiTheme="majorBidi" w:hAnsiTheme="majorBidi" w:cstheme="majorBidi"/>
          <w:color w:val="000000" w:themeColor="text1"/>
          <w:sz w:val="24"/>
          <w:szCs w:val="24"/>
        </w:rPr>
      </w:pPr>
    </w:p>
    <w:p w14:paraId="24016D8D" w14:textId="1555667A" w:rsidR="004978CF" w:rsidRPr="004978CF" w:rsidRDefault="004978CF" w:rsidP="00423271">
      <w:pPr>
        <w:ind w:left="720" w:hanging="720"/>
        <w:contextualSpacing/>
        <w:jc w:val="both"/>
        <w:rPr>
          <w:rFonts w:asciiTheme="majorBidi" w:hAnsiTheme="majorBidi" w:cstheme="majorBidi"/>
          <w:color w:val="000000" w:themeColor="text1"/>
          <w:sz w:val="24"/>
          <w:szCs w:val="24"/>
        </w:rPr>
      </w:pPr>
      <w:r w:rsidRPr="00E022BC">
        <w:rPr>
          <w:rFonts w:asciiTheme="majorBidi" w:hAnsiTheme="majorBidi" w:cstheme="majorBidi"/>
          <w:color w:val="000000" w:themeColor="text1"/>
          <w:sz w:val="24"/>
          <w:szCs w:val="24"/>
        </w:rPr>
        <w:t xml:space="preserve">Guy-Evans, O. (2024, January). </w:t>
      </w:r>
      <w:r w:rsidRPr="00E022BC">
        <w:rPr>
          <w:rFonts w:asciiTheme="majorBidi" w:hAnsiTheme="majorBidi" w:cstheme="majorBidi"/>
          <w:i/>
          <w:iCs/>
          <w:color w:val="000000" w:themeColor="text1"/>
          <w:sz w:val="24"/>
          <w:szCs w:val="24"/>
        </w:rPr>
        <w:t>Bronfenbrenner’s ecological systems theory</w:t>
      </w:r>
      <w:r w:rsidRPr="00E022BC">
        <w:rPr>
          <w:rFonts w:asciiTheme="majorBidi" w:hAnsiTheme="majorBidi" w:cstheme="majorBidi"/>
          <w:color w:val="000000" w:themeColor="text1"/>
          <w:sz w:val="24"/>
          <w:szCs w:val="24"/>
        </w:rPr>
        <w:t>. Simply Psychology.</w:t>
      </w:r>
      <w:hyperlink r:id="rId16" w:history="1">
        <w:r w:rsidRPr="00E022BC">
          <w:rPr>
            <w:rStyle w:val="Hyperlink"/>
            <w:rFonts w:asciiTheme="majorBidi" w:hAnsiTheme="majorBidi" w:cstheme="majorBidi"/>
            <w:color w:val="000000" w:themeColor="text1"/>
            <w:sz w:val="24"/>
            <w:szCs w:val="24"/>
            <w:u w:val="none"/>
          </w:rPr>
          <w:t xml:space="preserve"> https://www.researchgate.net/publication/383500583_Bronfenbrenner's_Ecological_Systems_Theory</w:t>
        </w:r>
      </w:hyperlink>
    </w:p>
    <w:p w14:paraId="1477B18D" w14:textId="77777777" w:rsidR="004978CF" w:rsidRDefault="004978CF" w:rsidP="004978CF">
      <w:pPr>
        <w:ind w:left="720" w:hanging="720"/>
        <w:contextualSpacing/>
        <w:jc w:val="both"/>
        <w:rPr>
          <w:rStyle w:val="Hyperlink"/>
          <w:rFonts w:asciiTheme="majorBidi" w:hAnsiTheme="majorBidi" w:cstheme="majorBidi"/>
          <w:color w:val="000000" w:themeColor="text1"/>
          <w:sz w:val="24"/>
          <w:szCs w:val="24"/>
          <w:u w:val="none"/>
        </w:rPr>
      </w:pPr>
    </w:p>
    <w:p w14:paraId="175A0FA7" w14:textId="7B79F5B5" w:rsidR="004978CF" w:rsidRPr="009E4D75" w:rsidRDefault="004978CF" w:rsidP="004978CF">
      <w:pPr>
        <w:spacing w:line="240" w:lineRule="auto"/>
        <w:ind w:left="720" w:hanging="720"/>
        <w:contextualSpacing/>
        <w:jc w:val="both"/>
        <w:rPr>
          <w:rFonts w:asciiTheme="majorBidi" w:hAnsiTheme="majorBidi" w:cstheme="majorBidi"/>
          <w:sz w:val="24"/>
          <w:szCs w:val="24"/>
        </w:rPr>
      </w:pPr>
      <w:r w:rsidRPr="009E4D75">
        <w:rPr>
          <w:rFonts w:asciiTheme="majorBidi" w:hAnsiTheme="majorBidi" w:cstheme="majorBidi"/>
          <w:sz w:val="24"/>
          <w:szCs w:val="24"/>
        </w:rPr>
        <w:t xml:space="preserve">Hansen, S., Drew, C., Etchison, H., &amp; Demarco, J. (2022). Using applied behavior analysis to teach adaptive skills. In Handbook of Autism and Pervasive Developmental Disorder (pp. 845–873). Springer. </w:t>
      </w:r>
      <w:hyperlink r:id="rId17" w:history="1">
        <w:r w:rsidRPr="009E4D75">
          <w:rPr>
            <w:rStyle w:val="Hyperlink"/>
            <w:rFonts w:asciiTheme="majorBidi" w:hAnsiTheme="majorBidi" w:cstheme="majorBidi"/>
            <w:color w:val="auto"/>
            <w:sz w:val="24"/>
            <w:szCs w:val="24"/>
            <w:u w:val="none"/>
          </w:rPr>
          <w:t>https://doi.org/10.1007/978-3-030-88538-0_36</w:t>
        </w:r>
      </w:hyperlink>
    </w:p>
    <w:p w14:paraId="10D428AD" w14:textId="5EE10C6D" w:rsidR="004978CF" w:rsidRPr="009E4D75" w:rsidRDefault="004978CF" w:rsidP="004978CF">
      <w:pPr>
        <w:ind w:left="720" w:hanging="720"/>
        <w:contextualSpacing/>
        <w:jc w:val="both"/>
        <w:rPr>
          <w:rFonts w:asciiTheme="majorBidi" w:hAnsiTheme="majorBidi" w:cstheme="majorBidi"/>
          <w:sz w:val="24"/>
          <w:szCs w:val="24"/>
        </w:rPr>
      </w:pPr>
    </w:p>
    <w:p w14:paraId="2F06D116" w14:textId="77777777" w:rsidR="004978CF" w:rsidRDefault="004978CF" w:rsidP="004978CF">
      <w:pPr>
        <w:ind w:left="720" w:hanging="720"/>
        <w:contextualSpacing/>
        <w:jc w:val="both"/>
        <w:rPr>
          <w:rFonts w:asciiTheme="majorBidi" w:hAnsiTheme="majorBidi" w:cstheme="majorBidi"/>
          <w:color w:val="000000" w:themeColor="text1"/>
          <w:sz w:val="24"/>
          <w:szCs w:val="24"/>
        </w:rPr>
      </w:pPr>
      <w:r w:rsidRPr="00672BCD">
        <w:rPr>
          <w:rFonts w:asciiTheme="majorBidi" w:hAnsiTheme="majorBidi" w:cstheme="majorBidi"/>
          <w:color w:val="000000" w:themeColor="text1"/>
          <w:sz w:val="24"/>
          <w:szCs w:val="24"/>
        </w:rPr>
        <w:t>Individuals with Disabilities Education Act (IDEA), 20 U.S.C. § 1400 (2004)</w:t>
      </w:r>
      <w:r>
        <w:rPr>
          <w:rFonts w:asciiTheme="majorBidi" w:hAnsiTheme="majorBidi" w:cstheme="majorBidi"/>
          <w:color w:val="000000" w:themeColor="text1"/>
          <w:sz w:val="24"/>
          <w:szCs w:val="24"/>
        </w:rPr>
        <w:t>.</w:t>
      </w:r>
    </w:p>
    <w:p w14:paraId="7E2EE4A9" w14:textId="7E176133" w:rsidR="004978CF" w:rsidRDefault="004978CF" w:rsidP="004978CF">
      <w:pPr>
        <w:spacing w:line="240" w:lineRule="auto"/>
        <w:contextualSpacing/>
        <w:jc w:val="both"/>
      </w:pPr>
    </w:p>
    <w:p w14:paraId="26B36997" w14:textId="30A27805" w:rsidR="004978CF" w:rsidRPr="004978CF" w:rsidRDefault="004978CF" w:rsidP="004978CF">
      <w:pPr>
        <w:spacing w:line="240" w:lineRule="auto"/>
        <w:ind w:left="720" w:hanging="720"/>
        <w:contextualSpacing/>
        <w:jc w:val="both"/>
        <w:rPr>
          <w:rFonts w:asciiTheme="majorBidi" w:hAnsiTheme="majorBidi" w:cstheme="majorBidi"/>
          <w:sz w:val="24"/>
          <w:szCs w:val="24"/>
        </w:rPr>
      </w:pPr>
      <w:r w:rsidRPr="004978CF">
        <w:rPr>
          <w:rFonts w:asciiTheme="majorBidi" w:hAnsiTheme="majorBidi" w:cstheme="majorBidi"/>
          <w:sz w:val="24"/>
          <w:szCs w:val="24"/>
        </w:rPr>
        <w:t xml:space="preserve">Kurth, J. A., Lockman Turner, E., Gerasimova, D., Hicks, T. A., </w:t>
      </w:r>
      <w:proofErr w:type="spellStart"/>
      <w:r w:rsidRPr="004978CF">
        <w:rPr>
          <w:rFonts w:asciiTheme="majorBidi" w:hAnsiTheme="majorBidi" w:cstheme="majorBidi"/>
          <w:sz w:val="24"/>
          <w:szCs w:val="24"/>
        </w:rPr>
        <w:t>Zagona</w:t>
      </w:r>
      <w:proofErr w:type="spellEnd"/>
      <w:r w:rsidRPr="004978CF">
        <w:rPr>
          <w:rFonts w:asciiTheme="majorBidi" w:hAnsiTheme="majorBidi" w:cstheme="majorBidi"/>
          <w:sz w:val="24"/>
          <w:szCs w:val="24"/>
        </w:rPr>
        <w:t xml:space="preserve">, A., Lansey, K., Mansouri, M. C., Lyon, K. J., Jameson, M., Loyless, R., &amp; Pace, J. R. (2022). An Investigation of IEP Quality Associated </w:t>
      </w:r>
      <w:proofErr w:type="gramStart"/>
      <w:r w:rsidRPr="004978CF">
        <w:rPr>
          <w:rFonts w:asciiTheme="majorBidi" w:hAnsiTheme="majorBidi" w:cstheme="majorBidi"/>
          <w:sz w:val="24"/>
          <w:szCs w:val="24"/>
        </w:rPr>
        <w:t>With</w:t>
      </w:r>
      <w:proofErr w:type="gramEnd"/>
      <w:r w:rsidRPr="004978CF">
        <w:rPr>
          <w:rFonts w:asciiTheme="majorBidi" w:hAnsiTheme="majorBidi" w:cstheme="majorBidi"/>
          <w:sz w:val="24"/>
          <w:szCs w:val="24"/>
        </w:rPr>
        <w:t xml:space="preserve"> Special Education Placement for Students With Complex Support Needs. Research and Practice for Persons with Severe Disabilities, 47(4), 244-260. https://doi.org/10.1177/15407969221134923 (Original work published 2022)</w:t>
      </w:r>
    </w:p>
    <w:p w14:paraId="63E31F5F" w14:textId="77777777" w:rsidR="004978CF" w:rsidRDefault="004978CF" w:rsidP="004978CF">
      <w:pPr>
        <w:ind w:left="720" w:hanging="720"/>
        <w:contextualSpacing/>
        <w:jc w:val="both"/>
      </w:pPr>
    </w:p>
    <w:p w14:paraId="05F6D570" w14:textId="31A26E15" w:rsidR="002C753E" w:rsidRDefault="002C753E" w:rsidP="004978CF">
      <w:pPr>
        <w:spacing w:line="240" w:lineRule="auto"/>
        <w:ind w:left="720" w:hanging="720"/>
        <w:contextualSpacing/>
        <w:jc w:val="both"/>
        <w:rPr>
          <w:rStyle w:val="Hyperlink"/>
          <w:rFonts w:asciiTheme="majorBidi" w:hAnsiTheme="majorBidi" w:cstheme="majorBidi"/>
          <w:color w:val="000000" w:themeColor="text1"/>
          <w:sz w:val="24"/>
          <w:szCs w:val="24"/>
          <w:u w:val="none"/>
        </w:rPr>
      </w:pPr>
      <w:r w:rsidRPr="002C753E">
        <w:rPr>
          <w:rFonts w:asciiTheme="majorBidi" w:hAnsiTheme="majorBidi" w:cstheme="majorBidi"/>
          <w:sz w:val="24"/>
          <w:szCs w:val="24"/>
        </w:rPr>
        <w:t xml:space="preserve">Li, Y., Liang, Z., Li, Z., Yu, Y., Yang, Q., &amp; Li, X. (2025). </w:t>
      </w:r>
      <w:r w:rsidRPr="002C753E">
        <w:rPr>
          <w:rFonts w:asciiTheme="majorBidi" w:hAnsiTheme="majorBidi" w:cstheme="majorBidi"/>
          <w:i/>
          <w:iCs/>
          <w:sz w:val="24"/>
          <w:szCs w:val="24"/>
        </w:rPr>
        <w:t>Effectiveness of</w:t>
      </w:r>
      <w:r w:rsidRPr="002C753E">
        <w:rPr>
          <w:rFonts w:asciiTheme="majorBidi" w:hAnsiTheme="majorBidi" w:cstheme="majorBidi"/>
          <w:b/>
          <w:bCs/>
          <w:i/>
          <w:iCs/>
          <w:sz w:val="24"/>
          <w:szCs w:val="24"/>
        </w:rPr>
        <w:t xml:space="preserve"> </w:t>
      </w:r>
      <w:proofErr w:type="spellStart"/>
      <w:r w:rsidRPr="002C753E">
        <w:rPr>
          <w:rFonts w:asciiTheme="majorBidi" w:hAnsiTheme="majorBidi" w:cstheme="majorBidi"/>
          <w:i/>
          <w:iCs/>
          <w:color w:val="000000" w:themeColor="text1"/>
          <w:sz w:val="24"/>
          <w:szCs w:val="24"/>
        </w:rPr>
        <w:t>Gagné's</w:t>
      </w:r>
      <w:proofErr w:type="spellEnd"/>
      <w:r w:rsidRPr="002C753E">
        <w:rPr>
          <w:rFonts w:asciiTheme="majorBidi" w:hAnsiTheme="majorBidi" w:cstheme="majorBidi"/>
          <w:b/>
          <w:bCs/>
          <w:i/>
          <w:iCs/>
          <w:color w:val="000000" w:themeColor="text1"/>
          <w:sz w:val="24"/>
          <w:szCs w:val="24"/>
        </w:rPr>
        <w:t xml:space="preserve"> </w:t>
      </w:r>
      <w:r w:rsidRPr="002C753E">
        <w:rPr>
          <w:rFonts w:asciiTheme="majorBidi" w:hAnsiTheme="majorBidi" w:cstheme="majorBidi"/>
          <w:i/>
          <w:iCs/>
          <w:color w:val="000000" w:themeColor="text1"/>
          <w:sz w:val="24"/>
          <w:szCs w:val="24"/>
        </w:rPr>
        <w:t>9 events of instruction in health professions education: A systematic review and meta-analysis</w:t>
      </w:r>
      <w:r w:rsidRPr="002C753E">
        <w:rPr>
          <w:rFonts w:asciiTheme="majorBidi" w:hAnsiTheme="majorBidi" w:cstheme="majorBidi"/>
          <w:color w:val="000000" w:themeColor="text1"/>
          <w:sz w:val="24"/>
          <w:szCs w:val="24"/>
        </w:rPr>
        <w:t>. Frontiers in Medicine, 12, 1522830.</w:t>
      </w:r>
      <w:hyperlink r:id="rId18" w:history="1">
        <w:r w:rsidRPr="002C753E">
          <w:rPr>
            <w:rStyle w:val="Hyperlink"/>
            <w:rFonts w:asciiTheme="majorBidi" w:hAnsiTheme="majorBidi" w:cstheme="majorBidi"/>
            <w:color w:val="000000" w:themeColor="text1"/>
            <w:sz w:val="24"/>
            <w:szCs w:val="24"/>
            <w:u w:val="none"/>
          </w:rPr>
          <w:t xml:space="preserve"> https://doi.org/10.3389/fmed.2025.1522830</w:t>
        </w:r>
      </w:hyperlink>
    </w:p>
    <w:p w14:paraId="6F2AC1F8" w14:textId="17A0BE9C" w:rsidR="00FB2557" w:rsidRPr="00E022BC" w:rsidRDefault="00FB2557" w:rsidP="004978CF">
      <w:pPr>
        <w:contextualSpacing/>
        <w:jc w:val="both"/>
        <w:rPr>
          <w:rFonts w:asciiTheme="majorBidi" w:hAnsiTheme="majorBidi" w:cstheme="majorBidi"/>
          <w:color w:val="000000" w:themeColor="text1"/>
          <w:sz w:val="24"/>
          <w:szCs w:val="24"/>
        </w:rPr>
      </w:pPr>
    </w:p>
    <w:p w14:paraId="65BE2196" w14:textId="1A554004" w:rsidR="00FB2557" w:rsidRDefault="00E022BC" w:rsidP="00E07D01">
      <w:pPr>
        <w:spacing w:line="240" w:lineRule="auto"/>
        <w:ind w:left="720" w:hanging="720"/>
        <w:contextualSpacing/>
        <w:jc w:val="both"/>
        <w:rPr>
          <w:rStyle w:val="Hyperlink"/>
          <w:rFonts w:asciiTheme="majorBidi" w:hAnsiTheme="majorBidi" w:cstheme="majorBidi"/>
          <w:color w:val="000000" w:themeColor="text1"/>
          <w:sz w:val="24"/>
          <w:szCs w:val="24"/>
          <w:u w:val="none"/>
        </w:rPr>
      </w:pPr>
      <w:r w:rsidRPr="00E022BC">
        <w:rPr>
          <w:rFonts w:asciiTheme="majorBidi" w:hAnsiTheme="majorBidi" w:cstheme="majorBidi"/>
          <w:color w:val="000000" w:themeColor="text1"/>
          <w:sz w:val="24"/>
          <w:szCs w:val="24"/>
        </w:rPr>
        <w:t xml:space="preserve">McSparron, J. I., Vanka, A., &amp; Smith, C. C. (2019). Cognitive learning theory for clinical teaching. </w:t>
      </w:r>
      <w:r w:rsidRPr="00E022BC">
        <w:rPr>
          <w:rFonts w:asciiTheme="majorBidi" w:hAnsiTheme="majorBidi" w:cstheme="majorBidi"/>
          <w:i/>
          <w:iCs/>
          <w:color w:val="000000" w:themeColor="text1"/>
          <w:sz w:val="24"/>
          <w:szCs w:val="24"/>
        </w:rPr>
        <w:t>The Clinical Teacher, 16</w:t>
      </w:r>
      <w:r w:rsidRPr="00E022BC">
        <w:rPr>
          <w:rFonts w:asciiTheme="majorBidi" w:hAnsiTheme="majorBidi" w:cstheme="majorBidi"/>
          <w:color w:val="000000" w:themeColor="text1"/>
          <w:sz w:val="24"/>
          <w:szCs w:val="24"/>
        </w:rPr>
        <w:t>(2), 96–100.</w:t>
      </w:r>
      <w:hyperlink r:id="rId19" w:history="1">
        <w:r w:rsidRPr="00E022BC">
          <w:rPr>
            <w:rStyle w:val="Hyperlink"/>
            <w:rFonts w:asciiTheme="majorBidi" w:hAnsiTheme="majorBidi" w:cstheme="majorBidi"/>
            <w:color w:val="000000" w:themeColor="text1"/>
            <w:sz w:val="24"/>
            <w:szCs w:val="24"/>
            <w:u w:val="none"/>
          </w:rPr>
          <w:t xml:space="preserve"> https://doi.org/10.1111/tct.12781</w:t>
        </w:r>
      </w:hyperlink>
    </w:p>
    <w:p w14:paraId="5385A1AF" w14:textId="12C6137A" w:rsidR="004978CF" w:rsidRDefault="004978CF" w:rsidP="004978CF">
      <w:pPr>
        <w:ind w:left="720" w:hanging="720"/>
        <w:contextualSpacing/>
        <w:jc w:val="both"/>
        <w:rPr>
          <w:rStyle w:val="Hyperlink"/>
          <w:rFonts w:asciiTheme="majorBidi" w:hAnsiTheme="majorBidi" w:cstheme="majorBidi"/>
          <w:color w:val="000000" w:themeColor="text1"/>
          <w:sz w:val="24"/>
          <w:szCs w:val="24"/>
          <w:u w:val="none"/>
        </w:rPr>
      </w:pPr>
    </w:p>
    <w:p w14:paraId="53E5FAD9" w14:textId="7413CE15" w:rsidR="004978CF" w:rsidRPr="0049024D" w:rsidRDefault="004978CF" w:rsidP="004978CF">
      <w:pPr>
        <w:spacing w:line="240" w:lineRule="auto"/>
        <w:ind w:left="720" w:hanging="720"/>
        <w:contextualSpacing/>
        <w:jc w:val="both"/>
        <w:rPr>
          <w:rFonts w:asciiTheme="majorBidi" w:hAnsiTheme="majorBidi" w:cstheme="majorBidi"/>
          <w:sz w:val="24"/>
          <w:szCs w:val="24"/>
        </w:rPr>
      </w:pPr>
      <w:r w:rsidRPr="004978CF">
        <w:rPr>
          <w:rFonts w:asciiTheme="majorBidi" w:hAnsiTheme="majorBidi" w:cstheme="majorBidi"/>
          <w:sz w:val="24"/>
          <w:szCs w:val="24"/>
        </w:rPr>
        <w:t xml:space="preserve">Morningstar, M. E., Lombardi, A., &amp; Fowler, C. H. (2021). Transition planning for students with disabilities: A systematic review of research. </w:t>
      </w:r>
      <w:r w:rsidRPr="004978CF">
        <w:rPr>
          <w:rStyle w:val="Emphasis"/>
          <w:rFonts w:asciiTheme="majorBidi" w:hAnsiTheme="majorBidi" w:cstheme="majorBidi"/>
          <w:sz w:val="24"/>
          <w:szCs w:val="24"/>
        </w:rPr>
        <w:t>Career Development and Transition for Exceptional Individuals, 44</w:t>
      </w:r>
      <w:r w:rsidRPr="004978CF">
        <w:rPr>
          <w:rFonts w:asciiTheme="majorBidi" w:hAnsiTheme="majorBidi" w:cstheme="majorBidi"/>
          <w:sz w:val="24"/>
          <w:szCs w:val="24"/>
        </w:rPr>
        <w:t>(2), 82–94</w:t>
      </w:r>
      <w:r w:rsidRPr="0049024D">
        <w:t xml:space="preserve">. </w:t>
      </w:r>
      <w:hyperlink r:id="rId20" w:history="1">
        <w:r w:rsidRPr="0049024D">
          <w:rPr>
            <w:rStyle w:val="Hyperlink"/>
            <w:rFonts w:asciiTheme="majorBidi" w:hAnsiTheme="majorBidi" w:cstheme="majorBidi"/>
            <w:color w:val="auto"/>
            <w:sz w:val="24"/>
            <w:szCs w:val="24"/>
            <w:u w:val="none"/>
          </w:rPr>
          <w:t>https://doi.org/10.1177/2165143415589926</w:t>
        </w:r>
      </w:hyperlink>
    </w:p>
    <w:p w14:paraId="48BEE4AC" w14:textId="54E13B4B" w:rsidR="004978CF" w:rsidRPr="0049024D" w:rsidRDefault="004978CF" w:rsidP="004978CF">
      <w:pPr>
        <w:ind w:left="720" w:hanging="720"/>
        <w:contextualSpacing/>
        <w:jc w:val="both"/>
        <w:rPr>
          <w:rFonts w:asciiTheme="majorBidi" w:hAnsiTheme="majorBidi" w:cstheme="majorBidi"/>
          <w:sz w:val="24"/>
          <w:szCs w:val="24"/>
        </w:rPr>
      </w:pPr>
    </w:p>
    <w:p w14:paraId="5FAC8F99" w14:textId="276D81CB" w:rsidR="004978CF" w:rsidRPr="00B60A9C" w:rsidRDefault="004978CF" w:rsidP="004978CF">
      <w:pPr>
        <w:spacing w:line="240" w:lineRule="auto"/>
        <w:ind w:left="720" w:hanging="720"/>
        <w:contextualSpacing/>
        <w:jc w:val="both"/>
        <w:rPr>
          <w:rFonts w:asciiTheme="majorBidi" w:hAnsiTheme="majorBidi" w:cstheme="majorBidi"/>
          <w:sz w:val="24"/>
          <w:szCs w:val="24"/>
        </w:rPr>
      </w:pPr>
      <w:r w:rsidRPr="00937379">
        <w:rPr>
          <w:rFonts w:asciiTheme="majorBidi" w:hAnsiTheme="majorBidi" w:cstheme="majorBidi"/>
          <w:sz w:val="24"/>
          <w:szCs w:val="24"/>
        </w:rPr>
        <w:t xml:space="preserve">Nigam, P., &amp; Kumar, S. (2023). Responsible stakeholders: Key towards successful inclusion. Indian Journal of Vocational Education, 35, April 2023–September 2023. </w:t>
      </w:r>
      <w:hyperlink r:id="rId21" w:history="1">
        <w:r w:rsidR="0049024D" w:rsidRPr="00B60A9C">
          <w:rPr>
            <w:rStyle w:val="Hyperlink"/>
            <w:rFonts w:asciiTheme="majorBidi" w:hAnsiTheme="majorBidi" w:cstheme="majorBidi"/>
            <w:color w:val="auto"/>
            <w:sz w:val="24"/>
            <w:szCs w:val="24"/>
            <w:u w:val="none"/>
          </w:rPr>
          <w:t>https://www.psscive.ac.in/dvet/IJVE%2035-2Chapter.pdf</w:t>
        </w:r>
      </w:hyperlink>
    </w:p>
    <w:p w14:paraId="47CE02C7" w14:textId="721AAD61" w:rsidR="0049024D" w:rsidRPr="00B60A9C" w:rsidRDefault="0049024D" w:rsidP="004978CF">
      <w:pPr>
        <w:spacing w:line="240" w:lineRule="auto"/>
        <w:ind w:left="720" w:hanging="720"/>
        <w:contextualSpacing/>
        <w:jc w:val="both"/>
        <w:rPr>
          <w:rFonts w:asciiTheme="majorBidi" w:hAnsiTheme="majorBidi" w:cstheme="majorBidi"/>
          <w:sz w:val="24"/>
          <w:szCs w:val="24"/>
        </w:rPr>
      </w:pPr>
    </w:p>
    <w:p w14:paraId="047A63DE" w14:textId="14B4C5AA" w:rsidR="0049024D" w:rsidRPr="0049024D" w:rsidRDefault="0049024D" w:rsidP="004978CF">
      <w:pPr>
        <w:spacing w:line="240" w:lineRule="auto"/>
        <w:ind w:left="720" w:hanging="720"/>
        <w:contextualSpacing/>
        <w:jc w:val="both"/>
        <w:rPr>
          <w:rFonts w:asciiTheme="majorBidi" w:hAnsiTheme="majorBidi" w:cstheme="majorBidi"/>
          <w:sz w:val="28"/>
          <w:szCs w:val="28"/>
        </w:rPr>
      </w:pPr>
      <w:r w:rsidRPr="0049024D">
        <w:rPr>
          <w:rFonts w:asciiTheme="majorBidi" w:hAnsiTheme="majorBidi" w:cstheme="majorBidi"/>
          <w:sz w:val="24"/>
          <w:szCs w:val="24"/>
        </w:rPr>
        <w:t xml:space="preserve">Pennington, R., Ault, M. J., Courtade, G., Jameson, J. M., &amp; </w:t>
      </w:r>
      <w:proofErr w:type="spellStart"/>
      <w:r w:rsidRPr="0049024D">
        <w:rPr>
          <w:rFonts w:asciiTheme="majorBidi" w:hAnsiTheme="majorBidi" w:cstheme="majorBidi"/>
          <w:sz w:val="24"/>
          <w:szCs w:val="24"/>
        </w:rPr>
        <w:t>Ruppar</w:t>
      </w:r>
      <w:proofErr w:type="spellEnd"/>
      <w:r w:rsidRPr="0049024D">
        <w:rPr>
          <w:rFonts w:asciiTheme="majorBidi" w:hAnsiTheme="majorBidi" w:cstheme="majorBidi"/>
          <w:sz w:val="24"/>
          <w:szCs w:val="24"/>
        </w:rPr>
        <w:t>, A. (Eds.). (2023). High leverage practices and students with extensive support needs. Routledge. https://doi.org/10.4324/9781003175735</w:t>
      </w:r>
    </w:p>
    <w:p w14:paraId="193E9A28" w14:textId="77777777" w:rsidR="00FB2557" w:rsidRPr="00FB2557" w:rsidRDefault="00FB2557" w:rsidP="00E07D01">
      <w:pPr>
        <w:ind w:left="720" w:hanging="720"/>
        <w:contextualSpacing/>
        <w:jc w:val="both"/>
      </w:pPr>
    </w:p>
    <w:p w14:paraId="78D804DD" w14:textId="77777777" w:rsidR="00FB2557" w:rsidRDefault="00E022BC" w:rsidP="00E07D01">
      <w:pPr>
        <w:spacing w:line="240" w:lineRule="auto"/>
        <w:ind w:left="720" w:hanging="720"/>
        <w:contextualSpacing/>
        <w:jc w:val="both"/>
      </w:pPr>
      <w:r w:rsidRPr="00E022BC">
        <w:rPr>
          <w:rFonts w:asciiTheme="majorBidi" w:hAnsiTheme="majorBidi" w:cstheme="majorBidi"/>
          <w:color w:val="000000" w:themeColor="text1"/>
          <w:sz w:val="24"/>
          <w:szCs w:val="24"/>
        </w:rPr>
        <w:t>Ranbir, D. (2024).</w:t>
      </w:r>
      <w:r w:rsidRPr="00E022BC">
        <w:rPr>
          <w:rFonts w:asciiTheme="majorBidi" w:hAnsiTheme="majorBidi" w:cstheme="majorBidi"/>
          <w:i/>
          <w:iCs/>
          <w:color w:val="000000" w:themeColor="text1"/>
          <w:sz w:val="24"/>
          <w:szCs w:val="24"/>
        </w:rPr>
        <w:t xml:space="preserve"> Individualized Education Programs (IEPs): Best practices for tailoring instruction to meet diverse learning needs. Universal Research Reports, 11(1), 187–191.</w:t>
      </w:r>
      <w:hyperlink r:id="rId22" w:history="1">
        <w:r w:rsidRPr="00E022BC">
          <w:rPr>
            <w:rStyle w:val="Hyperlink"/>
            <w:rFonts w:asciiTheme="majorBidi" w:hAnsiTheme="majorBidi" w:cstheme="majorBidi"/>
            <w:i/>
            <w:iCs/>
            <w:color w:val="000000" w:themeColor="text1"/>
            <w:sz w:val="24"/>
            <w:szCs w:val="24"/>
            <w:u w:val="none"/>
          </w:rPr>
          <w:t xml:space="preserve"> https://doi.org/10.36676/urr.v11.i1.1275</w:t>
        </w:r>
      </w:hyperlink>
    </w:p>
    <w:p w14:paraId="2A7F2732" w14:textId="0DCA1BD6" w:rsidR="00FB2557" w:rsidRDefault="00FB2557" w:rsidP="00E07D01">
      <w:pPr>
        <w:ind w:left="720" w:hanging="720"/>
        <w:contextualSpacing/>
        <w:jc w:val="both"/>
        <w:rPr>
          <w:rFonts w:asciiTheme="majorBidi" w:hAnsiTheme="majorBidi" w:cstheme="majorBidi"/>
          <w:color w:val="000000" w:themeColor="text1"/>
          <w:sz w:val="24"/>
          <w:szCs w:val="24"/>
        </w:rPr>
      </w:pPr>
    </w:p>
    <w:p w14:paraId="1D9A8D8D" w14:textId="7199D55D" w:rsidR="00B60A9C" w:rsidRPr="001E507A" w:rsidRDefault="00B60A9C" w:rsidP="00B60A9C">
      <w:pPr>
        <w:spacing w:line="240" w:lineRule="auto"/>
        <w:ind w:left="720" w:hanging="720"/>
        <w:contextualSpacing/>
        <w:jc w:val="both"/>
        <w:rPr>
          <w:rFonts w:asciiTheme="majorBidi" w:hAnsiTheme="majorBidi" w:cstheme="majorBidi"/>
          <w:sz w:val="24"/>
          <w:szCs w:val="24"/>
        </w:rPr>
      </w:pPr>
      <w:r w:rsidRPr="00B60A9C">
        <w:rPr>
          <w:rFonts w:asciiTheme="majorBidi" w:hAnsiTheme="majorBidi" w:cstheme="majorBidi"/>
          <w:sz w:val="24"/>
          <w:szCs w:val="24"/>
        </w:rPr>
        <w:t xml:space="preserve">Rowe, D. A., Alverson, C. Y., Unruh, D., Fowler, C. H., Kellems, R., &amp; Test, D. W. (2021). A Delphi study to operationalize evidence-based predictors in secondary transition. </w:t>
      </w:r>
      <w:r w:rsidRPr="00B60A9C">
        <w:rPr>
          <w:rStyle w:val="Emphasis"/>
          <w:rFonts w:asciiTheme="majorBidi" w:hAnsiTheme="majorBidi" w:cstheme="majorBidi"/>
          <w:sz w:val="24"/>
          <w:szCs w:val="24"/>
        </w:rPr>
        <w:t>Career Development and Transition for Exceptional Individuals, 44</w:t>
      </w:r>
      <w:r w:rsidRPr="00B60A9C">
        <w:rPr>
          <w:rFonts w:asciiTheme="majorBidi" w:hAnsiTheme="majorBidi" w:cstheme="majorBidi"/>
          <w:sz w:val="24"/>
          <w:szCs w:val="24"/>
        </w:rPr>
        <w:t>(1), 27–38.</w:t>
      </w:r>
      <w:r>
        <w:rPr>
          <w:rFonts w:asciiTheme="majorBidi" w:hAnsiTheme="majorBidi" w:cstheme="majorBidi"/>
          <w:sz w:val="24"/>
          <w:szCs w:val="24"/>
        </w:rPr>
        <w:t xml:space="preserve"> </w:t>
      </w:r>
      <w:hyperlink r:id="rId23" w:history="1">
        <w:r w:rsidR="008B428E" w:rsidRPr="001E507A">
          <w:rPr>
            <w:rStyle w:val="Hyperlink"/>
            <w:rFonts w:asciiTheme="majorBidi" w:hAnsiTheme="majorBidi" w:cstheme="majorBidi"/>
            <w:color w:val="auto"/>
            <w:sz w:val="24"/>
            <w:szCs w:val="24"/>
            <w:u w:val="none"/>
          </w:rPr>
          <w:t>https://doi.org/10.1177/2165143414526429</w:t>
        </w:r>
      </w:hyperlink>
    </w:p>
    <w:p w14:paraId="45A4892A" w14:textId="09EEF2F4" w:rsidR="008B428E" w:rsidRDefault="008B428E" w:rsidP="008B428E">
      <w:pPr>
        <w:ind w:left="720" w:hanging="720"/>
        <w:contextualSpacing/>
        <w:jc w:val="both"/>
        <w:rPr>
          <w:rFonts w:asciiTheme="majorBidi" w:hAnsiTheme="majorBidi" w:cstheme="majorBidi"/>
          <w:sz w:val="24"/>
          <w:szCs w:val="24"/>
        </w:rPr>
      </w:pPr>
    </w:p>
    <w:p w14:paraId="2EEB27C0" w14:textId="6EFCA5A2" w:rsidR="008B428E" w:rsidRPr="008B428E" w:rsidRDefault="008B428E" w:rsidP="008B428E">
      <w:pPr>
        <w:spacing w:line="240" w:lineRule="auto"/>
        <w:ind w:left="720" w:hanging="720"/>
        <w:contextualSpacing/>
        <w:jc w:val="both"/>
        <w:rPr>
          <w:rFonts w:asciiTheme="majorBidi" w:hAnsiTheme="majorBidi" w:cstheme="majorBidi"/>
          <w:sz w:val="24"/>
          <w:szCs w:val="24"/>
        </w:rPr>
      </w:pPr>
      <w:r w:rsidRPr="008B428E">
        <w:rPr>
          <w:rFonts w:asciiTheme="majorBidi" w:hAnsiTheme="majorBidi" w:cstheme="majorBidi"/>
          <w:sz w:val="24"/>
          <w:szCs w:val="24"/>
        </w:rPr>
        <w:t xml:space="preserve">Shogren, K. A., Wehmeyer, M. L., Palmer, S. B., Rifenbark, G. G., &amp; Little, T. D. (2020). Relationships between self-determination and postschool outcomes for youth with disabilities. </w:t>
      </w:r>
      <w:r w:rsidRPr="008B428E">
        <w:rPr>
          <w:rStyle w:val="Emphasis"/>
          <w:rFonts w:asciiTheme="majorBidi" w:hAnsiTheme="majorBidi" w:cstheme="majorBidi"/>
          <w:sz w:val="24"/>
          <w:szCs w:val="24"/>
        </w:rPr>
        <w:t>The Journal of Special Education, 53</w:t>
      </w:r>
      <w:r w:rsidRPr="008B428E">
        <w:rPr>
          <w:rFonts w:asciiTheme="majorBidi" w:hAnsiTheme="majorBidi" w:cstheme="majorBidi"/>
          <w:sz w:val="24"/>
          <w:szCs w:val="24"/>
        </w:rPr>
        <w:t>(4), 189–200.https://www.researchgate.net/publication/271764703_Relationships_Between_Self-Determination_and_Postschool_Outcomes_for_Youth_with_Disabilities</w:t>
      </w:r>
    </w:p>
    <w:p w14:paraId="73EAA4FB" w14:textId="6BC19CDF" w:rsidR="00B60A9C" w:rsidRDefault="00B60A9C" w:rsidP="008B428E">
      <w:pPr>
        <w:ind w:left="720" w:hanging="720"/>
        <w:contextualSpacing/>
        <w:jc w:val="both"/>
        <w:rPr>
          <w:rFonts w:asciiTheme="majorBidi" w:hAnsiTheme="majorBidi" w:cstheme="majorBidi"/>
          <w:color w:val="000000" w:themeColor="text1"/>
          <w:sz w:val="28"/>
          <w:szCs w:val="28"/>
        </w:rPr>
      </w:pPr>
    </w:p>
    <w:p w14:paraId="7452E441" w14:textId="26F86613" w:rsidR="001E507A" w:rsidRDefault="008B428E" w:rsidP="001E507A">
      <w:pPr>
        <w:spacing w:line="240" w:lineRule="auto"/>
        <w:ind w:left="720" w:hanging="720"/>
        <w:contextualSpacing/>
        <w:jc w:val="both"/>
        <w:rPr>
          <w:rFonts w:asciiTheme="majorBidi" w:hAnsiTheme="majorBidi" w:cstheme="majorBidi"/>
          <w:sz w:val="24"/>
          <w:szCs w:val="24"/>
        </w:rPr>
      </w:pPr>
      <w:r w:rsidRPr="008B428E">
        <w:rPr>
          <w:rFonts w:asciiTheme="majorBidi" w:hAnsiTheme="majorBidi" w:cstheme="majorBidi"/>
          <w:sz w:val="24"/>
          <w:szCs w:val="24"/>
        </w:rPr>
        <w:t xml:space="preserve">Snell, M. E., &amp; Brown, F. (2022). </w:t>
      </w:r>
      <w:r w:rsidRPr="008B428E">
        <w:rPr>
          <w:rStyle w:val="Emphasis"/>
          <w:rFonts w:asciiTheme="majorBidi" w:hAnsiTheme="majorBidi" w:cstheme="majorBidi"/>
          <w:sz w:val="24"/>
          <w:szCs w:val="24"/>
        </w:rPr>
        <w:t>Instruction of students with severe disabilities</w:t>
      </w:r>
      <w:r w:rsidR="001E507A">
        <w:rPr>
          <w:rFonts w:asciiTheme="majorBidi" w:hAnsiTheme="majorBidi" w:cstheme="majorBidi"/>
          <w:sz w:val="24"/>
          <w:szCs w:val="24"/>
        </w:rPr>
        <w:t xml:space="preserve"> (9th ed.).</w:t>
      </w:r>
    </w:p>
    <w:p w14:paraId="2270B009" w14:textId="77777777" w:rsidR="001E507A" w:rsidRDefault="001E507A" w:rsidP="001E507A">
      <w:pPr>
        <w:ind w:left="720" w:hanging="720"/>
        <w:contextualSpacing/>
        <w:jc w:val="both"/>
        <w:rPr>
          <w:rFonts w:asciiTheme="majorBidi" w:hAnsiTheme="majorBidi" w:cstheme="majorBidi"/>
          <w:sz w:val="24"/>
          <w:szCs w:val="24"/>
        </w:rPr>
      </w:pPr>
    </w:p>
    <w:p w14:paraId="2C66B368" w14:textId="2CA295A0" w:rsidR="001E507A" w:rsidRPr="001E507A" w:rsidRDefault="008B428E" w:rsidP="001E507A">
      <w:pPr>
        <w:spacing w:line="240" w:lineRule="auto"/>
        <w:ind w:left="720" w:hanging="720"/>
        <w:contextualSpacing/>
        <w:jc w:val="both"/>
        <w:rPr>
          <w:rFonts w:asciiTheme="majorBidi" w:hAnsiTheme="majorBidi" w:cstheme="majorBidi"/>
          <w:sz w:val="24"/>
          <w:szCs w:val="24"/>
        </w:rPr>
      </w:pPr>
      <w:proofErr w:type="spellStart"/>
      <w:r w:rsidRPr="008B428E">
        <w:rPr>
          <w:rFonts w:asciiTheme="majorBidi" w:hAnsiTheme="majorBidi" w:cstheme="majorBidi"/>
          <w:sz w:val="24"/>
          <w:szCs w:val="24"/>
        </w:rPr>
        <w:t>Pearson.</w:t>
      </w:r>
      <w:r w:rsidR="001E507A" w:rsidRPr="001E507A">
        <w:rPr>
          <w:rFonts w:asciiTheme="majorBidi" w:hAnsiTheme="majorBidi" w:cstheme="majorBidi"/>
          <w:sz w:val="24"/>
          <w:szCs w:val="24"/>
        </w:rPr>
        <w:t>Test</w:t>
      </w:r>
      <w:proofErr w:type="spellEnd"/>
      <w:r w:rsidR="001E507A" w:rsidRPr="001E507A">
        <w:rPr>
          <w:rFonts w:asciiTheme="majorBidi" w:hAnsiTheme="majorBidi" w:cstheme="majorBidi"/>
          <w:sz w:val="24"/>
          <w:szCs w:val="24"/>
        </w:rPr>
        <w:t xml:space="preserve">, D. W., Fowler, C. H., &amp; Kohler, P. (2020). Evidence-based practices in secondary transition. </w:t>
      </w:r>
      <w:r w:rsidR="001E507A" w:rsidRPr="001E507A">
        <w:rPr>
          <w:rStyle w:val="Emphasis"/>
          <w:rFonts w:asciiTheme="majorBidi" w:hAnsiTheme="majorBidi" w:cstheme="majorBidi"/>
          <w:sz w:val="24"/>
          <w:szCs w:val="24"/>
        </w:rPr>
        <w:t>Career Development and Transition for Exceptional Individuals, 43</w:t>
      </w:r>
      <w:r w:rsidR="001E507A" w:rsidRPr="001E507A">
        <w:rPr>
          <w:rFonts w:asciiTheme="majorBidi" w:hAnsiTheme="majorBidi" w:cstheme="majorBidi"/>
          <w:sz w:val="24"/>
          <w:szCs w:val="24"/>
        </w:rPr>
        <w:t>(3), 125–137.</w:t>
      </w:r>
      <w:r w:rsidR="001E507A">
        <w:rPr>
          <w:rFonts w:asciiTheme="majorBidi" w:hAnsiTheme="majorBidi" w:cstheme="majorBidi"/>
          <w:sz w:val="24"/>
          <w:szCs w:val="24"/>
        </w:rPr>
        <w:t xml:space="preserve"> </w:t>
      </w:r>
      <w:hyperlink r:id="rId24" w:history="1">
        <w:r w:rsidR="001E507A" w:rsidRPr="001E507A">
          <w:rPr>
            <w:rStyle w:val="Hyperlink"/>
            <w:rFonts w:asciiTheme="majorBidi" w:hAnsiTheme="majorBidi" w:cstheme="majorBidi"/>
            <w:color w:val="auto"/>
            <w:sz w:val="24"/>
            <w:szCs w:val="24"/>
            <w:u w:val="none"/>
          </w:rPr>
          <w:t>https://doi.org/10.1177/0885728809336859</w:t>
        </w:r>
      </w:hyperlink>
    </w:p>
    <w:p w14:paraId="5DE92F12" w14:textId="1608AE51" w:rsidR="001E507A" w:rsidRDefault="001E507A" w:rsidP="001E507A">
      <w:pPr>
        <w:ind w:left="720" w:hanging="720"/>
        <w:contextualSpacing/>
        <w:jc w:val="both"/>
        <w:rPr>
          <w:rFonts w:asciiTheme="majorBidi" w:hAnsiTheme="majorBidi" w:cstheme="majorBidi"/>
          <w:sz w:val="24"/>
          <w:szCs w:val="24"/>
        </w:rPr>
      </w:pPr>
    </w:p>
    <w:p w14:paraId="7C2DC685" w14:textId="76B3A6C5" w:rsidR="001E507A" w:rsidRDefault="001E507A" w:rsidP="001E507A">
      <w:pPr>
        <w:spacing w:line="240" w:lineRule="auto"/>
        <w:ind w:left="720" w:hanging="720"/>
        <w:contextualSpacing/>
        <w:jc w:val="both"/>
        <w:rPr>
          <w:rFonts w:asciiTheme="majorBidi" w:hAnsiTheme="majorBidi" w:cstheme="majorBidi"/>
          <w:sz w:val="24"/>
          <w:szCs w:val="24"/>
        </w:rPr>
      </w:pPr>
      <w:r w:rsidRPr="001E507A">
        <w:rPr>
          <w:rFonts w:asciiTheme="majorBidi" w:hAnsiTheme="majorBidi" w:cstheme="majorBidi"/>
          <w:sz w:val="24"/>
          <w:szCs w:val="24"/>
        </w:rPr>
        <w:t xml:space="preserve">Wehmeyer, M. L., &amp; </w:t>
      </w:r>
      <w:proofErr w:type="spellStart"/>
      <w:r w:rsidRPr="001E507A">
        <w:rPr>
          <w:rFonts w:asciiTheme="majorBidi" w:hAnsiTheme="majorBidi" w:cstheme="majorBidi"/>
          <w:sz w:val="24"/>
          <w:szCs w:val="24"/>
        </w:rPr>
        <w:t>Schalock</w:t>
      </w:r>
      <w:proofErr w:type="spellEnd"/>
      <w:r w:rsidRPr="001E507A">
        <w:rPr>
          <w:rFonts w:asciiTheme="majorBidi" w:hAnsiTheme="majorBidi" w:cstheme="majorBidi"/>
          <w:sz w:val="24"/>
          <w:szCs w:val="24"/>
        </w:rPr>
        <w:t xml:space="preserve">, R. L. (2017). </w:t>
      </w:r>
      <w:r w:rsidRPr="001E507A">
        <w:rPr>
          <w:rStyle w:val="Emphasis"/>
          <w:rFonts w:asciiTheme="majorBidi" w:hAnsiTheme="majorBidi" w:cstheme="majorBidi"/>
          <w:sz w:val="24"/>
          <w:szCs w:val="24"/>
        </w:rPr>
        <w:t>Self-determination and quality of life: Implications for special education services and supports</w:t>
      </w:r>
      <w:r w:rsidRPr="001E507A">
        <w:rPr>
          <w:rFonts w:asciiTheme="majorBidi" w:hAnsiTheme="majorBidi" w:cstheme="majorBidi"/>
          <w:sz w:val="24"/>
          <w:szCs w:val="24"/>
        </w:rPr>
        <w:t xml:space="preserve">. </w:t>
      </w:r>
      <w:r w:rsidRPr="001E507A">
        <w:rPr>
          <w:rStyle w:val="Emphasis"/>
          <w:rFonts w:asciiTheme="majorBidi" w:hAnsiTheme="majorBidi" w:cstheme="majorBidi"/>
          <w:sz w:val="24"/>
          <w:szCs w:val="24"/>
        </w:rPr>
        <w:t>Focus on Exceptional Children, 33</w:t>
      </w:r>
      <w:r w:rsidRPr="001E507A">
        <w:rPr>
          <w:rFonts w:asciiTheme="majorBidi" w:hAnsiTheme="majorBidi" w:cstheme="majorBidi"/>
          <w:sz w:val="24"/>
          <w:szCs w:val="24"/>
        </w:rPr>
        <w:t xml:space="preserve">(8). </w:t>
      </w:r>
      <w:hyperlink r:id="rId25" w:tgtFrame="_new" w:history="1">
        <w:r w:rsidRPr="001E507A">
          <w:rPr>
            <w:rStyle w:val="Hyperlink"/>
            <w:rFonts w:asciiTheme="majorBidi" w:hAnsiTheme="majorBidi" w:cstheme="majorBidi"/>
            <w:color w:val="auto"/>
            <w:sz w:val="24"/>
            <w:szCs w:val="24"/>
            <w:u w:val="none"/>
          </w:rPr>
          <w:t>https://doi.org/10.17161/foec.v33i8.6782</w:t>
        </w:r>
      </w:hyperlink>
    </w:p>
    <w:p w14:paraId="6511DA49" w14:textId="77777777" w:rsidR="001E507A" w:rsidRPr="001E507A" w:rsidRDefault="001E507A" w:rsidP="001E507A">
      <w:pPr>
        <w:ind w:left="720" w:hanging="720"/>
        <w:contextualSpacing/>
        <w:jc w:val="both"/>
        <w:rPr>
          <w:rFonts w:asciiTheme="majorBidi" w:hAnsiTheme="majorBidi" w:cstheme="majorBidi"/>
          <w:sz w:val="24"/>
          <w:szCs w:val="24"/>
        </w:rPr>
      </w:pPr>
    </w:p>
    <w:p w14:paraId="13C46105" w14:textId="665530B9" w:rsidR="00A712D6" w:rsidRDefault="00E022BC" w:rsidP="001E507A">
      <w:pPr>
        <w:spacing w:line="240" w:lineRule="auto"/>
        <w:ind w:left="720" w:hanging="720"/>
        <w:contextualSpacing/>
        <w:jc w:val="both"/>
        <w:sectPr w:rsidR="00A712D6" w:rsidSect="00A712D6">
          <w:type w:val="continuous"/>
          <w:pgSz w:w="12240" w:h="15840" w:code="1"/>
          <w:pgMar w:top="1440" w:right="1440" w:bottom="1440" w:left="1440" w:header="720" w:footer="720" w:gutter="0"/>
          <w:cols w:space="708"/>
          <w:docGrid w:linePitch="299"/>
        </w:sectPr>
      </w:pPr>
      <w:r w:rsidRPr="00E022BC">
        <w:rPr>
          <w:rFonts w:asciiTheme="majorBidi" w:hAnsiTheme="majorBidi" w:cstheme="majorBidi"/>
          <w:color w:val="000000" w:themeColor="text1"/>
          <w:sz w:val="24"/>
          <w:szCs w:val="24"/>
        </w:rPr>
        <w:t xml:space="preserve">Wibowo, S., </w:t>
      </w:r>
      <w:proofErr w:type="spellStart"/>
      <w:r w:rsidRPr="00E022BC">
        <w:rPr>
          <w:rFonts w:asciiTheme="majorBidi" w:hAnsiTheme="majorBidi" w:cstheme="majorBidi"/>
          <w:color w:val="000000" w:themeColor="text1"/>
          <w:sz w:val="24"/>
          <w:szCs w:val="24"/>
        </w:rPr>
        <w:t>Wangid</w:t>
      </w:r>
      <w:proofErr w:type="spellEnd"/>
      <w:r w:rsidRPr="00E022BC">
        <w:rPr>
          <w:rFonts w:asciiTheme="majorBidi" w:hAnsiTheme="majorBidi" w:cstheme="majorBidi"/>
          <w:color w:val="000000" w:themeColor="text1"/>
          <w:sz w:val="24"/>
          <w:szCs w:val="24"/>
        </w:rPr>
        <w:t xml:space="preserve">, M. N., &amp; Firdaus, F. M. (2025). </w:t>
      </w:r>
      <w:r w:rsidRPr="00E022BC">
        <w:rPr>
          <w:rFonts w:asciiTheme="majorBidi" w:hAnsiTheme="majorBidi" w:cstheme="majorBidi"/>
          <w:i/>
          <w:iCs/>
          <w:color w:val="000000" w:themeColor="text1"/>
          <w:sz w:val="24"/>
          <w:szCs w:val="24"/>
        </w:rPr>
        <w:t>The relevance of Vygotsky's constructivism learning theory with the differentiated learning primary schools</w:t>
      </w:r>
      <w:r w:rsidRPr="00E022BC">
        <w:rPr>
          <w:rFonts w:asciiTheme="majorBidi" w:hAnsiTheme="majorBidi" w:cstheme="majorBidi"/>
          <w:color w:val="000000" w:themeColor="text1"/>
          <w:sz w:val="24"/>
          <w:szCs w:val="24"/>
        </w:rPr>
        <w:t xml:space="preserve">. </w:t>
      </w:r>
      <w:r w:rsidRPr="00E022BC">
        <w:rPr>
          <w:rFonts w:asciiTheme="majorBidi" w:hAnsiTheme="majorBidi" w:cstheme="majorBidi"/>
          <w:i/>
          <w:iCs/>
          <w:color w:val="000000" w:themeColor="text1"/>
          <w:sz w:val="24"/>
          <w:szCs w:val="24"/>
        </w:rPr>
        <w:t>Journal of Education and Learning (</w:t>
      </w:r>
      <w:proofErr w:type="spellStart"/>
      <w:r w:rsidRPr="00E022BC">
        <w:rPr>
          <w:rFonts w:asciiTheme="majorBidi" w:hAnsiTheme="majorBidi" w:cstheme="majorBidi"/>
          <w:i/>
          <w:iCs/>
          <w:color w:val="000000" w:themeColor="text1"/>
          <w:sz w:val="24"/>
          <w:szCs w:val="24"/>
        </w:rPr>
        <w:t>EduLearn</w:t>
      </w:r>
      <w:proofErr w:type="spellEnd"/>
      <w:r w:rsidRPr="00E022BC">
        <w:rPr>
          <w:rFonts w:asciiTheme="majorBidi" w:hAnsiTheme="majorBidi" w:cstheme="majorBidi"/>
          <w:i/>
          <w:iCs/>
          <w:color w:val="000000" w:themeColor="text1"/>
          <w:sz w:val="24"/>
          <w:szCs w:val="24"/>
        </w:rPr>
        <w:t>), 19</w:t>
      </w:r>
      <w:r w:rsidRPr="00E022BC">
        <w:rPr>
          <w:rFonts w:asciiTheme="majorBidi" w:hAnsiTheme="majorBidi" w:cstheme="majorBidi"/>
          <w:color w:val="000000" w:themeColor="text1"/>
          <w:sz w:val="24"/>
          <w:szCs w:val="24"/>
        </w:rPr>
        <w:t>(1), 431–440.</w:t>
      </w:r>
      <w:hyperlink r:id="rId26" w:history="1">
        <w:r w:rsidRPr="00E022BC">
          <w:rPr>
            <w:rStyle w:val="Hyperlink"/>
            <w:rFonts w:asciiTheme="majorBidi" w:hAnsiTheme="majorBidi" w:cstheme="majorBidi"/>
            <w:color w:val="000000" w:themeColor="text1"/>
            <w:sz w:val="24"/>
            <w:szCs w:val="24"/>
            <w:u w:val="none"/>
          </w:rPr>
          <w:t xml:space="preserve"> https://doi.org/10.11591/edulearn.v19i1.21197</w:t>
        </w:r>
      </w:hyperlink>
    </w:p>
    <w:p w14:paraId="04284B4F" w14:textId="123F8933" w:rsidR="00E022BC" w:rsidRPr="00FB2557" w:rsidRDefault="00E022BC" w:rsidP="00E07D01">
      <w:pPr>
        <w:ind w:left="720" w:hanging="720"/>
        <w:contextualSpacing/>
        <w:jc w:val="both"/>
      </w:pPr>
    </w:p>
    <w:p w14:paraId="68A953EB" w14:textId="77777777" w:rsidR="00E022BC" w:rsidRPr="00E022BC" w:rsidRDefault="00E022BC" w:rsidP="00E07D01">
      <w:pPr>
        <w:ind w:left="720" w:hanging="720"/>
        <w:contextualSpacing/>
        <w:jc w:val="both"/>
        <w:rPr>
          <w:rFonts w:asciiTheme="majorBidi" w:hAnsiTheme="majorBidi" w:cstheme="majorBidi"/>
          <w:color w:val="000000" w:themeColor="text1"/>
          <w:sz w:val="24"/>
          <w:szCs w:val="24"/>
        </w:rPr>
      </w:pPr>
    </w:p>
    <w:p w14:paraId="3083FDE4" w14:textId="77777777" w:rsidR="00E022BC" w:rsidRPr="002C753E" w:rsidRDefault="00E022BC" w:rsidP="00E07D01">
      <w:pPr>
        <w:ind w:left="720" w:hanging="720"/>
        <w:contextualSpacing/>
        <w:jc w:val="both"/>
        <w:rPr>
          <w:rFonts w:asciiTheme="majorBidi" w:hAnsiTheme="majorBidi" w:cstheme="majorBidi"/>
          <w:sz w:val="24"/>
          <w:szCs w:val="24"/>
        </w:rPr>
      </w:pPr>
    </w:p>
    <w:p w14:paraId="6337C71D" w14:textId="0F9B8E16" w:rsidR="002C753E" w:rsidRPr="00127F38" w:rsidRDefault="002C753E" w:rsidP="00E07D01">
      <w:pPr>
        <w:ind w:hanging="720"/>
        <w:contextualSpacing/>
        <w:jc w:val="both"/>
        <w:rPr>
          <w:rFonts w:asciiTheme="majorBidi" w:hAnsiTheme="majorBidi" w:cstheme="majorBidi"/>
          <w:b/>
          <w:bCs/>
          <w:sz w:val="24"/>
          <w:szCs w:val="24"/>
        </w:rPr>
      </w:pPr>
    </w:p>
    <w:p w14:paraId="01B5CE21" w14:textId="77777777" w:rsidR="000D7513" w:rsidRPr="00083FDD" w:rsidRDefault="000D7513" w:rsidP="00E07D01">
      <w:pPr>
        <w:contextualSpacing/>
        <w:jc w:val="both"/>
        <w:rPr>
          <w:rFonts w:asciiTheme="majorBidi" w:hAnsiTheme="majorBidi" w:cstheme="majorBidi"/>
          <w:sz w:val="24"/>
          <w:szCs w:val="24"/>
        </w:rPr>
      </w:pPr>
    </w:p>
    <w:p w14:paraId="3EB6D75F" w14:textId="263A3F32" w:rsidR="00083FDD" w:rsidRPr="00083FDD" w:rsidRDefault="00083FDD" w:rsidP="002C753E">
      <w:pPr>
        <w:contextualSpacing/>
        <w:rPr>
          <w:rFonts w:asciiTheme="majorBidi" w:hAnsiTheme="majorBidi" w:cstheme="majorBidi"/>
          <w:sz w:val="24"/>
          <w:szCs w:val="24"/>
        </w:rPr>
      </w:pPr>
    </w:p>
    <w:sectPr w:rsidR="00083FDD" w:rsidRPr="00083FDD" w:rsidSect="00C01032">
      <w:type w:val="continuous"/>
      <w:pgSz w:w="12240" w:h="15840" w:code="1"/>
      <w:pgMar w:top="1440" w:right="1440" w:bottom="1440" w:left="1440" w:header="720" w:footer="720"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3A0D" w14:textId="77777777" w:rsidR="006F31FB" w:rsidRDefault="006F31FB" w:rsidP="00F93C9B">
      <w:pPr>
        <w:spacing w:after="0"/>
      </w:pPr>
      <w:r>
        <w:separator/>
      </w:r>
    </w:p>
  </w:endnote>
  <w:endnote w:type="continuationSeparator" w:id="0">
    <w:p w14:paraId="254723F8" w14:textId="77777777" w:rsidR="006F31FB" w:rsidRDefault="006F31FB" w:rsidP="00F93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1EB5" w14:textId="77777777" w:rsidR="006125EA" w:rsidRDefault="00612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A007" w14:textId="77777777" w:rsidR="006125EA" w:rsidRDefault="00612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A19B" w14:textId="77777777" w:rsidR="006125EA" w:rsidRDefault="0061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A3B39" w14:textId="77777777" w:rsidR="006F31FB" w:rsidRDefault="006F31FB" w:rsidP="00F93C9B">
      <w:pPr>
        <w:spacing w:after="0"/>
      </w:pPr>
      <w:r>
        <w:separator/>
      </w:r>
    </w:p>
  </w:footnote>
  <w:footnote w:type="continuationSeparator" w:id="0">
    <w:p w14:paraId="12124A09" w14:textId="77777777" w:rsidR="006F31FB" w:rsidRDefault="006F31FB" w:rsidP="00F93C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D227" w14:textId="5B43D557" w:rsidR="006125EA" w:rsidRDefault="006125EA">
    <w:pPr>
      <w:pStyle w:val="Header"/>
    </w:pPr>
    <w:r>
      <w:rPr>
        <w:noProof/>
      </w:rPr>
      <w:pict w14:anchorId="3C1DB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1ECC" w14:textId="7E55396D" w:rsidR="007337D3" w:rsidRDefault="006125EA" w:rsidP="00E07D01">
    <w:pPr>
      <w:pStyle w:val="Header"/>
      <w:spacing w:after="100" w:line="240" w:lineRule="auto"/>
      <w:contextualSpacing/>
      <w:jc w:val="right"/>
    </w:pPr>
    <w:r>
      <w:rPr>
        <w:noProof/>
      </w:rPr>
      <w:pict w14:anchorId="17DC6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sdt>
      <w:sdtPr>
        <w:id w:val="792323638"/>
        <w:docPartObj>
          <w:docPartGallery w:val="Page Numbers (Top of Page)"/>
          <w:docPartUnique/>
        </w:docPartObj>
      </w:sdtPr>
      <w:sdtEndPr>
        <w:rPr>
          <w:noProof/>
        </w:rPr>
      </w:sdtEndPr>
      <w:sdtContent>
        <w:r w:rsidR="007337D3">
          <w:fldChar w:fldCharType="begin"/>
        </w:r>
        <w:r w:rsidR="007337D3">
          <w:instrText xml:space="preserve"> PAGE   \* MERGEFORMAT </w:instrText>
        </w:r>
        <w:r w:rsidR="007337D3">
          <w:fldChar w:fldCharType="separate"/>
        </w:r>
        <w:r w:rsidR="000B6FE1">
          <w:rPr>
            <w:noProof/>
          </w:rPr>
          <w:t>17</w:t>
        </w:r>
        <w:r w:rsidR="007337D3">
          <w:rPr>
            <w:noProof/>
          </w:rPr>
          <w:fldChar w:fldCharType="end"/>
        </w:r>
      </w:sdtContent>
    </w:sdt>
  </w:p>
  <w:p w14:paraId="082EE7A8" w14:textId="77777777" w:rsidR="00B344D7" w:rsidRDefault="00B344D7" w:rsidP="004368DD">
    <w:pPr>
      <w:pStyle w:val="Header"/>
      <w:spacing w:after="100"/>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5329" w14:textId="6E5DFDAF" w:rsidR="006125EA" w:rsidRDefault="006125EA">
    <w:pPr>
      <w:pStyle w:val="Header"/>
    </w:pPr>
    <w:r>
      <w:rPr>
        <w:noProof/>
      </w:rPr>
      <w:pict w14:anchorId="11CC8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F7"/>
    <w:rsid w:val="00004237"/>
    <w:rsid w:val="000507AC"/>
    <w:rsid w:val="00083FDD"/>
    <w:rsid w:val="000B6FE1"/>
    <w:rsid w:val="000D7513"/>
    <w:rsid w:val="001020E7"/>
    <w:rsid w:val="00127F38"/>
    <w:rsid w:val="00130993"/>
    <w:rsid w:val="001712A6"/>
    <w:rsid w:val="00173475"/>
    <w:rsid w:val="001748ED"/>
    <w:rsid w:val="00194C2A"/>
    <w:rsid w:val="001E507A"/>
    <w:rsid w:val="002A7293"/>
    <w:rsid w:val="002C753E"/>
    <w:rsid w:val="00323D09"/>
    <w:rsid w:val="00333338"/>
    <w:rsid w:val="00340106"/>
    <w:rsid w:val="00347D06"/>
    <w:rsid w:val="00423271"/>
    <w:rsid w:val="004368DD"/>
    <w:rsid w:val="00454DB0"/>
    <w:rsid w:val="0046109D"/>
    <w:rsid w:val="00481925"/>
    <w:rsid w:val="0049024D"/>
    <w:rsid w:val="004945CC"/>
    <w:rsid w:val="004978CF"/>
    <w:rsid w:val="004E4E68"/>
    <w:rsid w:val="004E7693"/>
    <w:rsid w:val="004F4C78"/>
    <w:rsid w:val="005200D2"/>
    <w:rsid w:val="0052635E"/>
    <w:rsid w:val="00571D83"/>
    <w:rsid w:val="0059040E"/>
    <w:rsid w:val="006125EA"/>
    <w:rsid w:val="00637FC4"/>
    <w:rsid w:val="00672BCD"/>
    <w:rsid w:val="006F1709"/>
    <w:rsid w:val="006F31FB"/>
    <w:rsid w:val="006F4597"/>
    <w:rsid w:val="007337D3"/>
    <w:rsid w:val="007563ED"/>
    <w:rsid w:val="007B1114"/>
    <w:rsid w:val="007D1EA8"/>
    <w:rsid w:val="007E2E26"/>
    <w:rsid w:val="007F3C25"/>
    <w:rsid w:val="008B428E"/>
    <w:rsid w:val="009066AE"/>
    <w:rsid w:val="00924D26"/>
    <w:rsid w:val="00937379"/>
    <w:rsid w:val="00953BC9"/>
    <w:rsid w:val="00974DF6"/>
    <w:rsid w:val="009B1CD2"/>
    <w:rsid w:val="009C69D7"/>
    <w:rsid w:val="009E4D75"/>
    <w:rsid w:val="00A712D6"/>
    <w:rsid w:val="00AE76C6"/>
    <w:rsid w:val="00B227FB"/>
    <w:rsid w:val="00B344D7"/>
    <w:rsid w:val="00B60A9C"/>
    <w:rsid w:val="00BD32D1"/>
    <w:rsid w:val="00BD59E7"/>
    <w:rsid w:val="00BD75A9"/>
    <w:rsid w:val="00C01032"/>
    <w:rsid w:val="00C227A1"/>
    <w:rsid w:val="00C24C82"/>
    <w:rsid w:val="00C30343"/>
    <w:rsid w:val="00C730D4"/>
    <w:rsid w:val="00D0266C"/>
    <w:rsid w:val="00D13F06"/>
    <w:rsid w:val="00D628F7"/>
    <w:rsid w:val="00E022BC"/>
    <w:rsid w:val="00E07D01"/>
    <w:rsid w:val="00E42CF6"/>
    <w:rsid w:val="00E449E3"/>
    <w:rsid w:val="00E5001B"/>
    <w:rsid w:val="00E549BA"/>
    <w:rsid w:val="00E7509C"/>
    <w:rsid w:val="00EE25F8"/>
    <w:rsid w:val="00F3296F"/>
    <w:rsid w:val="00F44726"/>
    <w:rsid w:val="00F93C9B"/>
    <w:rsid w:val="00F97D23"/>
    <w:rsid w:val="00FA32C3"/>
    <w:rsid w:val="00FA5F43"/>
    <w:rsid w:val="00FB2557"/>
    <w:rsid w:val="00FD6A94"/>
    <w:rsid w:val="00FE4426"/>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019E9"/>
  <w15:chartTrackingRefBased/>
  <w15:docId w15:val="{B103C9E1-55CB-4B77-BC25-D3AF453C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PH"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597"/>
  </w:style>
  <w:style w:type="paragraph" w:styleId="Heading1">
    <w:name w:val="heading 1"/>
    <w:basedOn w:val="Normal"/>
    <w:next w:val="Normal"/>
    <w:link w:val="Heading1Char"/>
    <w:uiPriority w:val="9"/>
    <w:qFormat/>
    <w:rsid w:val="006F4597"/>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F4597"/>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6F4597"/>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6F459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F459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F4597"/>
    <w:pPr>
      <w:keepNext/>
      <w:keepLines/>
      <w:spacing w:before="240" w:after="80"/>
      <w:outlineLvl w:val="5"/>
    </w:pPr>
    <w:rPr>
      <w:i/>
      <w:iCs/>
      <w:color w:val="666666"/>
    </w:rPr>
  </w:style>
  <w:style w:type="paragraph" w:styleId="Heading7">
    <w:name w:val="heading 7"/>
    <w:basedOn w:val="Normal"/>
    <w:next w:val="Normal"/>
    <w:link w:val="Heading7Char"/>
    <w:uiPriority w:val="9"/>
    <w:semiHidden/>
    <w:unhideWhenUsed/>
    <w:qFormat/>
    <w:rsid w:val="00D628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8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8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97"/>
    <w:rPr>
      <w:sz w:val="40"/>
      <w:szCs w:val="40"/>
    </w:rPr>
  </w:style>
  <w:style w:type="character" w:customStyle="1" w:styleId="Heading2Char">
    <w:name w:val="Heading 2 Char"/>
    <w:basedOn w:val="DefaultParagraphFont"/>
    <w:link w:val="Heading2"/>
    <w:uiPriority w:val="9"/>
    <w:rsid w:val="006F4597"/>
    <w:rPr>
      <w:sz w:val="32"/>
      <w:szCs w:val="32"/>
    </w:rPr>
  </w:style>
  <w:style w:type="character" w:customStyle="1" w:styleId="Heading3Char">
    <w:name w:val="Heading 3 Char"/>
    <w:basedOn w:val="DefaultParagraphFont"/>
    <w:link w:val="Heading3"/>
    <w:uiPriority w:val="9"/>
    <w:rsid w:val="006F4597"/>
    <w:rPr>
      <w:color w:val="434343"/>
      <w:sz w:val="28"/>
      <w:szCs w:val="28"/>
    </w:rPr>
  </w:style>
  <w:style w:type="character" w:customStyle="1" w:styleId="Heading4Char">
    <w:name w:val="Heading 4 Char"/>
    <w:basedOn w:val="DefaultParagraphFont"/>
    <w:link w:val="Heading4"/>
    <w:uiPriority w:val="9"/>
    <w:rsid w:val="006F4597"/>
    <w:rPr>
      <w:color w:val="666666"/>
      <w:sz w:val="24"/>
      <w:szCs w:val="24"/>
    </w:rPr>
  </w:style>
  <w:style w:type="character" w:customStyle="1" w:styleId="Heading5Char">
    <w:name w:val="Heading 5 Char"/>
    <w:basedOn w:val="DefaultParagraphFont"/>
    <w:link w:val="Heading5"/>
    <w:uiPriority w:val="9"/>
    <w:semiHidden/>
    <w:rsid w:val="006F4597"/>
    <w:rPr>
      <w:color w:val="666666"/>
    </w:rPr>
  </w:style>
  <w:style w:type="character" w:customStyle="1" w:styleId="Heading6Char">
    <w:name w:val="Heading 6 Char"/>
    <w:basedOn w:val="DefaultParagraphFont"/>
    <w:link w:val="Heading6"/>
    <w:uiPriority w:val="9"/>
    <w:semiHidden/>
    <w:rsid w:val="006F4597"/>
    <w:rPr>
      <w:i/>
      <w:iCs/>
      <w:color w:val="666666"/>
    </w:rPr>
  </w:style>
  <w:style w:type="paragraph" w:styleId="Title">
    <w:name w:val="Title"/>
    <w:basedOn w:val="Normal"/>
    <w:next w:val="Normal"/>
    <w:link w:val="TitleChar"/>
    <w:uiPriority w:val="10"/>
    <w:qFormat/>
    <w:rsid w:val="006F4597"/>
    <w:pPr>
      <w:keepNext/>
      <w:keepLines/>
      <w:spacing w:after="60"/>
    </w:pPr>
    <w:rPr>
      <w:sz w:val="52"/>
      <w:szCs w:val="52"/>
    </w:rPr>
  </w:style>
  <w:style w:type="character" w:customStyle="1" w:styleId="TitleChar">
    <w:name w:val="Title Char"/>
    <w:basedOn w:val="DefaultParagraphFont"/>
    <w:link w:val="Title"/>
    <w:uiPriority w:val="10"/>
    <w:rsid w:val="006F4597"/>
    <w:rPr>
      <w:sz w:val="52"/>
      <w:szCs w:val="52"/>
    </w:rPr>
  </w:style>
  <w:style w:type="paragraph" w:styleId="Subtitle">
    <w:name w:val="Subtitle"/>
    <w:basedOn w:val="Normal"/>
    <w:next w:val="Normal"/>
    <w:link w:val="SubtitleChar"/>
    <w:uiPriority w:val="11"/>
    <w:qFormat/>
    <w:rsid w:val="006F4597"/>
    <w:pPr>
      <w:keepNext/>
      <w:keepLines/>
      <w:spacing w:after="320"/>
    </w:pPr>
    <w:rPr>
      <w:color w:val="666666"/>
      <w:sz w:val="30"/>
      <w:szCs w:val="30"/>
    </w:rPr>
  </w:style>
  <w:style w:type="character" w:customStyle="1" w:styleId="SubtitleChar">
    <w:name w:val="Subtitle Char"/>
    <w:basedOn w:val="DefaultParagraphFont"/>
    <w:link w:val="Subtitle"/>
    <w:uiPriority w:val="11"/>
    <w:rsid w:val="006F4597"/>
    <w:rPr>
      <w:color w:val="666666"/>
      <w:sz w:val="30"/>
      <w:szCs w:val="30"/>
    </w:rPr>
  </w:style>
  <w:style w:type="paragraph" w:styleId="ListParagraph">
    <w:name w:val="List Paragraph"/>
    <w:basedOn w:val="Normal"/>
    <w:uiPriority w:val="34"/>
    <w:qFormat/>
    <w:rsid w:val="006F4597"/>
    <w:pPr>
      <w:ind w:left="720"/>
      <w:contextualSpacing/>
    </w:pPr>
  </w:style>
  <w:style w:type="character" w:customStyle="1" w:styleId="Heading7Char">
    <w:name w:val="Heading 7 Char"/>
    <w:basedOn w:val="DefaultParagraphFont"/>
    <w:link w:val="Heading7"/>
    <w:uiPriority w:val="9"/>
    <w:semiHidden/>
    <w:rsid w:val="00D62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8F7"/>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D628F7"/>
    <w:pPr>
      <w:spacing w:before="160"/>
      <w:jc w:val="center"/>
    </w:pPr>
    <w:rPr>
      <w:i/>
      <w:iCs/>
      <w:color w:val="404040" w:themeColor="text1" w:themeTint="BF"/>
    </w:rPr>
  </w:style>
  <w:style w:type="character" w:customStyle="1" w:styleId="QuoteChar">
    <w:name w:val="Quote Char"/>
    <w:basedOn w:val="DefaultParagraphFont"/>
    <w:link w:val="Quote"/>
    <w:uiPriority w:val="29"/>
    <w:rsid w:val="00D628F7"/>
    <w:rPr>
      <w:i/>
      <w:iCs/>
      <w:color w:val="404040" w:themeColor="text1" w:themeTint="BF"/>
    </w:rPr>
  </w:style>
  <w:style w:type="character" w:styleId="IntenseEmphasis">
    <w:name w:val="Intense Emphasis"/>
    <w:basedOn w:val="DefaultParagraphFont"/>
    <w:uiPriority w:val="21"/>
    <w:qFormat/>
    <w:rsid w:val="00D628F7"/>
    <w:rPr>
      <w:i/>
      <w:iCs/>
      <w:color w:val="365F91" w:themeColor="accent1" w:themeShade="BF"/>
    </w:rPr>
  </w:style>
  <w:style w:type="paragraph" w:styleId="IntenseQuote">
    <w:name w:val="Intense Quote"/>
    <w:basedOn w:val="Normal"/>
    <w:next w:val="Normal"/>
    <w:link w:val="IntenseQuoteChar"/>
    <w:uiPriority w:val="30"/>
    <w:qFormat/>
    <w:rsid w:val="00D628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28F7"/>
    <w:rPr>
      <w:i/>
      <w:iCs/>
      <w:color w:val="365F91" w:themeColor="accent1" w:themeShade="BF"/>
    </w:rPr>
  </w:style>
  <w:style w:type="character" w:styleId="IntenseReference">
    <w:name w:val="Intense Reference"/>
    <w:basedOn w:val="DefaultParagraphFont"/>
    <w:uiPriority w:val="32"/>
    <w:qFormat/>
    <w:rsid w:val="00D628F7"/>
    <w:rPr>
      <w:b/>
      <w:bCs/>
      <w:smallCaps/>
      <w:color w:val="365F91" w:themeColor="accent1" w:themeShade="BF"/>
      <w:spacing w:val="5"/>
    </w:rPr>
  </w:style>
  <w:style w:type="paragraph" w:styleId="Header">
    <w:name w:val="header"/>
    <w:basedOn w:val="Normal"/>
    <w:link w:val="HeaderChar"/>
    <w:uiPriority w:val="99"/>
    <w:unhideWhenUsed/>
    <w:rsid w:val="00F93C9B"/>
    <w:pPr>
      <w:tabs>
        <w:tab w:val="center" w:pos="4680"/>
        <w:tab w:val="right" w:pos="9360"/>
      </w:tabs>
      <w:spacing w:after="0"/>
    </w:pPr>
  </w:style>
  <w:style w:type="character" w:customStyle="1" w:styleId="HeaderChar">
    <w:name w:val="Header Char"/>
    <w:basedOn w:val="DefaultParagraphFont"/>
    <w:link w:val="Header"/>
    <w:uiPriority w:val="99"/>
    <w:rsid w:val="00F93C9B"/>
  </w:style>
  <w:style w:type="paragraph" w:styleId="Footer">
    <w:name w:val="footer"/>
    <w:basedOn w:val="Normal"/>
    <w:link w:val="FooterChar"/>
    <w:uiPriority w:val="99"/>
    <w:unhideWhenUsed/>
    <w:rsid w:val="00F93C9B"/>
    <w:pPr>
      <w:tabs>
        <w:tab w:val="center" w:pos="4680"/>
        <w:tab w:val="right" w:pos="9360"/>
      </w:tabs>
      <w:spacing w:after="0"/>
    </w:pPr>
  </w:style>
  <w:style w:type="character" w:customStyle="1" w:styleId="FooterChar">
    <w:name w:val="Footer Char"/>
    <w:basedOn w:val="DefaultParagraphFont"/>
    <w:link w:val="Footer"/>
    <w:uiPriority w:val="99"/>
    <w:rsid w:val="00F93C9B"/>
  </w:style>
  <w:style w:type="character" w:styleId="PlaceholderText">
    <w:name w:val="Placeholder Text"/>
    <w:basedOn w:val="DefaultParagraphFont"/>
    <w:uiPriority w:val="99"/>
    <w:semiHidden/>
    <w:rsid w:val="00B344D7"/>
    <w:rPr>
      <w:color w:val="666666"/>
    </w:rPr>
  </w:style>
  <w:style w:type="paragraph" w:styleId="HTMLPreformatted">
    <w:name w:val="HTML Preformatted"/>
    <w:basedOn w:val="Normal"/>
    <w:link w:val="HTMLPreformattedChar"/>
    <w:uiPriority w:val="99"/>
    <w:semiHidden/>
    <w:unhideWhenUsed/>
    <w:rsid w:val="0034010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0106"/>
    <w:rPr>
      <w:rFonts w:ascii="Consolas" w:hAnsi="Consolas"/>
      <w:sz w:val="20"/>
      <w:szCs w:val="20"/>
    </w:rPr>
  </w:style>
  <w:style w:type="paragraph" w:styleId="NormalWeb">
    <w:name w:val="Normal (Web)"/>
    <w:basedOn w:val="Normal"/>
    <w:uiPriority w:val="99"/>
    <w:semiHidden/>
    <w:unhideWhenUsed/>
    <w:rsid w:val="00637FC4"/>
    <w:rPr>
      <w:rFonts w:ascii="Times New Roman" w:hAnsi="Times New Roman" w:cs="Times New Roman"/>
      <w:sz w:val="24"/>
      <w:szCs w:val="24"/>
    </w:rPr>
  </w:style>
  <w:style w:type="character" w:styleId="Hyperlink">
    <w:name w:val="Hyperlink"/>
    <w:basedOn w:val="DefaultParagraphFont"/>
    <w:uiPriority w:val="99"/>
    <w:unhideWhenUsed/>
    <w:rsid w:val="002C753E"/>
    <w:rPr>
      <w:color w:val="0000FF" w:themeColor="hyperlink"/>
      <w:u w:val="single"/>
    </w:rPr>
  </w:style>
  <w:style w:type="character" w:customStyle="1" w:styleId="UnresolvedMention1">
    <w:name w:val="Unresolved Mention1"/>
    <w:basedOn w:val="DefaultParagraphFont"/>
    <w:uiPriority w:val="99"/>
    <w:semiHidden/>
    <w:unhideWhenUsed/>
    <w:rsid w:val="002C753E"/>
    <w:rPr>
      <w:color w:val="605E5C"/>
      <w:shd w:val="clear" w:color="auto" w:fill="E1DFDD"/>
    </w:rPr>
  </w:style>
  <w:style w:type="character" w:customStyle="1" w:styleId="whitespace-normal">
    <w:name w:val="whitespace-normal"/>
    <w:basedOn w:val="DefaultParagraphFont"/>
    <w:rsid w:val="00F97D23"/>
  </w:style>
  <w:style w:type="character" w:styleId="Emphasis">
    <w:name w:val="Emphasis"/>
    <w:basedOn w:val="DefaultParagraphFont"/>
    <w:uiPriority w:val="20"/>
    <w:qFormat/>
    <w:rsid w:val="00E07D01"/>
    <w:rPr>
      <w:i/>
      <w:iCs/>
    </w:rPr>
  </w:style>
  <w:style w:type="character" w:styleId="Strong">
    <w:name w:val="Strong"/>
    <w:basedOn w:val="DefaultParagraphFont"/>
    <w:uiPriority w:val="22"/>
    <w:qFormat/>
    <w:rsid w:val="00C24C82"/>
    <w:rPr>
      <w:b/>
      <w:bCs/>
    </w:rPr>
  </w:style>
  <w:style w:type="character" w:styleId="UnresolvedMention">
    <w:name w:val="Unresolved Mention"/>
    <w:basedOn w:val="DefaultParagraphFont"/>
    <w:uiPriority w:val="99"/>
    <w:semiHidden/>
    <w:unhideWhenUsed/>
    <w:rsid w:val="00EE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79257">
      <w:bodyDiv w:val="1"/>
      <w:marLeft w:val="0"/>
      <w:marRight w:val="0"/>
      <w:marTop w:val="0"/>
      <w:marBottom w:val="0"/>
      <w:divBdr>
        <w:top w:val="none" w:sz="0" w:space="0" w:color="auto"/>
        <w:left w:val="none" w:sz="0" w:space="0" w:color="auto"/>
        <w:bottom w:val="none" w:sz="0" w:space="0" w:color="auto"/>
        <w:right w:val="none" w:sz="0" w:space="0" w:color="auto"/>
      </w:divBdr>
    </w:div>
    <w:div w:id="310797320">
      <w:bodyDiv w:val="1"/>
      <w:marLeft w:val="0"/>
      <w:marRight w:val="0"/>
      <w:marTop w:val="0"/>
      <w:marBottom w:val="0"/>
      <w:divBdr>
        <w:top w:val="none" w:sz="0" w:space="0" w:color="auto"/>
        <w:left w:val="none" w:sz="0" w:space="0" w:color="auto"/>
        <w:bottom w:val="none" w:sz="0" w:space="0" w:color="auto"/>
        <w:right w:val="none" w:sz="0" w:space="0" w:color="auto"/>
      </w:divBdr>
    </w:div>
    <w:div w:id="499084456">
      <w:bodyDiv w:val="1"/>
      <w:marLeft w:val="0"/>
      <w:marRight w:val="0"/>
      <w:marTop w:val="0"/>
      <w:marBottom w:val="0"/>
      <w:divBdr>
        <w:top w:val="none" w:sz="0" w:space="0" w:color="auto"/>
        <w:left w:val="none" w:sz="0" w:space="0" w:color="auto"/>
        <w:bottom w:val="none" w:sz="0" w:space="0" w:color="auto"/>
        <w:right w:val="none" w:sz="0" w:space="0" w:color="auto"/>
      </w:divBdr>
    </w:div>
    <w:div w:id="523908301">
      <w:bodyDiv w:val="1"/>
      <w:marLeft w:val="0"/>
      <w:marRight w:val="0"/>
      <w:marTop w:val="0"/>
      <w:marBottom w:val="0"/>
      <w:divBdr>
        <w:top w:val="none" w:sz="0" w:space="0" w:color="auto"/>
        <w:left w:val="none" w:sz="0" w:space="0" w:color="auto"/>
        <w:bottom w:val="none" w:sz="0" w:space="0" w:color="auto"/>
        <w:right w:val="none" w:sz="0" w:space="0" w:color="auto"/>
      </w:divBdr>
    </w:div>
    <w:div w:id="625962674">
      <w:bodyDiv w:val="1"/>
      <w:marLeft w:val="0"/>
      <w:marRight w:val="0"/>
      <w:marTop w:val="0"/>
      <w:marBottom w:val="0"/>
      <w:divBdr>
        <w:top w:val="none" w:sz="0" w:space="0" w:color="auto"/>
        <w:left w:val="none" w:sz="0" w:space="0" w:color="auto"/>
        <w:bottom w:val="none" w:sz="0" w:space="0" w:color="auto"/>
        <w:right w:val="none" w:sz="0" w:space="0" w:color="auto"/>
      </w:divBdr>
    </w:div>
    <w:div w:id="738331743">
      <w:bodyDiv w:val="1"/>
      <w:marLeft w:val="0"/>
      <w:marRight w:val="0"/>
      <w:marTop w:val="0"/>
      <w:marBottom w:val="0"/>
      <w:divBdr>
        <w:top w:val="none" w:sz="0" w:space="0" w:color="auto"/>
        <w:left w:val="none" w:sz="0" w:space="0" w:color="auto"/>
        <w:bottom w:val="none" w:sz="0" w:space="0" w:color="auto"/>
        <w:right w:val="none" w:sz="0" w:space="0" w:color="auto"/>
      </w:divBdr>
    </w:div>
    <w:div w:id="779376262">
      <w:bodyDiv w:val="1"/>
      <w:marLeft w:val="0"/>
      <w:marRight w:val="0"/>
      <w:marTop w:val="0"/>
      <w:marBottom w:val="0"/>
      <w:divBdr>
        <w:top w:val="none" w:sz="0" w:space="0" w:color="auto"/>
        <w:left w:val="none" w:sz="0" w:space="0" w:color="auto"/>
        <w:bottom w:val="none" w:sz="0" w:space="0" w:color="auto"/>
        <w:right w:val="none" w:sz="0" w:space="0" w:color="auto"/>
      </w:divBdr>
    </w:div>
    <w:div w:id="911891625">
      <w:bodyDiv w:val="1"/>
      <w:marLeft w:val="0"/>
      <w:marRight w:val="0"/>
      <w:marTop w:val="0"/>
      <w:marBottom w:val="0"/>
      <w:divBdr>
        <w:top w:val="none" w:sz="0" w:space="0" w:color="auto"/>
        <w:left w:val="none" w:sz="0" w:space="0" w:color="auto"/>
        <w:bottom w:val="none" w:sz="0" w:space="0" w:color="auto"/>
        <w:right w:val="none" w:sz="0" w:space="0" w:color="auto"/>
      </w:divBdr>
    </w:div>
    <w:div w:id="1351839336">
      <w:bodyDiv w:val="1"/>
      <w:marLeft w:val="0"/>
      <w:marRight w:val="0"/>
      <w:marTop w:val="0"/>
      <w:marBottom w:val="0"/>
      <w:divBdr>
        <w:top w:val="none" w:sz="0" w:space="0" w:color="auto"/>
        <w:left w:val="none" w:sz="0" w:space="0" w:color="auto"/>
        <w:bottom w:val="none" w:sz="0" w:space="0" w:color="auto"/>
        <w:right w:val="none" w:sz="0" w:space="0" w:color="auto"/>
      </w:divBdr>
    </w:div>
    <w:div w:id="1640184240">
      <w:bodyDiv w:val="1"/>
      <w:marLeft w:val="0"/>
      <w:marRight w:val="0"/>
      <w:marTop w:val="0"/>
      <w:marBottom w:val="0"/>
      <w:divBdr>
        <w:top w:val="none" w:sz="0" w:space="0" w:color="auto"/>
        <w:left w:val="none" w:sz="0" w:space="0" w:color="auto"/>
        <w:bottom w:val="none" w:sz="0" w:space="0" w:color="auto"/>
        <w:right w:val="none" w:sz="0" w:space="0" w:color="auto"/>
      </w:divBdr>
    </w:div>
    <w:div w:id="20868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apers.ssrn.com/sol3/papers.cfm?abstract_id=2559424" TargetMode="External"/><Relationship Id="rId18" Type="http://schemas.openxmlformats.org/officeDocument/2006/relationships/hyperlink" Target="https://doi.org/10.3389/fmed.2025.1522830" TargetMode="External"/><Relationship Id="rId26" Type="http://schemas.openxmlformats.org/officeDocument/2006/relationships/hyperlink" Target="https://doi.org/10.11591/edulearn.v19i1.21197" TargetMode="External"/><Relationship Id="rId3" Type="http://schemas.openxmlformats.org/officeDocument/2006/relationships/settings" Target="settings.xml"/><Relationship Id="rId21" Type="http://schemas.openxmlformats.org/officeDocument/2006/relationships/hyperlink" Target="https://www.psscive.ac.in/dvet/IJVE%2035-2Chapter.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978-3-030-88538-0_36" TargetMode="External"/><Relationship Id="rId25" Type="http://schemas.openxmlformats.org/officeDocument/2006/relationships/hyperlink" Target="https://doi.org/10.17161/foec.v33i8.6782?utm_source=chatgpt.com" TargetMode="External"/><Relationship Id="rId2" Type="http://schemas.openxmlformats.org/officeDocument/2006/relationships/styles" Target="styles.xml"/><Relationship Id="rId16" Type="http://schemas.openxmlformats.org/officeDocument/2006/relationships/hyperlink" Target="https://www.researchgate.net/publication/383500583_Bronfenbrenner's_Ecological_Systems_Theory" TargetMode="External"/><Relationship Id="rId20" Type="http://schemas.openxmlformats.org/officeDocument/2006/relationships/hyperlink" Target="https://doi.org/10.1177/216514341558992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77/0885728809336859" TargetMode="External"/><Relationship Id="rId5" Type="http://schemas.openxmlformats.org/officeDocument/2006/relationships/footnotes" Target="footnotes.xml"/><Relationship Id="rId15" Type="http://schemas.openxmlformats.org/officeDocument/2006/relationships/hyperlink" Target="https://doi.org/10.1111/cdev.13968" TargetMode="External"/><Relationship Id="rId23" Type="http://schemas.openxmlformats.org/officeDocument/2006/relationships/hyperlink" Target="https://doi.org/10.1177/2165143414526429"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111/tct.1278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udlguidelines.cast.org" TargetMode="External"/><Relationship Id="rId22" Type="http://schemas.openxmlformats.org/officeDocument/2006/relationships/hyperlink" Target="https://doi.org/10.36676/urr.v11.i1.127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DA10-A050-4CB6-8B18-7AD0D08F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17</Pages>
  <Words>5770</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Grace</dc:creator>
  <cp:keywords/>
  <dc:description/>
  <cp:lastModifiedBy>SDI 1166</cp:lastModifiedBy>
  <cp:revision>61</cp:revision>
  <cp:lastPrinted>2026-04-21T20:00:00Z</cp:lastPrinted>
  <dcterms:created xsi:type="dcterms:W3CDTF">2026-04-22T18:29:00Z</dcterms:created>
  <dcterms:modified xsi:type="dcterms:W3CDTF">2026-04-24T11:07:00Z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c2df90b1-58d6-43eb-87b2-cb943aca91d3</vt:lpwstr>
  </property>
</Properties>
</file>